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tblInd w:w="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4"/>
        <w:gridCol w:w="747"/>
        <w:gridCol w:w="1143"/>
        <w:gridCol w:w="982"/>
        <w:gridCol w:w="6815"/>
      </w:tblGrid>
      <w:tr w:rsidR="008710DB" w:rsidRPr="008710DB" w14:paraId="24172450" w14:textId="77777777" w:rsidTr="0065732E">
        <w:trPr>
          <w:trHeight w:val="300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245" w14:textId="34745B65" w:rsidR="008710DB" w:rsidRPr="008710DB" w:rsidRDefault="008710DB" w:rsidP="008710DB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996633"/>
                <w:sz w:val="18"/>
                <w:szCs w:val="18"/>
                <w:lang w:eastAsia="es-GT"/>
              </w:rPr>
            </w:pPr>
            <w:bookmarkStart w:id="0" w:name="RANGE!A1:E45"/>
            <w:r w:rsidRPr="008710DB">
              <w:rPr>
                <w:rFonts w:ascii="Arial Black" w:eastAsia="Times New Roman" w:hAnsi="Arial Black" w:cs="Calibri"/>
                <w:b/>
                <w:bCs/>
                <w:color w:val="996633"/>
                <w:sz w:val="18"/>
                <w:szCs w:val="18"/>
                <w:lang w:eastAsia="es-GT"/>
              </w:rPr>
              <w:t>MINISTERIO DE FINANZAS PÚBLICAS</w:t>
            </w:r>
            <w:bookmarkEnd w:id="0"/>
          </w:p>
        </w:tc>
      </w:tr>
      <w:tr w:rsidR="008710DB" w:rsidRPr="008710DB" w14:paraId="69961EA6" w14:textId="77777777" w:rsidTr="0065732E">
        <w:trPr>
          <w:trHeight w:val="372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E356" w14:textId="2A0FF960" w:rsidR="008710DB" w:rsidRPr="008710DB" w:rsidRDefault="008710DB" w:rsidP="008710D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538DD5"/>
                <w:sz w:val="24"/>
                <w:szCs w:val="24"/>
                <w:lang w:eastAsia="es-GT"/>
              </w:rPr>
            </w:pPr>
            <w:r w:rsidRPr="00316E12">
              <w:rPr>
                <w:rFonts w:ascii="Arial Black" w:eastAsia="Times New Roman" w:hAnsi="Arial Black" w:cs="Calibri"/>
                <w:b/>
                <w:bCs/>
                <w:color w:val="538DD5"/>
                <w:sz w:val="28"/>
                <w:szCs w:val="28"/>
                <w:lang w:eastAsia="es-GT"/>
              </w:rPr>
              <w:t>ANEXO "B"</w:t>
            </w:r>
          </w:p>
        </w:tc>
      </w:tr>
      <w:tr w:rsidR="008710DB" w:rsidRPr="008710DB" w14:paraId="3337A5A2" w14:textId="77777777" w:rsidTr="0065732E">
        <w:trPr>
          <w:trHeight w:val="360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C04A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  <w:t>RENGLONES DE GASTO BAJO LOS CUALES SE PROGRAMAN:</w:t>
            </w:r>
          </w:p>
        </w:tc>
      </w:tr>
      <w:tr w:rsidR="008710DB" w:rsidRPr="008710DB" w14:paraId="44B0D947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E04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AB4F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1) Transferencias Directas a Personas Individuales</w:t>
            </w:r>
          </w:p>
        </w:tc>
      </w:tr>
      <w:tr w:rsidR="008710DB" w:rsidRPr="008710DB" w14:paraId="0343D3A9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61FE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803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2) Transferencias a Entidades del Sector Privado</w:t>
            </w:r>
          </w:p>
        </w:tc>
      </w:tr>
      <w:tr w:rsidR="008710DB" w:rsidRPr="008710DB" w14:paraId="54F317CE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254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699B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3) Transferencias al Sector Externo</w:t>
            </w:r>
          </w:p>
        </w:tc>
      </w:tr>
      <w:tr w:rsidR="008710DB" w:rsidRPr="008710DB" w14:paraId="2A3D9F1D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1208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685D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4) Subsidios y/o subvenciones</w:t>
            </w:r>
          </w:p>
        </w:tc>
      </w:tr>
      <w:tr w:rsidR="0065732E" w:rsidRPr="008710DB" w14:paraId="7C214EEB" w14:textId="77777777" w:rsidTr="0065732E">
        <w:trPr>
          <w:trHeight w:val="312"/>
        </w:trPr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625E" w14:textId="77777777" w:rsidR="0065732E" w:rsidRPr="008710DB" w:rsidRDefault="0065732E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3A6C2" w14:textId="77777777" w:rsidR="0065732E" w:rsidRPr="008710DB" w:rsidRDefault="0065732E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</w:tr>
      <w:tr w:rsidR="008710DB" w:rsidRPr="008710DB" w14:paraId="04DF5CAD" w14:textId="77777777" w:rsidTr="0065732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E185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7D1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783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00BF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514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65732E" w:rsidRPr="008710DB" w14:paraId="03C3FD27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15B1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1393EDA9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Grupo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2D113560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Subgrupo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08397A92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Renglón</w:t>
            </w:r>
          </w:p>
        </w:tc>
        <w:tc>
          <w:tcPr>
            <w:tcW w:w="6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01FEC96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Concepto</w:t>
            </w:r>
          </w:p>
        </w:tc>
      </w:tr>
      <w:tr w:rsidR="008710DB" w:rsidRPr="008710DB" w14:paraId="7AA68901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7FA9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3C9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C15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78A2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097A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65732E" w:rsidRPr="008710DB" w14:paraId="45ADAB21" w14:textId="77777777" w:rsidTr="00A65808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D31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55C7F5A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89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C000"/>
            <w:noWrap/>
            <w:vAlign w:val="bottom"/>
            <w:hideMark/>
          </w:tcPr>
          <w:p w14:paraId="73274C7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CORRIENTES</w:t>
            </w:r>
          </w:p>
        </w:tc>
      </w:tr>
      <w:tr w:rsidR="008710DB" w:rsidRPr="008710DB" w14:paraId="456885EC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DD7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EFB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BD0C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5ADA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3921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</w:tr>
      <w:tr w:rsidR="008710DB" w:rsidRPr="008710DB" w14:paraId="2CB0F4B3" w14:textId="77777777" w:rsidTr="00A65808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B7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0AE6A07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4CA78BB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41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52A8B19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Directas a Personas Individuales</w:t>
            </w:r>
          </w:p>
        </w:tc>
      </w:tr>
      <w:tr w:rsidR="008710DB" w:rsidRPr="008710DB" w14:paraId="2EA875AE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358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9F58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CF71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E5E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416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4944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Becas de estudio en el interior</w:t>
            </w:r>
          </w:p>
        </w:tc>
      </w:tr>
      <w:tr w:rsidR="008710DB" w:rsidRPr="008710DB" w14:paraId="3E34ECA2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558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9C4B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B4BD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CF9178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417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B0948A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Becas de estudio en el exterior</w:t>
            </w:r>
          </w:p>
        </w:tc>
      </w:tr>
      <w:tr w:rsidR="008710DB" w:rsidRPr="008710DB" w14:paraId="7F4D437B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E50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C559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D6AB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9991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419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7142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Otras transferencias a personas individuales</w:t>
            </w:r>
          </w:p>
        </w:tc>
      </w:tr>
      <w:tr w:rsidR="008710DB" w:rsidRPr="008710DB" w14:paraId="7A19E86C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B6C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9C15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AD51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C91F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891A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</w:tr>
      <w:tr w:rsidR="008710DB" w:rsidRPr="008710DB" w14:paraId="07DC7F2E" w14:textId="77777777" w:rsidTr="00A65808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6F1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5F11C3B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478E19F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43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31864A4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 Entidades del Sector Privado</w:t>
            </w:r>
          </w:p>
        </w:tc>
      </w:tr>
      <w:tr w:rsidR="008710DB" w:rsidRPr="008710DB" w14:paraId="2E560018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C5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610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F2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E4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431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37D9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de enseñanza</w:t>
            </w:r>
          </w:p>
        </w:tc>
      </w:tr>
      <w:tr w:rsidR="008710DB" w:rsidRPr="008710DB" w14:paraId="56695F2B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45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823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7AE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26EA9D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432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A77865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de salud y asistencia social</w:t>
            </w:r>
          </w:p>
        </w:tc>
      </w:tr>
      <w:tr w:rsidR="008710DB" w:rsidRPr="008710DB" w14:paraId="2F2534BD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AD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5CB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AC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6A2C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433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9F5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científicas y tecnológicas</w:t>
            </w:r>
          </w:p>
        </w:tc>
      </w:tr>
      <w:tr w:rsidR="008710DB" w:rsidRPr="008710DB" w14:paraId="371552FE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A8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DA8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EA1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3B17DE2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434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B36F9A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entidades religiosas</w:t>
            </w:r>
          </w:p>
        </w:tc>
      </w:tr>
      <w:tr w:rsidR="008710DB" w:rsidRPr="008710DB" w14:paraId="26D6D249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88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BDC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28E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1D8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435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66D9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otras instituciones sin fines de lucro</w:t>
            </w:r>
          </w:p>
        </w:tc>
      </w:tr>
      <w:tr w:rsidR="008710DB" w:rsidRPr="008710DB" w14:paraId="10910D88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F63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531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2D0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3998FE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436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531BF9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cooperativas</w:t>
            </w:r>
          </w:p>
        </w:tc>
      </w:tr>
      <w:tr w:rsidR="008710DB" w:rsidRPr="008710DB" w14:paraId="59F686C3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DB1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120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DA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4B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437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632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empresas privadas</w:t>
            </w:r>
          </w:p>
        </w:tc>
      </w:tr>
      <w:tr w:rsidR="008710DB" w:rsidRPr="008710DB" w14:paraId="0C3A22DC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DE8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16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EBF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FB3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739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6BF7DCA6" w14:textId="77777777" w:rsidTr="00A65808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6B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22A085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031E0565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47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31C19ED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Externo</w:t>
            </w:r>
          </w:p>
        </w:tc>
      </w:tr>
      <w:tr w:rsidR="008710DB" w:rsidRPr="008710DB" w14:paraId="7760421D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B9C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94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902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E157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471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590C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gobiernos extranjeros</w:t>
            </w:r>
          </w:p>
        </w:tc>
      </w:tr>
      <w:tr w:rsidR="008710DB" w:rsidRPr="008710DB" w14:paraId="746D57D3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D3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F37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5A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8349719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472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495731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e instituciones internacionales</w:t>
            </w:r>
          </w:p>
        </w:tc>
      </w:tr>
      <w:tr w:rsidR="008710DB" w:rsidRPr="008710DB" w14:paraId="6E8DC459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406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6D2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650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A4C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473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790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regionales</w:t>
            </w:r>
          </w:p>
        </w:tc>
      </w:tr>
      <w:tr w:rsidR="008710DB" w:rsidRPr="008710DB" w14:paraId="3756845B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71E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C62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12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B95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85F8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14BCA4F6" w14:textId="77777777" w:rsidTr="00A65808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2B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30DCF620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89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C000"/>
            <w:noWrap/>
            <w:vAlign w:val="bottom"/>
            <w:hideMark/>
          </w:tcPr>
          <w:p w14:paraId="27DAECD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DE CAPITAL</w:t>
            </w:r>
          </w:p>
        </w:tc>
      </w:tr>
      <w:tr w:rsidR="008710DB" w:rsidRPr="008710DB" w14:paraId="72FB3063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355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A7B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F26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A06D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F603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7692EBB8" w14:textId="77777777" w:rsidTr="00A65808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37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1F35360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57665F71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0D68550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Privado</w:t>
            </w:r>
          </w:p>
        </w:tc>
      </w:tr>
      <w:tr w:rsidR="008710DB" w:rsidRPr="008710DB" w14:paraId="684F61AF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D8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FD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82C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D36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511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FE7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personas individuales y unidades familiares</w:t>
            </w:r>
          </w:p>
        </w:tc>
      </w:tr>
      <w:tr w:rsidR="008710DB" w:rsidRPr="008710DB" w14:paraId="48AA2730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39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A31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61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29ED194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512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1DAF9B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sin fines de lucro</w:t>
            </w:r>
          </w:p>
        </w:tc>
      </w:tr>
      <w:tr w:rsidR="008710DB" w:rsidRPr="008710DB" w14:paraId="15F1281F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2A2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7F6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0BA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E92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513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1143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cooperativas</w:t>
            </w:r>
          </w:p>
        </w:tc>
      </w:tr>
      <w:tr w:rsidR="008710DB" w:rsidRPr="008710DB" w14:paraId="0191F817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F24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261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4A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F5996B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514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F8B05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empresas privadas</w:t>
            </w:r>
          </w:p>
        </w:tc>
      </w:tr>
      <w:tr w:rsidR="008710DB" w:rsidRPr="008710DB" w14:paraId="145648EF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2ED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FFE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AB7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C6C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B841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530CA40A" w14:textId="77777777" w:rsidTr="00A65808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BA9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145BDEF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2384AF7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55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344B97D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Externo</w:t>
            </w:r>
          </w:p>
        </w:tc>
      </w:tr>
      <w:tr w:rsidR="008710DB" w:rsidRPr="008710DB" w14:paraId="5ABCDF7B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EF6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C94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170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8C50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551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79CF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gobiernos extranjeros</w:t>
            </w:r>
          </w:p>
        </w:tc>
      </w:tr>
      <w:tr w:rsidR="008710DB" w:rsidRPr="008710DB" w14:paraId="76F638E2" w14:textId="77777777" w:rsidTr="00A65808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5D4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66B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CF2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C75A546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552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852438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e instituciones internacionales</w:t>
            </w:r>
          </w:p>
        </w:tc>
      </w:tr>
      <w:tr w:rsidR="008710DB" w:rsidRPr="008710DB" w14:paraId="50E386A6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2CF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0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18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E58F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553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A7DA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regionales</w:t>
            </w:r>
          </w:p>
        </w:tc>
      </w:tr>
      <w:tr w:rsidR="008710DB" w:rsidRPr="008710DB" w14:paraId="586D53FA" w14:textId="77777777" w:rsidTr="0065732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685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DC4B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0E09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51CE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3BE0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29702D2A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84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2A3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Fuente: Manual de Clasificaciones Presupuestarias para el Sector Público de Guatemala, 6a. Edición</w:t>
            </w:r>
          </w:p>
        </w:tc>
      </w:tr>
    </w:tbl>
    <w:p w14:paraId="4603FEFF" w14:textId="7850AB5C" w:rsidR="008710DB" w:rsidRDefault="00563AA0">
      <w:r>
        <w:t xml:space="preserve"> </w:t>
      </w:r>
    </w:p>
    <w:sectPr w:rsidR="008710DB" w:rsidSect="00DD22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DB"/>
    <w:rsid w:val="00001D85"/>
    <w:rsid w:val="00316E12"/>
    <w:rsid w:val="00563AA0"/>
    <w:rsid w:val="0065732E"/>
    <w:rsid w:val="008710DB"/>
    <w:rsid w:val="00887713"/>
    <w:rsid w:val="00A65808"/>
    <w:rsid w:val="00B12C5B"/>
    <w:rsid w:val="00B44F82"/>
    <w:rsid w:val="00C77014"/>
    <w:rsid w:val="00CF0386"/>
    <w:rsid w:val="00D1028F"/>
    <w:rsid w:val="00DD2256"/>
    <w:rsid w:val="00D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AA101"/>
  <w15:chartTrackingRefBased/>
  <w15:docId w15:val="{BE539098-FB35-4935-BAA1-28C7E374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872F-21F5-4CE3-869B-B0B5FA72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DATAFLEX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Yolanda Marquez Sajquin</dc:creator>
  <cp:keywords/>
  <dc:description/>
  <cp:lastModifiedBy>Silvia Yolanda Marquez Sajquin</cp:lastModifiedBy>
  <cp:revision>16</cp:revision>
  <cp:lastPrinted>2022-12-19T21:51:00Z</cp:lastPrinted>
  <dcterms:created xsi:type="dcterms:W3CDTF">2022-12-19T21:25:00Z</dcterms:created>
  <dcterms:modified xsi:type="dcterms:W3CDTF">2024-01-12T16:18:00Z</dcterms:modified>
</cp:coreProperties>
</file>