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807748573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  <w:lang w:eastAsia="es-ES"/>
        </w:rPr>
      </w:sdtEndPr>
      <w:sdtContent>
        <w:p w14:paraId="5AC4B42B" w14:textId="5A136A44" w:rsidR="00406E86" w:rsidRDefault="00406E86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058"/>
          </w:tblGrid>
          <w:tr w:rsidR="00406E86" w14:paraId="1B2FEA28" w14:textId="77777777" w:rsidTr="00494716">
            <w:trPr>
              <w:trHeight w:val="1627"/>
            </w:trPr>
            <w:sdt>
              <w:sdtPr>
                <w:rPr>
                  <w:b/>
                  <w:bCs/>
                  <w:color w:val="365F91" w:themeColor="accent1" w:themeShade="BF"/>
                  <w:sz w:val="48"/>
                  <w:szCs w:val="48"/>
                </w:rPr>
                <w:alias w:val="Compañía"/>
                <w:id w:val="13406915"/>
                <w:placeholder>
                  <w:docPart w:val="BDDB7E392D5B4C7F8274CD86E359FF3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4740C770" w14:textId="3C5C8BED" w:rsidR="00406E86" w:rsidRPr="00406E86" w:rsidRDefault="00913511" w:rsidP="00406E86">
                    <w:pPr>
                      <w:pStyle w:val="Sinespaciado"/>
                      <w:jc w:val="center"/>
                      <w:rPr>
                        <w:b/>
                        <w:bCs/>
                        <w:color w:val="365F91" w:themeColor="accent1" w:themeShade="BF"/>
                        <w:sz w:val="24"/>
                      </w:rPr>
                    </w:pPr>
                    <w:r>
                      <w:rPr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 xml:space="preserve">Anexo </w:t>
                    </w:r>
                    <w:r w:rsidR="0083458E">
                      <w:rPr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“</w:t>
                    </w:r>
                    <w:r>
                      <w:rPr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A”</w:t>
                    </w:r>
                  </w:p>
                </w:tc>
              </w:sdtContent>
            </w:sdt>
          </w:tr>
          <w:tr w:rsidR="00406E86" w14:paraId="092B19CB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bCs/>
                    <w:color w:val="4F81BD" w:themeColor="accent1"/>
                    <w:sz w:val="72"/>
                    <w:szCs w:val="72"/>
                  </w:rPr>
                  <w:alias w:val="Título"/>
                  <w:id w:val="13406919"/>
                  <w:placeholder>
                    <w:docPart w:val="C42BD28766134CA194117B85FBB34ED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1836CB8A" w14:textId="4A476284" w:rsidR="00406E86" w:rsidRDefault="00406E86" w:rsidP="00406E86">
                    <w:pPr>
                      <w:pStyle w:val="Sinespaciado"/>
                      <w:spacing w:line="216" w:lineRule="auto"/>
                      <w:jc w:val="center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8"/>
                        <w:szCs w:val="88"/>
                      </w:rPr>
                    </w:pPr>
                    <w:r w:rsidRPr="00406E8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4F81BD" w:themeColor="accent1"/>
                        <w:sz w:val="72"/>
                        <w:szCs w:val="72"/>
                      </w:rPr>
                      <w:t>Marco Legal Informes de Avance Físico y Financiero 2023</w:t>
                    </w:r>
                  </w:p>
                </w:sdtContent>
              </w:sdt>
            </w:tc>
          </w:tr>
          <w:tr w:rsidR="00406E86" w14:paraId="0D20AF50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5893E1D" w14:textId="5F57A72E" w:rsidR="00406E86" w:rsidRDefault="00406E86">
                <w:pPr>
                  <w:pStyle w:val="Sinespaciado"/>
                  <w:rPr>
                    <w:color w:val="365F91" w:themeColor="accent1" w:themeShade="BF"/>
                    <w:sz w:val="24"/>
                  </w:rPr>
                </w:pP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818"/>
          </w:tblGrid>
          <w:tr w:rsidR="00406E86" w14:paraId="1C33A96D" w14:textId="77777777" w:rsidTr="00406E86">
            <w:tc>
              <w:tcPr>
                <w:tcW w:w="656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  <w:sz w:val="40"/>
                    <w:szCs w:val="40"/>
                  </w:rPr>
                  <w:alias w:val="Autor"/>
                  <w:id w:val="13406928"/>
                  <w:placeholder>
                    <w:docPart w:val="904954C91BF14DC2B5DDB510EDE03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39F23C32" w14:textId="25EC15E7" w:rsidR="00406E86" w:rsidRDefault="00406E86" w:rsidP="00406E86">
                    <w:pPr>
                      <w:pStyle w:val="Sinespaciado"/>
                      <w:jc w:val="center"/>
                      <w:rPr>
                        <w:color w:val="4F81BD" w:themeColor="accent1"/>
                        <w:sz w:val="28"/>
                        <w:szCs w:val="28"/>
                      </w:rPr>
                    </w:pPr>
                    <w:r w:rsidRPr="00406E86">
                      <w:rPr>
                        <w:color w:val="4F81BD" w:themeColor="accent1"/>
                        <w:sz w:val="40"/>
                        <w:szCs w:val="40"/>
                      </w:rPr>
                      <w:t>Ministerio de Finanzas Públicas, Dirección de Transparencia Fiscal</w:t>
                    </w:r>
                  </w:p>
                </w:sdtContent>
              </w:sdt>
              <w:p w14:paraId="0FE9ECF2" w14:textId="7E7CF318" w:rsidR="00406E86" w:rsidRDefault="00406E86" w:rsidP="00406E86">
                <w:pPr>
                  <w:pStyle w:val="Sinespaciado"/>
                  <w:jc w:val="center"/>
                  <w:rPr>
                    <w:color w:val="4F81BD" w:themeColor="accent1"/>
                  </w:rPr>
                </w:pPr>
                <w:r w:rsidRPr="00406E86">
                  <w:rPr>
                    <w:color w:val="4F81BD" w:themeColor="accent1"/>
                    <w:sz w:val="32"/>
                    <w:szCs w:val="32"/>
                  </w:rPr>
                  <w:t>Enero de 2023</w:t>
                </w:r>
              </w:p>
            </w:tc>
          </w:tr>
        </w:tbl>
        <w:p w14:paraId="4A4851C6" w14:textId="5376001B" w:rsidR="00494716" w:rsidRDefault="00406E86" w:rsidP="00494716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  <w:r w:rsidRPr="00DC14F0"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  <w:drawing>
              <wp:inline distT="0" distB="0" distL="0" distR="0" wp14:anchorId="0F9242AA" wp14:editId="79142941">
                <wp:extent cx="3533885" cy="1395536"/>
                <wp:effectExtent l="19050" t="0" r="9415" b="0"/>
                <wp:docPr id="8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13 Imagen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36" t="2305" r="27712" b="867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3885" cy="13955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EEEA37" w14:textId="1214551E" w:rsidR="00494716" w:rsidRDefault="00494716" w:rsidP="00494716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</w:p>
        <w:p w14:paraId="31121699" w14:textId="1DF9B5FD" w:rsidR="00494716" w:rsidRDefault="00494716" w:rsidP="00494716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</w:p>
        <w:p w14:paraId="0FC76C8D" w14:textId="709C1531" w:rsidR="00494716" w:rsidRDefault="00494716" w:rsidP="00494716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</w:p>
        <w:p w14:paraId="2EE5ECF1" w14:textId="45BFA202" w:rsidR="00494716" w:rsidRDefault="00494716" w:rsidP="00494716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</w:p>
        <w:p w14:paraId="63B6F300" w14:textId="7C9543C1" w:rsidR="00494716" w:rsidRDefault="00494716" w:rsidP="00494716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</w:p>
        <w:p w14:paraId="05552D84" w14:textId="77777777" w:rsidR="00494716" w:rsidRDefault="00494716" w:rsidP="00494716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</w:p>
        <w:p w14:paraId="5BAAB92E" w14:textId="3F8EF63F" w:rsidR="00494716" w:rsidRDefault="00494716" w:rsidP="00494716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</w:p>
        <w:p w14:paraId="6A89B53D" w14:textId="3FFAC3A5" w:rsidR="00494716" w:rsidRDefault="00494716" w:rsidP="00494716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</w:p>
        <w:p w14:paraId="12306CA8" w14:textId="77777777" w:rsidR="00494716" w:rsidRDefault="00494716" w:rsidP="00494716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</w:p>
        <w:p w14:paraId="793754FF" w14:textId="5C8736A5" w:rsidR="00406E86" w:rsidRDefault="006E7BE3" w:rsidP="00406E86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  <w:lang w:eastAsia="es-ES"/>
            </w:rPr>
          </w:pPr>
        </w:p>
      </w:sdtContent>
    </w:sdt>
    <w:p w14:paraId="7EFB0217" w14:textId="45ACCA60" w:rsidR="00820CDF" w:rsidRDefault="00820CDF" w:rsidP="002365DF">
      <w:pPr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14:paraId="7E8C3ADE" w14:textId="77777777" w:rsidR="00820CDF" w:rsidRDefault="00820CDF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64BB4311" w14:textId="77777777" w:rsidR="00820CDF" w:rsidRDefault="00820CDF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2165CC7" w14:textId="06BE0305" w:rsidR="00820CDF" w:rsidRPr="00F33626" w:rsidRDefault="00820CDF" w:rsidP="00820C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EF1F25D" w14:textId="77777777" w:rsidR="00820CDF" w:rsidRDefault="00820CDF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22EBE335" w14:textId="77777777" w:rsidR="00820CDF" w:rsidRDefault="00820CDF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1901DCF" w14:textId="2DE35EF1" w:rsidR="002E2729" w:rsidRDefault="002E272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0D48243" w14:textId="77777777" w:rsidR="00820CDF" w:rsidRDefault="00820CDF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br w:type="page"/>
      </w:r>
    </w:p>
    <w:p w14:paraId="33962C1E" w14:textId="77777777" w:rsidR="00EA4B93" w:rsidRPr="00674F69" w:rsidRDefault="00EA4B93" w:rsidP="002C289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23274455" w14:textId="77777777" w:rsidR="004A0185" w:rsidRPr="00BC6DF9" w:rsidRDefault="00EA4B93" w:rsidP="00EA4B9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BC6DF9">
        <w:rPr>
          <w:rFonts w:ascii="Tahoma" w:hAnsi="Tahoma" w:cs="Tahoma"/>
          <w:b/>
          <w:sz w:val="28"/>
          <w:szCs w:val="28"/>
          <w:lang w:val="es-MX"/>
        </w:rPr>
        <w:t xml:space="preserve">Artículo 32 Bis </w:t>
      </w:r>
      <w:r w:rsidR="001F18CE" w:rsidRPr="00BC6DF9">
        <w:rPr>
          <w:rFonts w:ascii="Tahoma" w:hAnsi="Tahoma" w:cs="Tahoma"/>
          <w:b/>
          <w:sz w:val="28"/>
          <w:szCs w:val="28"/>
          <w:lang w:val="es-MX"/>
        </w:rPr>
        <w:t>del Decreto No. 101-97,</w:t>
      </w:r>
    </w:p>
    <w:p w14:paraId="347524A8" w14:textId="77777777" w:rsidR="00EA4B93" w:rsidRPr="00CD7085" w:rsidRDefault="00EA4B93" w:rsidP="00EA4B93">
      <w:pPr>
        <w:spacing w:after="0" w:line="240" w:lineRule="auto"/>
        <w:jc w:val="center"/>
        <w:rPr>
          <w:rFonts w:cs="Times New Roman"/>
          <w:b/>
          <w:sz w:val="28"/>
          <w:szCs w:val="28"/>
          <w:lang w:val="es-MX"/>
        </w:rPr>
      </w:pPr>
      <w:r w:rsidRPr="00BC6DF9">
        <w:rPr>
          <w:rFonts w:ascii="Tahoma" w:hAnsi="Tahoma" w:cs="Tahoma"/>
          <w:b/>
          <w:sz w:val="28"/>
          <w:szCs w:val="28"/>
          <w:lang w:val="es-MX"/>
        </w:rPr>
        <w:t>Ley Orgánica del Presupuesto</w:t>
      </w:r>
      <w:r w:rsidR="001F18CE" w:rsidRPr="00CD7085">
        <w:rPr>
          <w:rStyle w:val="Refdenotaalpie"/>
          <w:rFonts w:cs="Tahoma"/>
          <w:b/>
          <w:sz w:val="28"/>
          <w:szCs w:val="28"/>
          <w:lang w:val="es-MX"/>
        </w:rPr>
        <w:footnoteReference w:id="1"/>
      </w:r>
    </w:p>
    <w:p w14:paraId="0D0C0837" w14:textId="77777777" w:rsidR="004A0185" w:rsidRPr="00BC6DF9" w:rsidRDefault="004A0185" w:rsidP="00EA4B93">
      <w:pPr>
        <w:spacing w:after="0" w:line="240" w:lineRule="auto"/>
        <w:jc w:val="center"/>
        <w:rPr>
          <w:rFonts w:cs="Tahoma"/>
          <w:b/>
          <w:sz w:val="28"/>
          <w:szCs w:val="28"/>
          <w:lang w:val="es-MX"/>
        </w:rPr>
      </w:pPr>
    </w:p>
    <w:p w14:paraId="21A3EEE3" w14:textId="117CB6D0" w:rsidR="00E724BC" w:rsidRPr="00BC6DF9" w:rsidRDefault="00E724BC" w:rsidP="003E3173">
      <w:pPr>
        <w:jc w:val="both"/>
        <w:rPr>
          <w:rFonts w:cs="Tahoma"/>
          <w:sz w:val="24"/>
          <w:szCs w:val="24"/>
        </w:rPr>
      </w:pPr>
      <w:r w:rsidRPr="00380048">
        <w:rPr>
          <w:rFonts w:cs="Tahoma"/>
          <w:b/>
          <w:sz w:val="28"/>
          <w:szCs w:val="24"/>
        </w:rPr>
        <w:t>Artículo 32 Bis</w:t>
      </w:r>
      <w:r w:rsidRPr="00BC6DF9">
        <w:rPr>
          <w:rFonts w:cs="Tahoma"/>
          <w:b/>
          <w:sz w:val="24"/>
          <w:szCs w:val="24"/>
        </w:rPr>
        <w:t xml:space="preserve">. Información de </w:t>
      </w:r>
      <w:r w:rsidR="004452E4">
        <w:rPr>
          <w:rFonts w:cs="Tahoma"/>
          <w:b/>
          <w:sz w:val="24"/>
          <w:szCs w:val="24"/>
        </w:rPr>
        <w:t>E</w:t>
      </w:r>
      <w:r w:rsidRPr="00BC6DF9">
        <w:rPr>
          <w:rFonts w:cs="Tahoma"/>
          <w:b/>
          <w:sz w:val="24"/>
          <w:szCs w:val="24"/>
        </w:rPr>
        <w:t>ntidades Receptoras de Transferencias</w:t>
      </w:r>
      <w:r w:rsidRPr="00BC6DF9">
        <w:rPr>
          <w:rFonts w:cs="Tahoma"/>
          <w:sz w:val="24"/>
          <w:szCs w:val="24"/>
        </w:rPr>
        <w:t xml:space="preserve">. </w:t>
      </w:r>
      <w:r w:rsidRPr="00BC6DF9">
        <w:rPr>
          <w:rFonts w:cs="Tahoma"/>
          <w:b/>
          <w:sz w:val="24"/>
          <w:szCs w:val="24"/>
          <w:u w:val="single"/>
        </w:rPr>
        <w:t>Los recursos públicos que se trasladen en calidad de aportes al sector privado y al sector externo</w:t>
      </w:r>
      <w:r w:rsidRPr="00BC6DF9">
        <w:rPr>
          <w:rFonts w:cs="Tahoma"/>
          <w:sz w:val="24"/>
          <w:szCs w:val="24"/>
        </w:rPr>
        <w:t>, se realizarán bajo responsabilidad de las entidades de la administración central, empresas públicas, entidades autónomas y descentralizadas otorgantes. Dichas entidades deberán registrar en el Sistema de Contabilidad Integrada (SICOIN), la información siguiente:</w:t>
      </w:r>
    </w:p>
    <w:p w14:paraId="29104A31" w14:textId="77777777" w:rsidR="00E724BC" w:rsidRPr="00BC6DF9" w:rsidRDefault="00E724BC" w:rsidP="003E3173">
      <w:pPr>
        <w:pStyle w:val="Prrafodelista"/>
        <w:numPr>
          <w:ilvl w:val="0"/>
          <w:numId w:val="24"/>
        </w:numPr>
        <w:jc w:val="both"/>
        <w:rPr>
          <w:rFonts w:cs="Tahoma"/>
          <w:sz w:val="24"/>
          <w:szCs w:val="24"/>
          <w:lang w:val="es-ES"/>
        </w:rPr>
      </w:pPr>
      <w:r w:rsidRPr="00BC6DF9">
        <w:rPr>
          <w:rFonts w:cs="Tahoma"/>
          <w:sz w:val="24"/>
          <w:szCs w:val="24"/>
          <w:lang w:val="es-ES"/>
        </w:rPr>
        <w:t>Nombre o razón social, nombre del representante legal y Número de Identificación Tributaria (NIT);</w:t>
      </w:r>
    </w:p>
    <w:p w14:paraId="70FAF777" w14:textId="77777777" w:rsidR="00E724BC" w:rsidRPr="00BC6DF9" w:rsidRDefault="00E724BC" w:rsidP="003E3173">
      <w:pPr>
        <w:pStyle w:val="Prrafodelista"/>
        <w:numPr>
          <w:ilvl w:val="0"/>
          <w:numId w:val="24"/>
        </w:numPr>
        <w:jc w:val="both"/>
        <w:rPr>
          <w:rFonts w:cs="Tahoma"/>
          <w:sz w:val="24"/>
          <w:szCs w:val="24"/>
          <w:lang w:val="es-ES"/>
        </w:rPr>
      </w:pPr>
      <w:r w:rsidRPr="00BC6DF9">
        <w:rPr>
          <w:rFonts w:cs="Tahoma"/>
          <w:sz w:val="24"/>
          <w:szCs w:val="24"/>
          <w:lang w:val="es-ES"/>
        </w:rPr>
        <w:t>Número y fecha del convenio que ampara el traslado de recursos;</w:t>
      </w:r>
    </w:p>
    <w:p w14:paraId="66F47CE0" w14:textId="77777777" w:rsidR="00E724BC" w:rsidRPr="00BC6DF9" w:rsidRDefault="00E724BC" w:rsidP="003E3173">
      <w:pPr>
        <w:pStyle w:val="Prrafodelista"/>
        <w:numPr>
          <w:ilvl w:val="0"/>
          <w:numId w:val="24"/>
        </w:numPr>
        <w:jc w:val="both"/>
        <w:rPr>
          <w:rFonts w:cs="Tahoma"/>
          <w:sz w:val="24"/>
          <w:szCs w:val="24"/>
          <w:lang w:val="es-ES"/>
        </w:rPr>
      </w:pPr>
      <w:r w:rsidRPr="00BC6DF9">
        <w:rPr>
          <w:rFonts w:cs="Tahoma"/>
          <w:sz w:val="24"/>
          <w:szCs w:val="24"/>
          <w:lang w:val="es-ES"/>
        </w:rPr>
        <w:t>Monto de la transferencia;</w:t>
      </w:r>
    </w:p>
    <w:p w14:paraId="4C6785E6" w14:textId="77777777" w:rsidR="00E724BC" w:rsidRPr="00BC6DF9" w:rsidRDefault="00E724BC" w:rsidP="003E3173">
      <w:pPr>
        <w:pStyle w:val="Prrafodelista"/>
        <w:numPr>
          <w:ilvl w:val="0"/>
          <w:numId w:val="24"/>
        </w:numPr>
        <w:jc w:val="both"/>
        <w:rPr>
          <w:rFonts w:cs="Tahoma"/>
          <w:sz w:val="24"/>
          <w:szCs w:val="24"/>
          <w:lang w:val="es-ES"/>
        </w:rPr>
      </w:pPr>
      <w:r w:rsidRPr="00BC6DF9">
        <w:rPr>
          <w:rFonts w:cs="Tahoma"/>
          <w:sz w:val="24"/>
          <w:szCs w:val="24"/>
          <w:lang w:val="es-ES"/>
        </w:rPr>
        <w:t>Objetivos, metas e indicadores de resultados; y</w:t>
      </w:r>
    </w:p>
    <w:p w14:paraId="3A88B14E" w14:textId="77777777" w:rsidR="00E724BC" w:rsidRDefault="00E724BC" w:rsidP="003E3173">
      <w:pPr>
        <w:pStyle w:val="Prrafodelista"/>
        <w:numPr>
          <w:ilvl w:val="0"/>
          <w:numId w:val="24"/>
        </w:numPr>
        <w:jc w:val="both"/>
        <w:rPr>
          <w:rFonts w:cs="Tahoma"/>
          <w:sz w:val="24"/>
          <w:szCs w:val="24"/>
          <w:lang w:val="es-ES"/>
        </w:rPr>
      </w:pPr>
      <w:r w:rsidRPr="00BC6DF9">
        <w:rPr>
          <w:rFonts w:cs="Tahoma"/>
          <w:sz w:val="24"/>
          <w:szCs w:val="24"/>
          <w:lang w:val="es-ES"/>
        </w:rPr>
        <w:t>Número y fecha de la resolución por medio de la cual se aprueba la programación y reprogramaciones.</w:t>
      </w:r>
    </w:p>
    <w:p w14:paraId="2906D4A1" w14:textId="77777777" w:rsidR="000D654E" w:rsidRPr="00BC6DF9" w:rsidRDefault="000D654E" w:rsidP="000D654E">
      <w:pPr>
        <w:pStyle w:val="Prrafodelista"/>
        <w:jc w:val="both"/>
        <w:rPr>
          <w:rFonts w:cs="Tahoma"/>
          <w:sz w:val="24"/>
          <w:szCs w:val="24"/>
          <w:lang w:val="es-ES"/>
        </w:rPr>
      </w:pPr>
    </w:p>
    <w:p w14:paraId="0617EF6C" w14:textId="77777777" w:rsidR="00E724BC" w:rsidRDefault="00E724BC" w:rsidP="000D654E">
      <w:pPr>
        <w:spacing w:after="0"/>
        <w:jc w:val="both"/>
        <w:rPr>
          <w:rFonts w:cs="Tahoma"/>
          <w:sz w:val="24"/>
          <w:szCs w:val="24"/>
        </w:rPr>
      </w:pPr>
      <w:r w:rsidRPr="00BC6DF9">
        <w:rPr>
          <w:rFonts w:cs="Tahoma"/>
          <w:sz w:val="24"/>
          <w:szCs w:val="24"/>
        </w:rPr>
        <w:t>La programación deberá registrarse a más tardar el treinta y uno (31) de enero del ejercicio fiscal en curso.</w:t>
      </w:r>
    </w:p>
    <w:p w14:paraId="5F48A7EC" w14:textId="77777777" w:rsidR="000D654E" w:rsidRDefault="000D654E" w:rsidP="000D654E">
      <w:pPr>
        <w:spacing w:after="0"/>
        <w:jc w:val="both"/>
        <w:rPr>
          <w:rFonts w:cs="Tahoma"/>
          <w:sz w:val="24"/>
          <w:szCs w:val="24"/>
        </w:rPr>
      </w:pPr>
    </w:p>
    <w:p w14:paraId="015EF097" w14:textId="77777777" w:rsidR="00BC6DF9" w:rsidRDefault="00E724BC" w:rsidP="000D654E">
      <w:pPr>
        <w:spacing w:after="0"/>
        <w:jc w:val="both"/>
        <w:rPr>
          <w:rFonts w:cs="Tahoma"/>
          <w:sz w:val="24"/>
          <w:szCs w:val="24"/>
        </w:rPr>
      </w:pPr>
      <w:r w:rsidRPr="00BC6DF9">
        <w:rPr>
          <w:rFonts w:cs="Tahoma"/>
          <w:sz w:val="24"/>
          <w:szCs w:val="24"/>
        </w:rPr>
        <w:t>Las reprogramaciones que surjan en la ejecución deben ser notificadas a la Dirección Técnica del Presupuesto del Ministerio de Finanzas Públicas, a</w:t>
      </w:r>
      <w:r w:rsidR="00EE19DB" w:rsidRPr="00BC6DF9">
        <w:rPr>
          <w:rFonts w:cs="Tahoma"/>
          <w:sz w:val="24"/>
          <w:szCs w:val="24"/>
        </w:rPr>
        <w:t>l</w:t>
      </w:r>
      <w:r w:rsidRPr="00BC6DF9">
        <w:rPr>
          <w:rFonts w:cs="Tahoma"/>
          <w:sz w:val="24"/>
          <w:szCs w:val="24"/>
        </w:rPr>
        <w:t xml:space="preserve"> Congreso de la República y a la Contraloría General de Cuentas dentro de los diez (10) días de haberse emitido la resolución que las autorizó.  </w:t>
      </w:r>
      <w:r w:rsidRPr="00BC6DF9">
        <w:rPr>
          <w:rFonts w:cs="Tahoma"/>
          <w:b/>
          <w:sz w:val="24"/>
          <w:szCs w:val="24"/>
          <w:u w:val="single"/>
        </w:rPr>
        <w:t>Asimismo, las entidades receptoras de fondos públicos deben presentar mensualmente a la Contraloría General de Cuentas, al Congreso de la República y al Ministerio de Finanzas Públicas, informes de avance físico y financiero de la ejecución de los recursos, así como de los objetivos, metas alcanzadas y población beneficiada, de acuerdo al formato establecido</w:t>
      </w:r>
      <w:r w:rsidR="002F6ECD">
        <w:rPr>
          <w:rFonts w:cs="Tahoma"/>
          <w:sz w:val="24"/>
          <w:szCs w:val="24"/>
        </w:rPr>
        <w:t>.</w:t>
      </w:r>
    </w:p>
    <w:p w14:paraId="32407AE4" w14:textId="77777777" w:rsidR="000D654E" w:rsidRDefault="000D654E" w:rsidP="000D654E">
      <w:pPr>
        <w:spacing w:after="0"/>
        <w:jc w:val="both"/>
        <w:rPr>
          <w:rFonts w:cs="Tahoma"/>
          <w:sz w:val="24"/>
          <w:szCs w:val="24"/>
        </w:rPr>
      </w:pPr>
    </w:p>
    <w:p w14:paraId="6EB752D8" w14:textId="15165229" w:rsidR="009C49D2" w:rsidRDefault="009C49D2" w:rsidP="000D654E">
      <w:pPr>
        <w:spacing w:after="0"/>
        <w:jc w:val="both"/>
        <w:rPr>
          <w:rFonts w:cs="Tahoma"/>
          <w:sz w:val="24"/>
          <w:szCs w:val="24"/>
        </w:rPr>
      </w:pPr>
      <w:r w:rsidRPr="009C49D2">
        <w:rPr>
          <w:rFonts w:cs="Tahoma"/>
          <w:sz w:val="24"/>
          <w:szCs w:val="24"/>
        </w:rPr>
        <w:t xml:space="preserve">Las operaciones con entidades receptoras de transferencias incluyen </w:t>
      </w:r>
      <w:r>
        <w:rPr>
          <w:rFonts w:cs="Tahoma"/>
          <w:sz w:val="24"/>
          <w:szCs w:val="24"/>
        </w:rPr>
        <w:t xml:space="preserve">los aportes de las Organizaciones de Padres de Familia </w:t>
      </w:r>
      <w:r w:rsidR="004452E4">
        <w:rPr>
          <w:rFonts w:cs="Tahoma"/>
          <w:sz w:val="24"/>
          <w:szCs w:val="24"/>
        </w:rPr>
        <w:t>-</w:t>
      </w:r>
      <w:r>
        <w:rPr>
          <w:rFonts w:cs="Tahoma"/>
          <w:sz w:val="24"/>
          <w:szCs w:val="24"/>
        </w:rPr>
        <w:t xml:space="preserve">OPF-, Comités y Consejos </w:t>
      </w:r>
      <w:r w:rsidR="002C2894">
        <w:rPr>
          <w:rFonts w:cs="Tahoma"/>
          <w:sz w:val="24"/>
          <w:szCs w:val="24"/>
        </w:rPr>
        <w:t>Educativos</w:t>
      </w:r>
      <w:r>
        <w:rPr>
          <w:rFonts w:cs="Tahoma"/>
          <w:sz w:val="24"/>
          <w:szCs w:val="24"/>
        </w:rPr>
        <w:t xml:space="preserve"> y Juntas Escolares del Ministerio de Educación, para los programas de apoyo escolar; las subvenciones y subsidios otorgadas a los centros educativos privados gratuitos así como las </w:t>
      </w:r>
      <w:r>
        <w:rPr>
          <w:rFonts w:cs="Tahoma"/>
          <w:sz w:val="24"/>
          <w:szCs w:val="24"/>
        </w:rPr>
        <w:lastRenderedPageBreak/>
        <w:t>organizaciones que realizan labores sociales y de asistencia humanitaria mediante aportes específicos, autorizados previamente por el Congreso de la República.</w:t>
      </w:r>
    </w:p>
    <w:p w14:paraId="09F221E5" w14:textId="77777777" w:rsidR="000D654E" w:rsidRDefault="000D654E" w:rsidP="000D654E">
      <w:pPr>
        <w:spacing w:after="0"/>
        <w:jc w:val="both"/>
        <w:rPr>
          <w:rFonts w:cs="Tahoma"/>
          <w:sz w:val="24"/>
          <w:szCs w:val="24"/>
        </w:rPr>
      </w:pPr>
    </w:p>
    <w:p w14:paraId="290AFBF9" w14:textId="28CFF6B7" w:rsidR="009C49D2" w:rsidRDefault="009C49D2" w:rsidP="000D654E">
      <w:pPr>
        <w:spacing w:after="0"/>
        <w:jc w:val="both"/>
        <w:rPr>
          <w:rFonts w:cs="Tahoma"/>
          <w:sz w:val="24"/>
          <w:szCs w:val="24"/>
        </w:rPr>
      </w:pPr>
      <w:r w:rsidRPr="009C49D2">
        <w:rPr>
          <w:rFonts w:cs="Tahoma"/>
          <w:b/>
          <w:sz w:val="24"/>
          <w:szCs w:val="24"/>
          <w:u w:val="single"/>
        </w:rPr>
        <w:t xml:space="preserve">Se exceptúa de la presentación de los informes de avance financiero de la ejecución de los recursos, a las Organizaciones de Padres de Familia </w:t>
      </w:r>
      <w:r w:rsidR="004A3813">
        <w:rPr>
          <w:rFonts w:cs="Tahoma"/>
          <w:b/>
          <w:sz w:val="24"/>
          <w:szCs w:val="24"/>
          <w:u w:val="single"/>
        </w:rPr>
        <w:t>-</w:t>
      </w:r>
      <w:r w:rsidRPr="009C49D2">
        <w:rPr>
          <w:rFonts w:cs="Tahoma"/>
          <w:b/>
          <w:sz w:val="24"/>
          <w:szCs w:val="24"/>
          <w:u w:val="single"/>
        </w:rPr>
        <w:t>OPF- del Ministerio de Educación</w:t>
      </w:r>
      <w:r>
        <w:rPr>
          <w:rFonts w:cs="Tahoma"/>
          <w:sz w:val="24"/>
          <w:szCs w:val="24"/>
        </w:rPr>
        <w:t>.</w:t>
      </w:r>
      <w:r w:rsidR="005B310F">
        <w:rPr>
          <w:rStyle w:val="Refdenotaalpie"/>
          <w:rFonts w:cs="Tahoma"/>
          <w:sz w:val="24"/>
          <w:szCs w:val="24"/>
        </w:rPr>
        <w:footnoteReference w:id="2"/>
      </w:r>
    </w:p>
    <w:p w14:paraId="257158A0" w14:textId="77777777" w:rsidR="000D654E" w:rsidRPr="009C49D2" w:rsidRDefault="000D654E" w:rsidP="000D654E">
      <w:pPr>
        <w:spacing w:after="0"/>
        <w:jc w:val="both"/>
        <w:rPr>
          <w:rFonts w:cs="Tahoma"/>
          <w:sz w:val="24"/>
          <w:szCs w:val="24"/>
        </w:rPr>
      </w:pPr>
    </w:p>
    <w:p w14:paraId="0861AB73" w14:textId="77777777" w:rsidR="00240405" w:rsidRDefault="00240405" w:rsidP="003E3173">
      <w:pPr>
        <w:jc w:val="both"/>
        <w:rPr>
          <w:rFonts w:cs="Tahoma"/>
          <w:sz w:val="24"/>
          <w:szCs w:val="24"/>
        </w:rPr>
      </w:pPr>
    </w:p>
    <w:p w14:paraId="25FB0C88" w14:textId="77777777" w:rsidR="00EA4B93" w:rsidRDefault="00BC6DF9" w:rsidP="003E3173">
      <w:pPr>
        <w:jc w:val="both"/>
        <w:rPr>
          <w:rFonts w:cs="Tahoma"/>
          <w:sz w:val="24"/>
          <w:szCs w:val="24"/>
        </w:rPr>
      </w:pPr>
      <w:r w:rsidRPr="00BC6DF9">
        <w:rPr>
          <w:rFonts w:cs="Tahoma"/>
          <w:sz w:val="24"/>
          <w:szCs w:val="24"/>
        </w:rPr>
        <w:t>(Énfasis propio)</w:t>
      </w:r>
    </w:p>
    <w:p w14:paraId="2B1C8843" w14:textId="77777777" w:rsidR="000D654E" w:rsidRDefault="000D654E" w:rsidP="003E3173">
      <w:pPr>
        <w:jc w:val="both"/>
        <w:rPr>
          <w:rFonts w:cs="Tahoma"/>
          <w:sz w:val="24"/>
          <w:szCs w:val="24"/>
        </w:rPr>
      </w:pPr>
    </w:p>
    <w:p w14:paraId="00A4376E" w14:textId="2034220C" w:rsidR="00716AFE" w:rsidRPr="00BC6DF9" w:rsidRDefault="00403F2B" w:rsidP="00716AFE">
      <w:pPr>
        <w:tabs>
          <w:tab w:val="left" w:pos="3331"/>
        </w:tabs>
        <w:jc w:val="both"/>
        <w:rPr>
          <w:rFonts w:cs="Tahoma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C5C6A" wp14:editId="6335C0D9">
                <wp:simplePos x="0" y="0"/>
                <wp:positionH relativeFrom="column">
                  <wp:posOffset>-176530</wp:posOffset>
                </wp:positionH>
                <wp:positionV relativeFrom="paragraph">
                  <wp:posOffset>217805</wp:posOffset>
                </wp:positionV>
                <wp:extent cx="5867400" cy="0"/>
                <wp:effectExtent l="103505" t="101600" r="20320" b="222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72E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3.9pt;margin-top:17.15pt;width:46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" strokecolor="#f2f2f2 [3041]" strokeweight="3pt">
                <v:shadow on="t" color="#7f7f7f [1601]" opacity=".5" offset="-6pt,-6pt"/>
              </v:shape>
            </w:pict>
          </mc:Fallback>
        </mc:AlternateContent>
      </w:r>
    </w:p>
    <w:p w14:paraId="36EF1635" w14:textId="77777777" w:rsidR="00EA4B93" w:rsidRDefault="00EA4B93" w:rsidP="003E3173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E724BC">
        <w:rPr>
          <w:rFonts w:ascii="Times New Roman" w:hAnsi="Times New Roman" w:cs="Times New Roman"/>
          <w:sz w:val="24"/>
          <w:szCs w:val="24"/>
        </w:rPr>
        <w:br w:type="page"/>
      </w:r>
    </w:p>
    <w:p w14:paraId="0D33BF48" w14:textId="77777777" w:rsidR="00674F69" w:rsidRPr="00F33626" w:rsidRDefault="00674F69" w:rsidP="00674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53DEBCD" w14:textId="1E9EC8C6" w:rsidR="00635F85" w:rsidRPr="00E334B1" w:rsidRDefault="00635F85" w:rsidP="00635F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E334B1">
        <w:rPr>
          <w:rFonts w:ascii="Tahoma" w:hAnsi="Tahoma" w:cs="Tahoma"/>
          <w:b/>
          <w:sz w:val="28"/>
          <w:szCs w:val="28"/>
          <w:lang w:val="es-MX"/>
        </w:rPr>
        <w:t>Artículo</w:t>
      </w:r>
      <w:r w:rsidR="00C90B50" w:rsidRPr="00E334B1">
        <w:rPr>
          <w:rFonts w:ascii="Tahoma" w:hAnsi="Tahoma" w:cs="Tahoma"/>
          <w:b/>
          <w:sz w:val="28"/>
          <w:szCs w:val="28"/>
          <w:lang w:val="es-MX"/>
        </w:rPr>
        <w:t>s</w:t>
      </w:r>
      <w:r w:rsidRPr="00E334B1">
        <w:rPr>
          <w:rFonts w:ascii="Tahoma" w:hAnsi="Tahoma" w:cs="Tahoma"/>
          <w:b/>
          <w:sz w:val="28"/>
          <w:szCs w:val="28"/>
          <w:lang w:val="es-MX"/>
        </w:rPr>
        <w:t xml:space="preserve"> </w:t>
      </w:r>
      <w:r w:rsidR="00A07AEF" w:rsidRPr="00E334B1">
        <w:rPr>
          <w:rFonts w:ascii="Tahoma" w:hAnsi="Tahoma" w:cs="Tahoma"/>
          <w:b/>
          <w:sz w:val="28"/>
          <w:szCs w:val="28"/>
          <w:lang w:val="es-MX"/>
        </w:rPr>
        <w:t>12,</w:t>
      </w:r>
      <w:r w:rsidR="007127B1" w:rsidRPr="00E334B1">
        <w:rPr>
          <w:rFonts w:ascii="Tahoma" w:hAnsi="Tahoma" w:cs="Tahoma"/>
          <w:b/>
          <w:sz w:val="28"/>
          <w:szCs w:val="28"/>
          <w:lang w:val="es-MX"/>
        </w:rPr>
        <w:t xml:space="preserve"> 13, 15</w:t>
      </w:r>
      <w:r w:rsidR="00095AD8" w:rsidRPr="00E334B1">
        <w:rPr>
          <w:rFonts w:ascii="Tahoma" w:hAnsi="Tahoma" w:cs="Tahoma"/>
          <w:b/>
          <w:sz w:val="28"/>
          <w:szCs w:val="28"/>
          <w:lang w:val="es-MX"/>
        </w:rPr>
        <w:t xml:space="preserve">, </w:t>
      </w:r>
      <w:r w:rsidR="007127B1" w:rsidRPr="00E334B1">
        <w:rPr>
          <w:rFonts w:ascii="Tahoma" w:hAnsi="Tahoma" w:cs="Tahoma"/>
          <w:b/>
          <w:sz w:val="28"/>
          <w:szCs w:val="28"/>
          <w:lang w:val="es-MX"/>
        </w:rPr>
        <w:t>3</w:t>
      </w:r>
      <w:r w:rsidR="00436C64" w:rsidRPr="00E334B1">
        <w:rPr>
          <w:rFonts w:ascii="Tahoma" w:hAnsi="Tahoma" w:cs="Tahoma"/>
          <w:b/>
          <w:sz w:val="28"/>
          <w:szCs w:val="28"/>
          <w:lang w:val="es-MX"/>
        </w:rPr>
        <w:t>2</w:t>
      </w:r>
      <w:r w:rsidR="00095AD8" w:rsidRPr="00E334B1">
        <w:rPr>
          <w:rFonts w:ascii="Tahoma" w:hAnsi="Tahoma" w:cs="Tahoma"/>
          <w:b/>
          <w:sz w:val="28"/>
          <w:szCs w:val="28"/>
          <w:lang w:val="es-MX"/>
        </w:rPr>
        <w:t xml:space="preserve"> y 48</w:t>
      </w:r>
      <w:r w:rsidR="00A07AEF" w:rsidRPr="00E334B1">
        <w:rPr>
          <w:rFonts w:ascii="Tahoma" w:hAnsi="Tahoma" w:cs="Tahoma"/>
          <w:b/>
          <w:sz w:val="28"/>
          <w:szCs w:val="28"/>
          <w:lang w:val="es-MX"/>
        </w:rPr>
        <w:t xml:space="preserve"> </w:t>
      </w:r>
      <w:r w:rsidRPr="00E334B1">
        <w:rPr>
          <w:rFonts w:ascii="Tahoma" w:hAnsi="Tahoma" w:cs="Tahoma"/>
          <w:b/>
          <w:sz w:val="28"/>
          <w:szCs w:val="28"/>
          <w:lang w:val="es-MX"/>
        </w:rPr>
        <w:t>del Decreto No.</w:t>
      </w:r>
      <w:r w:rsidR="009251E0" w:rsidRPr="00E334B1">
        <w:rPr>
          <w:rFonts w:ascii="Tahoma" w:hAnsi="Tahoma" w:cs="Tahoma"/>
          <w:b/>
          <w:sz w:val="28"/>
          <w:szCs w:val="28"/>
          <w:lang w:val="es-MX"/>
        </w:rPr>
        <w:t>54-2022</w:t>
      </w:r>
      <w:r w:rsidRPr="00E334B1">
        <w:rPr>
          <w:rFonts w:ascii="Tahoma" w:hAnsi="Tahoma" w:cs="Tahoma"/>
          <w:b/>
          <w:sz w:val="28"/>
          <w:szCs w:val="28"/>
          <w:lang w:val="es-MX"/>
        </w:rPr>
        <w:t xml:space="preserve">, </w:t>
      </w:r>
    </w:p>
    <w:p w14:paraId="038BC542" w14:textId="77777777" w:rsidR="00635F85" w:rsidRDefault="00635F85" w:rsidP="00635F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E334B1">
        <w:rPr>
          <w:rFonts w:ascii="Tahoma" w:hAnsi="Tahoma" w:cs="Tahoma"/>
          <w:b/>
          <w:sz w:val="28"/>
          <w:szCs w:val="28"/>
          <w:lang w:val="es-MX"/>
        </w:rPr>
        <w:t>Ley del Presupuesto</w:t>
      </w:r>
      <w:r w:rsidRPr="00040065">
        <w:rPr>
          <w:rFonts w:ascii="Tahoma" w:hAnsi="Tahoma" w:cs="Tahoma"/>
          <w:b/>
          <w:sz w:val="28"/>
          <w:szCs w:val="28"/>
          <w:lang w:val="es-MX"/>
        </w:rPr>
        <w:t xml:space="preserve"> General de Ingresos y </w:t>
      </w:r>
    </w:p>
    <w:p w14:paraId="241B27C8" w14:textId="479789CA" w:rsidR="00CD7C15" w:rsidRDefault="00635F85" w:rsidP="004413E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040065">
        <w:rPr>
          <w:rFonts w:ascii="Tahoma" w:hAnsi="Tahoma" w:cs="Tahoma"/>
          <w:b/>
          <w:sz w:val="28"/>
          <w:szCs w:val="28"/>
          <w:lang w:val="es-MX"/>
        </w:rPr>
        <w:t>Egresos del Estado</w:t>
      </w:r>
      <w:r w:rsidR="003B3FDB">
        <w:rPr>
          <w:rFonts w:ascii="Tahoma" w:hAnsi="Tahoma" w:cs="Tahoma"/>
          <w:b/>
          <w:sz w:val="28"/>
          <w:szCs w:val="28"/>
          <w:lang w:val="es-MX"/>
        </w:rPr>
        <w:t xml:space="preserve"> </w:t>
      </w:r>
      <w:r w:rsidRPr="00040065">
        <w:rPr>
          <w:rFonts w:ascii="Tahoma" w:hAnsi="Tahoma" w:cs="Tahoma"/>
          <w:b/>
          <w:sz w:val="28"/>
          <w:szCs w:val="28"/>
          <w:lang w:val="es-MX"/>
        </w:rPr>
        <w:t>para el Ejercicio Fiscal 20</w:t>
      </w:r>
      <w:r w:rsidR="004413E2">
        <w:rPr>
          <w:rFonts w:ascii="Tahoma" w:hAnsi="Tahoma" w:cs="Tahoma"/>
          <w:b/>
          <w:sz w:val="28"/>
          <w:szCs w:val="28"/>
          <w:lang w:val="es-MX"/>
        </w:rPr>
        <w:t>2</w:t>
      </w:r>
      <w:r w:rsidR="00D00586">
        <w:rPr>
          <w:rFonts w:ascii="Tahoma" w:hAnsi="Tahoma" w:cs="Tahoma"/>
          <w:b/>
          <w:sz w:val="28"/>
          <w:szCs w:val="28"/>
          <w:lang w:val="es-MX"/>
        </w:rPr>
        <w:t>3</w:t>
      </w:r>
    </w:p>
    <w:p w14:paraId="40D1DCFA" w14:textId="77777777" w:rsidR="00C90B50" w:rsidRDefault="00C90B50" w:rsidP="00C90B5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 w14:paraId="4E173AEF" w14:textId="0CB5D72B" w:rsidR="00635F85" w:rsidRDefault="00C90B50" w:rsidP="00C90B50">
      <w:pPr>
        <w:spacing w:line="240" w:lineRule="auto"/>
        <w:jc w:val="right"/>
        <w:rPr>
          <w:rFonts w:ascii="Calibri" w:hAnsi="Calibri" w:cs="Times New Roman"/>
          <w:sz w:val="24"/>
          <w:szCs w:val="24"/>
          <w:lang w:val="es-MX"/>
        </w:rPr>
      </w:pPr>
      <w:r w:rsidRPr="001E2617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1E2617">
        <w:rPr>
          <w:rFonts w:ascii="Calibri" w:hAnsi="Calibri" w:cs="Times New Roman"/>
          <w:sz w:val="24"/>
          <w:szCs w:val="24"/>
          <w:lang w:val="es-MX"/>
        </w:rPr>
        <w:t xml:space="preserve">Publicado: </w:t>
      </w:r>
      <w:r w:rsidR="00735726">
        <w:rPr>
          <w:rFonts w:ascii="Calibri" w:hAnsi="Calibri" w:cs="Times New Roman"/>
          <w:sz w:val="24"/>
          <w:szCs w:val="24"/>
          <w:lang w:val="es-MX"/>
        </w:rPr>
        <w:t>24-</w:t>
      </w:r>
      <w:proofErr w:type="gramStart"/>
      <w:r w:rsidR="00735726">
        <w:rPr>
          <w:rFonts w:ascii="Calibri" w:hAnsi="Calibri" w:cs="Times New Roman"/>
          <w:sz w:val="24"/>
          <w:szCs w:val="24"/>
          <w:lang w:val="es-MX"/>
        </w:rPr>
        <w:t>Noviembre</w:t>
      </w:r>
      <w:proofErr w:type="gramEnd"/>
      <w:r w:rsidR="00735726">
        <w:rPr>
          <w:rFonts w:ascii="Calibri" w:hAnsi="Calibri" w:cs="Times New Roman"/>
          <w:sz w:val="24"/>
          <w:szCs w:val="24"/>
          <w:lang w:val="es-MX"/>
        </w:rPr>
        <w:t>-2022</w:t>
      </w:r>
      <w:r>
        <w:rPr>
          <w:rFonts w:ascii="Calibri" w:hAnsi="Calibri" w:cs="Times New Roman"/>
          <w:sz w:val="24"/>
          <w:szCs w:val="24"/>
          <w:lang w:val="es-MX"/>
        </w:rPr>
        <w:t>)</w:t>
      </w:r>
    </w:p>
    <w:p w14:paraId="749F6F14" w14:textId="29DF0AA3" w:rsidR="007A20B4" w:rsidRPr="000E7F86" w:rsidRDefault="007A20B4" w:rsidP="007A20B4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E334B1">
        <w:rPr>
          <w:rFonts w:cs="Times New Roman"/>
          <w:b/>
          <w:sz w:val="28"/>
          <w:szCs w:val="24"/>
          <w:lang w:val="es-MX"/>
        </w:rPr>
        <w:t>A</w:t>
      </w:r>
      <w:r w:rsidR="00397034">
        <w:rPr>
          <w:rFonts w:cs="Times New Roman"/>
          <w:b/>
          <w:sz w:val="28"/>
          <w:szCs w:val="24"/>
          <w:lang w:val="es-MX"/>
        </w:rPr>
        <w:t>rtículo</w:t>
      </w:r>
      <w:r w:rsidRPr="00E334B1">
        <w:rPr>
          <w:rFonts w:cs="Times New Roman"/>
          <w:b/>
          <w:sz w:val="28"/>
          <w:szCs w:val="24"/>
          <w:lang w:val="es-MX"/>
        </w:rPr>
        <w:t xml:space="preserve"> 1</w:t>
      </w:r>
      <w:r w:rsidR="00A07AEF" w:rsidRPr="00E334B1">
        <w:rPr>
          <w:rFonts w:cs="Times New Roman"/>
          <w:b/>
          <w:sz w:val="28"/>
          <w:szCs w:val="24"/>
          <w:lang w:val="es-MX"/>
        </w:rPr>
        <w:t>2</w:t>
      </w:r>
      <w:r w:rsidRPr="00E334B1">
        <w:rPr>
          <w:rFonts w:cs="Times New Roman"/>
          <w:b/>
          <w:sz w:val="24"/>
          <w:szCs w:val="24"/>
          <w:lang w:val="es-MX"/>
        </w:rPr>
        <w:t>. Celebración</w:t>
      </w:r>
      <w:r w:rsidRPr="000E7F86">
        <w:rPr>
          <w:rFonts w:cs="Times New Roman"/>
          <w:b/>
          <w:sz w:val="24"/>
          <w:szCs w:val="24"/>
          <w:lang w:val="es-MX"/>
        </w:rPr>
        <w:t xml:space="preserve"> de convenios</w:t>
      </w:r>
      <w:r w:rsidRPr="000E7F86">
        <w:rPr>
          <w:rFonts w:cs="Times New Roman"/>
          <w:sz w:val="24"/>
          <w:szCs w:val="24"/>
          <w:lang w:val="es-MX"/>
        </w:rPr>
        <w:t xml:space="preserve">. A las entidades receptoras de transferencias, autorizadas por el Congreso de la </w:t>
      </w:r>
      <w:r w:rsidR="000E7F86">
        <w:rPr>
          <w:rFonts w:cs="Times New Roman"/>
          <w:sz w:val="24"/>
          <w:szCs w:val="24"/>
          <w:lang w:val="es-MX"/>
        </w:rPr>
        <w:t>R</w:t>
      </w:r>
      <w:r w:rsidRPr="000E7F86">
        <w:rPr>
          <w:rFonts w:cs="Times New Roman"/>
          <w:sz w:val="24"/>
          <w:szCs w:val="24"/>
          <w:lang w:val="es-MX"/>
        </w:rPr>
        <w:t xml:space="preserve">epública en el Presupuesto General de Ingresos y Egresos del Estado para el Ejercicio Fiscal vigente, </w:t>
      </w:r>
      <w:r w:rsidRPr="000D75EB">
        <w:rPr>
          <w:rFonts w:cs="Times New Roman"/>
          <w:b/>
          <w:sz w:val="24"/>
          <w:szCs w:val="24"/>
          <w:u w:val="single"/>
          <w:lang w:val="es-MX"/>
        </w:rPr>
        <w:t xml:space="preserve">les son aplicables las </w:t>
      </w:r>
      <w:r w:rsidR="008E3E5D" w:rsidRPr="000D75EB">
        <w:rPr>
          <w:rFonts w:cs="Times New Roman"/>
          <w:b/>
          <w:sz w:val="24"/>
          <w:szCs w:val="24"/>
          <w:u w:val="single"/>
          <w:lang w:val="es-MX"/>
        </w:rPr>
        <w:t>disposiciones</w:t>
      </w:r>
      <w:r w:rsidRPr="000D75EB">
        <w:rPr>
          <w:rFonts w:cs="Times New Roman"/>
          <w:b/>
          <w:sz w:val="24"/>
          <w:szCs w:val="24"/>
          <w:u w:val="single"/>
          <w:lang w:val="es-MX"/>
        </w:rPr>
        <w:t xml:space="preserve"> establecidas en el artículo 32 Bis del Decreto Número 101-97</w:t>
      </w:r>
      <w:r w:rsidRPr="00803B10">
        <w:rPr>
          <w:rFonts w:cs="Times New Roman"/>
          <w:b/>
          <w:sz w:val="24"/>
          <w:szCs w:val="24"/>
          <w:u w:val="single"/>
          <w:lang w:val="es-MX"/>
        </w:rPr>
        <w:t xml:space="preserve"> del </w:t>
      </w:r>
      <w:r w:rsidR="008E3E5D" w:rsidRPr="00803B10">
        <w:rPr>
          <w:rFonts w:cs="Times New Roman"/>
          <w:b/>
          <w:sz w:val="24"/>
          <w:szCs w:val="24"/>
          <w:u w:val="single"/>
          <w:lang w:val="es-MX"/>
        </w:rPr>
        <w:t>Congreso</w:t>
      </w:r>
      <w:r w:rsidR="00396224" w:rsidRPr="00803B10">
        <w:rPr>
          <w:rFonts w:cs="Times New Roman"/>
          <w:b/>
          <w:sz w:val="24"/>
          <w:szCs w:val="24"/>
          <w:u w:val="single"/>
          <w:lang w:val="es-MX"/>
        </w:rPr>
        <w:t xml:space="preserve"> de la República, L</w:t>
      </w:r>
      <w:r w:rsidRPr="00803B10">
        <w:rPr>
          <w:rFonts w:cs="Times New Roman"/>
          <w:b/>
          <w:sz w:val="24"/>
          <w:szCs w:val="24"/>
          <w:u w:val="single"/>
          <w:lang w:val="es-MX"/>
        </w:rPr>
        <w:t>ey Orgánica del Presupuesto</w:t>
      </w:r>
      <w:r w:rsidRPr="000E7F86">
        <w:rPr>
          <w:rFonts w:cs="Times New Roman"/>
          <w:sz w:val="24"/>
          <w:szCs w:val="24"/>
          <w:lang w:val="es-MX"/>
        </w:rPr>
        <w:t xml:space="preserve">.  Asimismo, en los convenios que se celebren con las entidades receptoras, se estipulará si se trata de fondos destinados a </w:t>
      </w:r>
      <w:r w:rsidR="008E3E5D" w:rsidRPr="000E7F86">
        <w:rPr>
          <w:rFonts w:cs="Times New Roman"/>
          <w:sz w:val="24"/>
          <w:szCs w:val="24"/>
          <w:lang w:val="es-MX"/>
        </w:rPr>
        <w:t>funcionamiento</w:t>
      </w:r>
      <w:r w:rsidRPr="000E7F86">
        <w:rPr>
          <w:rFonts w:cs="Times New Roman"/>
          <w:sz w:val="24"/>
          <w:szCs w:val="24"/>
          <w:lang w:val="es-MX"/>
        </w:rPr>
        <w:t xml:space="preserve"> o inversión, los cuales deberán coadyuvar al logro de los objetivos y metas de la institución que </w:t>
      </w:r>
      <w:r w:rsidR="008E3E5D" w:rsidRPr="000E7F86">
        <w:rPr>
          <w:rFonts w:cs="Times New Roman"/>
          <w:sz w:val="24"/>
          <w:szCs w:val="24"/>
          <w:lang w:val="es-MX"/>
        </w:rPr>
        <w:t>otorga</w:t>
      </w:r>
      <w:r w:rsidRPr="000E7F86">
        <w:rPr>
          <w:rFonts w:cs="Times New Roman"/>
          <w:sz w:val="24"/>
          <w:szCs w:val="24"/>
          <w:lang w:val="es-MX"/>
        </w:rPr>
        <w:t xml:space="preserve"> el aporte </w:t>
      </w:r>
      <w:r w:rsidR="005814F7">
        <w:rPr>
          <w:rFonts w:cs="Times New Roman"/>
          <w:sz w:val="24"/>
          <w:szCs w:val="24"/>
          <w:lang w:val="es-MX"/>
        </w:rPr>
        <w:t xml:space="preserve">y </w:t>
      </w:r>
      <w:r w:rsidRPr="000E7F86">
        <w:rPr>
          <w:rFonts w:cs="Times New Roman"/>
          <w:sz w:val="24"/>
          <w:szCs w:val="24"/>
          <w:lang w:val="es-MX"/>
        </w:rPr>
        <w:t>del ente rector afín a su naturaleza y objeto.  En el caso de la Entidad de Obligaciones del Estado a Cargo del Tesoro, serán las entida</w:t>
      </w:r>
      <w:r w:rsidR="000D75EB">
        <w:rPr>
          <w:rFonts w:cs="Times New Roman"/>
          <w:sz w:val="24"/>
          <w:szCs w:val="24"/>
          <w:lang w:val="es-MX"/>
        </w:rPr>
        <w:t>d</w:t>
      </w:r>
      <w:r w:rsidRPr="000E7F86">
        <w:rPr>
          <w:rFonts w:cs="Times New Roman"/>
          <w:sz w:val="24"/>
          <w:szCs w:val="24"/>
          <w:lang w:val="es-MX"/>
        </w:rPr>
        <w:t>es receptoras quienes le den cumplimiento a tales requerimientos.</w:t>
      </w:r>
    </w:p>
    <w:p w14:paraId="23753E64" w14:textId="77777777" w:rsidR="007A20B4" w:rsidRPr="00414C46" w:rsidRDefault="007A20B4" w:rsidP="007A20B4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63E739FF" w14:textId="643E0C9F" w:rsidR="005C67BE" w:rsidRDefault="001651CC" w:rsidP="007A20B4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>
        <w:rPr>
          <w:rFonts w:cs="Times New Roman"/>
          <w:sz w:val="24"/>
          <w:szCs w:val="24"/>
          <w:lang w:val="es-MX"/>
        </w:rPr>
        <w:t xml:space="preserve">Lo convenios de las entidades referidas en el párrafo anterior, deberán enviar copia a la Comisión de Finanzas Públicas y Moneda del Congreso de la República dentro de los treinta (30) días después de celebrado el </w:t>
      </w:r>
      <w:r w:rsidR="00E1125D">
        <w:rPr>
          <w:rFonts w:cs="Times New Roman"/>
          <w:sz w:val="24"/>
          <w:szCs w:val="24"/>
          <w:lang w:val="es-MX"/>
        </w:rPr>
        <w:t>mismo</w:t>
      </w:r>
      <w:r>
        <w:rPr>
          <w:rFonts w:cs="Times New Roman"/>
          <w:sz w:val="24"/>
          <w:szCs w:val="24"/>
          <w:lang w:val="es-MX"/>
        </w:rPr>
        <w:t>.</w:t>
      </w:r>
    </w:p>
    <w:p w14:paraId="38A8EA44" w14:textId="77777777" w:rsidR="0055491B" w:rsidRPr="00414C46" w:rsidRDefault="0055491B" w:rsidP="007A20B4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43300B7E" w14:textId="260B85CA" w:rsidR="00ED21F6" w:rsidRDefault="00420506" w:rsidP="007A20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E334B1">
        <w:rPr>
          <w:rFonts w:cs="Times New Roman"/>
          <w:b/>
          <w:sz w:val="28"/>
          <w:szCs w:val="24"/>
          <w:lang w:val="es-MX"/>
        </w:rPr>
        <w:t>A</w:t>
      </w:r>
      <w:r w:rsidR="00506E01">
        <w:rPr>
          <w:rFonts w:cs="Times New Roman"/>
          <w:b/>
          <w:sz w:val="28"/>
          <w:szCs w:val="24"/>
          <w:lang w:val="es-MX"/>
        </w:rPr>
        <w:t>rtículo</w:t>
      </w:r>
      <w:r w:rsidRPr="00E334B1">
        <w:rPr>
          <w:rFonts w:cs="Times New Roman"/>
          <w:b/>
          <w:sz w:val="28"/>
          <w:szCs w:val="24"/>
          <w:lang w:val="es-MX"/>
        </w:rPr>
        <w:t xml:space="preserve"> 1</w:t>
      </w:r>
      <w:r w:rsidR="00564024" w:rsidRPr="00E334B1">
        <w:rPr>
          <w:rFonts w:cs="Times New Roman"/>
          <w:b/>
          <w:sz w:val="28"/>
          <w:szCs w:val="24"/>
          <w:lang w:val="es-MX"/>
        </w:rPr>
        <w:t>3</w:t>
      </w:r>
      <w:r w:rsidRPr="00E334B1">
        <w:rPr>
          <w:rFonts w:cs="Times New Roman"/>
          <w:b/>
          <w:sz w:val="24"/>
          <w:szCs w:val="24"/>
          <w:lang w:val="es-MX"/>
        </w:rPr>
        <w:t>.</w:t>
      </w:r>
      <w:r w:rsidR="00506E01">
        <w:rPr>
          <w:rFonts w:cs="Times New Roman"/>
          <w:b/>
          <w:sz w:val="24"/>
          <w:szCs w:val="24"/>
          <w:lang w:val="es-MX"/>
        </w:rPr>
        <w:t xml:space="preserve"> </w:t>
      </w:r>
      <w:r w:rsidRPr="00E334B1">
        <w:rPr>
          <w:rFonts w:cs="Times New Roman"/>
          <w:b/>
          <w:sz w:val="24"/>
          <w:szCs w:val="24"/>
          <w:lang w:val="es-MX"/>
        </w:rPr>
        <w:t>Transferencias de fondos</w:t>
      </w:r>
      <w:r w:rsidRPr="00E334B1">
        <w:rPr>
          <w:rFonts w:cs="Times New Roman"/>
          <w:sz w:val="24"/>
          <w:szCs w:val="24"/>
          <w:lang w:val="es-MX"/>
        </w:rPr>
        <w:t xml:space="preserve">.  </w:t>
      </w:r>
      <w:r w:rsidRPr="00E334B1">
        <w:rPr>
          <w:rFonts w:cs="Times New Roman"/>
          <w:b/>
          <w:sz w:val="24"/>
          <w:szCs w:val="24"/>
          <w:u w:val="single"/>
          <w:lang w:val="es-MX"/>
        </w:rPr>
        <w:t>Ningún Ministerio de Estado o Secretarías y Otras Dependencias del Ejecutivo, puede</w:t>
      </w:r>
      <w:r w:rsidRPr="00A823C6">
        <w:rPr>
          <w:rFonts w:cs="Times New Roman"/>
          <w:b/>
          <w:sz w:val="24"/>
          <w:szCs w:val="24"/>
          <w:u w:val="single"/>
          <w:lang w:val="es-MX"/>
        </w:rPr>
        <w:t xml:space="preserve"> transferir fondos a organizaciones no gubernamentales, fundaciones o asociaciones lucrativas o no lucrativas nacionales </w:t>
      </w:r>
      <w:r w:rsidR="00564024">
        <w:rPr>
          <w:rFonts w:cs="Times New Roman"/>
          <w:b/>
          <w:sz w:val="24"/>
          <w:szCs w:val="24"/>
          <w:u w:val="single"/>
          <w:lang w:val="es-MX"/>
        </w:rPr>
        <w:t>e</w:t>
      </w:r>
      <w:r w:rsidRPr="00A823C6">
        <w:rPr>
          <w:rFonts w:cs="Times New Roman"/>
          <w:b/>
          <w:sz w:val="24"/>
          <w:szCs w:val="24"/>
          <w:u w:val="single"/>
          <w:lang w:val="es-MX"/>
        </w:rPr>
        <w:t xml:space="preserve"> internacionales</w:t>
      </w:r>
      <w:r w:rsidR="00564024">
        <w:rPr>
          <w:rFonts w:cs="Times New Roman"/>
          <w:b/>
          <w:sz w:val="24"/>
          <w:szCs w:val="24"/>
          <w:u w:val="single"/>
          <w:lang w:val="es-MX"/>
        </w:rPr>
        <w:t xml:space="preserve"> y sus programas</w:t>
      </w:r>
      <w:r w:rsidRPr="00A823C6">
        <w:rPr>
          <w:rFonts w:cs="Times New Roman"/>
          <w:b/>
          <w:sz w:val="24"/>
          <w:szCs w:val="24"/>
          <w:u w:val="single"/>
          <w:lang w:val="es-MX"/>
        </w:rPr>
        <w:t xml:space="preserve">, que no estén incluidas dentro del </w:t>
      </w:r>
      <w:r w:rsidRPr="002C4867">
        <w:rPr>
          <w:rFonts w:cs="Times New Roman"/>
          <w:b/>
          <w:sz w:val="24"/>
          <w:szCs w:val="24"/>
          <w:u w:val="single"/>
          <w:lang w:val="es-MX"/>
        </w:rPr>
        <w:t>Presupuesto General de Ingresos y Egresos del Estado para el Ejercicio Fiscal vigente.</w:t>
      </w:r>
      <w:r>
        <w:rPr>
          <w:rFonts w:cs="Times New Roman"/>
          <w:sz w:val="24"/>
          <w:szCs w:val="24"/>
          <w:lang w:val="es-MX"/>
        </w:rPr>
        <w:t xml:space="preserve">  Esta disposición no se aplicará cuando se trate </w:t>
      </w:r>
      <w:r w:rsidR="00564024">
        <w:rPr>
          <w:rFonts w:cs="Times New Roman"/>
          <w:sz w:val="24"/>
          <w:szCs w:val="24"/>
          <w:lang w:val="es-MX"/>
        </w:rPr>
        <w:t>de convenios con organismos internacionales y para el caso de la</w:t>
      </w:r>
      <w:r>
        <w:rPr>
          <w:rFonts w:cs="Times New Roman"/>
          <w:sz w:val="24"/>
          <w:szCs w:val="24"/>
          <w:lang w:val="es-MX"/>
        </w:rPr>
        <w:t xml:space="preserve"> atención de casos declarados conforme al Decreto Número 7 de la Asamblea Nacional Constituyente, Ley de Orden Público.</w:t>
      </w:r>
    </w:p>
    <w:p w14:paraId="2535C3FB" w14:textId="77777777" w:rsidR="00ED21F6" w:rsidRDefault="00ED21F6" w:rsidP="007A20B4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1AAC3A8B" w14:textId="77777777" w:rsidR="0055491B" w:rsidRPr="00414C46" w:rsidRDefault="0055491B" w:rsidP="007A20B4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51AEB203" w14:textId="6E986917" w:rsidR="00D92A8B" w:rsidRDefault="00E04064" w:rsidP="0020335A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E334B1">
        <w:rPr>
          <w:rFonts w:cs="Times New Roman"/>
          <w:b/>
          <w:sz w:val="28"/>
          <w:szCs w:val="24"/>
          <w:lang w:val="es-MX"/>
        </w:rPr>
        <w:t>A</w:t>
      </w:r>
      <w:r w:rsidR="00506E01">
        <w:rPr>
          <w:rFonts w:cs="Times New Roman"/>
          <w:b/>
          <w:sz w:val="28"/>
          <w:szCs w:val="24"/>
          <w:lang w:val="es-MX"/>
        </w:rPr>
        <w:t>rtículo</w:t>
      </w:r>
      <w:r w:rsidRPr="00E334B1">
        <w:rPr>
          <w:rFonts w:cs="Times New Roman"/>
          <w:b/>
          <w:sz w:val="28"/>
          <w:szCs w:val="24"/>
          <w:lang w:val="es-MX"/>
        </w:rPr>
        <w:t xml:space="preserve"> 1</w:t>
      </w:r>
      <w:r w:rsidR="00DD20E2" w:rsidRPr="00E334B1">
        <w:rPr>
          <w:rFonts w:cs="Times New Roman"/>
          <w:b/>
          <w:sz w:val="28"/>
          <w:szCs w:val="24"/>
          <w:lang w:val="es-MX"/>
        </w:rPr>
        <w:t>5</w:t>
      </w:r>
      <w:r w:rsidRPr="00E334B1">
        <w:rPr>
          <w:rFonts w:cs="Times New Roman"/>
          <w:b/>
          <w:sz w:val="24"/>
          <w:szCs w:val="24"/>
          <w:lang w:val="es-MX"/>
        </w:rPr>
        <w:t>.</w:t>
      </w:r>
      <w:r w:rsidRPr="000E7F86">
        <w:rPr>
          <w:rFonts w:cs="Times New Roman"/>
          <w:b/>
          <w:sz w:val="24"/>
          <w:szCs w:val="24"/>
          <w:lang w:val="es-MX"/>
        </w:rPr>
        <w:t xml:space="preserve"> </w:t>
      </w:r>
      <w:r w:rsidR="00D92A8B">
        <w:rPr>
          <w:rFonts w:cs="Times New Roman"/>
          <w:b/>
          <w:sz w:val="24"/>
          <w:szCs w:val="24"/>
          <w:lang w:val="es-MX"/>
        </w:rPr>
        <w:t xml:space="preserve">Ejecución física y financiera. </w:t>
      </w:r>
      <w:r w:rsidRPr="000E7F86">
        <w:rPr>
          <w:rFonts w:cs="Times New Roman"/>
          <w:sz w:val="24"/>
          <w:szCs w:val="24"/>
          <w:lang w:val="es-MX"/>
        </w:rPr>
        <w:t xml:space="preserve"> </w:t>
      </w:r>
      <w:r w:rsidR="00D92A8B">
        <w:rPr>
          <w:rFonts w:cs="Times New Roman"/>
          <w:sz w:val="24"/>
          <w:szCs w:val="24"/>
          <w:lang w:val="es-MX"/>
        </w:rPr>
        <w:t>Las instituciones públicas propiciarán la eficiencia en la ejecución física y financiera de sus respectivos presupuestos y deberán implementar las medidas necesarias para hacer más eficientes y tecnificar los modelos de servicios de sus intervenciones, de manera que se garantice la provisión de los bienes y servicios a la población.</w:t>
      </w:r>
    </w:p>
    <w:p w14:paraId="35EFFD00" w14:textId="77777777" w:rsidR="00D92A8B" w:rsidRDefault="00D92A8B" w:rsidP="0020335A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16165EAD" w14:textId="77777777" w:rsidR="00D92A8B" w:rsidRDefault="00D92A8B" w:rsidP="002033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3312E4">
        <w:rPr>
          <w:rFonts w:cs="Times New Roman"/>
          <w:b/>
          <w:sz w:val="24"/>
          <w:szCs w:val="24"/>
          <w:u w:val="single"/>
          <w:lang w:val="es-MX"/>
        </w:rPr>
        <w:t>Se autoriza para que en el caso de los informes a los que hace referencia el artículo 32 Bis del Decreto Número 101-97 del Congreso de la República de Guatemala, Ley Orgánica del Presupuesto, los Institutos por Cooperativa de Enseñanza puedan presentar los mismos de manera cuatrimestral</w:t>
      </w:r>
      <w:r>
        <w:rPr>
          <w:rFonts w:cs="Times New Roman"/>
          <w:sz w:val="24"/>
          <w:szCs w:val="24"/>
          <w:lang w:val="es-MX"/>
        </w:rPr>
        <w:t>.</w:t>
      </w:r>
    </w:p>
    <w:p w14:paraId="4C1A5213" w14:textId="77777777" w:rsidR="0055491B" w:rsidRPr="002F6ECD" w:rsidRDefault="0055491B" w:rsidP="007A20B4">
      <w:pPr>
        <w:spacing w:after="0" w:line="240" w:lineRule="auto"/>
        <w:jc w:val="both"/>
        <w:rPr>
          <w:rFonts w:cs="Times New Roman"/>
          <w:b/>
          <w:sz w:val="24"/>
          <w:szCs w:val="28"/>
          <w:lang w:val="es-MX"/>
        </w:rPr>
      </w:pPr>
    </w:p>
    <w:p w14:paraId="28CB7793" w14:textId="72B1B221" w:rsidR="00F034D4" w:rsidRPr="008354D5" w:rsidRDefault="00F034D4" w:rsidP="007A20B4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E334B1">
        <w:rPr>
          <w:rFonts w:cs="Times New Roman"/>
          <w:b/>
          <w:sz w:val="24"/>
          <w:szCs w:val="24"/>
          <w:lang w:val="es-MX"/>
        </w:rPr>
        <w:t>A</w:t>
      </w:r>
      <w:r w:rsidR="00506E01">
        <w:rPr>
          <w:rFonts w:cs="Times New Roman"/>
          <w:b/>
          <w:sz w:val="24"/>
          <w:szCs w:val="24"/>
          <w:lang w:val="es-MX"/>
        </w:rPr>
        <w:t>rtículo</w:t>
      </w:r>
      <w:r w:rsidRPr="00E334B1">
        <w:rPr>
          <w:rFonts w:cs="Times New Roman"/>
          <w:b/>
          <w:sz w:val="24"/>
          <w:szCs w:val="24"/>
          <w:lang w:val="es-MX"/>
        </w:rPr>
        <w:t xml:space="preserve"> 3</w:t>
      </w:r>
      <w:r w:rsidR="00436C64" w:rsidRPr="00E334B1">
        <w:rPr>
          <w:rFonts w:cs="Times New Roman"/>
          <w:b/>
          <w:sz w:val="24"/>
          <w:szCs w:val="24"/>
          <w:lang w:val="es-MX"/>
        </w:rPr>
        <w:t>2</w:t>
      </w:r>
      <w:r w:rsidRPr="00E334B1">
        <w:rPr>
          <w:rFonts w:cs="Times New Roman"/>
          <w:b/>
          <w:sz w:val="24"/>
          <w:szCs w:val="24"/>
          <w:lang w:val="es-MX"/>
        </w:rPr>
        <w:t>.</w:t>
      </w:r>
      <w:r w:rsidRPr="008354D5">
        <w:rPr>
          <w:rFonts w:cs="Times New Roman"/>
          <w:b/>
          <w:sz w:val="24"/>
          <w:szCs w:val="24"/>
          <w:lang w:val="es-MX"/>
        </w:rPr>
        <w:t xml:space="preserve"> Desembolsos por concepto de transferencias, subsidios y subvenciones.</w:t>
      </w:r>
      <w:r w:rsidRPr="008354D5">
        <w:rPr>
          <w:rFonts w:cs="Times New Roman"/>
          <w:sz w:val="24"/>
          <w:szCs w:val="24"/>
          <w:lang w:val="es-MX"/>
        </w:rPr>
        <w:t xml:space="preserve"> </w:t>
      </w:r>
      <w:r w:rsidR="008354D5" w:rsidRPr="008354D5">
        <w:rPr>
          <w:rFonts w:cs="Times New Roman"/>
          <w:sz w:val="24"/>
          <w:szCs w:val="24"/>
          <w:lang w:val="es-MX"/>
        </w:rPr>
        <w:t xml:space="preserve">Las </w:t>
      </w:r>
      <w:r w:rsidR="008354D5">
        <w:rPr>
          <w:rFonts w:cs="Times New Roman"/>
          <w:sz w:val="24"/>
          <w:szCs w:val="24"/>
          <w:lang w:val="es-MX"/>
        </w:rPr>
        <w:t xml:space="preserve">entidades públicas son responsables por los recursos que trasladen en calidad de aportes al sector privado y externo, debiendo exigir a las entidades receptoras de dichos recursos cuando corresponda, </w:t>
      </w:r>
      <w:r w:rsidR="008354D5" w:rsidRPr="004148CB">
        <w:rPr>
          <w:rFonts w:cs="Times New Roman"/>
          <w:b/>
          <w:sz w:val="24"/>
          <w:szCs w:val="24"/>
          <w:u w:val="single"/>
          <w:lang w:val="es-MX"/>
        </w:rPr>
        <w:t>que registren el avance físico y financiero en el Sistema de Transferencias, Subsidios y Subvenciones (Sistema TSS) que se constituye en la plataforma informática que el Ministerio de Finanzas Públicas ha desarrollado y puesto en funcionamiento para tal efecto</w:t>
      </w:r>
      <w:r w:rsidR="008354D5">
        <w:rPr>
          <w:rFonts w:cs="Times New Roman"/>
          <w:sz w:val="24"/>
          <w:szCs w:val="24"/>
          <w:lang w:val="es-MX"/>
        </w:rPr>
        <w:t xml:space="preserve">.  </w:t>
      </w:r>
      <w:proofErr w:type="gramStart"/>
      <w:r w:rsidR="008354D5" w:rsidRPr="004148CB">
        <w:rPr>
          <w:rFonts w:cs="Times New Roman"/>
          <w:b/>
          <w:sz w:val="24"/>
          <w:szCs w:val="24"/>
          <w:u w:val="single"/>
          <w:lang w:val="es-MX"/>
        </w:rPr>
        <w:t>Además</w:t>
      </w:r>
      <w:proofErr w:type="gramEnd"/>
      <w:r w:rsidR="008354D5" w:rsidRPr="004148CB">
        <w:rPr>
          <w:rFonts w:cs="Times New Roman"/>
          <w:b/>
          <w:sz w:val="24"/>
          <w:szCs w:val="24"/>
          <w:u w:val="single"/>
          <w:lang w:val="es-MX"/>
        </w:rPr>
        <w:t xml:space="preserve"> las entidades otorgantes no podrán efectuar desembolsos de recursos si la entidad receptora respectiva no ha registrado en el referido Sistema, los reportes de avance físico y financiero correspondientes al mes inmediato anterior</w:t>
      </w:r>
      <w:r w:rsidR="008354D5">
        <w:rPr>
          <w:rFonts w:cs="Times New Roman"/>
          <w:sz w:val="24"/>
          <w:szCs w:val="24"/>
          <w:lang w:val="es-MX"/>
        </w:rPr>
        <w:t>, a excepción de los Institutos por Cooperativa de Enseñanza, quienes presentan los mismos de manera cuatrimestral.  El Ministerio de Finanzas Públicas a través de la Dirección de Transparencia Fiscal, emitirá las disposiciones correspondientes atendiendo los casos especiales.</w:t>
      </w:r>
    </w:p>
    <w:p w14:paraId="20B6FF9F" w14:textId="77777777" w:rsidR="00F034D4" w:rsidRPr="00EF3B32" w:rsidRDefault="00F034D4" w:rsidP="007A20B4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27793999" w14:textId="77777777" w:rsidR="00F034D4" w:rsidRPr="00EF3B32" w:rsidRDefault="00F034D4" w:rsidP="007A20B4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70A37D51" w14:textId="03601408" w:rsidR="00F034D4" w:rsidRPr="00961114" w:rsidRDefault="00EF3B32" w:rsidP="007A20B4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  <w:r w:rsidRPr="00E334B1">
        <w:rPr>
          <w:rFonts w:cs="Times New Roman"/>
          <w:b/>
          <w:bCs/>
          <w:sz w:val="24"/>
          <w:szCs w:val="24"/>
          <w:lang w:val="es-MX"/>
        </w:rPr>
        <w:t>Artículo 48.  Incorporación</w:t>
      </w:r>
      <w:r w:rsidRPr="00EF3B32">
        <w:rPr>
          <w:rFonts w:cs="Times New Roman"/>
          <w:b/>
          <w:bCs/>
          <w:sz w:val="24"/>
          <w:szCs w:val="24"/>
          <w:lang w:val="es-MX"/>
        </w:rPr>
        <w:t xml:space="preserve"> de las entidades receptoras de transferencias a la CUT.  </w:t>
      </w:r>
      <w:r w:rsidR="008864D3" w:rsidRPr="00F171B9">
        <w:rPr>
          <w:rFonts w:cs="Times New Roman"/>
          <w:b/>
          <w:bCs/>
          <w:sz w:val="24"/>
          <w:szCs w:val="24"/>
          <w:u w:val="single"/>
          <w:lang w:val="es-MX"/>
        </w:rPr>
        <w:t>La incorporación de las entidades receptoras de transferencias a la Cuenta Única del Tesoro (CUT) se hará en forma gradual y progresiva</w:t>
      </w:r>
      <w:r w:rsidR="008864D3" w:rsidRPr="00961114">
        <w:rPr>
          <w:rFonts w:cs="Times New Roman"/>
          <w:sz w:val="24"/>
          <w:szCs w:val="24"/>
          <w:lang w:val="es-MX"/>
        </w:rPr>
        <w:t>, conforme lo establecido en la Ley Orgánica del Presupuesto y su reglamento.  Las enti</w:t>
      </w:r>
      <w:r w:rsidR="00F171B9">
        <w:rPr>
          <w:rFonts w:cs="Times New Roman"/>
          <w:sz w:val="24"/>
          <w:szCs w:val="24"/>
          <w:lang w:val="es-MX"/>
        </w:rPr>
        <w:t>d</w:t>
      </w:r>
      <w:r w:rsidR="008864D3" w:rsidRPr="00961114">
        <w:rPr>
          <w:rFonts w:cs="Times New Roman"/>
          <w:sz w:val="24"/>
          <w:szCs w:val="24"/>
          <w:lang w:val="es-MX"/>
        </w:rPr>
        <w:t xml:space="preserve">ades que no incorporen sus recursos a la CUT en el presente ejercicio fiscal, mantendrán las cuentas de depósitos monetarios en los bancos del sistema y liquidarán sus pagos conforme los procesos legales y administrativos actuales. </w:t>
      </w:r>
    </w:p>
    <w:p w14:paraId="4B0B8B5B" w14:textId="4F6A8478" w:rsidR="00F034D4" w:rsidRDefault="00F034D4" w:rsidP="007A20B4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4468CB62" w14:textId="77777777" w:rsidR="00F42F8F" w:rsidRPr="00961114" w:rsidRDefault="00F42F8F" w:rsidP="007A20B4">
      <w:pPr>
        <w:spacing w:after="0" w:line="240" w:lineRule="auto"/>
        <w:jc w:val="both"/>
        <w:rPr>
          <w:rFonts w:cs="Times New Roman"/>
          <w:sz w:val="24"/>
          <w:szCs w:val="24"/>
          <w:lang w:val="es-MX"/>
        </w:rPr>
      </w:pPr>
    </w:p>
    <w:p w14:paraId="14EDF083" w14:textId="77777777" w:rsidR="00635F85" w:rsidRDefault="00635F85" w:rsidP="00635F85">
      <w:pPr>
        <w:jc w:val="both"/>
        <w:rPr>
          <w:sz w:val="24"/>
          <w:szCs w:val="24"/>
          <w:lang w:val="es-MX"/>
        </w:rPr>
      </w:pPr>
      <w:r w:rsidRPr="00040065">
        <w:rPr>
          <w:sz w:val="24"/>
          <w:szCs w:val="24"/>
          <w:lang w:val="es-MX"/>
        </w:rPr>
        <w:t>(Énfasis propio)</w:t>
      </w:r>
      <w:r w:rsidR="00FF7E90" w:rsidRPr="00FF7E90">
        <w:rPr>
          <w:noProof/>
          <w:sz w:val="24"/>
          <w:szCs w:val="24"/>
          <w:lang w:eastAsia="es-ES"/>
        </w:rPr>
        <w:t xml:space="preserve"> </w:t>
      </w:r>
    </w:p>
    <w:p w14:paraId="07308BE3" w14:textId="1A2B5CBF" w:rsidR="000640FE" w:rsidRDefault="00403F2B" w:rsidP="000640FE">
      <w:pPr>
        <w:jc w:val="both"/>
        <w:rPr>
          <w:sz w:val="24"/>
          <w:szCs w:val="24"/>
          <w:lang w:val="es-MX"/>
        </w:rPr>
      </w:pPr>
      <w:r>
        <w:rPr>
          <w:rFonts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321CF6" wp14:editId="181935A3">
                <wp:simplePos x="0" y="0"/>
                <wp:positionH relativeFrom="column">
                  <wp:posOffset>24765</wp:posOffset>
                </wp:positionH>
                <wp:positionV relativeFrom="paragraph">
                  <wp:posOffset>307975</wp:posOffset>
                </wp:positionV>
                <wp:extent cx="5867400" cy="0"/>
                <wp:effectExtent l="95250" t="99060" r="19050" b="2476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889BF" id="AutoShape 15" o:spid="_x0000_s1026" type="#_x0000_t32" style="position:absolute;margin-left:1.95pt;margin-top:24.25pt;width:462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" strokecolor="#f2f2f2 [3041]" strokeweight="3pt">
                <v:shadow on="t" color="#7f7f7f [1601]" opacity=".5" offset="-6pt,-6pt"/>
              </v:shape>
            </w:pict>
          </mc:Fallback>
        </mc:AlternateContent>
      </w:r>
    </w:p>
    <w:p w14:paraId="6C734314" w14:textId="77777777" w:rsidR="000640FE" w:rsidRDefault="000640FE" w:rsidP="000640FE">
      <w:pPr>
        <w:jc w:val="both"/>
        <w:rPr>
          <w:sz w:val="24"/>
          <w:szCs w:val="24"/>
          <w:lang w:val="es-MX"/>
        </w:rPr>
      </w:pPr>
    </w:p>
    <w:p w14:paraId="1CE13846" w14:textId="77777777" w:rsidR="00F847FD" w:rsidRDefault="00F847FD" w:rsidP="000640FE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br w:type="page"/>
      </w:r>
    </w:p>
    <w:p w14:paraId="07389F63" w14:textId="77777777" w:rsidR="00C90B50" w:rsidRPr="00F33626" w:rsidRDefault="00C90B50" w:rsidP="00C90B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2475728" w14:textId="77777777" w:rsidR="00C90B50" w:rsidRPr="00040065" w:rsidRDefault="00C90B50" w:rsidP="00C90B5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</w:p>
    <w:p w14:paraId="25E76A3B" w14:textId="512DFD94" w:rsidR="00C90B50" w:rsidRPr="00F40DC4" w:rsidRDefault="00471ABC" w:rsidP="00C90B5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F40DC4">
        <w:rPr>
          <w:rFonts w:ascii="Tahoma" w:hAnsi="Tahoma" w:cs="Tahoma"/>
          <w:b/>
          <w:sz w:val="28"/>
          <w:szCs w:val="28"/>
          <w:lang w:val="es-MX"/>
        </w:rPr>
        <w:t>Artículo 1</w:t>
      </w:r>
      <w:r w:rsidR="00BF43AA" w:rsidRPr="00F40DC4">
        <w:rPr>
          <w:rFonts w:ascii="Tahoma" w:hAnsi="Tahoma" w:cs="Tahoma"/>
          <w:b/>
          <w:sz w:val="28"/>
          <w:szCs w:val="28"/>
          <w:lang w:val="es-MX"/>
        </w:rPr>
        <w:t>0</w:t>
      </w:r>
      <w:r w:rsidR="00C90B50" w:rsidRPr="00F40DC4">
        <w:rPr>
          <w:rFonts w:ascii="Tahoma" w:hAnsi="Tahoma" w:cs="Tahoma"/>
          <w:b/>
          <w:sz w:val="28"/>
          <w:szCs w:val="28"/>
          <w:lang w:val="es-MX"/>
        </w:rPr>
        <w:t xml:space="preserve"> del Acuerdo Gubernativo No. </w:t>
      </w:r>
      <w:r w:rsidR="00597C4F" w:rsidRPr="00F40DC4">
        <w:rPr>
          <w:rFonts w:ascii="Tahoma" w:hAnsi="Tahoma" w:cs="Tahoma"/>
          <w:b/>
          <w:sz w:val="28"/>
          <w:szCs w:val="28"/>
          <w:lang w:val="es-MX"/>
        </w:rPr>
        <w:t>367-2022</w:t>
      </w:r>
      <w:r w:rsidR="00C90B50" w:rsidRPr="00F40DC4">
        <w:rPr>
          <w:rFonts w:ascii="Tahoma" w:hAnsi="Tahoma" w:cs="Tahoma"/>
          <w:b/>
          <w:sz w:val="28"/>
          <w:szCs w:val="28"/>
          <w:lang w:val="es-MX"/>
        </w:rPr>
        <w:t xml:space="preserve"> que, entre otros aspectos, aprobó la distribución analítica del </w:t>
      </w:r>
    </w:p>
    <w:p w14:paraId="39E324F6" w14:textId="77777777" w:rsidR="00C90B50" w:rsidRPr="00F40DC4" w:rsidRDefault="00C90B50" w:rsidP="00C90B5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F40DC4">
        <w:rPr>
          <w:rFonts w:ascii="Tahoma" w:hAnsi="Tahoma" w:cs="Tahoma"/>
          <w:b/>
          <w:sz w:val="28"/>
          <w:szCs w:val="28"/>
          <w:lang w:val="es-MX"/>
        </w:rPr>
        <w:t>Presupuesto General de Ingresos y Egresos del Estado</w:t>
      </w:r>
    </w:p>
    <w:p w14:paraId="5A0DCECD" w14:textId="2348C248" w:rsidR="00C90B50" w:rsidRPr="00F40DC4" w:rsidRDefault="00C90B50" w:rsidP="00C90B5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F40DC4">
        <w:rPr>
          <w:rFonts w:ascii="Tahoma" w:hAnsi="Tahoma" w:cs="Tahoma"/>
          <w:b/>
          <w:sz w:val="28"/>
          <w:szCs w:val="28"/>
          <w:lang w:val="es-MX"/>
        </w:rPr>
        <w:t>para el Ejercicio Fiscal 20</w:t>
      </w:r>
      <w:r w:rsidR="00053D3A" w:rsidRPr="00F40DC4">
        <w:rPr>
          <w:rFonts w:ascii="Tahoma" w:hAnsi="Tahoma" w:cs="Tahoma"/>
          <w:b/>
          <w:sz w:val="28"/>
          <w:szCs w:val="28"/>
          <w:lang w:val="es-MX"/>
        </w:rPr>
        <w:t>2</w:t>
      </w:r>
      <w:r w:rsidR="00EF513C" w:rsidRPr="00F40DC4">
        <w:rPr>
          <w:rFonts w:ascii="Tahoma" w:hAnsi="Tahoma" w:cs="Tahoma"/>
          <w:b/>
          <w:sz w:val="28"/>
          <w:szCs w:val="28"/>
          <w:lang w:val="es-MX"/>
        </w:rPr>
        <w:t>3</w:t>
      </w:r>
    </w:p>
    <w:p w14:paraId="5EC37BB7" w14:textId="77777777" w:rsidR="00C90B50" w:rsidRPr="00F40DC4" w:rsidRDefault="00C90B50" w:rsidP="00C90B5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 w14:paraId="0C6E153E" w14:textId="1C36EE38" w:rsidR="00C90B50" w:rsidRPr="00F40DC4" w:rsidRDefault="00C90B50" w:rsidP="00C90B5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F40DC4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F40DC4">
        <w:rPr>
          <w:rFonts w:ascii="Calibri" w:hAnsi="Calibri" w:cs="Times New Roman"/>
          <w:sz w:val="24"/>
          <w:szCs w:val="24"/>
          <w:lang w:val="es-MX"/>
        </w:rPr>
        <w:t xml:space="preserve">Publicado: </w:t>
      </w:r>
      <w:r w:rsidR="004413E2" w:rsidRPr="00F40DC4">
        <w:rPr>
          <w:rFonts w:ascii="Calibri" w:hAnsi="Calibri" w:cs="Times New Roman"/>
          <w:sz w:val="24"/>
          <w:szCs w:val="24"/>
          <w:lang w:val="es-MX"/>
        </w:rPr>
        <w:t>30-</w:t>
      </w:r>
      <w:proofErr w:type="gramStart"/>
      <w:r w:rsidR="004413E2" w:rsidRPr="00F40DC4">
        <w:rPr>
          <w:rFonts w:ascii="Calibri" w:hAnsi="Calibri" w:cs="Times New Roman"/>
          <w:sz w:val="24"/>
          <w:szCs w:val="24"/>
          <w:lang w:val="es-MX"/>
        </w:rPr>
        <w:t>Diciembre</w:t>
      </w:r>
      <w:proofErr w:type="gramEnd"/>
      <w:r w:rsidR="004413E2" w:rsidRPr="00F40DC4">
        <w:rPr>
          <w:rFonts w:ascii="Calibri" w:hAnsi="Calibri" w:cs="Times New Roman"/>
          <w:sz w:val="24"/>
          <w:szCs w:val="24"/>
          <w:lang w:val="es-MX"/>
        </w:rPr>
        <w:t>-</w:t>
      </w:r>
      <w:r w:rsidR="006A2D2E" w:rsidRPr="00F40DC4">
        <w:rPr>
          <w:rFonts w:ascii="Calibri" w:hAnsi="Calibri" w:cs="Times New Roman"/>
          <w:sz w:val="24"/>
          <w:szCs w:val="24"/>
          <w:lang w:val="es-MX"/>
        </w:rPr>
        <w:t>202</w:t>
      </w:r>
      <w:r w:rsidR="00597C4F" w:rsidRPr="00F40DC4">
        <w:rPr>
          <w:rFonts w:ascii="Calibri" w:hAnsi="Calibri" w:cs="Times New Roman"/>
          <w:sz w:val="24"/>
          <w:szCs w:val="24"/>
          <w:lang w:val="es-MX"/>
        </w:rPr>
        <w:t>2</w:t>
      </w:r>
      <w:r w:rsidRPr="00F40DC4">
        <w:rPr>
          <w:rFonts w:ascii="Calibri" w:hAnsi="Calibri" w:cs="Times New Roman"/>
          <w:sz w:val="24"/>
          <w:szCs w:val="24"/>
          <w:lang w:val="es-MX"/>
        </w:rPr>
        <w:t>)</w:t>
      </w:r>
    </w:p>
    <w:p w14:paraId="7631A55D" w14:textId="77777777" w:rsidR="00C90B50" w:rsidRPr="00F40DC4" w:rsidRDefault="00C90B50" w:rsidP="00C90B50">
      <w:pPr>
        <w:spacing w:line="240" w:lineRule="auto"/>
        <w:jc w:val="both"/>
        <w:rPr>
          <w:rFonts w:cs="Times New Roman"/>
          <w:b/>
          <w:sz w:val="24"/>
          <w:szCs w:val="24"/>
          <w:lang w:val="es-MX"/>
        </w:rPr>
      </w:pPr>
    </w:p>
    <w:p w14:paraId="69A1E9AD" w14:textId="7BEED0AD" w:rsidR="00C90B50" w:rsidRPr="00040065" w:rsidRDefault="00C90B50" w:rsidP="00C90B50">
      <w:pPr>
        <w:jc w:val="both"/>
        <w:rPr>
          <w:rFonts w:cs="Times New Roman"/>
          <w:sz w:val="24"/>
          <w:szCs w:val="24"/>
          <w:lang w:val="es-MX"/>
        </w:rPr>
      </w:pPr>
      <w:r w:rsidRPr="00F40DC4">
        <w:rPr>
          <w:rFonts w:cs="Times New Roman"/>
          <w:b/>
          <w:sz w:val="28"/>
          <w:szCs w:val="24"/>
          <w:lang w:val="es-MX"/>
        </w:rPr>
        <w:t xml:space="preserve">Artículo </w:t>
      </w:r>
      <w:r w:rsidR="00471ABC" w:rsidRPr="00F40DC4">
        <w:rPr>
          <w:rFonts w:cs="Times New Roman"/>
          <w:b/>
          <w:sz w:val="28"/>
          <w:szCs w:val="24"/>
          <w:lang w:val="es-MX"/>
        </w:rPr>
        <w:t>1</w:t>
      </w:r>
      <w:r w:rsidR="00BF43AA" w:rsidRPr="00F40DC4">
        <w:rPr>
          <w:rFonts w:cs="Times New Roman"/>
          <w:b/>
          <w:sz w:val="28"/>
          <w:szCs w:val="24"/>
          <w:lang w:val="es-MX"/>
        </w:rPr>
        <w:t>0</w:t>
      </w:r>
      <w:r w:rsidRPr="00F40DC4">
        <w:rPr>
          <w:rFonts w:cs="Times New Roman"/>
          <w:b/>
          <w:sz w:val="24"/>
          <w:szCs w:val="24"/>
          <w:lang w:val="es-MX"/>
        </w:rPr>
        <w:t>. Programación y reprogramación de las transferencias corrientes y de capital</w:t>
      </w:r>
      <w:r w:rsidRPr="00F40DC4">
        <w:rPr>
          <w:rFonts w:cs="Times New Roman"/>
          <w:sz w:val="24"/>
          <w:szCs w:val="24"/>
          <w:lang w:val="es-MX"/>
        </w:rPr>
        <w:t xml:space="preserve">. De conformidad con el Artículo 32 Bis del Decreto Número 101-97 del Congreso de la República de Guatemala, Ley Orgánica del Presupuesto, </w:t>
      </w:r>
      <w:r w:rsidRPr="00F40DC4">
        <w:rPr>
          <w:rFonts w:cs="Times New Roman"/>
          <w:b/>
          <w:sz w:val="24"/>
          <w:szCs w:val="24"/>
          <w:u w:val="single"/>
          <w:lang w:val="es-MX"/>
        </w:rPr>
        <w:t>la programación inicial y reprogramaciones de las transferencias corrientes y de capital deberán aprobarse mediante resolución de</w:t>
      </w:r>
      <w:r w:rsidRPr="000A063F">
        <w:rPr>
          <w:rFonts w:cs="Times New Roman"/>
          <w:b/>
          <w:sz w:val="24"/>
          <w:szCs w:val="24"/>
          <w:u w:val="single"/>
          <w:lang w:val="es-MX"/>
        </w:rPr>
        <w:t xml:space="preserve"> la máxima autoridad que corresponda</w:t>
      </w:r>
      <w:r w:rsidRPr="00040065">
        <w:rPr>
          <w:rFonts w:cs="Times New Roman"/>
          <w:sz w:val="24"/>
          <w:szCs w:val="24"/>
          <w:lang w:val="es-MX"/>
        </w:rPr>
        <w:t xml:space="preserve">. Para tal efecto, deberán emitirse los comprobantes respectivos dentro del </w:t>
      </w:r>
      <w:r w:rsidR="00C20C6A">
        <w:rPr>
          <w:rFonts w:cs="Times New Roman"/>
          <w:sz w:val="24"/>
          <w:szCs w:val="24"/>
          <w:lang w:val="es-MX"/>
        </w:rPr>
        <w:t>Sistema de Contabilidad Integrada (</w:t>
      </w:r>
      <w:proofErr w:type="spellStart"/>
      <w:r w:rsidRPr="00040065">
        <w:rPr>
          <w:rFonts w:cs="Times New Roman"/>
          <w:sz w:val="24"/>
          <w:szCs w:val="24"/>
          <w:lang w:val="es-MX"/>
        </w:rPr>
        <w:t>Sicoin</w:t>
      </w:r>
      <w:proofErr w:type="spellEnd"/>
      <w:r w:rsidR="00C20C6A">
        <w:rPr>
          <w:rFonts w:cs="Times New Roman"/>
          <w:sz w:val="24"/>
          <w:szCs w:val="24"/>
          <w:lang w:val="es-MX"/>
        </w:rPr>
        <w:t>)</w:t>
      </w:r>
      <w:r w:rsidRPr="00040065">
        <w:rPr>
          <w:rFonts w:cs="Times New Roman"/>
          <w:sz w:val="24"/>
          <w:szCs w:val="24"/>
          <w:lang w:val="es-MX"/>
        </w:rPr>
        <w:t>.</w:t>
      </w:r>
    </w:p>
    <w:p w14:paraId="038E8CA9" w14:textId="77777777" w:rsidR="00C90B50" w:rsidRDefault="00C90B50" w:rsidP="00C90B50">
      <w:pPr>
        <w:jc w:val="both"/>
        <w:rPr>
          <w:sz w:val="24"/>
          <w:szCs w:val="24"/>
          <w:lang w:val="es-MX"/>
        </w:rPr>
      </w:pPr>
      <w:r w:rsidRPr="00040065">
        <w:rPr>
          <w:sz w:val="24"/>
          <w:szCs w:val="24"/>
          <w:lang w:val="es-MX"/>
        </w:rPr>
        <w:t>(Énfasis propio)</w:t>
      </w:r>
    </w:p>
    <w:p w14:paraId="0EB6D7B6" w14:textId="77777777" w:rsidR="00C90B50" w:rsidRDefault="00C90B50" w:rsidP="00C90B50">
      <w:pPr>
        <w:jc w:val="both"/>
        <w:rPr>
          <w:sz w:val="24"/>
          <w:szCs w:val="24"/>
          <w:lang w:val="es-MX"/>
        </w:rPr>
      </w:pPr>
    </w:p>
    <w:p w14:paraId="177E09F5" w14:textId="4D4B181E" w:rsidR="00C90B50" w:rsidRDefault="00403F2B" w:rsidP="00C90B50">
      <w:pPr>
        <w:jc w:val="both"/>
        <w:rPr>
          <w:sz w:val="24"/>
          <w:szCs w:val="24"/>
          <w:lang w:val="es-MX"/>
        </w:rPr>
      </w:pPr>
      <w:r>
        <w:rPr>
          <w:rFonts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8DC3A9" wp14:editId="3E653FBD">
                <wp:simplePos x="0" y="0"/>
                <wp:positionH relativeFrom="column">
                  <wp:posOffset>-22860</wp:posOffset>
                </wp:positionH>
                <wp:positionV relativeFrom="paragraph">
                  <wp:posOffset>117475</wp:posOffset>
                </wp:positionV>
                <wp:extent cx="5867400" cy="0"/>
                <wp:effectExtent l="95250" t="103505" r="19050" b="2032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E63E7" id="AutoShape 19" o:spid="_x0000_s1026" type="#_x0000_t32" style="position:absolute;margin-left:-1.8pt;margin-top:9.25pt;width:462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" strokecolor="#f2f2f2 [3041]" strokeweight="3pt">
                <v:shadow on="t" color="#7f7f7f [1601]" opacity=".5" offset="-6pt,-6pt"/>
              </v:shape>
            </w:pict>
          </mc:Fallback>
        </mc:AlternateContent>
      </w:r>
    </w:p>
    <w:p w14:paraId="5950AF41" w14:textId="77777777" w:rsidR="00C90B50" w:rsidRDefault="00C90B5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br w:type="page"/>
      </w:r>
    </w:p>
    <w:p w14:paraId="076033BF" w14:textId="77777777" w:rsidR="00CF2A9C" w:rsidRDefault="00CF2A9C" w:rsidP="00CB0EE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</w:p>
    <w:p w14:paraId="10ADE5C7" w14:textId="77777777" w:rsidR="00CB0EEA" w:rsidRPr="00BD5BA3" w:rsidRDefault="00CB0EEA" w:rsidP="00CB0EEA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s-MX"/>
        </w:rPr>
      </w:pPr>
      <w:r w:rsidRPr="00BD5BA3">
        <w:rPr>
          <w:rFonts w:ascii="Tahoma" w:hAnsi="Tahoma" w:cs="Tahoma"/>
          <w:b/>
          <w:sz w:val="28"/>
          <w:szCs w:val="28"/>
          <w:lang w:val="es-MX"/>
        </w:rPr>
        <w:t>Artículos 14 y 15 del Acuerdo Gubernativo No. 55-2016,</w:t>
      </w:r>
    </w:p>
    <w:p w14:paraId="7A54D064" w14:textId="77777777" w:rsidR="00CB0EEA" w:rsidRPr="001E2617" w:rsidRDefault="00CB0EEA" w:rsidP="00CB0EEA">
      <w:pPr>
        <w:spacing w:after="0" w:line="240" w:lineRule="auto"/>
        <w:jc w:val="center"/>
        <w:rPr>
          <w:rFonts w:ascii="Tahoma" w:hAnsi="Tahoma" w:cs="Tahoma"/>
          <w:sz w:val="28"/>
          <w:szCs w:val="28"/>
          <w:lang w:val="es-MX"/>
        </w:rPr>
      </w:pPr>
      <w:r w:rsidRPr="00BD5BA3">
        <w:rPr>
          <w:rFonts w:ascii="Tahoma" w:hAnsi="Tahoma" w:cs="Tahoma"/>
          <w:b/>
          <w:sz w:val="28"/>
          <w:szCs w:val="28"/>
          <w:lang w:val="es-MX"/>
        </w:rPr>
        <w:t>Reglamento de Manejo de Subsidios</w:t>
      </w:r>
      <w:r w:rsidR="002A1AD7">
        <w:rPr>
          <w:rFonts w:ascii="Tahoma" w:hAnsi="Tahoma" w:cs="Tahoma"/>
          <w:b/>
          <w:sz w:val="28"/>
          <w:szCs w:val="28"/>
          <w:lang w:val="es-MX"/>
        </w:rPr>
        <w:t xml:space="preserve"> y Subvenciones</w:t>
      </w:r>
    </w:p>
    <w:p w14:paraId="22CB8903" w14:textId="77777777" w:rsidR="00CB0EEA" w:rsidRPr="001E2617" w:rsidRDefault="00CB0EEA" w:rsidP="00CB0EEA">
      <w:pPr>
        <w:spacing w:after="0" w:line="240" w:lineRule="auto"/>
        <w:jc w:val="right"/>
        <w:rPr>
          <w:rFonts w:ascii="Calibri" w:hAnsi="Calibri" w:cs="Times New Roman"/>
          <w:sz w:val="24"/>
          <w:szCs w:val="24"/>
          <w:lang w:val="es-MX"/>
        </w:rPr>
      </w:pPr>
      <w:r w:rsidRPr="001E2617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1E2617">
        <w:rPr>
          <w:rFonts w:ascii="Calibri" w:hAnsi="Calibri" w:cs="Times New Roman"/>
          <w:sz w:val="24"/>
          <w:szCs w:val="24"/>
          <w:lang w:val="es-MX"/>
        </w:rPr>
        <w:t xml:space="preserve">Publicado: 28-marzo-2016, </w:t>
      </w:r>
    </w:p>
    <w:p w14:paraId="7553F527" w14:textId="77777777" w:rsidR="00CB0EEA" w:rsidRDefault="00CB0EEA" w:rsidP="00CB0EEA">
      <w:pPr>
        <w:spacing w:after="0" w:line="240" w:lineRule="auto"/>
        <w:jc w:val="right"/>
        <w:rPr>
          <w:rFonts w:ascii="Calibri" w:hAnsi="Calibri" w:cs="Times New Roman"/>
          <w:sz w:val="24"/>
          <w:szCs w:val="24"/>
          <w:lang w:val="es-MX"/>
        </w:rPr>
      </w:pPr>
      <w:r w:rsidRPr="001E2617">
        <w:rPr>
          <w:rFonts w:ascii="Calibri" w:hAnsi="Calibri" w:cs="Times New Roman"/>
          <w:sz w:val="24"/>
          <w:szCs w:val="24"/>
          <w:lang w:val="es-MX"/>
        </w:rPr>
        <w:t>Rige a partir 29-marzo-2016)</w:t>
      </w:r>
    </w:p>
    <w:p w14:paraId="30F0DACC" w14:textId="77777777" w:rsidR="006C7542" w:rsidRPr="001E2617" w:rsidRDefault="006C7542" w:rsidP="00CB0E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 w14:paraId="230680E1" w14:textId="77777777" w:rsidR="00CB0EEA" w:rsidRPr="001E2617" w:rsidRDefault="00CB0EEA" w:rsidP="00CB0EEA">
      <w:pPr>
        <w:jc w:val="both"/>
        <w:rPr>
          <w:rFonts w:cs="Times New Roman"/>
          <w:sz w:val="24"/>
          <w:szCs w:val="24"/>
          <w:lang w:val="es-MX"/>
        </w:rPr>
      </w:pPr>
      <w:r w:rsidRPr="00380048">
        <w:rPr>
          <w:rFonts w:cs="Times New Roman"/>
          <w:b/>
          <w:sz w:val="28"/>
          <w:szCs w:val="24"/>
          <w:lang w:val="es-MX"/>
        </w:rPr>
        <w:t>Artículo 14</w:t>
      </w:r>
      <w:r w:rsidRPr="003275AA">
        <w:rPr>
          <w:rFonts w:cs="Times New Roman"/>
          <w:b/>
          <w:sz w:val="24"/>
          <w:szCs w:val="24"/>
          <w:lang w:val="es-MX"/>
        </w:rPr>
        <w:t>. Informes de avance físico y financiero</w:t>
      </w:r>
      <w:r w:rsidRPr="001E2617">
        <w:rPr>
          <w:rFonts w:cs="Times New Roman"/>
          <w:sz w:val="24"/>
          <w:szCs w:val="24"/>
          <w:lang w:val="es-MX"/>
        </w:rPr>
        <w:t xml:space="preserve">. 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>Las entidades beneficiarias de subsidios y/o subvenciones quedan obligadas a remitir a la Dirección de Evaluación Fiscal</w:t>
      </w:r>
      <w:r w:rsidR="00EC5AF5">
        <w:rPr>
          <w:rStyle w:val="Refdenotaalpie"/>
          <w:rFonts w:cs="Times New Roman"/>
          <w:b/>
          <w:sz w:val="24"/>
          <w:szCs w:val="24"/>
          <w:u w:val="single"/>
          <w:lang w:val="es-MX"/>
        </w:rPr>
        <w:footnoteReference w:id="3"/>
      </w:r>
      <w:r w:rsidR="00EC5AF5">
        <w:rPr>
          <w:rFonts w:cs="Times New Roman"/>
          <w:b/>
          <w:sz w:val="24"/>
          <w:szCs w:val="24"/>
          <w:u w:val="single"/>
          <w:lang w:val="es-MX"/>
        </w:rPr>
        <w:t xml:space="preserve">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>del Ministerio de Finanzas Públicas, al Congreso de la República de Guatemala, a la Contraloría General de Cuentas y a la entidad otorgante en los primeros diez días de cada mes, el informe correspondiente al mes inmediato anterior, sobre el avance físico y financiero, destacando los objetivos, metas, indicadores y resultados alcanzados con los recursos transferidos, así como la población beneficiada</w:t>
      </w:r>
      <w:r w:rsidRPr="001E2617">
        <w:rPr>
          <w:rFonts w:cs="Times New Roman"/>
          <w:sz w:val="24"/>
          <w:szCs w:val="24"/>
          <w:lang w:val="es-MX"/>
        </w:rPr>
        <w:t>.</w:t>
      </w:r>
    </w:p>
    <w:p w14:paraId="4B8AF721" w14:textId="77777777" w:rsidR="00CB0EEA" w:rsidRPr="001E2617" w:rsidRDefault="00CB0EEA" w:rsidP="00CB0EEA">
      <w:pPr>
        <w:jc w:val="both"/>
        <w:rPr>
          <w:rFonts w:cs="Times New Roman"/>
          <w:sz w:val="24"/>
          <w:szCs w:val="24"/>
          <w:lang w:val="es-MX"/>
        </w:rPr>
      </w:pPr>
      <w:r w:rsidRPr="001E2617">
        <w:rPr>
          <w:rFonts w:cs="Times New Roman"/>
          <w:sz w:val="24"/>
          <w:szCs w:val="24"/>
          <w:lang w:val="es-MX"/>
        </w:rPr>
        <w:t xml:space="preserve">En el caso que los recursos trasladados se utilicen para sufragar contrataciones de </w:t>
      </w:r>
      <w:r w:rsidRPr="00EC5AF5">
        <w:rPr>
          <w:rFonts w:cs="Times New Roman"/>
          <w:b/>
          <w:sz w:val="24"/>
          <w:szCs w:val="24"/>
          <w:u w:val="single"/>
          <w:lang w:val="es-MX"/>
        </w:rPr>
        <w:t>recurso humano</w:t>
      </w:r>
      <w:r w:rsidRPr="001E2617">
        <w:rPr>
          <w:rFonts w:cs="Times New Roman"/>
          <w:sz w:val="24"/>
          <w:szCs w:val="24"/>
          <w:lang w:val="es-MX"/>
        </w:rPr>
        <w:t xml:space="preserve">, la entidad beneficiaria deberá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>adjuntar un listado</w:t>
      </w:r>
      <w:r w:rsidRPr="001E2617">
        <w:rPr>
          <w:rFonts w:cs="Times New Roman"/>
          <w:sz w:val="24"/>
          <w:szCs w:val="24"/>
          <w:lang w:val="es-MX"/>
        </w:rPr>
        <w:t xml:space="preserve"> indicando el nombre del personal contratado, Código Único de Identificación (CUI), remuneración y plazo de la contratación.</w:t>
      </w:r>
    </w:p>
    <w:p w14:paraId="2D377A17" w14:textId="77777777" w:rsidR="00CB0EEA" w:rsidRPr="001E2617" w:rsidRDefault="00CB0EEA" w:rsidP="00CB0EEA">
      <w:pPr>
        <w:jc w:val="both"/>
        <w:rPr>
          <w:rFonts w:cs="Times New Roman"/>
          <w:sz w:val="24"/>
          <w:szCs w:val="24"/>
          <w:lang w:val="es-MX"/>
        </w:rPr>
      </w:pPr>
      <w:r w:rsidRPr="001E2617">
        <w:rPr>
          <w:rFonts w:cs="Times New Roman"/>
          <w:sz w:val="24"/>
          <w:szCs w:val="24"/>
          <w:lang w:val="es-MX"/>
        </w:rPr>
        <w:t xml:space="preserve">Esta información servirá de base para efectuar la evaluación presupuestaria correspondiente </w:t>
      </w:r>
      <w:r w:rsidRPr="003A1A5F">
        <w:rPr>
          <w:rFonts w:cs="Times New Roman"/>
          <w:b/>
          <w:sz w:val="24"/>
          <w:szCs w:val="24"/>
          <w:u w:val="single"/>
          <w:lang w:val="es-MX"/>
        </w:rPr>
        <w:t>y será remitida de forma electrónica,</w:t>
      </w:r>
      <w:r w:rsidRPr="001E2617">
        <w:rPr>
          <w:rFonts w:cs="Times New Roman"/>
          <w:sz w:val="24"/>
          <w:szCs w:val="24"/>
          <w:lang w:val="es-MX"/>
        </w:rPr>
        <w:t xml:space="preserve">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 xml:space="preserve">de conformidad con los </w:t>
      </w:r>
      <w:r w:rsidRPr="00FC2AEE">
        <w:rPr>
          <w:rFonts w:cs="Times New Roman"/>
          <w:b/>
          <w:sz w:val="24"/>
          <w:szCs w:val="24"/>
          <w:u w:val="single"/>
          <w:lang w:val="es-MX"/>
        </w:rPr>
        <w:t>formatos</w:t>
      </w:r>
      <w:r w:rsidRPr="00FC2AEE">
        <w:rPr>
          <w:rFonts w:cs="Times New Roman"/>
          <w:sz w:val="24"/>
          <w:szCs w:val="24"/>
          <w:u w:val="single"/>
          <w:lang w:val="es-MX"/>
        </w:rPr>
        <w:t xml:space="preserve"> </w:t>
      </w:r>
      <w:r w:rsidRPr="00FC2AEE">
        <w:rPr>
          <w:rFonts w:cs="Times New Roman"/>
          <w:b/>
          <w:sz w:val="24"/>
          <w:szCs w:val="24"/>
          <w:u w:val="single"/>
          <w:lang w:val="es-MX"/>
        </w:rPr>
        <w:t>que</w:t>
      </w:r>
      <w:r w:rsidRPr="00740F8F">
        <w:rPr>
          <w:rFonts w:cs="Times New Roman"/>
          <w:b/>
          <w:sz w:val="24"/>
          <w:szCs w:val="24"/>
          <w:u w:val="single"/>
          <w:lang w:val="es-MX"/>
        </w:rPr>
        <w:t xml:space="preserve"> el Ministerio de Finanzas Públicas defina para el efecto</w:t>
      </w:r>
      <w:r w:rsidRPr="001E2617">
        <w:rPr>
          <w:rFonts w:cs="Times New Roman"/>
          <w:sz w:val="24"/>
          <w:szCs w:val="24"/>
          <w:lang w:val="es-MX"/>
        </w:rPr>
        <w:t>.</w:t>
      </w:r>
    </w:p>
    <w:p w14:paraId="44539AAC" w14:textId="77777777" w:rsidR="00CB0EEA" w:rsidRPr="001E2617" w:rsidRDefault="00CB0EEA" w:rsidP="00CB0EEA">
      <w:pPr>
        <w:jc w:val="both"/>
        <w:rPr>
          <w:rFonts w:cs="Times New Roman"/>
          <w:sz w:val="24"/>
          <w:szCs w:val="24"/>
          <w:lang w:val="es-MX"/>
        </w:rPr>
      </w:pPr>
    </w:p>
    <w:p w14:paraId="56619BEA" w14:textId="77777777" w:rsidR="00CB0EEA" w:rsidRPr="001E2617" w:rsidRDefault="00CB0EEA" w:rsidP="00CB0EEA">
      <w:pPr>
        <w:jc w:val="both"/>
        <w:rPr>
          <w:rFonts w:cs="Times New Roman"/>
          <w:sz w:val="24"/>
          <w:szCs w:val="24"/>
          <w:lang w:val="es-MX"/>
        </w:rPr>
      </w:pPr>
      <w:r w:rsidRPr="00380048">
        <w:rPr>
          <w:rFonts w:cs="Times New Roman"/>
          <w:b/>
          <w:sz w:val="28"/>
          <w:szCs w:val="24"/>
          <w:lang w:val="es-MX"/>
        </w:rPr>
        <w:t>Artículo 15</w:t>
      </w:r>
      <w:r w:rsidRPr="003275AA">
        <w:rPr>
          <w:rFonts w:cs="Times New Roman"/>
          <w:b/>
          <w:sz w:val="24"/>
          <w:szCs w:val="24"/>
          <w:lang w:val="es-MX"/>
        </w:rPr>
        <w:t>. Acceso a la información</w:t>
      </w:r>
      <w:r w:rsidRPr="001E2617">
        <w:rPr>
          <w:rFonts w:cs="Times New Roman"/>
          <w:sz w:val="24"/>
          <w:szCs w:val="24"/>
          <w:lang w:val="es-MX"/>
        </w:rPr>
        <w:t xml:space="preserve">. Las entidades públicas que otorguen subsidios y/o subvenciones a personas individuales y jurídicas serán responsables de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>actualizar mensualmente y publicar en su portal web</w:t>
      </w:r>
      <w:r w:rsidRPr="001E2617">
        <w:rPr>
          <w:rFonts w:cs="Times New Roman"/>
          <w:sz w:val="24"/>
          <w:szCs w:val="24"/>
          <w:lang w:val="es-MX"/>
        </w:rPr>
        <w:t xml:space="preserve"> los convenios celebrados, los instrumentos legales de aprobación correspondientes, el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>Registro de Personas Individuales</w:t>
      </w:r>
      <w:r w:rsidRPr="001E2617">
        <w:rPr>
          <w:rFonts w:cs="Times New Roman"/>
          <w:sz w:val="24"/>
          <w:szCs w:val="24"/>
          <w:lang w:val="es-MX"/>
        </w:rPr>
        <w:t xml:space="preserve"> beneficiadas con subvención y el </w:t>
      </w:r>
      <w:r w:rsidRPr="005C67BE">
        <w:rPr>
          <w:rFonts w:cs="Times New Roman"/>
          <w:b/>
          <w:sz w:val="24"/>
          <w:szCs w:val="24"/>
          <w:u w:val="single"/>
          <w:lang w:val="es-MX"/>
        </w:rPr>
        <w:t>informe consolidado de avance físico y financiero de los subsidios y subvenciones otorgados</w:t>
      </w:r>
      <w:r w:rsidRPr="001E2617">
        <w:rPr>
          <w:rFonts w:cs="Times New Roman"/>
          <w:sz w:val="24"/>
          <w:szCs w:val="24"/>
          <w:lang w:val="es-MX"/>
        </w:rPr>
        <w:t>.</w:t>
      </w:r>
    </w:p>
    <w:p w14:paraId="79A73B44" w14:textId="77777777" w:rsidR="00CB0EEA" w:rsidRPr="001E2617" w:rsidRDefault="00CB0EEA" w:rsidP="00CB0EEA">
      <w:pPr>
        <w:jc w:val="both"/>
        <w:rPr>
          <w:rFonts w:cs="Times New Roman"/>
          <w:sz w:val="24"/>
          <w:szCs w:val="24"/>
          <w:lang w:val="es-MX"/>
        </w:rPr>
      </w:pPr>
      <w:r w:rsidRPr="001E2617">
        <w:rPr>
          <w:rFonts w:cs="Times New Roman"/>
          <w:sz w:val="24"/>
          <w:szCs w:val="24"/>
          <w:lang w:val="es-MX"/>
        </w:rPr>
        <w:t xml:space="preserve">En cuanto al Registro de Personas Individuales beneficiadas con subvención y el informe consolidado de avance físico y financiero de los subsidios y subvenciones otorgados por la entidad, deberán remitirse al Ministerio de Finanzas Públicas con base a los formatos que para el efecto disponga esa Cartera en su portal web, la información anterior podrá ser </w:t>
      </w:r>
      <w:r w:rsidRPr="001E2617">
        <w:rPr>
          <w:rFonts w:cs="Times New Roman"/>
          <w:sz w:val="24"/>
          <w:szCs w:val="24"/>
          <w:lang w:val="es-MX"/>
        </w:rPr>
        <w:lastRenderedPageBreak/>
        <w:t>compartida entre las entidades del sector público en busca de una atención integral a la ciudadanía.</w:t>
      </w:r>
    </w:p>
    <w:p w14:paraId="1F99A90D" w14:textId="421BB5AF" w:rsidR="00CB0EEA" w:rsidRPr="001E2617" w:rsidRDefault="00403F2B" w:rsidP="00CB0EEA">
      <w:pPr>
        <w:jc w:val="both"/>
        <w:rPr>
          <w:rFonts w:cs="Times New Roman"/>
          <w:sz w:val="24"/>
          <w:szCs w:val="24"/>
          <w:lang w:val="es-MX"/>
        </w:rPr>
      </w:pPr>
      <w:r>
        <w:rPr>
          <w:rFonts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98105F" wp14:editId="77FABD18">
                <wp:simplePos x="0" y="0"/>
                <wp:positionH relativeFrom="column">
                  <wp:posOffset>-146685</wp:posOffset>
                </wp:positionH>
                <wp:positionV relativeFrom="paragraph">
                  <wp:posOffset>323215</wp:posOffset>
                </wp:positionV>
                <wp:extent cx="5867400" cy="0"/>
                <wp:effectExtent l="95250" t="100965" r="19050" b="2286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D56FB" id="AutoShape 20" o:spid="_x0000_s1026" type="#_x0000_t32" style="position:absolute;margin-left:-11.55pt;margin-top:25.45pt;width:462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" strokecolor="#f2f2f2 [3041]" strokeweight="3pt">
                <v:shadow on="t" color="#7f7f7f [1601]" opacity=".5" offset="-6pt,-6pt"/>
              </v:shape>
            </w:pict>
          </mc:Fallback>
        </mc:AlternateContent>
      </w:r>
      <w:r w:rsidR="006C7542" w:rsidRPr="001E2617">
        <w:rPr>
          <w:rFonts w:cs="Times New Roman"/>
          <w:sz w:val="24"/>
          <w:szCs w:val="24"/>
          <w:lang w:val="es-MX"/>
        </w:rPr>
        <w:t>(Énfasis propio)</w:t>
      </w:r>
      <w:r w:rsidR="00B475AC">
        <w:rPr>
          <w:rFonts w:cs="Times New Roman"/>
          <w:sz w:val="24"/>
          <w:szCs w:val="24"/>
          <w:lang w:val="es-MX"/>
        </w:rPr>
        <w:t xml:space="preserve"> </w:t>
      </w:r>
    </w:p>
    <w:sectPr w:rsidR="00CB0EEA" w:rsidRPr="001E2617" w:rsidSect="00494716">
      <w:headerReference w:type="default" r:id="rId10"/>
      <w:footerReference w:type="default" r:id="rId11"/>
      <w:pgSz w:w="12240" w:h="15840" w:code="1"/>
      <w:pgMar w:top="1276" w:right="1701" w:bottom="1134" w:left="1701" w:header="709" w:footer="709" w:gutter="0"/>
      <w:pgNumType w:fmt="lowerRoman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649B" w14:textId="77777777" w:rsidR="006E7BE3" w:rsidRDefault="006E7BE3" w:rsidP="0008490D">
      <w:pPr>
        <w:spacing w:after="0" w:line="240" w:lineRule="auto"/>
      </w:pPr>
      <w:r>
        <w:separator/>
      </w:r>
    </w:p>
  </w:endnote>
  <w:endnote w:type="continuationSeparator" w:id="0">
    <w:p w14:paraId="0D3C9011" w14:textId="77777777" w:rsidR="006E7BE3" w:rsidRDefault="006E7BE3" w:rsidP="0008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4706"/>
      <w:docPartObj>
        <w:docPartGallery w:val="Page Numbers (Bottom of Page)"/>
        <w:docPartUnique/>
      </w:docPartObj>
    </w:sdtPr>
    <w:sdtEndPr/>
    <w:sdtContent>
      <w:p w14:paraId="16F6082F" w14:textId="77777777" w:rsidR="00C63FFE" w:rsidRDefault="00553EC4" w:rsidP="0084250F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730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74731" w14:textId="77777777" w:rsidR="006E7BE3" w:rsidRDefault="006E7BE3" w:rsidP="0008490D">
      <w:pPr>
        <w:spacing w:after="0" w:line="240" w:lineRule="auto"/>
      </w:pPr>
      <w:r>
        <w:separator/>
      </w:r>
    </w:p>
  </w:footnote>
  <w:footnote w:type="continuationSeparator" w:id="0">
    <w:p w14:paraId="666A326E" w14:textId="77777777" w:rsidR="006E7BE3" w:rsidRDefault="006E7BE3" w:rsidP="0008490D">
      <w:pPr>
        <w:spacing w:after="0" w:line="240" w:lineRule="auto"/>
      </w:pPr>
      <w:r>
        <w:continuationSeparator/>
      </w:r>
    </w:p>
  </w:footnote>
  <w:footnote w:id="1">
    <w:p w14:paraId="55194B35" w14:textId="755B9970" w:rsidR="00C63FFE" w:rsidRPr="00CD7085" w:rsidRDefault="00C63FFE" w:rsidP="00CD70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A42E6A">
        <w:rPr>
          <w:rFonts w:ascii="Arial" w:hAnsi="Arial" w:cs="Arial"/>
          <w:sz w:val="20"/>
          <w:szCs w:val="20"/>
        </w:rPr>
        <w:t xml:space="preserve">El </w:t>
      </w:r>
      <w:r w:rsidR="004452E4">
        <w:rPr>
          <w:rFonts w:ascii="Arial" w:hAnsi="Arial" w:cs="Arial"/>
          <w:sz w:val="20"/>
          <w:szCs w:val="20"/>
        </w:rPr>
        <w:t>a</w:t>
      </w:r>
      <w:r w:rsidRPr="00A42E6A">
        <w:rPr>
          <w:rFonts w:ascii="Arial" w:hAnsi="Arial" w:cs="Arial"/>
          <w:sz w:val="20"/>
          <w:szCs w:val="20"/>
        </w:rPr>
        <w:t>rtículo 21 del Decreto No. 13-2013, que reformó la Ley Orgánica del Presupuesto, adicionó el artículo 32 Bis.</w:t>
      </w:r>
      <w:r w:rsidRPr="00CD708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670D2A" w14:textId="77777777" w:rsidR="00C63FFE" w:rsidRPr="001F18CE" w:rsidRDefault="00C63FFE">
      <w:pPr>
        <w:pStyle w:val="Textonotapie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7A70E716" w14:textId="2A1D89E5" w:rsidR="00C63FFE" w:rsidRPr="005B310F" w:rsidRDefault="00C63FFE" w:rsidP="00674236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adicionan los dos párrafos </w:t>
      </w:r>
      <w:r w:rsidR="009E717E">
        <w:t>finales por</w:t>
      </w:r>
      <w:r>
        <w:t xml:space="preserve"> el </w:t>
      </w:r>
      <w:r w:rsidR="009E717E">
        <w:t>a</w:t>
      </w:r>
      <w:r>
        <w:t>rtículo 2 del Decreto N</w:t>
      </w:r>
      <w:r w:rsidR="009E717E">
        <w:t>o.</w:t>
      </w:r>
      <w:r>
        <w:t xml:space="preserve"> 9-2014 del Congreso de la República de Guatemala</w:t>
      </w:r>
      <w:r w:rsidR="009E717E">
        <w:t>, que reformó la Ley Orgánica del Presupuesto</w:t>
      </w:r>
      <w:r>
        <w:t>.</w:t>
      </w:r>
    </w:p>
  </w:footnote>
  <w:footnote w:id="3">
    <w:p w14:paraId="585E273C" w14:textId="77777777" w:rsidR="00C63FFE" w:rsidRPr="00EC5AF5" w:rsidRDefault="00C63FFE" w:rsidP="00DA0B43">
      <w:pPr>
        <w:pStyle w:val="Textonotapie"/>
        <w:jc w:val="both"/>
        <w:rPr>
          <w:lang w:val="es-GT"/>
        </w:rPr>
      </w:pPr>
      <w:r>
        <w:rPr>
          <w:rStyle w:val="Refdenotaalpie"/>
        </w:rPr>
        <w:footnoteRef/>
      </w:r>
      <w:r>
        <w:t xml:space="preserve"> D</w:t>
      </w:r>
      <w:proofErr w:type="spellStart"/>
      <w:r>
        <w:rPr>
          <w:lang w:val="es-GT"/>
        </w:rPr>
        <w:t>e</w:t>
      </w:r>
      <w:proofErr w:type="spellEnd"/>
      <w:r>
        <w:rPr>
          <w:lang w:val="es-GT"/>
        </w:rPr>
        <w:t xml:space="preserve"> conformidad con el Acuerdo Ministerial No. 321-2018 que aprobó la estructura orgánica interna del Ministerio de Finanzas Públicas, artículo 7, segundo párrafo, toda referencia a la Dirección de Evaluación Fiscal deberá entenderse que se refiere a la Dirección de Transparencia Fiscal.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7973" w14:textId="77777777" w:rsidR="00C63FFE" w:rsidRPr="0084250F" w:rsidRDefault="00C63FFE" w:rsidP="0084250F">
    <w:pPr>
      <w:pStyle w:val="Encabezado"/>
      <w:jc w:val="center"/>
      <w:rPr>
        <w:rFonts w:ascii="Arial Narrow" w:hAnsi="Arial Narrow" w:cs="Tahoma"/>
        <w:b/>
        <w:color w:val="548DD4" w:themeColor="text2" w:themeTint="99"/>
        <w:sz w:val="24"/>
      </w:rPr>
    </w:pPr>
    <w:r w:rsidRPr="0084250F">
      <w:rPr>
        <w:rFonts w:ascii="Arial Narrow" w:hAnsi="Arial Narrow" w:cs="Tahoma"/>
        <w:b/>
        <w:color w:val="548DD4" w:themeColor="text2" w:themeTint="99"/>
        <w:sz w:val="24"/>
      </w:rPr>
      <w:t>Marco Legal</w:t>
    </w:r>
  </w:p>
  <w:p w14:paraId="3B4B158E" w14:textId="226A9C7F" w:rsidR="00C63FFE" w:rsidRPr="0084250F" w:rsidRDefault="00C63FFE" w:rsidP="0084250F">
    <w:pPr>
      <w:pStyle w:val="Encabezado"/>
      <w:jc w:val="center"/>
      <w:rPr>
        <w:rFonts w:ascii="Arial Narrow" w:hAnsi="Arial Narrow" w:cs="Tahoma"/>
        <w:b/>
        <w:color w:val="548DD4" w:themeColor="text2" w:themeTint="99"/>
        <w:sz w:val="24"/>
      </w:rPr>
    </w:pPr>
    <w:r w:rsidRPr="0084250F">
      <w:rPr>
        <w:rFonts w:ascii="Arial Narrow" w:hAnsi="Arial Narrow" w:cs="Tahoma"/>
        <w:b/>
        <w:color w:val="548DD4" w:themeColor="text2" w:themeTint="99"/>
        <w:sz w:val="24"/>
      </w:rPr>
      <w:t>Informes de</w:t>
    </w:r>
    <w:r>
      <w:rPr>
        <w:rFonts w:ascii="Arial Narrow" w:hAnsi="Arial Narrow" w:cs="Tahoma"/>
        <w:b/>
        <w:color w:val="548DD4" w:themeColor="text2" w:themeTint="99"/>
        <w:sz w:val="24"/>
      </w:rPr>
      <w:t xml:space="preserve"> Avance Físico y Financiero-202</w:t>
    </w:r>
    <w:r w:rsidR="00C9109E">
      <w:rPr>
        <w:rFonts w:ascii="Arial Narrow" w:hAnsi="Arial Narrow" w:cs="Tahoma"/>
        <w:b/>
        <w:color w:val="548DD4" w:themeColor="text2" w:themeTint="99"/>
        <w:sz w:val="24"/>
      </w:rPr>
      <w:t>3</w:t>
    </w:r>
  </w:p>
  <w:p w14:paraId="4A86CE43" w14:textId="77777777" w:rsidR="00C63FFE" w:rsidRDefault="00C63FFE" w:rsidP="0084250F">
    <w:pPr>
      <w:pStyle w:val="Encabezado"/>
      <w:pBdr>
        <w:bottom w:val="double" w:sz="4" w:space="1" w:color="548DD4" w:themeColor="text2" w:themeTint="99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2D8"/>
    <w:multiLevelType w:val="hybridMultilevel"/>
    <w:tmpl w:val="35EC0BA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5C25F8"/>
    <w:multiLevelType w:val="hybridMultilevel"/>
    <w:tmpl w:val="321606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063A"/>
    <w:multiLevelType w:val="hybridMultilevel"/>
    <w:tmpl w:val="64884F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4CB5"/>
    <w:multiLevelType w:val="hybridMultilevel"/>
    <w:tmpl w:val="E0E06B90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AB3631"/>
    <w:multiLevelType w:val="hybridMultilevel"/>
    <w:tmpl w:val="3B56B9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C7CB5"/>
    <w:multiLevelType w:val="hybridMultilevel"/>
    <w:tmpl w:val="79DA2EC4"/>
    <w:lvl w:ilvl="0" w:tplc="100A0017">
      <w:start w:val="1"/>
      <w:numFmt w:val="lowerLetter"/>
      <w:lvlText w:val="%1)"/>
      <w:lvlJc w:val="left"/>
      <w:pPr>
        <w:ind w:left="393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4650" w:hanging="360"/>
      </w:pPr>
    </w:lvl>
    <w:lvl w:ilvl="2" w:tplc="100A001B" w:tentative="1">
      <w:start w:val="1"/>
      <w:numFmt w:val="lowerRoman"/>
      <w:lvlText w:val="%3."/>
      <w:lvlJc w:val="right"/>
      <w:pPr>
        <w:ind w:left="5370" w:hanging="180"/>
      </w:pPr>
    </w:lvl>
    <w:lvl w:ilvl="3" w:tplc="100A000F" w:tentative="1">
      <w:start w:val="1"/>
      <w:numFmt w:val="decimal"/>
      <w:lvlText w:val="%4."/>
      <w:lvlJc w:val="left"/>
      <w:pPr>
        <w:ind w:left="6090" w:hanging="360"/>
      </w:pPr>
    </w:lvl>
    <w:lvl w:ilvl="4" w:tplc="100A0019" w:tentative="1">
      <w:start w:val="1"/>
      <w:numFmt w:val="lowerLetter"/>
      <w:lvlText w:val="%5."/>
      <w:lvlJc w:val="left"/>
      <w:pPr>
        <w:ind w:left="6810" w:hanging="360"/>
      </w:pPr>
    </w:lvl>
    <w:lvl w:ilvl="5" w:tplc="100A001B" w:tentative="1">
      <w:start w:val="1"/>
      <w:numFmt w:val="lowerRoman"/>
      <w:lvlText w:val="%6."/>
      <w:lvlJc w:val="right"/>
      <w:pPr>
        <w:ind w:left="7530" w:hanging="180"/>
      </w:pPr>
    </w:lvl>
    <w:lvl w:ilvl="6" w:tplc="100A000F" w:tentative="1">
      <w:start w:val="1"/>
      <w:numFmt w:val="decimal"/>
      <w:lvlText w:val="%7."/>
      <w:lvlJc w:val="left"/>
      <w:pPr>
        <w:ind w:left="8250" w:hanging="360"/>
      </w:pPr>
    </w:lvl>
    <w:lvl w:ilvl="7" w:tplc="100A0019" w:tentative="1">
      <w:start w:val="1"/>
      <w:numFmt w:val="lowerLetter"/>
      <w:lvlText w:val="%8."/>
      <w:lvlJc w:val="left"/>
      <w:pPr>
        <w:ind w:left="8970" w:hanging="360"/>
      </w:pPr>
    </w:lvl>
    <w:lvl w:ilvl="8" w:tplc="100A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6" w15:restartNumberingAfterBreak="0">
    <w:nsid w:val="2D5603BE"/>
    <w:multiLevelType w:val="hybridMultilevel"/>
    <w:tmpl w:val="A4F245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36627"/>
    <w:multiLevelType w:val="hybridMultilevel"/>
    <w:tmpl w:val="3B20CC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218D5"/>
    <w:multiLevelType w:val="hybridMultilevel"/>
    <w:tmpl w:val="56A0B4A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DC253C"/>
    <w:multiLevelType w:val="hybridMultilevel"/>
    <w:tmpl w:val="AE28A1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41C73"/>
    <w:multiLevelType w:val="hybridMultilevel"/>
    <w:tmpl w:val="41E8E1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C3903"/>
    <w:multiLevelType w:val="hybridMultilevel"/>
    <w:tmpl w:val="12EC48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8494F"/>
    <w:multiLevelType w:val="hybridMultilevel"/>
    <w:tmpl w:val="4E1A96E4"/>
    <w:lvl w:ilvl="0" w:tplc="2688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07CD0"/>
    <w:multiLevelType w:val="hybridMultilevel"/>
    <w:tmpl w:val="1D1C100C"/>
    <w:lvl w:ilvl="0" w:tplc="8482DA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E0313C"/>
    <w:multiLevelType w:val="hybridMultilevel"/>
    <w:tmpl w:val="507649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A45D1"/>
    <w:multiLevelType w:val="hybridMultilevel"/>
    <w:tmpl w:val="95509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A242C"/>
    <w:multiLevelType w:val="hybridMultilevel"/>
    <w:tmpl w:val="8A1CBB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43863"/>
    <w:multiLevelType w:val="hybridMultilevel"/>
    <w:tmpl w:val="6ADE5A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326C7"/>
    <w:multiLevelType w:val="hybridMultilevel"/>
    <w:tmpl w:val="042A39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46768"/>
    <w:multiLevelType w:val="hybridMultilevel"/>
    <w:tmpl w:val="937EED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32973"/>
    <w:multiLevelType w:val="hybridMultilevel"/>
    <w:tmpl w:val="A2BA63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52B5D"/>
    <w:multiLevelType w:val="hybridMultilevel"/>
    <w:tmpl w:val="4F9C7C3E"/>
    <w:lvl w:ilvl="0" w:tplc="05DC1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53A1B"/>
    <w:multiLevelType w:val="hybridMultilevel"/>
    <w:tmpl w:val="EE26ED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23E8E"/>
    <w:multiLevelType w:val="hybridMultilevel"/>
    <w:tmpl w:val="692650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375E1"/>
    <w:multiLevelType w:val="hybridMultilevel"/>
    <w:tmpl w:val="A67A26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3"/>
  </w:num>
  <w:num w:numId="5">
    <w:abstractNumId w:val="8"/>
  </w:num>
  <w:num w:numId="6">
    <w:abstractNumId w:val="16"/>
  </w:num>
  <w:num w:numId="7">
    <w:abstractNumId w:val="21"/>
  </w:num>
  <w:num w:numId="8">
    <w:abstractNumId w:val="12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2"/>
  </w:num>
  <w:num w:numId="18">
    <w:abstractNumId w:val="15"/>
  </w:num>
  <w:num w:numId="19">
    <w:abstractNumId w:val="24"/>
  </w:num>
  <w:num w:numId="20">
    <w:abstractNumId w:val="3"/>
  </w:num>
  <w:num w:numId="21">
    <w:abstractNumId w:val="4"/>
  </w:num>
  <w:num w:numId="22">
    <w:abstractNumId w:val="19"/>
  </w:num>
  <w:num w:numId="23">
    <w:abstractNumId w:val="14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69"/>
    <w:rsid w:val="00023813"/>
    <w:rsid w:val="00034964"/>
    <w:rsid w:val="00040065"/>
    <w:rsid w:val="00042C6B"/>
    <w:rsid w:val="00053D3A"/>
    <w:rsid w:val="00060316"/>
    <w:rsid w:val="00061108"/>
    <w:rsid w:val="000640FE"/>
    <w:rsid w:val="00064B1C"/>
    <w:rsid w:val="00071661"/>
    <w:rsid w:val="000809F7"/>
    <w:rsid w:val="0008490D"/>
    <w:rsid w:val="00095AD8"/>
    <w:rsid w:val="00097732"/>
    <w:rsid w:val="000A063F"/>
    <w:rsid w:val="000A529C"/>
    <w:rsid w:val="000A61A5"/>
    <w:rsid w:val="000B64B8"/>
    <w:rsid w:val="000B68B9"/>
    <w:rsid w:val="000B7B19"/>
    <w:rsid w:val="000D4768"/>
    <w:rsid w:val="000D654E"/>
    <w:rsid w:val="000D75EB"/>
    <w:rsid w:val="000E270C"/>
    <w:rsid w:val="000E3F71"/>
    <w:rsid w:val="000E7F86"/>
    <w:rsid w:val="000F2B5A"/>
    <w:rsid w:val="000F3C2A"/>
    <w:rsid w:val="000F6A7D"/>
    <w:rsid w:val="00102E5E"/>
    <w:rsid w:val="00116179"/>
    <w:rsid w:val="00131963"/>
    <w:rsid w:val="00134F74"/>
    <w:rsid w:val="00134F7C"/>
    <w:rsid w:val="00140EC1"/>
    <w:rsid w:val="001651CC"/>
    <w:rsid w:val="001707A8"/>
    <w:rsid w:val="0017188C"/>
    <w:rsid w:val="00171D4A"/>
    <w:rsid w:val="0018615A"/>
    <w:rsid w:val="00187273"/>
    <w:rsid w:val="001C2813"/>
    <w:rsid w:val="001C455E"/>
    <w:rsid w:val="001C5000"/>
    <w:rsid w:val="001D2403"/>
    <w:rsid w:val="001E2430"/>
    <w:rsid w:val="001E2617"/>
    <w:rsid w:val="001E6E1B"/>
    <w:rsid w:val="001F05D7"/>
    <w:rsid w:val="001F092F"/>
    <w:rsid w:val="001F18CE"/>
    <w:rsid w:val="001F275D"/>
    <w:rsid w:val="00202DDF"/>
    <w:rsid w:val="0020335A"/>
    <w:rsid w:val="00205FC8"/>
    <w:rsid w:val="002111EC"/>
    <w:rsid w:val="0022391D"/>
    <w:rsid w:val="00223E7B"/>
    <w:rsid w:val="002365DF"/>
    <w:rsid w:val="00240405"/>
    <w:rsid w:val="00240A68"/>
    <w:rsid w:val="00241B48"/>
    <w:rsid w:val="002501A5"/>
    <w:rsid w:val="00262E94"/>
    <w:rsid w:val="00267511"/>
    <w:rsid w:val="0027510B"/>
    <w:rsid w:val="00284F90"/>
    <w:rsid w:val="00291BE3"/>
    <w:rsid w:val="00292E95"/>
    <w:rsid w:val="002A0B31"/>
    <w:rsid w:val="002A1AD7"/>
    <w:rsid w:val="002B29C1"/>
    <w:rsid w:val="002C2894"/>
    <w:rsid w:val="002C4867"/>
    <w:rsid w:val="002C7F36"/>
    <w:rsid w:val="002D1BB3"/>
    <w:rsid w:val="002D331E"/>
    <w:rsid w:val="002D4599"/>
    <w:rsid w:val="002E084F"/>
    <w:rsid w:val="002E2729"/>
    <w:rsid w:val="002E31E8"/>
    <w:rsid w:val="002F6ECD"/>
    <w:rsid w:val="003223FF"/>
    <w:rsid w:val="003275AA"/>
    <w:rsid w:val="003312E4"/>
    <w:rsid w:val="00332784"/>
    <w:rsid w:val="00336DD1"/>
    <w:rsid w:val="003411C5"/>
    <w:rsid w:val="00343425"/>
    <w:rsid w:val="003518C4"/>
    <w:rsid w:val="00353E57"/>
    <w:rsid w:val="00365B8D"/>
    <w:rsid w:val="00380048"/>
    <w:rsid w:val="00393D77"/>
    <w:rsid w:val="00396224"/>
    <w:rsid w:val="00397034"/>
    <w:rsid w:val="003A1A5F"/>
    <w:rsid w:val="003A4FBC"/>
    <w:rsid w:val="003B18EA"/>
    <w:rsid w:val="003B3FDB"/>
    <w:rsid w:val="003C4912"/>
    <w:rsid w:val="003E3173"/>
    <w:rsid w:val="003F6A48"/>
    <w:rsid w:val="00403F2B"/>
    <w:rsid w:val="004050E5"/>
    <w:rsid w:val="00406E86"/>
    <w:rsid w:val="004117F5"/>
    <w:rsid w:val="004148CB"/>
    <w:rsid w:val="00414C46"/>
    <w:rsid w:val="00420506"/>
    <w:rsid w:val="00423755"/>
    <w:rsid w:val="00423A0B"/>
    <w:rsid w:val="00436C64"/>
    <w:rsid w:val="004413E2"/>
    <w:rsid w:val="00444B3C"/>
    <w:rsid w:val="004452E4"/>
    <w:rsid w:val="00454A49"/>
    <w:rsid w:val="00471ABC"/>
    <w:rsid w:val="00480A3B"/>
    <w:rsid w:val="0049383F"/>
    <w:rsid w:val="00494716"/>
    <w:rsid w:val="00494946"/>
    <w:rsid w:val="004A0185"/>
    <w:rsid w:val="004A3813"/>
    <w:rsid w:val="004C50EC"/>
    <w:rsid w:val="004D3A89"/>
    <w:rsid w:val="004E0922"/>
    <w:rsid w:val="004F2771"/>
    <w:rsid w:val="00502348"/>
    <w:rsid w:val="00506E01"/>
    <w:rsid w:val="00530D75"/>
    <w:rsid w:val="005314F2"/>
    <w:rsid w:val="00536DE6"/>
    <w:rsid w:val="005445DD"/>
    <w:rsid w:val="00553EC4"/>
    <w:rsid w:val="0055491B"/>
    <w:rsid w:val="00560EB5"/>
    <w:rsid w:val="00564024"/>
    <w:rsid w:val="00565D20"/>
    <w:rsid w:val="005718DB"/>
    <w:rsid w:val="00577CDE"/>
    <w:rsid w:val="005814F7"/>
    <w:rsid w:val="00597C4F"/>
    <w:rsid w:val="005A3296"/>
    <w:rsid w:val="005B310F"/>
    <w:rsid w:val="005C67BE"/>
    <w:rsid w:val="005D22FE"/>
    <w:rsid w:val="005E2D75"/>
    <w:rsid w:val="005E7336"/>
    <w:rsid w:val="005F313D"/>
    <w:rsid w:val="005F51FD"/>
    <w:rsid w:val="005F607B"/>
    <w:rsid w:val="005F6EB6"/>
    <w:rsid w:val="006062E7"/>
    <w:rsid w:val="0060724B"/>
    <w:rsid w:val="006128C4"/>
    <w:rsid w:val="00635F85"/>
    <w:rsid w:val="00641074"/>
    <w:rsid w:val="0065015B"/>
    <w:rsid w:val="00657E35"/>
    <w:rsid w:val="00665146"/>
    <w:rsid w:val="00672F2E"/>
    <w:rsid w:val="00674236"/>
    <w:rsid w:val="00674F69"/>
    <w:rsid w:val="00675ED8"/>
    <w:rsid w:val="00677209"/>
    <w:rsid w:val="00693DC8"/>
    <w:rsid w:val="006A1699"/>
    <w:rsid w:val="006A2D2E"/>
    <w:rsid w:val="006C7542"/>
    <w:rsid w:val="006D67C3"/>
    <w:rsid w:val="006E115E"/>
    <w:rsid w:val="006E178A"/>
    <w:rsid w:val="006E7BE3"/>
    <w:rsid w:val="00710341"/>
    <w:rsid w:val="007127B1"/>
    <w:rsid w:val="00716AFE"/>
    <w:rsid w:val="00723D85"/>
    <w:rsid w:val="00735726"/>
    <w:rsid w:val="00740F8F"/>
    <w:rsid w:val="00752C3C"/>
    <w:rsid w:val="007533D8"/>
    <w:rsid w:val="00753768"/>
    <w:rsid w:val="00761B59"/>
    <w:rsid w:val="00772FC1"/>
    <w:rsid w:val="007A20B4"/>
    <w:rsid w:val="007A7DA0"/>
    <w:rsid w:val="007C4329"/>
    <w:rsid w:val="007C58C2"/>
    <w:rsid w:val="007E6AEA"/>
    <w:rsid w:val="007F3548"/>
    <w:rsid w:val="007F5BDB"/>
    <w:rsid w:val="00803B10"/>
    <w:rsid w:val="00820CDF"/>
    <w:rsid w:val="00824515"/>
    <w:rsid w:val="00825E3E"/>
    <w:rsid w:val="0083458E"/>
    <w:rsid w:val="00834D61"/>
    <w:rsid w:val="008354D5"/>
    <w:rsid w:val="00841F30"/>
    <w:rsid w:val="0084250F"/>
    <w:rsid w:val="00882A3C"/>
    <w:rsid w:val="008864D3"/>
    <w:rsid w:val="008B43D9"/>
    <w:rsid w:val="008C0118"/>
    <w:rsid w:val="008D72B3"/>
    <w:rsid w:val="008E3E5D"/>
    <w:rsid w:val="008E45C2"/>
    <w:rsid w:val="008F28FC"/>
    <w:rsid w:val="008F2D04"/>
    <w:rsid w:val="008F70EA"/>
    <w:rsid w:val="009039B6"/>
    <w:rsid w:val="00912B16"/>
    <w:rsid w:val="00913511"/>
    <w:rsid w:val="0091795F"/>
    <w:rsid w:val="00924765"/>
    <w:rsid w:val="009251E0"/>
    <w:rsid w:val="00926195"/>
    <w:rsid w:val="00934F89"/>
    <w:rsid w:val="00961114"/>
    <w:rsid w:val="00983907"/>
    <w:rsid w:val="00984718"/>
    <w:rsid w:val="00985716"/>
    <w:rsid w:val="009B12CE"/>
    <w:rsid w:val="009C49D2"/>
    <w:rsid w:val="009D24A3"/>
    <w:rsid w:val="009E717E"/>
    <w:rsid w:val="009E761A"/>
    <w:rsid w:val="00A01583"/>
    <w:rsid w:val="00A06EC6"/>
    <w:rsid w:val="00A07AEF"/>
    <w:rsid w:val="00A13D7C"/>
    <w:rsid w:val="00A16995"/>
    <w:rsid w:val="00A27372"/>
    <w:rsid w:val="00A36884"/>
    <w:rsid w:val="00A36E1E"/>
    <w:rsid w:val="00A42E6A"/>
    <w:rsid w:val="00A61ACB"/>
    <w:rsid w:val="00A62394"/>
    <w:rsid w:val="00A823C6"/>
    <w:rsid w:val="00A86C97"/>
    <w:rsid w:val="00A92ADD"/>
    <w:rsid w:val="00AA45C4"/>
    <w:rsid w:val="00AB0EF0"/>
    <w:rsid w:val="00AB24B8"/>
    <w:rsid w:val="00AB4642"/>
    <w:rsid w:val="00AB472B"/>
    <w:rsid w:val="00AC7823"/>
    <w:rsid w:val="00AD78E3"/>
    <w:rsid w:val="00AE7331"/>
    <w:rsid w:val="00B07563"/>
    <w:rsid w:val="00B2059F"/>
    <w:rsid w:val="00B24595"/>
    <w:rsid w:val="00B24B73"/>
    <w:rsid w:val="00B24FC7"/>
    <w:rsid w:val="00B475AC"/>
    <w:rsid w:val="00B839FA"/>
    <w:rsid w:val="00B85707"/>
    <w:rsid w:val="00B86F63"/>
    <w:rsid w:val="00B974BB"/>
    <w:rsid w:val="00BA2AA0"/>
    <w:rsid w:val="00BB304C"/>
    <w:rsid w:val="00BB56BE"/>
    <w:rsid w:val="00BB695B"/>
    <w:rsid w:val="00BB6AA6"/>
    <w:rsid w:val="00BC38E4"/>
    <w:rsid w:val="00BC61E8"/>
    <w:rsid w:val="00BC6DF9"/>
    <w:rsid w:val="00BC791B"/>
    <w:rsid w:val="00BD27ED"/>
    <w:rsid w:val="00BD5BA3"/>
    <w:rsid w:val="00BE2603"/>
    <w:rsid w:val="00BE3862"/>
    <w:rsid w:val="00BE5D80"/>
    <w:rsid w:val="00BF43AA"/>
    <w:rsid w:val="00C04372"/>
    <w:rsid w:val="00C060B2"/>
    <w:rsid w:val="00C06EE8"/>
    <w:rsid w:val="00C20C6A"/>
    <w:rsid w:val="00C337CF"/>
    <w:rsid w:val="00C358BC"/>
    <w:rsid w:val="00C41368"/>
    <w:rsid w:val="00C44774"/>
    <w:rsid w:val="00C456CD"/>
    <w:rsid w:val="00C63FFE"/>
    <w:rsid w:val="00C76707"/>
    <w:rsid w:val="00C76B41"/>
    <w:rsid w:val="00C77CC4"/>
    <w:rsid w:val="00C85150"/>
    <w:rsid w:val="00C90B50"/>
    <w:rsid w:val="00C9109E"/>
    <w:rsid w:val="00C94B33"/>
    <w:rsid w:val="00C97777"/>
    <w:rsid w:val="00CA26F9"/>
    <w:rsid w:val="00CB0EEA"/>
    <w:rsid w:val="00CB3EAE"/>
    <w:rsid w:val="00CC4CF8"/>
    <w:rsid w:val="00CD05F7"/>
    <w:rsid w:val="00CD7085"/>
    <w:rsid w:val="00CD7C15"/>
    <w:rsid w:val="00CF2969"/>
    <w:rsid w:val="00CF2A9C"/>
    <w:rsid w:val="00D00586"/>
    <w:rsid w:val="00D05DAE"/>
    <w:rsid w:val="00D1182C"/>
    <w:rsid w:val="00D26958"/>
    <w:rsid w:val="00D37FF9"/>
    <w:rsid w:val="00D4397D"/>
    <w:rsid w:val="00D55EDC"/>
    <w:rsid w:val="00D62F1E"/>
    <w:rsid w:val="00D75A60"/>
    <w:rsid w:val="00D766B4"/>
    <w:rsid w:val="00D807BB"/>
    <w:rsid w:val="00D81E76"/>
    <w:rsid w:val="00D85833"/>
    <w:rsid w:val="00D92A8B"/>
    <w:rsid w:val="00D94509"/>
    <w:rsid w:val="00DA07A5"/>
    <w:rsid w:val="00DA0B43"/>
    <w:rsid w:val="00DB344B"/>
    <w:rsid w:val="00DC14F0"/>
    <w:rsid w:val="00DC7939"/>
    <w:rsid w:val="00DD20E2"/>
    <w:rsid w:val="00DE1465"/>
    <w:rsid w:val="00E02676"/>
    <w:rsid w:val="00E04064"/>
    <w:rsid w:val="00E0426A"/>
    <w:rsid w:val="00E1125D"/>
    <w:rsid w:val="00E30AD2"/>
    <w:rsid w:val="00E334B1"/>
    <w:rsid w:val="00E33907"/>
    <w:rsid w:val="00E571C6"/>
    <w:rsid w:val="00E724BC"/>
    <w:rsid w:val="00E80A7E"/>
    <w:rsid w:val="00E8220A"/>
    <w:rsid w:val="00EA02C6"/>
    <w:rsid w:val="00EA2949"/>
    <w:rsid w:val="00EA42F5"/>
    <w:rsid w:val="00EA4B93"/>
    <w:rsid w:val="00EB27B2"/>
    <w:rsid w:val="00EB5F56"/>
    <w:rsid w:val="00EC44DA"/>
    <w:rsid w:val="00EC5AF5"/>
    <w:rsid w:val="00EC78AE"/>
    <w:rsid w:val="00ED21F6"/>
    <w:rsid w:val="00ED2CB2"/>
    <w:rsid w:val="00EE19DB"/>
    <w:rsid w:val="00EE68C0"/>
    <w:rsid w:val="00EF2FC7"/>
    <w:rsid w:val="00EF3730"/>
    <w:rsid w:val="00EF3B32"/>
    <w:rsid w:val="00EF513C"/>
    <w:rsid w:val="00EF72D3"/>
    <w:rsid w:val="00F034D4"/>
    <w:rsid w:val="00F1122D"/>
    <w:rsid w:val="00F135E7"/>
    <w:rsid w:val="00F15BB0"/>
    <w:rsid w:val="00F171B9"/>
    <w:rsid w:val="00F370B4"/>
    <w:rsid w:val="00F37F6B"/>
    <w:rsid w:val="00F40DC4"/>
    <w:rsid w:val="00F425EB"/>
    <w:rsid w:val="00F42F8F"/>
    <w:rsid w:val="00F45F78"/>
    <w:rsid w:val="00F52A6B"/>
    <w:rsid w:val="00F60B24"/>
    <w:rsid w:val="00F623FA"/>
    <w:rsid w:val="00F847FD"/>
    <w:rsid w:val="00FA6A09"/>
    <w:rsid w:val="00FC1274"/>
    <w:rsid w:val="00FC2AEE"/>
    <w:rsid w:val="00FC2D4C"/>
    <w:rsid w:val="00FC5398"/>
    <w:rsid w:val="00FD5AE9"/>
    <w:rsid w:val="00FD7810"/>
    <w:rsid w:val="00FF261D"/>
    <w:rsid w:val="00FF49C2"/>
    <w:rsid w:val="00FF53F4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BEA269"/>
  <w15:docId w15:val="{B5279962-60BC-406D-B657-DD7D031C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24BC"/>
    <w:pPr>
      <w:tabs>
        <w:tab w:val="center" w:pos="4252"/>
        <w:tab w:val="right" w:pos="8504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E724BC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E724BC"/>
    <w:pPr>
      <w:tabs>
        <w:tab w:val="center" w:pos="4252"/>
        <w:tab w:val="right" w:pos="8504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4BC"/>
    <w:rPr>
      <w:lang w:val="es-GT"/>
    </w:rPr>
  </w:style>
  <w:style w:type="paragraph" w:styleId="Prrafodelista">
    <w:name w:val="List Paragraph"/>
    <w:basedOn w:val="Normal"/>
    <w:uiPriority w:val="34"/>
    <w:qFormat/>
    <w:rsid w:val="00E724BC"/>
    <w:pPr>
      <w:ind w:left="720"/>
      <w:contextualSpacing/>
    </w:pPr>
    <w:rPr>
      <w:lang w:val="es-G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F18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F18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F18C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F18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18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F18C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465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06E86"/>
    <w:pPr>
      <w:spacing w:after="0" w:line="240" w:lineRule="auto"/>
    </w:pPr>
    <w:rPr>
      <w:rFonts w:eastAsiaTheme="minorEastAsia"/>
      <w:lang w:val="es-GT"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06E86"/>
    <w:rPr>
      <w:rFonts w:eastAsiaTheme="minorEastAsia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DB7E392D5B4C7F8274CD86E359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F629-31A2-49A4-88C6-0810DD04714A}"/>
      </w:docPartPr>
      <w:docPartBody>
        <w:p w:rsidR="00784568" w:rsidRDefault="00CC5564" w:rsidP="00CC5564">
          <w:pPr>
            <w:pStyle w:val="BDDB7E392D5B4C7F8274CD86E359FF3A"/>
          </w:pPr>
          <w:r>
            <w:rPr>
              <w:color w:val="2F5496" w:themeColor="accent1" w:themeShade="BF"/>
              <w:sz w:val="24"/>
              <w:szCs w:val="24"/>
              <w:lang w:val="es-ES"/>
            </w:rPr>
            <w:t>[Nombre de la compañía]</w:t>
          </w:r>
        </w:p>
      </w:docPartBody>
    </w:docPart>
    <w:docPart>
      <w:docPartPr>
        <w:name w:val="C42BD28766134CA194117B85FBB34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1C0FB-8E40-451F-90C9-001E0F7F6B95}"/>
      </w:docPartPr>
      <w:docPartBody>
        <w:p w:rsidR="00784568" w:rsidRDefault="00CC5564" w:rsidP="00CC5564">
          <w:pPr>
            <w:pStyle w:val="C42BD28766134CA194117B85FBB34ED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  <w:lang w:val="es-ES"/>
            </w:rPr>
            <w:t>[Título del documento]</w:t>
          </w:r>
        </w:p>
      </w:docPartBody>
    </w:docPart>
    <w:docPart>
      <w:docPartPr>
        <w:name w:val="904954C91BF14DC2B5DDB510EDE03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E23C9-35C1-4F65-885C-E2724799562C}"/>
      </w:docPartPr>
      <w:docPartBody>
        <w:p w:rsidR="00784568" w:rsidRDefault="00CC5564" w:rsidP="00CC5564">
          <w:pPr>
            <w:pStyle w:val="904954C91BF14DC2B5DDB510EDE03115"/>
          </w:pPr>
          <w:r>
            <w:rPr>
              <w:color w:val="4472C4" w:themeColor="accent1"/>
              <w:sz w:val="28"/>
              <w:szCs w:val="2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64"/>
    <w:rsid w:val="001A091E"/>
    <w:rsid w:val="002A315F"/>
    <w:rsid w:val="00784568"/>
    <w:rsid w:val="007F01B1"/>
    <w:rsid w:val="00BC1A5F"/>
    <w:rsid w:val="00CC46F2"/>
    <w:rsid w:val="00CC5564"/>
    <w:rsid w:val="00F5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DDB7E392D5B4C7F8274CD86E359FF3A">
    <w:name w:val="BDDB7E392D5B4C7F8274CD86E359FF3A"/>
    <w:rsid w:val="00CC5564"/>
  </w:style>
  <w:style w:type="paragraph" w:customStyle="1" w:styleId="C42BD28766134CA194117B85FBB34ED5">
    <w:name w:val="C42BD28766134CA194117B85FBB34ED5"/>
    <w:rsid w:val="00CC5564"/>
  </w:style>
  <w:style w:type="paragraph" w:customStyle="1" w:styleId="904954C91BF14DC2B5DDB510EDE03115">
    <w:name w:val="904954C91BF14DC2B5DDB510EDE03115"/>
    <w:rsid w:val="00CC5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323870-3C3E-4226-8F87-93E9AAFA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8</Pages>
  <Words>1480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Marco Legal Informes de Avance Físico y Financiero 2023</vt:lpstr>
    </vt:vector>
  </TitlesOfParts>
  <Company>Anexo “A”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Legal Informes de Avance Físico y Financiero 2023</dc:title>
  <dc:subject/>
  <dc:creator>Ministerio de Finanzas Públicas, Dirección de Transparencia Fiscal</dc:creator>
  <cp:keywords/>
  <dc:description/>
  <cp:lastModifiedBy>Silvia Yolanda Marquez Sajquin</cp:lastModifiedBy>
  <cp:revision>56</cp:revision>
  <cp:lastPrinted>2022-12-19T21:19:00Z</cp:lastPrinted>
  <dcterms:created xsi:type="dcterms:W3CDTF">2022-12-09T18:28:00Z</dcterms:created>
  <dcterms:modified xsi:type="dcterms:W3CDTF">2023-01-09T17:18:00Z</dcterms:modified>
</cp:coreProperties>
</file>