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  <w:bookmarkStart w:id="0" w:name="_GoBack"/>
      <w:bookmarkEnd w:id="0"/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ED1B19" w:rsidRPr="00F35D77" w:rsidRDefault="00ED1B19" w:rsidP="00E4081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557D28">
        <w:rPr>
          <w:rFonts w:cs="Arial"/>
          <w:b/>
        </w:rPr>
        <w:t>1</w:t>
      </w:r>
      <w:r w:rsidR="00B82B82">
        <w:rPr>
          <w:rFonts w:cs="Arial"/>
          <w:b/>
        </w:rPr>
        <w:t>2</w:t>
      </w:r>
      <w:r w:rsidRPr="008073B3">
        <w:rPr>
          <w:rFonts w:cs="Arial"/>
          <w:b/>
        </w:rPr>
        <w:t>-20</w:t>
      </w:r>
      <w:r w:rsidR="00B82B82">
        <w:rPr>
          <w:rFonts w:cs="Arial"/>
          <w:b/>
        </w:rPr>
        <w:t>20</w:t>
      </w:r>
    </w:p>
    <w:p w:rsidR="00502915" w:rsidRPr="00F35D77" w:rsidRDefault="00ED1B19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FC0F14">
        <w:rPr>
          <w:rFonts w:cs="Arial"/>
          <w:b/>
        </w:rPr>
        <w:t>3</w:t>
      </w:r>
      <w:r w:rsidR="00F67186">
        <w:rPr>
          <w:rFonts w:cs="Arial"/>
          <w:b/>
        </w:rPr>
        <w:t>1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F67186">
        <w:rPr>
          <w:rFonts w:cs="Arial"/>
          <w:b/>
        </w:rPr>
        <w:t>diciembre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201</w:t>
      </w:r>
      <w:r w:rsidR="008D10E5">
        <w:rPr>
          <w:rFonts w:cs="Arial"/>
          <w:b/>
        </w:rPr>
        <w:t>9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384E40">
        <w:rPr>
          <w:rFonts w:cs="Arial"/>
        </w:rPr>
        <w:t>3</w:t>
      </w:r>
      <w:r w:rsidR="00B97973">
        <w:rPr>
          <w:rFonts w:cs="Arial"/>
        </w:rPr>
        <w:t xml:space="preserve">1 </w:t>
      </w:r>
      <w:r w:rsidR="00384E40">
        <w:rPr>
          <w:rFonts w:cs="Arial"/>
        </w:rPr>
        <w:t>de</w:t>
      </w:r>
      <w:r w:rsidR="00B97973">
        <w:rPr>
          <w:rFonts w:cs="Arial"/>
        </w:rPr>
        <w:t xml:space="preserve"> dic</w:t>
      </w:r>
      <w:r w:rsidR="00061C39">
        <w:rPr>
          <w:rFonts w:cs="Arial"/>
        </w:rPr>
        <w:t xml:space="preserve">iembre </w:t>
      </w:r>
      <w:r w:rsidR="00DE6DD2" w:rsidRPr="00ED1B19">
        <w:rPr>
          <w:rFonts w:cs="Arial"/>
        </w:rPr>
        <w:t>201</w:t>
      </w:r>
      <w:r w:rsidR="00E7649A">
        <w:rPr>
          <w:rFonts w:cs="Arial"/>
        </w:rPr>
        <w:t>9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193CE9">
        <w:rPr>
          <w:rFonts w:cs="Arial"/>
        </w:rPr>
        <w:t>17</w:t>
      </w:r>
      <w:proofErr w:type="gramStart"/>
      <w:r w:rsidR="00193CE9">
        <w:rPr>
          <w:rFonts w:cs="Arial"/>
        </w:rPr>
        <w:t>,</w:t>
      </w:r>
      <w:r w:rsidR="009C01E6">
        <w:rPr>
          <w:rFonts w:cs="Arial"/>
        </w:rPr>
        <w:t>682.1</w:t>
      </w:r>
      <w:proofErr w:type="gramEnd"/>
      <w:r w:rsidR="009C01E6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9C01E6">
        <w:rPr>
          <w:rFonts w:cs="Arial"/>
          <w:b/>
        </w:rPr>
        <w:t>diciembre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DE6DD2" w:rsidRPr="00343A69">
        <w:rPr>
          <w:rFonts w:cs="Arial"/>
          <w:b/>
        </w:rPr>
        <w:t>01</w:t>
      </w:r>
      <w:r w:rsidR="0093481F">
        <w:rPr>
          <w:rFonts w:cs="Arial"/>
          <w:b/>
        </w:rPr>
        <w:t>9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537A32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  <w:r>
        <w:rPr>
          <w:noProof/>
          <w:lang w:val="es-GT" w:eastAsia="es-GT"/>
        </w:rPr>
        <w:drawing>
          <wp:inline distT="0" distB="0" distL="0" distR="0" wp14:anchorId="1D445E5A" wp14:editId="702620FC">
            <wp:extent cx="5149901" cy="2699309"/>
            <wp:effectExtent l="0" t="0" r="12700" b="2540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Pr="00ED1B19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17,</w:t>
      </w:r>
      <w:r w:rsidR="00537A32">
        <w:rPr>
          <w:rFonts w:cs="Arial"/>
        </w:rPr>
        <w:t xml:space="preserve">682.1 </w:t>
      </w:r>
      <w:r w:rsidR="007211B5">
        <w:rPr>
          <w:rFonts w:cs="Arial"/>
        </w:rPr>
        <w:t>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</w:t>
      </w:r>
      <w:r w:rsidR="00537A32">
        <w:rPr>
          <w:rFonts w:cs="Arial"/>
        </w:rPr>
        <w:t>316.42</w:t>
      </w:r>
      <w:r w:rsidR="005B12F6">
        <w:rPr>
          <w:rFonts w:cs="Arial"/>
        </w:rPr>
        <w:t xml:space="preserve"> </w:t>
      </w:r>
      <w:r w:rsidR="007211B5">
        <w:rPr>
          <w:rFonts w:cs="Arial"/>
        </w:rPr>
        <w:t>millones (70</w:t>
      </w:r>
      <w:r w:rsidRPr="003022F7">
        <w:rPr>
          <w:rFonts w:cs="Arial"/>
        </w:rPr>
        <w:t>%) otorgados a fideicomisos de categoría no reembolsable; Q. 1,52</w:t>
      </w:r>
      <w:r w:rsidR="007211B5">
        <w:rPr>
          <w:rFonts w:cs="Arial"/>
        </w:rPr>
        <w:t>9.39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9</w:t>
      </w:r>
      <w:r w:rsidRPr="003022F7">
        <w:rPr>
          <w:rFonts w:cs="Arial"/>
        </w:rPr>
        <w:t>%) a fideicomisos reembolsables, y a fideicomisos de categoría mixta, 3,</w:t>
      </w:r>
      <w:r w:rsidR="00537A32">
        <w:rPr>
          <w:rFonts w:cs="Arial"/>
        </w:rPr>
        <w:t>836.29</w:t>
      </w:r>
      <w:r w:rsidR="00DB629A">
        <w:rPr>
          <w:rFonts w:cs="Arial"/>
        </w:rPr>
        <w:t xml:space="preserve"> </w:t>
      </w:r>
      <w:r w:rsidRPr="003022F7">
        <w:rPr>
          <w:rFonts w:cs="Arial"/>
        </w:rPr>
        <w:t>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39B" w:rsidRDefault="00C7339B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lastRenderedPageBreak/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="006472F7">
        <w:rPr>
          <w:rFonts w:cs="Arial"/>
          <w:b/>
        </w:rPr>
        <w:t>diciembre</w:t>
      </w:r>
      <w:r w:rsidR="002E7723">
        <w:rPr>
          <w:rFonts w:cs="Arial"/>
          <w:b/>
        </w:rPr>
        <w:t xml:space="preserve"> </w:t>
      </w:r>
      <w:r w:rsidRPr="00343A69">
        <w:rPr>
          <w:rFonts w:cs="Arial"/>
          <w:b/>
        </w:rPr>
        <w:t>201</w:t>
      </w:r>
      <w:r>
        <w:rPr>
          <w:rFonts w:cs="Arial"/>
          <w:b/>
        </w:rPr>
        <w:t>9</w:t>
      </w:r>
      <w:r w:rsidRPr="00343A69">
        <w:rPr>
          <w:rFonts w:cs="Arial"/>
          <w:b/>
        </w:rPr>
        <w:tab/>
      </w:r>
    </w:p>
    <w:p w:rsidR="00170BF4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A412C4" w:rsidRDefault="00A412C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6472F7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noProof/>
          <w:lang w:val="es-GT" w:eastAsia="es-GT"/>
        </w:rPr>
        <w:drawing>
          <wp:inline distT="0" distB="0" distL="0" distR="0" wp14:anchorId="05C86840" wp14:editId="74540F20">
            <wp:extent cx="3621024" cy="1594714"/>
            <wp:effectExtent l="0" t="0" r="17780" b="2476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F2E8D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814CE3" w:rsidRDefault="00885B56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969EF">
        <w:rPr>
          <w:rFonts w:cs="Arial"/>
          <w:color w:val="000000" w:themeColor="text1"/>
        </w:rPr>
        <w:t xml:space="preserve">Para el ejercicio fiscal </w:t>
      </w:r>
      <w:r w:rsidR="00F830DC">
        <w:rPr>
          <w:rFonts w:cs="Arial"/>
          <w:color w:val="000000"/>
        </w:rPr>
        <w:t>2017</w:t>
      </w:r>
      <w:r>
        <w:rPr>
          <w:rFonts w:cs="Arial"/>
          <w:color w:val="000000"/>
        </w:rPr>
        <w:t xml:space="preserve"> </w:t>
      </w:r>
      <w:r w:rsidR="00707B9D" w:rsidRPr="005F39CB">
        <w:rPr>
          <w:rFonts w:cs="Arial"/>
          <w:color w:val="000000" w:themeColor="text1"/>
        </w:rPr>
        <w:t>la inversi</w:t>
      </w:r>
      <w:r w:rsidR="00707B9D" w:rsidRPr="00EA0193">
        <w:rPr>
          <w:rFonts w:cs="Arial"/>
          <w:color w:val="000000" w:themeColor="text1"/>
        </w:rPr>
        <w:t xml:space="preserve">ón no reembolsable </w:t>
      </w:r>
      <w:r w:rsidR="00D05751" w:rsidRPr="00EA0193">
        <w:rPr>
          <w:rFonts w:cs="Arial"/>
          <w:color w:val="000000" w:themeColor="text1"/>
        </w:rPr>
        <w:t>(</w:t>
      </w:r>
      <w:r w:rsidR="005F39CB" w:rsidRPr="00EA0193">
        <w:rPr>
          <w:rFonts w:cs="Arial"/>
          <w:color w:val="000000" w:themeColor="text1"/>
        </w:rPr>
        <w:t xml:space="preserve">ejecución de proyectos no </w:t>
      </w:r>
      <w:r w:rsidR="005F39CB" w:rsidRPr="004969EF">
        <w:rPr>
          <w:rFonts w:cs="Arial"/>
          <w:color w:val="000000" w:themeColor="text1"/>
        </w:rPr>
        <w:t>reembolsables y</w:t>
      </w:r>
      <w:r w:rsidR="00D05751" w:rsidRPr="004969EF">
        <w:rPr>
          <w:rFonts w:cs="Arial"/>
          <w:color w:val="000000" w:themeColor="text1"/>
        </w:rPr>
        <w:t xml:space="preserve"> </w:t>
      </w:r>
      <w:r w:rsidR="005F39CB" w:rsidRPr="004969EF">
        <w:rPr>
          <w:rFonts w:cs="Arial"/>
          <w:color w:val="000000" w:themeColor="text1"/>
        </w:rPr>
        <w:t>gastos por funcionamiento</w:t>
      </w:r>
      <w:r w:rsidR="00D05751" w:rsidRPr="004969EF">
        <w:rPr>
          <w:rFonts w:cs="Arial"/>
          <w:color w:val="000000" w:themeColor="text1"/>
        </w:rPr>
        <w:t xml:space="preserve">) </w:t>
      </w:r>
      <w:r w:rsidR="00707B9D" w:rsidRPr="004969EF">
        <w:rPr>
          <w:rFonts w:cs="Arial"/>
          <w:color w:val="000000"/>
        </w:rPr>
        <w:t>ascend</w:t>
      </w:r>
      <w:r w:rsidR="00ED1B19" w:rsidRPr="004969EF">
        <w:rPr>
          <w:rFonts w:cs="Arial"/>
          <w:color w:val="000000"/>
        </w:rPr>
        <w:t>ió</w:t>
      </w:r>
      <w:r w:rsidR="00707B9D" w:rsidRPr="004969EF">
        <w:rPr>
          <w:rFonts w:cs="Arial"/>
          <w:color w:val="000000"/>
        </w:rPr>
        <w:t xml:space="preserve"> a </w:t>
      </w:r>
      <w:r w:rsidR="00B718F3" w:rsidRPr="00757988">
        <w:rPr>
          <w:rFonts w:cs="Arial"/>
          <w:color w:val="000000"/>
        </w:rPr>
        <w:t>Q.</w:t>
      </w:r>
      <w:r w:rsidR="0093222A" w:rsidRPr="00757988">
        <w:rPr>
          <w:rFonts w:cs="Arial"/>
          <w:color w:val="000000"/>
        </w:rPr>
        <w:t>1</w:t>
      </w:r>
      <w:proofErr w:type="gramStart"/>
      <w:r w:rsidR="0093222A" w:rsidRPr="00757988">
        <w:rPr>
          <w:rFonts w:cs="Arial"/>
          <w:color w:val="000000"/>
        </w:rPr>
        <w:t>,</w:t>
      </w:r>
      <w:r w:rsidR="00F830DC">
        <w:rPr>
          <w:rFonts w:cs="Arial"/>
          <w:color w:val="000000"/>
        </w:rPr>
        <w:t>268.6</w:t>
      </w:r>
      <w:r w:rsidR="0093222A" w:rsidRPr="00757988">
        <w:rPr>
          <w:rFonts w:cs="Arial"/>
          <w:color w:val="000000"/>
        </w:rPr>
        <w:t>8</w:t>
      </w:r>
      <w:proofErr w:type="gramEnd"/>
      <w:r w:rsidR="0093222A" w:rsidRPr="00757988">
        <w:rPr>
          <w:rFonts w:cs="Arial"/>
          <w:color w:val="000000"/>
        </w:rPr>
        <w:t xml:space="preserve"> millones</w:t>
      </w:r>
      <w:r w:rsidR="003D4692">
        <w:rPr>
          <w:rFonts w:cs="Arial"/>
          <w:color w:val="000000"/>
        </w:rPr>
        <w:t xml:space="preserve"> y para el año 201</w:t>
      </w:r>
      <w:r w:rsidR="00C86D3E">
        <w:rPr>
          <w:rFonts w:cs="Arial"/>
          <w:color w:val="000000"/>
        </w:rPr>
        <w:t>8</w:t>
      </w:r>
      <w:r w:rsidR="003D4692">
        <w:rPr>
          <w:rFonts w:cs="Arial"/>
          <w:color w:val="000000"/>
        </w:rPr>
        <w:t xml:space="preserve"> r</w:t>
      </w:r>
      <w:r w:rsidR="003D4692" w:rsidRPr="00BD50CC">
        <w:rPr>
          <w:rFonts w:cs="Arial"/>
          <w:color w:val="000000" w:themeColor="text1"/>
        </w:rPr>
        <w:t>eflej</w:t>
      </w:r>
      <w:r w:rsidR="006A2D06" w:rsidRPr="00BD50CC">
        <w:rPr>
          <w:rFonts w:cs="Arial"/>
          <w:color w:val="000000" w:themeColor="text1"/>
        </w:rPr>
        <w:t>ó</w:t>
      </w:r>
      <w:r w:rsidR="003D4692">
        <w:rPr>
          <w:rFonts w:cs="Arial"/>
          <w:color w:val="000000"/>
        </w:rPr>
        <w:t xml:space="preserve"> Q.1,</w:t>
      </w:r>
      <w:r w:rsidR="00C86D3E">
        <w:rPr>
          <w:rFonts w:cs="Arial"/>
          <w:color w:val="000000"/>
        </w:rPr>
        <w:t xml:space="preserve">612.4 </w:t>
      </w:r>
      <w:r w:rsidR="003D4692">
        <w:rPr>
          <w:rFonts w:cs="Arial"/>
          <w:color w:val="000000"/>
        </w:rPr>
        <w:t>millones.</w:t>
      </w:r>
      <w:r w:rsidR="00814CE3">
        <w:rPr>
          <w:rFonts w:cs="Arial"/>
          <w:color w:val="000000"/>
        </w:rPr>
        <w:t xml:space="preserve"> </w:t>
      </w:r>
      <w:r w:rsidR="00B4387B">
        <w:rPr>
          <w:rFonts w:cs="Arial"/>
          <w:color w:val="000000" w:themeColor="text1"/>
        </w:rPr>
        <w:t>A</w:t>
      </w:r>
      <w:r w:rsidR="009728F8">
        <w:rPr>
          <w:rFonts w:cs="Arial"/>
          <w:color w:val="000000" w:themeColor="text1"/>
        </w:rPr>
        <w:t xml:space="preserve"> </w:t>
      </w:r>
      <w:r w:rsidR="006472F7">
        <w:rPr>
          <w:rFonts w:cs="Arial"/>
          <w:color w:val="000000" w:themeColor="text1"/>
        </w:rPr>
        <w:t xml:space="preserve">diciembre </w:t>
      </w:r>
      <w:r w:rsidR="00707B9D" w:rsidRPr="00C3420B">
        <w:rPr>
          <w:rFonts w:cs="Arial"/>
          <w:color w:val="000000"/>
        </w:rPr>
        <w:t>201</w:t>
      </w:r>
      <w:r w:rsidR="009728F8">
        <w:rPr>
          <w:rFonts w:cs="Arial"/>
          <w:color w:val="000000"/>
        </w:rPr>
        <w:t>9</w:t>
      </w:r>
      <w:r w:rsidR="00133CD9" w:rsidRPr="00C3420B">
        <w:rPr>
          <w:rFonts w:cs="Arial"/>
          <w:color w:val="000000"/>
        </w:rPr>
        <w:t xml:space="preserve"> </w:t>
      </w:r>
      <w:r w:rsidR="00133CD9" w:rsidRPr="0007600F">
        <w:rPr>
          <w:rFonts w:cs="Arial"/>
          <w:color w:val="000000"/>
        </w:rPr>
        <w:t>la inversión no reembolsable reflej</w:t>
      </w:r>
      <w:r w:rsidR="003C4ED9" w:rsidRPr="0007600F">
        <w:rPr>
          <w:rFonts w:cs="Arial"/>
          <w:color w:val="000000"/>
        </w:rPr>
        <w:t>ó</w:t>
      </w:r>
      <w:r w:rsidR="00F93CD9">
        <w:rPr>
          <w:rFonts w:cs="Arial"/>
          <w:color w:val="000000"/>
        </w:rPr>
        <w:t xml:space="preserve"> </w:t>
      </w:r>
      <w:r w:rsidR="001D50AC">
        <w:rPr>
          <w:rFonts w:cs="Arial"/>
          <w:color w:val="000000"/>
        </w:rPr>
        <w:t>Q.</w:t>
      </w:r>
      <w:r w:rsidR="00A57887">
        <w:rPr>
          <w:rFonts w:cs="Arial"/>
          <w:color w:val="000000"/>
        </w:rPr>
        <w:t>1</w:t>
      </w:r>
      <w:proofErr w:type="gramStart"/>
      <w:r w:rsidR="00404539">
        <w:rPr>
          <w:rFonts w:cs="Arial"/>
          <w:color w:val="000000"/>
        </w:rPr>
        <w:t>,</w:t>
      </w:r>
      <w:r w:rsidR="006472F7">
        <w:rPr>
          <w:rFonts w:cs="Arial"/>
          <w:color w:val="000000"/>
        </w:rPr>
        <w:t>241.6</w:t>
      </w:r>
      <w:proofErr w:type="gramEnd"/>
      <w:r w:rsidR="001E50B5">
        <w:rPr>
          <w:rFonts w:cs="Arial"/>
          <w:color w:val="000000"/>
        </w:rPr>
        <w:t xml:space="preserve"> </w:t>
      </w:r>
      <w:r w:rsidR="00F93CD9">
        <w:rPr>
          <w:rFonts w:cs="Arial"/>
          <w:color w:val="000000"/>
        </w:rPr>
        <w:t>millones</w:t>
      </w:r>
      <w:r w:rsidR="00814CE3">
        <w:rPr>
          <w:rFonts w:cs="Arial"/>
          <w:color w:val="000000"/>
        </w:rPr>
        <w:t>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</w:t>
      </w:r>
      <w:r w:rsidR="00062228">
        <w:rPr>
          <w:rFonts w:cs="Arial"/>
        </w:rPr>
        <w:t>diciembre</w:t>
      </w:r>
      <w:r w:rsidR="00D4743E">
        <w:rPr>
          <w:rFonts w:cs="Arial"/>
        </w:rPr>
        <w:t xml:space="preserve"> </w:t>
      </w:r>
      <w:r w:rsidR="00BE0459">
        <w:rPr>
          <w:rFonts w:cs="Arial"/>
        </w:rPr>
        <w:t>201</w:t>
      </w:r>
      <w:r w:rsidR="007C6504">
        <w:rPr>
          <w:rFonts w:cs="Arial"/>
        </w:rPr>
        <w:t>9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73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596"/>
        <w:gridCol w:w="715"/>
        <w:gridCol w:w="1775"/>
        <w:gridCol w:w="715"/>
        <w:gridCol w:w="997"/>
        <w:gridCol w:w="783"/>
      </w:tblGrid>
      <w:tr w:rsidR="00086716" w:rsidRPr="00103349" w:rsidTr="00A473EB">
        <w:trPr>
          <w:trHeight w:val="459"/>
          <w:jc w:val="center"/>
        </w:trPr>
        <w:tc>
          <w:tcPr>
            <w:tcW w:w="8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7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3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82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0151CF" w:rsidP="00331BC0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817.2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FF6202" w:rsidP="000151CF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</w:t>
            </w:r>
            <w:r w:rsidR="000151CF">
              <w:rPr>
                <w:rFonts w:eastAsia="Times New Roman" w:cs="Arial"/>
                <w:color w:val="000000"/>
                <w:lang w:val="es-GT" w:eastAsia="es-GT"/>
              </w:rPr>
              <w:t>6</w:t>
            </w:r>
            <w:r>
              <w:rPr>
                <w:rFonts w:eastAsia="Times New Roman" w:cs="Arial"/>
                <w:color w:val="000000"/>
                <w:lang w:val="es-GT" w:eastAsia="es-GT"/>
              </w:rPr>
              <w:t>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0151CF" w:rsidP="00FF6202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424.4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0151CF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FF6202" w:rsidP="000151CF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1,</w:t>
            </w:r>
            <w:r w:rsidR="000151CF">
              <w:rPr>
                <w:rFonts w:eastAsia="Times New Roman" w:cs="Arial"/>
                <w:color w:val="000000"/>
                <w:lang w:val="es-GT" w:eastAsia="es-GT"/>
              </w:rPr>
              <w:t>241.60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lastRenderedPageBreak/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6E757E" w:rsidRDefault="00775A77" w:rsidP="00B92370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EB138E">
        <w:rPr>
          <w:rFonts w:cs="Arial"/>
          <w:color w:val="000000" w:themeColor="text1"/>
        </w:rPr>
        <w:t>diciembre</w:t>
      </w:r>
      <w:r w:rsidR="00A872CF">
        <w:rPr>
          <w:rFonts w:cs="Arial"/>
          <w:color w:val="000000" w:themeColor="text1"/>
        </w:rPr>
        <w:t xml:space="preserve"> </w:t>
      </w:r>
      <w:r w:rsidR="003767DD">
        <w:rPr>
          <w:rFonts w:cs="Arial"/>
          <w:color w:val="000000" w:themeColor="text1"/>
        </w:rPr>
        <w:t>2019</w:t>
      </w:r>
      <w:r w:rsidR="00A872CF">
        <w:rPr>
          <w:rFonts w:cs="Arial"/>
          <w:color w:val="000000" w:themeColor="text1"/>
        </w:rPr>
        <w:t xml:space="preserve"> presenta una ejecución de Q.</w:t>
      </w:r>
      <w:r w:rsidR="003767DD">
        <w:rPr>
          <w:rFonts w:cs="Arial"/>
          <w:color w:val="000000" w:themeColor="text1"/>
        </w:rPr>
        <w:t xml:space="preserve"> </w:t>
      </w:r>
      <w:r w:rsidR="00A872CF">
        <w:rPr>
          <w:rFonts w:cs="Arial"/>
          <w:color w:val="000000" w:themeColor="text1"/>
        </w:rPr>
        <w:t>21.6 millones</w:t>
      </w:r>
      <w:r w:rsidR="003767DD">
        <w:rPr>
          <w:rFonts w:cs="Arial"/>
          <w:color w:val="000000" w:themeColor="text1"/>
        </w:rPr>
        <w:t>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BD0495" w:rsidRDefault="001055D8" w:rsidP="00BD0495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BD0495">
        <w:rPr>
          <w:rFonts w:cs="Arial"/>
          <w:color w:val="000000" w:themeColor="text1"/>
        </w:rPr>
        <w:t xml:space="preserve">El fideicomiso </w:t>
      </w:r>
      <w:r w:rsidR="009619E6" w:rsidRPr="00BD0495">
        <w:rPr>
          <w:rFonts w:cs="Arial"/>
          <w:color w:val="000000" w:themeColor="text1"/>
        </w:rPr>
        <w:t>Fondo de Inversión para la Vivienda</w:t>
      </w:r>
      <w:r w:rsidRPr="00BD0495">
        <w:rPr>
          <w:rFonts w:cs="Arial"/>
          <w:color w:val="000000" w:themeColor="text1"/>
        </w:rPr>
        <w:t xml:space="preserve">, constituido el </w:t>
      </w:r>
      <w:r w:rsidR="009619E6" w:rsidRPr="00BD0495">
        <w:rPr>
          <w:rFonts w:cs="Arial"/>
          <w:color w:val="000000" w:themeColor="text1"/>
        </w:rPr>
        <w:t xml:space="preserve">02 de julio de 2013 </w:t>
      </w:r>
      <w:r w:rsidRPr="00BD0495">
        <w:rPr>
          <w:rFonts w:cs="Arial"/>
          <w:color w:val="000000" w:themeColor="text1"/>
        </w:rPr>
        <w:t xml:space="preserve">para sustituir al anterior, reportó una ejecución de </w:t>
      </w:r>
      <w:r w:rsidR="00CB509F" w:rsidRPr="00BD0495">
        <w:rPr>
          <w:rFonts w:cs="Arial"/>
          <w:color w:val="000000" w:themeColor="text1"/>
        </w:rPr>
        <w:t>Q. 367.3 millones</w:t>
      </w:r>
      <w:r w:rsidRPr="00BD0495">
        <w:rPr>
          <w:rFonts w:cs="Arial"/>
          <w:color w:val="000000" w:themeColor="text1"/>
        </w:rPr>
        <w:t xml:space="preserve"> d</w:t>
      </w:r>
      <w:r w:rsidR="00334F97" w:rsidRPr="00BD0495">
        <w:rPr>
          <w:rFonts w:cs="Arial"/>
          <w:color w:val="000000" w:themeColor="text1"/>
        </w:rPr>
        <w:t>urante el ejercicio fiscal 2013 y Q.</w:t>
      </w:r>
      <w:r w:rsidR="0061667B" w:rsidRPr="00BD0495">
        <w:rPr>
          <w:rFonts w:cs="Arial"/>
          <w:color w:val="000000" w:themeColor="text1"/>
        </w:rPr>
        <w:t xml:space="preserve"> 262.6</w:t>
      </w:r>
      <w:r w:rsidR="003B342A" w:rsidRPr="00BD0495">
        <w:rPr>
          <w:rFonts w:cs="Arial"/>
          <w:color w:val="000000" w:themeColor="text1"/>
        </w:rPr>
        <w:t xml:space="preserve"> millones</w:t>
      </w:r>
      <w:r w:rsidR="00334F97" w:rsidRPr="00BD0495">
        <w:rPr>
          <w:rFonts w:cs="Arial"/>
          <w:color w:val="000000" w:themeColor="text1"/>
        </w:rPr>
        <w:t xml:space="preserve"> durante el ejercicio fiscal 2014.</w:t>
      </w:r>
      <w:r w:rsidR="00D21C58" w:rsidRPr="00BD0495">
        <w:rPr>
          <w:rFonts w:cs="Arial"/>
          <w:color w:val="000000" w:themeColor="text1"/>
        </w:rPr>
        <w:t xml:space="preserve"> </w:t>
      </w:r>
      <w:r w:rsidR="00550754" w:rsidRPr="00BD0495">
        <w:rPr>
          <w:rFonts w:cs="Arial"/>
          <w:color w:val="000000" w:themeColor="text1"/>
        </w:rPr>
        <w:t xml:space="preserve">Para el año 2015 </w:t>
      </w:r>
      <w:r w:rsidR="00D21C58" w:rsidRPr="00BD0495">
        <w:rPr>
          <w:rFonts w:cs="Arial"/>
          <w:color w:val="000000" w:themeColor="text1"/>
        </w:rPr>
        <w:t xml:space="preserve">su </w:t>
      </w:r>
      <w:r w:rsidR="00523119" w:rsidRPr="00BD0495">
        <w:rPr>
          <w:rFonts w:cs="Arial"/>
          <w:color w:val="000000" w:themeColor="text1"/>
        </w:rPr>
        <w:t xml:space="preserve">ejecución alcanzó Q </w:t>
      </w:r>
      <w:r w:rsidR="0096234C" w:rsidRPr="00BD0495">
        <w:rPr>
          <w:rFonts w:cs="Arial"/>
          <w:color w:val="000000" w:themeColor="text1"/>
        </w:rPr>
        <w:t>166.9 millones</w:t>
      </w:r>
      <w:r w:rsidR="006A2D06" w:rsidRPr="00BD0495">
        <w:rPr>
          <w:rFonts w:cs="Arial"/>
          <w:color w:val="000000" w:themeColor="text1"/>
        </w:rPr>
        <w:t>,</w:t>
      </w:r>
      <w:r w:rsidR="0096234C" w:rsidRPr="00BD0495">
        <w:rPr>
          <w:rFonts w:cs="Arial"/>
          <w:color w:val="000000" w:themeColor="text1"/>
        </w:rPr>
        <w:t xml:space="preserve"> al cierre de 2016 se registra</w:t>
      </w:r>
      <w:r w:rsidR="006A2D06" w:rsidRPr="00BD0495">
        <w:rPr>
          <w:rFonts w:cs="Arial"/>
          <w:color w:val="000000" w:themeColor="text1"/>
        </w:rPr>
        <w:t>ro</w:t>
      </w:r>
      <w:r w:rsidR="0096234C" w:rsidRPr="00BD0495">
        <w:rPr>
          <w:rFonts w:cs="Arial"/>
          <w:color w:val="000000" w:themeColor="text1"/>
        </w:rPr>
        <w:t>n Q</w:t>
      </w:r>
      <w:r w:rsidR="00F303EF" w:rsidRPr="00BD0495">
        <w:rPr>
          <w:rFonts w:cs="Arial"/>
          <w:color w:val="000000" w:themeColor="text1"/>
        </w:rPr>
        <w:t xml:space="preserve"> 92.2 </w:t>
      </w:r>
      <w:r w:rsidR="0096234C" w:rsidRPr="00BD0495">
        <w:rPr>
          <w:rFonts w:cs="Arial"/>
          <w:color w:val="000000" w:themeColor="text1"/>
        </w:rPr>
        <w:t>millones</w:t>
      </w:r>
      <w:r w:rsidR="006A2D06" w:rsidRPr="00BD0495">
        <w:rPr>
          <w:rFonts w:cs="Arial"/>
          <w:color w:val="000000" w:themeColor="text1"/>
        </w:rPr>
        <w:t>, y a</w:t>
      </w:r>
      <w:r w:rsidR="0052665C" w:rsidRPr="00BD0495">
        <w:rPr>
          <w:rFonts w:cs="Arial"/>
          <w:color w:val="000000" w:themeColor="text1"/>
        </w:rPr>
        <w:t xml:space="preserve"> </w:t>
      </w:r>
      <w:r w:rsidR="00D055DA" w:rsidRPr="00BD0495">
        <w:rPr>
          <w:rFonts w:cs="Arial"/>
          <w:color w:val="000000" w:themeColor="text1"/>
        </w:rPr>
        <w:t>diciembre</w:t>
      </w:r>
      <w:r w:rsidR="00AE5AF9" w:rsidRPr="00BD0495">
        <w:rPr>
          <w:rFonts w:cs="Arial"/>
          <w:color w:val="000000" w:themeColor="text1"/>
        </w:rPr>
        <w:t xml:space="preserve"> </w:t>
      </w:r>
      <w:r w:rsidR="006A2D06" w:rsidRPr="00BD0495">
        <w:rPr>
          <w:rFonts w:cs="Arial"/>
          <w:color w:val="000000" w:themeColor="text1"/>
        </w:rPr>
        <w:t xml:space="preserve">de </w:t>
      </w:r>
      <w:r w:rsidR="002D2153" w:rsidRPr="00BD0495">
        <w:rPr>
          <w:rFonts w:cs="Arial"/>
          <w:color w:val="000000" w:themeColor="text1"/>
        </w:rPr>
        <w:t>2017</w:t>
      </w:r>
      <w:r w:rsidR="006A2D06" w:rsidRPr="00BD0495">
        <w:rPr>
          <w:rFonts w:cs="Arial"/>
          <w:color w:val="000000" w:themeColor="text1"/>
        </w:rPr>
        <w:t>,</w:t>
      </w:r>
      <w:r w:rsidR="002D2153" w:rsidRPr="00BD0495">
        <w:rPr>
          <w:rFonts w:cs="Arial"/>
          <w:color w:val="000000" w:themeColor="text1"/>
        </w:rPr>
        <w:t xml:space="preserve"> </w:t>
      </w:r>
      <w:r w:rsidR="002D2153" w:rsidRPr="00BD0495">
        <w:rPr>
          <w:rFonts w:cs="Arial"/>
          <w:color w:val="000000" w:themeColor="text1"/>
        </w:rPr>
        <w:lastRenderedPageBreak/>
        <w:t>Q.</w:t>
      </w:r>
      <w:r w:rsidR="00040DB0" w:rsidRPr="00BD0495">
        <w:rPr>
          <w:rFonts w:cs="Arial"/>
          <w:color w:val="000000" w:themeColor="text1"/>
        </w:rPr>
        <w:t>1</w:t>
      </w:r>
      <w:r w:rsidR="00D055DA" w:rsidRPr="00BD0495">
        <w:rPr>
          <w:rFonts w:cs="Arial"/>
          <w:color w:val="000000" w:themeColor="text1"/>
        </w:rPr>
        <w:t>52.2</w:t>
      </w:r>
      <w:r w:rsidR="00EA7051" w:rsidRPr="00BD0495">
        <w:rPr>
          <w:rFonts w:cs="Arial"/>
          <w:color w:val="000000" w:themeColor="text1"/>
        </w:rPr>
        <w:t xml:space="preserve"> </w:t>
      </w:r>
      <w:r w:rsidR="0052665C" w:rsidRPr="00BD0495">
        <w:rPr>
          <w:rFonts w:cs="Arial"/>
          <w:color w:val="000000" w:themeColor="text1"/>
        </w:rPr>
        <w:t>m</w:t>
      </w:r>
      <w:r w:rsidR="002D2153" w:rsidRPr="00BD0495">
        <w:rPr>
          <w:rFonts w:cs="Arial"/>
          <w:color w:val="000000" w:themeColor="text1"/>
        </w:rPr>
        <w:t>illones</w:t>
      </w:r>
      <w:r w:rsidR="007E085E" w:rsidRPr="00BD0495">
        <w:rPr>
          <w:rFonts w:cs="Arial"/>
          <w:color w:val="000000" w:themeColor="text1"/>
        </w:rPr>
        <w:t>, p</w:t>
      </w:r>
      <w:r w:rsidR="00FE311E" w:rsidRPr="00BD0495">
        <w:rPr>
          <w:rFonts w:cs="Arial"/>
          <w:color w:val="000000" w:themeColor="text1"/>
        </w:rPr>
        <w:t xml:space="preserve">ara </w:t>
      </w:r>
      <w:r w:rsidR="00FC6413" w:rsidRPr="00BD0495">
        <w:rPr>
          <w:rFonts w:cs="Arial"/>
          <w:color w:val="000000" w:themeColor="text1"/>
        </w:rPr>
        <w:t>diciembre</w:t>
      </w:r>
      <w:r w:rsidR="004E0620" w:rsidRPr="00BD0495">
        <w:rPr>
          <w:rFonts w:cs="Arial"/>
          <w:color w:val="000000" w:themeColor="text1"/>
        </w:rPr>
        <w:t xml:space="preserve"> </w:t>
      </w:r>
      <w:r w:rsidR="00A4787B" w:rsidRPr="00BD0495">
        <w:rPr>
          <w:rFonts w:cs="Arial"/>
          <w:color w:val="000000" w:themeColor="text1"/>
        </w:rPr>
        <w:t xml:space="preserve">2018 reporta Q. </w:t>
      </w:r>
      <w:r w:rsidR="00FC6413" w:rsidRPr="00BD0495">
        <w:rPr>
          <w:rFonts w:cs="Arial"/>
          <w:color w:val="000000" w:themeColor="text1"/>
        </w:rPr>
        <w:t>135.6</w:t>
      </w:r>
      <w:r w:rsidR="004A2F95" w:rsidRPr="00BD0495">
        <w:rPr>
          <w:rFonts w:cs="Arial"/>
          <w:color w:val="000000" w:themeColor="text1"/>
        </w:rPr>
        <w:t xml:space="preserve"> millones</w:t>
      </w:r>
      <w:r w:rsidR="007E085E" w:rsidRPr="00BD0495">
        <w:rPr>
          <w:rFonts w:cs="Arial"/>
          <w:color w:val="000000" w:themeColor="text1"/>
        </w:rPr>
        <w:t>, y para</w:t>
      </w:r>
      <w:r w:rsidR="00CB5C1C" w:rsidRPr="00BD0495">
        <w:rPr>
          <w:rFonts w:cs="Arial"/>
          <w:color w:val="000000" w:themeColor="text1"/>
        </w:rPr>
        <w:t xml:space="preserve"> </w:t>
      </w:r>
      <w:r w:rsidR="00E20E60">
        <w:rPr>
          <w:rFonts w:cs="Arial"/>
          <w:color w:val="000000" w:themeColor="text1"/>
        </w:rPr>
        <w:t>diciembre</w:t>
      </w:r>
      <w:r w:rsidR="000B006E" w:rsidRPr="00BD0495">
        <w:rPr>
          <w:rFonts w:cs="Arial"/>
          <w:color w:val="000000" w:themeColor="text1"/>
        </w:rPr>
        <w:t xml:space="preserve"> </w:t>
      </w:r>
      <w:r w:rsidR="00356737" w:rsidRPr="00BD0495">
        <w:rPr>
          <w:rFonts w:cs="Arial"/>
          <w:color w:val="000000" w:themeColor="text1"/>
        </w:rPr>
        <w:t xml:space="preserve">de </w:t>
      </w:r>
      <w:r w:rsidR="007E085E" w:rsidRPr="00BD0495">
        <w:rPr>
          <w:rFonts w:cs="Arial"/>
          <w:color w:val="000000" w:themeColor="text1"/>
        </w:rPr>
        <w:t>2019</w:t>
      </w:r>
      <w:r w:rsidR="00356737" w:rsidRPr="00BD0495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Q.</w:t>
      </w:r>
      <w:r w:rsidR="00CD68ED" w:rsidRPr="00BD0495">
        <w:rPr>
          <w:rFonts w:cs="Arial"/>
          <w:color w:val="000000" w:themeColor="text1"/>
        </w:rPr>
        <w:t>2</w:t>
      </w:r>
      <w:r w:rsidR="00E20E60">
        <w:rPr>
          <w:rFonts w:cs="Arial"/>
          <w:color w:val="000000" w:themeColor="text1"/>
        </w:rPr>
        <w:t>64.3</w:t>
      </w:r>
      <w:r w:rsidR="000B006E" w:rsidRPr="00BD0495">
        <w:rPr>
          <w:rFonts w:cs="Arial"/>
          <w:color w:val="000000" w:themeColor="text1"/>
        </w:rPr>
        <w:t xml:space="preserve"> </w:t>
      </w:r>
      <w:r w:rsidR="007E085E" w:rsidRPr="00BD0495">
        <w:rPr>
          <w:rFonts w:cs="Arial"/>
          <w:color w:val="000000" w:themeColor="text1"/>
        </w:rPr>
        <w:t>millones</w:t>
      </w:r>
      <w:r w:rsidR="00A4787B" w:rsidRPr="00BD0495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505F1E" w:rsidRDefault="00334F97" w:rsidP="0067082B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 xml:space="preserve">109.7 </w:t>
      </w:r>
      <w:r w:rsidR="002D2153" w:rsidRPr="0094472A">
        <w:rPr>
          <w:rFonts w:cs="Arial"/>
          <w:color w:val="000000" w:themeColor="text1"/>
        </w:rPr>
        <w:t>millones</w:t>
      </w:r>
      <w:r w:rsidR="00922B43" w:rsidRPr="0094472A">
        <w:rPr>
          <w:rFonts w:cs="Arial"/>
          <w:color w:val="000000" w:themeColor="text1"/>
        </w:rPr>
        <w:t>.</w:t>
      </w:r>
      <w:r w:rsidR="005B576E" w:rsidRPr="0094472A">
        <w:rPr>
          <w:rFonts w:cs="Arial"/>
          <w:color w:val="000000" w:themeColor="text1"/>
        </w:rPr>
        <w:t xml:space="preserve"> </w:t>
      </w:r>
      <w:r w:rsidR="00922B43" w:rsidRPr="0094472A">
        <w:rPr>
          <w:rFonts w:cs="Arial"/>
          <w:color w:val="000000" w:themeColor="text1"/>
        </w:rPr>
        <w:t>P</w:t>
      </w:r>
      <w:r w:rsidR="00641944" w:rsidRPr="0094472A">
        <w:rPr>
          <w:rFonts w:cs="Arial"/>
          <w:color w:val="000000" w:themeColor="text1"/>
        </w:rPr>
        <w:t>ara</w:t>
      </w:r>
      <w:r w:rsidR="008F6E12" w:rsidRPr="0094472A">
        <w:rPr>
          <w:rFonts w:cs="Arial"/>
          <w:color w:val="000000" w:themeColor="text1"/>
        </w:rPr>
        <w:t xml:space="preserve"> </w:t>
      </w:r>
      <w:r w:rsidR="008E13EA" w:rsidRPr="0094472A">
        <w:rPr>
          <w:rFonts w:cs="Arial"/>
          <w:color w:val="000000" w:themeColor="text1"/>
        </w:rPr>
        <w:t>diciembre</w:t>
      </w:r>
      <w:r w:rsidR="00641944" w:rsidRPr="0094472A">
        <w:rPr>
          <w:rFonts w:cs="Arial"/>
          <w:color w:val="000000" w:themeColor="text1"/>
        </w:rPr>
        <w:t xml:space="preserve"> 2018 reporta una ejecución de Q.</w:t>
      </w:r>
      <w:r w:rsidR="008E13EA" w:rsidRPr="0094472A">
        <w:rPr>
          <w:rFonts w:cs="Arial"/>
          <w:color w:val="000000" w:themeColor="text1"/>
        </w:rPr>
        <w:t>151.6</w:t>
      </w:r>
      <w:r w:rsidR="006211F6" w:rsidRPr="0094472A">
        <w:rPr>
          <w:rFonts w:cs="Arial"/>
          <w:color w:val="000000" w:themeColor="text1"/>
        </w:rPr>
        <w:t xml:space="preserve"> millones</w:t>
      </w:r>
      <w:r w:rsidR="005B576E" w:rsidRPr="0094472A">
        <w:rPr>
          <w:rFonts w:cs="Arial"/>
          <w:color w:val="000000" w:themeColor="text1"/>
        </w:rPr>
        <w:t xml:space="preserve">, y a </w:t>
      </w:r>
      <w:r w:rsidR="00CD6890">
        <w:rPr>
          <w:rFonts w:cs="Arial"/>
          <w:color w:val="000000" w:themeColor="text1"/>
        </w:rPr>
        <w:t>diciembre</w:t>
      </w:r>
      <w:r w:rsidR="007D04D5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de</w:t>
      </w:r>
      <w:r w:rsidR="005B576E" w:rsidRPr="0094472A">
        <w:rPr>
          <w:rFonts w:cs="Arial"/>
          <w:color w:val="000000" w:themeColor="text1"/>
        </w:rPr>
        <w:t xml:space="preserve"> 2019 reporta</w:t>
      </w:r>
      <w:r w:rsidR="004C2977">
        <w:rPr>
          <w:rFonts w:cs="Arial"/>
          <w:color w:val="000000" w:themeColor="text1"/>
        </w:rPr>
        <w:t xml:space="preserve">  </w:t>
      </w:r>
      <w:r w:rsidR="005B576E">
        <w:rPr>
          <w:rFonts w:cs="Arial"/>
          <w:color w:val="000000" w:themeColor="text1"/>
        </w:rPr>
        <w:t xml:space="preserve"> </w:t>
      </w:r>
      <w:r w:rsidR="001F14BA">
        <w:rPr>
          <w:rFonts w:cs="Arial"/>
          <w:color w:val="000000" w:themeColor="text1"/>
        </w:rPr>
        <w:t xml:space="preserve">                </w:t>
      </w:r>
      <w:r w:rsidR="005B576E">
        <w:rPr>
          <w:rFonts w:cs="Arial"/>
          <w:color w:val="000000" w:themeColor="text1"/>
        </w:rPr>
        <w:t>Q.</w:t>
      </w:r>
      <w:r w:rsidR="000A3972">
        <w:rPr>
          <w:rFonts w:cs="Arial"/>
          <w:color w:val="000000" w:themeColor="text1"/>
        </w:rPr>
        <w:t xml:space="preserve"> </w:t>
      </w:r>
      <w:r w:rsidR="007D04D5">
        <w:rPr>
          <w:rFonts w:cs="Arial"/>
          <w:color w:val="000000" w:themeColor="text1"/>
        </w:rPr>
        <w:t>1</w:t>
      </w:r>
      <w:r w:rsidR="00CD6890">
        <w:rPr>
          <w:rFonts w:cs="Arial"/>
          <w:color w:val="000000" w:themeColor="text1"/>
        </w:rPr>
        <w:t>91.3</w:t>
      </w:r>
      <w:r w:rsidR="004C2977">
        <w:rPr>
          <w:rFonts w:cs="Arial"/>
          <w:color w:val="000000" w:themeColor="text1"/>
        </w:rPr>
        <w:t xml:space="preserve"> </w:t>
      </w:r>
      <w:r w:rsidR="005B576E">
        <w:rPr>
          <w:rFonts w:cs="Arial"/>
          <w:color w:val="000000" w:themeColor="text1"/>
        </w:rPr>
        <w:t>millones</w:t>
      </w:r>
      <w:r w:rsidR="00641944" w:rsidRPr="00505F1E">
        <w:rPr>
          <w:rFonts w:cs="Arial"/>
          <w:color w:val="000000" w:themeColor="text1"/>
        </w:rPr>
        <w:t>.</w:t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4955CB" w:rsidRPr="0094472A">
        <w:rPr>
          <w:rFonts w:cs="Arial"/>
          <w:color w:val="000000" w:themeColor="text1"/>
        </w:rPr>
        <w:t xml:space="preserve"> y a </w:t>
      </w:r>
      <w:r w:rsidR="00CF78CD">
        <w:rPr>
          <w:rFonts w:cs="Arial"/>
          <w:color w:val="000000" w:themeColor="text1"/>
        </w:rPr>
        <w:t>diciembre</w:t>
      </w:r>
      <w:r w:rsidR="00A5019B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4955CB" w:rsidRPr="0094472A">
        <w:rPr>
          <w:rFonts w:cs="Arial"/>
          <w:color w:val="000000" w:themeColor="text1"/>
        </w:rPr>
        <w:t xml:space="preserve">2019 reporta una ejecución de Q. </w:t>
      </w:r>
      <w:r w:rsidR="00670BD2">
        <w:rPr>
          <w:rFonts w:cs="Arial"/>
          <w:color w:val="000000" w:themeColor="text1"/>
        </w:rPr>
        <w:t>231.</w:t>
      </w:r>
      <w:r w:rsidR="00195F27">
        <w:rPr>
          <w:rFonts w:cs="Arial"/>
          <w:color w:val="000000" w:themeColor="text1"/>
        </w:rPr>
        <w:t>4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685FEB" w:rsidRPr="0094472A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DA1CE4">
        <w:rPr>
          <w:rFonts w:cs="Arial"/>
          <w:color w:val="000000" w:themeColor="text1"/>
        </w:rPr>
        <w:t xml:space="preserve"> y a </w:t>
      </w:r>
      <w:r w:rsidR="00CF78CD">
        <w:rPr>
          <w:rFonts w:cs="Arial"/>
          <w:color w:val="000000" w:themeColor="text1"/>
        </w:rPr>
        <w:t>Diciembre</w:t>
      </w:r>
      <w:r w:rsidR="005D3183">
        <w:rPr>
          <w:rFonts w:cs="Arial"/>
          <w:color w:val="000000" w:themeColor="text1"/>
        </w:rPr>
        <w:t xml:space="preserve"> </w:t>
      </w:r>
      <w:r w:rsidR="00DA1CE4">
        <w:rPr>
          <w:rFonts w:cs="Arial"/>
          <w:color w:val="000000" w:themeColor="text1"/>
        </w:rPr>
        <w:t xml:space="preserve">de 2019 reporta una ejecución de Q. </w:t>
      </w:r>
      <w:r w:rsidR="00CF78CD">
        <w:rPr>
          <w:rFonts w:cs="Arial"/>
          <w:color w:val="000000" w:themeColor="text1"/>
        </w:rPr>
        <w:t>7.9</w:t>
      </w:r>
      <w:r w:rsidR="00AA5385">
        <w:rPr>
          <w:rFonts w:cs="Arial"/>
          <w:color w:val="000000" w:themeColor="text1"/>
        </w:rPr>
        <w:t xml:space="preserve"> millones</w:t>
      </w:r>
      <w:r w:rsidR="00527FF4">
        <w:rPr>
          <w:rFonts w:cs="Arial"/>
          <w:color w:val="000000" w:themeColor="text1"/>
        </w:rPr>
        <w:t>.</w:t>
      </w:r>
      <w:r w:rsidR="006745C6" w:rsidRPr="00685FEB">
        <w:rPr>
          <w:rFonts w:cs="Arial"/>
          <w:color w:val="000000" w:themeColor="text1"/>
        </w:rPr>
        <w:t xml:space="preserve"> 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</w:t>
      </w:r>
      <w:r w:rsidR="008254D0" w:rsidRPr="00CC7F32">
        <w:rPr>
          <w:rFonts w:cs="Arial"/>
          <w:color w:val="000000" w:themeColor="text1"/>
        </w:rPr>
        <w:lastRenderedPageBreak/>
        <w:t>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815DCD">
        <w:rPr>
          <w:rFonts w:cs="Arial"/>
          <w:color w:val="000000" w:themeColor="text1"/>
        </w:rPr>
        <w:t xml:space="preserve">para </w:t>
      </w:r>
      <w:r w:rsidR="00745771">
        <w:rPr>
          <w:rFonts w:cs="Arial"/>
          <w:color w:val="000000" w:themeColor="text1"/>
        </w:rPr>
        <w:t>diciembre</w:t>
      </w:r>
      <w:r w:rsidR="00815DCD">
        <w:rPr>
          <w:rFonts w:cs="Arial"/>
          <w:color w:val="000000" w:themeColor="text1"/>
        </w:rPr>
        <w:t xml:space="preserve"> 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745771">
        <w:rPr>
          <w:rFonts w:cs="Arial"/>
          <w:color w:val="000000" w:themeColor="text1"/>
        </w:rPr>
        <w:t xml:space="preserve">4.7 </w:t>
      </w:r>
      <w:r w:rsidR="0056658A">
        <w:rPr>
          <w:rFonts w:cs="Arial"/>
          <w:color w:val="000000" w:themeColor="text1"/>
        </w:rPr>
        <w:t>millones</w:t>
      </w:r>
      <w:r w:rsidR="002719C7">
        <w:rPr>
          <w:rFonts w:cs="Arial"/>
          <w:color w:val="000000" w:themeColor="text1"/>
        </w:rPr>
        <w:t>.</w:t>
      </w:r>
    </w:p>
    <w:p w:rsidR="006A4B98" w:rsidRPr="006A4B98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</w:t>
      </w:r>
      <w:r>
        <w:rPr>
          <w:rFonts w:cs="Arial"/>
          <w:color w:val="000000" w:themeColor="text1"/>
        </w:rPr>
        <w:t xml:space="preserve">Social de Solidaridad se </w:t>
      </w:r>
      <w:r w:rsidRPr="00BD50CC">
        <w:rPr>
          <w:rFonts w:cs="Arial"/>
          <w:color w:val="000000" w:themeColor="text1"/>
        </w:rPr>
        <w:t>suspendió a partir de</w:t>
      </w:r>
      <w:r>
        <w:rPr>
          <w:rFonts w:cs="Arial"/>
          <w:color w:val="000000" w:themeColor="text1"/>
        </w:rPr>
        <w:t>l 02 de abril de 2019</w:t>
      </w:r>
      <w:r w:rsidRPr="00BD50CC">
        <w:rPr>
          <w:rFonts w:cs="Arial"/>
          <w:color w:val="000000" w:themeColor="text1"/>
        </w:rPr>
        <w:t>, por vencimiento de su plazo contractual</w:t>
      </w:r>
      <w:r w:rsidR="0029037D">
        <w:rPr>
          <w:rFonts w:cs="Arial"/>
          <w:color w:val="000000" w:themeColor="text1"/>
        </w:rPr>
        <w:t>, habiendo reportado una ejecución no reembolsable</w:t>
      </w:r>
      <w:r w:rsidR="00394CF2">
        <w:rPr>
          <w:rFonts w:cs="Arial"/>
          <w:color w:val="000000" w:themeColor="text1"/>
        </w:rPr>
        <w:t xml:space="preserve"> al 01 de abril</w:t>
      </w:r>
      <w:r w:rsidR="0029037D">
        <w:rPr>
          <w:rFonts w:cs="Arial"/>
          <w:color w:val="000000" w:themeColor="text1"/>
        </w:rPr>
        <w:t xml:space="preserve"> de </w:t>
      </w:r>
      <w:r w:rsidR="00394CF2">
        <w:rPr>
          <w:rFonts w:cs="Arial"/>
          <w:color w:val="000000" w:themeColor="text1"/>
        </w:rPr>
        <w:t>Q.</w:t>
      </w:r>
      <w:r w:rsidR="0029037D">
        <w:rPr>
          <w:rFonts w:cs="Arial"/>
          <w:color w:val="000000" w:themeColor="text1"/>
        </w:rPr>
        <w:t>85.1 millones</w:t>
      </w:r>
      <w:r w:rsidRPr="00BD50CC">
        <w:rPr>
          <w:rFonts w:cs="Arial"/>
          <w:color w:val="000000" w:themeColor="text1"/>
        </w:rPr>
        <w:t>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Pr="00375E07" w:rsidRDefault="00D21C58" w:rsidP="009753C6">
      <w:pPr>
        <w:jc w:val="both"/>
        <w:rPr>
          <w:rFonts w:cs="Arial"/>
        </w:rPr>
      </w:pPr>
      <w:r w:rsidRPr="00BD50CC">
        <w:rPr>
          <w:rFonts w:cs="Arial"/>
          <w:color w:val="000000" w:themeColor="text1"/>
        </w:rPr>
        <w:t>A</w:t>
      </w:r>
      <w:r w:rsidR="009C17ED">
        <w:rPr>
          <w:rFonts w:cs="Arial"/>
          <w:color w:val="000000" w:themeColor="text1"/>
        </w:rPr>
        <w:t xml:space="preserve"> </w:t>
      </w:r>
      <w:r w:rsidR="00EB25EC">
        <w:rPr>
          <w:rFonts w:cs="Arial"/>
          <w:color w:val="000000" w:themeColor="text1"/>
        </w:rPr>
        <w:t xml:space="preserve">diciembre </w:t>
      </w:r>
      <w:r w:rsidR="00A01BF4" w:rsidRPr="00BD50CC">
        <w:rPr>
          <w:rFonts w:cs="Arial"/>
          <w:color w:val="000000" w:themeColor="text1"/>
        </w:rPr>
        <w:t>201</w:t>
      </w:r>
      <w:r w:rsidR="009C17ED">
        <w:rPr>
          <w:rFonts w:cs="Arial"/>
          <w:color w:val="000000" w:themeColor="text1"/>
        </w:rPr>
        <w:t>9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E93C89">
        <w:rPr>
          <w:rFonts w:cs="Arial"/>
        </w:rPr>
        <w:t>2,</w:t>
      </w:r>
      <w:r w:rsidR="00375E07">
        <w:rPr>
          <w:rFonts w:cs="Arial"/>
        </w:rPr>
        <w:t>371.6</w:t>
      </w:r>
      <w:r w:rsidR="006D3E07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375E07">
        <w:rPr>
          <w:rFonts w:cs="Arial"/>
          <w:b/>
          <w:sz w:val="20"/>
          <w:szCs w:val="20"/>
        </w:rPr>
        <w:t>diciembre</w:t>
      </w:r>
      <w:r w:rsidR="0033011E">
        <w:rPr>
          <w:rFonts w:cs="Arial"/>
          <w:b/>
          <w:sz w:val="20"/>
          <w:szCs w:val="20"/>
        </w:rPr>
        <w:t xml:space="preserve"> </w:t>
      </w:r>
      <w:r w:rsidR="00EB1B01" w:rsidRPr="00340BA7">
        <w:rPr>
          <w:rFonts w:cs="Arial"/>
          <w:b/>
          <w:sz w:val="20"/>
          <w:szCs w:val="20"/>
        </w:rPr>
        <w:t>201</w:t>
      </w:r>
      <w:r w:rsidR="009C17ED">
        <w:rPr>
          <w:rFonts w:cs="Arial"/>
          <w:b/>
          <w:sz w:val="20"/>
          <w:szCs w:val="20"/>
        </w:rPr>
        <w:t>9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375E07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rFonts w:cs="Arial"/>
          <w:noProof/>
          <w:color w:val="000000"/>
          <w:sz w:val="16"/>
          <w:szCs w:val="20"/>
          <w:lang w:val="es-GT" w:eastAsia="es-GT"/>
        </w:rPr>
        <w:drawing>
          <wp:inline distT="0" distB="0" distL="0" distR="0" wp14:anchorId="3288DD60">
            <wp:extent cx="4469587" cy="2258370"/>
            <wp:effectExtent l="0" t="0" r="762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21" cy="2261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4F3E31" w:rsidRDefault="004F3E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086716" w:rsidRPr="000D7DB3" w:rsidRDefault="00A40F64" w:rsidP="000D7DB3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1476D1">
        <w:rPr>
          <w:sz w:val="22"/>
          <w:szCs w:val="22"/>
        </w:rPr>
        <w:t>diciembre</w:t>
      </w:r>
      <w:r w:rsidR="0033011E">
        <w:rPr>
          <w:sz w:val="22"/>
          <w:szCs w:val="22"/>
        </w:rPr>
        <w:t xml:space="preserve"> </w:t>
      </w:r>
      <w:r w:rsidR="00D91F6D">
        <w:rPr>
          <w:sz w:val="22"/>
          <w:szCs w:val="22"/>
        </w:rPr>
        <w:t>201</w:t>
      </w:r>
      <w:r w:rsidR="00D8795C">
        <w:rPr>
          <w:sz w:val="22"/>
          <w:szCs w:val="22"/>
        </w:rPr>
        <w:t>9</w:t>
      </w:r>
      <w:r w:rsidRPr="0092558D">
        <w:rPr>
          <w:color w:val="000000" w:themeColor="text1"/>
          <w:sz w:val="22"/>
          <w:szCs w:val="22"/>
        </w:rPr>
        <w:t>, ascienden a Q.</w:t>
      </w:r>
      <w:r w:rsidR="001476D1">
        <w:rPr>
          <w:color w:val="000000" w:themeColor="text1"/>
          <w:sz w:val="22"/>
          <w:szCs w:val="22"/>
        </w:rPr>
        <w:t xml:space="preserve"> </w:t>
      </w:r>
      <w:r w:rsidR="006F4C21">
        <w:rPr>
          <w:color w:val="000000" w:themeColor="text1"/>
          <w:sz w:val="22"/>
          <w:szCs w:val="22"/>
        </w:rPr>
        <w:t>4,1</w:t>
      </w:r>
      <w:r w:rsidR="001476D1">
        <w:rPr>
          <w:color w:val="000000" w:themeColor="text1"/>
          <w:sz w:val="22"/>
          <w:szCs w:val="22"/>
        </w:rPr>
        <w:t>1</w:t>
      </w:r>
      <w:r w:rsidR="009F5AA5">
        <w:rPr>
          <w:color w:val="000000" w:themeColor="text1"/>
          <w:sz w:val="22"/>
          <w:szCs w:val="22"/>
        </w:rPr>
        <w:t>1</w:t>
      </w:r>
      <w:r w:rsidR="001476D1">
        <w:rPr>
          <w:color w:val="000000" w:themeColor="text1"/>
          <w:sz w:val="22"/>
          <w:szCs w:val="22"/>
        </w:rPr>
        <w:t>.0</w:t>
      </w:r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lastRenderedPageBreak/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>A</w:t>
      </w:r>
      <w:r w:rsidR="000519FF">
        <w:rPr>
          <w:rFonts w:cs="Arial"/>
          <w:b/>
          <w:sz w:val="20"/>
          <w:szCs w:val="20"/>
        </w:rPr>
        <w:t xml:space="preserve"> </w:t>
      </w:r>
      <w:r w:rsidR="00227E01">
        <w:rPr>
          <w:rFonts w:cs="Arial"/>
          <w:b/>
          <w:sz w:val="20"/>
          <w:szCs w:val="20"/>
        </w:rPr>
        <w:t>diciembre</w:t>
      </w:r>
      <w:r w:rsidR="000519FF">
        <w:rPr>
          <w:rFonts w:cs="Arial"/>
          <w:b/>
          <w:sz w:val="20"/>
          <w:szCs w:val="20"/>
        </w:rPr>
        <w:t xml:space="preserve"> </w:t>
      </w:r>
      <w:r w:rsidR="005C58D7" w:rsidRPr="005D012F">
        <w:rPr>
          <w:rFonts w:cs="Arial"/>
          <w:b/>
          <w:sz w:val="20"/>
          <w:szCs w:val="20"/>
        </w:rPr>
        <w:t>201</w:t>
      </w:r>
      <w:r w:rsidR="00D8795C">
        <w:rPr>
          <w:rFonts w:cs="Arial"/>
          <w:b/>
          <w:sz w:val="20"/>
          <w:szCs w:val="20"/>
        </w:rPr>
        <w:t>9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0D7DB3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0D7DB3">
        <w:rPr>
          <w:noProof/>
          <w:lang w:val="es-GT" w:eastAsia="es-GT"/>
        </w:rPr>
        <w:drawing>
          <wp:inline distT="0" distB="0" distL="0" distR="0">
            <wp:extent cx="4257446" cy="171565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048" cy="17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DB3E14">
        <w:rPr>
          <w:rFonts w:cs="Arial"/>
          <w:color w:val="000000"/>
        </w:rPr>
        <w:t>diciembre</w:t>
      </w:r>
      <w:r w:rsidR="0006172C">
        <w:rPr>
          <w:rFonts w:cs="Arial"/>
          <w:color w:val="000000"/>
        </w:rPr>
        <w:t xml:space="preserve"> </w:t>
      </w:r>
      <w:r w:rsidR="00385B78" w:rsidRPr="00CB5045">
        <w:rPr>
          <w:rFonts w:cs="Arial"/>
          <w:color w:val="000000"/>
        </w:rPr>
        <w:t>2</w:t>
      </w:r>
      <w:r w:rsidR="004114AB" w:rsidRPr="00CB5045">
        <w:rPr>
          <w:rFonts w:cs="Arial"/>
          <w:color w:val="000000"/>
        </w:rPr>
        <w:t>01</w:t>
      </w:r>
      <w:r w:rsidR="003E0AE2">
        <w:rPr>
          <w:rFonts w:cs="Arial"/>
          <w:color w:val="000000"/>
        </w:rPr>
        <w:t>9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4D062C">
        <w:rPr>
          <w:rFonts w:cs="Arial"/>
          <w:color w:val="000000"/>
        </w:rPr>
        <w:t>6</w:t>
      </w:r>
      <w:r w:rsidR="00E464A7">
        <w:rPr>
          <w:rFonts w:cs="Arial"/>
          <w:color w:val="000000"/>
        </w:rPr>
        <w:t>2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E464A7">
        <w:rPr>
          <w:rFonts w:cs="Arial"/>
          <w:color w:val="000000"/>
        </w:rPr>
        <w:t>38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E464A7">
        <w:rPr>
          <w:rFonts w:cs="Arial"/>
          <w:color w:val="000000"/>
        </w:rPr>
        <w:t>0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E464A7">
        <w:rPr>
          <w:rFonts w:cs="Arial"/>
          <w:color w:val="000000"/>
        </w:rPr>
        <w:t>30</w:t>
      </w:r>
      <w:r w:rsidR="00D03272">
        <w:rPr>
          <w:rFonts w:cs="Arial"/>
          <w:color w:val="000000"/>
        </w:rPr>
        <w:t xml:space="preserve"> 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8095F">
        <w:rPr>
          <w:rFonts w:cs="Arial"/>
          <w:b/>
          <w:color w:val="000000" w:themeColor="text1"/>
          <w:sz w:val="20"/>
          <w:szCs w:val="20"/>
        </w:rPr>
        <w:t xml:space="preserve">diciembre </w:t>
      </w:r>
      <w:r w:rsidR="00DF20B3" w:rsidRPr="00EC2DD5">
        <w:rPr>
          <w:rFonts w:cs="Arial"/>
          <w:b/>
          <w:color w:val="000000" w:themeColor="text1"/>
          <w:sz w:val="20"/>
          <w:szCs w:val="20"/>
        </w:rPr>
        <w:t>201</w:t>
      </w:r>
      <w:r w:rsidR="003E0AE2">
        <w:rPr>
          <w:rFonts w:cs="Arial"/>
          <w:b/>
          <w:color w:val="000000" w:themeColor="text1"/>
          <w:sz w:val="20"/>
          <w:szCs w:val="20"/>
        </w:rPr>
        <w:t>9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E464A7" w:rsidP="004F26CF">
      <w:pPr>
        <w:jc w:val="center"/>
        <w:rPr>
          <w:rFonts w:cs="Arial"/>
          <w:sz w:val="20"/>
          <w:szCs w:val="20"/>
        </w:rPr>
      </w:pPr>
      <w:r w:rsidRPr="00E464A7">
        <w:rPr>
          <w:noProof/>
          <w:lang w:val="es-GT" w:eastAsia="es-GT"/>
        </w:rPr>
        <w:drawing>
          <wp:inline distT="0" distB="0" distL="0" distR="0">
            <wp:extent cx="5159364" cy="1521561"/>
            <wp:effectExtent l="0" t="0" r="381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15" cy="152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lastRenderedPageBreak/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2A43C9">
        <w:rPr>
          <w:rFonts w:cs="Arial"/>
          <w:color w:val="000000"/>
        </w:rPr>
        <w:t>diciembre</w:t>
      </w:r>
      <w:r w:rsidR="00A473EB">
        <w:rPr>
          <w:rFonts w:cs="Arial"/>
          <w:color w:val="000000"/>
        </w:rPr>
        <w:t xml:space="preserve">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01</w:t>
      </w:r>
      <w:r w:rsidR="00FF5300">
        <w:rPr>
          <w:rFonts w:cs="Arial"/>
          <w:color w:val="000000"/>
        </w:rPr>
        <w:t>9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3843A0">
        <w:rPr>
          <w:rFonts w:cs="Arial"/>
          <w:color w:val="000000"/>
        </w:rPr>
        <w:t>311.0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3843A0">
        <w:rPr>
          <w:rFonts w:cs="Arial"/>
          <w:color w:val="000000"/>
        </w:rPr>
        <w:t xml:space="preserve">noviembre </w:t>
      </w:r>
      <w:r w:rsidR="00A058C9" w:rsidRPr="00740893">
        <w:rPr>
          <w:rFonts w:cs="Arial"/>
          <w:color w:val="000000"/>
        </w:rPr>
        <w:t>201</w:t>
      </w:r>
      <w:r w:rsidR="00772CBE">
        <w:rPr>
          <w:rFonts w:cs="Arial"/>
          <w:color w:val="000000"/>
        </w:rPr>
        <w:t>9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8841C2">
        <w:rPr>
          <w:rFonts w:cs="Arial"/>
          <w:color w:val="000000"/>
        </w:rPr>
        <w:t>2</w:t>
      </w:r>
      <w:r w:rsidR="003843A0">
        <w:rPr>
          <w:rFonts w:cs="Arial"/>
          <w:color w:val="000000"/>
        </w:rPr>
        <w:t xml:space="preserve">40.8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</w:t>
      </w:r>
      <w:r w:rsidR="00742B37">
        <w:rPr>
          <w:rFonts w:cs="Arial"/>
          <w:color w:val="000000"/>
        </w:rPr>
        <w:t>incremento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43A69" w:rsidRDefault="001C06A0" w:rsidP="001C06A0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AE6957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1B28E3">
        <w:rPr>
          <w:rFonts w:cs="Arial"/>
          <w:b/>
          <w:color w:val="000000" w:themeColor="text1"/>
          <w:sz w:val="20"/>
          <w:szCs w:val="20"/>
        </w:rPr>
        <w:t>octubre</w:t>
      </w:r>
      <w:r w:rsidR="00AE6957">
        <w:rPr>
          <w:rFonts w:cs="Arial"/>
          <w:b/>
          <w:color w:val="000000" w:themeColor="text1"/>
          <w:sz w:val="20"/>
          <w:szCs w:val="20"/>
        </w:rPr>
        <w:t xml:space="preserve">-noviembre </w:t>
      </w:r>
      <w:r w:rsidR="00A66171">
        <w:rPr>
          <w:rFonts w:cs="Arial"/>
          <w:b/>
          <w:color w:val="000000" w:themeColor="text1"/>
          <w:sz w:val="20"/>
          <w:szCs w:val="20"/>
        </w:rPr>
        <w:t>2019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297C56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297C56">
        <w:rPr>
          <w:noProof/>
          <w:lang w:val="es-GT" w:eastAsia="es-GT"/>
        </w:rPr>
        <w:drawing>
          <wp:inline distT="0" distB="0" distL="0" distR="0" wp14:anchorId="79AEF680" wp14:editId="483390F9">
            <wp:extent cx="4959705" cy="122371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821" cy="123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6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A050C">
        <w:rPr>
          <w:rFonts w:cs="Arial"/>
          <w:color w:val="000000"/>
        </w:rPr>
        <w:t>38</w:t>
      </w:r>
      <w:r w:rsidRPr="00CC7F32">
        <w:rPr>
          <w:rFonts w:cs="Arial"/>
          <w:color w:val="000000"/>
        </w:rPr>
        <w:t xml:space="preserve">% a </w:t>
      </w:r>
      <w:r w:rsidR="00137870">
        <w:rPr>
          <w:rFonts w:cs="Arial"/>
          <w:color w:val="000000"/>
        </w:rPr>
        <w:t>diciembre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2019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7A050C">
        <w:rPr>
          <w:rFonts w:cs="Arial"/>
          <w:color w:val="000000"/>
        </w:rPr>
        <w:t>62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DB3E14">
        <w:rPr>
          <w:rFonts w:cs="Arial"/>
          <w:color w:val="000000"/>
        </w:rPr>
        <w:t>diciembre</w:t>
      </w:r>
      <w:r w:rsidR="00EE52D8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201</w:t>
      </w:r>
      <w:r w:rsidR="00B31002" w:rsidRPr="008C7EAF">
        <w:rPr>
          <w:rFonts w:cs="Arial"/>
          <w:color w:val="000000"/>
        </w:rPr>
        <w:t>9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442A94" w:rsidRPr="00BD50CC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7A050C">
        <w:rPr>
          <w:rFonts w:cs="Arial"/>
          <w:b/>
          <w:color w:val="000000" w:themeColor="text1"/>
          <w:sz w:val="20"/>
          <w:szCs w:val="20"/>
        </w:rPr>
        <w:t>diciembre</w:t>
      </w:r>
      <w:r w:rsidR="00F72372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A7869">
        <w:rPr>
          <w:rFonts w:cs="Arial"/>
          <w:b/>
          <w:color w:val="000000" w:themeColor="text1"/>
          <w:sz w:val="20"/>
          <w:szCs w:val="20"/>
        </w:rPr>
        <w:t>201</w:t>
      </w:r>
      <w:r w:rsidR="004574FB">
        <w:rPr>
          <w:rFonts w:cs="Arial"/>
          <w:b/>
          <w:color w:val="000000" w:themeColor="text1"/>
          <w:sz w:val="20"/>
          <w:szCs w:val="20"/>
        </w:rPr>
        <w:t>9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947864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lang w:val="es-GT" w:eastAsia="es-GT"/>
        </w:rPr>
        <w:drawing>
          <wp:inline distT="0" distB="0" distL="0" distR="0" wp14:anchorId="442F0DF1" wp14:editId="36EC1717">
            <wp:extent cx="4403750" cy="1367942"/>
            <wp:effectExtent l="0" t="0" r="15875" b="228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0A40C5">
        <w:rPr>
          <w:rFonts w:cs="Arial"/>
          <w:color w:val="000000"/>
        </w:rPr>
        <w:t>diciembre</w:t>
      </w:r>
      <w:r w:rsidR="0027040C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9269F2" w:rsidRPr="00E639E2">
        <w:rPr>
          <w:rFonts w:cs="Arial"/>
          <w:color w:val="000000"/>
        </w:rPr>
        <w:t>201</w:t>
      </w:r>
      <w:r w:rsidR="00014ABE">
        <w:rPr>
          <w:rFonts w:cs="Arial"/>
          <w:color w:val="000000"/>
        </w:rPr>
        <w:t>9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567D3A" w:rsidRPr="00E639E2" w:rsidRDefault="00567D3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3D6CF8">
        <w:rPr>
          <w:rFonts w:cs="Arial"/>
          <w:b/>
          <w:sz w:val="20"/>
          <w:szCs w:val="20"/>
        </w:rPr>
        <w:t>diciembre</w:t>
      </w:r>
      <w:r w:rsidR="00363A52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2019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363A52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95279" w:rsidRPr="0039432B" w:rsidRDefault="008511FB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8511FB">
        <w:rPr>
          <w:noProof/>
          <w:lang w:val="es-GT" w:eastAsia="es-GT"/>
        </w:rPr>
        <w:drawing>
          <wp:inline distT="0" distB="0" distL="0" distR="0" wp14:anchorId="67B7B1DD" wp14:editId="0D2F4F78">
            <wp:extent cx="6156960" cy="169948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C" w:rsidRPr="0039432B" w:rsidRDefault="00C217DC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5D74A6">
        <w:rPr>
          <w:color w:val="000000" w:themeColor="text1"/>
          <w:sz w:val="22"/>
          <w:szCs w:val="22"/>
          <w:lang w:val="es-ES"/>
        </w:rPr>
        <w:t xml:space="preserve"> y a </w:t>
      </w:r>
      <w:r w:rsidR="008511FB">
        <w:rPr>
          <w:color w:val="000000" w:themeColor="text1"/>
          <w:sz w:val="22"/>
          <w:szCs w:val="22"/>
          <w:lang w:val="es-ES"/>
        </w:rPr>
        <w:t>diciembre</w:t>
      </w:r>
      <w:r w:rsidR="005B0AD4">
        <w:rPr>
          <w:color w:val="000000" w:themeColor="text1"/>
          <w:sz w:val="22"/>
          <w:szCs w:val="22"/>
          <w:lang w:val="es-ES"/>
        </w:rPr>
        <w:t xml:space="preserve">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F1659" w:rsidRPr="004F3E31">
        <w:rPr>
          <w:color w:val="000000" w:themeColor="text1"/>
          <w:sz w:val="22"/>
          <w:szCs w:val="22"/>
          <w:lang w:val="es-ES"/>
        </w:rPr>
        <w:t>0</w:t>
      </w:r>
      <w:r w:rsidR="00725A08">
        <w:rPr>
          <w:color w:val="000000" w:themeColor="text1"/>
          <w:sz w:val="22"/>
          <w:szCs w:val="22"/>
          <w:lang w:val="es-ES"/>
        </w:rPr>
        <w:t>.8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lastRenderedPageBreak/>
        <w:t>Cambios en la situación contractua</w:t>
      </w:r>
      <w:r w:rsidR="00BD12F5">
        <w:rPr>
          <w:rFonts w:cs="Arial"/>
          <w:b/>
        </w:rPr>
        <w:t>l de los fideicomisos (2014-2019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376B16" w:rsidRPr="00FB5BF3">
        <w:rPr>
          <w:sz w:val="22"/>
          <w:szCs w:val="22"/>
        </w:rPr>
        <w:t>01</w:t>
      </w:r>
      <w:r w:rsidR="00BD12F5">
        <w:rPr>
          <w:sz w:val="22"/>
          <w:szCs w:val="22"/>
        </w:rPr>
        <w:t>9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lastRenderedPageBreak/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lastRenderedPageBreak/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</w:t>
      </w:r>
      <w:r w:rsidR="00DD0406" w:rsidRPr="00291C02">
        <w:rPr>
          <w:rFonts w:cs="Arial"/>
          <w:color w:val="000000"/>
        </w:rPr>
        <w:lastRenderedPageBreak/>
        <w:t>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Default="004A047D" w:rsidP="004A047D">
      <w:pPr>
        <w:pStyle w:val="Prrafodelista"/>
        <w:jc w:val="both"/>
        <w:rPr>
          <w:rFonts w:cs="Arial"/>
          <w:color w:val="000000"/>
        </w:rPr>
      </w:pPr>
    </w:p>
    <w:p w:rsidR="004A047D" w:rsidRPr="00C730D7" w:rsidRDefault="004A047D" w:rsidP="004A0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C730D7">
        <w:rPr>
          <w:rFonts w:cs="Arial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C7339B">
      <w:headerReference w:type="default" r:id="rId17"/>
      <w:footerReference w:type="default" r:id="rId18"/>
      <w:pgSz w:w="12240" w:h="15840" w:code="1"/>
      <w:pgMar w:top="993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8D" w:rsidRDefault="00EE498D" w:rsidP="00AF4392">
      <w:r>
        <w:separator/>
      </w:r>
    </w:p>
  </w:endnote>
  <w:endnote w:type="continuationSeparator" w:id="0">
    <w:p w:rsidR="00EE498D" w:rsidRDefault="00EE498D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C15C5" w:rsidRDefault="009C15C5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62912">
              <w:rPr>
                <w:rFonts w:ascii="Arial Narrow" w:hAnsi="Arial Narrow"/>
                <w:b/>
                <w:noProof/>
                <w:sz w:val="16"/>
                <w:szCs w:val="16"/>
              </w:rPr>
              <w:t>12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62912">
              <w:rPr>
                <w:rFonts w:ascii="Arial Narrow" w:hAnsi="Arial Narrow"/>
                <w:b/>
                <w:noProof/>
                <w:sz w:val="16"/>
                <w:szCs w:val="16"/>
              </w:rPr>
              <w:t>12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C15C5" w:rsidRDefault="00D8253A">
    <w:pPr>
      <w:pStyle w:val="Piedepgina"/>
    </w:pPr>
    <w:r>
      <w:rPr>
        <w:noProof/>
        <w:lang w:val="es-GT" w:eastAsia="es-GT"/>
      </w:rPr>
      <w:drawing>
        <wp:inline distT="0" distB="0" distL="0" distR="0" wp14:anchorId="075B50D1" wp14:editId="55381EFE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8D" w:rsidRDefault="00EE498D" w:rsidP="00AF4392">
      <w:r>
        <w:separator/>
      </w:r>
    </w:p>
  </w:footnote>
  <w:footnote w:type="continuationSeparator" w:id="0">
    <w:p w:rsidR="00EE498D" w:rsidRDefault="00EE498D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82" w:rsidRDefault="00B82B82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4CF1AEB0" wp14:editId="6EC76C7A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51CF"/>
    <w:rsid w:val="00016153"/>
    <w:rsid w:val="000162ED"/>
    <w:rsid w:val="000164EF"/>
    <w:rsid w:val="00017546"/>
    <w:rsid w:val="00022C08"/>
    <w:rsid w:val="00022F0A"/>
    <w:rsid w:val="00023003"/>
    <w:rsid w:val="0002312C"/>
    <w:rsid w:val="0002352A"/>
    <w:rsid w:val="00023BD7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2228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93C"/>
    <w:rsid w:val="000C1AB8"/>
    <w:rsid w:val="000C2047"/>
    <w:rsid w:val="000C266F"/>
    <w:rsid w:val="000C2775"/>
    <w:rsid w:val="000C342F"/>
    <w:rsid w:val="000C3F46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AF"/>
    <w:rsid w:val="00153AE0"/>
    <w:rsid w:val="00154478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2112"/>
    <w:rsid w:val="0017242F"/>
    <w:rsid w:val="00174797"/>
    <w:rsid w:val="00174D18"/>
    <w:rsid w:val="00175549"/>
    <w:rsid w:val="001756B6"/>
    <w:rsid w:val="00176CD0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9F7"/>
    <w:rsid w:val="001C6FD1"/>
    <w:rsid w:val="001C7797"/>
    <w:rsid w:val="001D0238"/>
    <w:rsid w:val="001D09A0"/>
    <w:rsid w:val="001D14D0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8DF"/>
    <w:rsid w:val="001E39D0"/>
    <w:rsid w:val="001E4DAF"/>
    <w:rsid w:val="001E50B5"/>
    <w:rsid w:val="001E5136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5E5"/>
    <w:rsid w:val="0023096C"/>
    <w:rsid w:val="00230A4E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40C"/>
    <w:rsid w:val="00270DFE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523C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3011E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B78"/>
    <w:rsid w:val="003866A0"/>
    <w:rsid w:val="00386AE3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E8"/>
    <w:rsid w:val="003A5D31"/>
    <w:rsid w:val="003A61E7"/>
    <w:rsid w:val="003A79CB"/>
    <w:rsid w:val="003A7A33"/>
    <w:rsid w:val="003A7F00"/>
    <w:rsid w:val="003B07DD"/>
    <w:rsid w:val="003B08E9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640F"/>
    <w:rsid w:val="003C64DE"/>
    <w:rsid w:val="003C6F06"/>
    <w:rsid w:val="003C71F9"/>
    <w:rsid w:val="003C7AA3"/>
    <w:rsid w:val="003D08F6"/>
    <w:rsid w:val="003D16D4"/>
    <w:rsid w:val="003D17C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D6CF8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0F2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7880"/>
    <w:rsid w:val="004D062C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ECB"/>
    <w:rsid w:val="004D4CE1"/>
    <w:rsid w:val="004D4D89"/>
    <w:rsid w:val="004D5EAB"/>
    <w:rsid w:val="004D70FF"/>
    <w:rsid w:val="004E0620"/>
    <w:rsid w:val="004E2929"/>
    <w:rsid w:val="004E2BE9"/>
    <w:rsid w:val="004E2D93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63"/>
    <w:rsid w:val="00537A32"/>
    <w:rsid w:val="00537CFD"/>
    <w:rsid w:val="005417C0"/>
    <w:rsid w:val="00543331"/>
    <w:rsid w:val="005433EC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2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6095"/>
    <w:rsid w:val="00597173"/>
    <w:rsid w:val="00597510"/>
    <w:rsid w:val="00597ABE"/>
    <w:rsid w:val="005A05BC"/>
    <w:rsid w:val="005A116E"/>
    <w:rsid w:val="005A13B0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B0157"/>
    <w:rsid w:val="005B0AD4"/>
    <w:rsid w:val="005B12F6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24A9"/>
    <w:rsid w:val="007628E6"/>
    <w:rsid w:val="00762DFF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709A"/>
    <w:rsid w:val="00777658"/>
    <w:rsid w:val="00781AF2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70B7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F1B"/>
    <w:rsid w:val="008665B7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095F"/>
    <w:rsid w:val="008810A1"/>
    <w:rsid w:val="0088192F"/>
    <w:rsid w:val="00881E4F"/>
    <w:rsid w:val="008826D6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7E2"/>
    <w:rsid w:val="008C7BB8"/>
    <w:rsid w:val="008C7EAF"/>
    <w:rsid w:val="008D01F6"/>
    <w:rsid w:val="008D069E"/>
    <w:rsid w:val="008D07A4"/>
    <w:rsid w:val="008D0E5C"/>
    <w:rsid w:val="008D10E5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17A0"/>
    <w:rsid w:val="0091200D"/>
    <w:rsid w:val="00912097"/>
    <w:rsid w:val="0091233E"/>
    <w:rsid w:val="00913CA2"/>
    <w:rsid w:val="0091422B"/>
    <w:rsid w:val="00914786"/>
    <w:rsid w:val="00915896"/>
    <w:rsid w:val="00915C96"/>
    <w:rsid w:val="0091676F"/>
    <w:rsid w:val="00917D16"/>
    <w:rsid w:val="00920AE8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09A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1E6"/>
    <w:rsid w:val="009C0BEB"/>
    <w:rsid w:val="009C13E5"/>
    <w:rsid w:val="009C15C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6705"/>
    <w:rsid w:val="009D7DAE"/>
    <w:rsid w:val="009E0760"/>
    <w:rsid w:val="009E2160"/>
    <w:rsid w:val="009E28BE"/>
    <w:rsid w:val="009E37CE"/>
    <w:rsid w:val="009E412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C27"/>
    <w:rsid w:val="00A44BA3"/>
    <w:rsid w:val="00A45882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2F18"/>
    <w:rsid w:val="00A54314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98D"/>
    <w:rsid w:val="00A65F5F"/>
    <w:rsid w:val="00A66171"/>
    <w:rsid w:val="00A66A5F"/>
    <w:rsid w:val="00A66CF1"/>
    <w:rsid w:val="00A66D89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81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C79"/>
    <w:rsid w:val="00A96D08"/>
    <w:rsid w:val="00A96EE5"/>
    <w:rsid w:val="00A973BC"/>
    <w:rsid w:val="00A9784B"/>
    <w:rsid w:val="00AA0A71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EAC"/>
    <w:rsid w:val="00AB44E0"/>
    <w:rsid w:val="00AB50A7"/>
    <w:rsid w:val="00AB5314"/>
    <w:rsid w:val="00AB5821"/>
    <w:rsid w:val="00AB70F8"/>
    <w:rsid w:val="00AC0146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B55"/>
    <w:rsid w:val="00B02F97"/>
    <w:rsid w:val="00B04494"/>
    <w:rsid w:val="00B0635A"/>
    <w:rsid w:val="00B067A6"/>
    <w:rsid w:val="00B072C4"/>
    <w:rsid w:val="00B07658"/>
    <w:rsid w:val="00B077B1"/>
    <w:rsid w:val="00B1044A"/>
    <w:rsid w:val="00B108B0"/>
    <w:rsid w:val="00B11981"/>
    <w:rsid w:val="00B12021"/>
    <w:rsid w:val="00B12DFD"/>
    <w:rsid w:val="00B13016"/>
    <w:rsid w:val="00B13380"/>
    <w:rsid w:val="00B134D8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87B"/>
    <w:rsid w:val="00B43AC2"/>
    <w:rsid w:val="00B44048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C1D"/>
    <w:rsid w:val="00B82A23"/>
    <w:rsid w:val="00B82B82"/>
    <w:rsid w:val="00B834E9"/>
    <w:rsid w:val="00B83B58"/>
    <w:rsid w:val="00B842B1"/>
    <w:rsid w:val="00B84427"/>
    <w:rsid w:val="00B84C8D"/>
    <w:rsid w:val="00B84CCA"/>
    <w:rsid w:val="00B85B91"/>
    <w:rsid w:val="00B86460"/>
    <w:rsid w:val="00B867CB"/>
    <w:rsid w:val="00B868FD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E6E"/>
    <w:rsid w:val="00BA7070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24A0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6890"/>
    <w:rsid w:val="00CD68ED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EEA"/>
    <w:rsid w:val="00D27914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FC0"/>
    <w:rsid w:val="00DB50E2"/>
    <w:rsid w:val="00DB5894"/>
    <w:rsid w:val="00DB5AC5"/>
    <w:rsid w:val="00DB5DA6"/>
    <w:rsid w:val="00DB629A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15B6"/>
    <w:rsid w:val="00DE2369"/>
    <w:rsid w:val="00DE2440"/>
    <w:rsid w:val="00DE277E"/>
    <w:rsid w:val="00DE2DDB"/>
    <w:rsid w:val="00DE37FE"/>
    <w:rsid w:val="00DE381A"/>
    <w:rsid w:val="00DE393F"/>
    <w:rsid w:val="00DE426A"/>
    <w:rsid w:val="00DE569C"/>
    <w:rsid w:val="00DE619E"/>
    <w:rsid w:val="00DE6DD2"/>
    <w:rsid w:val="00DE740F"/>
    <w:rsid w:val="00DE78A5"/>
    <w:rsid w:val="00DE7C68"/>
    <w:rsid w:val="00DE7DAC"/>
    <w:rsid w:val="00DF02E0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3C89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2D8"/>
    <w:rsid w:val="00EE5A18"/>
    <w:rsid w:val="00EE7378"/>
    <w:rsid w:val="00EF089A"/>
    <w:rsid w:val="00EF1AF1"/>
    <w:rsid w:val="00EF24A0"/>
    <w:rsid w:val="00EF3222"/>
    <w:rsid w:val="00EF3521"/>
    <w:rsid w:val="00EF36DE"/>
    <w:rsid w:val="00EF3EA4"/>
    <w:rsid w:val="00EF4A53"/>
    <w:rsid w:val="00EF5050"/>
    <w:rsid w:val="00EF5A8F"/>
    <w:rsid w:val="00EF6049"/>
    <w:rsid w:val="00EF6178"/>
    <w:rsid w:val="00EF6BD9"/>
    <w:rsid w:val="00EF6DD4"/>
    <w:rsid w:val="00EF6EB5"/>
    <w:rsid w:val="00EF7628"/>
    <w:rsid w:val="00F0077E"/>
    <w:rsid w:val="00F00D85"/>
    <w:rsid w:val="00F0167F"/>
    <w:rsid w:val="00F01D2C"/>
    <w:rsid w:val="00F01D4C"/>
    <w:rsid w:val="00F02445"/>
    <w:rsid w:val="00F03030"/>
    <w:rsid w:val="00F030B1"/>
    <w:rsid w:val="00F03468"/>
    <w:rsid w:val="00F041A4"/>
    <w:rsid w:val="00F045E7"/>
    <w:rsid w:val="00F050BF"/>
    <w:rsid w:val="00F063EE"/>
    <w:rsid w:val="00F06487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47A9"/>
    <w:rsid w:val="00F166B7"/>
    <w:rsid w:val="00F1672A"/>
    <w:rsid w:val="00F17656"/>
    <w:rsid w:val="00F17BA7"/>
    <w:rsid w:val="00F17C3E"/>
    <w:rsid w:val="00F20F94"/>
    <w:rsid w:val="00F223C4"/>
    <w:rsid w:val="00F22663"/>
    <w:rsid w:val="00F25312"/>
    <w:rsid w:val="00F25FD5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0B8C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40E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6202"/>
    <w:rsid w:val="00FF76A3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'[AC Y DYA.xlsx]PNR AC'!$N$19:$N$23</c:f>
              <c:strCache>
                <c:ptCount val="5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OTROS</c:v>
                </c:pt>
              </c:strCache>
            </c:strRef>
          </c:cat>
          <c:val>
            <c:numRef>
              <c:f>'[AC Y DYA.xlsx]PNR AC'!$O$19:$O$23</c:f>
              <c:numCache>
                <c:formatCode>_(* #,##0.00_);_(* \(#,##0.00\);_(* "-"??_);_(@_)</c:formatCode>
                <c:ptCount val="5"/>
                <c:pt idx="0">
                  <c:v>667.30695981999997</c:v>
                </c:pt>
                <c:pt idx="1">
                  <c:v>9732.4154348699976</c:v>
                </c:pt>
                <c:pt idx="2">
                  <c:v>4280.8342890800004</c:v>
                </c:pt>
                <c:pt idx="3">
                  <c:v>1517.9778289600001</c:v>
                </c:pt>
                <c:pt idx="4">
                  <c:v>1483.5602938900001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'[AC Y DYA.xlsx]PNR AC'!$I$40:$I$42</c:f>
              <c:strCache>
                <c:ptCount val="1"/>
                <c:pt idx="0">
                  <c:v>NO REEMBOLSABLE REEMBOLSABLE MIXTO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3.4216867469879515E-2"/>
                  <c:y val="-6.776685172417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'\\172.18.3.210\ddf\INFORMES\Portal DdF\2019\bases de datos 2019\[AC Y DYA 07-2019.xlsx]PNR AC'!$I$40:$I$42</c:f>
              <c:strCache>
                <c:ptCount val="3"/>
                <c:pt idx="0">
                  <c:v>NO REEMBOLSABLE</c:v>
                </c:pt>
                <c:pt idx="1">
                  <c:v>REEMBOLSABLE</c:v>
                </c:pt>
                <c:pt idx="2">
                  <c:v>MIXTO</c:v>
                </c:pt>
              </c:strCache>
            </c:strRef>
          </c:cat>
          <c:val>
            <c:numRef>
              <c:f>'[AC Y DYA.xlsx]PNR AC'!$L$40:$L$42</c:f>
              <c:numCache>
                <c:formatCode>_(* #,##0.00_);_(* \(#,##0.00\);_(* "-"??_);_(@_)</c:formatCode>
                <c:ptCount val="3"/>
                <c:pt idx="0">
                  <c:v>12316.416760210001</c:v>
                </c:pt>
                <c:pt idx="1">
                  <c:v>1529.3873172899998</c:v>
                </c:pt>
                <c:pt idx="2">
                  <c:v>3836.2907291199999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732198340072354"/>
          <c:y val="5.9950097283484501E-2"/>
          <c:w val="0.58403849518810147"/>
          <c:h val="0.8326195683872849"/>
        </c:manualLayout>
      </c:layout>
      <c:lineChart>
        <c:grouping val="standard"/>
        <c:varyColors val="0"/>
        <c:ser>
          <c:idx val="1"/>
          <c:order val="0"/>
          <c:tx>
            <c:v>VIGENTE</c:v>
          </c:tx>
          <c:marker>
            <c:symbol val="none"/>
          </c:marker>
          <c:cat>
            <c:numRef>
              <c:f>'[AC Y DYA.xlsx]CARTERA'!$L$42:$L$48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mmm\-yy">
                  <c:v>43800</c:v>
                </c:pt>
              </c:numCache>
            </c:numRef>
          </c:cat>
          <c:val>
            <c:numRef>
              <c:f>'[AC Y DYA.xlsx]CARTERA'!$M$42:$M$48</c:f>
              <c:numCache>
                <c:formatCode>_(* #,##0.00_);_(* \(#,##0.00\);_(* "-"??_);_(@_)</c:formatCode>
                <c:ptCount val="7"/>
                <c:pt idx="0">
                  <c:v>1443110</c:v>
                </c:pt>
                <c:pt idx="1">
                  <c:v>1314398.8999999999</c:v>
                </c:pt>
                <c:pt idx="2">
                  <c:v>1209889.7</c:v>
                </c:pt>
                <c:pt idx="3">
                  <c:v>1086645.06</c:v>
                </c:pt>
                <c:pt idx="4">
                  <c:v>1053975.1499999999</c:v>
                </c:pt>
                <c:pt idx="5">
                  <c:v>1050991.6458099999</c:v>
                </c:pt>
                <c:pt idx="6">
                  <c:v>939977.26289999997</c:v>
                </c:pt>
              </c:numCache>
            </c:numRef>
          </c:val>
          <c:smooth val="0"/>
        </c:ser>
        <c:ser>
          <c:idx val="2"/>
          <c:order val="1"/>
          <c:tx>
            <c:v>VENCIDA</c:v>
          </c:tx>
          <c:marker>
            <c:symbol val="none"/>
          </c:marker>
          <c:cat>
            <c:numRef>
              <c:f>'[AC Y DYA.xlsx]CARTERA'!$L$42:$L$48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mmm\-yy">
                  <c:v>43800</c:v>
                </c:pt>
              </c:numCache>
            </c:numRef>
          </c:cat>
          <c:val>
            <c:numRef>
              <c:f>'[AC Y DYA.xlsx]CARTERA'!$N$42:$N$48</c:f>
              <c:numCache>
                <c:formatCode>_(* #,##0.00_);_(* \(#,##0.00\);_(* "-"??_);_(@_)</c:formatCode>
                <c:ptCount val="7"/>
                <c:pt idx="0">
                  <c:v>464902.5</c:v>
                </c:pt>
                <c:pt idx="1">
                  <c:v>592397.69999999995</c:v>
                </c:pt>
                <c:pt idx="2">
                  <c:v>570063.9</c:v>
                </c:pt>
                <c:pt idx="3">
                  <c:v>651705.57999999996</c:v>
                </c:pt>
                <c:pt idx="4">
                  <c:v>623481.61</c:v>
                </c:pt>
                <c:pt idx="5">
                  <c:v>622575.14003000001</c:v>
                </c:pt>
                <c:pt idx="6">
                  <c:v>571167.78049999988</c:v>
                </c:pt>
              </c:numCache>
            </c:numRef>
          </c:val>
          <c:smooth val="0"/>
        </c:ser>
        <c:ser>
          <c:idx val="0"/>
          <c:order val="2"/>
          <c:tx>
            <c:v>TOTAL </c:v>
          </c:tx>
          <c:marker>
            <c:symbol val="none"/>
          </c:marker>
          <c:cat>
            <c:numRef>
              <c:f>'[AC Y DYA.xlsx]CARTERA'!$L$42:$L$48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 formatCode="mmm\-yy">
                  <c:v>43800</c:v>
                </c:pt>
              </c:numCache>
            </c:numRef>
          </c:cat>
          <c:val>
            <c:numRef>
              <c:f>'[AC Y DYA.xlsx]CARTERA'!$O$42:$O$48</c:f>
              <c:numCache>
                <c:formatCode>_(* #,##0.00_);_(* \(#,##0.00\);_(* "-"??_);_(@_)</c:formatCode>
                <c:ptCount val="7"/>
                <c:pt idx="0">
                  <c:v>1908012.5</c:v>
                </c:pt>
                <c:pt idx="1">
                  <c:v>1906796.5999999999</c:v>
                </c:pt>
                <c:pt idx="2">
                  <c:v>1779953.6</c:v>
                </c:pt>
                <c:pt idx="3">
                  <c:v>1738350.6400000001</c:v>
                </c:pt>
                <c:pt idx="4">
                  <c:v>1677456.7599999998</c:v>
                </c:pt>
                <c:pt idx="5">
                  <c:v>1673566.78584</c:v>
                </c:pt>
                <c:pt idx="6">
                  <c:v>1511145.0433999998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07808"/>
        <c:axId val="31209344"/>
      </c:lineChart>
      <c:catAx>
        <c:axId val="3120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/>
            </a:pPr>
            <a:endParaRPr lang="es-GT"/>
          </a:p>
        </c:txPr>
        <c:crossAx val="31209344"/>
        <c:crosses val="autoZero"/>
        <c:auto val="1"/>
        <c:lblAlgn val="ctr"/>
        <c:lblOffset val="100"/>
        <c:noMultiLvlLbl val="0"/>
      </c:catAx>
      <c:valAx>
        <c:axId val="312093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_(* #,##0.00_);_(* \(#,##0.00\);_(* &quot;-&quot;??_);_(@_)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GT"/>
          </a:p>
        </c:txPr>
        <c:crossAx val="3120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94346711619274"/>
          <c:y val="0.41240536183804855"/>
          <c:w val="0.2670564304461942"/>
          <c:h val="0.25115157480314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BD49-1AA2-460E-B440-10924400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3896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3</cp:revision>
  <cp:lastPrinted>2020-01-28T14:01:00Z</cp:lastPrinted>
  <dcterms:created xsi:type="dcterms:W3CDTF">2020-01-27T22:01:00Z</dcterms:created>
  <dcterms:modified xsi:type="dcterms:W3CDTF">2020-01-28T14:02:00Z</dcterms:modified>
</cp:coreProperties>
</file>