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834479">
        <w:rPr>
          <w:rFonts w:ascii="Lucida Sans Unicode" w:hAnsi="Lucida Sans Unicode" w:cs="Lucida Sans Unicode"/>
          <w:b/>
          <w:color w:val="002060"/>
        </w:rPr>
        <w:t>10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261187">
        <w:rPr>
          <w:rFonts w:ascii="Lucida Sans Unicode" w:hAnsi="Lucida Sans Unicode" w:cs="Lucida Sans Unicode"/>
          <w:b/>
          <w:color w:val="002060"/>
        </w:rPr>
        <w:t>0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834479">
        <w:rPr>
          <w:rFonts w:ascii="Lucida Sans Unicode" w:hAnsi="Lucida Sans Unicode" w:cs="Lucida Sans Unicode"/>
          <w:b/>
          <w:color w:val="002060"/>
        </w:rPr>
        <w:t>1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834479">
        <w:rPr>
          <w:rFonts w:ascii="Lucida Sans Unicode" w:hAnsi="Lucida Sans Unicode" w:cs="Lucida Sans Unicode"/>
          <w:b/>
          <w:color w:val="002060"/>
        </w:rPr>
        <w:t>octubre</w:t>
      </w:r>
      <w:r w:rsidR="00EA136C" w:rsidRPr="00F856D0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20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B34F43" w:rsidRDefault="003B5F78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8144AB">
        <w:rPr>
          <w:rFonts w:ascii="Lucida Sans Unicode" w:hAnsi="Lucida Sans Unicode" w:cs="Lucida Sans Unicode"/>
        </w:rPr>
        <w:t>1</w:t>
      </w:r>
      <w:r w:rsidR="00C0696D">
        <w:rPr>
          <w:rFonts w:ascii="Lucida Sans Unicode" w:hAnsi="Lucida Sans Unicode" w:cs="Lucida Sans Unicode"/>
        </w:rPr>
        <w:t xml:space="preserve">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8144AB">
        <w:rPr>
          <w:rFonts w:ascii="Lucida Sans Unicode" w:hAnsi="Lucida Sans Unicode" w:cs="Lucida Sans Unicode"/>
        </w:rPr>
        <w:t>octubre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20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4E69C2" w:rsidRPr="00F856D0">
        <w:rPr>
          <w:rFonts w:ascii="Lucida Sans Unicode" w:hAnsi="Lucida Sans Unicode" w:cs="Lucida Sans Unicode"/>
        </w:rPr>
        <w:t>8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8144AB">
        <w:rPr>
          <w:rFonts w:ascii="Lucida Sans Unicode" w:hAnsi="Lucida Sans Unicode" w:cs="Lucida Sans Unicode"/>
        </w:rPr>
        <w:t>449.4</w:t>
      </w:r>
      <w:proofErr w:type="gramEnd"/>
      <w:r w:rsidR="008144AB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062355" w:rsidRDefault="003B5F7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062355" w:rsidRDefault="003B5F78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144AB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2324C1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020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D627D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F74194" w:rsidRPr="00F856D0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2019AF" w:rsidRPr="00F856D0" w:rsidRDefault="00720060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2DC379B2">
            <wp:extent cx="5179832" cy="23241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42" cy="2322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Pr="00F856D0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F8582A" w:rsidRPr="00F856D0">
        <w:rPr>
          <w:rFonts w:ascii="Lucida Sans Unicode" w:hAnsi="Lucida Sans Unicode" w:cs="Lucida Sans Unicode"/>
        </w:rPr>
        <w:t>8,</w:t>
      </w:r>
      <w:r w:rsidR="00720060">
        <w:rPr>
          <w:rFonts w:ascii="Lucida Sans Unicode" w:hAnsi="Lucida Sans Unicode" w:cs="Lucida Sans Unicode"/>
        </w:rPr>
        <w:t xml:space="preserve">449.4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720060">
        <w:rPr>
          <w:rFonts w:ascii="Lucida Sans Unicode" w:hAnsi="Lucida Sans Unicode" w:cs="Lucida Sans Unicode"/>
        </w:rPr>
        <w:t>3</w:t>
      </w:r>
      <w:r w:rsidR="007211B5" w:rsidRPr="00F856D0">
        <w:rPr>
          <w:rFonts w:ascii="Lucida Sans Unicode" w:hAnsi="Lucida Sans Unicode" w:cs="Lucida Sans Unicode"/>
        </w:rPr>
        <w:t>,</w:t>
      </w:r>
      <w:r w:rsidR="00720060">
        <w:rPr>
          <w:rFonts w:ascii="Lucida Sans Unicode" w:hAnsi="Lucida Sans Unicode" w:cs="Lucida Sans Unicode"/>
        </w:rPr>
        <w:t>056.5</w:t>
      </w:r>
      <w:r w:rsidR="006C5C52">
        <w:rPr>
          <w:rFonts w:ascii="Lucida Sans Unicode" w:hAnsi="Lucida Sans Unicode" w:cs="Lucida Sans Unicode"/>
        </w:rPr>
        <w:t xml:space="preserve">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71926" w:rsidRPr="00F856D0">
        <w:rPr>
          <w:rFonts w:ascii="Lucida Sans Unicode" w:hAnsi="Lucida Sans Unicode" w:cs="Lucida Sans Unicode"/>
        </w:rPr>
        <w:t>18</w:t>
      </w:r>
      <w:r w:rsidR="00F2723E" w:rsidRPr="00F856D0">
        <w:rPr>
          <w:rFonts w:ascii="Lucida Sans Unicode" w:hAnsi="Lucida Sans Unicode" w:cs="Lucida Sans Unicode"/>
        </w:rPr>
        <w:t>.</w:t>
      </w:r>
      <w:r w:rsidR="00671926" w:rsidRPr="00F856D0">
        <w:rPr>
          <w:rFonts w:ascii="Lucida Sans Unicode" w:hAnsi="Lucida Sans Unicode" w:cs="Lucida Sans Unicode"/>
        </w:rPr>
        <w:t>6</w:t>
      </w:r>
      <w:r w:rsidRPr="00F856D0">
        <w:rPr>
          <w:rFonts w:ascii="Lucida Sans Unicode" w:hAnsi="Lucida Sans Unicode" w:cs="Lucida Sans Unicode"/>
        </w:rPr>
        <w:t xml:space="preserve"> 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AC0A41" w:rsidRPr="00F856D0">
        <w:rPr>
          <w:rFonts w:ascii="Lucida Sans Unicode" w:hAnsi="Lucida Sans Unicode" w:cs="Lucida Sans Unicode"/>
        </w:rPr>
        <w:t>8</w:t>
      </w:r>
      <w:r w:rsidR="00720060">
        <w:rPr>
          <w:rFonts w:ascii="Lucida Sans Unicode" w:hAnsi="Lucida Sans Unicode" w:cs="Lucida Sans Unicode"/>
        </w:rPr>
        <w:t>74.2</w:t>
      </w:r>
      <w:r w:rsidR="00DB629A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062355" w:rsidRDefault="003B5F7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062355" w:rsidRDefault="003B5F78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B1162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67192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50510D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4238AA01">
            <wp:extent cx="5319957" cy="2790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38" cy="279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11037E" w:rsidRDefault="003B5F78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F2E8D" w:rsidRPr="00F856D0" w:rsidRDefault="006F2E8D" w:rsidP="006F2E8D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color w:val="000000" w:themeColor="text1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ED1850">
        <w:rPr>
          <w:rFonts w:ascii="Lucida Sans Unicode" w:hAnsi="Lucida Sans Unicode" w:cs="Lucida Sans Unicode"/>
          <w:color w:val="000000" w:themeColor="text1"/>
        </w:rPr>
        <w:t>20 (</w:t>
      </w:r>
      <w:r w:rsidR="0050510D">
        <w:rPr>
          <w:rFonts w:ascii="Lucida Sans Unicode" w:hAnsi="Lucida Sans Unicode" w:cs="Lucida Sans Unicode"/>
          <w:color w:val="000000" w:themeColor="text1"/>
        </w:rPr>
        <w:t>octubre</w:t>
      </w:r>
      <w:r w:rsidR="00074A21">
        <w:rPr>
          <w:rFonts w:ascii="Lucida Sans Unicode" w:hAnsi="Lucida Sans Unicode" w:cs="Lucida Sans Unicode"/>
          <w:color w:val="000000" w:themeColor="text1"/>
        </w:rPr>
        <w:t>)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0510D">
        <w:rPr>
          <w:rFonts w:ascii="Lucida Sans Unicode" w:hAnsi="Lucida Sans Unicode" w:cs="Lucida Sans Unicode"/>
          <w:color w:val="000000" w:themeColor="text1"/>
        </w:rPr>
        <w:t xml:space="preserve">1,036.0 </w:t>
      </w:r>
      <w:r w:rsidR="00F004AE">
        <w:rPr>
          <w:rFonts w:ascii="Lucida Sans Unicode" w:hAnsi="Lucida Sans Unicode" w:cs="Lucida Sans Unicode"/>
          <w:color w:val="000000" w:themeColor="text1"/>
        </w:rPr>
        <w:tab/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004AE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174DA2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BE0459" w:rsidRPr="00101288">
        <w:rPr>
          <w:rFonts w:ascii="Lucida Sans Unicode" w:hAnsi="Lucida Sans Unicode" w:cs="Lucida Sans Unicode"/>
          <w:b/>
          <w:color w:val="1F497D" w:themeColor="text2"/>
        </w:rPr>
        <w:t>20</w:t>
      </w:r>
      <w:r w:rsidR="00B30FD7" w:rsidRPr="00101288">
        <w:rPr>
          <w:rFonts w:ascii="Lucida Sans Unicode" w:hAnsi="Lucida Sans Unicode" w:cs="Lucida Sans Unicode"/>
          <w:b/>
          <w:color w:val="1F497D" w:themeColor="text2"/>
        </w:rPr>
        <w:t>20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3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026"/>
        <w:gridCol w:w="778"/>
        <w:gridCol w:w="2238"/>
        <w:gridCol w:w="800"/>
        <w:gridCol w:w="1412"/>
        <w:gridCol w:w="1084"/>
      </w:tblGrid>
      <w:tr w:rsidR="005C020D" w:rsidRPr="00F856D0" w:rsidTr="00071DA6">
        <w:trPr>
          <w:trHeight w:val="1198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F004AE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Octubre</w:t>
            </w:r>
            <w:r w:rsidR="001B280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 xml:space="preserve"> 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F004AE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</w:t>
            </w:r>
            <w:r w:rsidR="00F004AE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74.9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F004AE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84</w:t>
            </w:r>
            <w:r w:rsidR="00101288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F004AE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161.2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F004AE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F004AE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1,036.0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06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55FFA" w:rsidRPr="00F856D0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1/ Incluye, entre otros, gastos de funcionamiento e impuestos.</w:t>
      </w:r>
    </w:p>
    <w:p w:rsidR="00DD40AE" w:rsidRPr="00F856D0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 xml:space="preserve">2/ </w:t>
      </w:r>
      <w:r w:rsidR="00DD40AE" w:rsidRPr="00F856D0">
        <w:rPr>
          <w:rFonts w:ascii="Lucida Sans Unicode" w:hAnsi="Lucida Sans Unicode" w:cs="Lucida Sans Unicode"/>
        </w:rPr>
        <w:t xml:space="preserve">Corresponde al total de </w:t>
      </w:r>
      <w:r w:rsidR="000F69EC" w:rsidRPr="00F856D0">
        <w:rPr>
          <w:rFonts w:ascii="Lucida Sans Unicode" w:hAnsi="Lucida Sans Unicode" w:cs="Lucida Sans Unicode"/>
        </w:rPr>
        <w:t>fideicomisos Vigentes</w:t>
      </w:r>
      <w:r w:rsidR="00DD40AE" w:rsidRPr="00F856D0">
        <w:rPr>
          <w:rFonts w:ascii="Lucida Sans Unicode" w:hAnsi="Lucida Sans Unicode" w:cs="Lucida Sans Unicode"/>
        </w:rPr>
        <w:t xml:space="preserve"> al 31 de diciembre de cada año</w:t>
      </w:r>
    </w:p>
    <w:p w:rsidR="00A27EA8" w:rsidRPr="00F856D0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</w:t>
      </w:r>
      <w:r w:rsidR="005545BD" w:rsidRPr="00F856D0">
        <w:rPr>
          <w:rFonts w:ascii="Lucida Sans Unicode" w:hAnsi="Lucida Sans Unicode" w:cs="Lucida Sans Unicode"/>
          <w:color w:val="000000"/>
        </w:rPr>
        <w:t>uente</w:t>
      </w:r>
      <w:r w:rsidRPr="00F856D0">
        <w:rPr>
          <w:rFonts w:ascii="Lucida Sans Unicode" w:hAnsi="Lucida Sans Unicode" w:cs="Lucida Sans Unicode"/>
          <w:color w:val="00000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y a </w:t>
      </w:r>
      <w:r w:rsidR="00456D61">
        <w:rPr>
          <w:rFonts w:ascii="Lucida Sans Unicode" w:hAnsi="Lucida Sans Unicode" w:cs="Lucida Sans Unicode"/>
          <w:color w:val="000000" w:themeColor="text1"/>
        </w:rPr>
        <w:t>octubre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456D61">
        <w:rPr>
          <w:rFonts w:ascii="Lucida Sans Unicode" w:hAnsi="Lucida Sans Unicode" w:cs="Lucida Sans Unicode"/>
          <w:color w:val="000000" w:themeColor="text1"/>
        </w:rPr>
        <w:t>2.9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C97164" w:rsidP="00334D39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334D39" w:rsidRPr="00F856D0" w:rsidRDefault="00C97164" w:rsidP="003C7333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F856D0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Q</w:t>
      </w:r>
      <w:r w:rsidR="00A60BAF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F856D0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.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F856D0">
        <w:rPr>
          <w:rFonts w:ascii="Lucida Sans Unicode" w:hAnsi="Lucida Sans Unicode" w:cs="Lucida Sans Unicode"/>
          <w:color w:val="000000" w:themeColor="text1"/>
        </w:rPr>
        <w:t>A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4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1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F856D0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F856D0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F856D0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. A </w:t>
      </w:r>
      <w:r w:rsidR="00FE2939">
        <w:rPr>
          <w:rFonts w:ascii="Lucida Sans Unicode" w:hAnsi="Lucida Sans Unicode" w:cs="Lucida Sans Unicode"/>
          <w:color w:val="000000" w:themeColor="text1"/>
        </w:rPr>
        <w:t>octubre</w:t>
      </w:r>
      <w:r w:rsidR="00F61C2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F856D0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FE2939">
        <w:rPr>
          <w:rFonts w:ascii="Lucida Sans Unicode" w:hAnsi="Lucida Sans Unicode" w:cs="Lucida Sans Unicode"/>
          <w:color w:val="000000" w:themeColor="text1"/>
        </w:rPr>
        <w:t>950,909.6</w:t>
      </w:r>
      <w:r w:rsidR="00AF726A" w:rsidRPr="00F856D0">
        <w:rPr>
          <w:rFonts w:ascii="Lucida Sans Unicode" w:hAnsi="Lucida Sans Unicode" w:cs="Lucida Sans Unicode"/>
          <w:color w:val="000000" w:themeColor="text1"/>
        </w:rPr>
        <w:t xml:space="preserve"> quetzales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F856D0" w:rsidRDefault="006A4B98" w:rsidP="006A4B98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Pr="00F856D0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3. 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9F6F7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E45D0">
        <w:rPr>
          <w:rFonts w:ascii="Lucida Sans Unicode" w:hAnsi="Lucida Sans Unicode" w:cs="Lucida Sans Unicode"/>
          <w:color w:val="000000" w:themeColor="text1"/>
        </w:rPr>
        <w:t xml:space="preserve">octubre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F36D0D">
        <w:rPr>
          <w:rFonts w:ascii="Lucida Sans Unicode" w:hAnsi="Lucida Sans Unicode" w:cs="Lucida Sans Unicode"/>
        </w:rPr>
        <w:t>168.1</w:t>
      </w:r>
      <w:r w:rsidR="0093527F" w:rsidRPr="00F856D0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36D0D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FF774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F36D0D" w:rsidP="00F36D0D">
      <w:pPr>
        <w:tabs>
          <w:tab w:val="left" w:pos="4631"/>
        </w:tabs>
        <w:autoSpaceDE w:val="0"/>
        <w:autoSpaceDN w:val="0"/>
        <w:adjustRightInd w:val="0"/>
        <w:ind w:left="142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noProof/>
          <w:color w:val="000000"/>
          <w:lang w:val="es-GT" w:eastAsia="es-GT"/>
        </w:rPr>
        <w:drawing>
          <wp:inline distT="0" distB="0" distL="0" distR="0" wp14:anchorId="7D1F0C2F">
            <wp:extent cx="5851098" cy="24860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71" cy="248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Pr="00F856D0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Pr="00F856D0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150CB">
        <w:rPr>
          <w:rFonts w:ascii="Lucida Sans Unicode" w:hAnsi="Lucida Sans Unicode" w:cs="Lucida Sans Unicode"/>
          <w:sz w:val="22"/>
          <w:szCs w:val="22"/>
        </w:rPr>
        <w:t>octubre</w:t>
      </w:r>
      <w:r w:rsidR="00056D5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ascienden a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056D5D">
        <w:rPr>
          <w:rFonts w:ascii="Lucida Sans Unicode" w:hAnsi="Lucida Sans Unicode" w:cs="Lucida Sans Unicode"/>
          <w:color w:val="000000" w:themeColor="text1"/>
          <w:sz w:val="22"/>
          <w:szCs w:val="22"/>
        </w:rPr>
        <w:t>1</w:t>
      </w:r>
      <w:r w:rsidR="00F150C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31.4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150CB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Pr="00F856D0" w:rsidRDefault="00716F17" w:rsidP="00716F17">
      <w:pPr>
        <w:autoSpaceDE w:val="0"/>
        <w:autoSpaceDN w:val="0"/>
        <w:adjustRightInd w:val="0"/>
        <w:ind w:left="-142"/>
        <w:rPr>
          <w:rFonts w:ascii="Lucida Sans Unicode" w:hAnsi="Lucida Sans Unicode" w:cs="Lucida Sans Unicode"/>
          <w:vertAlign w:val="superscript"/>
        </w:rPr>
      </w:pPr>
      <w:r w:rsidRPr="00716F17">
        <w:drawing>
          <wp:inline distT="0" distB="0" distL="0" distR="0">
            <wp:extent cx="6093562" cy="2272680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50" cy="22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F856D0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vertAlign w:val="superscript"/>
        </w:rPr>
        <w:t xml:space="preserve">1/ </w:t>
      </w:r>
      <w:r w:rsidRPr="00F856D0">
        <w:rPr>
          <w:rFonts w:ascii="Lucida Sans Unicode" w:hAnsi="Lucida Sans Unicode" w:cs="Lucida Sans Unicode"/>
        </w:rPr>
        <w:t xml:space="preserve">Incluye, entre otros, </w:t>
      </w:r>
      <w:r w:rsidR="003E323E" w:rsidRPr="00F856D0">
        <w:rPr>
          <w:rFonts w:ascii="Lucida Sans Unicode" w:hAnsi="Lucida Sans Unicode" w:cs="Lucida Sans Unicode"/>
        </w:rPr>
        <w:t>gastos anticipados, activos extraordinarios, cargos diferidos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cuentas por cobrar, i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nmuebles </w:t>
      </w:r>
      <w:r w:rsidR="003E323E" w:rsidRPr="00F856D0">
        <w:rPr>
          <w:rFonts w:ascii="Lucida Sans Unicode" w:hAnsi="Lucida Sans Unicode" w:cs="Lucida Sans Unicode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282FF4">
        <w:rPr>
          <w:rFonts w:ascii="Lucida Sans Unicode" w:hAnsi="Lucida Sans Unicode" w:cs="Lucida Sans Unicode"/>
          <w:color w:val="000000"/>
        </w:rPr>
        <w:t xml:space="preserve">octubre </w:t>
      </w:r>
      <w:r w:rsidR="00D66F19" w:rsidRPr="00F856D0">
        <w:rPr>
          <w:rFonts w:ascii="Lucida Sans Unicode" w:hAnsi="Lucida Sans Unicode" w:cs="Lucida Sans Unicode"/>
          <w:color w:val="000000"/>
        </w:rPr>
        <w:t>2020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A16334">
        <w:rPr>
          <w:rFonts w:ascii="Lucida Sans Unicode" w:hAnsi="Lucida Sans Unicode" w:cs="Lucida Sans Unicode"/>
          <w:color w:val="000000"/>
        </w:rPr>
        <w:t>6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A16334">
        <w:rPr>
          <w:rFonts w:ascii="Lucida Sans Unicode" w:hAnsi="Lucida Sans Unicode" w:cs="Lucida Sans Unicode"/>
          <w:color w:val="000000"/>
        </w:rPr>
        <w:t>4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%, correspondiendo a fideicomisos públicos vigentes a cargo de entidades de la </w:t>
      </w:r>
      <w:r w:rsidR="00CE566D" w:rsidRPr="00F856D0">
        <w:rPr>
          <w:rFonts w:ascii="Lucida Sans Unicode" w:hAnsi="Lucida Sans Unicode" w:cs="Lucida Sans Unicode"/>
          <w:color w:val="000000"/>
        </w:rPr>
        <w:lastRenderedPageBreak/>
        <w:t>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2B3386">
        <w:rPr>
          <w:rFonts w:ascii="Lucida Sans Unicode" w:hAnsi="Lucida Sans Unicode" w:cs="Lucida Sans Unicode"/>
          <w:color w:val="000000"/>
        </w:rPr>
        <w:t>5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2B3386">
        <w:rPr>
          <w:rFonts w:ascii="Lucida Sans Unicode" w:hAnsi="Lucida Sans Unicode" w:cs="Lucida Sans Unicode"/>
          <w:color w:val="000000"/>
        </w:rPr>
        <w:t>5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16334">
        <w:rPr>
          <w:rFonts w:ascii="Lucida Sans Unicode" w:hAnsi="Lucida Sans Unicode" w:cs="Lucida Sans Unicode"/>
          <w:b/>
          <w:color w:val="1F497D" w:themeColor="text2"/>
        </w:rPr>
        <w:t xml:space="preserve">octubre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CF6794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EE5A18" w:rsidRPr="00F856D0" w:rsidRDefault="00A16334" w:rsidP="004F26CF">
      <w:pPr>
        <w:jc w:val="center"/>
        <w:rPr>
          <w:rFonts w:ascii="Lucida Sans Unicode" w:hAnsi="Lucida Sans Unicode" w:cs="Lucida Sans Unicode"/>
        </w:rPr>
      </w:pPr>
      <w:r w:rsidRPr="00A16334">
        <w:drawing>
          <wp:inline distT="0" distB="0" distL="0" distR="0" wp14:anchorId="141FA75E" wp14:editId="1D648782">
            <wp:extent cx="5969203" cy="1496137"/>
            <wp:effectExtent l="0" t="0" r="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33" cy="14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F856D0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  </w:t>
      </w:r>
      <w:r w:rsidR="00FC506B" w:rsidRPr="00F856D0">
        <w:rPr>
          <w:rFonts w:ascii="Lucida Sans Unicode" w:hAnsi="Lucida Sans Unicode" w:cs="Lucida Sans Unicode"/>
          <w:color w:val="00000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3598A">
        <w:rPr>
          <w:rFonts w:ascii="Lucida Sans Unicode" w:hAnsi="Lucida Sans Unicode" w:cs="Lucida Sans Unicode"/>
          <w:color w:val="000000"/>
        </w:rPr>
        <w:t>octubre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AB2C7A" w:rsidRPr="00F856D0">
        <w:rPr>
          <w:rFonts w:ascii="Lucida Sans Unicode" w:hAnsi="Lucida Sans Unicode" w:cs="Lucida Sans Unicode"/>
          <w:color w:val="000000"/>
        </w:rPr>
        <w:t>20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BB1CBD">
        <w:rPr>
          <w:rFonts w:ascii="Lucida Sans Unicode" w:hAnsi="Lucida Sans Unicode" w:cs="Lucida Sans Unicode"/>
          <w:color w:val="000000"/>
        </w:rPr>
        <w:t>4</w:t>
      </w:r>
      <w:r w:rsidR="0053598A">
        <w:rPr>
          <w:rFonts w:ascii="Lucida Sans Unicode" w:hAnsi="Lucida Sans Unicode" w:cs="Lucida Sans Unicode"/>
          <w:color w:val="000000"/>
        </w:rPr>
        <w:t>72.0</w:t>
      </w:r>
      <w:proofErr w:type="gramEnd"/>
      <w:r w:rsidR="00FA5605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53598A">
        <w:rPr>
          <w:rFonts w:ascii="Lucida Sans Unicode" w:hAnsi="Lucida Sans Unicode" w:cs="Lucida Sans Unicode"/>
          <w:color w:val="000000"/>
        </w:rPr>
        <w:t>septiembre</w:t>
      </w:r>
      <w:r w:rsidR="00FD1E42">
        <w:rPr>
          <w:rFonts w:ascii="Lucida Sans Unicode" w:hAnsi="Lucida Sans Unicode" w:cs="Lucida Sans Unicode"/>
          <w:color w:val="000000"/>
        </w:rPr>
        <w:t xml:space="preserve">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FA5605">
        <w:rPr>
          <w:rFonts w:ascii="Lucida Sans Unicode" w:hAnsi="Lucida Sans Unicode" w:cs="Lucida Sans Unicode"/>
          <w:color w:val="000000"/>
        </w:rPr>
        <w:t>4</w:t>
      </w:r>
      <w:r w:rsidR="0053598A">
        <w:rPr>
          <w:rFonts w:ascii="Lucida Sans Unicode" w:hAnsi="Lucida Sans Unicode" w:cs="Lucida Sans Unicode"/>
          <w:color w:val="000000"/>
        </w:rPr>
        <w:t>57.8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3598A">
        <w:rPr>
          <w:rFonts w:ascii="Lucida Sans Unicode" w:hAnsi="Lucida Sans Unicode" w:cs="Lucida Sans Unicode"/>
          <w:color w:val="000000"/>
        </w:rPr>
        <w:t>incremento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D14C9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C0183E">
        <w:rPr>
          <w:rFonts w:ascii="Lucida Sans Unicode" w:hAnsi="Lucida Sans Unicode" w:cs="Lucida Sans Unicode"/>
          <w:b/>
          <w:color w:val="1F497D" w:themeColor="text2"/>
        </w:rPr>
        <w:t xml:space="preserve"> - octubre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194FDC" w:rsidRPr="00F856D0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596095" w:rsidRPr="00F856D0" w:rsidRDefault="003B0500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3B0500">
        <w:drawing>
          <wp:inline distT="0" distB="0" distL="0" distR="0" wp14:anchorId="08B5219D" wp14:editId="27D727C7">
            <wp:extent cx="6156960" cy="1387914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3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3B050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3B0500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</w:p>
    <w:p w:rsidR="009D36E0" w:rsidRPr="00F856D0" w:rsidRDefault="009D36E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ha sido decreciente 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en los últimos años, </w:t>
      </w:r>
      <w:r w:rsidRPr="00F856D0">
        <w:rPr>
          <w:rFonts w:ascii="Lucida Sans Unicode" w:hAnsi="Lucida Sans Unicode" w:cs="Lucida Sans Unicode"/>
          <w:color w:val="000000"/>
        </w:rPr>
        <w:t xml:space="preserve">marcándose una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disminución </w:t>
      </w:r>
      <w:r w:rsidRPr="00F856D0">
        <w:rPr>
          <w:rFonts w:ascii="Lucida Sans Unicode" w:hAnsi="Lucida Sans Unicode" w:cs="Lucida Sans Unicode"/>
          <w:color w:val="000000"/>
        </w:rPr>
        <w:t xml:space="preserve">sostenida </w:t>
      </w:r>
      <w:r w:rsidR="0099741A" w:rsidRPr="00F856D0">
        <w:rPr>
          <w:rFonts w:ascii="Lucida Sans Unicode" w:hAnsi="Lucida Sans Unicode" w:cs="Lucida Sans Unicode"/>
          <w:color w:val="000000"/>
        </w:rPr>
        <w:t>a partir del año 201</w:t>
      </w:r>
      <w:r w:rsidR="007B658F" w:rsidRPr="00F856D0">
        <w:rPr>
          <w:rFonts w:ascii="Lucida Sans Unicode" w:hAnsi="Lucida Sans Unicode" w:cs="Lucida Sans Unicode"/>
          <w:color w:val="000000"/>
        </w:rPr>
        <w:t>4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refleja a su vez un deterioro en la calidad de dicha cartera, generándose un incremento de la cartera vencida, que pasó de un </w:t>
      </w:r>
      <w:r w:rsidR="0084466B" w:rsidRPr="00F856D0">
        <w:rPr>
          <w:rFonts w:ascii="Lucida Sans Unicode" w:hAnsi="Lucida Sans Unicode" w:cs="Lucida Sans Unicode"/>
          <w:color w:val="000000"/>
        </w:rPr>
        <w:t>32% de la cartera total en 2015</w:t>
      </w:r>
      <w:r w:rsidRPr="00F856D0">
        <w:rPr>
          <w:rFonts w:ascii="Lucida Sans Unicode" w:hAnsi="Lucida Sans Unicode" w:cs="Lucida Sans Unicode"/>
          <w:color w:val="000000"/>
        </w:rPr>
        <w:t>, a un</w:t>
      </w:r>
      <w:r w:rsidR="005528E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A050C" w:rsidRPr="00F856D0">
        <w:rPr>
          <w:rFonts w:ascii="Lucida Sans Unicode" w:hAnsi="Lucida Sans Unicode" w:cs="Lucida Sans Unicode"/>
          <w:color w:val="000000"/>
        </w:rPr>
        <w:t>3</w:t>
      </w:r>
      <w:r w:rsidR="004A3236">
        <w:rPr>
          <w:rFonts w:ascii="Lucida Sans Unicode" w:hAnsi="Lucida Sans Unicode" w:cs="Lucida Sans Unicode"/>
          <w:color w:val="000000"/>
        </w:rPr>
        <w:t>4</w:t>
      </w:r>
      <w:r w:rsidRPr="00F856D0">
        <w:rPr>
          <w:rFonts w:ascii="Lucida Sans Unicode" w:hAnsi="Lucida Sans Unicode" w:cs="Lucida Sans Unicode"/>
          <w:color w:val="000000"/>
        </w:rPr>
        <w:t xml:space="preserve">% a </w:t>
      </w:r>
      <w:r w:rsidR="004A3236">
        <w:rPr>
          <w:rFonts w:ascii="Lucida Sans Unicode" w:hAnsi="Lucida Sans Unicode" w:cs="Lucida Sans Unicode"/>
          <w:color w:val="000000"/>
        </w:rPr>
        <w:t>octubre</w:t>
      </w:r>
      <w:r w:rsidR="008C7EAF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17550" w:rsidRPr="00F856D0">
        <w:rPr>
          <w:rFonts w:ascii="Lucida Sans Unicode" w:hAnsi="Lucida Sans Unicode" w:cs="Lucida Sans Unicode"/>
          <w:color w:val="000000"/>
        </w:rPr>
        <w:t>20</w:t>
      </w:r>
      <w:r w:rsidR="00EE7C91" w:rsidRPr="00F856D0">
        <w:rPr>
          <w:rFonts w:ascii="Lucida Sans Unicode" w:hAnsi="Lucida Sans Unicode" w:cs="Lucida Sans Unicode"/>
          <w:color w:val="000000"/>
        </w:rPr>
        <w:t>20</w:t>
      </w:r>
      <w:r w:rsidR="008C7EAF" w:rsidRPr="00F856D0">
        <w:rPr>
          <w:rFonts w:ascii="Lucida Sans Unicode" w:hAnsi="Lucida Sans Unicode" w:cs="Lucida Sans Unicode"/>
          <w:color w:val="000000"/>
        </w:rPr>
        <w:t>.</w:t>
      </w:r>
      <w:r w:rsidR="009705F9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En contraste, la cartera vigente 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pasó de un </w:t>
      </w:r>
      <w:r w:rsidR="0084466B" w:rsidRPr="00F856D0">
        <w:rPr>
          <w:rFonts w:ascii="Lucida Sans Unicode" w:hAnsi="Lucida Sans Unicode" w:cs="Lucida Sans Unicode"/>
          <w:color w:val="000000"/>
        </w:rPr>
        <w:t>68</w:t>
      </w:r>
      <w:r w:rsidR="007B658F" w:rsidRPr="00F856D0">
        <w:rPr>
          <w:rFonts w:ascii="Lucida Sans Unicode" w:hAnsi="Lucida Sans Unicode" w:cs="Lucida Sans Unicode"/>
          <w:color w:val="000000"/>
        </w:rPr>
        <w:t>% en 201</w:t>
      </w:r>
      <w:r w:rsidR="0084466B" w:rsidRPr="00F856D0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, al </w:t>
      </w:r>
      <w:r w:rsidR="00A676D3" w:rsidRPr="00F856D0">
        <w:rPr>
          <w:rFonts w:ascii="Lucida Sans Unicode" w:hAnsi="Lucida Sans Unicode" w:cs="Lucida Sans Unicode"/>
          <w:color w:val="000000"/>
        </w:rPr>
        <w:t>6</w:t>
      </w:r>
      <w:r w:rsidR="004A3236">
        <w:rPr>
          <w:rFonts w:ascii="Lucida Sans Unicode" w:hAnsi="Lucida Sans Unicode" w:cs="Lucida Sans Unicode"/>
          <w:color w:val="000000"/>
        </w:rPr>
        <w:t>6</w:t>
      </w:r>
      <w:r w:rsidR="007B658F" w:rsidRPr="00F856D0">
        <w:rPr>
          <w:rFonts w:ascii="Lucida Sans Unicode" w:hAnsi="Lucida Sans Unicode" w:cs="Lucida Sans Unicode"/>
          <w:color w:val="000000"/>
        </w:rPr>
        <w:t>%</w:t>
      </w:r>
      <w:r w:rsidR="0051424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14510" w:rsidRPr="00F856D0">
        <w:rPr>
          <w:rFonts w:ascii="Lucida Sans Unicode" w:hAnsi="Lucida Sans Unicode" w:cs="Lucida Sans Unicode"/>
          <w:color w:val="000000"/>
        </w:rPr>
        <w:t>a</w:t>
      </w:r>
      <w:r w:rsidR="00F12A9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A3236">
        <w:rPr>
          <w:rFonts w:ascii="Lucida Sans Unicode" w:hAnsi="Lucida Sans Unicode" w:cs="Lucida Sans Unicode"/>
          <w:color w:val="000000"/>
        </w:rPr>
        <w:t>octubre</w:t>
      </w:r>
      <w:r w:rsidR="00A676D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C7F32" w:rsidRPr="00F856D0">
        <w:rPr>
          <w:rFonts w:ascii="Lucida Sans Unicode" w:hAnsi="Lucida Sans Unicode" w:cs="Lucida Sans Unicode"/>
          <w:color w:val="000000"/>
        </w:rPr>
        <w:t>de 20</w:t>
      </w:r>
      <w:r w:rsidR="00A676D3" w:rsidRPr="00F856D0">
        <w:rPr>
          <w:rFonts w:ascii="Lucida Sans Unicode" w:hAnsi="Lucida Sans Unicode" w:cs="Lucida Sans Unicode"/>
          <w:color w:val="000000"/>
        </w:rPr>
        <w:t>20</w:t>
      </w:r>
      <w:r w:rsidR="007B658F" w:rsidRPr="00F856D0">
        <w:rPr>
          <w:rFonts w:ascii="Lucida Sans Unicode" w:hAnsi="Lucida Sans Unicode" w:cs="Lucida Sans Unicode"/>
          <w:color w:val="000000"/>
        </w:rPr>
        <w:t>.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F6D66" w:rsidRPr="00F856D0" w:rsidRDefault="00C313F3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A3F7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90D85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EF6D66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442A94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90D85" w:rsidRPr="00F856D0" w:rsidRDefault="00890D85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C7EAF" w:rsidRPr="00F856D0" w:rsidRDefault="00890D85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noProof/>
          <w:lang w:val="es-GT" w:eastAsia="es-GT"/>
        </w:rPr>
        <w:drawing>
          <wp:inline distT="0" distB="0" distL="0" distR="0" wp14:anchorId="2C7A29F3" wp14:editId="368F9D3F">
            <wp:extent cx="5612130" cy="2400935"/>
            <wp:effectExtent l="0" t="0" r="26670" b="18415"/>
            <wp:docPr id="29" name="Gráfico 29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7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Estados financieros elaborados por los Fiduciarios</w:t>
      </w:r>
      <w:r w:rsidR="00F769BB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al 31 de diciembre de cada año</w:t>
      </w:r>
      <w:r w:rsidR="00902593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  <w:r w:rsidR="00F769BB" w:rsidRPr="009F76A0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:rsidR="009F76A0" w:rsidRPr="009F76A0" w:rsidRDefault="009F76A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890D85" w:rsidRPr="00F856D0" w:rsidRDefault="00890D8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05919">
        <w:rPr>
          <w:rFonts w:ascii="Lucida Sans Unicode" w:hAnsi="Lucida Sans Unicode" w:cs="Lucida Sans Unicode"/>
          <w:color w:val="000000"/>
        </w:rPr>
        <w:t>octubre</w:t>
      </w:r>
      <w:r w:rsidR="00F200E3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901166">
        <w:rPr>
          <w:rFonts w:ascii="Lucida Sans Unicode" w:hAnsi="Lucida Sans Unicode" w:cs="Lucida Sans Unicode"/>
          <w:b/>
          <w:color w:val="1F497D" w:themeColor="text2"/>
        </w:rPr>
        <w:t>octubre</w:t>
      </w:r>
      <w:r w:rsidR="001D4991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0C2F5D" w:rsidRPr="00F856D0">
        <w:rPr>
          <w:rFonts w:ascii="Lucida Sans Unicode" w:hAnsi="Lucida Sans Unicode" w:cs="Lucida Sans Unicode"/>
          <w:b/>
          <w:color w:val="1F497D" w:themeColor="text2"/>
        </w:rPr>
        <w:t>20</w:t>
      </w:r>
    </w:p>
    <w:p w:rsidR="0085042F" w:rsidRPr="00F856D0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363A52" w:rsidRPr="00F856D0" w:rsidRDefault="00363A52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95279" w:rsidRPr="00F856D0" w:rsidRDefault="00901166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901166">
        <w:drawing>
          <wp:inline distT="0" distB="0" distL="0" distR="0" wp14:anchorId="711E938A" wp14:editId="3D0F0441">
            <wp:extent cx="6156960" cy="1173715"/>
            <wp:effectExtent l="0" t="0" r="0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1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F856D0" w:rsidRDefault="00206227" w:rsidP="007C50B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7C50BC" w:rsidRPr="00586118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*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Corresponde al total de fideicomisos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v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igentes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registrados</w:t>
      </w:r>
      <w:r w:rsidR="00D35494" w:rsidRPr="00586118">
        <w:rPr>
          <w:rFonts w:ascii="Lucida Sans Unicode" w:hAnsi="Lucida Sans Unicode" w:cs="Lucida Sans Unicode"/>
          <w:color w:val="FF0000"/>
          <w:sz w:val="20"/>
          <w:szCs w:val="20"/>
        </w:rPr>
        <w:t>,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al 31 de diciembre de cada</w:t>
      </w:r>
      <w:r w:rsidR="008162AE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año.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586118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Default="003B5F7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3B5F78" w:rsidRPr="0011037E" w:rsidRDefault="003B5F7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Default="003B5F78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3B5F78" w:rsidRPr="0011037E" w:rsidRDefault="003B5F78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2015-2020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C0C53" w:rsidRDefault="007C0C53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3F669A">
        <w:rPr>
          <w:rFonts w:ascii="Lucida Sans Unicode" w:hAnsi="Lucida Sans Unicode" w:cs="Lucida Sans Unicode"/>
          <w:b/>
          <w:color w:val="1F497D" w:themeColor="text2"/>
        </w:rPr>
        <w:t>octubre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5078E0" w:rsidP="00260DAC">
      <w:pPr>
        <w:pStyle w:val="Prrafodelista"/>
        <w:autoSpaceDE w:val="0"/>
        <w:autoSpaceDN w:val="0"/>
        <w:adjustRightInd w:val="0"/>
        <w:ind w:left="284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2EEEF5B5">
            <wp:extent cx="5323704" cy="2756343"/>
            <wp:effectExtent l="0" t="0" r="0" b="63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27" cy="2756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A" w:rsidRPr="00763806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S</w:t>
      </w:r>
      <w:r w:rsidR="004446A8">
        <w:rPr>
          <w:rFonts w:ascii="Lucida Sans Unicode" w:hAnsi="Lucida Sans Unicode" w:cs="Lucida Sans Unicode"/>
          <w:color w:val="000000" w:themeColor="text1"/>
        </w:rPr>
        <w:t>ICOIN</w:t>
      </w: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5078E0" w:rsidRDefault="005078E0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B34F43" w:rsidRDefault="003B5F78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5078E0">
        <w:rPr>
          <w:rFonts w:ascii="Lucida Sans Unicode" w:hAnsi="Lucida Sans Unicode" w:cs="Lucida Sans Unicode"/>
          <w:b/>
          <w:color w:val="1F497D" w:themeColor="text2"/>
        </w:rPr>
        <w:t>octubre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5078E0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5078E0">
        <w:drawing>
          <wp:inline distT="0" distB="0" distL="0" distR="0">
            <wp:extent cx="2296795" cy="2691765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5F78" w:rsidRPr="0011037E" w:rsidRDefault="003B5F78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020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  <w:bookmarkStart w:id="0" w:name="_GoBack"/>
    </w:p>
    <w:bookmarkEnd w:id="0"/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Pr="000E42B4" w:rsidRDefault="007A28F0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>Mediante escritura No. 276 e</w:t>
      </w:r>
      <w:r w:rsidR="000E42B4">
        <w:rPr>
          <w:rFonts w:ascii="Lucida Sans Unicode" w:hAnsi="Lucida Sans Unicode" w:cs="Lucida Sans Unicode"/>
          <w:color w:val="000000" w:themeColor="text1"/>
        </w:rPr>
        <w:t xml:space="preserve">l </w:t>
      </w:r>
      <w:r>
        <w:rPr>
          <w:rFonts w:ascii="Lucida Sans Unicode" w:hAnsi="Lucida Sans Unicode" w:cs="Lucida Sans Unicode"/>
          <w:color w:val="000000" w:themeColor="text1"/>
        </w:rPr>
        <w:t xml:space="preserve">01 de octubre de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2020 </w:t>
      </w:r>
      <w:r>
        <w:rPr>
          <w:rFonts w:ascii="Lucida Sans Unicode" w:hAnsi="Lucida Sans Unicode" w:cs="Lucida Sans Unicode"/>
          <w:color w:val="000000" w:themeColor="text1"/>
        </w:rPr>
        <w:t xml:space="preserve">se extinguió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el Fideicomiso de Apoyo a la Planificación Urbana y Rural del Municipio de Santa Catarina </w:t>
      </w:r>
      <w:proofErr w:type="spellStart"/>
      <w:r w:rsidR="000E42B4"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E42B4">
        <w:rPr>
          <w:rFonts w:ascii="Lucida Sans Unicode" w:hAnsi="Lucida Sans Unicode" w:cs="Lucida Sans Unicode"/>
          <w:color w:val="000000" w:themeColor="text1"/>
        </w:rPr>
        <w:t>–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 w:themeColor="text1"/>
        </w:rPr>
        <w:t>,</w:t>
      </w:r>
      <w:r w:rsidRPr="007A28F0"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>autorizada por la notaria, Sandra Maribel Roldán Chávez.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E42B4" w:rsidRPr="000E42B4" w:rsidRDefault="000E42B4" w:rsidP="000E42B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9"/>
      <w:footerReference w:type="default" r:id="rId20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8" w:rsidRDefault="003B5F78" w:rsidP="00AF4392">
      <w:r>
        <w:separator/>
      </w:r>
    </w:p>
  </w:endnote>
  <w:endnote w:type="continuationSeparator" w:id="0">
    <w:p w:rsidR="003B5F78" w:rsidRDefault="003B5F78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B5F78" w:rsidRDefault="003B5F78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05919">
              <w:rPr>
                <w:rFonts w:ascii="Arial Narrow" w:hAnsi="Arial Narrow"/>
                <w:b/>
                <w:noProof/>
                <w:sz w:val="16"/>
                <w:szCs w:val="16"/>
              </w:rPr>
              <w:t>13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05919">
              <w:rPr>
                <w:rFonts w:ascii="Arial Narrow" w:hAnsi="Arial Narrow"/>
                <w:b/>
                <w:noProof/>
                <w:sz w:val="16"/>
                <w:szCs w:val="16"/>
              </w:rPr>
              <w:t>15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5F78" w:rsidRDefault="003B5F78">
    <w:pPr>
      <w:pStyle w:val="Piedepgina"/>
    </w:pPr>
    <w:r>
      <w:rPr>
        <w:noProof/>
        <w:lang w:val="es-GT" w:eastAsia="es-GT"/>
      </w:rPr>
      <w:drawing>
        <wp:inline distT="0" distB="0" distL="0" distR="0" wp14:anchorId="5DE0EC49" wp14:editId="18D585C3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8" w:rsidRDefault="003B5F78" w:rsidP="00AF4392">
      <w:r>
        <w:separator/>
      </w:r>
    </w:p>
  </w:footnote>
  <w:footnote w:type="continuationSeparator" w:id="0">
    <w:p w:rsidR="003B5F78" w:rsidRDefault="003B5F78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78" w:rsidRDefault="003B5F78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1F7F63C0" wp14:editId="7522904B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8A1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2FF4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3386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5D0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5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669A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6D61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554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36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63A"/>
    <w:rsid w:val="004C6486"/>
    <w:rsid w:val="004C64B4"/>
    <w:rsid w:val="004C64DA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10D"/>
    <w:rsid w:val="00505C16"/>
    <w:rsid w:val="00505F1E"/>
    <w:rsid w:val="0050604E"/>
    <w:rsid w:val="00506258"/>
    <w:rsid w:val="00506C1B"/>
    <w:rsid w:val="005077CA"/>
    <w:rsid w:val="005078E0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598A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18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85B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6F17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060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8F0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19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4AB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479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D85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FA0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5DAC"/>
    <w:rsid w:val="008F6313"/>
    <w:rsid w:val="008F65EF"/>
    <w:rsid w:val="008F660A"/>
    <w:rsid w:val="008F6749"/>
    <w:rsid w:val="008F6B58"/>
    <w:rsid w:val="008F6E12"/>
    <w:rsid w:val="008F6E63"/>
    <w:rsid w:val="00900066"/>
    <w:rsid w:val="00900884"/>
    <w:rsid w:val="009009B9"/>
    <w:rsid w:val="00900BD5"/>
    <w:rsid w:val="00901166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63A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9F76A0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3F70"/>
    <w:rsid w:val="00A14014"/>
    <w:rsid w:val="00A140EF"/>
    <w:rsid w:val="00A148CB"/>
    <w:rsid w:val="00A14D34"/>
    <w:rsid w:val="00A152D5"/>
    <w:rsid w:val="00A16334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162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ADB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616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3FFA"/>
    <w:rsid w:val="00BF4794"/>
    <w:rsid w:val="00BF57A7"/>
    <w:rsid w:val="00BF594F"/>
    <w:rsid w:val="00BF639F"/>
    <w:rsid w:val="00BF648C"/>
    <w:rsid w:val="00BF6A0C"/>
    <w:rsid w:val="00C00548"/>
    <w:rsid w:val="00C0183E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7EC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49B"/>
    <w:rsid w:val="00DF7701"/>
    <w:rsid w:val="00DF77F3"/>
    <w:rsid w:val="00E0136F"/>
    <w:rsid w:val="00E0178E"/>
    <w:rsid w:val="00E02329"/>
    <w:rsid w:val="00E023E4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4AE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0CB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295"/>
    <w:rsid w:val="00F3563A"/>
    <w:rsid w:val="00F35AE5"/>
    <w:rsid w:val="00F35D29"/>
    <w:rsid w:val="00F35D77"/>
    <w:rsid w:val="00F364E0"/>
    <w:rsid w:val="00F36D0D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939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0\10.%20OCTUBRE%2020\act_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18169975475147"/>
          <c:y val="5.5015150352510055E-2"/>
          <c:w val="0.58403849518810147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VIGENTE</c:v>
          </c:tx>
          <c:marker>
            <c:symbol val="none"/>
          </c:marker>
          <c:cat>
            <c:numRef>
              <c:f>CARTERA!$L$41:$L$48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44105</c:v>
                </c:pt>
              </c:numCache>
            </c:numRef>
          </c:cat>
          <c:val>
            <c:numRef>
              <c:f>CARTERA!$M$41:$M$48</c:f>
              <c:numCache>
                <c:formatCode>_(* #,##0.00_);_(* \(#,##0.00\);_(* "-"??_);_(@_)</c:formatCode>
                <c:ptCount val="5"/>
                <c:pt idx="0">
                  <c:v>1086645.06</c:v>
                </c:pt>
                <c:pt idx="1">
                  <c:v>1053975.1499999999</c:v>
                </c:pt>
                <c:pt idx="2">
                  <c:v>1050991.6458099999</c:v>
                </c:pt>
                <c:pt idx="3">
                  <c:v>939977.26289999997</c:v>
                </c:pt>
                <c:pt idx="4">
                  <c:v>1104265.7677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C8-48C7-91CB-05E7B3219303}"/>
            </c:ext>
          </c:extLst>
        </c:ser>
        <c:ser>
          <c:idx val="2"/>
          <c:order val="1"/>
          <c:tx>
            <c:v>VENCIDA</c:v>
          </c:tx>
          <c:marker>
            <c:symbol val="none"/>
          </c:marker>
          <c:cat>
            <c:numRef>
              <c:f>CARTERA!$L$41:$L$48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44105</c:v>
                </c:pt>
              </c:numCache>
            </c:numRef>
          </c:cat>
          <c:val>
            <c:numRef>
              <c:f>CARTERA!$N$41:$N$48</c:f>
              <c:numCache>
                <c:formatCode>_(* #,##0.00_);_(* \(#,##0.00\);_(* "-"??_);_(@_)</c:formatCode>
                <c:ptCount val="5"/>
                <c:pt idx="0">
                  <c:v>651705.57999999996</c:v>
                </c:pt>
                <c:pt idx="1">
                  <c:v>623481.61</c:v>
                </c:pt>
                <c:pt idx="2">
                  <c:v>622575.14003000001</c:v>
                </c:pt>
                <c:pt idx="3">
                  <c:v>571167.78049999988</c:v>
                </c:pt>
                <c:pt idx="4">
                  <c:v>558417.43819999998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C8-48C7-91CB-05E7B3219303}"/>
            </c:ext>
          </c:extLst>
        </c:ser>
        <c:ser>
          <c:idx val="0"/>
          <c:order val="2"/>
          <c:tx>
            <c:v>TOTAL </c:v>
          </c:tx>
          <c:marker>
            <c:symbol val="none"/>
          </c:marker>
          <c:cat>
            <c:numRef>
              <c:f>CARTERA!$L$41:$L$48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44105</c:v>
                </c:pt>
              </c:numCache>
            </c:numRef>
          </c:cat>
          <c:val>
            <c:numRef>
              <c:f>CARTERA!$O$41:$O$48</c:f>
              <c:numCache>
                <c:formatCode>_(* #,##0.00_);_(* \(#,##0.00\);_(* "-"??_);_(@_)</c:formatCode>
                <c:ptCount val="5"/>
                <c:pt idx="0">
                  <c:v>1738350.6400000001</c:v>
                </c:pt>
                <c:pt idx="1">
                  <c:v>1677456.7599999998</c:v>
                </c:pt>
                <c:pt idx="2">
                  <c:v>1673566.78584</c:v>
                </c:pt>
                <c:pt idx="3">
                  <c:v>1511145.0433999998</c:v>
                </c:pt>
                <c:pt idx="4">
                  <c:v>1662683.2058999999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C8-48C7-91CB-05E7B3219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80512"/>
        <c:axId val="116882048"/>
      </c:lineChart>
      <c:catAx>
        <c:axId val="11688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882048"/>
        <c:crosses val="autoZero"/>
        <c:auto val="1"/>
        <c:lblAlgn val="ctr"/>
        <c:lblOffset val="100"/>
        <c:noMultiLvlLbl val="0"/>
      </c:catAx>
      <c:valAx>
        <c:axId val="1168820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spPr>
          <a:ln>
            <a:noFill/>
          </a:ln>
        </c:spPr>
        <c:crossAx val="116880512"/>
        <c:crosses val="autoZero"/>
        <c:crossBetween val="between"/>
        <c:majorUnit val="500000"/>
        <c:minorUnit val="40000"/>
      </c:valAx>
    </c:plotArea>
    <c:legend>
      <c:legendPos val="r"/>
      <c:layout>
        <c:manualLayout>
          <c:xMode val="edge"/>
          <c:yMode val="edge"/>
          <c:x val="0.73294346711619274"/>
          <c:y val="0.41240536183804855"/>
          <c:w val="0.267056430446194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365C-3EAA-4F5D-850F-826AD5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15</Pages>
  <Words>2616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316</cp:revision>
  <cp:lastPrinted>2020-10-27T16:03:00Z</cp:lastPrinted>
  <dcterms:created xsi:type="dcterms:W3CDTF">2020-08-12T14:55:00Z</dcterms:created>
  <dcterms:modified xsi:type="dcterms:W3CDTF">2020-11-19T16:59:00Z</dcterms:modified>
</cp:coreProperties>
</file>