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3C5FDB" w:rsidRPr="00F35D77" w:rsidRDefault="00ED1B19" w:rsidP="003C5FD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3C5FDB">
        <w:rPr>
          <w:rFonts w:cs="Arial"/>
          <w:b/>
        </w:rPr>
        <w:t>0</w:t>
      </w:r>
      <w:r w:rsidR="00C03176">
        <w:rPr>
          <w:rFonts w:cs="Arial"/>
          <w:b/>
        </w:rPr>
        <w:t>5</w:t>
      </w:r>
      <w:r w:rsidRPr="008073B3">
        <w:rPr>
          <w:rFonts w:cs="Arial"/>
          <w:b/>
        </w:rPr>
        <w:t>-20</w:t>
      </w:r>
      <w:r w:rsidR="003C5FDB">
        <w:rPr>
          <w:rFonts w:cs="Arial"/>
          <w:b/>
        </w:rPr>
        <w:t>2</w:t>
      </w:r>
      <w:r w:rsidR="00185CA4">
        <w:rPr>
          <w:rFonts w:cs="Arial"/>
          <w:b/>
        </w:rPr>
        <w:t>0</w:t>
      </w:r>
    </w:p>
    <w:p w:rsidR="00502915" w:rsidRPr="00F35D77" w:rsidRDefault="00ED1B19" w:rsidP="00A13C77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A07DEF">
        <w:rPr>
          <w:rFonts w:cs="Arial"/>
          <w:b/>
        </w:rPr>
        <w:t>3</w:t>
      </w:r>
      <w:r w:rsidR="00C03176">
        <w:rPr>
          <w:rFonts w:cs="Arial"/>
          <w:b/>
        </w:rPr>
        <w:t>1</w:t>
      </w:r>
      <w:r w:rsidR="001F0033">
        <w:rPr>
          <w:rFonts w:cs="Arial"/>
          <w:b/>
        </w:rPr>
        <w:t xml:space="preserve"> de </w:t>
      </w:r>
      <w:r w:rsidR="00C03176">
        <w:rPr>
          <w:rFonts w:cs="Arial"/>
          <w:b/>
        </w:rPr>
        <w:t>mayo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</w:t>
      </w:r>
      <w:r w:rsidR="003C5FDB">
        <w:rPr>
          <w:rFonts w:cs="Arial"/>
          <w:b/>
        </w:rPr>
        <w:t>20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E21530">
        <w:rPr>
          <w:rFonts w:cs="Arial"/>
        </w:rPr>
        <w:t>3</w:t>
      </w:r>
      <w:r w:rsidR="009471A4">
        <w:rPr>
          <w:rFonts w:cs="Arial"/>
        </w:rPr>
        <w:t>1</w:t>
      </w:r>
      <w:r w:rsidR="00A837E6">
        <w:rPr>
          <w:rFonts w:cs="Arial"/>
        </w:rPr>
        <w:t xml:space="preserve"> </w:t>
      </w:r>
      <w:r w:rsidR="00384E40">
        <w:rPr>
          <w:rFonts w:cs="Arial"/>
        </w:rPr>
        <w:t>de</w:t>
      </w:r>
      <w:r w:rsidR="00B97973">
        <w:rPr>
          <w:rFonts w:cs="Arial"/>
        </w:rPr>
        <w:t xml:space="preserve"> </w:t>
      </w:r>
      <w:r w:rsidR="009471A4">
        <w:rPr>
          <w:rFonts w:cs="Arial"/>
        </w:rPr>
        <w:t>mayo</w:t>
      </w:r>
      <w:r w:rsidR="00061C39">
        <w:rPr>
          <w:rFonts w:cs="Arial"/>
        </w:rPr>
        <w:t xml:space="preserve"> </w:t>
      </w:r>
      <w:r w:rsidR="00DE6DD2" w:rsidRPr="00ED1B19">
        <w:rPr>
          <w:rFonts w:cs="Arial"/>
        </w:rPr>
        <w:t>20</w:t>
      </w:r>
      <w:r w:rsidR="00386C8C">
        <w:rPr>
          <w:rFonts w:cs="Arial"/>
        </w:rPr>
        <w:t>20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</w:t>
      </w:r>
      <w:r w:rsidR="008E1F60">
        <w:rPr>
          <w:rFonts w:cs="Arial"/>
        </w:rPr>
        <w:t>8</w:t>
      </w:r>
      <w:proofErr w:type="gramStart"/>
      <w:r w:rsidR="00193CE9">
        <w:rPr>
          <w:rFonts w:cs="Arial"/>
        </w:rPr>
        <w:t>,</w:t>
      </w:r>
      <w:r w:rsidR="009471A4">
        <w:rPr>
          <w:rFonts w:cs="Arial"/>
        </w:rPr>
        <w:t>305.5</w:t>
      </w:r>
      <w:proofErr w:type="gramEnd"/>
      <w:r w:rsidR="009471A4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A37E73">
        <w:rPr>
          <w:rFonts w:cs="Arial"/>
          <w:b/>
        </w:rPr>
        <w:t>mayo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776F36">
        <w:rPr>
          <w:rFonts w:cs="Arial"/>
          <w:b/>
        </w:rPr>
        <w:t>020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F74194" w:rsidRDefault="00F7419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2019AF" w:rsidRDefault="00F7419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65896ECB">
            <wp:extent cx="5272052" cy="23622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706" cy="2363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8CE" w:rsidRPr="00A20172" w:rsidRDefault="000278CE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</w:t>
      </w:r>
      <w:r w:rsidR="00F8582A">
        <w:rPr>
          <w:rFonts w:cs="Arial"/>
        </w:rPr>
        <w:t>8,</w:t>
      </w:r>
      <w:r w:rsidR="00F74194">
        <w:rPr>
          <w:rFonts w:cs="Arial"/>
        </w:rPr>
        <w:t xml:space="preserve">305.5 </w:t>
      </w:r>
      <w:r w:rsidR="007211B5">
        <w:rPr>
          <w:rFonts w:cs="Arial"/>
        </w:rPr>
        <w:t>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5A6949">
        <w:rPr>
          <w:rFonts w:cs="Arial"/>
        </w:rPr>
        <w:t>920.29</w:t>
      </w:r>
      <w:r w:rsidR="005B12F6">
        <w:rPr>
          <w:rFonts w:cs="Arial"/>
        </w:rPr>
        <w:t xml:space="preserve"> </w:t>
      </w:r>
      <w:r w:rsidR="007211B5">
        <w:rPr>
          <w:rFonts w:cs="Arial"/>
        </w:rPr>
        <w:t>millones (7</w:t>
      </w:r>
      <w:r w:rsidR="005A6949">
        <w:rPr>
          <w:rFonts w:cs="Arial"/>
        </w:rPr>
        <w:t>1</w:t>
      </w:r>
      <w:r w:rsidRPr="003022F7">
        <w:rPr>
          <w:rFonts w:cs="Arial"/>
        </w:rPr>
        <w:t>%) otorgados a fideicomisos de categoría no reembolsable; Q. 1,5</w:t>
      </w:r>
      <w:r w:rsidR="00F2723E">
        <w:rPr>
          <w:rFonts w:cs="Arial"/>
        </w:rPr>
        <w:t>32.94</w:t>
      </w:r>
      <w:r w:rsidRPr="003022F7">
        <w:rPr>
          <w:rFonts w:cs="Arial"/>
        </w:rPr>
        <w:t xml:space="preserve"> millones (</w:t>
      </w:r>
      <w:r w:rsidR="005A6949">
        <w:rPr>
          <w:rFonts w:cs="Arial"/>
        </w:rPr>
        <w:t>8</w:t>
      </w:r>
      <w:r w:rsidRPr="003022F7">
        <w:rPr>
          <w:rFonts w:cs="Arial"/>
        </w:rPr>
        <w:t xml:space="preserve">%) a fideicomisos reembolsables, y a fideicomisos de categoría mixta, </w:t>
      </w:r>
      <w:r w:rsidR="0011657C">
        <w:rPr>
          <w:rFonts w:cs="Arial"/>
        </w:rPr>
        <w:t>3,</w:t>
      </w:r>
      <w:r w:rsidR="005A6949">
        <w:rPr>
          <w:rFonts w:cs="Arial"/>
        </w:rPr>
        <w:t>852.3</w:t>
      </w:r>
      <w:r w:rsidR="00DB629A">
        <w:rPr>
          <w:rFonts w:cs="Arial"/>
        </w:rPr>
        <w:t xml:space="preserve"> </w:t>
      </w:r>
      <w:r w:rsidRPr="003022F7">
        <w:rPr>
          <w:rFonts w:cs="Arial"/>
        </w:rPr>
        <w:t>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B86A7A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B86A7A" w:rsidRPr="00ED1B19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39B" w:rsidRDefault="00C7339B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Gráfica No. 2</w:t>
      </w:r>
    </w:p>
    <w:p w:rsidR="00170BF4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 w:rsidR="00B310F0">
        <w:rPr>
          <w:rFonts w:cs="Arial"/>
          <w:b/>
        </w:rPr>
        <w:t xml:space="preserve"> </w:t>
      </w:r>
      <w:r w:rsidR="009452E6">
        <w:rPr>
          <w:rFonts w:cs="Arial"/>
          <w:b/>
        </w:rPr>
        <w:t>mayo</w:t>
      </w:r>
      <w:r w:rsidR="009159D5">
        <w:rPr>
          <w:rFonts w:cs="Arial"/>
          <w:b/>
        </w:rPr>
        <w:t xml:space="preserve"> </w:t>
      </w:r>
      <w:r w:rsidRPr="00343A69">
        <w:rPr>
          <w:rFonts w:cs="Arial"/>
          <w:b/>
        </w:rPr>
        <w:t>20</w:t>
      </w:r>
      <w:r w:rsidR="00920B44">
        <w:rPr>
          <w:rFonts w:cs="Arial"/>
          <w:b/>
        </w:rPr>
        <w:t>20</w:t>
      </w:r>
      <w:r w:rsidRPr="00343A69">
        <w:rPr>
          <w:rFonts w:cs="Arial"/>
          <w:b/>
        </w:rPr>
        <w:tab/>
      </w:r>
    </w:p>
    <w:p w:rsidR="00B310F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8615B3" w:rsidRDefault="008615B3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B842D1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65FB96C6">
            <wp:extent cx="3159292" cy="165735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903" cy="1661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C18C1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6C18C1" w:rsidRPr="006C18C1" w:rsidRDefault="006C18C1" w:rsidP="006C18C1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6C18C1">
        <w:rPr>
          <w:rFonts w:cs="Arial"/>
          <w:color w:val="000000" w:themeColor="text1"/>
        </w:rPr>
        <w:t>Para el ejercicio fiscal 2019 la inversión no reembolsable (ejecución de proyectos no reembolsables y gastos por funcionamiento) ascendió a Q.1</w:t>
      </w:r>
      <w:proofErr w:type="gramStart"/>
      <w:r>
        <w:rPr>
          <w:rFonts w:cs="Arial"/>
          <w:color w:val="000000" w:themeColor="text1"/>
        </w:rPr>
        <w:t>,</w:t>
      </w:r>
      <w:r w:rsidRPr="006C18C1">
        <w:rPr>
          <w:rFonts w:cs="Arial"/>
          <w:color w:val="000000" w:themeColor="text1"/>
        </w:rPr>
        <w:t>241.6</w:t>
      </w:r>
      <w:proofErr w:type="gramEnd"/>
      <w:r w:rsidRPr="006C18C1">
        <w:rPr>
          <w:rFonts w:cs="Arial"/>
          <w:color w:val="000000" w:themeColor="text1"/>
        </w:rPr>
        <w:t xml:space="preserve"> millones. A </w:t>
      </w:r>
      <w:r w:rsidR="00B842D1">
        <w:rPr>
          <w:rFonts w:cs="Arial"/>
          <w:color w:val="000000" w:themeColor="text1"/>
        </w:rPr>
        <w:t xml:space="preserve">mayo </w:t>
      </w:r>
      <w:r w:rsidRPr="006C18C1">
        <w:rPr>
          <w:rFonts w:cs="Arial"/>
          <w:color w:val="000000" w:themeColor="text1"/>
        </w:rPr>
        <w:t>2020 dicha variable refleja Q.</w:t>
      </w:r>
      <w:r w:rsidR="00295E46">
        <w:rPr>
          <w:rFonts w:cs="Arial"/>
          <w:color w:val="000000" w:themeColor="text1"/>
        </w:rPr>
        <w:t xml:space="preserve"> </w:t>
      </w:r>
      <w:r w:rsidR="00FD65F7">
        <w:rPr>
          <w:rFonts w:cs="Arial"/>
          <w:color w:val="000000" w:themeColor="text1"/>
        </w:rPr>
        <w:t>5</w:t>
      </w:r>
      <w:r w:rsidR="00B842D1">
        <w:rPr>
          <w:rFonts w:cs="Arial"/>
          <w:color w:val="000000" w:themeColor="text1"/>
        </w:rPr>
        <w:t>90.9</w:t>
      </w:r>
      <w:r w:rsidRPr="006C18C1">
        <w:rPr>
          <w:rFonts w:cs="Arial"/>
          <w:color w:val="000000" w:themeColor="text1"/>
        </w:rPr>
        <w:t xml:space="preserve"> millones.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A45A1B">
        <w:rPr>
          <w:rFonts w:cs="Arial"/>
        </w:rPr>
        <w:t xml:space="preserve"> </w:t>
      </w:r>
      <w:r w:rsidR="00174DA2">
        <w:rPr>
          <w:rFonts w:cs="Arial"/>
        </w:rPr>
        <w:t xml:space="preserve">mayo </w:t>
      </w:r>
      <w:r w:rsidR="00BE0459">
        <w:rPr>
          <w:rFonts w:cs="Arial"/>
        </w:rPr>
        <w:t>20</w:t>
      </w:r>
      <w:r w:rsidR="00B30FD7">
        <w:rPr>
          <w:rFonts w:cs="Arial"/>
        </w:rPr>
        <w:t>20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Style w:val="Sombreadomedio1-nfasis11"/>
        <w:tblW w:w="6922" w:type="dxa"/>
        <w:jc w:val="center"/>
        <w:tblLook w:val="04A0" w:firstRow="1" w:lastRow="0" w:firstColumn="1" w:lastColumn="0" w:noHBand="0" w:noVBand="1"/>
      </w:tblPr>
      <w:tblGrid>
        <w:gridCol w:w="716"/>
        <w:gridCol w:w="1672"/>
        <w:gridCol w:w="657"/>
        <w:gridCol w:w="1851"/>
        <w:gridCol w:w="657"/>
        <w:gridCol w:w="1073"/>
        <w:gridCol w:w="779"/>
      </w:tblGrid>
      <w:tr w:rsidR="00086716" w:rsidRPr="00103349" w:rsidTr="00861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3A053B">
            <w:pPr>
              <w:jc w:val="right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63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614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7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614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003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72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861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861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861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6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7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614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1003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72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3A053B" w:rsidRPr="003A053B" w:rsidTr="008615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3A053B" w:rsidRPr="00103349" w:rsidRDefault="003A053B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63" w:type="dxa"/>
          </w:tcPr>
          <w:p w:rsidR="003A053B" w:rsidRPr="003A053B" w:rsidRDefault="003A053B" w:rsidP="00331B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817.2</w:t>
            </w:r>
          </w:p>
        </w:tc>
        <w:tc>
          <w:tcPr>
            <w:tcW w:w="614" w:type="dxa"/>
          </w:tcPr>
          <w:p w:rsidR="003A053B" w:rsidRPr="003A053B" w:rsidRDefault="003A053B" w:rsidP="000151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66%</w:t>
            </w:r>
          </w:p>
        </w:tc>
        <w:tc>
          <w:tcPr>
            <w:tcW w:w="1731" w:type="dxa"/>
          </w:tcPr>
          <w:p w:rsidR="003A053B" w:rsidRPr="003A053B" w:rsidRDefault="00505C16" w:rsidP="00FF62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424.4</w:t>
            </w:r>
          </w:p>
        </w:tc>
        <w:tc>
          <w:tcPr>
            <w:tcW w:w="614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34%</w:t>
            </w:r>
          </w:p>
        </w:tc>
        <w:tc>
          <w:tcPr>
            <w:tcW w:w="1003" w:type="dxa"/>
          </w:tcPr>
          <w:p w:rsidR="003A053B" w:rsidRPr="003A053B" w:rsidRDefault="003A053B" w:rsidP="0001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1,241.60</w:t>
            </w:r>
          </w:p>
        </w:tc>
        <w:tc>
          <w:tcPr>
            <w:tcW w:w="728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  <w:tr w:rsidR="00103349" w:rsidRPr="003A053B" w:rsidTr="0086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hideMark/>
          </w:tcPr>
          <w:p w:rsidR="00103349" w:rsidRPr="003A053B" w:rsidRDefault="00103349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</w:t>
            </w:r>
            <w:r w:rsidR="003A053B">
              <w:rPr>
                <w:rFonts w:eastAsia="Times New Roman" w:cs="Arial"/>
                <w:color w:val="000000"/>
                <w:lang w:eastAsia="es-GT"/>
              </w:rPr>
              <w:t>20</w:t>
            </w:r>
          </w:p>
        </w:tc>
        <w:tc>
          <w:tcPr>
            <w:tcW w:w="1563" w:type="dxa"/>
            <w:hideMark/>
          </w:tcPr>
          <w:p w:rsidR="00103349" w:rsidRPr="003A053B" w:rsidRDefault="00CE63F4" w:rsidP="00CE63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520.1</w:t>
            </w:r>
          </w:p>
        </w:tc>
        <w:tc>
          <w:tcPr>
            <w:tcW w:w="614" w:type="dxa"/>
            <w:hideMark/>
          </w:tcPr>
          <w:p w:rsidR="00103349" w:rsidRPr="003A053B" w:rsidRDefault="00CE63F4" w:rsidP="00E4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88%</w:t>
            </w:r>
          </w:p>
        </w:tc>
        <w:tc>
          <w:tcPr>
            <w:tcW w:w="1731" w:type="dxa"/>
            <w:hideMark/>
          </w:tcPr>
          <w:p w:rsidR="00103349" w:rsidRPr="003A053B" w:rsidRDefault="00CE63F4" w:rsidP="00FF62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70.8</w:t>
            </w:r>
          </w:p>
        </w:tc>
        <w:tc>
          <w:tcPr>
            <w:tcW w:w="614" w:type="dxa"/>
            <w:hideMark/>
          </w:tcPr>
          <w:p w:rsidR="00103349" w:rsidRPr="003A053B" w:rsidRDefault="00CE63F4" w:rsidP="004648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12%</w:t>
            </w:r>
          </w:p>
        </w:tc>
        <w:tc>
          <w:tcPr>
            <w:tcW w:w="1003" w:type="dxa"/>
            <w:hideMark/>
          </w:tcPr>
          <w:p w:rsidR="00103349" w:rsidRPr="003A053B" w:rsidRDefault="00CE63F4" w:rsidP="0001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590.9</w:t>
            </w:r>
          </w:p>
        </w:tc>
        <w:tc>
          <w:tcPr>
            <w:tcW w:w="728" w:type="dxa"/>
            <w:hideMark/>
          </w:tcPr>
          <w:p w:rsidR="00103349" w:rsidRPr="003A053B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8C75B3" w:rsidRDefault="00775A77" w:rsidP="008C75B3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EB138E">
        <w:rPr>
          <w:rFonts w:cs="Arial"/>
          <w:color w:val="000000" w:themeColor="text1"/>
        </w:rPr>
        <w:t>diciembre</w:t>
      </w:r>
      <w:r w:rsidR="00A872CF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</w:t>
      </w:r>
      <w:r w:rsidR="006E757E" w:rsidRPr="008C75B3">
        <w:rPr>
          <w:rFonts w:cs="Arial"/>
          <w:color w:val="000000"/>
        </w:rPr>
        <w:t>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AC02ED" w:rsidRPr="00AC02ED" w:rsidRDefault="009A5C0F" w:rsidP="00AC02ED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  <w:r w:rsidR="00AC02ED" w:rsidRPr="00AC02ED">
        <w:rPr>
          <w:rFonts w:cs="Arial"/>
          <w:color w:val="000000" w:themeColor="text1"/>
        </w:rPr>
        <w:t xml:space="preserve"> Es función del Ministerio de Comunicaciones, Infraestructura y Vivienda, por conducto del Fondo para la Vivienda (FOPAVI) coordinar el proceso de extinción y liquidación de este fideicomiso no reembolsable.</w:t>
      </w:r>
    </w:p>
    <w:p w:rsidR="00177F98" w:rsidRPr="00177F98" w:rsidRDefault="00177F98" w:rsidP="00D17519">
      <w:pPr>
        <w:pStyle w:val="Prrafodelista"/>
        <w:ind w:left="360"/>
        <w:jc w:val="both"/>
        <w:rPr>
          <w:rFonts w:cs="Arial"/>
          <w:b/>
          <w:color w:val="000000" w:themeColor="text1"/>
        </w:rPr>
      </w:pP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lastRenderedPageBreak/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</w:t>
      </w:r>
      <w:r w:rsidRPr="004D378C">
        <w:rPr>
          <w:rFonts w:cs="Arial"/>
          <w:color w:val="000000" w:themeColor="text1"/>
        </w:rPr>
        <w:t>anterior</w:t>
      </w:r>
      <w:r w:rsidR="004E1FC3" w:rsidRPr="004D378C">
        <w:rPr>
          <w:rFonts w:cs="Arial"/>
          <w:color w:val="000000" w:themeColor="text1"/>
        </w:rPr>
        <w:t xml:space="preserve"> como instrumento para el otorgamiento de subsidios a la </w:t>
      </w:r>
      <w:r w:rsidR="004E1FC3" w:rsidRPr="00E30712">
        <w:rPr>
          <w:rFonts w:cs="Arial"/>
          <w:color w:val="000000" w:themeColor="text1"/>
        </w:rPr>
        <w:t>población objetivo</w:t>
      </w:r>
      <w:r w:rsidRPr="00E30712">
        <w:rPr>
          <w:rFonts w:cs="Arial"/>
          <w:color w:val="000000" w:themeColor="text1"/>
        </w:rPr>
        <w:t>,</w:t>
      </w:r>
      <w:r w:rsidRPr="00BD0495">
        <w:rPr>
          <w:rFonts w:cs="Arial"/>
          <w:color w:val="000000" w:themeColor="text1"/>
        </w:rPr>
        <w:t xml:space="preserve">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cierre de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AC5632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para</w:t>
      </w:r>
      <w:r w:rsidR="00CB5C1C" w:rsidRPr="00BD0495">
        <w:rPr>
          <w:rFonts w:cs="Arial"/>
          <w:color w:val="000000" w:themeColor="text1"/>
        </w:rPr>
        <w:t xml:space="preserve"> </w:t>
      </w:r>
      <w:r w:rsidR="00E20E60">
        <w:rPr>
          <w:rFonts w:cs="Arial"/>
          <w:color w:val="000000" w:themeColor="text1"/>
        </w:rPr>
        <w:t>diciembre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</w:t>
      </w:r>
      <w:r w:rsidR="00E20E60">
        <w:rPr>
          <w:rFonts w:cs="Arial"/>
          <w:color w:val="000000" w:themeColor="text1"/>
        </w:rPr>
        <w:t>64.3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C5632">
        <w:rPr>
          <w:rFonts w:cs="Arial"/>
          <w:color w:val="000000" w:themeColor="text1"/>
        </w:rPr>
        <w:t xml:space="preserve">, </w:t>
      </w:r>
      <w:r w:rsidR="00761055">
        <w:rPr>
          <w:rFonts w:cs="Arial"/>
          <w:color w:val="000000" w:themeColor="text1"/>
        </w:rPr>
        <w:t xml:space="preserve">y a </w:t>
      </w:r>
      <w:r w:rsidR="00C80FD2">
        <w:rPr>
          <w:rFonts w:cs="Arial"/>
          <w:color w:val="000000" w:themeColor="text1"/>
        </w:rPr>
        <w:t xml:space="preserve">mayo </w:t>
      </w:r>
      <w:r w:rsidR="00AC5632" w:rsidRPr="00BD0495">
        <w:rPr>
          <w:rFonts w:cs="Arial"/>
          <w:color w:val="000000" w:themeColor="text1"/>
        </w:rPr>
        <w:t>de 20</w:t>
      </w:r>
      <w:r w:rsidR="00AC5632">
        <w:rPr>
          <w:rFonts w:cs="Arial"/>
          <w:color w:val="000000" w:themeColor="text1"/>
        </w:rPr>
        <w:t>20</w:t>
      </w:r>
      <w:r w:rsidR="00AC5632" w:rsidRPr="00BD0495">
        <w:rPr>
          <w:rFonts w:cs="Arial"/>
          <w:color w:val="000000" w:themeColor="text1"/>
        </w:rPr>
        <w:t>, Q.</w:t>
      </w:r>
      <w:r w:rsidR="00C80FD2">
        <w:rPr>
          <w:rFonts w:cs="Arial"/>
          <w:color w:val="000000" w:themeColor="text1"/>
        </w:rPr>
        <w:t>70.3</w:t>
      </w:r>
      <w:r w:rsidR="00761055">
        <w:rPr>
          <w:rFonts w:cs="Arial"/>
          <w:color w:val="000000" w:themeColor="text1"/>
        </w:rPr>
        <w:t xml:space="preserve"> millones de</w:t>
      </w:r>
      <w:r w:rsidR="00AC5632" w:rsidRPr="00BD0495">
        <w:rPr>
          <w:rFonts w:cs="Arial"/>
          <w:color w:val="000000" w:themeColor="text1"/>
        </w:rPr>
        <w:t xml:space="preserve"> </w:t>
      </w:r>
      <w:r w:rsidR="00AC5632">
        <w:rPr>
          <w:rFonts w:cs="Arial"/>
          <w:color w:val="000000" w:themeColor="text1"/>
        </w:rPr>
        <w:t>quetzales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4D378C" w:rsidRDefault="00334F97" w:rsidP="006C18C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>109.</w:t>
      </w:r>
      <w:r w:rsidR="00907FC1" w:rsidRPr="004D378C">
        <w:rPr>
          <w:rFonts w:cs="Arial"/>
          <w:color w:val="000000" w:themeColor="text1"/>
        </w:rPr>
        <w:t xml:space="preserve">7 </w:t>
      </w:r>
      <w:r w:rsidR="002D2153" w:rsidRPr="004D378C">
        <w:rPr>
          <w:rFonts w:cs="Arial"/>
          <w:color w:val="000000" w:themeColor="text1"/>
        </w:rPr>
        <w:t>millones</w:t>
      </w:r>
      <w:r w:rsidR="00922B43" w:rsidRPr="004D378C">
        <w:rPr>
          <w:rFonts w:cs="Arial"/>
          <w:color w:val="000000" w:themeColor="text1"/>
        </w:rPr>
        <w:t>.</w:t>
      </w:r>
      <w:r w:rsidR="005B576E" w:rsidRPr="004D378C">
        <w:rPr>
          <w:rFonts w:cs="Arial"/>
          <w:color w:val="000000" w:themeColor="text1"/>
        </w:rPr>
        <w:t xml:space="preserve"> </w:t>
      </w:r>
      <w:r w:rsidR="00922B43" w:rsidRPr="004D378C">
        <w:rPr>
          <w:rFonts w:cs="Arial"/>
          <w:color w:val="000000" w:themeColor="text1"/>
        </w:rPr>
        <w:t>P</w:t>
      </w:r>
      <w:r w:rsidR="00641944" w:rsidRPr="004D378C">
        <w:rPr>
          <w:rFonts w:cs="Arial"/>
          <w:color w:val="000000" w:themeColor="text1"/>
        </w:rPr>
        <w:t>ara</w:t>
      </w:r>
      <w:r w:rsidR="008F6E12" w:rsidRPr="004D378C">
        <w:rPr>
          <w:rFonts w:cs="Arial"/>
          <w:color w:val="000000" w:themeColor="text1"/>
        </w:rPr>
        <w:t xml:space="preserve"> </w:t>
      </w:r>
      <w:r w:rsidR="008E13EA" w:rsidRPr="004D378C">
        <w:rPr>
          <w:rFonts w:cs="Arial"/>
          <w:color w:val="000000" w:themeColor="text1"/>
        </w:rPr>
        <w:t>diciembre</w:t>
      </w:r>
      <w:r w:rsidR="00641944" w:rsidRPr="004D378C">
        <w:rPr>
          <w:rFonts w:cs="Arial"/>
          <w:color w:val="000000" w:themeColor="text1"/>
        </w:rPr>
        <w:t xml:space="preserve"> 2018 reporta una ejecución de Q.</w:t>
      </w:r>
      <w:r w:rsidR="008E13EA" w:rsidRPr="004D378C">
        <w:rPr>
          <w:rFonts w:cs="Arial"/>
          <w:color w:val="000000" w:themeColor="text1"/>
        </w:rPr>
        <w:t>151.6</w:t>
      </w:r>
      <w:r w:rsidR="006211F6" w:rsidRPr="004D378C">
        <w:rPr>
          <w:rFonts w:cs="Arial"/>
          <w:color w:val="000000" w:themeColor="text1"/>
        </w:rPr>
        <w:t xml:space="preserve"> millones</w:t>
      </w:r>
      <w:r w:rsidR="005B576E" w:rsidRPr="004D378C">
        <w:rPr>
          <w:rFonts w:cs="Arial"/>
          <w:color w:val="000000" w:themeColor="text1"/>
        </w:rPr>
        <w:t xml:space="preserve">, </w:t>
      </w:r>
      <w:r w:rsidR="004E1FC3" w:rsidRPr="004D378C">
        <w:rPr>
          <w:rFonts w:cs="Arial"/>
          <w:color w:val="000000" w:themeColor="text1"/>
        </w:rPr>
        <w:t xml:space="preserve">Q. 191.3 millones </w:t>
      </w:r>
      <w:r w:rsidR="002872DD" w:rsidRPr="004D378C">
        <w:rPr>
          <w:rFonts w:cs="Arial"/>
          <w:color w:val="000000" w:themeColor="text1"/>
        </w:rPr>
        <w:t xml:space="preserve">para el año </w:t>
      </w:r>
      <w:r w:rsidR="005B576E" w:rsidRPr="004D378C">
        <w:rPr>
          <w:rFonts w:cs="Arial"/>
          <w:color w:val="000000" w:themeColor="text1"/>
        </w:rPr>
        <w:t>2019</w:t>
      </w:r>
      <w:r w:rsidR="002872DD" w:rsidRPr="004D378C">
        <w:rPr>
          <w:rFonts w:cs="Arial"/>
          <w:color w:val="000000" w:themeColor="text1"/>
        </w:rPr>
        <w:t xml:space="preserve">, y a </w:t>
      </w:r>
      <w:r w:rsidR="00CB054E">
        <w:rPr>
          <w:rFonts w:cs="Arial"/>
          <w:color w:val="000000" w:themeColor="text1"/>
        </w:rPr>
        <w:t>mayo</w:t>
      </w:r>
      <w:r w:rsidR="00B4637A">
        <w:rPr>
          <w:rFonts w:cs="Arial"/>
          <w:color w:val="000000" w:themeColor="text1"/>
        </w:rPr>
        <w:t xml:space="preserve"> </w:t>
      </w:r>
      <w:r w:rsidR="002872DD" w:rsidRPr="004D378C">
        <w:rPr>
          <w:rFonts w:cs="Arial"/>
          <w:color w:val="000000" w:themeColor="text1"/>
        </w:rPr>
        <w:t>de 2020</w:t>
      </w:r>
      <w:r w:rsidR="004E1FC3" w:rsidRPr="004D378C">
        <w:rPr>
          <w:rFonts w:cs="Arial"/>
          <w:color w:val="000000" w:themeColor="text1"/>
        </w:rPr>
        <w:t>,</w:t>
      </w:r>
      <w:r w:rsidR="002872DD" w:rsidRPr="004D378C">
        <w:rPr>
          <w:rFonts w:cs="Arial"/>
          <w:color w:val="000000" w:themeColor="text1"/>
        </w:rPr>
        <w:t xml:space="preserve"> Q.</w:t>
      </w:r>
      <w:r w:rsidR="00CB054E">
        <w:rPr>
          <w:rFonts w:cs="Arial"/>
          <w:color w:val="000000" w:themeColor="text1"/>
        </w:rPr>
        <w:t>52.6</w:t>
      </w:r>
      <w:r w:rsidR="00865D09" w:rsidRPr="004D378C">
        <w:rPr>
          <w:rFonts w:cs="Arial"/>
          <w:color w:val="000000" w:themeColor="text1"/>
        </w:rPr>
        <w:t xml:space="preserve"> </w:t>
      </w:r>
      <w:r w:rsidR="002872DD" w:rsidRPr="004D378C">
        <w:rPr>
          <w:rFonts w:cs="Arial"/>
          <w:color w:val="000000" w:themeColor="text1"/>
        </w:rPr>
        <w:t>millones.</w:t>
      </w:r>
      <w:r w:rsidR="006C18C1" w:rsidRPr="004D378C">
        <w:rPr>
          <w:rFonts w:cs="Arial"/>
          <w:color w:val="000000" w:themeColor="text1"/>
        </w:rPr>
        <w:tab/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,</w:t>
      </w:r>
      <w:r w:rsidR="004955CB" w:rsidRPr="0094472A">
        <w:rPr>
          <w:rFonts w:cs="Arial"/>
          <w:color w:val="000000" w:themeColor="text1"/>
        </w:rPr>
        <w:t xml:space="preserve"> </w:t>
      </w:r>
      <w:r w:rsidR="0029410B">
        <w:rPr>
          <w:rFonts w:cs="Arial"/>
          <w:color w:val="000000" w:themeColor="text1"/>
        </w:rPr>
        <w:t xml:space="preserve">en el </w:t>
      </w:r>
      <w:r w:rsidR="004955CB" w:rsidRPr="0094472A">
        <w:rPr>
          <w:rFonts w:cs="Arial"/>
          <w:color w:val="000000" w:themeColor="text1"/>
        </w:rPr>
        <w:t>2019 re</w:t>
      </w:r>
      <w:r w:rsidR="0029410B">
        <w:rPr>
          <w:rFonts w:cs="Arial"/>
          <w:color w:val="000000" w:themeColor="text1"/>
        </w:rPr>
        <w:t xml:space="preserve">fleja </w:t>
      </w:r>
      <w:r w:rsidR="004955CB" w:rsidRPr="0094472A">
        <w:rPr>
          <w:rFonts w:cs="Arial"/>
          <w:color w:val="000000" w:themeColor="text1"/>
        </w:rPr>
        <w:t xml:space="preserve">una ejecución de </w:t>
      </w:r>
      <w:r w:rsidR="003B0AD5">
        <w:rPr>
          <w:rFonts w:cs="Arial"/>
          <w:color w:val="000000" w:themeColor="text1"/>
        </w:rPr>
        <w:t xml:space="preserve">   </w:t>
      </w:r>
      <w:r w:rsidR="004955CB" w:rsidRPr="0094472A">
        <w:rPr>
          <w:rFonts w:cs="Arial"/>
          <w:color w:val="000000" w:themeColor="text1"/>
        </w:rPr>
        <w:t xml:space="preserve">Q. </w:t>
      </w:r>
      <w:r w:rsidR="00670BD2">
        <w:rPr>
          <w:rFonts w:cs="Arial"/>
          <w:color w:val="000000" w:themeColor="text1"/>
        </w:rPr>
        <w:t>231.</w:t>
      </w:r>
      <w:r w:rsidR="00195F27">
        <w:rPr>
          <w:rFonts w:cs="Arial"/>
          <w:color w:val="000000" w:themeColor="text1"/>
        </w:rPr>
        <w:t>4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29410B">
        <w:rPr>
          <w:rFonts w:cs="Arial"/>
          <w:color w:val="000000" w:themeColor="text1"/>
        </w:rPr>
        <w:t xml:space="preserve"> y a </w:t>
      </w:r>
      <w:r w:rsidR="0010674C">
        <w:rPr>
          <w:rFonts w:cs="Arial"/>
          <w:color w:val="000000" w:themeColor="text1"/>
        </w:rPr>
        <w:t>mayo</w:t>
      </w:r>
      <w:r w:rsidR="0029410B">
        <w:rPr>
          <w:rFonts w:cs="Arial"/>
          <w:color w:val="000000" w:themeColor="text1"/>
        </w:rPr>
        <w:t xml:space="preserve"> 2020 reporta</w:t>
      </w:r>
      <w:r w:rsidR="00665696">
        <w:rPr>
          <w:rFonts w:cs="Arial"/>
          <w:color w:val="000000" w:themeColor="text1"/>
        </w:rPr>
        <w:t xml:space="preserve"> </w:t>
      </w:r>
      <w:r w:rsidR="00A51B78">
        <w:rPr>
          <w:rFonts w:cs="Arial"/>
          <w:color w:val="000000" w:themeColor="text1"/>
        </w:rPr>
        <w:t>161.7</w:t>
      </w:r>
      <w:r w:rsidR="00665696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781DBA">
        <w:rPr>
          <w:rFonts w:cs="Arial"/>
          <w:color w:val="000000" w:themeColor="text1"/>
        </w:rPr>
        <w:t xml:space="preserve">, en el año </w:t>
      </w:r>
      <w:r w:rsidR="00DA1CE4">
        <w:rPr>
          <w:rFonts w:cs="Arial"/>
          <w:color w:val="000000" w:themeColor="text1"/>
        </w:rPr>
        <w:t xml:space="preserve">2019 reporta una ejecución de Q. </w:t>
      </w:r>
      <w:r w:rsidR="00CF78CD">
        <w:rPr>
          <w:rFonts w:cs="Arial"/>
          <w:color w:val="000000" w:themeColor="text1"/>
        </w:rPr>
        <w:t>7.9</w:t>
      </w:r>
      <w:r w:rsidR="00AA5385">
        <w:rPr>
          <w:rFonts w:cs="Arial"/>
          <w:color w:val="000000" w:themeColor="text1"/>
        </w:rPr>
        <w:t xml:space="preserve"> millones</w:t>
      </w:r>
      <w:r w:rsidR="00781DBA">
        <w:rPr>
          <w:rFonts w:cs="Arial"/>
          <w:color w:val="000000" w:themeColor="text1"/>
        </w:rPr>
        <w:t xml:space="preserve">, y a </w:t>
      </w:r>
      <w:r w:rsidR="00A966CC">
        <w:rPr>
          <w:rFonts w:cs="Arial"/>
          <w:color w:val="000000" w:themeColor="text1"/>
        </w:rPr>
        <w:t>mayo</w:t>
      </w:r>
      <w:r w:rsidR="00781DBA">
        <w:rPr>
          <w:rFonts w:cs="Arial"/>
          <w:color w:val="000000" w:themeColor="text1"/>
        </w:rPr>
        <w:t xml:space="preserve"> de 2020 reporta una ejecución de Q. </w:t>
      </w:r>
      <w:r w:rsidR="00E55EDD">
        <w:rPr>
          <w:rFonts w:cs="Arial"/>
          <w:color w:val="000000" w:themeColor="text1"/>
        </w:rPr>
        <w:t>4</w:t>
      </w:r>
      <w:r w:rsidR="00A966CC">
        <w:rPr>
          <w:rFonts w:cs="Arial"/>
          <w:color w:val="000000" w:themeColor="text1"/>
        </w:rPr>
        <w:t>9</w:t>
      </w:r>
      <w:r w:rsidR="00E55EDD">
        <w:rPr>
          <w:rFonts w:cs="Arial"/>
          <w:color w:val="000000" w:themeColor="text1"/>
        </w:rPr>
        <w:t>0,</w:t>
      </w:r>
      <w:r w:rsidR="00A966CC">
        <w:rPr>
          <w:rFonts w:cs="Arial"/>
          <w:color w:val="000000" w:themeColor="text1"/>
        </w:rPr>
        <w:t>070.69</w:t>
      </w:r>
      <w:r w:rsidR="003C256B">
        <w:rPr>
          <w:rFonts w:cs="Arial"/>
          <w:color w:val="000000" w:themeColor="text1"/>
        </w:rPr>
        <w:t xml:space="preserve"> quetzales</w:t>
      </w:r>
      <w:r w:rsidR="00781DBA">
        <w:rPr>
          <w:rFonts w:cs="Arial"/>
          <w:color w:val="000000" w:themeColor="text1"/>
        </w:rPr>
        <w:t>.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lastRenderedPageBreak/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Pr="003C7333" w:rsidRDefault="00C97164" w:rsidP="003C7333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F22643">
        <w:rPr>
          <w:rFonts w:cs="Arial"/>
          <w:color w:val="000000" w:themeColor="text1"/>
        </w:rPr>
        <w:t xml:space="preserve">en el año </w:t>
      </w:r>
      <w:r w:rsidR="00815DCD">
        <w:rPr>
          <w:rFonts w:cs="Arial"/>
          <w:color w:val="000000" w:themeColor="text1"/>
        </w:rPr>
        <w:t>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745771">
        <w:rPr>
          <w:rFonts w:cs="Arial"/>
          <w:color w:val="000000" w:themeColor="text1"/>
        </w:rPr>
        <w:t xml:space="preserve">4.7 </w:t>
      </w:r>
      <w:r w:rsidR="0056658A">
        <w:rPr>
          <w:rFonts w:cs="Arial"/>
          <w:color w:val="000000" w:themeColor="text1"/>
        </w:rPr>
        <w:t>millones</w:t>
      </w:r>
      <w:r w:rsidR="00F01E97">
        <w:rPr>
          <w:rFonts w:cs="Arial"/>
          <w:color w:val="000000" w:themeColor="text1"/>
        </w:rPr>
        <w:t xml:space="preserve">. A </w:t>
      </w:r>
      <w:r w:rsidR="00F61C2F">
        <w:rPr>
          <w:rFonts w:cs="Arial"/>
          <w:color w:val="000000" w:themeColor="text1"/>
        </w:rPr>
        <w:t xml:space="preserve">mayo </w:t>
      </w:r>
      <w:r w:rsidR="00F01E97">
        <w:rPr>
          <w:rFonts w:cs="Arial"/>
          <w:color w:val="000000" w:themeColor="text1"/>
        </w:rPr>
        <w:t xml:space="preserve">2020 </w:t>
      </w:r>
      <w:r w:rsidR="00F22643">
        <w:rPr>
          <w:rFonts w:cs="Arial"/>
          <w:color w:val="000000" w:themeColor="text1"/>
        </w:rPr>
        <w:t>reporta ejecución</w:t>
      </w:r>
      <w:r w:rsidR="002F7669">
        <w:rPr>
          <w:rFonts w:cs="Arial"/>
          <w:color w:val="000000" w:themeColor="text1"/>
        </w:rPr>
        <w:t xml:space="preserve"> de Q. </w:t>
      </w:r>
      <w:r w:rsidR="003C08BC">
        <w:rPr>
          <w:rFonts w:cs="Arial"/>
          <w:color w:val="000000" w:themeColor="text1"/>
        </w:rPr>
        <w:t>6</w:t>
      </w:r>
      <w:r w:rsidR="00F61C2F">
        <w:rPr>
          <w:rFonts w:cs="Arial"/>
          <w:color w:val="000000" w:themeColor="text1"/>
        </w:rPr>
        <w:t>21,734.9</w:t>
      </w:r>
      <w:r w:rsidR="00AF726A">
        <w:rPr>
          <w:rFonts w:cs="Arial"/>
          <w:color w:val="000000" w:themeColor="text1"/>
        </w:rPr>
        <w:t xml:space="preserve"> quetzales</w:t>
      </w:r>
      <w:r w:rsidR="003C08BC">
        <w:rPr>
          <w:rFonts w:cs="Arial"/>
          <w:color w:val="000000" w:themeColor="text1"/>
        </w:rPr>
        <w:t>.</w:t>
      </w:r>
    </w:p>
    <w:p w:rsidR="006A4B98" w:rsidRPr="00F01E97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Pr="00F01E97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F01E97">
        <w:rPr>
          <w:rFonts w:cs="Arial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01E97">
        <w:rPr>
          <w:rFonts w:cs="Arial"/>
          <w:color w:val="000000" w:themeColor="text1"/>
        </w:rPr>
        <w:t>, habiendo reportado una ejecución no reembolsable</w:t>
      </w:r>
      <w:r w:rsidR="00394CF2" w:rsidRPr="00F01E97">
        <w:rPr>
          <w:rFonts w:cs="Arial"/>
          <w:color w:val="000000" w:themeColor="text1"/>
        </w:rPr>
        <w:t xml:space="preserve"> al 01 de abril</w:t>
      </w:r>
      <w:r w:rsidR="0073388D">
        <w:rPr>
          <w:rFonts w:cs="Arial"/>
          <w:color w:val="000000" w:themeColor="text1"/>
        </w:rPr>
        <w:t xml:space="preserve"> de dicho año</w:t>
      </w:r>
      <w:r w:rsidR="0029037D" w:rsidRPr="00F01E97">
        <w:rPr>
          <w:rFonts w:cs="Arial"/>
          <w:color w:val="000000" w:themeColor="text1"/>
        </w:rPr>
        <w:t xml:space="preserve"> de </w:t>
      </w:r>
      <w:r w:rsidR="00394CF2" w:rsidRPr="00F01E97">
        <w:rPr>
          <w:rFonts w:cs="Arial"/>
          <w:color w:val="000000" w:themeColor="text1"/>
        </w:rPr>
        <w:t>Q.</w:t>
      </w:r>
      <w:r w:rsidR="0029037D" w:rsidRPr="00F01E97">
        <w:rPr>
          <w:rFonts w:cs="Arial"/>
          <w:color w:val="000000" w:themeColor="text1"/>
        </w:rPr>
        <w:t>85.1 millones</w:t>
      </w:r>
      <w:r w:rsidRPr="00F01E97">
        <w:rPr>
          <w:rFonts w:cs="Arial"/>
          <w:color w:val="000000" w:themeColor="text1"/>
        </w:rPr>
        <w:t>.</w:t>
      </w:r>
      <w:r w:rsidR="00F01E97" w:rsidRPr="00F01E97">
        <w:rPr>
          <w:rFonts w:cs="Arial"/>
          <w:color w:val="000000" w:themeColor="text1"/>
        </w:rPr>
        <w:t xml:space="preserve"> A partir de entonces no se reporta ejecución, correspondiendo al Ministerio de Comunicaciones, Infraestructura y Vivienda liderar los trámites para su extinción y liquidación.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Pr="00375E07" w:rsidRDefault="00D21C58" w:rsidP="009753C6">
      <w:pPr>
        <w:jc w:val="both"/>
        <w:rPr>
          <w:rFonts w:cs="Arial"/>
        </w:rPr>
      </w:pPr>
      <w:r w:rsidRPr="00BD50CC">
        <w:rPr>
          <w:rFonts w:cs="Arial"/>
          <w:color w:val="000000" w:themeColor="text1"/>
        </w:rPr>
        <w:t>A</w:t>
      </w:r>
      <w:r w:rsidR="009F6F7D">
        <w:rPr>
          <w:rFonts w:cs="Arial"/>
          <w:color w:val="000000" w:themeColor="text1"/>
        </w:rPr>
        <w:t xml:space="preserve"> </w:t>
      </w:r>
      <w:r w:rsidR="0093527F">
        <w:rPr>
          <w:rFonts w:cs="Arial"/>
          <w:color w:val="000000" w:themeColor="text1"/>
        </w:rPr>
        <w:t xml:space="preserve">mayo </w:t>
      </w:r>
      <w:r w:rsidR="00A01BF4" w:rsidRPr="00BD50CC">
        <w:rPr>
          <w:rFonts w:cs="Arial"/>
          <w:color w:val="000000" w:themeColor="text1"/>
        </w:rPr>
        <w:t>20</w:t>
      </w:r>
      <w:r w:rsidR="0082560B">
        <w:rPr>
          <w:rFonts w:cs="Arial"/>
          <w:color w:val="000000" w:themeColor="text1"/>
        </w:rPr>
        <w:t>20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E93C89">
        <w:rPr>
          <w:rFonts w:cs="Arial"/>
        </w:rPr>
        <w:t>2,</w:t>
      </w:r>
      <w:r w:rsidR="0093527F">
        <w:rPr>
          <w:rFonts w:cs="Arial"/>
        </w:rPr>
        <w:t xml:space="preserve">407.0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8615B3">
        <w:rPr>
          <w:rFonts w:cs="Arial"/>
          <w:b/>
          <w:sz w:val="20"/>
          <w:szCs w:val="20"/>
        </w:rPr>
        <w:t>mayo</w:t>
      </w:r>
      <w:r w:rsidR="00FF774E">
        <w:rPr>
          <w:rFonts w:cs="Arial"/>
          <w:b/>
          <w:sz w:val="20"/>
          <w:szCs w:val="20"/>
        </w:rPr>
        <w:t xml:space="preserve"> </w:t>
      </w:r>
      <w:r w:rsidR="0082560B">
        <w:rPr>
          <w:rFonts w:cs="Arial"/>
          <w:b/>
          <w:sz w:val="20"/>
          <w:szCs w:val="20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8615B3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noProof/>
          <w:lang w:val="es-GT" w:eastAsia="es-GT"/>
        </w:rPr>
        <w:drawing>
          <wp:inline distT="0" distB="0" distL="0" distR="0" wp14:anchorId="49340F83" wp14:editId="61DF867A">
            <wp:extent cx="4638675" cy="2266950"/>
            <wp:effectExtent l="0" t="0" r="9525" b="19050"/>
            <wp:docPr id="1" name="Gráfico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lastRenderedPageBreak/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086716" w:rsidRPr="000D7DB3" w:rsidRDefault="00A40F64" w:rsidP="000D7DB3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636FFC">
        <w:rPr>
          <w:sz w:val="22"/>
          <w:szCs w:val="22"/>
        </w:rPr>
        <w:t xml:space="preserve">mayo </w:t>
      </w:r>
      <w:r w:rsidR="00D91F6D">
        <w:rPr>
          <w:sz w:val="22"/>
          <w:szCs w:val="22"/>
        </w:rPr>
        <w:t>20</w:t>
      </w:r>
      <w:r w:rsidR="000C45EB">
        <w:rPr>
          <w:sz w:val="22"/>
          <w:szCs w:val="22"/>
        </w:rPr>
        <w:t>20</w:t>
      </w:r>
      <w:r w:rsidRPr="0092558D">
        <w:rPr>
          <w:color w:val="000000" w:themeColor="text1"/>
          <w:sz w:val="22"/>
          <w:szCs w:val="22"/>
        </w:rPr>
        <w:t>, ascienden a Q.</w:t>
      </w:r>
      <w:r w:rsidR="001476D1">
        <w:rPr>
          <w:color w:val="000000" w:themeColor="text1"/>
          <w:sz w:val="22"/>
          <w:szCs w:val="22"/>
        </w:rPr>
        <w:t xml:space="preserve"> </w:t>
      </w:r>
      <w:r w:rsidR="006F4C21">
        <w:rPr>
          <w:color w:val="000000" w:themeColor="text1"/>
          <w:sz w:val="22"/>
          <w:szCs w:val="22"/>
        </w:rPr>
        <w:t>4,</w:t>
      </w:r>
      <w:r w:rsidR="003278DA">
        <w:rPr>
          <w:color w:val="000000" w:themeColor="text1"/>
          <w:sz w:val="22"/>
          <w:szCs w:val="22"/>
        </w:rPr>
        <w:t>219.4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B0190A" w:rsidRDefault="00B0190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>A</w:t>
      </w:r>
      <w:r w:rsidR="000519FF">
        <w:rPr>
          <w:rFonts w:cs="Arial"/>
          <w:b/>
          <w:sz w:val="20"/>
          <w:szCs w:val="20"/>
        </w:rPr>
        <w:t xml:space="preserve"> </w:t>
      </w:r>
      <w:r w:rsidR="003278DA">
        <w:rPr>
          <w:rFonts w:cs="Arial"/>
          <w:b/>
          <w:sz w:val="20"/>
          <w:szCs w:val="20"/>
        </w:rPr>
        <w:t xml:space="preserve">mayo </w:t>
      </w:r>
      <w:r w:rsidR="00177D43">
        <w:rPr>
          <w:rFonts w:cs="Arial"/>
          <w:b/>
          <w:sz w:val="20"/>
          <w:szCs w:val="20"/>
        </w:rPr>
        <w:t>2020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1A546B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1A546B">
        <w:rPr>
          <w:noProof/>
          <w:lang w:val="es-GT" w:eastAsia="es-GT"/>
        </w:rPr>
        <w:drawing>
          <wp:inline distT="0" distB="0" distL="0" distR="0">
            <wp:extent cx="6308046" cy="23526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46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1A546B">
        <w:rPr>
          <w:rFonts w:cs="Arial"/>
          <w:color w:val="000000"/>
        </w:rPr>
        <w:t xml:space="preserve">mayo </w:t>
      </w:r>
      <w:r w:rsidR="00D66F19">
        <w:rPr>
          <w:rFonts w:cs="Arial"/>
          <w:color w:val="000000"/>
        </w:rPr>
        <w:t>2020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</w:t>
      </w:r>
      <w:r w:rsidR="00E464A7">
        <w:rPr>
          <w:rFonts w:cs="Arial"/>
          <w:color w:val="000000"/>
        </w:rPr>
        <w:t>2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E464A7">
        <w:rPr>
          <w:rFonts w:cs="Arial"/>
          <w:color w:val="000000"/>
        </w:rPr>
        <w:t>38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C83059">
        <w:rPr>
          <w:rFonts w:cs="Arial"/>
          <w:color w:val="000000"/>
        </w:rPr>
        <w:t>2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C83059">
        <w:rPr>
          <w:rFonts w:cs="Arial"/>
          <w:color w:val="000000"/>
        </w:rPr>
        <w:t>28</w:t>
      </w:r>
      <w:r w:rsidR="00D03272">
        <w:rPr>
          <w:rFonts w:cs="Arial"/>
          <w:color w:val="000000"/>
        </w:rPr>
        <w:t xml:space="preserve"> 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3868C7" w:rsidRDefault="003868C7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CD7530" w:rsidRDefault="00CD753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3868C7">
        <w:rPr>
          <w:rFonts w:cs="Arial"/>
          <w:b/>
          <w:color w:val="000000" w:themeColor="text1"/>
          <w:sz w:val="20"/>
          <w:szCs w:val="20"/>
        </w:rPr>
        <w:t>mayo</w:t>
      </w:r>
      <w:r w:rsidR="003A5B34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6B020B">
        <w:rPr>
          <w:rFonts w:cs="Arial"/>
          <w:b/>
          <w:color w:val="000000" w:themeColor="text1"/>
          <w:sz w:val="20"/>
          <w:szCs w:val="20"/>
        </w:rPr>
        <w:t>2020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3868C7" w:rsidP="004F26CF">
      <w:pPr>
        <w:jc w:val="center"/>
        <w:rPr>
          <w:rFonts w:cs="Arial"/>
          <w:sz w:val="20"/>
          <w:szCs w:val="20"/>
        </w:rPr>
      </w:pPr>
      <w:r w:rsidRPr="003868C7">
        <w:rPr>
          <w:noProof/>
          <w:lang w:val="es-GT" w:eastAsia="es-GT"/>
        </w:rPr>
        <w:drawing>
          <wp:inline distT="0" distB="0" distL="0" distR="0">
            <wp:extent cx="5781675" cy="17049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5B39E0">
        <w:rPr>
          <w:rFonts w:cs="Arial"/>
          <w:color w:val="000000"/>
        </w:rPr>
        <w:t xml:space="preserve"> mayo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</w:t>
      </w:r>
      <w:r w:rsidR="00AB2C7A">
        <w:rPr>
          <w:rFonts w:cs="Arial"/>
          <w:color w:val="000000"/>
        </w:rPr>
        <w:t>20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AB2C7A">
        <w:rPr>
          <w:rFonts w:cs="Arial"/>
          <w:color w:val="000000"/>
        </w:rPr>
        <w:t>2</w:t>
      </w:r>
      <w:r w:rsidR="00BA2E4C">
        <w:rPr>
          <w:rFonts w:cs="Arial"/>
          <w:color w:val="000000"/>
        </w:rPr>
        <w:t>9</w:t>
      </w:r>
      <w:r w:rsidR="005D4593">
        <w:rPr>
          <w:rFonts w:cs="Arial"/>
          <w:color w:val="000000"/>
        </w:rPr>
        <w:t>4.5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BA2E4C">
        <w:rPr>
          <w:rFonts w:cs="Arial"/>
          <w:color w:val="000000"/>
        </w:rPr>
        <w:t>(</w:t>
      </w:r>
      <w:r w:rsidR="005B39E0">
        <w:rPr>
          <w:rFonts w:cs="Arial"/>
          <w:color w:val="000000"/>
        </w:rPr>
        <w:t>abril</w:t>
      </w:r>
      <w:r w:rsidR="00BA2E4C">
        <w:rPr>
          <w:rFonts w:cs="Arial"/>
          <w:color w:val="000000"/>
        </w:rPr>
        <w:t xml:space="preserve"> </w:t>
      </w:r>
      <w:r w:rsidR="00845F62">
        <w:rPr>
          <w:rFonts w:cs="Arial"/>
          <w:color w:val="000000"/>
        </w:rPr>
        <w:t>2020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</w:t>
      </w:r>
      <w:r w:rsidR="003859CC">
        <w:rPr>
          <w:rFonts w:cs="Arial"/>
          <w:color w:val="000000"/>
        </w:rPr>
        <w:t>,2</w:t>
      </w:r>
      <w:r w:rsidR="005B39E0">
        <w:rPr>
          <w:rFonts w:cs="Arial"/>
          <w:color w:val="000000"/>
        </w:rPr>
        <w:t xml:space="preserve">91.6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</w:t>
      </w:r>
      <w:r w:rsidR="00816DC7">
        <w:rPr>
          <w:rFonts w:cs="Arial"/>
          <w:color w:val="000000"/>
        </w:rPr>
        <w:t>inc</w:t>
      </w:r>
      <w:r w:rsidR="006611BA">
        <w:rPr>
          <w:rFonts w:cs="Arial"/>
          <w:color w:val="000000"/>
        </w:rPr>
        <w:t>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305BC" w:rsidRDefault="001C06A0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5D4593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9196E">
        <w:rPr>
          <w:rFonts w:cs="Arial"/>
          <w:b/>
          <w:color w:val="000000" w:themeColor="text1"/>
          <w:sz w:val="20"/>
          <w:szCs w:val="20"/>
        </w:rPr>
        <w:t>abril</w:t>
      </w:r>
      <w:r w:rsidR="005D4593">
        <w:rPr>
          <w:rFonts w:cs="Arial"/>
          <w:b/>
          <w:color w:val="000000" w:themeColor="text1"/>
          <w:sz w:val="20"/>
          <w:szCs w:val="20"/>
        </w:rPr>
        <w:t>-mayo</w:t>
      </w:r>
      <w:r w:rsidR="00BA6BDC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4B0A28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4B0A28">
        <w:rPr>
          <w:noProof/>
          <w:lang w:val="es-GT" w:eastAsia="es-GT"/>
        </w:rPr>
        <w:drawing>
          <wp:inline distT="0" distB="0" distL="0" distR="0" wp14:anchorId="00213BD8" wp14:editId="16017A47">
            <wp:extent cx="6415660" cy="158115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21" cy="15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A050C">
        <w:rPr>
          <w:rFonts w:cs="Arial"/>
          <w:color w:val="000000"/>
        </w:rPr>
        <w:t>3</w:t>
      </w:r>
      <w:r w:rsidR="00A6520B">
        <w:rPr>
          <w:rFonts w:cs="Arial"/>
          <w:color w:val="000000"/>
        </w:rPr>
        <w:t>8</w:t>
      </w:r>
      <w:r w:rsidRPr="00CC7F32">
        <w:rPr>
          <w:rFonts w:cs="Arial"/>
          <w:color w:val="000000"/>
        </w:rPr>
        <w:t xml:space="preserve">% a </w:t>
      </w:r>
      <w:r w:rsidR="004B0A28">
        <w:rPr>
          <w:rFonts w:cs="Arial"/>
          <w:color w:val="000000"/>
        </w:rPr>
        <w:t>mayo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</w:t>
      </w:r>
      <w:r w:rsidR="00EE7C91">
        <w:rPr>
          <w:rFonts w:cs="Arial"/>
          <w:color w:val="000000"/>
        </w:rPr>
        <w:t>20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A676D3">
        <w:rPr>
          <w:rFonts w:cs="Arial"/>
          <w:color w:val="000000"/>
        </w:rPr>
        <w:t>6</w:t>
      </w:r>
      <w:r w:rsidR="00A6520B">
        <w:rPr>
          <w:rFonts w:cs="Arial"/>
          <w:color w:val="000000"/>
        </w:rPr>
        <w:t>2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>a</w:t>
      </w:r>
      <w:r w:rsidR="00F12A95">
        <w:rPr>
          <w:rFonts w:cs="Arial"/>
          <w:color w:val="000000"/>
        </w:rPr>
        <w:t xml:space="preserve"> </w:t>
      </w:r>
      <w:r w:rsidR="004B0A28">
        <w:rPr>
          <w:rFonts w:cs="Arial"/>
          <w:color w:val="000000"/>
        </w:rPr>
        <w:t>mayo</w:t>
      </w:r>
      <w:r w:rsidR="00A676D3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</w:t>
      </w:r>
      <w:r w:rsidR="00A676D3">
        <w:rPr>
          <w:rFonts w:cs="Arial"/>
          <w:color w:val="000000"/>
        </w:rPr>
        <w:t>20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EF6D66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ED39CF">
        <w:rPr>
          <w:rFonts w:cs="Arial"/>
          <w:b/>
          <w:color w:val="000000" w:themeColor="text1"/>
          <w:sz w:val="20"/>
          <w:szCs w:val="20"/>
        </w:rPr>
        <w:t>mayo</w:t>
      </w:r>
      <w:r w:rsidR="00EF6D66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98736E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122AE129">
            <wp:extent cx="5578475" cy="2682240"/>
            <wp:effectExtent l="0" t="0" r="3175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C30E6C">
        <w:rPr>
          <w:rFonts w:cs="Arial"/>
          <w:color w:val="000000"/>
        </w:rPr>
        <w:t xml:space="preserve">mayo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0C2F5D">
        <w:rPr>
          <w:rFonts w:cs="Arial"/>
          <w:color w:val="000000"/>
        </w:rPr>
        <w:t>2020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E0CDF" w:rsidRDefault="00AE0CDF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0C2F5D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C30E6C">
        <w:rPr>
          <w:rFonts w:cs="Arial"/>
          <w:b/>
          <w:sz w:val="20"/>
          <w:szCs w:val="20"/>
        </w:rPr>
        <w:t>mayo</w:t>
      </w:r>
      <w:r w:rsidR="001D4991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</w:t>
      </w:r>
      <w:r w:rsidR="000C2F5D">
        <w:rPr>
          <w:rFonts w:cs="Arial"/>
          <w:b/>
          <w:sz w:val="20"/>
          <w:szCs w:val="20"/>
        </w:rPr>
        <w:t>20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655CF1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655CF1">
        <w:rPr>
          <w:noProof/>
          <w:lang w:val="es-GT" w:eastAsia="es-GT"/>
        </w:rPr>
        <w:drawing>
          <wp:inline distT="0" distB="0" distL="0" distR="0" wp14:anchorId="31C25A53" wp14:editId="080FED62">
            <wp:extent cx="6156960" cy="189381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DF0F41">
        <w:rPr>
          <w:color w:val="000000" w:themeColor="text1"/>
          <w:sz w:val="22"/>
          <w:szCs w:val="22"/>
          <w:lang w:val="es-ES"/>
        </w:rPr>
        <w:t xml:space="preserve">, al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725A08">
        <w:rPr>
          <w:color w:val="000000" w:themeColor="text1"/>
          <w:sz w:val="22"/>
          <w:szCs w:val="22"/>
          <w:lang w:val="es-ES"/>
        </w:rPr>
        <w:t>.8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900BD5">
        <w:rPr>
          <w:color w:val="000000" w:themeColor="text1"/>
          <w:sz w:val="22"/>
          <w:szCs w:val="22"/>
          <w:lang w:val="es-ES"/>
        </w:rPr>
        <w:t xml:space="preserve">, y a </w:t>
      </w:r>
      <w:r w:rsidR="00655CF1">
        <w:rPr>
          <w:color w:val="000000" w:themeColor="text1"/>
          <w:sz w:val="22"/>
          <w:szCs w:val="22"/>
          <w:lang w:val="es-ES"/>
        </w:rPr>
        <w:t xml:space="preserve">mayo </w:t>
      </w:r>
      <w:r w:rsidR="00900BD5">
        <w:rPr>
          <w:color w:val="000000" w:themeColor="text1"/>
          <w:sz w:val="22"/>
          <w:szCs w:val="22"/>
          <w:lang w:val="es-ES"/>
        </w:rPr>
        <w:t>2020 un 0</w:t>
      </w:r>
      <w:r w:rsidR="006611BA">
        <w:rPr>
          <w:color w:val="000000" w:themeColor="text1"/>
          <w:sz w:val="22"/>
          <w:szCs w:val="22"/>
          <w:lang w:val="es-ES"/>
        </w:rPr>
        <w:t>.</w:t>
      </w:r>
      <w:r w:rsidR="00FF2FF8">
        <w:rPr>
          <w:color w:val="000000" w:themeColor="text1"/>
          <w:sz w:val="22"/>
          <w:szCs w:val="22"/>
          <w:lang w:val="es-ES"/>
        </w:rPr>
        <w:t>8</w:t>
      </w:r>
      <w:r w:rsidR="00900BD5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</w:t>
      </w:r>
      <w:r w:rsidR="00476D55">
        <w:rPr>
          <w:rFonts w:cs="Arial"/>
          <w:b/>
        </w:rPr>
        <w:t>20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5D4D63">
        <w:rPr>
          <w:sz w:val="22"/>
          <w:szCs w:val="22"/>
        </w:rPr>
        <w:t>020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</w:t>
      </w:r>
      <w:r w:rsidR="00385B78" w:rsidRPr="00984A6F">
        <w:rPr>
          <w:rFonts w:cs="Arial"/>
          <w:color w:val="000000"/>
        </w:rPr>
        <w:lastRenderedPageBreak/>
        <w:t xml:space="preserve">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270F70" w:rsidRPr="00270F70" w:rsidRDefault="00270F70" w:rsidP="00270F70">
      <w:pPr>
        <w:pStyle w:val="Prrafodelista"/>
        <w:rPr>
          <w:rFonts w:cs="Arial"/>
          <w:color w:val="000000"/>
        </w:rPr>
      </w:pPr>
    </w:p>
    <w:p w:rsidR="00270F70" w:rsidRPr="00270F70" w:rsidRDefault="00270F70" w:rsidP="00270F70">
      <w:pPr>
        <w:jc w:val="both"/>
        <w:rPr>
          <w:rFonts w:cs="Arial"/>
          <w:color w:val="000000"/>
        </w:rPr>
      </w:pP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lastRenderedPageBreak/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Default="004A047D" w:rsidP="004A047D">
      <w:pPr>
        <w:pStyle w:val="Prrafodelista"/>
        <w:jc w:val="both"/>
        <w:rPr>
          <w:rFonts w:cs="Arial"/>
          <w:color w:val="000000"/>
        </w:rPr>
      </w:pPr>
    </w:p>
    <w:p w:rsidR="004A047D" w:rsidRDefault="004A047D" w:rsidP="004A0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C730D7">
        <w:rPr>
          <w:rFonts w:cs="Arial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B128FF" w:rsidRPr="00B128FF" w:rsidRDefault="00B128FF" w:rsidP="00B128FF">
      <w:pPr>
        <w:pStyle w:val="Prrafodelista"/>
        <w:rPr>
          <w:rFonts w:cs="Arial"/>
          <w:color w:val="000000"/>
        </w:rPr>
      </w:pPr>
    </w:p>
    <w:p w:rsidR="00B128FF" w:rsidRDefault="00B128FF" w:rsidP="00B128F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>30 de diciembre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</w:t>
      </w:r>
      <w:r w:rsidR="00AD42A8">
        <w:rPr>
          <w:rFonts w:cs="Arial"/>
          <w:color w:val="000000"/>
        </w:rPr>
        <w:t xml:space="preserve">se </w:t>
      </w:r>
      <w:r w:rsidR="00682076">
        <w:rPr>
          <w:rFonts w:cs="Arial"/>
          <w:color w:val="000000"/>
        </w:rPr>
        <w:t>publicó el Acuerdo Gubernativo 322-2019</w:t>
      </w:r>
      <w:r w:rsidR="00A84744">
        <w:rPr>
          <w:rFonts w:cs="Arial"/>
          <w:color w:val="000000"/>
        </w:rPr>
        <w:t xml:space="preserve"> de extinción</w:t>
      </w:r>
      <w:r w:rsidR="00682076">
        <w:rPr>
          <w:rFonts w:cs="Arial"/>
          <w:color w:val="000000"/>
        </w:rPr>
        <w:t>, d</w:t>
      </w:r>
      <w:r w:rsidRPr="00DE740F">
        <w:rPr>
          <w:rFonts w:cs="Arial"/>
          <w:color w:val="000000"/>
        </w:rPr>
        <w:t xml:space="preserve">el Fideicomiso Fondo </w:t>
      </w:r>
      <w:r>
        <w:rPr>
          <w:rFonts w:cs="Arial"/>
          <w:color w:val="000000"/>
        </w:rPr>
        <w:t>Social de Solidaridad</w:t>
      </w:r>
      <w:r w:rsidRPr="00DE740F">
        <w:rPr>
          <w:rFonts w:cs="Arial"/>
          <w:color w:val="000000"/>
        </w:rPr>
        <w:t>, constituido en BAN</w:t>
      </w:r>
      <w:r>
        <w:rPr>
          <w:rFonts w:cs="Arial"/>
          <w:color w:val="000000"/>
        </w:rPr>
        <w:t>RURAL,</w:t>
      </w:r>
      <w:r w:rsidRPr="00DE740F">
        <w:rPr>
          <w:rFonts w:cs="Arial"/>
          <w:color w:val="000000"/>
        </w:rPr>
        <w:t xml:space="preserve"> </w:t>
      </w:r>
      <w:r w:rsidR="00682076">
        <w:rPr>
          <w:rFonts w:cs="Arial"/>
          <w:color w:val="000000"/>
        </w:rPr>
        <w:t xml:space="preserve">en espera de </w:t>
      </w:r>
      <w:r w:rsidR="00AD42A8">
        <w:rPr>
          <w:rFonts w:cs="Arial"/>
          <w:color w:val="000000"/>
        </w:rPr>
        <w:t>formaliza</w:t>
      </w:r>
      <w:r w:rsidR="00682076">
        <w:rPr>
          <w:rFonts w:cs="Arial"/>
          <w:color w:val="000000"/>
        </w:rPr>
        <w:t>r su</w:t>
      </w:r>
      <w:r w:rsidR="00AD42A8">
        <w:rPr>
          <w:rFonts w:cs="Arial"/>
          <w:color w:val="000000"/>
        </w:rPr>
        <w:t xml:space="preserve"> extinción </w:t>
      </w:r>
      <w:r w:rsidR="00682076">
        <w:rPr>
          <w:rFonts w:cs="Arial"/>
          <w:color w:val="000000"/>
        </w:rPr>
        <w:t xml:space="preserve">mediante </w:t>
      </w:r>
      <w:r w:rsidR="00AD42A8">
        <w:rPr>
          <w:rFonts w:cs="Arial"/>
          <w:color w:val="000000"/>
        </w:rPr>
        <w:t>escritura pública.</w:t>
      </w:r>
    </w:p>
    <w:p w:rsidR="002424BF" w:rsidRDefault="002424BF" w:rsidP="00270F70">
      <w:pPr>
        <w:pStyle w:val="Prrafodelista"/>
        <w:rPr>
          <w:rFonts w:cs="Arial"/>
          <w:color w:val="000000"/>
        </w:rPr>
      </w:pPr>
    </w:p>
    <w:p w:rsidR="002424BF" w:rsidRPr="004D378C" w:rsidRDefault="002424BF" w:rsidP="009A0640">
      <w:pPr>
        <w:pStyle w:val="Prrafodelista"/>
        <w:ind w:left="0"/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Dada la decisión de la Junta Monetaria de suspender </w:t>
      </w:r>
      <w:r w:rsidR="009A0640" w:rsidRPr="004D378C">
        <w:rPr>
          <w:rFonts w:cs="Arial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4D378C" w:rsidRDefault="002424BF" w:rsidP="00270F70">
      <w:pPr>
        <w:pStyle w:val="Prrafodelista"/>
        <w:rPr>
          <w:rFonts w:cs="Arial"/>
          <w:color w:val="000000"/>
        </w:rPr>
      </w:pPr>
    </w:p>
    <w:p w:rsidR="00270F70" w:rsidRPr="004D378C" w:rsidRDefault="00045927" w:rsidP="001E53E9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El </w:t>
      </w:r>
      <w:r w:rsidR="001E53E9" w:rsidRPr="004D378C">
        <w:rPr>
          <w:rFonts w:cs="Arial"/>
          <w:color w:val="000000"/>
        </w:rPr>
        <w:t xml:space="preserve">Fideicomiso de Apoyo a la Planificación Urbana </w:t>
      </w:r>
      <w:r w:rsidRPr="004D378C">
        <w:rPr>
          <w:rFonts w:cs="Arial"/>
          <w:color w:val="000000"/>
        </w:rPr>
        <w:t xml:space="preserve">sustituyó </w:t>
      </w:r>
      <w:r w:rsidR="002424BF" w:rsidRPr="004D378C">
        <w:rPr>
          <w:rFonts w:cs="Arial"/>
          <w:color w:val="000000"/>
        </w:rPr>
        <w:t xml:space="preserve">a </w:t>
      </w:r>
      <w:r w:rsidRPr="004D378C">
        <w:rPr>
          <w:rFonts w:cs="Arial"/>
          <w:color w:val="000000"/>
        </w:rPr>
        <w:t xml:space="preserve">su fiduciario por el Banco </w:t>
      </w:r>
      <w:r w:rsidR="009A0640" w:rsidRPr="004D378C">
        <w:rPr>
          <w:rFonts w:cs="Arial"/>
          <w:color w:val="000000"/>
        </w:rPr>
        <w:t>E</w:t>
      </w:r>
      <w:r w:rsidRPr="004D378C">
        <w:rPr>
          <w:rFonts w:cs="Arial"/>
          <w:color w:val="000000"/>
        </w:rPr>
        <w:t xml:space="preserve">l Crédito Hipotecario Nacional mediante escritura </w:t>
      </w:r>
      <w:r w:rsidR="009A0640" w:rsidRPr="004D378C">
        <w:rPr>
          <w:rFonts w:cs="Arial"/>
          <w:color w:val="000000"/>
        </w:rPr>
        <w:t xml:space="preserve">pública número 6 autorizada por la notario </w:t>
      </w:r>
      <w:proofErr w:type="spellStart"/>
      <w:r w:rsidR="009A0640" w:rsidRPr="004D378C">
        <w:rPr>
          <w:rFonts w:cs="Arial"/>
          <w:color w:val="000000"/>
        </w:rPr>
        <w:t>Vilsa</w:t>
      </w:r>
      <w:proofErr w:type="spellEnd"/>
      <w:r w:rsidR="009A0640" w:rsidRPr="004D378C">
        <w:rPr>
          <w:rFonts w:cs="Arial"/>
          <w:color w:val="000000"/>
        </w:rPr>
        <w:t xml:space="preserve"> Mariela Arriaza Morales el 26 de enero de 2020.</w:t>
      </w:r>
      <w:r w:rsidRPr="004D378C">
        <w:rPr>
          <w:rFonts w:cs="Arial"/>
          <w:color w:val="000000"/>
        </w:rPr>
        <w:t xml:space="preserve"> </w:t>
      </w:r>
    </w:p>
    <w:p w:rsidR="001E53E9" w:rsidRPr="004D378C" w:rsidRDefault="001E53E9" w:rsidP="001E53E9">
      <w:pPr>
        <w:rPr>
          <w:rFonts w:cs="Arial"/>
          <w:color w:val="000000"/>
        </w:rPr>
      </w:pPr>
    </w:p>
    <w:p w:rsidR="001E53E9" w:rsidRDefault="001E53E9" w:rsidP="001E53E9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lastRenderedPageBreak/>
        <w:t xml:space="preserve">El Fideicomiso para la Planificación y Desarrollo del Municipio de Villa Nueva                        -FIDEVILLANUEVA- sustituyó </w:t>
      </w:r>
      <w:r w:rsidR="009A0640" w:rsidRPr="004D378C">
        <w:rPr>
          <w:rFonts w:cs="Arial"/>
          <w:color w:val="000000"/>
        </w:rPr>
        <w:t xml:space="preserve">a </w:t>
      </w:r>
      <w:r w:rsidRPr="004D378C">
        <w:rPr>
          <w:rFonts w:cs="Arial"/>
          <w:color w:val="000000"/>
        </w:rPr>
        <w:t xml:space="preserve">su fiduciario por el Banco </w:t>
      </w:r>
      <w:r w:rsidR="009A0640" w:rsidRPr="004D378C">
        <w:rPr>
          <w:rFonts w:cs="Arial"/>
          <w:color w:val="000000"/>
        </w:rPr>
        <w:t xml:space="preserve">El </w:t>
      </w:r>
      <w:r w:rsidRPr="004D378C">
        <w:rPr>
          <w:rFonts w:cs="Arial"/>
          <w:color w:val="000000"/>
        </w:rPr>
        <w:t xml:space="preserve">Crédito Hipotecario Nacional </w:t>
      </w:r>
      <w:r w:rsidR="009A0640" w:rsidRPr="004D378C">
        <w:rPr>
          <w:rFonts w:cs="Arial"/>
          <w:color w:val="000000"/>
        </w:rPr>
        <w:t xml:space="preserve">mediante escritura pública número 37 de fecha 03 de marzo de 2020, autorizada por </w:t>
      </w:r>
      <w:proofErr w:type="gramStart"/>
      <w:r w:rsidR="009A0640" w:rsidRPr="004D378C">
        <w:rPr>
          <w:rFonts w:cs="Arial"/>
          <w:color w:val="000000"/>
        </w:rPr>
        <w:t>la</w:t>
      </w:r>
      <w:proofErr w:type="gramEnd"/>
      <w:r w:rsidR="009A0640" w:rsidRPr="004D378C">
        <w:rPr>
          <w:rFonts w:cs="Arial"/>
          <w:color w:val="000000"/>
        </w:rPr>
        <w:t xml:space="preserve"> notario, Fabiola del Carmen de León Andrino</w:t>
      </w:r>
      <w:r w:rsidRPr="004D378C">
        <w:rPr>
          <w:rFonts w:cs="Arial"/>
          <w:color w:val="000000"/>
        </w:rPr>
        <w:t xml:space="preserve">. </w:t>
      </w:r>
    </w:p>
    <w:p w:rsidR="00ED272E" w:rsidRPr="00ED272E" w:rsidRDefault="00ED272E" w:rsidP="00ED272E">
      <w:pPr>
        <w:pStyle w:val="Prrafodelista"/>
        <w:rPr>
          <w:rFonts w:cs="Arial"/>
          <w:color w:val="000000"/>
        </w:rPr>
      </w:pPr>
    </w:p>
    <w:p w:rsidR="00ED272E" w:rsidRPr="004864C2" w:rsidRDefault="004864C2" w:rsidP="004864C2">
      <w:pPr>
        <w:pStyle w:val="Prrafodelista"/>
        <w:numPr>
          <w:ilvl w:val="0"/>
          <w:numId w:val="2"/>
        </w:numPr>
        <w:jc w:val="both"/>
        <w:rPr>
          <w:color w:val="000000"/>
        </w:rPr>
      </w:pPr>
      <w:r w:rsidRPr="004864C2">
        <w:rPr>
          <w:color w:val="000000"/>
        </w:rPr>
        <w:t xml:space="preserve">El 31 de mayo de 2020 venció el Fideicomiso Administración de Carteras, constituido en </w:t>
      </w:r>
      <w:proofErr w:type="spellStart"/>
      <w:r w:rsidRPr="004864C2">
        <w:rPr>
          <w:color w:val="000000"/>
        </w:rPr>
        <w:t>Banrural</w:t>
      </w:r>
      <w:proofErr w:type="spellEnd"/>
      <w:r w:rsidRPr="004864C2">
        <w:rPr>
          <w:color w:val="000000"/>
        </w:rPr>
        <w:t>,</w:t>
      </w:r>
      <w:r w:rsidRPr="004864C2">
        <w:t xml:space="preserve"> </w:t>
      </w:r>
      <w:r w:rsidRPr="004864C2">
        <w:rPr>
          <w:color w:val="000000"/>
        </w:rPr>
        <w:t>cuyos entes responsables son el Ministerio de Agricultura, Ganadería y Alimentación y el Ministerio de Finanzas Públicas. Este último ya inició las gestiones para la extinción y liquidación del fideicomiso.</w:t>
      </w:r>
    </w:p>
    <w:p w:rsidR="00ED272E" w:rsidRPr="004D378C" w:rsidRDefault="00ED272E" w:rsidP="00ED272E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  <w:bookmarkStart w:id="0" w:name="_GoBack"/>
      <w:bookmarkEnd w:id="0"/>
    </w:p>
    <w:sectPr w:rsidR="0072352F" w:rsidRPr="0052478F" w:rsidSect="00C7339B">
      <w:headerReference w:type="default" r:id="rId17"/>
      <w:footerReference w:type="default" r:id="rId18"/>
      <w:pgSz w:w="12240" w:h="15840" w:code="1"/>
      <w:pgMar w:top="993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64" w:rsidRDefault="00154564" w:rsidP="00AF4392">
      <w:r>
        <w:separator/>
      </w:r>
    </w:p>
  </w:endnote>
  <w:endnote w:type="continuationSeparator" w:id="0">
    <w:p w:rsidR="00154564" w:rsidRDefault="00154564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C15C5" w:rsidRDefault="009C15C5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428A6">
              <w:rPr>
                <w:rFonts w:ascii="Arial Narrow" w:hAnsi="Arial Narrow"/>
                <w:b/>
                <w:noProof/>
                <w:sz w:val="16"/>
                <w:szCs w:val="16"/>
              </w:rPr>
              <w:t>14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C428A6">
              <w:rPr>
                <w:rFonts w:ascii="Arial Narrow" w:hAnsi="Arial Narrow"/>
                <w:b/>
                <w:noProof/>
                <w:sz w:val="16"/>
                <w:szCs w:val="16"/>
              </w:rPr>
              <w:t>14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C15C5" w:rsidRDefault="00D8253A">
    <w:pPr>
      <w:pStyle w:val="Piedepgina"/>
    </w:pPr>
    <w:r>
      <w:rPr>
        <w:noProof/>
        <w:lang w:val="es-GT" w:eastAsia="es-GT"/>
      </w:rPr>
      <w:drawing>
        <wp:inline distT="0" distB="0" distL="0" distR="0" wp14:anchorId="6A653492" wp14:editId="479EC1CB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64" w:rsidRDefault="00154564" w:rsidP="00AF4392">
      <w:r>
        <w:separator/>
      </w:r>
    </w:p>
  </w:footnote>
  <w:footnote w:type="continuationSeparator" w:id="0">
    <w:p w:rsidR="00154564" w:rsidRDefault="00154564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82" w:rsidRDefault="00B82B82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4CF1AEB0" wp14:editId="6EC76C7A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0EB6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1C4E"/>
    <w:rsid w:val="00172112"/>
    <w:rsid w:val="0017242F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34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6534"/>
    <w:rsid w:val="00447839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70FF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205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A8D"/>
    <w:rsid w:val="005B6E0E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267B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5B3"/>
    <w:rsid w:val="00861D5E"/>
    <w:rsid w:val="00862074"/>
    <w:rsid w:val="00862565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095F"/>
    <w:rsid w:val="008810A1"/>
    <w:rsid w:val="0088192F"/>
    <w:rsid w:val="00881E4F"/>
    <w:rsid w:val="008826D6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3E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1F60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73A"/>
    <w:rsid w:val="00964946"/>
    <w:rsid w:val="00965194"/>
    <w:rsid w:val="00965799"/>
    <w:rsid w:val="00966B8A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1E6"/>
    <w:rsid w:val="009C033D"/>
    <w:rsid w:val="009C0BEB"/>
    <w:rsid w:val="009C13E5"/>
    <w:rsid w:val="009C15C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C77"/>
    <w:rsid w:val="00A14014"/>
    <w:rsid w:val="00A140EF"/>
    <w:rsid w:val="00A148CB"/>
    <w:rsid w:val="00A14D34"/>
    <w:rsid w:val="00A152D5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2A8"/>
    <w:rsid w:val="00AD49BF"/>
    <w:rsid w:val="00AD67D7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AF726A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0FD7"/>
    <w:rsid w:val="00B31002"/>
    <w:rsid w:val="00B310F0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60E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176"/>
    <w:rsid w:val="00C03C5E"/>
    <w:rsid w:val="00C0401E"/>
    <w:rsid w:val="00C0459B"/>
    <w:rsid w:val="00C04757"/>
    <w:rsid w:val="00C04DCC"/>
    <w:rsid w:val="00C05227"/>
    <w:rsid w:val="00C06AF3"/>
    <w:rsid w:val="00C06D45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054E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EDD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720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8BC"/>
    <w:rsid w:val="00F166B7"/>
    <w:rsid w:val="00F1672A"/>
    <w:rsid w:val="00F17656"/>
    <w:rsid w:val="00F17BA7"/>
    <w:rsid w:val="00F17C3E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2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488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82A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F6-4072-98C1-31E8ABDAAD40}"/>
                </c:ext>
              </c:extLst>
            </c:dLbl>
            <c:dLbl>
              <c:idx val="3"/>
              <c:layout>
                <c:manualLayout>
                  <c:x val="-4.4083014213387259E-3"/>
                  <c:y val="-3.371236183217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4F6-4072-98C1-31E8ABDAAD40}"/>
                </c:ext>
              </c:extLst>
            </c:dLbl>
            <c:dLbl>
              <c:idx val="4"/>
              <c:layout>
                <c:manualLayout>
                  <c:x val="2.4660633267836057E-2"/>
                  <c:y val="-8.2004417421667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02-4705-88D9-FD81D8898F8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DYA.xlsx]DISP AC'!$L$19:$L$25</c:f>
              <c:strCache>
                <c:ptCount val="7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BCIE</c:v>
                </c:pt>
                <c:pt idx="6">
                  <c:v>OTROS</c:v>
                </c:pt>
              </c:strCache>
            </c:strRef>
          </c:cat>
          <c:val>
            <c:numRef>
              <c:f>'[AC Y DYA.xlsx]DISP AC'!$M$19:$M$25</c:f>
              <c:numCache>
                <c:formatCode>_(* #,##0.00_);_(* \(#,##0.00\);_(* "-"??_);_(@_)</c:formatCode>
                <c:ptCount val="7"/>
                <c:pt idx="0">
                  <c:v>986.20853015</c:v>
                </c:pt>
                <c:pt idx="1">
                  <c:v>358.04753375999996</c:v>
                </c:pt>
                <c:pt idx="2">
                  <c:v>482.10976646999995</c:v>
                </c:pt>
                <c:pt idx="3">
                  <c:v>9.17620288</c:v>
                </c:pt>
                <c:pt idx="4">
                  <c:v>292.03611511000003</c:v>
                </c:pt>
                <c:pt idx="5">
                  <c:v>199.83836250999997</c:v>
                </c:pt>
                <c:pt idx="6">
                  <c:v>79.631780980000002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4F6-4072-98C1-31E8ABDAA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DA5A-AE0E-47E9-A01E-44517298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14</Pages>
  <Words>4166</Words>
  <Characters>22919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250</cp:revision>
  <cp:lastPrinted>2020-06-23T17:42:00Z</cp:lastPrinted>
  <dcterms:created xsi:type="dcterms:W3CDTF">2020-03-20T15:31:00Z</dcterms:created>
  <dcterms:modified xsi:type="dcterms:W3CDTF">2020-06-23T17:42:00Z</dcterms:modified>
</cp:coreProperties>
</file>