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0</w:t>
      </w:r>
      <w:r w:rsidR="003B441B">
        <w:rPr>
          <w:rFonts w:ascii="Lucida Sans Unicode" w:hAnsi="Lucida Sans Unicode" w:cs="Lucida Sans Unicode"/>
          <w:b/>
          <w:color w:val="002060"/>
        </w:rPr>
        <w:t>7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185CA4" w:rsidRPr="00F856D0">
        <w:rPr>
          <w:rFonts w:ascii="Lucida Sans Unicode" w:hAnsi="Lucida Sans Unicode" w:cs="Lucida Sans Unicode"/>
          <w:b/>
          <w:color w:val="002060"/>
        </w:rPr>
        <w:t>0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3B441B">
        <w:rPr>
          <w:rFonts w:ascii="Lucida Sans Unicode" w:hAnsi="Lucida Sans Unicode" w:cs="Lucida Sans Unicode"/>
          <w:b/>
          <w:color w:val="002060"/>
        </w:rPr>
        <w:t>1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A64F8B" w:rsidRPr="00F856D0">
        <w:rPr>
          <w:rFonts w:ascii="Lucida Sans Unicode" w:hAnsi="Lucida Sans Unicode" w:cs="Lucida Sans Unicode"/>
          <w:b/>
          <w:color w:val="002060"/>
        </w:rPr>
        <w:t>ju</w:t>
      </w:r>
      <w:r w:rsidR="003B441B">
        <w:rPr>
          <w:rFonts w:ascii="Lucida Sans Unicode" w:hAnsi="Lucida Sans Unicode" w:cs="Lucida Sans Unicode"/>
          <w:b/>
          <w:color w:val="002060"/>
        </w:rPr>
        <w:t>l</w:t>
      </w:r>
      <w:r w:rsidR="00A64F8B" w:rsidRPr="00F856D0">
        <w:rPr>
          <w:rFonts w:ascii="Lucida Sans Unicode" w:hAnsi="Lucida Sans Unicode" w:cs="Lucida Sans Unicode"/>
          <w:b/>
          <w:color w:val="002060"/>
        </w:rPr>
        <w:t>io</w:t>
      </w:r>
      <w:r w:rsidR="00EA136C" w:rsidRPr="00F856D0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20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B34F43" w:rsidRDefault="000114A2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86044F">
        <w:rPr>
          <w:rFonts w:ascii="Lucida Sans Unicode" w:hAnsi="Lucida Sans Unicode" w:cs="Lucida Sans Unicode"/>
        </w:rPr>
        <w:t xml:space="preserve">1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5942F2" w:rsidRPr="00F856D0">
        <w:rPr>
          <w:rFonts w:ascii="Lucida Sans Unicode" w:hAnsi="Lucida Sans Unicode" w:cs="Lucida Sans Unicode"/>
        </w:rPr>
        <w:t>ju</w:t>
      </w:r>
      <w:r w:rsidR="0086044F">
        <w:rPr>
          <w:rFonts w:ascii="Lucida Sans Unicode" w:hAnsi="Lucida Sans Unicode" w:cs="Lucida Sans Unicode"/>
        </w:rPr>
        <w:t>l</w:t>
      </w:r>
      <w:r w:rsidR="005942F2" w:rsidRPr="00F856D0">
        <w:rPr>
          <w:rFonts w:ascii="Lucida Sans Unicode" w:hAnsi="Lucida Sans Unicode" w:cs="Lucida Sans Unicode"/>
        </w:rPr>
        <w:t>io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20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2E36AF" w:rsidRPr="00F856D0">
        <w:rPr>
          <w:rFonts w:ascii="Lucida Sans Unicode" w:hAnsi="Lucida Sans Unicode" w:cs="Lucida Sans Unicode"/>
        </w:rPr>
        <w:t>4</w:t>
      </w:r>
      <w:r w:rsidR="000D340D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4E69C2" w:rsidRPr="00F856D0">
        <w:rPr>
          <w:rFonts w:ascii="Lucida Sans Unicode" w:hAnsi="Lucida Sans Unicode" w:cs="Lucida Sans Unicode"/>
        </w:rPr>
        <w:t>8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C224F2">
        <w:rPr>
          <w:rFonts w:ascii="Lucida Sans Unicode" w:hAnsi="Lucida Sans Unicode" w:cs="Lucida Sans Unicode"/>
        </w:rPr>
        <w:t>490.5</w:t>
      </w:r>
      <w:proofErr w:type="gramEnd"/>
      <w:r w:rsidR="00C224F2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2498090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062355" w:rsidRDefault="000114A2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96.7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DFdmMD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062355" w:rsidRDefault="00CA5297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224F2">
        <w:rPr>
          <w:rFonts w:ascii="Lucida Sans Unicode" w:hAnsi="Lucida Sans Unicode" w:cs="Lucida Sans Unicode"/>
          <w:b/>
          <w:color w:val="1F497D" w:themeColor="text2"/>
        </w:rPr>
        <w:t>jul</w:t>
      </w:r>
      <w:r w:rsidR="00825C40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A14014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020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D627D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F74194" w:rsidRPr="00F856D0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2019AF" w:rsidRPr="00F856D0" w:rsidRDefault="00B2766A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0A3F568D" wp14:editId="7524E30F">
            <wp:extent cx="4572000" cy="2043113"/>
            <wp:effectExtent l="0" t="0" r="19050" b="14605"/>
            <wp:docPr id="7" name="Gráfico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8E5" w:rsidRPr="00F856D0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lastRenderedPageBreak/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F8582A" w:rsidRPr="00F856D0">
        <w:rPr>
          <w:rFonts w:ascii="Lucida Sans Unicode" w:hAnsi="Lucida Sans Unicode" w:cs="Lucida Sans Unicode"/>
        </w:rPr>
        <w:t>8,</w:t>
      </w:r>
      <w:r w:rsidR="00790F41">
        <w:rPr>
          <w:rFonts w:ascii="Lucida Sans Unicode" w:hAnsi="Lucida Sans Unicode" w:cs="Lucida Sans Unicode"/>
        </w:rPr>
        <w:t xml:space="preserve">490.5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AC0A41" w:rsidRPr="00F856D0">
        <w:rPr>
          <w:rFonts w:ascii="Lucida Sans Unicode" w:hAnsi="Lucida Sans Unicode" w:cs="Lucida Sans Unicode"/>
        </w:rPr>
        <w:t xml:space="preserve">4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790F41">
        <w:rPr>
          <w:rFonts w:ascii="Lucida Sans Unicode" w:hAnsi="Lucida Sans Unicode" w:cs="Lucida Sans Unicode"/>
        </w:rPr>
        <w:t>3</w:t>
      </w:r>
      <w:r w:rsidR="007211B5" w:rsidRPr="00F856D0">
        <w:rPr>
          <w:rFonts w:ascii="Lucida Sans Unicode" w:hAnsi="Lucida Sans Unicode" w:cs="Lucida Sans Unicode"/>
        </w:rPr>
        <w:t>,</w:t>
      </w:r>
      <w:r w:rsidR="00790F41">
        <w:rPr>
          <w:rFonts w:ascii="Lucida Sans Unicode" w:hAnsi="Lucida Sans Unicode" w:cs="Lucida Sans Unicode"/>
        </w:rPr>
        <w:t xml:space="preserve">109.5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71926" w:rsidRPr="00F856D0">
        <w:rPr>
          <w:rFonts w:ascii="Lucida Sans Unicode" w:hAnsi="Lucida Sans Unicode" w:cs="Lucida Sans Unicode"/>
        </w:rPr>
        <w:t>18</w:t>
      </w:r>
      <w:r w:rsidR="00F2723E" w:rsidRPr="00F856D0">
        <w:rPr>
          <w:rFonts w:ascii="Lucida Sans Unicode" w:hAnsi="Lucida Sans Unicode" w:cs="Lucida Sans Unicode"/>
        </w:rPr>
        <w:t>.</w:t>
      </w:r>
      <w:r w:rsidR="00671926" w:rsidRPr="00F856D0">
        <w:rPr>
          <w:rFonts w:ascii="Lucida Sans Unicode" w:hAnsi="Lucida Sans Unicode" w:cs="Lucida Sans Unicode"/>
        </w:rPr>
        <w:t>6</w:t>
      </w:r>
      <w:r w:rsidRPr="00F856D0">
        <w:rPr>
          <w:rFonts w:ascii="Lucida Sans Unicode" w:hAnsi="Lucida Sans Unicode" w:cs="Lucida Sans Unicode"/>
        </w:rPr>
        <w:t xml:space="preserve"> 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AC0A41" w:rsidRPr="00F856D0">
        <w:rPr>
          <w:rFonts w:ascii="Lucida Sans Unicode" w:hAnsi="Lucida Sans Unicode" w:cs="Lucida Sans Unicode"/>
        </w:rPr>
        <w:t>8</w:t>
      </w:r>
      <w:r w:rsidR="00790F41">
        <w:rPr>
          <w:rFonts w:ascii="Lucida Sans Unicode" w:hAnsi="Lucida Sans Unicode" w:cs="Lucida Sans Unicode"/>
        </w:rPr>
        <w:t>62</w:t>
      </w:r>
      <w:r w:rsidR="005A6949" w:rsidRPr="00F856D0">
        <w:rPr>
          <w:rFonts w:ascii="Lucida Sans Unicode" w:hAnsi="Lucida Sans Unicode" w:cs="Lucida Sans Unicode"/>
        </w:rPr>
        <w:t>.3</w:t>
      </w:r>
      <w:r w:rsidR="00DB629A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062355" w:rsidRDefault="000114A2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062355" w:rsidRDefault="00CA5297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06B30">
        <w:rPr>
          <w:rFonts w:ascii="Lucida Sans Unicode" w:hAnsi="Lucida Sans Unicode" w:cs="Lucida Sans Unicode"/>
          <w:b/>
          <w:color w:val="1F497D" w:themeColor="text2"/>
        </w:rPr>
        <w:t>jul</w:t>
      </w:r>
      <w:r w:rsidR="00671926" w:rsidRPr="00F856D0">
        <w:rPr>
          <w:rFonts w:ascii="Lucida Sans Unicode" w:hAnsi="Lucida Sans Unicode" w:cs="Lucida Sans Unicode"/>
          <w:b/>
          <w:color w:val="1F497D" w:themeColor="text2"/>
        </w:rPr>
        <w:t xml:space="preserve">io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406B30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34B6E5E6" wp14:editId="47D1E4CB">
            <wp:extent cx="5362575" cy="2952750"/>
            <wp:effectExtent l="0" t="0" r="9525" b="19050"/>
            <wp:docPr id="9" name="Gráfico 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A2" w:rsidRPr="0011037E" w:rsidRDefault="000114A2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11037E" w:rsidRDefault="00CA5297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F2E8D" w:rsidRPr="00F856D0" w:rsidRDefault="006F2E8D" w:rsidP="006F2E8D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color w:val="000000" w:themeColor="text1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ED1850">
        <w:rPr>
          <w:rFonts w:ascii="Lucida Sans Unicode" w:hAnsi="Lucida Sans Unicode" w:cs="Lucida Sans Unicode"/>
          <w:color w:val="000000" w:themeColor="text1"/>
        </w:rPr>
        <w:t>20 (jul</w:t>
      </w:r>
      <w:r w:rsidR="00074A21">
        <w:rPr>
          <w:rFonts w:ascii="Lucida Sans Unicode" w:hAnsi="Lucida Sans Unicode" w:cs="Lucida Sans Unicode"/>
          <w:color w:val="000000" w:themeColor="text1"/>
        </w:rPr>
        <w:t>io)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1926" w:rsidRPr="00F856D0">
        <w:rPr>
          <w:rFonts w:ascii="Lucida Sans Unicode" w:hAnsi="Lucida Sans Unicode" w:cs="Lucida Sans Unicode"/>
          <w:color w:val="000000" w:themeColor="text1"/>
        </w:rPr>
        <w:t>7</w:t>
      </w:r>
      <w:r w:rsidR="009F75A3">
        <w:rPr>
          <w:rFonts w:ascii="Lucida Sans Unicode" w:hAnsi="Lucida Sans Unicode" w:cs="Lucida Sans Unicode"/>
          <w:color w:val="000000" w:themeColor="text1"/>
        </w:rPr>
        <w:t>44.6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F856D0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>Período</w:t>
      </w:r>
      <w:r w:rsidR="0044544B"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A04BED" w:rsidRPr="00F856D0">
        <w:rPr>
          <w:rFonts w:ascii="Lucida Sans Unicode" w:hAnsi="Lucida Sans Unicode" w:cs="Lucida Sans Unicode"/>
          <w:color w:val="1F497D" w:themeColor="text2"/>
        </w:rPr>
        <w:t>201</w:t>
      </w:r>
      <w:r w:rsidR="00023E22" w:rsidRPr="00F856D0">
        <w:rPr>
          <w:rFonts w:ascii="Lucida Sans Unicode" w:hAnsi="Lucida Sans Unicode" w:cs="Lucida Sans Unicode"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CA3460" w:rsidRPr="00F856D0">
        <w:rPr>
          <w:rFonts w:ascii="Lucida Sans Unicode" w:hAnsi="Lucida Sans Unicode" w:cs="Lucida Sans Unicode"/>
          <w:color w:val="1F497D" w:themeColor="text2"/>
        </w:rPr>
        <w:t>a</w:t>
      </w:r>
      <w:r w:rsidR="00A45A1B"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A84B6B">
        <w:rPr>
          <w:rFonts w:ascii="Lucida Sans Unicode" w:hAnsi="Lucida Sans Unicode" w:cs="Lucida Sans Unicode"/>
          <w:color w:val="1F497D" w:themeColor="text2"/>
        </w:rPr>
        <w:t>jul</w:t>
      </w:r>
      <w:r w:rsidR="00E95736" w:rsidRPr="00F856D0">
        <w:rPr>
          <w:rFonts w:ascii="Lucida Sans Unicode" w:hAnsi="Lucida Sans Unicode" w:cs="Lucida Sans Unicode"/>
          <w:color w:val="1F497D" w:themeColor="text2"/>
        </w:rPr>
        <w:t>io</w:t>
      </w:r>
      <w:r w:rsidR="00174DA2"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BE0459" w:rsidRPr="00F856D0">
        <w:rPr>
          <w:rFonts w:ascii="Lucida Sans Unicode" w:hAnsi="Lucida Sans Unicode" w:cs="Lucida Sans Unicode"/>
          <w:color w:val="1F497D" w:themeColor="text2"/>
        </w:rPr>
        <w:t>20</w:t>
      </w:r>
      <w:r w:rsidR="00B30FD7" w:rsidRPr="00F856D0">
        <w:rPr>
          <w:rFonts w:ascii="Lucida Sans Unicode" w:hAnsi="Lucida Sans Unicode" w:cs="Lucida Sans Unicode"/>
          <w:color w:val="1F497D" w:themeColor="text2"/>
        </w:rPr>
        <w:t>20</w:t>
      </w:r>
      <w:r w:rsidR="00255FFA"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2/</w:t>
      </w:r>
    </w:p>
    <w:p w:rsidR="00C11D0C" w:rsidRPr="00F856D0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3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026"/>
        <w:gridCol w:w="778"/>
        <w:gridCol w:w="2238"/>
        <w:gridCol w:w="800"/>
        <w:gridCol w:w="1412"/>
        <w:gridCol w:w="1084"/>
      </w:tblGrid>
      <w:tr w:rsidR="005C020D" w:rsidRPr="00F856D0" w:rsidTr="00071DA6">
        <w:trPr>
          <w:trHeight w:val="1198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Jul</w:t>
            </w:r>
            <w:r w:rsidR="001B280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io 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7E67C5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</w:t>
            </w:r>
            <w:r w:rsidR="007E67C5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37.2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7E67C5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 xml:space="preserve">  744.6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06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55FFA" w:rsidRPr="00F856D0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1/ Incluye, entre otros, gastos de funcionamiento e impuestos.</w:t>
      </w:r>
    </w:p>
    <w:p w:rsidR="00DD40AE" w:rsidRPr="00F856D0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 xml:space="preserve">2/ </w:t>
      </w:r>
      <w:r w:rsidR="00DD40AE" w:rsidRPr="00F856D0">
        <w:rPr>
          <w:rFonts w:ascii="Lucida Sans Unicode" w:hAnsi="Lucida Sans Unicode" w:cs="Lucida Sans Unicode"/>
        </w:rPr>
        <w:t xml:space="preserve">Corresponde al total de </w:t>
      </w:r>
      <w:r w:rsidR="000F69EC" w:rsidRPr="00F856D0">
        <w:rPr>
          <w:rFonts w:ascii="Lucida Sans Unicode" w:hAnsi="Lucida Sans Unicode" w:cs="Lucida Sans Unicode"/>
        </w:rPr>
        <w:t>fideicomisos Vigentes</w:t>
      </w:r>
      <w:r w:rsidR="00DD40AE" w:rsidRPr="00F856D0">
        <w:rPr>
          <w:rFonts w:ascii="Lucida Sans Unicode" w:hAnsi="Lucida Sans Unicode" w:cs="Lucida Sans Unicode"/>
        </w:rPr>
        <w:t xml:space="preserve"> al 31 de diciembre de cada año</w:t>
      </w:r>
    </w:p>
    <w:p w:rsidR="00A27EA8" w:rsidRPr="00F856D0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</w:t>
      </w:r>
      <w:r w:rsidR="005545BD" w:rsidRPr="00F856D0">
        <w:rPr>
          <w:rFonts w:ascii="Lucida Sans Unicode" w:hAnsi="Lucida Sans Unicode" w:cs="Lucida Sans Unicode"/>
          <w:color w:val="000000"/>
        </w:rPr>
        <w:t>uente</w:t>
      </w:r>
      <w:r w:rsidRPr="00F856D0">
        <w:rPr>
          <w:rFonts w:ascii="Lucida Sans Unicode" w:hAnsi="Lucida Sans Unicode" w:cs="Lucida Sans Unicode"/>
          <w:color w:val="00000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y a </w:t>
      </w:r>
      <w:r w:rsidR="000114A2">
        <w:rPr>
          <w:rFonts w:ascii="Lucida Sans Unicode" w:hAnsi="Lucida Sans Unicode" w:cs="Lucida Sans Unicode"/>
          <w:color w:val="000000" w:themeColor="text1"/>
        </w:rPr>
        <w:t>jul</w:t>
      </w:r>
      <w:r w:rsidR="0096428B" w:rsidRPr="00F856D0">
        <w:rPr>
          <w:rFonts w:ascii="Lucida Sans Unicode" w:hAnsi="Lucida Sans Unicode" w:cs="Lucida Sans Unicode"/>
          <w:color w:val="000000" w:themeColor="text1"/>
        </w:rPr>
        <w:t>io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0114A2">
        <w:rPr>
          <w:rFonts w:ascii="Lucida Sans Unicode" w:hAnsi="Lucida Sans Unicode" w:cs="Lucida Sans Unicode"/>
          <w:color w:val="000000" w:themeColor="text1"/>
        </w:rPr>
        <w:t>698,192.56</w:t>
      </w:r>
      <w:r w:rsidR="003C256B" w:rsidRPr="00F856D0">
        <w:rPr>
          <w:rFonts w:ascii="Lucida Sans Unicode" w:hAnsi="Lucida Sans Unicode" w:cs="Lucida Sans Unicode"/>
          <w:color w:val="000000" w:themeColor="text1"/>
        </w:rPr>
        <w:t xml:space="preserve"> quetzales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C97164" w:rsidP="00334D39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334D39" w:rsidRPr="00F856D0" w:rsidRDefault="00C97164" w:rsidP="003C7333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F856D0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Q</w:t>
      </w:r>
      <w:r w:rsidR="00A60BAF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F856D0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.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F856D0">
        <w:rPr>
          <w:rFonts w:ascii="Lucida Sans Unicode" w:hAnsi="Lucida Sans Unicode" w:cs="Lucida Sans Unicode"/>
          <w:color w:val="000000" w:themeColor="text1"/>
        </w:rPr>
        <w:t>A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4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1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F856D0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F856D0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F856D0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. A </w:t>
      </w:r>
      <w:r w:rsidR="00285784">
        <w:rPr>
          <w:rFonts w:ascii="Lucida Sans Unicode" w:hAnsi="Lucida Sans Unicode" w:cs="Lucida Sans Unicode"/>
          <w:color w:val="000000" w:themeColor="text1"/>
        </w:rPr>
        <w:t>jul</w:t>
      </w:r>
      <w:r w:rsidR="00CB7E93" w:rsidRPr="00F856D0">
        <w:rPr>
          <w:rFonts w:ascii="Lucida Sans Unicode" w:hAnsi="Lucida Sans Unicode" w:cs="Lucida Sans Unicode"/>
          <w:color w:val="000000" w:themeColor="text1"/>
        </w:rPr>
        <w:t>io</w:t>
      </w:r>
      <w:r w:rsidR="00F61C2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F856D0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6</w:t>
      </w:r>
      <w:r w:rsidR="00C1495F">
        <w:rPr>
          <w:rFonts w:ascii="Lucida Sans Unicode" w:hAnsi="Lucida Sans Unicode" w:cs="Lucida Sans Unicode"/>
          <w:color w:val="000000" w:themeColor="text1"/>
        </w:rPr>
        <w:t>99,950.9</w:t>
      </w:r>
      <w:r w:rsidR="00AF726A" w:rsidRPr="00F856D0">
        <w:rPr>
          <w:rFonts w:ascii="Lucida Sans Unicode" w:hAnsi="Lucida Sans Unicode" w:cs="Lucida Sans Unicode"/>
          <w:color w:val="000000" w:themeColor="text1"/>
        </w:rPr>
        <w:t xml:space="preserve"> quetzales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F856D0" w:rsidRDefault="006A4B98" w:rsidP="006A4B98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Pr="00F856D0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 xml:space="preserve">3. </w:t>
                            </w:r>
                            <w:r w:rsidR="00B819D0"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 xml:space="preserve">3. </w:t>
                      </w:r>
                      <w:r w:rsidR="00B819D0">
                        <w:rPr>
                          <w:b/>
                          <w:color w:val="FFFFFF" w:themeColor="background1"/>
                          <w:lang w:val="es-GT"/>
                        </w:rPr>
                        <w:t>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9F6F7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819D0">
        <w:rPr>
          <w:rFonts w:ascii="Lucida Sans Unicode" w:hAnsi="Lucida Sans Unicode" w:cs="Lucida Sans Unicode"/>
          <w:color w:val="000000" w:themeColor="text1"/>
        </w:rPr>
        <w:t>jul</w:t>
      </w:r>
      <w:r w:rsidR="00043ECD" w:rsidRPr="00F856D0">
        <w:rPr>
          <w:rFonts w:ascii="Lucida Sans Unicode" w:hAnsi="Lucida Sans Unicode" w:cs="Lucida Sans Unicode"/>
          <w:color w:val="000000" w:themeColor="text1"/>
        </w:rPr>
        <w:t>io</w:t>
      </w:r>
      <w:r w:rsidR="0093527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862737">
        <w:rPr>
          <w:rFonts w:ascii="Lucida Sans Unicode" w:hAnsi="Lucida Sans Unicode" w:cs="Lucida Sans Unicode"/>
        </w:rPr>
        <w:t>268.8</w:t>
      </w:r>
      <w:r w:rsidR="0093527F" w:rsidRPr="00F856D0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56747" w:rsidRPr="00F856D0">
        <w:rPr>
          <w:rFonts w:ascii="Lucida Sans Unicode" w:hAnsi="Lucida Sans Unicode" w:cs="Lucida Sans Unicode"/>
          <w:b/>
          <w:color w:val="1F497D" w:themeColor="text2"/>
        </w:rPr>
        <w:t>ju</w:t>
      </w:r>
      <w:r w:rsidR="00862737">
        <w:rPr>
          <w:rFonts w:ascii="Lucida Sans Unicode" w:hAnsi="Lucida Sans Unicode" w:cs="Lucida Sans Unicode"/>
          <w:b/>
          <w:color w:val="1F497D" w:themeColor="text2"/>
        </w:rPr>
        <w:t>l</w:t>
      </w:r>
      <w:r w:rsidR="00F56747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FF774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994B6A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noProof/>
          <w:lang w:val="es-GT" w:eastAsia="es-GT"/>
        </w:rPr>
        <w:drawing>
          <wp:inline distT="0" distB="0" distL="0" distR="0" wp14:anchorId="40133515" wp14:editId="54A853AD">
            <wp:extent cx="5229225" cy="2214563"/>
            <wp:effectExtent l="0" t="0" r="9525" b="14605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Pr="00F856D0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CA5297" w:rsidRDefault="00CA5297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11037E" w:rsidRDefault="00CA5297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Pr="00F856D0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A5AEF">
        <w:rPr>
          <w:rFonts w:ascii="Lucida Sans Unicode" w:hAnsi="Lucida Sans Unicode" w:cs="Lucida Sans Unicode"/>
          <w:sz w:val="22"/>
          <w:szCs w:val="22"/>
        </w:rPr>
        <w:t>jul</w:t>
      </w:r>
      <w:r w:rsidR="00D02BA5" w:rsidRPr="00F856D0">
        <w:rPr>
          <w:rFonts w:ascii="Lucida Sans Unicode" w:hAnsi="Lucida Sans Unicode" w:cs="Lucida Sans Unicode"/>
          <w:sz w:val="22"/>
          <w:szCs w:val="22"/>
        </w:rPr>
        <w:t>io</w:t>
      </w:r>
      <w:r w:rsidR="00636FFC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, ascienden a 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DA5AEF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144.5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071DA6" w:rsidRPr="00F856D0" w:rsidRDefault="00071DA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A5AEF">
        <w:rPr>
          <w:rFonts w:ascii="Lucida Sans Unicode" w:hAnsi="Lucida Sans Unicode" w:cs="Lucida Sans Unicode"/>
          <w:b/>
          <w:color w:val="1F497D" w:themeColor="text2"/>
        </w:rPr>
        <w:t>jul</w:t>
      </w:r>
      <w:r w:rsidR="006E07F3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3278D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730CF2" w:rsidRPr="00F856D0" w:rsidRDefault="00730CF2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</w:rPr>
      </w:pPr>
    </w:p>
    <w:p w:rsidR="001425A8" w:rsidRPr="00F856D0" w:rsidRDefault="004C33A7" w:rsidP="004C33A7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  <w:r w:rsidRPr="004C33A7">
        <w:rPr>
          <w:noProof/>
          <w:lang w:val="es-GT" w:eastAsia="es-GT"/>
        </w:rPr>
        <w:drawing>
          <wp:inline distT="0" distB="0" distL="0" distR="0">
            <wp:extent cx="6256968" cy="23336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68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F856D0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vertAlign w:val="superscript"/>
        </w:rPr>
        <w:t xml:space="preserve">1/ </w:t>
      </w:r>
      <w:r w:rsidRPr="00F856D0">
        <w:rPr>
          <w:rFonts w:ascii="Lucida Sans Unicode" w:hAnsi="Lucida Sans Unicode" w:cs="Lucida Sans Unicode"/>
        </w:rPr>
        <w:t xml:space="preserve">Incluye, entre otros, </w:t>
      </w:r>
      <w:r w:rsidR="003E323E" w:rsidRPr="00F856D0">
        <w:rPr>
          <w:rFonts w:ascii="Lucida Sans Unicode" w:hAnsi="Lucida Sans Unicode" w:cs="Lucida Sans Unicode"/>
        </w:rPr>
        <w:t>gastos anticipados, activos extraordinarios, cargos diferidos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cuentas por cobrar, i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nmuebles </w:t>
      </w:r>
      <w:r w:rsidR="003E323E" w:rsidRPr="00F856D0">
        <w:rPr>
          <w:rFonts w:ascii="Lucida Sans Unicode" w:hAnsi="Lucida Sans Unicode" w:cs="Lucida Sans Unicode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4C33A7" w:rsidRDefault="004C33A7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4C33A7" w:rsidRDefault="004C33A7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4C33A7" w:rsidRDefault="004C33A7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4C33A7" w:rsidRDefault="004C33A7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7B2CD9" w:rsidRDefault="007B2CD9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11037E" w:rsidRDefault="00CA5297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95E23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>muestra a jul</w:t>
      </w:r>
      <w:r w:rsidR="007C2FC6" w:rsidRPr="00F856D0">
        <w:rPr>
          <w:rFonts w:ascii="Lucida Sans Unicode" w:hAnsi="Lucida Sans Unicode" w:cs="Lucida Sans Unicode"/>
          <w:color w:val="000000"/>
        </w:rPr>
        <w:t xml:space="preserve">io </w:t>
      </w:r>
      <w:r w:rsidR="00D66F19" w:rsidRPr="00F856D0">
        <w:rPr>
          <w:rFonts w:ascii="Lucida Sans Unicode" w:hAnsi="Lucida Sans Unicode" w:cs="Lucida Sans Unicode"/>
          <w:color w:val="000000"/>
        </w:rPr>
        <w:t>2020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CB1650">
        <w:rPr>
          <w:rFonts w:ascii="Lucida Sans Unicode" w:hAnsi="Lucida Sans Unicode" w:cs="Lucida Sans Unicode"/>
          <w:color w:val="000000"/>
        </w:rPr>
        <w:t>4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CB1650">
        <w:rPr>
          <w:rFonts w:ascii="Lucida Sans Unicode" w:hAnsi="Lucida Sans Unicode" w:cs="Lucida Sans Unicode"/>
          <w:color w:val="000000"/>
        </w:rPr>
        <w:t>6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CB1650">
        <w:rPr>
          <w:rFonts w:ascii="Lucida Sans Unicode" w:hAnsi="Lucida Sans Unicode" w:cs="Lucida Sans Unicode"/>
          <w:color w:val="000000"/>
        </w:rPr>
        <w:t>3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27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071DA6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0B415D">
        <w:rPr>
          <w:rFonts w:ascii="Lucida Sans Unicode" w:hAnsi="Lucida Sans Unicode" w:cs="Lucida Sans Unicode"/>
          <w:b/>
          <w:color w:val="1F497D" w:themeColor="text2"/>
        </w:rPr>
        <w:t>jul</w:t>
      </w:r>
      <w:r w:rsidR="00E662BB" w:rsidRPr="00F856D0">
        <w:rPr>
          <w:rFonts w:ascii="Lucida Sans Unicode" w:hAnsi="Lucida Sans Unicode" w:cs="Lucida Sans Unicode"/>
          <w:b/>
          <w:color w:val="1F497D" w:themeColor="text2"/>
        </w:rPr>
        <w:t xml:space="preserve">io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CF6794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86716" w:rsidRPr="00F856D0" w:rsidRDefault="00086716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A0F4A" w:rsidRPr="00F856D0" w:rsidRDefault="000B415D" w:rsidP="004F26CF">
      <w:pPr>
        <w:jc w:val="center"/>
        <w:rPr>
          <w:rFonts w:ascii="Lucida Sans Unicode" w:hAnsi="Lucida Sans Unicode" w:cs="Lucida Sans Unicode"/>
        </w:rPr>
      </w:pPr>
      <w:r w:rsidRPr="000B415D">
        <w:rPr>
          <w:noProof/>
          <w:lang w:val="es-GT" w:eastAsia="es-GT"/>
        </w:rPr>
        <w:drawing>
          <wp:inline distT="0" distB="0" distL="0" distR="0" wp14:anchorId="6FB5B2A5" wp14:editId="28934F64">
            <wp:extent cx="6156960" cy="154319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F856D0" w:rsidRDefault="00EE5A18" w:rsidP="004F26CF">
      <w:pPr>
        <w:jc w:val="center"/>
        <w:rPr>
          <w:rFonts w:ascii="Lucida Sans Unicode" w:hAnsi="Lucida Sans Unicode" w:cs="Lucida Sans Unicode"/>
        </w:rPr>
      </w:pPr>
    </w:p>
    <w:p w:rsidR="001C178A" w:rsidRPr="00F856D0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  </w:t>
      </w:r>
      <w:r w:rsidR="00FC506B" w:rsidRPr="00F856D0">
        <w:rPr>
          <w:rFonts w:ascii="Lucida Sans Unicode" w:hAnsi="Lucida Sans Unicode" w:cs="Lucida Sans Unicode"/>
          <w:color w:val="00000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Pr="00F856D0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23D85">
        <w:rPr>
          <w:rFonts w:ascii="Lucida Sans Unicode" w:hAnsi="Lucida Sans Unicode" w:cs="Lucida Sans Unicode"/>
          <w:color w:val="000000"/>
        </w:rPr>
        <w:t>jul</w:t>
      </w:r>
      <w:r w:rsidR="008B7A53" w:rsidRPr="00F856D0">
        <w:rPr>
          <w:rFonts w:ascii="Lucida Sans Unicode" w:hAnsi="Lucida Sans Unicode" w:cs="Lucida Sans Unicode"/>
          <w:color w:val="000000"/>
        </w:rPr>
        <w:t>io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AB2C7A" w:rsidRPr="00F856D0">
        <w:rPr>
          <w:rFonts w:ascii="Lucida Sans Unicode" w:hAnsi="Lucida Sans Unicode" w:cs="Lucida Sans Unicode"/>
          <w:color w:val="000000"/>
        </w:rPr>
        <w:t>20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FE7356">
        <w:rPr>
          <w:rFonts w:ascii="Lucida Sans Unicode" w:hAnsi="Lucida Sans Unicode" w:cs="Lucida Sans Unicode"/>
          <w:color w:val="000000"/>
        </w:rPr>
        <w:t>399.5</w:t>
      </w:r>
      <w:proofErr w:type="gramEnd"/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FD1E42">
        <w:rPr>
          <w:rFonts w:ascii="Lucida Sans Unicode" w:hAnsi="Lucida Sans Unicode" w:cs="Lucida Sans Unicode"/>
          <w:color w:val="000000"/>
        </w:rPr>
        <w:t xml:space="preserve">junio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,2</w:t>
      </w:r>
      <w:r w:rsidR="005B39E0" w:rsidRPr="00F856D0">
        <w:rPr>
          <w:rFonts w:ascii="Lucida Sans Unicode" w:hAnsi="Lucida Sans Unicode" w:cs="Lucida Sans Unicode"/>
          <w:color w:val="000000"/>
        </w:rPr>
        <w:t>9</w:t>
      </w:r>
      <w:r w:rsidR="00FD1E42">
        <w:rPr>
          <w:rFonts w:ascii="Lucida Sans Unicode" w:hAnsi="Lucida Sans Unicode" w:cs="Lucida Sans Unicode"/>
          <w:color w:val="000000"/>
        </w:rPr>
        <w:t>6.9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16DC7" w:rsidRPr="00F856D0">
        <w:rPr>
          <w:rFonts w:ascii="Lucida Sans Unicode" w:hAnsi="Lucida Sans Unicode" w:cs="Lucida Sans Unicode"/>
          <w:color w:val="000000"/>
        </w:rPr>
        <w:t>inc</w:t>
      </w:r>
      <w:r w:rsidR="006611BA" w:rsidRPr="00F856D0">
        <w:rPr>
          <w:rFonts w:ascii="Lucida Sans Unicode" w:hAnsi="Lucida Sans Unicode" w:cs="Lucida Sans Unicode"/>
          <w:color w:val="000000"/>
        </w:rPr>
        <w:t>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25F15" w:rsidRPr="00F856D0">
        <w:rPr>
          <w:rFonts w:ascii="Lucida Sans Unicode" w:hAnsi="Lucida Sans Unicode" w:cs="Lucida Sans Unicode"/>
          <w:b/>
          <w:color w:val="1F497D" w:themeColor="text2"/>
        </w:rPr>
        <w:t xml:space="preserve"> junio</w:t>
      </w:r>
      <w:r w:rsidR="00B23D85">
        <w:rPr>
          <w:rFonts w:ascii="Lucida Sans Unicode" w:hAnsi="Lucida Sans Unicode" w:cs="Lucida Sans Unicode"/>
          <w:b/>
          <w:color w:val="1F497D" w:themeColor="text2"/>
        </w:rPr>
        <w:t xml:space="preserve"> - julio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194FDC" w:rsidRPr="00F856D0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9705F9" w:rsidRPr="00F856D0" w:rsidRDefault="009705F9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596095" w:rsidRPr="00F856D0" w:rsidRDefault="00FE7356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FE7356">
        <w:rPr>
          <w:noProof/>
          <w:lang w:val="es-GT" w:eastAsia="es-GT"/>
        </w:rPr>
        <w:drawing>
          <wp:inline distT="0" distB="0" distL="0" distR="0" wp14:anchorId="321FFC2D" wp14:editId="101A24F1">
            <wp:extent cx="6156960" cy="1386588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3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F856D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</w:p>
    <w:p w:rsidR="009D36E0" w:rsidRPr="00F856D0" w:rsidRDefault="009D36E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ha sido decreciente 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en los últimos años, </w:t>
      </w:r>
      <w:r w:rsidRPr="00F856D0">
        <w:rPr>
          <w:rFonts w:ascii="Lucida Sans Unicode" w:hAnsi="Lucida Sans Unicode" w:cs="Lucida Sans Unicode"/>
          <w:color w:val="000000"/>
        </w:rPr>
        <w:t xml:space="preserve">marcándose una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disminución </w:t>
      </w:r>
      <w:r w:rsidRPr="00F856D0">
        <w:rPr>
          <w:rFonts w:ascii="Lucida Sans Unicode" w:hAnsi="Lucida Sans Unicode" w:cs="Lucida Sans Unicode"/>
          <w:color w:val="000000"/>
        </w:rPr>
        <w:t xml:space="preserve">sostenida </w:t>
      </w:r>
      <w:r w:rsidR="0099741A" w:rsidRPr="00F856D0">
        <w:rPr>
          <w:rFonts w:ascii="Lucida Sans Unicode" w:hAnsi="Lucida Sans Unicode" w:cs="Lucida Sans Unicode"/>
          <w:color w:val="000000"/>
        </w:rPr>
        <w:t>a partir del año 201</w:t>
      </w:r>
      <w:r w:rsidR="007B658F" w:rsidRPr="00F856D0">
        <w:rPr>
          <w:rFonts w:ascii="Lucida Sans Unicode" w:hAnsi="Lucida Sans Unicode" w:cs="Lucida Sans Unicode"/>
          <w:color w:val="000000"/>
        </w:rPr>
        <w:t>4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refleja a su vez un deterioro en la calidad de dicha cartera, generándose un incremento de la cartera vencida, que pasó de un </w:t>
      </w:r>
      <w:r w:rsidR="0084466B" w:rsidRPr="00F856D0">
        <w:rPr>
          <w:rFonts w:ascii="Lucida Sans Unicode" w:hAnsi="Lucida Sans Unicode" w:cs="Lucida Sans Unicode"/>
          <w:color w:val="000000"/>
        </w:rPr>
        <w:t>32% de la cartera total en 2015</w:t>
      </w:r>
      <w:r w:rsidRPr="00F856D0">
        <w:rPr>
          <w:rFonts w:ascii="Lucida Sans Unicode" w:hAnsi="Lucida Sans Unicode" w:cs="Lucida Sans Unicode"/>
          <w:color w:val="000000"/>
        </w:rPr>
        <w:t>, a un</w:t>
      </w:r>
      <w:r w:rsidR="005528E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A050C" w:rsidRPr="00F856D0">
        <w:rPr>
          <w:rFonts w:ascii="Lucida Sans Unicode" w:hAnsi="Lucida Sans Unicode" w:cs="Lucida Sans Unicode"/>
          <w:color w:val="000000"/>
        </w:rPr>
        <w:t>3</w:t>
      </w:r>
      <w:r w:rsidR="00FE7356">
        <w:rPr>
          <w:rFonts w:ascii="Lucida Sans Unicode" w:hAnsi="Lucida Sans Unicode" w:cs="Lucida Sans Unicode"/>
          <w:color w:val="000000"/>
        </w:rPr>
        <w:t>6</w:t>
      </w:r>
      <w:r w:rsidRPr="00F856D0">
        <w:rPr>
          <w:rFonts w:ascii="Lucida Sans Unicode" w:hAnsi="Lucida Sans Unicode" w:cs="Lucida Sans Unicode"/>
          <w:color w:val="000000"/>
        </w:rPr>
        <w:t xml:space="preserve">% a </w:t>
      </w:r>
      <w:r w:rsidR="00FE7356">
        <w:rPr>
          <w:rFonts w:ascii="Lucida Sans Unicode" w:hAnsi="Lucida Sans Unicode" w:cs="Lucida Sans Unicode"/>
          <w:color w:val="000000"/>
        </w:rPr>
        <w:t>jul</w:t>
      </w:r>
      <w:r w:rsidR="003B3B52" w:rsidRPr="00F856D0">
        <w:rPr>
          <w:rFonts w:ascii="Lucida Sans Unicode" w:hAnsi="Lucida Sans Unicode" w:cs="Lucida Sans Unicode"/>
          <w:color w:val="000000"/>
        </w:rPr>
        <w:t>io</w:t>
      </w:r>
      <w:r w:rsidR="008C7EAF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17550" w:rsidRPr="00F856D0">
        <w:rPr>
          <w:rFonts w:ascii="Lucida Sans Unicode" w:hAnsi="Lucida Sans Unicode" w:cs="Lucida Sans Unicode"/>
          <w:color w:val="000000"/>
        </w:rPr>
        <w:t>20</w:t>
      </w:r>
      <w:r w:rsidR="00EE7C91" w:rsidRPr="00F856D0">
        <w:rPr>
          <w:rFonts w:ascii="Lucida Sans Unicode" w:hAnsi="Lucida Sans Unicode" w:cs="Lucida Sans Unicode"/>
          <w:color w:val="000000"/>
        </w:rPr>
        <w:t>20</w:t>
      </w:r>
      <w:r w:rsidR="008C7EAF" w:rsidRPr="00F856D0">
        <w:rPr>
          <w:rFonts w:ascii="Lucida Sans Unicode" w:hAnsi="Lucida Sans Unicode" w:cs="Lucida Sans Unicode"/>
          <w:color w:val="000000"/>
        </w:rPr>
        <w:t>.</w:t>
      </w:r>
      <w:r w:rsidR="009705F9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En contraste, la cartera vigente 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pasó de un </w:t>
      </w:r>
      <w:r w:rsidR="0084466B" w:rsidRPr="00F856D0">
        <w:rPr>
          <w:rFonts w:ascii="Lucida Sans Unicode" w:hAnsi="Lucida Sans Unicode" w:cs="Lucida Sans Unicode"/>
          <w:color w:val="000000"/>
        </w:rPr>
        <w:t>68</w:t>
      </w:r>
      <w:r w:rsidR="007B658F" w:rsidRPr="00F856D0">
        <w:rPr>
          <w:rFonts w:ascii="Lucida Sans Unicode" w:hAnsi="Lucida Sans Unicode" w:cs="Lucida Sans Unicode"/>
          <w:color w:val="000000"/>
        </w:rPr>
        <w:t>% en 201</w:t>
      </w:r>
      <w:r w:rsidR="0084466B" w:rsidRPr="00F856D0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, al </w:t>
      </w:r>
      <w:r w:rsidR="00A676D3" w:rsidRPr="00F856D0">
        <w:rPr>
          <w:rFonts w:ascii="Lucida Sans Unicode" w:hAnsi="Lucida Sans Unicode" w:cs="Lucida Sans Unicode"/>
          <w:color w:val="000000"/>
        </w:rPr>
        <w:t>6</w:t>
      </w:r>
      <w:r w:rsidR="00FE7356">
        <w:rPr>
          <w:rFonts w:ascii="Lucida Sans Unicode" w:hAnsi="Lucida Sans Unicode" w:cs="Lucida Sans Unicode"/>
          <w:color w:val="000000"/>
        </w:rPr>
        <w:t>4</w:t>
      </w:r>
      <w:r w:rsidR="007B658F" w:rsidRPr="00F856D0">
        <w:rPr>
          <w:rFonts w:ascii="Lucida Sans Unicode" w:hAnsi="Lucida Sans Unicode" w:cs="Lucida Sans Unicode"/>
          <w:color w:val="000000"/>
        </w:rPr>
        <w:t>%</w:t>
      </w:r>
      <w:r w:rsidR="0051424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14510" w:rsidRPr="00F856D0">
        <w:rPr>
          <w:rFonts w:ascii="Lucida Sans Unicode" w:hAnsi="Lucida Sans Unicode" w:cs="Lucida Sans Unicode"/>
          <w:color w:val="000000"/>
        </w:rPr>
        <w:t>a</w:t>
      </w:r>
      <w:r w:rsidR="00F12A9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3B3B52" w:rsidRPr="00F856D0">
        <w:rPr>
          <w:rFonts w:ascii="Lucida Sans Unicode" w:hAnsi="Lucida Sans Unicode" w:cs="Lucida Sans Unicode"/>
          <w:color w:val="000000"/>
        </w:rPr>
        <w:t>ju</w:t>
      </w:r>
      <w:r w:rsidR="00FE7356">
        <w:rPr>
          <w:rFonts w:ascii="Lucida Sans Unicode" w:hAnsi="Lucida Sans Unicode" w:cs="Lucida Sans Unicode"/>
          <w:color w:val="000000"/>
        </w:rPr>
        <w:t>l</w:t>
      </w:r>
      <w:r w:rsidR="003B3B52" w:rsidRPr="00F856D0">
        <w:rPr>
          <w:rFonts w:ascii="Lucida Sans Unicode" w:hAnsi="Lucida Sans Unicode" w:cs="Lucida Sans Unicode"/>
          <w:color w:val="000000"/>
        </w:rPr>
        <w:t>io</w:t>
      </w:r>
      <w:r w:rsidR="00A676D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C7F32" w:rsidRPr="00F856D0">
        <w:rPr>
          <w:rFonts w:ascii="Lucida Sans Unicode" w:hAnsi="Lucida Sans Unicode" w:cs="Lucida Sans Unicode"/>
          <w:color w:val="000000"/>
        </w:rPr>
        <w:t>de 20</w:t>
      </w:r>
      <w:r w:rsidR="00A676D3" w:rsidRPr="00F856D0">
        <w:rPr>
          <w:rFonts w:ascii="Lucida Sans Unicode" w:hAnsi="Lucida Sans Unicode" w:cs="Lucida Sans Unicode"/>
          <w:color w:val="000000"/>
        </w:rPr>
        <w:t>20</w:t>
      </w:r>
      <w:r w:rsidR="007B658F" w:rsidRPr="00F856D0">
        <w:rPr>
          <w:rFonts w:ascii="Lucida Sans Unicode" w:hAnsi="Lucida Sans Unicode" w:cs="Lucida Sans Unicode"/>
          <w:color w:val="000000"/>
        </w:rPr>
        <w:t>.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56627" w:rsidRPr="00F856D0" w:rsidRDefault="00556627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020FE" w:rsidRPr="00F856D0" w:rsidRDefault="0084452A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F5588" wp14:editId="51A12D07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F6D66" w:rsidRPr="00F856D0" w:rsidRDefault="00C313F3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CE00B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BD23A1">
        <w:rPr>
          <w:rFonts w:ascii="Lucida Sans Unicode" w:hAnsi="Lucida Sans Unicode" w:cs="Lucida Sans Unicode"/>
          <w:b/>
          <w:color w:val="1F497D" w:themeColor="text2"/>
        </w:rPr>
        <w:t>jul</w:t>
      </w:r>
      <w:r w:rsidR="00230420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EF6D66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17908" w:rsidRPr="00F856D0" w:rsidRDefault="00817908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</w:p>
    <w:p w:rsidR="008C7EAF" w:rsidRPr="00F856D0" w:rsidRDefault="00BD23A1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noProof/>
          <w:lang w:val="es-GT" w:eastAsia="es-GT"/>
        </w:rPr>
        <w:drawing>
          <wp:inline distT="0" distB="0" distL="0" distR="0" wp14:anchorId="0EC2F84B" wp14:editId="3E2DC0F8">
            <wp:extent cx="5467350" cy="2133600"/>
            <wp:effectExtent l="0" t="0" r="19050" b="19050"/>
            <wp:docPr id="28" name="Gráfico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7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Pr="00F856D0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Estados financieros elaborados por los Fiduciarios</w:t>
      </w:r>
      <w:r w:rsidR="00F769BB" w:rsidRPr="00F856D0">
        <w:rPr>
          <w:rFonts w:ascii="Lucida Sans Unicode" w:hAnsi="Lucida Sans Unicode" w:cs="Lucida Sans Unicode"/>
          <w:color w:val="000000" w:themeColor="text1"/>
        </w:rPr>
        <w:t xml:space="preserve"> al 31 de diciembre de cada año</w:t>
      </w:r>
      <w:r w:rsidR="00902593" w:rsidRPr="00F856D0">
        <w:rPr>
          <w:rFonts w:ascii="Lucida Sans Unicode" w:hAnsi="Lucida Sans Unicode" w:cs="Lucida Sans Unicode"/>
          <w:color w:val="000000" w:themeColor="text1"/>
        </w:rPr>
        <w:t>.</w:t>
      </w:r>
      <w:r w:rsidR="00F769BB" w:rsidRPr="00F856D0">
        <w:rPr>
          <w:rFonts w:ascii="Lucida Sans Unicode" w:hAnsi="Lucida Sans Unicode" w:cs="Lucida Sans Unicode"/>
          <w:color w:val="FF0000"/>
        </w:rPr>
        <w:t xml:space="preserve"> </w:t>
      </w:r>
    </w:p>
    <w:p w:rsidR="00071DA6" w:rsidRPr="00F856D0" w:rsidRDefault="00071DA6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11037E" w:rsidRDefault="00CA5297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D5A92">
        <w:rPr>
          <w:rFonts w:ascii="Lucida Sans Unicode" w:hAnsi="Lucida Sans Unicode" w:cs="Lucida Sans Unicode"/>
          <w:color w:val="000000"/>
        </w:rPr>
        <w:t>jul</w:t>
      </w:r>
      <w:r w:rsidR="00021DCA" w:rsidRPr="00F856D0">
        <w:rPr>
          <w:rFonts w:ascii="Lucida Sans Unicode" w:hAnsi="Lucida Sans Unicode" w:cs="Lucida Sans Unicode"/>
          <w:color w:val="000000"/>
        </w:rPr>
        <w:t>io</w:t>
      </w:r>
      <w:r w:rsidR="00C30E6C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</w:t>
      </w:r>
      <w:r w:rsidR="00CF6973" w:rsidRPr="00F856D0">
        <w:rPr>
          <w:rFonts w:ascii="Lucida Sans Unicode" w:hAnsi="Lucida Sans Unicode" w:cs="Lucida Sans Unicode"/>
          <w:color w:val="000000"/>
        </w:rPr>
        <w:lastRenderedPageBreak/>
        <w:t xml:space="preserve">Central y </w:t>
      </w:r>
      <w:r w:rsidR="00AE152C" w:rsidRPr="00F856D0">
        <w:rPr>
          <w:rFonts w:ascii="Lucida Sans Unicode" w:hAnsi="Lucida Sans Unicode" w:cs="Lucida Sans Unicode"/>
          <w:color w:val="000000"/>
        </w:rPr>
        <w:t>6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D5A92">
        <w:rPr>
          <w:rFonts w:ascii="Lucida Sans Unicode" w:hAnsi="Lucida Sans Unicode" w:cs="Lucida Sans Unicode"/>
          <w:b/>
          <w:color w:val="1F497D" w:themeColor="text2"/>
        </w:rPr>
        <w:t>jul</w:t>
      </w:r>
      <w:r w:rsidR="00FA4C72" w:rsidRPr="00F856D0">
        <w:rPr>
          <w:rFonts w:ascii="Lucida Sans Unicode" w:hAnsi="Lucida Sans Unicode" w:cs="Lucida Sans Unicode"/>
          <w:b/>
          <w:color w:val="1F497D" w:themeColor="text2"/>
        </w:rPr>
        <w:t>io</w:t>
      </w:r>
      <w:r w:rsidR="001D4991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0C2F5D" w:rsidRPr="00F856D0">
        <w:rPr>
          <w:rFonts w:ascii="Lucida Sans Unicode" w:hAnsi="Lucida Sans Unicode" w:cs="Lucida Sans Unicode"/>
          <w:b/>
          <w:color w:val="1F497D" w:themeColor="text2"/>
        </w:rPr>
        <w:t>20</w:t>
      </w:r>
    </w:p>
    <w:p w:rsidR="0085042F" w:rsidRPr="00F856D0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363A52" w:rsidRPr="00F856D0" w:rsidRDefault="00363A52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95279" w:rsidRPr="00F856D0" w:rsidRDefault="00A13F70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A13F70">
        <w:drawing>
          <wp:inline distT="0" distB="0" distL="0" distR="0" wp14:anchorId="4C0A1D86" wp14:editId="3B1B71FA">
            <wp:extent cx="6156960" cy="1195307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1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227" w:rsidRPr="00F856D0" w:rsidRDefault="00206227" w:rsidP="007C50B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7C50BC" w:rsidRPr="00F856D0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*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Corresponde al total de fideicomisos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v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igentes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registrados</w:t>
      </w:r>
      <w:r w:rsidR="00D35494" w:rsidRPr="00F856D0">
        <w:rPr>
          <w:rFonts w:ascii="Lucida Sans Unicode" w:hAnsi="Lucida Sans Unicode" w:cs="Lucida Sans Unicode"/>
          <w:color w:val="FF0000"/>
        </w:rPr>
        <w:t>,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>al 31 de diciembre de cada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 año.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C15280" w:rsidRDefault="00C15280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C15280" w:rsidRPr="00F856D0" w:rsidRDefault="00C15280" w:rsidP="00C15280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El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menor pago de honorarios que se observa en el ejercicio fiscal 2012 y su tendencia decreciente a partir de entonces está explicado por un menor porcentaje del presupuesto público que se ha ejecutado a través de la modalidad del fideicomiso, el cual al 31 de diciembre de 2015 ascendió a 3.1%; al 2016 un 1.98%; 1.2% en  2017; al 2018 un 1.3%, al 2019 un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0.8%, y a julio 2020 un 0.7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>% de la ejecución presupuestaria total.  También inciden en este comportamiento la menor cantidad de fideicomisos vigentes en el período y la contención del gasto implementada en ejercicios fiscales anteriores.</w:t>
      </w:r>
    </w:p>
    <w:p w:rsidR="00C15280" w:rsidRDefault="00C15280" w:rsidP="008D682C">
      <w:pPr>
        <w:jc w:val="both"/>
        <w:rPr>
          <w:rFonts w:ascii="Lucida Sans Unicode" w:hAnsi="Lucida Sans Unicode" w:cs="Lucida Sans Unicode"/>
          <w:color w:val="000000"/>
        </w:rPr>
      </w:pPr>
    </w:p>
    <w:p w:rsidR="00052353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Default="000114A2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0114A2" w:rsidRPr="0011037E" w:rsidRDefault="000114A2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Default="00CA5297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CA5297" w:rsidRPr="0011037E" w:rsidRDefault="00CA5297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2015-2020</w:t>
                      </w:r>
                    </w:p>
                  </w:txbxContent>
                </v:textbox>
              </v:rect>
            </w:pict>
          </mc:Fallback>
        </mc:AlternateContent>
      </w: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B34F43" w:rsidRDefault="00CA5297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DB02B9" w:rsidRPr="00F856D0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jul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io 2020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Pr="00F856D0" w:rsidRDefault="00492E65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476F53DB" wp14:editId="42F64018">
            <wp:extent cx="5612130" cy="3148330"/>
            <wp:effectExtent l="0" t="0" r="26670" b="139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46A8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981AAA" w:rsidRPr="00763806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S</w:t>
      </w:r>
      <w:r w:rsidR="004446A8">
        <w:rPr>
          <w:rFonts w:ascii="Lucida Sans Unicode" w:hAnsi="Lucida Sans Unicode" w:cs="Lucida Sans Unicode"/>
          <w:color w:val="000000" w:themeColor="text1"/>
        </w:rPr>
        <w:t>ICOIN</w:t>
      </w: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B34F43" w:rsidRDefault="000114A2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>eríodo 2012 a jul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io 2020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D3649A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D3649A">
        <w:rPr>
          <w:noProof/>
          <w:lang w:val="es-GT" w:eastAsia="es-GT"/>
        </w:rPr>
        <w:drawing>
          <wp:inline distT="0" distB="0" distL="0" distR="0" wp14:anchorId="7FB41807" wp14:editId="3B0AC68B">
            <wp:extent cx="2647950" cy="269557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4A2" w:rsidRPr="0011037E" w:rsidRDefault="000114A2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DR6UMW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5297" w:rsidRPr="0011037E" w:rsidRDefault="00CA5297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020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Pr="00F856D0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EE50E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ED272E" w:rsidRPr="00F856D0" w:rsidRDefault="00ED272E" w:rsidP="00ED272E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9"/>
      <w:footerReference w:type="default" r:id="rId20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A2" w:rsidRDefault="000114A2" w:rsidP="00AF4392">
      <w:r>
        <w:separator/>
      </w:r>
    </w:p>
  </w:endnote>
  <w:endnote w:type="continuationSeparator" w:id="0">
    <w:p w:rsidR="000114A2" w:rsidRDefault="000114A2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114A2" w:rsidRDefault="000114A2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66C5C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66C5C">
              <w:rPr>
                <w:rFonts w:ascii="Arial Narrow" w:hAnsi="Arial Narrow"/>
                <w:b/>
                <w:noProof/>
                <w:sz w:val="16"/>
                <w:szCs w:val="16"/>
              </w:rPr>
              <w:t>16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114A2" w:rsidRDefault="000114A2">
    <w:pPr>
      <w:pStyle w:val="Piedepgina"/>
    </w:pPr>
    <w:r>
      <w:rPr>
        <w:noProof/>
        <w:lang w:val="es-GT" w:eastAsia="es-GT"/>
      </w:rPr>
      <w:drawing>
        <wp:inline distT="0" distB="0" distL="0" distR="0" wp14:anchorId="21BF1E7F" wp14:editId="3C01B2B2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A2" w:rsidRDefault="000114A2" w:rsidP="00AF4392">
      <w:r>
        <w:separator/>
      </w:r>
    </w:p>
  </w:footnote>
  <w:footnote w:type="continuationSeparator" w:id="0">
    <w:p w:rsidR="000114A2" w:rsidRDefault="000114A2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2" w:rsidRDefault="000114A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1F7F63C0" wp14:editId="7522904B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6892"/>
    <w:rsid w:val="00266C5C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766"/>
    <w:rsid w:val="003B5952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554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63A"/>
    <w:rsid w:val="004C6486"/>
    <w:rsid w:val="004C64B4"/>
    <w:rsid w:val="004C64DA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FA0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1C75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3F70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5485"/>
    <w:rsid w:val="00AD67D7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26DD"/>
    <w:rsid w:val="00C03176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F08"/>
    <w:rsid w:val="00C210BE"/>
    <w:rsid w:val="00C217DC"/>
    <w:rsid w:val="00C21FED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099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49B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2BB"/>
    <w:rsid w:val="00E66FEE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4C72"/>
    <w:rsid w:val="00FA50D2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8-4424-BE82-6265168F8762}"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DYA.xlsx]PNR AC'!$N$19:$N$23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AC'!$O$19:$O$23</c:f>
              <c:numCache>
                <c:formatCode>_(* #,##0.00_);_(* \(#,##0.00\);_(* "-"??_);_(@_)</c:formatCode>
                <c:ptCount val="5"/>
                <c:pt idx="0">
                  <c:v>667.30695981999997</c:v>
                </c:pt>
                <c:pt idx="1">
                  <c:v>9910.2578651099993</c:v>
                </c:pt>
                <c:pt idx="2">
                  <c:v>5769.3119528099987</c:v>
                </c:pt>
                <c:pt idx="3">
                  <c:v>1517.9778289600001</c:v>
                </c:pt>
                <c:pt idx="4">
                  <c:v>625.62144387000001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F8-4424-BE82-6265168F8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AC'!$I$39:$I$41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62-442F-8B11-5850018C2C70}"/>
                </c:ext>
              </c:extLst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2-442F-8B11-5850018C2C70}"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'C:\Users\Oscar\Downloads\2019\bases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AC'!$L$39:$L$41</c:f>
              <c:numCache>
                <c:formatCode>_(* #,##0.00_);_(* \(#,##0.00\);_(* "-"??_);_(@_)</c:formatCode>
                <c:ptCount val="3"/>
                <c:pt idx="0">
                  <c:v>13109.502073919999</c:v>
                </c:pt>
                <c:pt idx="1">
                  <c:v>1518.6477227800001</c:v>
                </c:pt>
                <c:pt idx="2">
                  <c:v>3862.3262538700001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62-442F-8B11-5850018C2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949.82432688000006</c:v>
                </c:pt>
                <c:pt idx="1">
                  <c:v>347.46485410000003</c:v>
                </c:pt>
                <c:pt idx="2">
                  <c:v>448.7442916</c:v>
                </c:pt>
                <c:pt idx="3">
                  <c:v>8.903493039999999</c:v>
                </c:pt>
                <c:pt idx="4">
                  <c:v>228.13161505000002</c:v>
                </c:pt>
                <c:pt idx="5">
                  <c:v>205.66495659</c:v>
                </c:pt>
                <c:pt idx="6">
                  <c:v>80.030757179999995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11477619351633"/>
          <c:y val="5.5015005399456827E-2"/>
          <c:w val="0.58403849518810147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VIGENTE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44012</c:v>
                </c:pt>
              </c:numCache>
            </c:numRef>
          </c:cat>
          <c:val>
            <c:numRef>
              <c:f>'[AC Y DYA.xlsx]CARTERA'!$M$41:$M$48</c:f>
              <c:numCache>
                <c:formatCode>_(* #,##0.00_);_(* \(#,##0.00\);_(* "-"??_);_(@_)</c:formatCode>
                <c:ptCount val="5"/>
                <c:pt idx="0">
                  <c:v>1086645.06</c:v>
                </c:pt>
                <c:pt idx="1">
                  <c:v>1053975.1499999999</c:v>
                </c:pt>
                <c:pt idx="2">
                  <c:v>1050991.6458099999</c:v>
                </c:pt>
                <c:pt idx="3">
                  <c:v>939977.26289999997</c:v>
                </c:pt>
                <c:pt idx="4">
                  <c:v>1030871.13067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C8-48C7-91CB-05E7B3219303}"/>
            </c:ext>
          </c:extLst>
        </c:ser>
        <c:ser>
          <c:idx val="2"/>
          <c:order val="1"/>
          <c:tx>
            <c:v>VENCIDA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44012</c:v>
                </c:pt>
              </c:numCache>
            </c:numRef>
          </c:cat>
          <c:val>
            <c:numRef>
              <c:f>'[AC Y DYA.xlsx]CARTERA'!$N$41:$N$48</c:f>
              <c:numCache>
                <c:formatCode>_(* #,##0.00_);_(* \(#,##0.00\);_(* "-"??_);_(@_)</c:formatCode>
                <c:ptCount val="5"/>
                <c:pt idx="0">
                  <c:v>651705.57999999996</c:v>
                </c:pt>
                <c:pt idx="1">
                  <c:v>623481.61</c:v>
                </c:pt>
                <c:pt idx="2">
                  <c:v>622575.14003000001</c:v>
                </c:pt>
                <c:pt idx="3">
                  <c:v>571167.78049999988</c:v>
                </c:pt>
                <c:pt idx="4">
                  <c:v>568394.80728999991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C8-48C7-91CB-05E7B3219303}"/>
            </c:ext>
          </c:extLst>
        </c:ser>
        <c:ser>
          <c:idx val="0"/>
          <c:order val="2"/>
          <c:tx>
            <c:v>TOTAL </c:v>
          </c:tx>
          <c:marker>
            <c:symbol val="none"/>
          </c:marker>
          <c:cat>
            <c:numRef>
              <c:f>'[AC Y DYA.xlsx]CARTERA'!$L$41:$L$48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 formatCode="mmm\-yy">
                  <c:v>44012</c:v>
                </c:pt>
              </c:numCache>
            </c:numRef>
          </c:cat>
          <c:val>
            <c:numRef>
              <c:f>'[AC Y DYA.xlsx]CARTERA'!$O$41:$O$48</c:f>
              <c:numCache>
                <c:formatCode>_(* #,##0.00_);_(* \(#,##0.00\);_(* "-"??_);_(@_)</c:formatCode>
                <c:ptCount val="5"/>
                <c:pt idx="0">
                  <c:v>1738350.6400000001</c:v>
                </c:pt>
                <c:pt idx="1">
                  <c:v>1677456.7599999998</c:v>
                </c:pt>
                <c:pt idx="2">
                  <c:v>1673566.78584</c:v>
                </c:pt>
                <c:pt idx="3">
                  <c:v>1511145.0433999998</c:v>
                </c:pt>
                <c:pt idx="4">
                  <c:v>1599265.9379599998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C8-48C7-91CB-05E7B3219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45568"/>
        <c:axId val="122047488"/>
      </c:lineChart>
      <c:catAx>
        <c:axId val="1220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047488"/>
        <c:crosses val="autoZero"/>
        <c:auto val="1"/>
        <c:lblAlgn val="ctr"/>
        <c:lblOffset val="100"/>
        <c:noMultiLvlLbl val="0"/>
      </c:catAx>
      <c:valAx>
        <c:axId val="122047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spPr>
          <a:ln>
            <a:noFill/>
          </a:ln>
        </c:spPr>
        <c:crossAx val="12204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94346711619274"/>
          <c:y val="0.41240536183804855"/>
          <c:w val="0.267056430446194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5240594925635"/>
          <c:y val="7.4548702245552642E-2"/>
          <c:w val="0.72890591953021966"/>
          <c:h val="0.75524938533663344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'[AC Y DYA.xlsx]HONO. AC'!$R$79</c:f>
              <c:strCache>
                <c:ptCount val="1"/>
                <c:pt idx="0">
                  <c:v>No. FIDEICOMISOS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AC'!$P$80:$P$88</c:f>
              <c:strCache>
                <c:ptCount val="9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Julio 2020</c:v>
                </c:pt>
              </c:strCache>
            </c:strRef>
          </c:cat>
          <c:val>
            <c:numRef>
              <c:f>'[AC Y DYA.xlsx]HONO. AC'!$R$80:$R$88</c:f>
              <c:numCache>
                <c:formatCode>General</c:formatCode>
                <c:ptCount val="9"/>
                <c:pt idx="0">
                  <c:v>49</c:v>
                </c:pt>
                <c:pt idx="1">
                  <c:v>46</c:v>
                </c:pt>
                <c:pt idx="2">
                  <c:v>40</c:v>
                </c:pt>
                <c:pt idx="3">
                  <c:v>36</c:v>
                </c:pt>
                <c:pt idx="4">
                  <c:v>32</c:v>
                </c:pt>
                <c:pt idx="5">
                  <c:v>32</c:v>
                </c:pt>
                <c:pt idx="6">
                  <c:v>27</c:v>
                </c:pt>
                <c:pt idx="7">
                  <c:v>25</c:v>
                </c:pt>
                <c:pt idx="8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31808"/>
        <c:axId val="150192896"/>
      </c:barChart>
      <c:lineChart>
        <c:grouping val="standard"/>
        <c:varyColors val="0"/>
        <c:ser>
          <c:idx val="1"/>
          <c:order val="0"/>
          <c:tx>
            <c:strRef>
              <c:f>'[AC Y DYA.xlsx]HONO. AC'!$Q$79</c:f>
              <c:strCache>
                <c:ptCount val="1"/>
                <c:pt idx="0">
                  <c:v>PORCENTAJE</c:v>
                </c:pt>
              </c:strCache>
            </c:strRef>
          </c:tx>
          <c:dLbls>
            <c:dLbl>
              <c:idx val="0"/>
              <c:layout>
                <c:manualLayout>
                  <c:x val="-4.0963853201032546E-2"/>
                  <c:y val="5.511170348787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14512877272173E-2"/>
                  <c:y val="7.4794454733546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963853201032525E-2"/>
                  <c:y val="7.085790448441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30923546735502E-2"/>
                  <c:y val="-7.479445473354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61214496073954E-2"/>
                  <c:y val="-5.904825373701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4617733677581E-2"/>
                  <c:y val="-6.692135423527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013193524792884E-2"/>
                  <c:y val="3.936550249134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013193524792815E-2"/>
                  <c:y val="-8.6604105480948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002060"/>
                    </a:solidFill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'[AC Y DYA.xlsx]HONO. AC'!$P$80:$P$88</c:f>
              <c:strCache>
                <c:ptCount val="9"/>
                <c:pt idx="0">
                  <c:v> 2,012 </c:v>
                </c:pt>
                <c:pt idx="1">
                  <c:v> 2,013 </c:v>
                </c:pt>
                <c:pt idx="2">
                  <c:v> 2,014 </c:v>
                </c:pt>
                <c:pt idx="3">
                  <c:v> 2,015 </c:v>
                </c:pt>
                <c:pt idx="4">
                  <c:v> 2,016 </c:v>
                </c:pt>
                <c:pt idx="5">
                  <c:v> 2,017 </c:v>
                </c:pt>
                <c:pt idx="6">
                  <c:v> 2,018 </c:v>
                </c:pt>
                <c:pt idx="7">
                  <c:v> 2,019 </c:v>
                </c:pt>
                <c:pt idx="8">
                  <c:v>Julio 2020</c:v>
                </c:pt>
              </c:strCache>
            </c:strRef>
          </c:cat>
          <c:val>
            <c:numRef>
              <c:f>'[AC Y DYA.xlsx]HONO. AC'!$Q$80:$Q$88</c:f>
              <c:numCache>
                <c:formatCode>0.00%</c:formatCode>
                <c:ptCount val="9"/>
                <c:pt idx="0">
                  <c:v>3.3131655606427959E-2</c:v>
                </c:pt>
                <c:pt idx="1">
                  <c:v>4.5634147875173059E-2</c:v>
                </c:pt>
                <c:pt idx="2">
                  <c:v>4.9023911912079624E-2</c:v>
                </c:pt>
                <c:pt idx="3">
                  <c:v>3.0882542026645744E-2</c:v>
                </c:pt>
                <c:pt idx="4">
                  <c:v>1.9757803266441901E-2</c:v>
                </c:pt>
                <c:pt idx="5">
                  <c:v>1.2463856674324494E-2</c:v>
                </c:pt>
                <c:pt idx="6">
                  <c:v>1.2826534402207252E-2</c:v>
                </c:pt>
                <c:pt idx="7">
                  <c:v>8.3884059141449089E-3</c:v>
                </c:pt>
                <c:pt idx="8">
                  <c:v>7.621630694712174E-3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207104"/>
        <c:axId val="150205184"/>
      </c:lineChart>
      <c:catAx>
        <c:axId val="149431808"/>
        <c:scaling>
          <c:orientation val="minMax"/>
        </c:scaling>
        <c:delete val="0"/>
        <c:axPos val="b"/>
        <c:numFmt formatCode="_(* #,##0_);_(* \(#,##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es-GT"/>
          </a:p>
        </c:txPr>
        <c:crossAx val="150192896"/>
        <c:crosses val="autoZero"/>
        <c:auto val="1"/>
        <c:lblAlgn val="ctr"/>
        <c:lblOffset val="100"/>
        <c:noMultiLvlLbl val="0"/>
      </c:catAx>
      <c:valAx>
        <c:axId val="15019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31808"/>
        <c:crosses val="autoZero"/>
        <c:crossBetween val="between"/>
      </c:valAx>
      <c:valAx>
        <c:axId val="15020518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0207104"/>
        <c:crosses val="max"/>
        <c:crossBetween val="between"/>
      </c:valAx>
      <c:catAx>
        <c:axId val="150207104"/>
        <c:scaling>
          <c:orientation val="minMax"/>
        </c:scaling>
        <c:delete val="1"/>
        <c:axPos val="b"/>
        <c:numFmt formatCode="_(* #,##0_);_(* \(#,##0\);_(* &quot;-&quot;??_);_(@_)" sourceLinked="1"/>
        <c:majorTickMark val="out"/>
        <c:minorTickMark val="none"/>
        <c:tickLblPos val="nextTo"/>
        <c:crossAx val="15020518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0301977477406905"/>
          <c:y val="0.91972807221469677"/>
          <c:w val="0.41346689361900824"/>
          <c:h val="6.28841902749699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F4BA-D5A9-485A-9DD7-E024CC6D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2664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124</cp:revision>
  <cp:lastPrinted>2020-08-25T20:55:00Z</cp:lastPrinted>
  <dcterms:created xsi:type="dcterms:W3CDTF">2020-08-12T14:55:00Z</dcterms:created>
  <dcterms:modified xsi:type="dcterms:W3CDTF">2020-08-25T20:56:00Z</dcterms:modified>
</cp:coreProperties>
</file>