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FF" w:rsidRPr="00963120" w:rsidRDefault="00F17EFF" w:rsidP="00F17EFF">
      <w:pPr>
        <w:pStyle w:val="Textoindependiente"/>
        <w:tabs>
          <w:tab w:val="clear" w:pos="3969"/>
        </w:tabs>
        <w:jc w:val="both"/>
        <w:rPr>
          <w:rFonts w:asciiTheme="minorHAnsi" w:hAnsiTheme="minorHAnsi" w:cstheme="minorHAnsi"/>
          <w:b w:val="0"/>
          <w:szCs w:val="24"/>
        </w:rPr>
      </w:pPr>
      <w:r w:rsidRPr="00963120">
        <w:rPr>
          <w:rFonts w:asciiTheme="minorHAnsi" w:hAnsiTheme="minorHAnsi" w:cstheme="minorHAnsi"/>
          <w:sz w:val="26"/>
          <w:szCs w:val="26"/>
          <w:lang w:val="es-ES"/>
        </w:rPr>
        <w:t>Dirección de Auditoría Interna</w:t>
      </w:r>
      <w:r w:rsidRPr="00963120">
        <w:rPr>
          <w:rFonts w:asciiTheme="minorHAnsi" w:hAnsiTheme="minorHAnsi" w:cstheme="minorHAnsi"/>
          <w:szCs w:val="24"/>
          <w:lang w:val="es-ES"/>
        </w:rPr>
        <w:t xml:space="preserve"> </w:t>
      </w:r>
      <w:r w:rsidRPr="00963120">
        <w:rPr>
          <w:rFonts w:asciiTheme="minorHAnsi" w:hAnsiTheme="minorHAnsi" w:cstheme="minorHAnsi"/>
          <w:b w:val="0"/>
          <w:szCs w:val="24"/>
          <w:lang w:val="es-ES"/>
        </w:rPr>
        <w:t>es la dependencia responsable de verificar y analizar permanentemente los registros contables, financieros y administrativos que realizan las dependencias del Ministerio, con el propósito de promover un proceso transparente y efectivo de rendición de cuentas de la administración de los recursos.</w:t>
      </w:r>
    </w:p>
    <w:p w:rsidR="00F17EFF" w:rsidRPr="00963120" w:rsidRDefault="00F17EFF" w:rsidP="00F17EFF">
      <w:pPr>
        <w:tabs>
          <w:tab w:val="left" w:pos="7518"/>
        </w:tabs>
        <w:jc w:val="both"/>
        <w:rPr>
          <w:rFonts w:cstheme="minorHAnsi"/>
          <w:b/>
          <w:i/>
          <w:u w:val="single"/>
        </w:rPr>
      </w:pPr>
    </w:p>
    <w:p w:rsidR="00F17EFF" w:rsidRPr="00963120" w:rsidRDefault="00F17EFF" w:rsidP="00F17EF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i/>
          <w:u w:val="single"/>
        </w:rPr>
      </w:pPr>
      <w:r w:rsidRPr="00963120">
        <w:rPr>
          <w:rFonts w:asciiTheme="minorHAnsi" w:hAnsiTheme="minorHAnsi" w:cstheme="minorHAnsi"/>
          <w:b/>
          <w:i/>
          <w:u w:val="single"/>
        </w:rPr>
        <w:t>Funciones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Realizar periódicamente Auditorías Integrales (financieras), Exámenes Especiales de Auditoría y de Gestión (administrativas y procesos administrativos), en las distintas dependencias del Ministerio, de conformidad con el Plan Anual de Auditoría y otras específicas que requiera el Despacho Ministerial, con el fin de fortalecer el desempeño de las funciones que se desarrollan;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Elaborar el Plan Anual de Auditoría, estipulando tiempos y prioridades, de conformidad con las Normas de Auditoría del Sector Gubernamental, emitidas por Contraloría General de Cuentas, previendo la ejecución de auditorías especiales ordenadas por el Despacho Ministerial;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Elaborar programas de trabajo para evaluar los procedimientos de control interno, de conformidad con las funciones de cada dependencia del Ministerio, con el fin de obtener resultados eficientes;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Verificar el estricto apego de las Normas Generales de Control Interno Gubernamental y Normas de Auditoría del Sector Gubernamental, leyes, acuerdos y normas que rijan la organización y actividad de cada dependencia del Ministerio; así como, las de ejecución del gasto público;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Prestar apoyo a las dependencias del Ministerio, relacionado con intervenciones, tales como: entrega y recepción de cargos de funcionarios públicos y otros que lo ameriten;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Verificar el proceso de impresión de formularios que conlleven recepción de fondos y otros con características especiales, a solicitud de las dependencias;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Realizar verificaciones oportunas de control interno, con el propósito de fortalecerlo, recomendando mejorar o implementar los procesos administrativos de conformidad con las necesidades y avances tecnológicos;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 xml:space="preserve">Conformar el expediente que contenga la documentación de respaldo que se trasladará a la Dependencia del Ministerio correspondiente, que servirá de base para presentar la denuncia ante las autoridades competentes, respecto a 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situaciones que podrían tipificarse como posibles delitos o faltas que afecten los intereses del Estado, como resultado de las auditorías realizadas;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Presentar informes de auditoría a las Dependencias auditadas, con respecto a los hallazgos determinados, formulando las recomendaciones respectivas;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Desarrollar las funciones que la Contraloría General de Cuentas establezca para las Auditorías Internas de las entidades públicas; y,</w:t>
      </w:r>
    </w:p>
    <w:p w:rsidR="00F17EFF" w:rsidRPr="00963120" w:rsidRDefault="00F17EFF" w:rsidP="00F17EFF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sz w:val="24"/>
          <w:szCs w:val="24"/>
        </w:rPr>
        <w:t>Desarrollar otras funciones que le sean asignadas por la ley y el Despacho Ministerial, en el ámbito de su competencia.</w:t>
      </w:r>
    </w:p>
    <w:p w:rsidR="00F17EFF" w:rsidRPr="00963120" w:rsidRDefault="00F17EFF" w:rsidP="00F17EFF">
      <w:pPr>
        <w:pStyle w:val="NormalWeb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:rsidR="00F17EFF" w:rsidRPr="00963120" w:rsidRDefault="00F17EFF" w:rsidP="00F17EFF">
      <w:pPr>
        <w:pStyle w:val="articulo"/>
        <w:numPr>
          <w:ilvl w:val="0"/>
          <w:numId w:val="4"/>
        </w:numPr>
        <w:ind w:left="284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63120">
        <w:rPr>
          <w:rFonts w:asciiTheme="minorHAnsi" w:hAnsiTheme="minorHAnsi" w:cstheme="minorHAnsi"/>
          <w:b/>
          <w:bCs/>
          <w:sz w:val="24"/>
          <w:szCs w:val="24"/>
        </w:rPr>
        <w:t>DEPARTAMENTO DE AUDITORÍAS FINANCIERAS.</w:t>
      </w:r>
    </w:p>
    <w:p w:rsidR="00F17EFF" w:rsidRPr="00963120" w:rsidRDefault="00F17EFF" w:rsidP="00F17EFF">
      <w:pPr>
        <w:pStyle w:val="articul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963120">
        <w:rPr>
          <w:rFonts w:asciiTheme="minorHAnsi" w:hAnsiTheme="minorHAnsi" w:cstheme="minorHAnsi"/>
          <w:bCs/>
          <w:sz w:val="24"/>
          <w:szCs w:val="24"/>
        </w:rPr>
        <w:t>El Departamento de Auditorías Financieras es el órgano responsable de realizar periódicamente Auditorías Integrales (financieras) y Exámenes Especiales de Auditoría en las dependencias del Ministerio, de conformidad con el Plan Anual de Auditoría y de ejecutar otras auditorías específicas que le sean requeridas, con el propósito de fortalecer el control interno, proponiendo la implementación de las recomendaciones pertinentes; asimismo, apoyar y asistir en las actividades que le sean asignadas por el Subdirector, Director o el Despacho Ministerial.</w:t>
      </w: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F17EFF" w:rsidRPr="00963120" w:rsidRDefault="00F17EFF" w:rsidP="00F17EFF">
      <w:pPr>
        <w:pStyle w:val="articulo"/>
        <w:numPr>
          <w:ilvl w:val="0"/>
          <w:numId w:val="4"/>
        </w:numPr>
        <w:ind w:left="709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963120">
        <w:rPr>
          <w:rFonts w:asciiTheme="minorHAnsi" w:hAnsiTheme="minorHAnsi" w:cstheme="minorHAnsi"/>
          <w:b/>
          <w:bCs/>
          <w:sz w:val="24"/>
          <w:szCs w:val="24"/>
        </w:rPr>
        <w:t>DEPARTAMENTO DE AUDITORÍAS ADMINISTRATIVAS Y DE PROCESOS.</w:t>
      </w:r>
    </w:p>
    <w:p w:rsidR="00F17EFF" w:rsidRPr="00963120" w:rsidRDefault="00F17EFF" w:rsidP="00F17EFF">
      <w:pPr>
        <w:pStyle w:val="articulo"/>
        <w:rPr>
          <w:rFonts w:asciiTheme="minorHAnsi" w:hAnsiTheme="minorHAnsi" w:cstheme="minorHAnsi"/>
          <w:b/>
          <w:bCs/>
          <w:sz w:val="24"/>
          <w:szCs w:val="24"/>
        </w:rPr>
      </w:pP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963120">
        <w:rPr>
          <w:rFonts w:asciiTheme="minorHAnsi" w:hAnsiTheme="minorHAnsi" w:cstheme="minorHAnsi"/>
          <w:bCs/>
          <w:sz w:val="24"/>
          <w:szCs w:val="24"/>
        </w:rPr>
        <w:t>El Departamento de Auditorías Administrativas y de Procesos es el órgano responsable de realizar periódicamente Auditorías de Gestión (administrativas y de procesos administrativos) en las dependencias del Ministerio, de conformidad con el Plan Anual de Auditoría y de ejecutar otras auditorías específicas que le sean requeridas, con el propósito de fortalecer el control interno, proponiendo la implementación de las recomendaciones pertinentes; asimismo, apoyar y asistir en las actividades que le sean asignadas por el Subdirector, Director o el Despacho Ministerial.</w:t>
      </w: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121"/>
      <w:bookmarkEnd w:id="0"/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F17EFF" w:rsidRPr="00963120" w:rsidRDefault="00F17EFF" w:rsidP="00F17EFF">
      <w:pPr>
        <w:pStyle w:val="articulo"/>
        <w:numPr>
          <w:ilvl w:val="0"/>
          <w:numId w:val="4"/>
        </w:numPr>
        <w:ind w:left="709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963120">
        <w:rPr>
          <w:rFonts w:asciiTheme="minorHAnsi" w:hAnsiTheme="minorHAnsi" w:cstheme="minorHAnsi"/>
          <w:b/>
          <w:bCs/>
          <w:sz w:val="24"/>
          <w:szCs w:val="24"/>
        </w:rPr>
        <w:t>DEPARTAMENTO DE AUDITORÍAS ESPECIALES.</w:t>
      </w: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63120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El Departamento de Auditorías Especiales es el órgano responsable de realizar periódicamente exámenes especiales de auditorías, para evaluar los aspectos limitados a un rubro o cuenta; así como cualquier tema operacional, financiero y otros temas que se relacionen con irregularidades en el manejo de los recursos, a efecto de establecer las causas y promover acciones correctivas correspondientes, de conformidad con el </w:t>
      </w: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Cs/>
          <w:sz w:val="24"/>
          <w:szCs w:val="24"/>
          <w:lang w:val="es-ES_tradnl"/>
        </w:rPr>
      </w:pP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bCs/>
          <w:sz w:val="24"/>
          <w:szCs w:val="24"/>
          <w:lang w:val="es-ES_tradnl"/>
        </w:rPr>
      </w:pP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  <w:r w:rsidRPr="00963120">
        <w:rPr>
          <w:rFonts w:asciiTheme="minorHAnsi" w:hAnsiTheme="minorHAnsi" w:cstheme="minorHAnsi"/>
          <w:bCs/>
          <w:sz w:val="24"/>
          <w:szCs w:val="24"/>
          <w:lang w:val="es-ES_tradnl"/>
        </w:rPr>
        <w:t>Plan Anual de Auditoría con el propósito de fortalecer el control interno, proponiendo la implementación de las recomendaciones pertinentes; asimismo, apoyar y asistir en las actividades que le sean asignadas por el Subdirector, Director o el Despacho Ministerial</w:t>
      </w:r>
      <w:r w:rsidRPr="00963120">
        <w:rPr>
          <w:rFonts w:asciiTheme="minorHAnsi" w:hAnsiTheme="minorHAnsi" w:cstheme="minorHAnsi"/>
          <w:sz w:val="24"/>
          <w:szCs w:val="24"/>
        </w:rPr>
        <w:t>.</w:t>
      </w:r>
    </w:p>
    <w:p w:rsidR="00F17EFF" w:rsidRPr="00963120" w:rsidRDefault="00F17EFF" w:rsidP="00F17EFF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</w:p>
    <w:p w:rsidR="00F17EFF" w:rsidRPr="00963120" w:rsidRDefault="00F17EFF" w:rsidP="00F17EFF">
      <w:pPr>
        <w:ind w:left="360" w:firstLine="360"/>
        <w:rPr>
          <w:rFonts w:cstheme="minorHAnsi"/>
          <w:b/>
          <w:i/>
          <w:u w:val="single"/>
        </w:rPr>
      </w:pPr>
      <w:bookmarkStart w:id="1" w:name="117"/>
      <w:bookmarkEnd w:id="1"/>
      <w:r w:rsidRPr="00963120">
        <w:rPr>
          <w:rFonts w:cstheme="minorHAnsi"/>
          <w:b/>
          <w:i/>
        </w:rPr>
        <w:t xml:space="preserve">B. </w:t>
      </w:r>
      <w:r w:rsidRPr="00963120">
        <w:rPr>
          <w:rFonts w:cstheme="minorHAnsi"/>
          <w:b/>
          <w:i/>
          <w:u w:val="single"/>
        </w:rPr>
        <w:t>Marco Legal</w:t>
      </w:r>
    </w:p>
    <w:p w:rsidR="00F17EFF" w:rsidRPr="00963120" w:rsidRDefault="00F17EFF" w:rsidP="00F17EFF">
      <w:pPr>
        <w:rPr>
          <w:rFonts w:cstheme="minorHAnsi"/>
          <w:b/>
          <w:i/>
          <w:u w:val="single"/>
        </w:rPr>
      </w:pPr>
    </w:p>
    <w:p w:rsidR="00F17EFF" w:rsidRPr="00963120" w:rsidRDefault="00F17EFF" w:rsidP="00F17E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Theme="minorHAnsi" w:hAnsiTheme="minorHAnsi" w:cstheme="minorHAnsi"/>
          <w:iCs/>
          <w:color w:val="000000"/>
        </w:rPr>
      </w:pPr>
      <w:r w:rsidRPr="00963120">
        <w:rPr>
          <w:rFonts w:asciiTheme="minorHAnsi" w:hAnsiTheme="minorHAnsi" w:cstheme="minorHAnsi"/>
          <w:iCs/>
          <w:color w:val="000000"/>
        </w:rPr>
        <w:t>Constitución Política de la República de Guatemala.</w:t>
      </w:r>
    </w:p>
    <w:p w:rsidR="00F17EFF" w:rsidRPr="00963120" w:rsidRDefault="00F17EFF" w:rsidP="00F17EFF">
      <w:pPr>
        <w:pStyle w:val="Prrafodelista"/>
        <w:autoSpaceDE w:val="0"/>
        <w:autoSpaceDN w:val="0"/>
        <w:adjustRightInd w:val="0"/>
        <w:spacing w:after="0"/>
        <w:ind w:left="1068"/>
        <w:rPr>
          <w:rFonts w:asciiTheme="minorHAnsi" w:hAnsiTheme="minorHAnsi" w:cstheme="minorHAnsi"/>
          <w:iCs/>
          <w:color w:val="000000"/>
        </w:rPr>
      </w:pPr>
    </w:p>
    <w:p w:rsidR="00F17EFF" w:rsidRPr="00963120" w:rsidRDefault="00F17EFF" w:rsidP="00F17E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Theme="minorHAnsi" w:hAnsiTheme="minorHAnsi" w:cstheme="minorHAnsi"/>
          <w:iCs/>
          <w:color w:val="000000"/>
        </w:rPr>
      </w:pPr>
      <w:r w:rsidRPr="00963120">
        <w:rPr>
          <w:rFonts w:asciiTheme="minorHAnsi" w:hAnsiTheme="minorHAnsi" w:cstheme="minorHAnsi"/>
          <w:iCs/>
          <w:color w:val="000000"/>
        </w:rPr>
        <w:t xml:space="preserve">Ley del Organismo Ejecutivo; Decreto No. 114-97 del Congreso de la República de Guatemala. </w:t>
      </w:r>
    </w:p>
    <w:p w:rsidR="00F17EFF" w:rsidRPr="00963120" w:rsidRDefault="00F17EFF" w:rsidP="00F17EFF">
      <w:pPr>
        <w:pStyle w:val="Prrafodelista"/>
        <w:autoSpaceDE w:val="0"/>
        <w:autoSpaceDN w:val="0"/>
        <w:adjustRightInd w:val="0"/>
        <w:spacing w:after="0"/>
        <w:ind w:left="1068"/>
        <w:rPr>
          <w:rFonts w:asciiTheme="minorHAnsi" w:hAnsiTheme="minorHAnsi" w:cstheme="minorHAnsi"/>
          <w:iCs/>
          <w:color w:val="000000"/>
        </w:rPr>
      </w:pPr>
    </w:p>
    <w:p w:rsidR="00F17EFF" w:rsidRPr="00963120" w:rsidRDefault="00F17EFF" w:rsidP="00F17EFF">
      <w:pPr>
        <w:pStyle w:val="Prrafodelista"/>
        <w:numPr>
          <w:ilvl w:val="0"/>
          <w:numId w:val="1"/>
        </w:numPr>
        <w:tabs>
          <w:tab w:val="left" w:pos="3047"/>
        </w:tabs>
        <w:autoSpaceDE w:val="0"/>
        <w:autoSpaceDN w:val="0"/>
        <w:adjustRightInd w:val="0"/>
        <w:spacing w:after="0"/>
        <w:ind w:left="1068"/>
        <w:jc w:val="both"/>
        <w:rPr>
          <w:rFonts w:asciiTheme="minorHAnsi" w:hAnsiTheme="minorHAnsi" w:cstheme="minorHAnsi"/>
        </w:rPr>
      </w:pPr>
      <w:r w:rsidRPr="00963120">
        <w:rPr>
          <w:rFonts w:asciiTheme="minorHAnsi" w:hAnsiTheme="minorHAnsi" w:cstheme="minorHAnsi"/>
          <w:iCs/>
          <w:color w:val="000000"/>
        </w:rPr>
        <w:t xml:space="preserve">Reglamento Orgánico Interno del Ministerio de Finanzas Públicas; Acuerdo Gubernativo Número 112-2018. </w:t>
      </w:r>
    </w:p>
    <w:p w:rsidR="00F17EFF" w:rsidRDefault="00F17EFF" w:rsidP="00F17EFF"/>
    <w:p w:rsidR="00952AED" w:rsidRDefault="00952AE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/>
    <w:p w:rsidR="00A36F5D" w:rsidRPr="00A36F5D" w:rsidRDefault="00A36F5D" w:rsidP="00A36F5D">
      <w:pPr>
        <w:tabs>
          <w:tab w:val="left" w:pos="8138"/>
        </w:tabs>
      </w:pPr>
      <w:r>
        <w:tab/>
      </w:r>
    </w:p>
    <w:sectPr w:rsidR="00A36F5D" w:rsidRPr="00A36F5D" w:rsidSect="00F17EFF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86" w:rsidRDefault="00145186" w:rsidP="003B112E">
      <w:r>
        <w:separator/>
      </w:r>
    </w:p>
  </w:endnote>
  <w:endnote w:type="continuationSeparator" w:id="0">
    <w:p w:rsidR="00145186" w:rsidRDefault="00145186" w:rsidP="003B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2E" w:rsidRDefault="003B112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040D0" wp14:editId="564352F6">
              <wp:simplePos x="0" y="0"/>
              <wp:positionH relativeFrom="column">
                <wp:posOffset>-301474</wp:posOffset>
              </wp:positionH>
              <wp:positionV relativeFrom="paragraph">
                <wp:posOffset>-88265</wp:posOffset>
              </wp:positionV>
              <wp:extent cx="6165410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410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112E" w:rsidRPr="00B727B7" w:rsidRDefault="003B112E" w:rsidP="003B112E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 xml:space="preserve">8ª. Avenida 20-59 Zona 1, Centro Cívico, Guatemala PBX: 2374-3000 EXT: </w:t>
                          </w:r>
                          <w:r w:rsidR="001B0A3A"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1</w:t>
                          </w:r>
                          <w:r w:rsidR="00F81948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040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3.75pt;margin-top:-6.95pt;width:485.4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" filled="f" stroked="f" strokeweight=".5pt">
              <v:textbox>
                <w:txbxContent>
                  <w:p w:rsidR="003B112E" w:rsidRPr="00B727B7" w:rsidRDefault="003B112E" w:rsidP="003B112E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 xml:space="preserve">8ª. Avenida 20-59 Zona 1, Centro Cívico, Guatemala PBX: 2374-3000 EXT: </w:t>
                    </w:r>
                    <w:r w:rsidR="001B0A3A"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1</w:t>
                    </w:r>
                    <w:r w:rsidR="00F81948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86" w:rsidRDefault="00145186" w:rsidP="003B112E">
      <w:r>
        <w:separator/>
      </w:r>
    </w:p>
  </w:footnote>
  <w:footnote w:type="continuationSeparator" w:id="0">
    <w:p w:rsidR="00145186" w:rsidRDefault="00145186" w:rsidP="003B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2E" w:rsidRDefault="00F17EFF" w:rsidP="00F17EFF">
    <w:pPr>
      <w:pStyle w:val="Encabezado"/>
      <w:tabs>
        <w:tab w:val="clear" w:pos="8838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808A90" wp14:editId="6C50AD72">
              <wp:simplePos x="0" y="0"/>
              <wp:positionH relativeFrom="column">
                <wp:posOffset>1786890</wp:posOffset>
              </wp:positionH>
              <wp:positionV relativeFrom="paragraph">
                <wp:posOffset>-182880</wp:posOffset>
              </wp:positionV>
              <wp:extent cx="4190338" cy="940280"/>
              <wp:effectExtent l="0" t="0" r="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0338" cy="9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17EFF" w:rsidRDefault="00F17EFF" w:rsidP="00F17EF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</w:p>
                        <w:p w:rsidR="00F17EFF" w:rsidRPr="00433CB8" w:rsidRDefault="00F17EFF" w:rsidP="00F17EF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433CB8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AUDITORIA INTERNA</w:t>
                          </w:r>
                        </w:p>
                        <w:p w:rsidR="00F17EFF" w:rsidRPr="00433CB8" w:rsidRDefault="00F17EFF" w:rsidP="00F17EF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433CB8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Director: Lic. </w:t>
                          </w:r>
                          <w:r w:rsidR="00F4709C">
                            <w:rPr>
                              <w:rFonts w:cs="Futura"/>
                              <w:sz w:val="16"/>
                              <w:szCs w:val="14"/>
                            </w:rPr>
                            <w:t>Pablo Alfredo González Sandoval</w:t>
                          </w:r>
                        </w:p>
                        <w:p w:rsidR="00F17EFF" w:rsidRPr="00433CB8" w:rsidRDefault="00F17EFF" w:rsidP="00F17EF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433CB8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Margarita Estrada</w:t>
                          </w:r>
                        </w:p>
                        <w:p w:rsidR="00F17EFF" w:rsidRPr="00433CB8" w:rsidRDefault="00F17EFF" w:rsidP="00F17EF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433CB8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963F99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433CB8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D22461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433CB8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F17EFF" w:rsidRPr="00433CB8" w:rsidRDefault="00F17EFF" w:rsidP="00F17EFF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433CB8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08A9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0.7pt;margin-top:-14.4pt;width:329.95pt;height:7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" filled="f" stroked="f">
              <v:path arrowok="t"/>
              <v:textbox>
                <w:txbxContent>
                  <w:p w:rsidR="00F17EFF" w:rsidRDefault="00F17EFF" w:rsidP="00F17EF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</w:p>
                  <w:p w:rsidR="00F17EFF" w:rsidRPr="00433CB8" w:rsidRDefault="00F17EFF" w:rsidP="00F17EF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433CB8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AUDITORIA INTERNA</w:t>
                    </w:r>
                  </w:p>
                  <w:p w:rsidR="00F17EFF" w:rsidRPr="00433CB8" w:rsidRDefault="00F17EFF" w:rsidP="00F17EF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433CB8">
                      <w:rPr>
                        <w:rFonts w:cs="Futura"/>
                        <w:sz w:val="16"/>
                        <w:szCs w:val="14"/>
                      </w:rPr>
                      <w:t xml:space="preserve">Director: Lic. </w:t>
                    </w:r>
                    <w:r w:rsidR="00F4709C">
                      <w:rPr>
                        <w:rFonts w:cs="Futura"/>
                        <w:sz w:val="16"/>
                        <w:szCs w:val="14"/>
                      </w:rPr>
                      <w:t>Pablo Alfredo González Sandoval</w:t>
                    </w:r>
                  </w:p>
                  <w:p w:rsidR="00F17EFF" w:rsidRPr="00433CB8" w:rsidRDefault="00F17EFF" w:rsidP="00F17EF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433CB8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Margarita Estrada</w:t>
                    </w:r>
                  </w:p>
                  <w:p w:rsidR="00F17EFF" w:rsidRPr="00433CB8" w:rsidRDefault="00F17EFF" w:rsidP="00F17EF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433CB8"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963F99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433CB8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D22461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433CB8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F17EFF" w:rsidRPr="00433CB8" w:rsidRDefault="00F17EFF" w:rsidP="00F17EFF">
                    <w:pPr>
                      <w:spacing w:line="276" w:lineRule="auto"/>
                      <w:rPr>
                        <w:rFonts w:cs="Futura"/>
                        <w:sz w:val="18"/>
                        <w:szCs w:val="16"/>
                      </w:rPr>
                    </w:pPr>
                    <w:r w:rsidRPr="00433CB8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1AE745" wp14:editId="192741D2">
              <wp:simplePos x="0" y="0"/>
              <wp:positionH relativeFrom="column">
                <wp:posOffset>17780</wp:posOffset>
              </wp:positionH>
              <wp:positionV relativeFrom="paragraph">
                <wp:posOffset>425450</wp:posOffset>
              </wp:positionV>
              <wp:extent cx="3549650" cy="343535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4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112E" w:rsidRPr="00F81948" w:rsidRDefault="00F81948" w:rsidP="00BF46EA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AE745" id="Cuadro de texto 2" o:spid="_x0000_s1027" type="#_x0000_t202" style="position:absolute;margin-left:1.4pt;margin-top:33.5pt;width:279.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" filled="f" stroked="f" strokeweight=".5pt">
              <v:textbox>
                <w:txbxContent>
                  <w:p w:rsidR="003B112E" w:rsidRPr="00F81948" w:rsidRDefault="00F81948" w:rsidP="00BF46EA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1214E398" wp14:editId="466BEA94">
          <wp:simplePos x="0" y="0"/>
          <wp:positionH relativeFrom="column">
            <wp:posOffset>-1035050</wp:posOffset>
          </wp:positionH>
          <wp:positionV relativeFrom="paragraph">
            <wp:posOffset>-381635</wp:posOffset>
          </wp:positionV>
          <wp:extent cx="2971165" cy="1339215"/>
          <wp:effectExtent l="0" t="0" r="63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7B7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3512F79F" wp14:editId="33B27005">
          <wp:simplePos x="0" y="0"/>
          <wp:positionH relativeFrom="margin">
            <wp:posOffset>-1080135</wp:posOffset>
          </wp:positionH>
          <wp:positionV relativeFrom="paragraph">
            <wp:posOffset>-47625</wp:posOffset>
          </wp:positionV>
          <wp:extent cx="7771765" cy="9650095"/>
          <wp:effectExtent l="0" t="0" r="635" b="8255"/>
          <wp:wrapNone/>
          <wp:docPr id="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29F"/>
    <w:multiLevelType w:val="hybridMultilevel"/>
    <w:tmpl w:val="73168F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F22F0"/>
    <w:multiLevelType w:val="hybridMultilevel"/>
    <w:tmpl w:val="9134E1F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82510"/>
    <w:multiLevelType w:val="hybridMultilevel"/>
    <w:tmpl w:val="1FD22D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7F5"/>
    <w:multiLevelType w:val="hybridMultilevel"/>
    <w:tmpl w:val="C534044E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2E"/>
    <w:rsid w:val="00023129"/>
    <w:rsid w:val="00145186"/>
    <w:rsid w:val="001B0A3A"/>
    <w:rsid w:val="002A3A13"/>
    <w:rsid w:val="002C4EB2"/>
    <w:rsid w:val="003221D8"/>
    <w:rsid w:val="00380722"/>
    <w:rsid w:val="0039351D"/>
    <w:rsid w:val="003B112E"/>
    <w:rsid w:val="004E74C7"/>
    <w:rsid w:val="00581785"/>
    <w:rsid w:val="005D0632"/>
    <w:rsid w:val="006151B4"/>
    <w:rsid w:val="007267D5"/>
    <w:rsid w:val="007930CF"/>
    <w:rsid w:val="007A54B6"/>
    <w:rsid w:val="009003C1"/>
    <w:rsid w:val="00952AED"/>
    <w:rsid w:val="00963120"/>
    <w:rsid w:val="00963F99"/>
    <w:rsid w:val="00967B01"/>
    <w:rsid w:val="00A36F5D"/>
    <w:rsid w:val="00AB055D"/>
    <w:rsid w:val="00AE1800"/>
    <w:rsid w:val="00AF79D3"/>
    <w:rsid w:val="00B727B7"/>
    <w:rsid w:val="00B757E0"/>
    <w:rsid w:val="00BB7E7F"/>
    <w:rsid w:val="00BF46EA"/>
    <w:rsid w:val="00C561FA"/>
    <w:rsid w:val="00C933C9"/>
    <w:rsid w:val="00CB4C6C"/>
    <w:rsid w:val="00CD2544"/>
    <w:rsid w:val="00CE7C3B"/>
    <w:rsid w:val="00D22461"/>
    <w:rsid w:val="00DB2C7F"/>
    <w:rsid w:val="00E16D16"/>
    <w:rsid w:val="00E339FA"/>
    <w:rsid w:val="00EB4566"/>
    <w:rsid w:val="00F17EFF"/>
    <w:rsid w:val="00F4709C"/>
    <w:rsid w:val="00F81948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E674C"/>
  <w15:chartTrackingRefBased/>
  <w15:docId w15:val="{C6999287-3668-2247-AD43-2011B37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2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consolidado">
    <w:name w:val="Estilo consolidado"/>
    <w:basedOn w:val="Tablacontema"/>
    <w:uiPriority w:val="99"/>
    <w:rsid w:val="0002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Montserrat ExtraBold" w:hAnsi="Montserrat ExtraBold"/>
        <w:b/>
        <w:i w:val="0"/>
        <w:sz w:val="24"/>
      </w:rPr>
      <w:tblPr>
        <w:jc w:val="center"/>
      </w:tblPr>
      <w:trPr>
        <w:jc w:val="center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Tablacontema">
    <w:name w:val="Table Theme"/>
    <w:basedOn w:val="Tablanormal"/>
    <w:uiPriority w:val="99"/>
    <w:semiHidden/>
    <w:unhideWhenUsed/>
    <w:rsid w:val="0002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11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1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B11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12E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3B112E"/>
    <w:rPr>
      <w:b/>
      <w:bCs/>
    </w:rPr>
  </w:style>
  <w:style w:type="paragraph" w:styleId="Prrafodelista">
    <w:name w:val="List Paragraph"/>
    <w:basedOn w:val="Normal"/>
    <w:uiPriority w:val="34"/>
    <w:qFormat/>
    <w:rsid w:val="00F17EFF"/>
    <w:pPr>
      <w:spacing w:after="200"/>
      <w:ind w:left="708"/>
    </w:pPr>
    <w:rPr>
      <w:rFonts w:ascii="Cambria" w:eastAsia="MS Mincho" w:hAnsi="Cambria" w:cs="Times New Roman"/>
      <w:kern w:val="0"/>
      <w:lang w:eastAsia="ja-JP"/>
      <w14:ligatures w14:val="none"/>
    </w:rPr>
  </w:style>
  <w:style w:type="paragraph" w:styleId="Textoindependiente">
    <w:name w:val="Body Text"/>
    <w:basedOn w:val="Normal"/>
    <w:link w:val="TextoindependienteCar"/>
    <w:rsid w:val="00F17EFF"/>
    <w:pPr>
      <w:tabs>
        <w:tab w:val="left" w:pos="3969"/>
      </w:tabs>
    </w:pPr>
    <w:rPr>
      <w:rFonts w:ascii="Arial" w:eastAsia="Times New Roman" w:hAnsi="Arial" w:cs="Times New Roman"/>
      <w:b/>
      <w:kern w:val="0"/>
      <w:szCs w:val="20"/>
      <w:lang w:val="es-MX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F17EFF"/>
    <w:rPr>
      <w:rFonts w:ascii="Arial" w:eastAsia="Times New Roman" w:hAnsi="Arial" w:cs="Times New Roman"/>
      <w:b/>
      <w:kern w:val="0"/>
      <w:szCs w:val="20"/>
      <w:lang w:val="es-MX" w:eastAsia="es-ES"/>
      <w14:ligatures w14:val="none"/>
    </w:rPr>
  </w:style>
  <w:style w:type="paragraph" w:styleId="NormalWeb">
    <w:name w:val="Normal (Web)"/>
    <w:basedOn w:val="Normal"/>
    <w:uiPriority w:val="99"/>
    <w:rsid w:val="00F17EFF"/>
    <w:pPr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val="es-ES" w:eastAsia="es-ES"/>
      <w14:ligatures w14:val="none"/>
    </w:rPr>
  </w:style>
  <w:style w:type="paragraph" w:customStyle="1" w:styleId="articulo">
    <w:name w:val="articulo"/>
    <w:basedOn w:val="Normal"/>
    <w:uiPriority w:val="99"/>
    <w:rsid w:val="00F17EFF"/>
    <w:pPr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Licenciasdcs 08</dc:creator>
  <cp:keywords/>
  <dc:description/>
  <cp:lastModifiedBy>René Augusto Castro González</cp:lastModifiedBy>
  <cp:revision>1</cp:revision>
  <cp:lastPrinted>2024-01-17T17:48:00Z</cp:lastPrinted>
  <dcterms:created xsi:type="dcterms:W3CDTF">2024-04-10T18:26:00Z</dcterms:created>
  <dcterms:modified xsi:type="dcterms:W3CDTF">2024-04-10T18:26:00Z</dcterms:modified>
</cp:coreProperties>
</file>