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DC" w:rsidRDefault="009F49DC">
      <w:pPr>
        <w:ind w:left="708" w:hanging="708"/>
        <w:rPr>
          <w:rFonts w:ascii="Libre Baskerville" w:eastAsia="Libre Baskerville" w:hAnsi="Libre Baskerville" w:cs="Libre Baskerville"/>
          <w:color w:val="000000"/>
        </w:rPr>
      </w:pPr>
    </w:p>
    <w:p w:rsidR="009F49DC" w:rsidRDefault="005235EA">
      <w:pPr>
        <w:ind w:left="4248" w:firstLine="5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                    </w:t>
      </w: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20A14" w:rsidRDefault="00E20A1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20A14" w:rsidRDefault="00E20A1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20A14" w:rsidRDefault="00E20A1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E20A14" w:rsidRDefault="00E20A1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F49DC" w:rsidRDefault="009F49D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F49DC" w:rsidRPr="00E20A14" w:rsidRDefault="00CA2CA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0A14">
        <w:rPr>
          <w:rFonts w:ascii="Times New Roman" w:eastAsia="Times New Roman" w:hAnsi="Times New Roman" w:cs="Times New Roman"/>
          <w:b/>
          <w:sz w:val="32"/>
          <w:szCs w:val="32"/>
        </w:rPr>
        <w:t xml:space="preserve">INFORMES DE GESTIÓN Y RENDICIÓN DE CUENTAS,  </w:t>
      </w:r>
      <w:r w:rsidR="00E20A14" w:rsidRPr="00E20A1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Pr="00E20A14">
        <w:rPr>
          <w:rFonts w:ascii="Times New Roman" w:eastAsia="Times New Roman" w:hAnsi="Times New Roman" w:cs="Times New Roman"/>
          <w:b/>
          <w:sz w:val="32"/>
          <w:szCs w:val="32"/>
        </w:rPr>
        <w:t>PRIMER CUATRIMESTRE 2022</w:t>
      </w:r>
    </w:p>
    <w:p w:rsidR="009F49DC" w:rsidRDefault="009F49D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F49DC" w:rsidRDefault="005235E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ABRIL, 2022</w:t>
      </w:r>
    </w:p>
    <w:p w:rsidR="009F49DC" w:rsidRDefault="009F49D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F49DC" w:rsidRDefault="009F49D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F49DC" w:rsidRDefault="009F49D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F49DC" w:rsidRDefault="009F49DC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5235E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PRESENTACIÓN</w:t>
      </w:r>
    </w:p>
    <w:p w:rsidR="009F49DC" w:rsidRDefault="009F49DC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9F49DC" w:rsidRDefault="005235E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 Ministerio de Relaciones Exteriores como “responsable de la formulación de las políticas y la aplicación del régimen jurídico relativo a las relaciones del Estado de Guatemala con otros Estados y personas o instituciones jurídicas de derecho internacion</w:t>
      </w:r>
      <w:r>
        <w:rPr>
          <w:rFonts w:ascii="Times New Roman" w:eastAsia="Times New Roman" w:hAnsi="Times New Roman" w:cs="Times New Roman"/>
        </w:rPr>
        <w:t>al; la representación diplomática del Estado; la nacionalidad guatemalteca; la demarcación del territorio nacional; los tratados y convenios internacionales, y los asuntos diplomáticos y consulares; para ello, cuando fuere necesario y siempre en coordinaci</w:t>
      </w:r>
      <w:r>
        <w:rPr>
          <w:rFonts w:ascii="Times New Roman" w:eastAsia="Times New Roman" w:hAnsi="Times New Roman" w:cs="Times New Roman"/>
        </w:rPr>
        <w:t>ón y apoyo a otros ministerios y entidades del Estado y del sector no gubernamental”, (Ley del Organismo Ejecutivo, Decreto 114-97 Artículo 38) presenta el Informe de Gestión, correspondiente al primer cuatrimestre del presente ejercicio fiscal, en cumplim</w:t>
      </w:r>
      <w:r>
        <w:rPr>
          <w:rFonts w:ascii="Times New Roman" w:eastAsia="Times New Roman" w:hAnsi="Times New Roman" w:cs="Times New Roman"/>
        </w:rPr>
        <w:t>iento a lo establecido en la Ley Orgánica del Presupuesto.</w:t>
      </w:r>
    </w:p>
    <w:p w:rsidR="009F49DC" w:rsidRDefault="009F49DC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9F49DC" w:rsidRDefault="005235E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 dicho informe se destacan los resultados y avances obtenidos mediante la ejecución de las acciones político diplomáticas contenidas en el Plan Operativo Anual 2022, que contribuyen a la consecu</w:t>
      </w:r>
      <w:r>
        <w:rPr>
          <w:rFonts w:ascii="Times New Roman" w:eastAsia="Times New Roman" w:hAnsi="Times New Roman" w:cs="Times New Roman"/>
        </w:rPr>
        <w:t xml:space="preserve">ción efectiva de los objetivos institucionales y las metas establecidas en la Política General de Gobierno, orientadas a la protección de los derechos de la población guatemalteca migrante y la promoción de los intereses nacionales del Estado de Guatemala </w:t>
      </w:r>
      <w:r>
        <w:rPr>
          <w:rFonts w:ascii="Times New Roman" w:eastAsia="Times New Roman" w:hAnsi="Times New Roman" w:cs="Times New Roman"/>
        </w:rPr>
        <w:t>en el exterior, el fortalecimiento y consolidación de las relaciones internacionales bilaterales, multilaterales y regionales con otros Estados y Organismos de los cuales el Estado de Guatemala es parte; así como el seguimiento a las negociaciones y conven</w:t>
      </w:r>
      <w:r>
        <w:rPr>
          <w:rFonts w:ascii="Times New Roman" w:eastAsia="Times New Roman" w:hAnsi="Times New Roman" w:cs="Times New Roman"/>
        </w:rPr>
        <w:t>ios de carácter político y geopolítico en materia de derechos humanos, integración política y económica, acuerdos de cooperación social, cultural y artística. Además de lo relacionado con el Diferendo Territorial Marítimo e Insular entre Guatemala y Belice</w:t>
      </w:r>
      <w:r>
        <w:rPr>
          <w:rFonts w:ascii="Times New Roman" w:eastAsia="Times New Roman" w:hAnsi="Times New Roman" w:cs="Times New Roman"/>
        </w:rPr>
        <w:t>,  la defensa de la soberanía del país, los asuntos territoriales fronterizos y aguas limítrofes internacionales, como se observa en su contenido.</w:t>
      </w:r>
    </w:p>
    <w:p w:rsidR="009F49DC" w:rsidRDefault="009F49DC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E20A14" w:rsidRDefault="00E20A1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E20A14" w:rsidRDefault="00E20A1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E20A14" w:rsidRDefault="00E20A1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E20A14" w:rsidRDefault="00E20A1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E20A14" w:rsidRDefault="00E20A1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E20A14" w:rsidRDefault="00E20A1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E20A14" w:rsidRDefault="00E20A1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E20A14" w:rsidRDefault="00E20A1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E20A14" w:rsidRDefault="00E20A1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E20A14" w:rsidRDefault="00E20A1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E20A14" w:rsidRDefault="00E20A14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9F49DC" w:rsidRDefault="005235EA">
      <w:pPr>
        <w:pStyle w:val="Ttulo2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Principales funciones y atribuciones del Ministerio</w:t>
      </w:r>
    </w:p>
    <w:p w:rsidR="009F49DC" w:rsidRDefault="009F49DC">
      <w:pPr>
        <w:spacing w:line="276" w:lineRule="auto"/>
        <w:rPr>
          <w:rFonts w:ascii="Times New Roman" w:eastAsia="Times New Roman" w:hAnsi="Times New Roman" w:cs="Times New Roman"/>
        </w:rPr>
      </w:pPr>
    </w:p>
    <w:p w:rsidR="009F49DC" w:rsidRDefault="005235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Formulación de las políticas y aplicación del régimen jurídico relativo a las relaciones del Estado de Guatemala con otros Estados y personas o instituciones jurídicas de derecho internacional.</w:t>
      </w:r>
    </w:p>
    <w:p w:rsidR="009F49DC" w:rsidRDefault="005235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Representación diplomática del Estado.</w:t>
      </w:r>
    </w:p>
    <w:p w:rsidR="009F49DC" w:rsidRDefault="005235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Otorga la nacionalidad </w:t>
      </w:r>
      <w:r>
        <w:rPr>
          <w:rFonts w:ascii="Times New Roman" w:eastAsia="Times New Roman" w:hAnsi="Times New Roman" w:cs="Times New Roman"/>
          <w:color w:val="000000"/>
        </w:rPr>
        <w:t>guatemalteca.</w:t>
      </w:r>
    </w:p>
    <w:p w:rsidR="009F49DC" w:rsidRDefault="005235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Vela por la demarcación y preservación del territorio nacional.</w:t>
      </w:r>
    </w:p>
    <w:p w:rsidR="009F49DC" w:rsidRDefault="005235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Negocia y resguarda los tratados y convenios internacionales.</w:t>
      </w:r>
    </w:p>
    <w:p w:rsidR="009F49DC" w:rsidRDefault="005235E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Analiza, apoya y da seguimiento a asuntos diplomáticos y consulares.</w:t>
      </w:r>
    </w:p>
    <w:p w:rsidR="009F49DC" w:rsidRDefault="009F49DC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9F49DC" w:rsidRDefault="005235EA">
      <w:pPr>
        <w:pStyle w:val="Ttulo2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Principales objetivos del Ministerio</w:t>
      </w:r>
    </w:p>
    <w:p w:rsidR="009F49DC" w:rsidRDefault="009F49DC">
      <w:pPr>
        <w:spacing w:line="276" w:lineRule="auto"/>
        <w:ind w:left="1440" w:hanging="1440"/>
        <w:rPr>
          <w:rFonts w:ascii="Times New Roman" w:eastAsia="Times New Roman" w:hAnsi="Times New Roman" w:cs="Times New Roman"/>
        </w:rPr>
      </w:pPr>
    </w:p>
    <w:p w:rsidR="009F49DC" w:rsidRDefault="005235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Ejecutar efectivamente la Política Exterior del Estado de Guatemala, a través de diálogos políticos, negociaciones y alianzas estratégicas con otros Estados, misiones, organismos internacionales, oficinas consulares y migratorias, así como con otras instan</w:t>
      </w:r>
      <w:r>
        <w:rPr>
          <w:rFonts w:ascii="Times New Roman" w:eastAsia="Times New Roman" w:hAnsi="Times New Roman" w:cs="Times New Roman"/>
          <w:color w:val="000000"/>
        </w:rPr>
        <w:t>cias donde se discutan temas de interés nacional en materia política, económica, social y ambiental.</w:t>
      </w:r>
    </w:p>
    <w:p w:rsidR="009F49DC" w:rsidRDefault="005235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Posicionar la Política Exterior del Estado de Guatemala mediante la gestión institucional del Ministerio de Relaciones Exteriores.</w:t>
      </w:r>
    </w:p>
    <w:p w:rsidR="009F49DC" w:rsidRDefault="005235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Ampliar la cobertura de </w:t>
      </w:r>
      <w:r>
        <w:rPr>
          <w:rFonts w:ascii="Times New Roman" w:eastAsia="Times New Roman" w:hAnsi="Times New Roman" w:cs="Times New Roman"/>
          <w:color w:val="000000"/>
        </w:rPr>
        <w:t>los servicios de documentación, asistencia, atención y protección consular para los guatemaltecos en el exterior y en Guatemala, con el fin de que se garantice el respeto de sus derechos y el goce de sus libertades.</w:t>
      </w:r>
    </w:p>
    <w:p w:rsidR="009F49DC" w:rsidRDefault="005235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Impulsar, coordinar y dar seguimiento a </w:t>
      </w:r>
      <w:r>
        <w:rPr>
          <w:rFonts w:ascii="Times New Roman" w:eastAsia="Times New Roman" w:hAnsi="Times New Roman" w:cs="Times New Roman"/>
          <w:color w:val="000000"/>
        </w:rPr>
        <w:t>las acciones de promoción para la integración económica, el comercio exterior, el turismo, así como el intercambio académico y cultural en el marco de la Política Exterior del Estado de Guatemala.</w:t>
      </w: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C5044" w:rsidRDefault="009C5044">
      <w:pPr>
        <w:jc w:val="center"/>
        <w:rPr>
          <w:rFonts w:ascii="Cambria" w:eastAsia="Cambria" w:hAnsi="Cambria" w:cs="Cambria"/>
          <w:b/>
        </w:rPr>
      </w:pPr>
    </w:p>
    <w:p w:rsidR="009C5044" w:rsidRDefault="009C5044">
      <w:pPr>
        <w:jc w:val="center"/>
        <w:rPr>
          <w:rFonts w:ascii="Cambria" w:eastAsia="Cambria" w:hAnsi="Cambria" w:cs="Cambria"/>
          <w:b/>
        </w:rPr>
      </w:pPr>
    </w:p>
    <w:p w:rsidR="009C5044" w:rsidRDefault="009C5044">
      <w:pPr>
        <w:jc w:val="center"/>
        <w:rPr>
          <w:rFonts w:ascii="Cambria" w:eastAsia="Cambria" w:hAnsi="Cambria" w:cs="Cambria"/>
          <w:b/>
        </w:rPr>
      </w:pPr>
    </w:p>
    <w:p w:rsidR="009C5044" w:rsidRDefault="009C5044">
      <w:pPr>
        <w:jc w:val="center"/>
        <w:rPr>
          <w:rFonts w:ascii="Cambria" w:eastAsia="Cambria" w:hAnsi="Cambria" w:cs="Cambria"/>
          <w:b/>
        </w:rPr>
      </w:pPr>
    </w:p>
    <w:p w:rsidR="009C5044" w:rsidRDefault="009C5044">
      <w:pPr>
        <w:jc w:val="center"/>
        <w:rPr>
          <w:rFonts w:ascii="Cambria" w:eastAsia="Cambria" w:hAnsi="Cambria" w:cs="Cambria"/>
          <w:b/>
        </w:rPr>
      </w:pPr>
    </w:p>
    <w:p w:rsidR="009C5044" w:rsidRDefault="009C5044">
      <w:pPr>
        <w:jc w:val="center"/>
        <w:rPr>
          <w:rFonts w:ascii="Cambria" w:eastAsia="Cambria" w:hAnsi="Cambria" w:cs="Cambria"/>
          <w:b/>
        </w:rPr>
      </w:pPr>
    </w:p>
    <w:p w:rsidR="009C5044" w:rsidRDefault="009C5044">
      <w:pPr>
        <w:jc w:val="center"/>
        <w:rPr>
          <w:rFonts w:ascii="Cambria" w:eastAsia="Cambria" w:hAnsi="Cambria" w:cs="Cambria"/>
          <w:b/>
        </w:rPr>
      </w:pPr>
    </w:p>
    <w:p w:rsidR="009C5044" w:rsidRDefault="009C5044">
      <w:pPr>
        <w:jc w:val="center"/>
        <w:rPr>
          <w:rFonts w:ascii="Cambria" w:eastAsia="Cambria" w:hAnsi="Cambria" w:cs="Cambria"/>
          <w:b/>
        </w:rPr>
      </w:pPr>
    </w:p>
    <w:p w:rsidR="009C5044" w:rsidRDefault="009C5044">
      <w:pPr>
        <w:jc w:val="center"/>
        <w:rPr>
          <w:rFonts w:ascii="Cambria" w:eastAsia="Cambria" w:hAnsi="Cambria" w:cs="Cambria"/>
          <w:b/>
        </w:rPr>
      </w:pPr>
    </w:p>
    <w:p w:rsidR="009F49DC" w:rsidRDefault="005235EA">
      <w:pPr>
        <w:pStyle w:val="Ttulo1"/>
        <w:rPr>
          <w:rFonts w:ascii="Times New Roman" w:eastAsia="Times New Roman" w:hAnsi="Times New Roman" w:cs="Times New Roman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</w:rPr>
        <w:lastRenderedPageBreak/>
        <w:t xml:space="preserve">PARTE GENERAL: </w:t>
      </w:r>
      <w:r>
        <w:rPr>
          <w:rFonts w:ascii="Times New Roman" w:eastAsia="Times New Roman" w:hAnsi="Times New Roman" w:cs="Times New Roman"/>
        </w:rPr>
        <w:t>EJECUCIÓN PRESUPUESTARIA</w:t>
      </w:r>
    </w:p>
    <w:p w:rsidR="009F49DC" w:rsidRDefault="009F49DC"/>
    <w:p w:rsidR="009F49DC" w:rsidRDefault="005235EA">
      <w:pPr>
        <w:pStyle w:val="Ttulo2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Descrip</w:t>
      </w:r>
      <w:r>
        <w:rPr>
          <w:rFonts w:ascii="Times New Roman" w:eastAsia="Times New Roman" w:hAnsi="Times New Roman" w:cs="Times New Roman"/>
          <w:sz w:val="24"/>
          <w:szCs w:val="24"/>
        </w:rPr>
        <w:t>ción del presupuesto asignado, vigente, ejecutado y saldo por ejecutar del Ministerio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176847</wp:posOffset>
            </wp:positionH>
            <wp:positionV relativeFrom="paragraph">
              <wp:posOffset>554672</wp:posOffset>
            </wp:positionV>
            <wp:extent cx="5612130" cy="2934970"/>
            <wp:effectExtent l="0" t="0" r="7620" b="17780"/>
            <wp:wrapSquare wrapText="bothSides" distT="0" distB="0" distL="114300" distR="11430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9F49DC" w:rsidRDefault="009F49DC">
      <w:pPr>
        <w:pStyle w:val="Ttulo2"/>
        <w:ind w:firstLine="0"/>
      </w:pPr>
      <w:bookmarkStart w:id="4" w:name="_2et92p0" w:colFirst="0" w:colLast="0"/>
      <w:bookmarkEnd w:id="4"/>
    </w:p>
    <w:p w:rsidR="009F49DC" w:rsidRDefault="009F49DC"/>
    <w:p w:rsidR="00E20A14" w:rsidRDefault="00E20A14"/>
    <w:p w:rsidR="00E20A14" w:rsidRDefault="00E20A14"/>
    <w:p w:rsidR="00E20A14" w:rsidRDefault="00E20A14"/>
    <w:p w:rsidR="00E20A14" w:rsidRDefault="00E20A14"/>
    <w:p w:rsidR="00E20A14" w:rsidRDefault="00E20A14"/>
    <w:p w:rsidR="00E20A14" w:rsidRDefault="00E20A14"/>
    <w:p w:rsidR="00E20A14" w:rsidRDefault="00E20A14"/>
    <w:p w:rsidR="00E20A14" w:rsidRDefault="00E20A14"/>
    <w:p w:rsidR="00E20A14" w:rsidRDefault="00E20A14"/>
    <w:p w:rsidR="00E20A14" w:rsidRDefault="00E20A14"/>
    <w:p w:rsidR="00E20A14" w:rsidRDefault="00E20A14"/>
    <w:p w:rsidR="00E20A14" w:rsidRDefault="00E20A14"/>
    <w:p w:rsidR="00E20A14" w:rsidRDefault="00E20A14"/>
    <w:p w:rsidR="00E20A14" w:rsidRDefault="00E20A14"/>
    <w:p w:rsidR="00E20A14" w:rsidRDefault="00E20A14"/>
    <w:p w:rsidR="00E20A14" w:rsidRDefault="00E20A14"/>
    <w:p w:rsidR="009F49DC" w:rsidRDefault="009F49DC"/>
    <w:p w:rsidR="009F49DC" w:rsidRDefault="005235EA">
      <w:pPr>
        <w:pStyle w:val="Ttulo2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Descripción del porcentaje de ejecución</w:t>
      </w:r>
    </w:p>
    <w:p w:rsidR="009F49DC" w:rsidRDefault="009F49DC">
      <w:pPr>
        <w:spacing w:line="276" w:lineRule="auto"/>
        <w:rPr>
          <w:rFonts w:ascii="Times New Roman" w:eastAsia="Times New Roman" w:hAnsi="Times New Roman" w:cs="Times New Roman"/>
        </w:rPr>
      </w:pPr>
    </w:p>
    <w:p w:rsidR="009F49DC" w:rsidRDefault="005235EA">
      <w:pPr>
        <w:spacing w:line="276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30 de abril del presente año el Ministerio de Relaciones Exteriores ha ejecutado un 28.1% del presupuesto vigente.</w:t>
      </w:r>
    </w:p>
    <w:p w:rsidR="009F49DC" w:rsidRDefault="009F49DC">
      <w:pPr>
        <w:spacing w:line="276" w:lineRule="auto"/>
        <w:rPr>
          <w:rFonts w:ascii="Times New Roman" w:eastAsia="Times New Roman" w:hAnsi="Times New Roman" w:cs="Times New Roman"/>
        </w:rPr>
      </w:pPr>
    </w:p>
    <w:p w:rsidR="009F49DC" w:rsidRDefault="005235EA">
      <w:pPr>
        <w:pStyle w:val="Ttulo2"/>
        <w:numPr>
          <w:ilvl w:val="0"/>
          <w:numId w:val="2"/>
        </w:numPr>
      </w:pPr>
      <w:bookmarkStart w:id="5" w:name="_tyjcwt" w:colFirst="0" w:colLast="0"/>
      <w:bookmarkEnd w:id="5"/>
      <w:r>
        <w:t>Gráfica y descripción del presupuesto asignado, vigente, ejecutado y saldo por ejecutar por grupo de gasto</w:t>
      </w: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5235EA">
      <w:pPr>
        <w:jc w:val="center"/>
        <w:rPr>
          <w:rFonts w:ascii="Cambria" w:eastAsia="Cambria" w:hAnsi="Cambria" w:cs="Cambria"/>
          <w:b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824537" cy="4024313"/>
            <wp:effectExtent l="0" t="0" r="5080" b="1460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5235EA">
      <w:pPr>
        <w:pStyle w:val="Ttulo2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Gráfica y descripción del presupuesto asignado, vigente, ejecutado y saldo por ejecutar del grupo de gasto de servicios personales (grupo 0)</w:t>
      </w: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5235EA">
      <w:pPr>
        <w:jc w:val="center"/>
        <w:rPr>
          <w:rFonts w:ascii="Cambria" w:eastAsia="Cambria" w:hAnsi="Cambria" w:cs="Cambria"/>
          <w:b/>
        </w:rPr>
      </w:pPr>
      <w:r>
        <w:rPr>
          <w:noProof/>
        </w:rPr>
        <w:drawing>
          <wp:inline distT="0" distB="0" distL="0" distR="0">
            <wp:extent cx="5612130" cy="3587750"/>
            <wp:effectExtent l="0" t="0" r="7620" b="127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5235EA">
      <w:pPr>
        <w:pStyle w:val="Ttulo2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Explicación de la importancia de la erogación en servicios personales</w:t>
      </w:r>
    </w:p>
    <w:p w:rsidR="009F49DC" w:rsidRDefault="009F49DC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9F49DC" w:rsidRDefault="005235E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Los recursos financieros utilizados en e</w:t>
      </w:r>
      <w:r>
        <w:rPr>
          <w:rFonts w:ascii="Times New Roman" w:eastAsia="Times New Roman" w:hAnsi="Times New Roman" w:cs="Times New Roman"/>
        </w:rPr>
        <w:t>l grupo “0”, corresponden al pago de nómina de las Oficinas Centrales y Servicio Exterior, lo cual permite al Ministerio de Relaciones Exteriores, atender las funciones específicas que por ley le competen a través de 84 misiones de representación en el ser</w:t>
      </w:r>
      <w:r>
        <w:rPr>
          <w:rFonts w:ascii="Times New Roman" w:eastAsia="Times New Roman" w:hAnsi="Times New Roman" w:cs="Times New Roman"/>
        </w:rPr>
        <w:t>vicio exterior y las diferentes Unidades Administrativas en Oficinas Centrales.  El recurso humano con el que cuenta el Ministerio corresponde a 647 servidores públicos nombrados en renglón permanente y temporal (011 y 022), 149 contrataciones por jornal (</w:t>
      </w:r>
      <w:r>
        <w:rPr>
          <w:rFonts w:ascii="Times New Roman" w:eastAsia="Times New Roman" w:hAnsi="Times New Roman" w:cs="Times New Roman"/>
        </w:rPr>
        <w:t>031) y 75 contrataciones (029).</w:t>
      </w: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E20A14" w:rsidRDefault="00E20A14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5235EA">
      <w:pPr>
        <w:pStyle w:val="Ttulo2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8" w:name="_4d34og8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Gráfica y descripción del presupuesto vigente, ejecutado y saldo por ejecutar de la inversión en general</w:t>
      </w: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5235EA">
      <w:pPr>
        <w:jc w:val="center"/>
        <w:rPr>
          <w:rFonts w:ascii="Cambria" w:eastAsia="Cambria" w:hAnsi="Cambria" w:cs="Cambria"/>
          <w:b/>
        </w:rPr>
      </w:pPr>
      <w:r>
        <w:rPr>
          <w:noProof/>
        </w:rPr>
        <w:drawing>
          <wp:inline distT="0" distB="0" distL="0" distR="0">
            <wp:extent cx="4738688" cy="2471738"/>
            <wp:effectExtent l="0" t="0" r="5080" b="508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5235EA">
      <w:pPr>
        <w:pStyle w:val="Ttulo2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Gráfica y descripción del presupuesto vigente, ejecutado y saldo por finalidad</w:t>
      </w: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5235EA">
      <w:pPr>
        <w:jc w:val="center"/>
        <w:rPr>
          <w:rFonts w:ascii="Cambria" w:eastAsia="Cambria" w:hAnsi="Cambria" w:cs="Cambria"/>
          <w:b/>
        </w:rPr>
      </w:pPr>
      <w:r>
        <w:rPr>
          <w:noProof/>
        </w:rPr>
        <w:drawing>
          <wp:inline distT="0" distB="0" distL="0" distR="0">
            <wp:extent cx="5100637" cy="2386012"/>
            <wp:effectExtent l="0" t="0" r="5080" b="1460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616116" w:rsidRDefault="00616116">
      <w:pPr>
        <w:jc w:val="center"/>
        <w:rPr>
          <w:rFonts w:ascii="Cambria" w:eastAsia="Cambria" w:hAnsi="Cambria" w:cs="Cambria"/>
          <w:b/>
        </w:rPr>
      </w:pPr>
    </w:p>
    <w:p w:rsidR="009F49DC" w:rsidRDefault="009F49DC">
      <w:pPr>
        <w:jc w:val="center"/>
        <w:rPr>
          <w:rFonts w:ascii="Cambria" w:eastAsia="Cambria" w:hAnsi="Cambria" w:cs="Cambria"/>
          <w:b/>
        </w:rPr>
      </w:pPr>
    </w:p>
    <w:p w:rsidR="009F49DC" w:rsidRDefault="005235EA">
      <w:pPr>
        <w:pStyle w:val="Ttulo2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10" w:name="_17dp8vu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Explicación de la ejecución presupuestaria por su finalidad</w:t>
      </w:r>
    </w:p>
    <w:p w:rsidR="009F49DC" w:rsidRDefault="009F49DC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9F49DC" w:rsidRDefault="005235E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Los recursos públicos se utilizan con fines específicos para el cumplimiento de los objetivos sociales y económicos del Estado que impactan directamente en la población. </w:t>
      </w:r>
    </w:p>
    <w:p w:rsidR="009F49DC" w:rsidRDefault="005235EA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Cada entidad atiende y p</w:t>
      </w:r>
      <w:r>
        <w:rPr>
          <w:rFonts w:ascii="Times New Roman" w:eastAsia="Times New Roman" w:hAnsi="Times New Roman" w:cs="Times New Roman"/>
        </w:rPr>
        <w:t>rioriza las finalidades que le corresponden de conformidad con la ley. En el caso del Ministerio de Relaciones Exteriores, su presupuesto está destinado a brindar “Servicios Públicos Generales”.</w:t>
      </w:r>
    </w:p>
    <w:p w:rsidR="0040363E" w:rsidRDefault="0040363E" w:rsidP="009C50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skerville Old Face" w:eastAsia="Libre Baskerville" w:hAnsi="Baskerville Old Face" w:cs="Libre Baskerville"/>
          <w:color w:val="000000"/>
        </w:rPr>
      </w:pPr>
    </w:p>
    <w:p w:rsidR="009C5044" w:rsidRDefault="0040363E" w:rsidP="009C50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skerville Old Face" w:eastAsia="Libre Baskerville" w:hAnsi="Baskerville Old Face" w:cs="Libre Baskerville"/>
          <w:color w:val="000000"/>
        </w:rPr>
      </w:pPr>
      <w:r>
        <w:rPr>
          <w:rFonts w:ascii="Baskerville Old Face" w:eastAsia="Libre Baskerville" w:hAnsi="Baskerville Old Face" w:cs="Libre Baskerville"/>
          <w:color w:val="000000"/>
        </w:rPr>
        <w:t>A continuación s</w:t>
      </w:r>
      <w:r w:rsidR="009C5044">
        <w:rPr>
          <w:rFonts w:ascii="Baskerville Old Face" w:eastAsia="Libre Baskerville" w:hAnsi="Baskerville Old Face" w:cs="Libre Baskerville"/>
          <w:color w:val="000000"/>
        </w:rPr>
        <w:t xml:space="preserve">e adjuntan </w:t>
      </w:r>
      <w:r w:rsidR="009C5044">
        <w:rPr>
          <w:rFonts w:ascii="Baskerville Old Face" w:eastAsia="Libre Baskerville" w:hAnsi="Baskerville Old Face" w:cs="Libre Baskerville"/>
          <w:color w:val="000000"/>
        </w:rPr>
        <w:t xml:space="preserve">los reportes identificados con los códigos IGRC01, IGRC02, IGRC03, IGRC04, IGRC05 </w:t>
      </w:r>
      <w:proofErr w:type="gramStart"/>
      <w:r w:rsidR="009C5044">
        <w:rPr>
          <w:rFonts w:ascii="Baskerville Old Face" w:eastAsia="Libre Baskerville" w:hAnsi="Baskerville Old Face" w:cs="Libre Baskerville"/>
          <w:color w:val="000000"/>
        </w:rPr>
        <w:t>y</w:t>
      </w:r>
      <w:proofErr w:type="gramEnd"/>
      <w:r w:rsidR="009C5044">
        <w:rPr>
          <w:rFonts w:ascii="Baskerville Old Face" w:eastAsia="Libre Baskerville" w:hAnsi="Baskerville Old Face" w:cs="Libre Baskerville"/>
          <w:color w:val="000000"/>
        </w:rPr>
        <w:t xml:space="preserve"> IGRC06, </w:t>
      </w:r>
      <w:r>
        <w:rPr>
          <w:rFonts w:ascii="Baskerville Old Face" w:eastAsia="Libre Baskerville" w:hAnsi="Baskerville Old Face" w:cs="Libre Baskerville"/>
          <w:color w:val="000000"/>
        </w:rPr>
        <w:t>que contiene</w:t>
      </w:r>
      <w:r w:rsidRPr="0040363E">
        <w:t xml:space="preserve"> </w:t>
      </w:r>
      <w:r w:rsidRPr="0040363E">
        <w:rPr>
          <w:rFonts w:ascii="Baskerville Old Face" w:eastAsia="Libre Baskerville" w:hAnsi="Baskerville Old Face" w:cs="Libre Baskerville"/>
          <w:color w:val="000000"/>
        </w:rPr>
        <w:t xml:space="preserve">el informe de Gestión y Rendición de </w:t>
      </w:r>
      <w:r w:rsidR="00BD4312">
        <w:rPr>
          <w:rFonts w:ascii="Baskerville Old Face" w:eastAsia="Libre Baskerville" w:hAnsi="Baskerville Old Face" w:cs="Libre Baskerville"/>
          <w:color w:val="000000"/>
        </w:rPr>
        <w:t>C</w:t>
      </w:r>
      <w:bookmarkStart w:id="11" w:name="_GoBack"/>
      <w:bookmarkEnd w:id="11"/>
      <w:r w:rsidRPr="0040363E">
        <w:rPr>
          <w:rFonts w:ascii="Baskerville Old Face" w:eastAsia="Libre Baskerville" w:hAnsi="Baskerville Old Face" w:cs="Libre Baskerville"/>
          <w:color w:val="000000"/>
        </w:rPr>
        <w:t>uentas</w:t>
      </w:r>
      <w:r>
        <w:rPr>
          <w:rFonts w:ascii="Baskerville Old Face" w:eastAsia="Libre Baskerville" w:hAnsi="Baskerville Old Face" w:cs="Libre Baskerville"/>
          <w:color w:val="000000"/>
        </w:rPr>
        <w:t xml:space="preserve">, </w:t>
      </w:r>
      <w:r w:rsidR="009C5044">
        <w:rPr>
          <w:rFonts w:ascii="Baskerville Old Face" w:eastAsia="Libre Baskerville" w:hAnsi="Baskerville Old Face" w:cs="Libre Baskerville"/>
          <w:color w:val="000000"/>
        </w:rPr>
        <w:t>generados del Sistema de Contabilidad Integrada –SICOIN-.</w:t>
      </w:r>
    </w:p>
    <w:p w:rsidR="009C5044" w:rsidRDefault="009C5044" w:rsidP="009C50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skerville Old Face" w:eastAsia="Libre Baskerville" w:hAnsi="Baskerville Old Face" w:cs="Libre Baskerville"/>
          <w:color w:val="000000"/>
        </w:rPr>
      </w:pPr>
    </w:p>
    <w:p w:rsidR="009C5044" w:rsidRDefault="009C5044" w:rsidP="009C50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skerville Old Face" w:eastAsia="Libre Baskerville" w:hAnsi="Baskerville Old Face" w:cs="Libre Baskerville"/>
          <w:color w:val="000000"/>
        </w:rPr>
      </w:pPr>
    </w:p>
    <w:p w:rsidR="009C5044" w:rsidRDefault="009C5044" w:rsidP="009C50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skerville Old Face" w:eastAsia="Libre Baskerville" w:hAnsi="Baskerville Old Face" w:cs="Libre Baskerville"/>
          <w:color w:val="000000"/>
        </w:rPr>
      </w:pPr>
    </w:p>
    <w:p w:rsidR="009F49DC" w:rsidRDefault="009F49DC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sectPr w:rsidR="009F49DC">
      <w:headerReference w:type="default" r:id="rId13"/>
      <w:footerReference w:type="default" r:id="rId14"/>
      <w:pgSz w:w="12240" w:h="15840"/>
      <w:pgMar w:top="218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EA" w:rsidRDefault="005235EA">
      <w:r>
        <w:separator/>
      </w:r>
    </w:p>
  </w:endnote>
  <w:endnote w:type="continuationSeparator" w:id="0">
    <w:p w:rsidR="005235EA" w:rsidRDefault="0052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Bold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DC" w:rsidRDefault="005235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F439CA8" wp14:editId="5FDDC766">
          <wp:simplePos x="0" y="0"/>
          <wp:positionH relativeFrom="column">
            <wp:posOffset>1390015</wp:posOffset>
          </wp:positionH>
          <wp:positionV relativeFrom="paragraph">
            <wp:posOffset>0</wp:posOffset>
          </wp:positionV>
          <wp:extent cx="2832100" cy="53340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21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EA" w:rsidRDefault="005235EA">
      <w:r>
        <w:separator/>
      </w:r>
    </w:p>
  </w:footnote>
  <w:footnote w:type="continuationSeparator" w:id="0">
    <w:p w:rsidR="005235EA" w:rsidRDefault="0052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DC" w:rsidRDefault="005235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CBFEA2E" wp14:editId="7987C8CA">
          <wp:simplePos x="0" y="0"/>
          <wp:positionH relativeFrom="column">
            <wp:posOffset>-1105534</wp:posOffset>
          </wp:positionH>
          <wp:positionV relativeFrom="paragraph">
            <wp:posOffset>998220</wp:posOffset>
          </wp:positionV>
          <wp:extent cx="7790325" cy="7733030"/>
          <wp:effectExtent l="0" t="0" r="0" b="0"/>
          <wp:wrapNone/>
          <wp:docPr id="7" name="image8.png" descr="D:\Documents\Imagen de Gobierno\EscudoAgu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D:\Documents\Imagen de Gobierno\EscudoAgu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0325" cy="7733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2EE4AB" wp14:editId="4707548E">
          <wp:simplePos x="0" y="0"/>
          <wp:positionH relativeFrom="column">
            <wp:posOffset>1334452</wp:posOffset>
          </wp:positionH>
          <wp:positionV relativeFrom="paragraph">
            <wp:posOffset>-1904</wp:posOffset>
          </wp:positionV>
          <wp:extent cx="2943225" cy="723900"/>
          <wp:effectExtent l="0" t="0" r="0" b="0"/>
          <wp:wrapNone/>
          <wp:docPr id="8" name="image9.png" descr="D:\Downloads\Logo-MINEX-2020-pequeño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D:\Downloads\Logo-MINEX-2020-pequeño (2).png"/>
                  <pic:cNvPicPr preferRelativeResize="0"/>
                </pic:nvPicPr>
                <pic:blipFill>
                  <a:blip r:embed="rId2"/>
                  <a:srcRect r="14876"/>
                  <a:stretch>
                    <a:fillRect/>
                  </a:stretch>
                </pic:blipFill>
                <pic:spPr>
                  <a:xfrm>
                    <a:off x="0" y="0"/>
                    <a:ext cx="294322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A9"/>
    <w:multiLevelType w:val="multilevel"/>
    <w:tmpl w:val="AB7E6E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3C5E"/>
    <w:multiLevelType w:val="multilevel"/>
    <w:tmpl w:val="5CB2A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CE218A"/>
    <w:multiLevelType w:val="multilevel"/>
    <w:tmpl w:val="A08A6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648F7"/>
    <w:multiLevelType w:val="multilevel"/>
    <w:tmpl w:val="E5F69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13EAD"/>
    <w:multiLevelType w:val="multilevel"/>
    <w:tmpl w:val="553098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048A9"/>
    <w:multiLevelType w:val="multilevel"/>
    <w:tmpl w:val="682E0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71B4C"/>
    <w:multiLevelType w:val="multilevel"/>
    <w:tmpl w:val="E662B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80A5E5B"/>
    <w:multiLevelType w:val="multilevel"/>
    <w:tmpl w:val="1F1E2A46"/>
    <w:lvl w:ilvl="0">
      <w:start w:val="1"/>
      <w:numFmt w:val="decimal"/>
      <w:lvlText w:val="%1."/>
      <w:lvlJc w:val="left"/>
      <w:pPr>
        <w:ind w:left="360" w:hanging="360"/>
      </w:pPr>
      <w:rPr>
        <w:b/>
        <w:color w:val="055D8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5A64AB"/>
    <w:multiLevelType w:val="multilevel"/>
    <w:tmpl w:val="794E1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9DC"/>
    <w:rsid w:val="0040363E"/>
    <w:rsid w:val="005235EA"/>
    <w:rsid w:val="00616116"/>
    <w:rsid w:val="009C5044"/>
    <w:rsid w:val="009F49DC"/>
    <w:rsid w:val="00BD4312"/>
    <w:rsid w:val="00CA2CAF"/>
    <w:rsid w:val="00E2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line="276" w:lineRule="auto"/>
      <w:ind w:left="360" w:hanging="360"/>
      <w:jc w:val="both"/>
      <w:outlineLvl w:val="1"/>
    </w:pPr>
    <w:rPr>
      <w:rFonts w:ascii="Montserrat SemiBold" w:eastAsia="Montserrat SemiBold" w:hAnsi="Montserrat SemiBold" w:cs="Montserrat SemiBold"/>
      <w:b/>
      <w:color w:val="055D81"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C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line="276" w:lineRule="auto"/>
      <w:ind w:left="360" w:hanging="360"/>
      <w:jc w:val="both"/>
      <w:outlineLvl w:val="1"/>
    </w:pPr>
    <w:rPr>
      <w:rFonts w:ascii="Montserrat SemiBold" w:eastAsia="Montserrat SemiBold" w:hAnsi="Montserrat SemiBold" w:cs="Montserrat SemiBold"/>
      <w:b/>
      <w:color w:val="055D81"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C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mregt-my.sharepoint.com/personal/mgp_minex_gob_gt/Documents/Proyectos/INFORMES%20CUATRIMESTRALES%20PRESIDENCIA/2022/PRIMER%20CUATRIMESTRE/Informaci&#243;n%20para%20generar%20las%20graficas%20del%20informe%20primer%20cuatrimestre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mregt-my.sharepoint.com/personal/mgp_minex_gob_gt/Documents/Proyectos/INFORMES%20CUATRIMESTRALES%20PRESIDENCIA/2022/PRIMER%20CUATRIMESTRE/Informaci&#243;n%20para%20generar%20las%20graficas%20del%20informe%20primer%20cuatrimestre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mregt-my.sharepoint.com/personal/mgp_minex_gob_gt/Documents/Proyectos/INFORMES%20CUATRIMESTRALES%20PRESIDENCIA/2022/PRIMER%20CUATRIMESTRE/Informaci&#243;n%20para%20generar%20las%20graficas%20del%20informe%20primer%20cuatrimestre%20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mregt-my.sharepoint.com/personal/mgp_minex_gob_gt/Documents/Proyectos/INFORMES%20CUATRIMESTRALES%20PRESIDENCIA/2022/PRIMER%20CUATRIMESTRE/Informaci&#243;n%20para%20generar%20las%20graficas%20del%20informe%20primer%20cuatrimestre%20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s://mregt-my.sharepoint.com/personal/mgp_minex_gob_gt/Documents/Proyectos/INFORMES%20CUATRIMESTRALES%20PRESIDENCIA/2022/PRIMER%20CUATRIMESTRE/Informaci&#243;n%20para%20generar%20las%20graficas%20del%20informe%20primer%20cuatrimestre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'Informe '!$C$8</c:f>
              <c:strCache>
                <c:ptCount val="1"/>
                <c:pt idx="0">
                  <c:v>Ministerio de Relaciones Exteriores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546-43E6-BDFC-F914C033F35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546-43E6-BDFC-F914C033F35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546-43E6-BDFC-F914C033F35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546-43E6-BDFC-F914C033F35A}"/>
              </c:ext>
            </c:extLst>
          </c:dPt>
          <c:dLbls>
            <c:dLbl>
              <c:idx val="0"/>
              <c:layout>
                <c:manualLayout>
                  <c:x val="1.7266187050359712E-2"/>
                  <c:y val="-5.8688666444466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46-43E6-BDFC-F914C033F35A}"/>
                </c:ext>
              </c:extLst>
            </c:dLbl>
            <c:dLbl>
              <c:idx val="1"/>
              <c:layout>
                <c:manualLayout>
                  <c:x val="1.9184652278177457E-2"/>
                  <c:y val="-5.8688666444466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46-43E6-BDFC-F914C033F35A}"/>
                </c:ext>
              </c:extLst>
            </c:dLbl>
            <c:dLbl>
              <c:idx val="2"/>
              <c:layout>
                <c:manualLayout>
                  <c:x val="2.3021582733812881E-2"/>
                  <c:y val="-6.96927914028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46-43E6-BDFC-F914C033F35A}"/>
                </c:ext>
              </c:extLst>
            </c:dLbl>
            <c:dLbl>
              <c:idx val="3"/>
              <c:layout>
                <c:manualLayout>
                  <c:x val="1.7266187050359573E-2"/>
                  <c:y val="-5.5020624791687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46-43E6-BDFC-F914C033F3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'Informe '!$D$7:$G$7</c:f>
              <c:strCache>
                <c:ptCount val="4"/>
                <c:pt idx="0">
                  <c:v>Asignado </c:v>
                </c:pt>
                <c:pt idx="1">
                  <c:v>Vigente </c:v>
                </c:pt>
                <c:pt idx="2">
                  <c:v>Ejecutado </c:v>
                </c:pt>
                <c:pt idx="3">
                  <c:v>Saldo </c:v>
                </c:pt>
              </c:strCache>
            </c:strRef>
          </c:cat>
          <c:val>
            <c:numRef>
              <c:f>'Informe '!$D$8:$G$8</c:f>
              <c:numCache>
                <c:formatCode>_(* #,##0.00_);_(* \(#,##0.00\);_(* "-"??_);_(@_)</c:formatCode>
                <c:ptCount val="4"/>
                <c:pt idx="0">
                  <c:v>610573000</c:v>
                </c:pt>
                <c:pt idx="1">
                  <c:v>610573000</c:v>
                </c:pt>
                <c:pt idx="2">
                  <c:v>171416117.52000001</c:v>
                </c:pt>
                <c:pt idx="3">
                  <c:v>439156882.48000002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546-43E6-BDFC-F914C033F3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9281152"/>
        <c:axId val="159293824"/>
        <c:axId val="0"/>
      </c:bar3DChart>
      <c:catAx>
        <c:axId val="15928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9293824"/>
        <c:crosses val="autoZero"/>
        <c:auto val="1"/>
        <c:lblAlgn val="ctr"/>
        <c:lblOffset val="100"/>
        <c:noMultiLvlLbl val="0"/>
      </c:catAx>
      <c:valAx>
        <c:axId val="159293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9281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'Informe '!$D$13</c:f>
              <c:strCache>
                <c:ptCount val="1"/>
                <c:pt idx="0">
                  <c:v>Asignado 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'Informe '!$C$14:$C$18</c:f>
              <c:strCache>
                <c:ptCount val="5"/>
                <c:pt idx="0">
                  <c:v>000- Servicios personales </c:v>
                </c:pt>
                <c:pt idx="1">
                  <c:v>100 - Servicios no personales </c:v>
                </c:pt>
                <c:pt idx="2">
                  <c:v>200 - Materiales y suministros </c:v>
                </c:pt>
                <c:pt idx="3">
                  <c:v>300 - Propiedad, planta, equipo e intangibles </c:v>
                </c:pt>
                <c:pt idx="4">
                  <c:v>400 - Transferencias corrientes </c:v>
                </c:pt>
              </c:strCache>
            </c:strRef>
          </c:cat>
          <c:val>
            <c:numRef>
              <c:f>'Informe '!$D$14:$D$18</c:f>
              <c:numCache>
                <c:formatCode>#,##0.00</c:formatCode>
                <c:ptCount val="5"/>
                <c:pt idx="0">
                  <c:v>250895207</c:v>
                </c:pt>
                <c:pt idx="1">
                  <c:v>263269825</c:v>
                </c:pt>
                <c:pt idx="2">
                  <c:v>15543066</c:v>
                </c:pt>
                <c:pt idx="3">
                  <c:v>10966824</c:v>
                </c:pt>
                <c:pt idx="4">
                  <c:v>69898078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DD-4F0C-B305-2785A084BF7F}"/>
            </c:ext>
          </c:extLst>
        </c:ser>
        <c:ser>
          <c:idx val="1"/>
          <c:order val="1"/>
          <c:tx>
            <c:strRef>
              <c:f>'Informe '!$E$13</c:f>
              <c:strCache>
                <c:ptCount val="1"/>
                <c:pt idx="0">
                  <c:v>Vigente 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  <a:effectLst/>
              <a:sp3d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ADD-4F0C-B305-2785A084BF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'Informe '!$C$14:$C$18</c:f>
              <c:strCache>
                <c:ptCount val="5"/>
                <c:pt idx="0">
                  <c:v>000- Servicios personales </c:v>
                </c:pt>
                <c:pt idx="1">
                  <c:v>100 - Servicios no personales </c:v>
                </c:pt>
                <c:pt idx="2">
                  <c:v>200 - Materiales y suministros </c:v>
                </c:pt>
                <c:pt idx="3">
                  <c:v>300 - Propiedad, planta, equipo e intangibles </c:v>
                </c:pt>
                <c:pt idx="4">
                  <c:v>400 - Transferencias corrientes </c:v>
                </c:pt>
              </c:strCache>
            </c:strRef>
          </c:cat>
          <c:val>
            <c:numRef>
              <c:f>'Informe '!$E$14:$E$18</c:f>
              <c:numCache>
                <c:formatCode>#,##0.00</c:formatCode>
                <c:ptCount val="5"/>
                <c:pt idx="0">
                  <c:v>250895207</c:v>
                </c:pt>
                <c:pt idx="1">
                  <c:v>263269825</c:v>
                </c:pt>
                <c:pt idx="2">
                  <c:v>15543066</c:v>
                </c:pt>
                <c:pt idx="3">
                  <c:v>10966824</c:v>
                </c:pt>
                <c:pt idx="4">
                  <c:v>69898078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DD-4F0C-B305-2785A084BF7F}"/>
            </c:ext>
          </c:extLst>
        </c:ser>
        <c:ser>
          <c:idx val="2"/>
          <c:order val="2"/>
          <c:tx>
            <c:strRef>
              <c:f>'Informe '!$F$13</c:f>
              <c:strCache>
                <c:ptCount val="1"/>
                <c:pt idx="0">
                  <c:v>Ejecutado 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61098996947190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ADD-4F0C-B305-2785A084BF7F}"/>
                </c:ext>
              </c:extLst>
            </c:dLbl>
            <c:dLbl>
              <c:idx val="1"/>
              <c:layout>
                <c:manualLayout>
                  <c:x val="2.18054949847361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ADD-4F0C-B305-2785A084BF7F}"/>
                </c:ext>
              </c:extLst>
            </c:dLbl>
            <c:dLbl>
              <c:idx val="2"/>
              <c:layout>
                <c:manualLayout>
                  <c:x val="2.1805494984736152E-3"/>
                  <c:y val="-1.2624270159381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ADD-4F0C-B305-2785A084BF7F}"/>
                </c:ext>
              </c:extLst>
            </c:dLbl>
            <c:dLbl>
              <c:idx val="3"/>
              <c:layout>
                <c:manualLayout>
                  <c:x val="6.5416484954208464E-3"/>
                  <c:y val="-6.31213507969070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ADD-4F0C-B305-2785A084BF7F}"/>
                </c:ext>
              </c:extLst>
            </c:dLbl>
            <c:dLbl>
              <c:idx val="4"/>
              <c:layout>
                <c:manualLayout>
                  <c:x val="2.180549498473455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ADD-4F0C-B305-2785A084BF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'Informe '!$C$14:$C$18</c:f>
              <c:strCache>
                <c:ptCount val="5"/>
                <c:pt idx="0">
                  <c:v>000- Servicios personales </c:v>
                </c:pt>
                <c:pt idx="1">
                  <c:v>100 - Servicios no personales </c:v>
                </c:pt>
                <c:pt idx="2">
                  <c:v>200 - Materiales y suministros </c:v>
                </c:pt>
                <c:pt idx="3">
                  <c:v>300 - Propiedad, planta, equipo e intangibles </c:v>
                </c:pt>
                <c:pt idx="4">
                  <c:v>400 - Transferencias corrientes </c:v>
                </c:pt>
              </c:strCache>
            </c:strRef>
          </c:cat>
          <c:val>
            <c:numRef>
              <c:f>'Informe '!$F$14:$F$18</c:f>
              <c:numCache>
                <c:formatCode>#,##0.00</c:formatCode>
                <c:ptCount val="5"/>
                <c:pt idx="0">
                  <c:v>86292077.269999996</c:v>
                </c:pt>
                <c:pt idx="1">
                  <c:v>49891727.479999997</c:v>
                </c:pt>
                <c:pt idx="2">
                  <c:v>2079191.2</c:v>
                </c:pt>
                <c:pt idx="3">
                  <c:v>624800.65</c:v>
                </c:pt>
                <c:pt idx="4">
                  <c:v>32528320.920000002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ADD-4F0C-B305-2785A084BF7F}"/>
            </c:ext>
          </c:extLst>
        </c:ser>
        <c:ser>
          <c:idx val="3"/>
          <c:order val="3"/>
          <c:tx>
            <c:strRef>
              <c:f>'Informe '!$G$13</c:f>
              <c:strCache>
                <c:ptCount val="1"/>
                <c:pt idx="0">
                  <c:v>Saldo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'Informe '!$C$14:$C$18</c:f>
              <c:strCache>
                <c:ptCount val="5"/>
                <c:pt idx="0">
                  <c:v>000- Servicios personales </c:v>
                </c:pt>
                <c:pt idx="1">
                  <c:v>100 - Servicios no personales </c:v>
                </c:pt>
                <c:pt idx="2">
                  <c:v>200 - Materiales y suministros </c:v>
                </c:pt>
                <c:pt idx="3">
                  <c:v>300 - Propiedad, planta, equipo e intangibles </c:v>
                </c:pt>
                <c:pt idx="4">
                  <c:v>400 - Transferencias corrientes </c:v>
                </c:pt>
              </c:strCache>
            </c:strRef>
          </c:cat>
          <c:val>
            <c:numRef>
              <c:f>'Informe '!$G$14:$G$18</c:f>
              <c:numCache>
                <c:formatCode>#,##0.00</c:formatCode>
                <c:ptCount val="5"/>
                <c:pt idx="0">
                  <c:v>164603129.73000002</c:v>
                </c:pt>
                <c:pt idx="1">
                  <c:v>213378097.52000001</c:v>
                </c:pt>
                <c:pt idx="2">
                  <c:v>13463874.800000001</c:v>
                </c:pt>
                <c:pt idx="3">
                  <c:v>10342023.35</c:v>
                </c:pt>
                <c:pt idx="4">
                  <c:v>37369757.079999998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ADD-4F0C-B305-2785A084BF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9376128"/>
        <c:axId val="159377664"/>
        <c:axId val="0"/>
      </c:bar3DChart>
      <c:catAx>
        <c:axId val="159376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9377664"/>
        <c:crosses val="autoZero"/>
        <c:auto val="1"/>
        <c:lblAlgn val="ctr"/>
        <c:lblOffset val="100"/>
        <c:noMultiLvlLbl val="0"/>
      </c:catAx>
      <c:valAx>
        <c:axId val="15937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937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'Informe '!$C$24</c:f>
              <c:strCache>
                <c:ptCount val="1"/>
                <c:pt idx="0">
                  <c:v>Servicios personales 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889-4A25-96C1-AA5F5A8312B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889-4A25-96C1-AA5F5A8312B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89-4A25-96C1-AA5F5A8312B7}"/>
              </c:ext>
            </c:extLst>
          </c:dPt>
          <c:dLbls>
            <c:dLbl>
              <c:idx val="0"/>
              <c:layout>
                <c:manualLayout>
                  <c:x val="1.3577732518669382E-2"/>
                  <c:y val="-4.55516688732493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89-4A25-96C1-AA5F5A8312B7}"/>
                </c:ext>
              </c:extLst>
            </c:dLbl>
            <c:dLbl>
              <c:idx val="1"/>
              <c:layout>
                <c:manualLayout>
                  <c:x val="2.0038737520335335E-2"/>
                  <c:y val="-4.96043481290502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89-4A25-96C1-AA5F5A8312B7}"/>
                </c:ext>
              </c:extLst>
            </c:dLbl>
            <c:dLbl>
              <c:idx val="2"/>
              <c:layout>
                <c:manualLayout>
                  <c:x val="1.5512826680778873E-2"/>
                  <c:y val="-4.80147724897220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89-4A25-96C1-AA5F5A8312B7}"/>
                </c:ext>
              </c:extLst>
            </c:dLbl>
            <c:dLbl>
              <c:idx val="3"/>
              <c:layout>
                <c:manualLayout>
                  <c:x val="1.3577732518669382E-2"/>
                  <c:y val="-3.1858407079646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89-4A25-96C1-AA5F5A8312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'Informe '!$D$23:$G$23</c:f>
              <c:strCache>
                <c:ptCount val="4"/>
                <c:pt idx="0">
                  <c:v>Asignado </c:v>
                </c:pt>
                <c:pt idx="1">
                  <c:v>Vigente </c:v>
                </c:pt>
                <c:pt idx="2">
                  <c:v>Ejecutado </c:v>
                </c:pt>
                <c:pt idx="3">
                  <c:v>Saldo </c:v>
                </c:pt>
              </c:strCache>
            </c:strRef>
          </c:cat>
          <c:val>
            <c:numRef>
              <c:f>'Informe '!$D$24:$G$24</c:f>
              <c:numCache>
                <c:formatCode>#,##0.00</c:formatCode>
                <c:ptCount val="4"/>
                <c:pt idx="0">
                  <c:v>250895207</c:v>
                </c:pt>
                <c:pt idx="1">
                  <c:v>250895207</c:v>
                </c:pt>
                <c:pt idx="2">
                  <c:v>86292077.269999996</c:v>
                </c:pt>
                <c:pt idx="3">
                  <c:v>164603129.73000002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889-4A25-96C1-AA5F5A8312B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9433856"/>
        <c:axId val="159435392"/>
        <c:axId val="0"/>
      </c:bar3DChart>
      <c:catAx>
        <c:axId val="159433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9435392"/>
        <c:crosses val="autoZero"/>
        <c:auto val="1"/>
        <c:lblAlgn val="ctr"/>
        <c:lblOffset val="100"/>
        <c:noMultiLvlLbl val="0"/>
      </c:catAx>
      <c:valAx>
        <c:axId val="15943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9433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G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'Informe '!$C$30</c:f>
              <c:strCache>
                <c:ptCount val="1"/>
                <c:pt idx="0">
                  <c:v>Inversión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B58-48F5-9116-77B0BEB4C0DF}"/>
              </c:ext>
            </c:extLst>
          </c:dPt>
          <c:dLbls>
            <c:dLbl>
              <c:idx val="0"/>
              <c:layout>
                <c:manualLayout>
                  <c:x val="2.7164681066324244E-2"/>
                  <c:y val="-4.3165475776633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58-48F5-9116-77B0BEB4C0DF}"/>
                </c:ext>
              </c:extLst>
            </c:dLbl>
            <c:dLbl>
              <c:idx val="1"/>
              <c:layout>
                <c:manualLayout>
                  <c:x val="2.5655532118195063E-2"/>
                  <c:y val="-5.75539677021786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B58-48F5-9116-77B0BEB4C0DF}"/>
                </c:ext>
              </c:extLst>
            </c:dLbl>
            <c:dLbl>
              <c:idx val="2"/>
              <c:layout>
                <c:manualLayout>
                  <c:x val="1.0564042636903873E-2"/>
                  <c:y val="-3.83693118014524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58-48F5-9116-77B0BEB4C0DF}"/>
                </c:ext>
              </c:extLst>
            </c:dLbl>
            <c:dLbl>
              <c:idx val="3"/>
              <c:layout>
                <c:manualLayout>
                  <c:x val="2.7164681066324355E-2"/>
                  <c:y val="-3.83693118014524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B58-48F5-9116-77B0BEB4C0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'Informe '!$D$29:$G$29</c:f>
              <c:strCache>
                <c:ptCount val="4"/>
                <c:pt idx="0">
                  <c:v>Asignado </c:v>
                </c:pt>
                <c:pt idx="1">
                  <c:v>Vigente </c:v>
                </c:pt>
                <c:pt idx="2">
                  <c:v>Ejecutado </c:v>
                </c:pt>
                <c:pt idx="3">
                  <c:v>Saldo </c:v>
                </c:pt>
              </c:strCache>
            </c:strRef>
          </c:cat>
          <c:val>
            <c:numRef>
              <c:f>'Informe '!$D$30:$G$30</c:f>
              <c:numCache>
                <c:formatCode>#,##0.00</c:formatCode>
                <c:ptCount val="4"/>
                <c:pt idx="0">
                  <c:v>10966824</c:v>
                </c:pt>
                <c:pt idx="1">
                  <c:v>10966824</c:v>
                </c:pt>
                <c:pt idx="2">
                  <c:v>624800.65</c:v>
                </c:pt>
                <c:pt idx="3">
                  <c:v>10342023.35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B58-48F5-9116-77B0BEB4C0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9608192"/>
        <c:axId val="159618176"/>
        <c:axId val="0"/>
      </c:bar3DChart>
      <c:catAx>
        <c:axId val="15960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9618176"/>
        <c:crosses val="autoZero"/>
        <c:auto val="1"/>
        <c:lblAlgn val="ctr"/>
        <c:lblOffset val="100"/>
        <c:noMultiLvlLbl val="0"/>
      </c:catAx>
      <c:valAx>
        <c:axId val="159618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5960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'Informe '!$C$34</c:f>
              <c:strCache>
                <c:ptCount val="1"/>
                <c:pt idx="0">
                  <c:v>Servicios Publicos Generales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3FC-494E-915B-E5D7A9617CF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FC-494E-915B-E5D7A9617CF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effectLst/>
              <a:sp3d>
                <a:contourClr>
                  <a:schemeClr val="tx2">
                    <a:lumMod val="60000"/>
                    <a:lumOff val="40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3FC-494E-915B-E5D7A9617CF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3FC-494E-915B-E5D7A9617CF3}"/>
              </c:ext>
            </c:extLst>
          </c:dPt>
          <c:dLbls>
            <c:dLbl>
              <c:idx val="0"/>
              <c:layout>
                <c:manualLayout>
                  <c:x val="2.5351553181869418E-2"/>
                  <c:y val="-5.8574174008262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FC-494E-915B-E5D7A9617CF3}"/>
                </c:ext>
              </c:extLst>
            </c:dLbl>
            <c:dLbl>
              <c:idx val="1"/>
              <c:layout>
                <c:manualLayout>
                  <c:x val="1.9013664886402028E-2"/>
                  <c:y val="-4.6242768953891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FC-494E-915B-E5D7A9617CF3}"/>
                </c:ext>
              </c:extLst>
            </c:dLbl>
            <c:dLbl>
              <c:idx val="2"/>
              <c:layout>
                <c:manualLayout>
                  <c:x val="2.0598136960268808E-2"/>
                  <c:y val="-5.5491322744669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3FC-494E-915B-E5D7A9617CF3}"/>
                </c:ext>
              </c:extLst>
            </c:dLbl>
            <c:dLbl>
              <c:idx val="3"/>
              <c:layout>
                <c:manualLayout>
                  <c:x val="1.9013664886402087E-2"/>
                  <c:y val="-4.6242768953891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3FC-494E-915B-E5D7A9617C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G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'Informe '!$D$33:$G$33</c:f>
              <c:strCache>
                <c:ptCount val="4"/>
                <c:pt idx="0">
                  <c:v>Asignado </c:v>
                </c:pt>
                <c:pt idx="1">
                  <c:v>Vigente </c:v>
                </c:pt>
                <c:pt idx="2">
                  <c:v>Ejecutado </c:v>
                </c:pt>
                <c:pt idx="3">
                  <c:v>Saldo </c:v>
                </c:pt>
              </c:strCache>
            </c:strRef>
          </c:cat>
          <c:val>
            <c:numRef>
              <c:f>'Informe '!$D$34:$G$34</c:f>
              <c:numCache>
                <c:formatCode>_(* #,##0.00_);_(* \(#,##0.00\);_(* "-"??_);_(@_)</c:formatCode>
                <c:ptCount val="4"/>
                <c:pt idx="0">
                  <c:v>610573000</c:v>
                </c:pt>
                <c:pt idx="1">
                  <c:v>610573000</c:v>
                </c:pt>
                <c:pt idx="2">
                  <c:v>171416117.51999998</c:v>
                </c:pt>
                <c:pt idx="3">
                  <c:v>439156882.48000002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3FC-494E-915B-E5D7A9617C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0063488"/>
        <c:axId val="160092544"/>
        <c:axId val="0"/>
      </c:bar3DChart>
      <c:catAx>
        <c:axId val="16006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60092544"/>
        <c:crosses val="autoZero"/>
        <c:auto val="1"/>
        <c:lblAlgn val="ctr"/>
        <c:lblOffset val="100"/>
        <c:noMultiLvlLbl val="0"/>
      </c:catAx>
      <c:valAx>
        <c:axId val="16009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GT"/>
          </a:p>
        </c:txPr>
        <c:crossAx val="160063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Wiliam Estuardo Ordóñez Barrios</dc:creator>
  <cp:lastModifiedBy>Wiliam Eduardo Ordóñez Barrios</cp:lastModifiedBy>
  <cp:revision>6</cp:revision>
  <dcterms:created xsi:type="dcterms:W3CDTF">2022-05-10T21:16:00Z</dcterms:created>
  <dcterms:modified xsi:type="dcterms:W3CDTF">2022-05-11T17:49:00Z</dcterms:modified>
</cp:coreProperties>
</file>