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charts/chart11.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xml" ContentType="application/vnd.openxmlformats-officedocument.drawingml.chartshapes+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846" w:rsidRPr="002D0B6E" w:rsidRDefault="00970846" w:rsidP="00970846">
      <w:pPr>
        <w:pBdr>
          <w:top w:val="single" w:sz="4" w:space="1" w:color="auto"/>
          <w:left w:val="single" w:sz="4" w:space="1" w:color="auto"/>
          <w:bottom w:val="single" w:sz="4" w:space="1" w:color="auto"/>
          <w:right w:val="single" w:sz="4" w:space="4" w:color="auto"/>
        </w:pBdr>
        <w:shd w:val="clear" w:color="auto" w:fill="B8CCE4" w:themeFill="accent1" w:themeFillTint="66"/>
        <w:spacing w:after="0" w:line="240" w:lineRule="auto"/>
        <w:ind w:left="284" w:right="332"/>
        <w:jc w:val="center"/>
        <w:rPr>
          <w:rFonts w:ascii="Times New Roman" w:hAnsi="Times New Roman" w:cs="Times New Roman"/>
          <w:b/>
          <w:lang w:val="es-MX"/>
        </w:rPr>
        <w:sectPr w:rsidR="00970846" w:rsidRPr="002D0B6E" w:rsidSect="00754057">
          <w:headerReference w:type="default" r:id="rId9"/>
          <w:footerReference w:type="default" r:id="rId10"/>
          <w:pgSz w:w="12240" w:h="15840" w:code="1"/>
          <w:pgMar w:top="1418" w:right="1418" w:bottom="1418" w:left="1418" w:header="709" w:footer="709" w:gutter="0"/>
          <w:cols w:space="708"/>
          <w:docGrid w:linePitch="360"/>
        </w:sectPr>
      </w:pPr>
      <w:bookmarkStart w:id="0" w:name="_GoBack"/>
      <w:bookmarkEnd w:id="0"/>
      <w:r w:rsidRPr="002D0B6E">
        <w:rPr>
          <w:rFonts w:ascii="Times New Roman" w:hAnsi="Times New Roman" w:cs="Times New Roman"/>
          <w:b/>
          <w:lang w:val="es-MX"/>
        </w:rPr>
        <w:t xml:space="preserve">Déficit fiscal </w:t>
      </w:r>
      <w:r w:rsidR="000F0085" w:rsidRPr="002D0B6E">
        <w:rPr>
          <w:rFonts w:ascii="Times New Roman" w:hAnsi="Times New Roman" w:cs="Times New Roman"/>
          <w:b/>
          <w:lang w:val="es-MX"/>
        </w:rPr>
        <w:t>aumenta en noviembre por un alto dinamismo en la ejecución del gasto público</w:t>
      </w:r>
      <w:r w:rsidRPr="002D0B6E">
        <w:rPr>
          <w:rFonts w:ascii="Times New Roman" w:hAnsi="Times New Roman" w:cs="Times New Roman"/>
          <w:b/>
          <w:lang w:val="es-MX"/>
        </w:rPr>
        <w:t xml:space="preserve"> </w:t>
      </w:r>
    </w:p>
    <w:p w:rsidR="007D4651" w:rsidRPr="00630E12" w:rsidRDefault="007D4651" w:rsidP="007D4651">
      <w:pPr>
        <w:pStyle w:val="Sinespaciado"/>
        <w:rPr>
          <w:rFonts w:ascii="Times New Roman" w:hAnsi="Times New Roman" w:cs="Times New Roman"/>
          <w:b/>
          <w:color w:val="FF0000"/>
          <w:sz w:val="6"/>
          <w:lang w:val="es-MX"/>
        </w:rPr>
      </w:pPr>
    </w:p>
    <w:p w:rsidR="007D4651" w:rsidRPr="00630E12" w:rsidRDefault="007D4651" w:rsidP="007D4651">
      <w:pPr>
        <w:pStyle w:val="Sinespaciado"/>
        <w:jc w:val="center"/>
        <w:rPr>
          <w:rFonts w:ascii="Times New Roman" w:hAnsi="Times New Roman" w:cs="Times New Roman"/>
          <w:b/>
          <w:color w:val="FF0000"/>
          <w:sz w:val="12"/>
          <w:lang w:val="es-MX"/>
        </w:rPr>
      </w:pPr>
    </w:p>
    <w:p w:rsidR="009C4027" w:rsidRPr="00630E12" w:rsidRDefault="009C4027" w:rsidP="007D4651">
      <w:pPr>
        <w:pStyle w:val="Sinespaciado"/>
        <w:jc w:val="center"/>
        <w:rPr>
          <w:rFonts w:ascii="Times New Roman" w:hAnsi="Times New Roman" w:cs="Times New Roman"/>
          <w:b/>
          <w:color w:val="FF0000"/>
          <w:lang w:val="es-MX"/>
        </w:rPr>
        <w:sectPr w:rsidR="009C4027" w:rsidRPr="00630E12" w:rsidSect="004E358C">
          <w:headerReference w:type="default" r:id="rId11"/>
          <w:footerReference w:type="default" r:id="rId12"/>
          <w:type w:val="continuous"/>
          <w:pgSz w:w="12240" w:h="15840"/>
          <w:pgMar w:top="1417" w:right="1701" w:bottom="1417" w:left="1701" w:header="708" w:footer="708" w:gutter="0"/>
          <w:cols w:space="708"/>
          <w:docGrid w:linePitch="360"/>
        </w:sectPr>
      </w:pPr>
    </w:p>
    <w:p w:rsidR="007971B0" w:rsidRDefault="002D0B6E" w:rsidP="007971B0">
      <w:pPr>
        <w:pStyle w:val="Sinespaciado"/>
        <w:jc w:val="both"/>
        <w:rPr>
          <w:rFonts w:ascii="Times New Roman" w:hAnsi="Times New Roman" w:cs="Times New Roman"/>
          <w:lang w:val="es-MX"/>
        </w:rPr>
      </w:pPr>
      <w:r w:rsidRPr="00C77E67">
        <w:rPr>
          <w:rFonts w:ascii="Times New Roman" w:hAnsi="Times New Roman" w:cs="Times New Roman"/>
          <w:lang w:val="es-MX"/>
        </w:rPr>
        <w:lastRenderedPageBreak/>
        <w:t>El resultado presupuestario del gobierno central muestra un d</w:t>
      </w:r>
      <w:r>
        <w:rPr>
          <w:rFonts w:ascii="Times New Roman" w:hAnsi="Times New Roman" w:cs="Times New Roman"/>
          <w:lang w:val="es-MX"/>
        </w:rPr>
        <w:t>éficit fiscal que se sitúa al 30 de noviembre</w:t>
      </w:r>
      <w:r w:rsidRPr="00C77E67">
        <w:rPr>
          <w:rFonts w:ascii="Times New Roman" w:hAnsi="Times New Roman" w:cs="Times New Roman"/>
          <w:lang w:val="es-MX"/>
        </w:rPr>
        <w:t xml:space="preserve"> de 2021 en Q</w:t>
      </w:r>
      <w:r>
        <w:rPr>
          <w:rFonts w:ascii="Times New Roman" w:hAnsi="Times New Roman" w:cs="Times New Roman"/>
          <w:lang w:val="es-MX"/>
        </w:rPr>
        <w:t xml:space="preserve">4,271.8 </w:t>
      </w:r>
      <w:r w:rsidRPr="00C77E67">
        <w:rPr>
          <w:rFonts w:ascii="Times New Roman" w:hAnsi="Times New Roman" w:cs="Times New Roman"/>
          <w:lang w:val="es-MX"/>
        </w:rPr>
        <w:t xml:space="preserve">millones. </w:t>
      </w:r>
      <w:r>
        <w:rPr>
          <w:rFonts w:ascii="Times New Roman" w:hAnsi="Times New Roman" w:cs="Times New Roman"/>
          <w:lang w:val="es-MX"/>
        </w:rPr>
        <w:t>El déficit es significativamente menor al observado en años anteriores, principalmente al de 2020, cuando este se ubicó en Q22,549.1 millones, debido a la alta ejecución del gasto público producto de los programas sociales y económicos que se encontraban vigentes en ese ejercicio por la pandemia COVID-19, sumado a una merma en los ingresos tributarios también como consecuencia de la pandemia.</w:t>
      </w:r>
    </w:p>
    <w:p w:rsidR="007971B0" w:rsidRDefault="007971B0" w:rsidP="007971B0">
      <w:pPr>
        <w:pStyle w:val="Sinespaciado"/>
        <w:jc w:val="both"/>
        <w:rPr>
          <w:rFonts w:ascii="Times New Roman" w:hAnsi="Times New Roman" w:cs="Times New Roman"/>
          <w:lang w:val="es-MX"/>
        </w:rPr>
      </w:pPr>
    </w:p>
    <w:p w:rsidR="007971B0" w:rsidRDefault="002D0B6E" w:rsidP="007971B0">
      <w:pPr>
        <w:pStyle w:val="Sinespaciado"/>
        <w:jc w:val="both"/>
        <w:rPr>
          <w:rFonts w:ascii="Times New Roman" w:hAnsi="Times New Roman" w:cs="Times New Roman"/>
          <w:lang w:val="es-MX"/>
        </w:rPr>
      </w:pPr>
      <w:r>
        <w:rPr>
          <w:rFonts w:ascii="Times New Roman" w:hAnsi="Times New Roman" w:cs="Times New Roman"/>
          <w:lang w:val="es-MX"/>
        </w:rPr>
        <w:t xml:space="preserve">El déficit de 2021, a esta fecha es el más bajo de los últimos años, escenario que se ha presentado por un comportamiento extraordinario en los ingresos tributarios, los mismos superan por undécimo mes consecutivo la meta de presupuesto </w:t>
      </w:r>
      <w:r>
        <w:rPr>
          <w:rFonts w:ascii="Times New Roman" w:hAnsi="Times New Roman" w:cs="Times New Roman"/>
          <w:lang w:val="es-MX"/>
        </w:rPr>
        <w:lastRenderedPageBreak/>
        <w:t xml:space="preserve">establecida, producto de la reactivación económica, el comportamiento en los precios internacionales del petróleo y las medidas administrativas adoptadas por la SAT. </w:t>
      </w:r>
    </w:p>
    <w:p w:rsidR="007971B0" w:rsidRDefault="007971B0" w:rsidP="007971B0">
      <w:pPr>
        <w:pStyle w:val="Sinespaciado"/>
        <w:jc w:val="both"/>
        <w:rPr>
          <w:rFonts w:ascii="Times New Roman" w:hAnsi="Times New Roman" w:cs="Times New Roman"/>
          <w:lang w:val="es-MX"/>
        </w:rPr>
      </w:pPr>
    </w:p>
    <w:p w:rsidR="007971B0" w:rsidRDefault="002D0B6E" w:rsidP="007971B0">
      <w:pPr>
        <w:pStyle w:val="Sinespaciado"/>
        <w:jc w:val="both"/>
        <w:rPr>
          <w:rFonts w:ascii="Times New Roman" w:hAnsi="Times New Roman" w:cs="Times New Roman"/>
          <w:lang w:val="es-MX"/>
        </w:rPr>
      </w:pPr>
      <w:r>
        <w:rPr>
          <w:rFonts w:ascii="Times New Roman" w:hAnsi="Times New Roman" w:cs="Times New Roman"/>
          <w:lang w:val="es-MX"/>
        </w:rPr>
        <w:t>Además, por el lado del gasto público, a pesar que se observó una aceleración en la ejecución de noviembre, para finales de año existirá una desaceleración respecto al año previo, debido a que el gasto asociado al COVID-19 ha sido menor.</w:t>
      </w:r>
    </w:p>
    <w:p w:rsidR="007971B0" w:rsidRDefault="007971B0" w:rsidP="007971B0">
      <w:pPr>
        <w:pStyle w:val="Sinespaciado"/>
        <w:jc w:val="both"/>
        <w:rPr>
          <w:rFonts w:ascii="Times New Roman" w:hAnsi="Times New Roman" w:cs="Times New Roman"/>
          <w:lang w:val="es-MX"/>
        </w:rPr>
      </w:pPr>
    </w:p>
    <w:p w:rsidR="002D0B6E" w:rsidRDefault="002D0B6E" w:rsidP="007971B0">
      <w:pPr>
        <w:pStyle w:val="Sinespaciado"/>
        <w:jc w:val="both"/>
        <w:rPr>
          <w:rFonts w:ascii="Times New Roman" w:hAnsi="Times New Roman" w:cs="Times New Roman"/>
          <w:lang w:val="es-MX"/>
        </w:rPr>
      </w:pPr>
      <w:r w:rsidRPr="003C5B12">
        <w:rPr>
          <w:rFonts w:ascii="Times New Roman" w:hAnsi="Times New Roman" w:cs="Times New Roman"/>
          <w:lang w:val="es-MX"/>
        </w:rPr>
        <w:t>E</w:t>
      </w:r>
      <w:r>
        <w:rPr>
          <w:rFonts w:ascii="Times New Roman" w:hAnsi="Times New Roman" w:cs="Times New Roman"/>
          <w:lang w:val="es-MX"/>
        </w:rPr>
        <w:t>l déficit fiscal se</w:t>
      </w:r>
      <w:r w:rsidRPr="003C5B12">
        <w:rPr>
          <w:rFonts w:ascii="Times New Roman" w:hAnsi="Times New Roman" w:cs="Times New Roman"/>
          <w:lang w:val="es-MX"/>
        </w:rPr>
        <w:t xml:space="preserve"> ampli</w:t>
      </w:r>
      <w:r>
        <w:rPr>
          <w:rFonts w:ascii="Times New Roman" w:hAnsi="Times New Roman" w:cs="Times New Roman"/>
          <w:lang w:val="es-MX"/>
        </w:rPr>
        <w:t>ará hacia final de año</w:t>
      </w:r>
      <w:r w:rsidRPr="003C5B12">
        <w:rPr>
          <w:rFonts w:ascii="Times New Roman" w:hAnsi="Times New Roman" w:cs="Times New Roman"/>
          <w:lang w:val="es-MX"/>
        </w:rPr>
        <w:t>,</w:t>
      </w:r>
      <w:r>
        <w:rPr>
          <w:rFonts w:ascii="Times New Roman" w:hAnsi="Times New Roman" w:cs="Times New Roman"/>
          <w:lang w:val="es-MX"/>
        </w:rPr>
        <w:t xml:space="preserve"> por el comportamiento estacional en la ejecución del gasto público y la recaudación tributaria, sin embargo, este será moderado con respecto a lo que se tenía previsto inicialmente. </w:t>
      </w:r>
    </w:p>
    <w:p w:rsidR="00D112CE" w:rsidRPr="002D0B6E" w:rsidRDefault="00D112CE" w:rsidP="00E829E3">
      <w:pPr>
        <w:pStyle w:val="Sinespaciado"/>
        <w:rPr>
          <w:rFonts w:ascii="Times New Roman" w:hAnsi="Times New Roman" w:cs="Times New Roman"/>
          <w:b/>
          <w:color w:val="FF0000"/>
          <w:sz w:val="18"/>
          <w:lang w:val="es-MX"/>
        </w:rPr>
      </w:pPr>
    </w:p>
    <w:p w:rsidR="002D0B6E" w:rsidRDefault="002D0B6E" w:rsidP="00E829E3">
      <w:pPr>
        <w:pStyle w:val="Sinespaciado"/>
        <w:rPr>
          <w:rFonts w:ascii="Times New Roman" w:hAnsi="Times New Roman" w:cs="Times New Roman"/>
          <w:b/>
          <w:color w:val="FF0000"/>
          <w:sz w:val="18"/>
        </w:rPr>
      </w:pPr>
    </w:p>
    <w:p w:rsidR="00852F6F" w:rsidRPr="00630E12" w:rsidRDefault="00852F6F" w:rsidP="00E829E3">
      <w:pPr>
        <w:pStyle w:val="Sinespaciado"/>
        <w:rPr>
          <w:rFonts w:ascii="Times New Roman" w:hAnsi="Times New Roman" w:cs="Times New Roman"/>
          <w:b/>
          <w:color w:val="FF0000"/>
          <w:sz w:val="18"/>
        </w:rPr>
        <w:sectPr w:rsidR="00852F6F" w:rsidRPr="00630E12" w:rsidSect="00BA6982">
          <w:type w:val="continuous"/>
          <w:pgSz w:w="12240" w:h="15840" w:code="1"/>
          <w:pgMar w:top="1418" w:right="1750" w:bottom="1418" w:left="1701" w:header="709" w:footer="709" w:gutter="0"/>
          <w:cols w:num="2" w:space="518"/>
          <w:docGrid w:linePitch="360"/>
        </w:sectPr>
      </w:pPr>
    </w:p>
    <w:p w:rsidR="00E829E3" w:rsidRPr="00630E12" w:rsidRDefault="00E829E3" w:rsidP="000704F4">
      <w:pPr>
        <w:pStyle w:val="Sinespaciado"/>
        <w:rPr>
          <w:rFonts w:ascii="Times New Roman" w:hAnsi="Times New Roman" w:cs="Times New Roman"/>
          <w:b/>
          <w:color w:val="FF0000"/>
          <w:sz w:val="2"/>
          <w:lang w:val="es-MX"/>
        </w:rPr>
      </w:pPr>
    </w:p>
    <w:p w:rsidR="006F5EA0" w:rsidRPr="002D0B6E" w:rsidRDefault="00950874" w:rsidP="006F5EA0">
      <w:pPr>
        <w:pStyle w:val="Sinespaciado"/>
        <w:jc w:val="center"/>
        <w:rPr>
          <w:rFonts w:ascii="Times New Roman" w:hAnsi="Times New Roman" w:cs="Times New Roman"/>
          <w:b/>
          <w:sz w:val="24"/>
          <w:lang w:val="es-MX"/>
        </w:rPr>
      </w:pPr>
      <w:r w:rsidRPr="002D0B6E">
        <w:rPr>
          <w:rFonts w:ascii="Times New Roman" w:hAnsi="Times New Roman" w:cs="Times New Roman"/>
          <w:b/>
          <w:sz w:val="24"/>
          <w:lang w:val="es-MX"/>
        </w:rPr>
        <w:t>Resultado Presupuestario</w:t>
      </w:r>
    </w:p>
    <w:p w:rsidR="00107D10" w:rsidRPr="002D0B6E" w:rsidRDefault="00107D10" w:rsidP="00107D10">
      <w:pPr>
        <w:pStyle w:val="Sinespaciado"/>
        <w:jc w:val="center"/>
        <w:rPr>
          <w:rFonts w:ascii="Times New Roman" w:hAnsi="Times New Roman" w:cs="Times New Roman"/>
          <w:sz w:val="20"/>
          <w:lang w:val="es-MX"/>
        </w:rPr>
      </w:pPr>
      <w:r w:rsidRPr="002D0B6E">
        <w:rPr>
          <w:rFonts w:ascii="Times New Roman" w:hAnsi="Times New Roman" w:cs="Times New Roman"/>
          <w:sz w:val="20"/>
          <w:lang w:val="es-MX"/>
        </w:rPr>
        <w:t>Cifras en millones de quetzales</w:t>
      </w:r>
    </w:p>
    <w:p w:rsidR="00970846" w:rsidRPr="002D0B6E" w:rsidRDefault="000F0085" w:rsidP="00970846">
      <w:pPr>
        <w:pStyle w:val="Sinespaciado"/>
        <w:jc w:val="center"/>
        <w:rPr>
          <w:rFonts w:ascii="Times New Roman" w:hAnsi="Times New Roman" w:cs="Times New Roman"/>
          <w:b/>
          <w:lang w:val="es-MX"/>
        </w:rPr>
      </w:pPr>
      <w:r w:rsidRPr="002D0B6E">
        <w:rPr>
          <w:rFonts w:ascii="Times New Roman" w:hAnsi="Times New Roman" w:cs="Times New Roman"/>
          <w:sz w:val="20"/>
          <w:lang w:val="es-MX"/>
        </w:rPr>
        <w:t>Al 30</w:t>
      </w:r>
      <w:r w:rsidR="00970846" w:rsidRPr="002D0B6E">
        <w:rPr>
          <w:rFonts w:ascii="Times New Roman" w:hAnsi="Times New Roman" w:cs="Times New Roman"/>
          <w:sz w:val="20"/>
          <w:lang w:val="es-MX"/>
        </w:rPr>
        <w:t xml:space="preserve"> de </w:t>
      </w:r>
      <w:r w:rsidRPr="002D0B6E">
        <w:rPr>
          <w:rFonts w:ascii="Times New Roman" w:hAnsi="Times New Roman" w:cs="Times New Roman"/>
          <w:sz w:val="20"/>
          <w:lang w:val="es-MX"/>
        </w:rPr>
        <w:t>noviem</w:t>
      </w:r>
      <w:r w:rsidR="00970846" w:rsidRPr="002D0B6E">
        <w:rPr>
          <w:rFonts w:ascii="Times New Roman" w:hAnsi="Times New Roman" w:cs="Times New Roman"/>
          <w:sz w:val="20"/>
          <w:lang w:val="es-MX"/>
        </w:rPr>
        <w:t>bre de cada año</w:t>
      </w:r>
    </w:p>
    <w:p w:rsidR="004C2A11" w:rsidRPr="002D0B6E" w:rsidRDefault="002D0B6E" w:rsidP="00107D10">
      <w:pPr>
        <w:pStyle w:val="Sinespaciado"/>
        <w:jc w:val="center"/>
        <w:rPr>
          <w:rFonts w:ascii="Times New Roman" w:hAnsi="Times New Roman" w:cs="Times New Roman"/>
          <w:b/>
          <w:lang w:val="es-MX"/>
        </w:rPr>
      </w:pPr>
      <w:r w:rsidRPr="002D0B6E">
        <w:rPr>
          <w:noProof/>
          <w:lang w:eastAsia="es-GT"/>
        </w:rPr>
        <w:drawing>
          <wp:inline distT="0" distB="0" distL="0" distR="0" wp14:anchorId="0C4295B9" wp14:editId="71768D4E">
            <wp:extent cx="5969635" cy="2695575"/>
            <wp:effectExtent l="0" t="0" r="0" b="0"/>
            <wp:docPr id="2"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0846" w:rsidRPr="002D0B6E" w:rsidRDefault="007F443F" w:rsidP="00E4153A">
      <w:pPr>
        <w:pStyle w:val="Sinespaciado"/>
        <w:rPr>
          <w:rFonts w:ascii="Times New Roman" w:hAnsi="Times New Roman" w:cs="Times New Roman"/>
          <w:sz w:val="16"/>
        </w:rPr>
      </w:pPr>
      <w:r w:rsidRPr="002D0B6E">
        <w:rPr>
          <w:rFonts w:ascii="Times New Roman" w:hAnsi="Times New Roman" w:cs="Times New Roman"/>
          <w:sz w:val="16"/>
        </w:rPr>
        <w:t xml:space="preserve"> </w:t>
      </w:r>
      <w:r w:rsidR="004C2A11" w:rsidRPr="002D0B6E">
        <w:rPr>
          <w:rFonts w:ascii="Times New Roman" w:hAnsi="Times New Roman" w:cs="Times New Roman"/>
          <w:sz w:val="16"/>
        </w:rPr>
        <w:t xml:space="preserve">                </w:t>
      </w:r>
      <w:r w:rsidR="00157C3A" w:rsidRPr="002D0B6E">
        <w:rPr>
          <w:rFonts w:ascii="Times New Roman" w:hAnsi="Times New Roman" w:cs="Times New Roman"/>
          <w:sz w:val="16"/>
        </w:rPr>
        <w:t>F</w:t>
      </w:r>
      <w:r w:rsidR="007D4651" w:rsidRPr="002D0B6E">
        <w:rPr>
          <w:rFonts w:ascii="Times New Roman" w:hAnsi="Times New Roman" w:cs="Times New Roman"/>
          <w:sz w:val="16"/>
        </w:rPr>
        <w:t>uente: Dirección de Análisis y Política fiscal</w:t>
      </w:r>
    </w:p>
    <w:p w:rsidR="00970846" w:rsidRPr="002D0B6E" w:rsidRDefault="00970846" w:rsidP="00E4153A">
      <w:pPr>
        <w:pStyle w:val="Sinespaciado"/>
        <w:rPr>
          <w:rFonts w:ascii="Times New Roman" w:hAnsi="Times New Roman" w:cs="Times New Roman"/>
          <w:color w:val="FF0000"/>
        </w:rPr>
      </w:pPr>
    </w:p>
    <w:p w:rsidR="00970846" w:rsidRPr="002D0B6E" w:rsidRDefault="00970846" w:rsidP="00E4153A">
      <w:pPr>
        <w:pStyle w:val="Sinespaciado"/>
        <w:rPr>
          <w:rFonts w:ascii="Times New Roman" w:hAnsi="Times New Roman" w:cs="Times New Roman"/>
          <w:color w:val="FF0000"/>
        </w:rPr>
      </w:pPr>
    </w:p>
    <w:p w:rsidR="00970846" w:rsidRPr="002D0B6E" w:rsidRDefault="00970846" w:rsidP="00E4153A">
      <w:pPr>
        <w:pStyle w:val="Sinespaciado"/>
        <w:rPr>
          <w:rFonts w:ascii="Times New Roman" w:hAnsi="Times New Roman" w:cs="Times New Roman"/>
          <w:color w:val="FF0000"/>
        </w:rPr>
      </w:pPr>
    </w:p>
    <w:p w:rsidR="00970846" w:rsidRPr="00630E12" w:rsidRDefault="00970846" w:rsidP="00E4153A">
      <w:pPr>
        <w:pStyle w:val="Sinespaciado"/>
        <w:rPr>
          <w:rFonts w:ascii="Times New Roman" w:hAnsi="Times New Roman" w:cs="Times New Roman"/>
          <w:color w:val="FF0000"/>
          <w:sz w:val="6"/>
        </w:rPr>
      </w:pPr>
    </w:p>
    <w:p w:rsidR="00F54627" w:rsidRPr="00630E12" w:rsidRDefault="00F54627" w:rsidP="007D4651">
      <w:pPr>
        <w:spacing w:after="0" w:line="240" w:lineRule="auto"/>
        <w:rPr>
          <w:rFonts w:ascii="Times New Roman" w:hAnsi="Times New Roman" w:cs="Times New Roman"/>
          <w:color w:val="FF0000"/>
          <w:sz w:val="24"/>
          <w:szCs w:val="24"/>
          <w:lang w:val="es-MX"/>
        </w:rPr>
        <w:sectPr w:rsidR="00F54627" w:rsidRPr="00630E12" w:rsidSect="007D4651">
          <w:type w:val="continuous"/>
          <w:pgSz w:w="12240" w:h="15840" w:code="1"/>
          <w:pgMar w:top="1418" w:right="1418" w:bottom="1418" w:left="1418" w:header="709" w:footer="709" w:gutter="0"/>
          <w:cols w:space="708"/>
          <w:docGrid w:linePitch="360"/>
        </w:sectPr>
      </w:pPr>
    </w:p>
    <w:p w:rsidR="00B822A9" w:rsidRPr="00605630" w:rsidRDefault="0008085E" w:rsidP="00B822A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sidRPr="00605630">
        <w:rPr>
          <w:rFonts w:ascii="Times New Roman" w:hAnsi="Times New Roman" w:cs="Times New Roman"/>
          <w:b/>
          <w:lang w:val="es-MX"/>
        </w:rPr>
        <w:lastRenderedPageBreak/>
        <w:t>L</w:t>
      </w:r>
      <w:r w:rsidR="009325CC" w:rsidRPr="00605630">
        <w:rPr>
          <w:rFonts w:ascii="Times New Roman" w:hAnsi="Times New Roman" w:cs="Times New Roman"/>
          <w:b/>
          <w:lang w:val="es-MX"/>
        </w:rPr>
        <w:t>a SAT supera la meta de presupuesto</w:t>
      </w:r>
    </w:p>
    <w:p w:rsidR="00E16925" w:rsidRPr="00630E12" w:rsidRDefault="00E16925" w:rsidP="00E16925">
      <w:pPr>
        <w:pStyle w:val="Sinespaciado"/>
        <w:jc w:val="center"/>
        <w:rPr>
          <w:rFonts w:ascii="Times New Roman" w:hAnsi="Times New Roman" w:cs="Times New Roman"/>
          <w:b/>
          <w:color w:val="FF0000"/>
          <w:sz w:val="18"/>
          <w:lang w:val="es-MX"/>
        </w:rPr>
      </w:pPr>
    </w:p>
    <w:p w:rsidR="00343A5D" w:rsidRPr="00630E12" w:rsidRDefault="00343A5D" w:rsidP="00F25E21">
      <w:pPr>
        <w:pStyle w:val="Sinespaciado"/>
        <w:rPr>
          <w:rFonts w:ascii="Times New Roman" w:hAnsi="Times New Roman" w:cs="Times New Roman"/>
          <w:b/>
          <w:color w:val="FF0000"/>
          <w:sz w:val="20"/>
          <w:lang w:val="es-MX"/>
        </w:rPr>
        <w:sectPr w:rsidR="00343A5D" w:rsidRPr="00630E12" w:rsidSect="004E358C">
          <w:headerReference w:type="default" r:id="rId14"/>
          <w:footerReference w:type="default" r:id="rId15"/>
          <w:type w:val="continuous"/>
          <w:pgSz w:w="12240" w:h="15840"/>
          <w:pgMar w:top="1417" w:right="1701" w:bottom="1417" w:left="1701" w:header="708" w:footer="708" w:gutter="0"/>
          <w:cols w:space="708"/>
          <w:docGrid w:linePitch="360"/>
        </w:sectPr>
      </w:pPr>
    </w:p>
    <w:p w:rsidR="00630E12" w:rsidRDefault="00630E12" w:rsidP="00630E12">
      <w:pPr>
        <w:spacing w:after="0" w:line="240" w:lineRule="auto"/>
        <w:jc w:val="both"/>
        <w:rPr>
          <w:rFonts w:ascii="Times New Roman" w:hAnsi="Times New Roman" w:cs="Times New Roman"/>
        </w:rPr>
      </w:pPr>
      <w:r w:rsidRPr="007551B2">
        <w:rPr>
          <w:rFonts w:ascii="Times New Roman" w:hAnsi="Times New Roman" w:cs="Times New Roman"/>
        </w:rPr>
        <w:lastRenderedPageBreak/>
        <w:t>En noviembre se recaudaron Q</w:t>
      </w:r>
      <w:r>
        <w:rPr>
          <w:rFonts w:ascii="Times New Roman" w:hAnsi="Times New Roman" w:cs="Times New Roman"/>
        </w:rPr>
        <w:t>5,701.2</w:t>
      </w:r>
      <w:r w:rsidRPr="007551B2">
        <w:rPr>
          <w:rFonts w:ascii="Times New Roman" w:hAnsi="Times New Roman" w:cs="Times New Roman"/>
        </w:rPr>
        <w:t xml:space="preserve"> millones, monto superior a lo establecido en la meta de presupuesto fijada en Q4,973.2 millones.</w:t>
      </w:r>
    </w:p>
    <w:p w:rsidR="00630E12" w:rsidRDefault="00630E12" w:rsidP="00630E12">
      <w:pPr>
        <w:spacing w:after="0" w:line="240" w:lineRule="auto"/>
        <w:jc w:val="both"/>
        <w:rPr>
          <w:rFonts w:ascii="Times New Roman" w:hAnsi="Times New Roman" w:cs="Times New Roman"/>
        </w:rPr>
      </w:pPr>
    </w:p>
    <w:p w:rsidR="00630E12" w:rsidRPr="00861BE5" w:rsidRDefault="00630E12" w:rsidP="00630E12">
      <w:pPr>
        <w:spacing w:after="0" w:line="240" w:lineRule="auto"/>
        <w:jc w:val="both"/>
        <w:rPr>
          <w:rFonts w:ascii="Times New Roman" w:hAnsi="Times New Roman" w:cs="Times New Roman"/>
          <w:b/>
          <w:color w:val="FF0000"/>
        </w:rPr>
      </w:pPr>
      <w:r w:rsidRPr="007551B2">
        <w:rPr>
          <w:rFonts w:ascii="Times New Roman" w:hAnsi="Times New Roman" w:cs="Times New Roman"/>
        </w:rPr>
        <w:t>Impuestos que contribuyeron en mayor cuantía para generar la brecha mensual positiva de Q</w:t>
      </w:r>
      <w:r>
        <w:rPr>
          <w:rFonts w:ascii="Times New Roman" w:hAnsi="Times New Roman" w:cs="Times New Roman"/>
        </w:rPr>
        <w:t>727.9 m</w:t>
      </w:r>
      <w:r w:rsidRPr="007551B2">
        <w:rPr>
          <w:rFonts w:ascii="Times New Roman" w:hAnsi="Times New Roman" w:cs="Times New Roman"/>
        </w:rPr>
        <w:t>illones son: el ISR, ISO, IVA de importaciones y DAI principalmente.  Impuestos que no alcanzaron la meta mensual son: el IVA doméstico, derivados del petróleo, los timbres fiscales, tabacos, y los no administrados por la SAT (el impuesto de salidas del país</w:t>
      </w:r>
      <w:r>
        <w:rPr>
          <w:rFonts w:ascii="Times New Roman" w:hAnsi="Times New Roman" w:cs="Times New Roman"/>
        </w:rPr>
        <w:t xml:space="preserve"> y</w:t>
      </w:r>
      <w:r w:rsidRPr="007551B2">
        <w:rPr>
          <w:rFonts w:ascii="Times New Roman" w:hAnsi="Times New Roman" w:cs="Times New Roman"/>
        </w:rPr>
        <w:t xml:space="preserve"> el impuesto a las regalías e hidrocarburos compartibles).</w:t>
      </w:r>
    </w:p>
    <w:p w:rsidR="009325CC" w:rsidRPr="00630E12" w:rsidRDefault="009325CC" w:rsidP="00D112CE">
      <w:pPr>
        <w:spacing w:after="0" w:line="240" w:lineRule="auto"/>
        <w:jc w:val="center"/>
        <w:rPr>
          <w:rFonts w:ascii="Times New Roman" w:hAnsi="Times New Roman" w:cs="Times New Roman"/>
          <w:b/>
        </w:rPr>
      </w:pPr>
    </w:p>
    <w:p w:rsidR="009325CC" w:rsidRPr="00630E12" w:rsidRDefault="009325CC" w:rsidP="009325CC">
      <w:pPr>
        <w:spacing w:after="0" w:line="240" w:lineRule="auto"/>
        <w:jc w:val="center"/>
        <w:rPr>
          <w:rFonts w:ascii="Times New Roman" w:hAnsi="Times New Roman" w:cs="Times New Roman"/>
          <w:b/>
        </w:rPr>
      </w:pPr>
      <w:r w:rsidRPr="00630E12">
        <w:rPr>
          <w:rFonts w:ascii="Times New Roman" w:hAnsi="Times New Roman" w:cs="Times New Roman"/>
          <w:b/>
        </w:rPr>
        <w:t>Brecha mensual de recaudación respecto a presupuesto</w:t>
      </w:r>
    </w:p>
    <w:p w:rsidR="009325CC" w:rsidRPr="00630E12" w:rsidRDefault="009325CC" w:rsidP="009325CC">
      <w:pPr>
        <w:spacing w:after="0" w:line="240" w:lineRule="auto"/>
        <w:jc w:val="center"/>
        <w:rPr>
          <w:rFonts w:ascii="Times New Roman" w:hAnsi="Times New Roman" w:cs="Times New Roman"/>
          <w:bCs/>
          <w:sz w:val="20"/>
          <w:szCs w:val="20"/>
        </w:rPr>
      </w:pPr>
      <w:r w:rsidRPr="00630E12">
        <w:rPr>
          <w:rFonts w:ascii="Times New Roman" w:hAnsi="Times New Roman" w:cs="Times New Roman"/>
          <w:bCs/>
          <w:sz w:val="20"/>
          <w:szCs w:val="20"/>
        </w:rPr>
        <w:t>En millones de quetzales</w:t>
      </w:r>
    </w:p>
    <w:p w:rsidR="009325CC" w:rsidRPr="00630E12" w:rsidRDefault="00630E12" w:rsidP="009325CC">
      <w:pPr>
        <w:spacing w:after="0" w:line="240" w:lineRule="auto"/>
        <w:jc w:val="both"/>
        <w:rPr>
          <w:rFonts w:ascii="Times New Roman" w:hAnsi="Times New Roman" w:cs="Times New Roman"/>
        </w:rPr>
      </w:pPr>
      <w:r w:rsidRPr="00630E12">
        <w:rPr>
          <w:rFonts w:ascii="Times New Roman" w:hAnsi="Times New Roman" w:cs="Times New Roman"/>
          <w:noProof/>
          <w:lang w:eastAsia="es-GT"/>
        </w:rPr>
        <w:drawing>
          <wp:inline distT="0" distB="0" distL="0" distR="0" wp14:anchorId="503F9B79" wp14:editId="333C50A4">
            <wp:extent cx="2686050" cy="1924050"/>
            <wp:effectExtent l="0" t="0" r="0" b="0"/>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25CC" w:rsidRPr="00630E12" w:rsidRDefault="009325CC" w:rsidP="009325CC">
      <w:pPr>
        <w:spacing w:after="0" w:line="240" w:lineRule="auto"/>
        <w:jc w:val="both"/>
        <w:rPr>
          <w:rFonts w:ascii="Times New Roman" w:hAnsi="Times New Roman" w:cs="Times New Roman"/>
        </w:rPr>
      </w:pPr>
      <w:r w:rsidRPr="00630E12">
        <w:rPr>
          <w:rFonts w:ascii="Times New Roman" w:hAnsi="Times New Roman" w:cs="Times New Roman"/>
          <w:sz w:val="16"/>
        </w:rPr>
        <w:t>Fuente: Ministerio de Finanzas Públicas.</w:t>
      </w:r>
    </w:p>
    <w:p w:rsidR="009325CC" w:rsidRPr="00630E12" w:rsidRDefault="009325CC" w:rsidP="009325CC">
      <w:pPr>
        <w:spacing w:after="0" w:line="240" w:lineRule="auto"/>
        <w:jc w:val="both"/>
        <w:rPr>
          <w:rFonts w:ascii="Times New Roman" w:hAnsi="Times New Roman" w:cs="Times New Roman"/>
          <w:color w:val="FF0000"/>
        </w:rPr>
      </w:pPr>
    </w:p>
    <w:p w:rsidR="00630E12" w:rsidRDefault="00630E12" w:rsidP="00630E12">
      <w:pPr>
        <w:spacing w:after="0" w:line="240" w:lineRule="auto"/>
        <w:jc w:val="both"/>
        <w:rPr>
          <w:rFonts w:ascii="Times New Roman" w:hAnsi="Times New Roman" w:cs="Times New Roman"/>
        </w:rPr>
      </w:pPr>
      <w:r w:rsidRPr="007551B2">
        <w:rPr>
          <w:rFonts w:ascii="Times New Roman" w:hAnsi="Times New Roman" w:cs="Times New Roman"/>
        </w:rPr>
        <w:t>La recaudación tributaria acumulada</w:t>
      </w:r>
      <w:r>
        <w:rPr>
          <w:rFonts w:ascii="Times New Roman" w:hAnsi="Times New Roman" w:cs="Times New Roman"/>
        </w:rPr>
        <w:t xml:space="preserve"> a</w:t>
      </w:r>
      <w:r w:rsidRPr="007551B2">
        <w:rPr>
          <w:rFonts w:ascii="Times New Roman" w:hAnsi="Times New Roman" w:cs="Times New Roman"/>
        </w:rPr>
        <w:t xml:space="preserve"> noviembre genera una brecha positiva de Q1</w:t>
      </w:r>
      <w:r>
        <w:rPr>
          <w:rFonts w:ascii="Times New Roman" w:hAnsi="Times New Roman" w:cs="Times New Roman"/>
        </w:rPr>
        <w:t xml:space="preserve">1,437.1 </w:t>
      </w:r>
      <w:r w:rsidRPr="007551B2">
        <w:rPr>
          <w:rFonts w:ascii="Times New Roman" w:hAnsi="Times New Roman" w:cs="Times New Roman"/>
        </w:rPr>
        <w:t>millones respecto a la meta de presupuesto</w:t>
      </w:r>
      <w:r>
        <w:rPr>
          <w:rFonts w:ascii="Times New Roman" w:hAnsi="Times New Roman" w:cs="Times New Roman"/>
        </w:rPr>
        <w:t>.</w:t>
      </w:r>
      <w:r w:rsidRPr="007551B2">
        <w:rPr>
          <w:rFonts w:ascii="Times New Roman" w:hAnsi="Times New Roman" w:cs="Times New Roman"/>
        </w:rPr>
        <w:t xml:space="preserve"> </w:t>
      </w:r>
    </w:p>
    <w:p w:rsidR="00630E12" w:rsidRDefault="00630E12" w:rsidP="00630E12">
      <w:pPr>
        <w:spacing w:after="0" w:line="240" w:lineRule="auto"/>
        <w:jc w:val="both"/>
        <w:rPr>
          <w:rFonts w:ascii="Times New Roman" w:hAnsi="Times New Roman" w:cs="Times New Roman"/>
        </w:rPr>
      </w:pPr>
    </w:p>
    <w:p w:rsidR="000F0085" w:rsidRPr="00630E12" w:rsidRDefault="00630E12" w:rsidP="005B0C8B">
      <w:pPr>
        <w:spacing w:after="0" w:line="240" w:lineRule="auto"/>
        <w:jc w:val="both"/>
        <w:rPr>
          <w:rFonts w:ascii="Times New Roman" w:hAnsi="Times New Roman" w:cs="Times New Roman"/>
        </w:rPr>
      </w:pPr>
      <w:r w:rsidRPr="007551B2">
        <w:rPr>
          <w:rFonts w:ascii="Times New Roman" w:hAnsi="Times New Roman" w:cs="Times New Roman"/>
        </w:rPr>
        <w:t xml:space="preserve">Aspectos importantes que generan </w:t>
      </w:r>
      <w:r>
        <w:rPr>
          <w:rFonts w:ascii="Times New Roman" w:hAnsi="Times New Roman" w:cs="Times New Roman"/>
        </w:rPr>
        <w:t xml:space="preserve">los </w:t>
      </w:r>
      <w:r w:rsidRPr="007551B2">
        <w:rPr>
          <w:rFonts w:ascii="Times New Roman" w:hAnsi="Times New Roman" w:cs="Times New Roman"/>
        </w:rPr>
        <w:t xml:space="preserve">resultados positivos son la </w:t>
      </w:r>
      <w:r>
        <w:rPr>
          <w:rFonts w:ascii="Times New Roman" w:hAnsi="Times New Roman" w:cs="Times New Roman"/>
        </w:rPr>
        <w:t>tendencia creciente</w:t>
      </w:r>
      <w:r w:rsidRPr="007551B2">
        <w:rPr>
          <w:rFonts w:ascii="Times New Roman" w:hAnsi="Times New Roman" w:cs="Times New Roman"/>
        </w:rPr>
        <w:t xml:space="preserve"> de </w:t>
      </w:r>
      <w:r w:rsidRPr="005B0C8B">
        <w:rPr>
          <w:rFonts w:ascii="Times New Roman" w:hAnsi="Times New Roman" w:cs="Times New Roman"/>
        </w:rPr>
        <w:t>los impuestos asociados al comercio exterior; el consumo interno, a través del IVA; y, el impuesto a la distribución de derivados del petróleo.</w:t>
      </w:r>
    </w:p>
    <w:p w:rsidR="009325CC" w:rsidRPr="00630E12" w:rsidRDefault="009325CC" w:rsidP="009325CC">
      <w:pPr>
        <w:spacing w:after="0" w:line="240" w:lineRule="auto"/>
        <w:jc w:val="center"/>
        <w:rPr>
          <w:rFonts w:ascii="Times New Roman" w:hAnsi="Times New Roman" w:cs="Times New Roman"/>
          <w:b/>
        </w:rPr>
      </w:pPr>
      <w:r w:rsidRPr="00630E12">
        <w:rPr>
          <w:rFonts w:ascii="Times New Roman" w:hAnsi="Times New Roman" w:cs="Times New Roman"/>
          <w:b/>
        </w:rPr>
        <w:lastRenderedPageBreak/>
        <w:t>Variación de la rec</w:t>
      </w:r>
      <w:r w:rsidR="005B0C8B" w:rsidRPr="00630E12">
        <w:rPr>
          <w:rFonts w:ascii="Times New Roman" w:hAnsi="Times New Roman" w:cs="Times New Roman"/>
          <w:b/>
        </w:rPr>
        <w:t>audación tributaria neta de noviem</w:t>
      </w:r>
      <w:r w:rsidRPr="00630E12">
        <w:rPr>
          <w:rFonts w:ascii="Times New Roman" w:hAnsi="Times New Roman" w:cs="Times New Roman"/>
          <w:b/>
        </w:rPr>
        <w:t>bre</w:t>
      </w:r>
    </w:p>
    <w:p w:rsidR="009325CC" w:rsidRPr="00630E12" w:rsidRDefault="009325CC" w:rsidP="009325CC">
      <w:pPr>
        <w:spacing w:after="0" w:line="240" w:lineRule="auto"/>
        <w:jc w:val="center"/>
        <w:rPr>
          <w:rFonts w:ascii="Times New Roman" w:hAnsi="Times New Roman" w:cs="Times New Roman"/>
          <w:sz w:val="20"/>
        </w:rPr>
      </w:pPr>
      <w:r w:rsidRPr="00630E12">
        <w:rPr>
          <w:rFonts w:ascii="Times New Roman" w:hAnsi="Times New Roman" w:cs="Times New Roman"/>
          <w:sz w:val="20"/>
        </w:rPr>
        <w:t>Millones de quetzales</w:t>
      </w:r>
    </w:p>
    <w:p w:rsidR="009325CC" w:rsidRPr="00630E12" w:rsidRDefault="00630E12" w:rsidP="009325CC">
      <w:pPr>
        <w:spacing w:after="0" w:line="240" w:lineRule="auto"/>
        <w:jc w:val="center"/>
        <w:rPr>
          <w:rFonts w:ascii="Times New Roman" w:hAnsi="Times New Roman" w:cs="Times New Roman"/>
          <w:sz w:val="20"/>
        </w:rPr>
      </w:pPr>
      <w:r w:rsidRPr="00630E12">
        <w:rPr>
          <w:rFonts w:ascii="Times New Roman" w:hAnsi="Times New Roman" w:cs="Times New Roman"/>
          <w:noProof/>
          <w:lang w:eastAsia="es-GT"/>
        </w:rPr>
        <w:drawing>
          <wp:inline distT="0" distB="0" distL="0" distR="0" wp14:anchorId="76786A09" wp14:editId="0488CC57">
            <wp:extent cx="2695575" cy="2371725"/>
            <wp:effectExtent l="0" t="0" r="0" b="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325CC" w:rsidRPr="00630E12" w:rsidRDefault="009325CC" w:rsidP="009325CC">
      <w:pPr>
        <w:spacing w:after="0" w:line="240" w:lineRule="auto"/>
        <w:jc w:val="both"/>
        <w:rPr>
          <w:rFonts w:ascii="Times New Roman" w:hAnsi="Times New Roman" w:cs="Times New Roman"/>
        </w:rPr>
      </w:pPr>
      <w:r w:rsidRPr="00630E12">
        <w:rPr>
          <w:rFonts w:ascii="Times New Roman" w:hAnsi="Times New Roman" w:cs="Times New Roman"/>
          <w:sz w:val="16"/>
        </w:rPr>
        <w:t>Fuente: Ministerio de Finanzas Públicas.</w:t>
      </w:r>
    </w:p>
    <w:p w:rsidR="005B0C8B" w:rsidRPr="00630E12" w:rsidRDefault="005B0C8B" w:rsidP="009325CC">
      <w:pPr>
        <w:spacing w:after="0" w:line="240" w:lineRule="auto"/>
        <w:jc w:val="both"/>
        <w:rPr>
          <w:rFonts w:ascii="Times New Roman" w:hAnsi="Times New Roman" w:cs="Times New Roman"/>
          <w:color w:val="FF0000"/>
          <w:sz w:val="16"/>
        </w:rPr>
      </w:pPr>
    </w:p>
    <w:p w:rsidR="00630E12" w:rsidRPr="007551B2" w:rsidRDefault="00630E12" w:rsidP="00630E12">
      <w:pPr>
        <w:spacing w:after="0" w:line="240" w:lineRule="auto"/>
        <w:jc w:val="both"/>
        <w:rPr>
          <w:rFonts w:ascii="Times New Roman" w:hAnsi="Times New Roman" w:cs="Times New Roman"/>
        </w:rPr>
      </w:pPr>
      <w:r w:rsidRPr="007551B2">
        <w:rPr>
          <w:rFonts w:ascii="Times New Roman" w:hAnsi="Times New Roman" w:cs="Times New Roman"/>
        </w:rPr>
        <w:t>Con relación a la recaudación acumulada, observada a noviembre de 2020, en el presente año se observa un crecimiento de 2</w:t>
      </w:r>
      <w:r>
        <w:rPr>
          <w:rFonts w:ascii="Times New Roman" w:hAnsi="Times New Roman" w:cs="Times New Roman"/>
        </w:rPr>
        <w:t>7.6</w:t>
      </w:r>
      <w:r w:rsidRPr="007551B2">
        <w:rPr>
          <w:rFonts w:ascii="Times New Roman" w:hAnsi="Times New Roman" w:cs="Times New Roman"/>
        </w:rPr>
        <w:t>% (Q1</w:t>
      </w:r>
      <w:r>
        <w:rPr>
          <w:rFonts w:ascii="Times New Roman" w:hAnsi="Times New Roman" w:cs="Times New Roman"/>
        </w:rPr>
        <w:t xml:space="preserve">5,236.5 </w:t>
      </w:r>
      <w:r w:rsidRPr="007551B2">
        <w:rPr>
          <w:rFonts w:ascii="Times New Roman" w:hAnsi="Times New Roman" w:cs="Times New Roman"/>
        </w:rPr>
        <w:t>millones), de los cuales, el 95.9% de esa brecha se explica por la recuperación de impuestos como el ISR, ISO, IVA, DAI, Derivados del Petróleo e IPRIMA.</w:t>
      </w:r>
    </w:p>
    <w:p w:rsidR="00630E12" w:rsidRPr="0008085E" w:rsidRDefault="00630E12" w:rsidP="00630E12">
      <w:pPr>
        <w:spacing w:after="0" w:line="240" w:lineRule="auto"/>
        <w:jc w:val="both"/>
        <w:rPr>
          <w:rFonts w:ascii="Times New Roman" w:hAnsi="Times New Roman" w:cs="Times New Roman"/>
          <w:color w:val="FF0000"/>
          <w:sz w:val="14"/>
        </w:rPr>
      </w:pPr>
    </w:p>
    <w:p w:rsidR="0008085E" w:rsidRPr="00630E12" w:rsidRDefault="00630E12" w:rsidP="0008085E">
      <w:pPr>
        <w:spacing w:after="0" w:line="240" w:lineRule="auto"/>
        <w:jc w:val="both"/>
        <w:rPr>
          <w:rFonts w:ascii="Times New Roman" w:hAnsi="Times New Roman" w:cs="Times New Roman"/>
        </w:rPr>
      </w:pPr>
      <w:r w:rsidRPr="007551B2">
        <w:rPr>
          <w:rFonts w:ascii="Times New Roman" w:hAnsi="Times New Roman" w:cs="Times New Roman"/>
        </w:rPr>
        <w:t xml:space="preserve">En la comparación interanual acumulada destaca la recuperación de la recaudación asociada al comercio internacional, la cual crece </w:t>
      </w:r>
      <w:r>
        <w:rPr>
          <w:rFonts w:ascii="Times New Roman" w:hAnsi="Times New Roman" w:cs="Times New Roman"/>
        </w:rPr>
        <w:t>en</w:t>
      </w:r>
      <w:r w:rsidRPr="007551B2">
        <w:rPr>
          <w:rFonts w:ascii="Times New Roman" w:hAnsi="Times New Roman" w:cs="Times New Roman"/>
        </w:rPr>
        <w:t xml:space="preserve"> noviembre en 4</w:t>
      </w:r>
      <w:r>
        <w:rPr>
          <w:rFonts w:ascii="Times New Roman" w:hAnsi="Times New Roman" w:cs="Times New Roman"/>
        </w:rPr>
        <w:t>5.1</w:t>
      </w:r>
      <w:r w:rsidRPr="007551B2">
        <w:rPr>
          <w:rFonts w:ascii="Times New Roman" w:hAnsi="Times New Roman" w:cs="Times New Roman"/>
        </w:rPr>
        <w:t>% (Q6,</w:t>
      </w:r>
      <w:r>
        <w:rPr>
          <w:rFonts w:ascii="Times New Roman" w:hAnsi="Times New Roman" w:cs="Times New Roman"/>
        </w:rPr>
        <w:t xml:space="preserve">657.1 </w:t>
      </w:r>
      <w:r w:rsidRPr="007551B2">
        <w:rPr>
          <w:rFonts w:ascii="Times New Roman" w:hAnsi="Times New Roman" w:cs="Times New Roman"/>
        </w:rPr>
        <w:t xml:space="preserve">millones) respecto a lo observado en 2020, </w:t>
      </w:r>
      <w:r>
        <w:rPr>
          <w:rFonts w:ascii="Times New Roman" w:hAnsi="Times New Roman" w:cs="Times New Roman"/>
        </w:rPr>
        <w:t xml:space="preserve">producto de las medidas de confinamiento a nivel mundial que detuvo la actividad económica, sin embargo, </w:t>
      </w:r>
      <w:r w:rsidRPr="007551B2">
        <w:rPr>
          <w:rFonts w:ascii="Times New Roman" w:hAnsi="Times New Roman" w:cs="Times New Roman"/>
        </w:rPr>
        <w:t>si la comparación se realiza contra el año 2019 el crecimiento</w:t>
      </w:r>
      <w:r>
        <w:rPr>
          <w:rFonts w:ascii="Times New Roman" w:hAnsi="Times New Roman" w:cs="Times New Roman"/>
        </w:rPr>
        <w:t>, aunque menor, 30.1</w:t>
      </w:r>
      <w:r w:rsidRPr="007551B2">
        <w:rPr>
          <w:rFonts w:ascii="Times New Roman" w:hAnsi="Times New Roman" w:cs="Times New Roman"/>
        </w:rPr>
        <w:t>%</w:t>
      </w:r>
      <w:r>
        <w:rPr>
          <w:rFonts w:ascii="Times New Roman" w:hAnsi="Times New Roman" w:cs="Times New Roman"/>
        </w:rPr>
        <w:t>, sigue siendo relevante dados los niveles históricos de crecimiento en ese rubro</w:t>
      </w:r>
      <w:r w:rsidRPr="007551B2">
        <w:rPr>
          <w:rFonts w:ascii="Times New Roman" w:hAnsi="Times New Roman" w:cs="Times New Roman"/>
        </w:rPr>
        <w:t>.  El IVA de importaciones supera lo observado en 2020 en Q5,</w:t>
      </w:r>
      <w:r>
        <w:rPr>
          <w:rFonts w:ascii="Times New Roman" w:hAnsi="Times New Roman" w:cs="Times New Roman"/>
        </w:rPr>
        <w:t xml:space="preserve">685.6 </w:t>
      </w:r>
      <w:r w:rsidRPr="007551B2">
        <w:rPr>
          <w:rFonts w:ascii="Times New Roman" w:hAnsi="Times New Roman" w:cs="Times New Roman"/>
        </w:rPr>
        <w:t>millones y los derechos arancelarios en Q9</w:t>
      </w:r>
      <w:r>
        <w:rPr>
          <w:rFonts w:ascii="Times New Roman" w:hAnsi="Times New Roman" w:cs="Times New Roman"/>
        </w:rPr>
        <w:t xml:space="preserve">71.5 </w:t>
      </w:r>
      <w:r w:rsidRPr="007551B2">
        <w:rPr>
          <w:rFonts w:ascii="Times New Roman" w:hAnsi="Times New Roman" w:cs="Times New Roman"/>
        </w:rPr>
        <w:t>millones. Este crecimiento en las cifras de comercio para el ejercicio 2021 se ve influenciado primero, por el efecto de la pandemia del virus SARS-</w:t>
      </w:r>
      <w:r w:rsidRPr="007551B2">
        <w:rPr>
          <w:rFonts w:ascii="Times New Roman" w:hAnsi="Times New Roman" w:cs="Times New Roman"/>
        </w:rPr>
        <w:lastRenderedPageBreak/>
        <w:t>COV2 en 2020, año en el cual se contrajeron las negociaciones comerciales producto de las medidas adoptadas por los gobiernos, segundo, por el esfuerzo y trabajo realizado por la Superintendencia de Administración Tributaria en el ramo de aduanas, en donde siguen implementado acciones para combatir la defraudación y el contrabando tales como, mayor eficiencia del control aduanero, seguimiento del plan de combate al contrabando aduanero mediante la puesta en marcha de puestos de control interinstitucional (a la fecha van 6)</w:t>
      </w:r>
      <w:r>
        <w:rPr>
          <w:rFonts w:ascii="Times New Roman" w:hAnsi="Times New Roman" w:cs="Times New Roman"/>
        </w:rPr>
        <w:t>,</w:t>
      </w:r>
      <w:r w:rsidRPr="007551B2">
        <w:rPr>
          <w:rFonts w:ascii="Times New Roman" w:hAnsi="Times New Roman" w:cs="Times New Roman"/>
        </w:rPr>
        <w:t xml:space="preserve"> a la simplificación, automatización y transparencia en el ingreso y salida de la carga vía aérea, fortalecimiento de la gestión de riesgo, operativos interinstitucionales en aduanas aéreas, terrestres, marítimas, puestos fronterizos, depósitos aduaneros y zonas francas, fortalecimiento del intercambio de información con otros Estados Partes, fortalecimiento de la valoración aduanera  y a las mejoras en el tiempo de atención de solicitudes entre otras. </w:t>
      </w:r>
      <w:r w:rsidR="0008085E" w:rsidRPr="00630E12">
        <w:rPr>
          <w:rFonts w:ascii="Times New Roman" w:hAnsi="Times New Roman" w:cs="Times New Roman"/>
          <w:color w:val="FF0000"/>
        </w:rPr>
        <w:t xml:space="preserve"> </w:t>
      </w:r>
    </w:p>
    <w:p w:rsidR="0008085E" w:rsidRPr="00630E12" w:rsidRDefault="0008085E" w:rsidP="0008085E">
      <w:pPr>
        <w:spacing w:after="0" w:line="240" w:lineRule="auto"/>
        <w:jc w:val="both"/>
        <w:rPr>
          <w:rFonts w:ascii="Times New Roman" w:hAnsi="Times New Roman" w:cs="Times New Roman"/>
          <w:sz w:val="14"/>
        </w:rPr>
      </w:pPr>
    </w:p>
    <w:p w:rsidR="0008085E" w:rsidRPr="00630E12" w:rsidRDefault="0008085E" w:rsidP="0008085E">
      <w:pPr>
        <w:spacing w:after="0" w:line="240" w:lineRule="auto"/>
        <w:jc w:val="both"/>
        <w:rPr>
          <w:rFonts w:ascii="Times New Roman" w:hAnsi="Times New Roman" w:cs="Times New Roman"/>
          <w:b/>
        </w:rPr>
      </w:pPr>
      <w:r w:rsidRPr="00630E12">
        <w:rPr>
          <w:rFonts w:ascii="Times New Roman" w:hAnsi="Times New Roman" w:cs="Times New Roman"/>
          <w:b/>
        </w:rPr>
        <w:t>El Impuesto Sobre la Renta y el ISO</w:t>
      </w:r>
    </w:p>
    <w:p w:rsidR="0008085E" w:rsidRPr="00630E12" w:rsidRDefault="0008085E" w:rsidP="0008085E">
      <w:pPr>
        <w:spacing w:after="0" w:line="240" w:lineRule="auto"/>
        <w:jc w:val="both"/>
        <w:rPr>
          <w:rFonts w:ascii="Times New Roman" w:hAnsi="Times New Roman" w:cs="Times New Roman"/>
          <w:b/>
          <w:sz w:val="14"/>
        </w:rPr>
      </w:pPr>
    </w:p>
    <w:p w:rsidR="00630E12" w:rsidRPr="00630E12" w:rsidRDefault="00630E12" w:rsidP="00630E12">
      <w:pPr>
        <w:spacing w:after="0" w:line="240" w:lineRule="auto"/>
        <w:jc w:val="both"/>
        <w:rPr>
          <w:rFonts w:ascii="Times New Roman" w:hAnsi="Times New Roman" w:cs="Times New Roman"/>
        </w:rPr>
      </w:pPr>
      <w:r w:rsidRPr="00630E12">
        <w:rPr>
          <w:rFonts w:ascii="Times New Roman" w:hAnsi="Times New Roman" w:cs="Times New Roman"/>
        </w:rPr>
        <w:t>En noviembre estos impuestos superaron la meta de presupuesto en Q256.5 millones, factores que permiten el resultado positivo pueden ser recaudación extraordinaria y mejora en la percepción de riesgo por parte de los contribuyentes.</w:t>
      </w:r>
    </w:p>
    <w:p w:rsidR="00630E12" w:rsidRPr="00630E12" w:rsidRDefault="00630E12" w:rsidP="00630E12">
      <w:pPr>
        <w:spacing w:after="0" w:line="240" w:lineRule="auto"/>
        <w:jc w:val="both"/>
        <w:rPr>
          <w:rFonts w:ascii="Times New Roman" w:hAnsi="Times New Roman" w:cs="Times New Roman"/>
        </w:rPr>
      </w:pPr>
    </w:p>
    <w:p w:rsidR="0008085E" w:rsidRPr="00630E12" w:rsidRDefault="00630E12" w:rsidP="0008085E">
      <w:pPr>
        <w:spacing w:after="0" w:line="240" w:lineRule="auto"/>
        <w:jc w:val="both"/>
        <w:rPr>
          <w:rFonts w:ascii="Times New Roman" w:hAnsi="Times New Roman" w:cs="Times New Roman"/>
        </w:rPr>
      </w:pPr>
      <w:r w:rsidRPr="00630E12">
        <w:rPr>
          <w:rFonts w:ascii="Times New Roman" w:hAnsi="Times New Roman" w:cs="Times New Roman"/>
        </w:rPr>
        <w:t>De manera acumula estos dos impuestos generan una brecha positiva de Q5,166.2 millones respecto a la meta de presupuesto y con relación al año 2020, Q4,979.4 millones.</w:t>
      </w:r>
    </w:p>
    <w:p w:rsidR="000F0085" w:rsidRPr="00630E12" w:rsidRDefault="000F0085" w:rsidP="0008085E">
      <w:pPr>
        <w:spacing w:after="0" w:line="240" w:lineRule="auto"/>
        <w:jc w:val="both"/>
        <w:rPr>
          <w:rFonts w:ascii="Times New Roman" w:hAnsi="Times New Roman" w:cs="Times New Roman"/>
          <w:sz w:val="16"/>
        </w:rPr>
      </w:pPr>
    </w:p>
    <w:p w:rsidR="000F0085" w:rsidRPr="00630E12" w:rsidRDefault="000F0085" w:rsidP="0008085E">
      <w:pPr>
        <w:spacing w:after="0" w:line="240" w:lineRule="auto"/>
        <w:jc w:val="both"/>
        <w:rPr>
          <w:rFonts w:ascii="Times New Roman" w:hAnsi="Times New Roman" w:cs="Times New Roman"/>
          <w:sz w:val="16"/>
        </w:rPr>
      </w:pPr>
    </w:p>
    <w:p w:rsidR="0008085E" w:rsidRPr="00630E12" w:rsidRDefault="0008085E" w:rsidP="0008085E">
      <w:pPr>
        <w:spacing w:after="0" w:line="240" w:lineRule="auto"/>
        <w:jc w:val="both"/>
        <w:rPr>
          <w:rFonts w:ascii="Times New Roman" w:hAnsi="Times New Roman" w:cs="Times New Roman"/>
          <w:b/>
        </w:rPr>
      </w:pPr>
      <w:r w:rsidRPr="00630E12">
        <w:rPr>
          <w:rFonts w:ascii="Times New Roman" w:hAnsi="Times New Roman" w:cs="Times New Roman"/>
          <w:b/>
        </w:rPr>
        <w:t>El Impuesto al Valor Agregado</w:t>
      </w:r>
    </w:p>
    <w:p w:rsidR="0008085E" w:rsidRPr="00630E12" w:rsidRDefault="0008085E" w:rsidP="0008085E">
      <w:pPr>
        <w:spacing w:after="0" w:line="240" w:lineRule="auto"/>
        <w:jc w:val="both"/>
        <w:rPr>
          <w:rFonts w:ascii="Times New Roman" w:hAnsi="Times New Roman" w:cs="Times New Roman"/>
          <w:color w:val="FF0000"/>
          <w:sz w:val="14"/>
        </w:rPr>
      </w:pPr>
    </w:p>
    <w:p w:rsidR="00630E12" w:rsidRDefault="00630E12" w:rsidP="00630E12">
      <w:pPr>
        <w:spacing w:after="0" w:line="240" w:lineRule="auto"/>
        <w:jc w:val="both"/>
        <w:rPr>
          <w:rFonts w:ascii="Times New Roman" w:hAnsi="Times New Roman" w:cs="Times New Roman"/>
        </w:rPr>
      </w:pPr>
      <w:r w:rsidRPr="007551B2">
        <w:rPr>
          <w:rFonts w:ascii="Times New Roman" w:hAnsi="Times New Roman" w:cs="Times New Roman"/>
        </w:rPr>
        <w:t xml:space="preserve">El IVA total de noviembre genera una brecha mensual </w:t>
      </w:r>
      <w:r>
        <w:rPr>
          <w:rFonts w:ascii="Times New Roman" w:hAnsi="Times New Roman" w:cs="Times New Roman"/>
        </w:rPr>
        <w:t xml:space="preserve">positiva </w:t>
      </w:r>
      <w:r w:rsidRPr="007551B2">
        <w:rPr>
          <w:rFonts w:ascii="Times New Roman" w:hAnsi="Times New Roman" w:cs="Times New Roman"/>
        </w:rPr>
        <w:t>de Q</w:t>
      </w:r>
      <w:r>
        <w:rPr>
          <w:rFonts w:ascii="Times New Roman" w:hAnsi="Times New Roman" w:cs="Times New Roman"/>
        </w:rPr>
        <w:t xml:space="preserve">477.0 </w:t>
      </w:r>
      <w:r w:rsidRPr="007551B2">
        <w:rPr>
          <w:rFonts w:ascii="Times New Roman" w:hAnsi="Times New Roman" w:cs="Times New Roman"/>
        </w:rPr>
        <w:t xml:space="preserve">millones respecto a la meta de presupuesto, el impuesto al valor agregado asociado al consumo interno </w:t>
      </w:r>
      <w:r w:rsidRPr="00CD57BE">
        <w:rPr>
          <w:rFonts w:ascii="Times New Roman" w:hAnsi="Times New Roman" w:cs="Times New Roman"/>
        </w:rPr>
        <w:t xml:space="preserve">no superó la meta de presupuesto dejó de percibir </w:t>
      </w:r>
      <w:r w:rsidRPr="00CD57BE">
        <w:rPr>
          <w:rFonts w:ascii="Times New Roman" w:hAnsi="Times New Roman" w:cs="Times New Roman"/>
        </w:rPr>
        <w:lastRenderedPageBreak/>
        <w:t>Q</w:t>
      </w:r>
      <w:r>
        <w:rPr>
          <w:rFonts w:ascii="Times New Roman" w:hAnsi="Times New Roman" w:cs="Times New Roman"/>
        </w:rPr>
        <w:t xml:space="preserve">82.9 </w:t>
      </w:r>
      <w:r w:rsidRPr="00CD57BE">
        <w:rPr>
          <w:rFonts w:ascii="Times New Roman" w:hAnsi="Times New Roman" w:cs="Times New Roman"/>
        </w:rPr>
        <w:t>millones,</w:t>
      </w:r>
      <w:r w:rsidRPr="007551B2">
        <w:rPr>
          <w:rFonts w:ascii="Times New Roman" w:hAnsi="Times New Roman" w:cs="Times New Roman"/>
        </w:rPr>
        <w:t xml:space="preserve"> y el asociado al comercio exterior superó la meta de presupuesto en Q</w:t>
      </w:r>
      <w:r>
        <w:rPr>
          <w:rFonts w:ascii="Times New Roman" w:hAnsi="Times New Roman" w:cs="Times New Roman"/>
        </w:rPr>
        <w:t>559.9</w:t>
      </w:r>
      <w:r w:rsidRPr="007551B2">
        <w:rPr>
          <w:rFonts w:ascii="Times New Roman" w:hAnsi="Times New Roman" w:cs="Times New Roman"/>
        </w:rPr>
        <w:t xml:space="preserve"> millones.</w:t>
      </w:r>
    </w:p>
    <w:p w:rsidR="00630E12" w:rsidRPr="007551B2" w:rsidRDefault="00630E12" w:rsidP="00630E12">
      <w:pPr>
        <w:spacing w:after="0" w:line="240" w:lineRule="auto"/>
        <w:jc w:val="both"/>
        <w:rPr>
          <w:rFonts w:ascii="Times New Roman" w:hAnsi="Times New Roman" w:cs="Times New Roman"/>
        </w:rPr>
      </w:pPr>
    </w:p>
    <w:p w:rsidR="009325CC" w:rsidRDefault="00630E12" w:rsidP="00630E12">
      <w:pPr>
        <w:spacing w:after="0" w:line="240" w:lineRule="auto"/>
        <w:jc w:val="both"/>
        <w:rPr>
          <w:rFonts w:ascii="Times New Roman" w:hAnsi="Times New Roman" w:cs="Times New Roman"/>
        </w:rPr>
      </w:pPr>
      <w:r>
        <w:rPr>
          <w:rFonts w:ascii="Times New Roman" w:hAnsi="Times New Roman" w:cs="Times New Roman"/>
        </w:rPr>
        <w:t>El IVA asociado al consumo interno,</w:t>
      </w:r>
      <w:r w:rsidRPr="007551B2">
        <w:rPr>
          <w:rFonts w:ascii="Times New Roman" w:hAnsi="Times New Roman" w:cs="Times New Roman"/>
        </w:rPr>
        <w:t xml:space="preserve"> contrario a lo observado en meses anteriores</w:t>
      </w:r>
      <w:r>
        <w:rPr>
          <w:rFonts w:ascii="Times New Roman" w:hAnsi="Times New Roman" w:cs="Times New Roman"/>
        </w:rPr>
        <w:t>,</w:t>
      </w:r>
      <w:r w:rsidRPr="007551B2">
        <w:rPr>
          <w:rFonts w:ascii="Times New Roman" w:hAnsi="Times New Roman" w:cs="Times New Roman"/>
        </w:rPr>
        <w:t xml:space="preserve"> no logró alcanzar la meta de presupuesto mensual, este resultado puede estar influenciado por una ligera baja en la disponibilidad de recursos</w:t>
      </w:r>
      <w:r>
        <w:rPr>
          <w:rFonts w:ascii="Times New Roman" w:hAnsi="Times New Roman" w:cs="Times New Roman"/>
        </w:rPr>
        <w:t>, probablemente</w:t>
      </w:r>
      <w:r w:rsidRPr="007551B2">
        <w:rPr>
          <w:rFonts w:ascii="Times New Roman" w:hAnsi="Times New Roman" w:cs="Times New Roman"/>
        </w:rPr>
        <w:t xml:space="preserve"> </w:t>
      </w:r>
      <w:r>
        <w:rPr>
          <w:rFonts w:ascii="Times New Roman" w:hAnsi="Times New Roman" w:cs="Times New Roman"/>
        </w:rPr>
        <w:t>por la ralentización de</w:t>
      </w:r>
      <w:r w:rsidRPr="007551B2">
        <w:rPr>
          <w:rFonts w:ascii="Times New Roman" w:hAnsi="Times New Roman" w:cs="Times New Roman"/>
        </w:rPr>
        <w:t xml:space="preserve"> las remesas familiares</w:t>
      </w:r>
      <w:r>
        <w:rPr>
          <w:rFonts w:ascii="Times New Roman" w:hAnsi="Times New Roman" w:cs="Times New Roman"/>
        </w:rPr>
        <w:t>,</w:t>
      </w:r>
      <w:r w:rsidRPr="007551B2">
        <w:rPr>
          <w:rFonts w:ascii="Times New Roman" w:hAnsi="Times New Roman" w:cs="Times New Roman"/>
        </w:rPr>
        <w:t xml:space="preserve"> las cuales a</w:t>
      </w:r>
      <w:r>
        <w:rPr>
          <w:rFonts w:ascii="Times New Roman" w:hAnsi="Times New Roman" w:cs="Times New Roman"/>
        </w:rPr>
        <w:t xml:space="preserve"> noviembre </w:t>
      </w:r>
      <w:r w:rsidRPr="007551B2">
        <w:rPr>
          <w:rFonts w:ascii="Times New Roman" w:hAnsi="Times New Roman" w:cs="Times New Roman"/>
        </w:rPr>
        <w:t>crec</w:t>
      </w:r>
      <w:r>
        <w:rPr>
          <w:rFonts w:ascii="Times New Roman" w:hAnsi="Times New Roman" w:cs="Times New Roman"/>
        </w:rPr>
        <w:t xml:space="preserve">en </w:t>
      </w:r>
      <w:r w:rsidRPr="007551B2">
        <w:rPr>
          <w:rFonts w:ascii="Times New Roman" w:hAnsi="Times New Roman" w:cs="Times New Roman"/>
        </w:rPr>
        <w:t>35.</w:t>
      </w:r>
      <w:r>
        <w:rPr>
          <w:rFonts w:ascii="Times New Roman" w:hAnsi="Times New Roman" w:cs="Times New Roman"/>
        </w:rPr>
        <w:t>4</w:t>
      </w:r>
      <w:r w:rsidRPr="007551B2">
        <w:rPr>
          <w:rFonts w:ascii="Times New Roman" w:hAnsi="Times New Roman" w:cs="Times New Roman"/>
        </w:rPr>
        <w:t>%</w:t>
      </w:r>
      <w:r>
        <w:rPr>
          <w:rFonts w:ascii="Times New Roman" w:hAnsi="Times New Roman" w:cs="Times New Roman"/>
        </w:rPr>
        <w:t>,</w:t>
      </w:r>
      <w:r w:rsidRPr="007551B2">
        <w:rPr>
          <w:rFonts w:ascii="Times New Roman" w:hAnsi="Times New Roman" w:cs="Times New Roman"/>
        </w:rPr>
        <w:t xml:space="preserve"> monto menor al observado en los meses anteriores.</w:t>
      </w:r>
    </w:p>
    <w:p w:rsidR="00630E12" w:rsidRPr="00630E12" w:rsidRDefault="00630E12" w:rsidP="00630E12">
      <w:pPr>
        <w:spacing w:after="0" w:line="240" w:lineRule="auto"/>
        <w:jc w:val="both"/>
        <w:rPr>
          <w:rFonts w:ascii="Times New Roman" w:hAnsi="Times New Roman" w:cs="Times New Roman"/>
          <w:color w:val="FF0000"/>
          <w:sz w:val="14"/>
        </w:rPr>
      </w:pPr>
    </w:p>
    <w:p w:rsidR="009325CC" w:rsidRPr="00630E12" w:rsidRDefault="009325CC" w:rsidP="009325CC">
      <w:pPr>
        <w:spacing w:after="0" w:line="240" w:lineRule="auto"/>
        <w:jc w:val="center"/>
        <w:rPr>
          <w:rFonts w:ascii="Times New Roman" w:hAnsi="Times New Roman" w:cs="Times New Roman"/>
          <w:b/>
          <w:bCs/>
        </w:rPr>
      </w:pPr>
      <w:r w:rsidRPr="00630E12">
        <w:rPr>
          <w:rFonts w:ascii="Times New Roman" w:hAnsi="Times New Roman" w:cs="Times New Roman"/>
          <w:b/>
          <w:bCs/>
        </w:rPr>
        <w:t>Brecha del impuesto al valor agregado doméstico respecto a presupuesto</w:t>
      </w:r>
    </w:p>
    <w:p w:rsidR="009325CC" w:rsidRPr="00630E12" w:rsidRDefault="009325CC" w:rsidP="009325CC">
      <w:pPr>
        <w:spacing w:after="0" w:line="240" w:lineRule="auto"/>
        <w:jc w:val="center"/>
        <w:rPr>
          <w:rFonts w:ascii="Times New Roman" w:hAnsi="Times New Roman" w:cs="Times New Roman"/>
          <w:sz w:val="20"/>
        </w:rPr>
      </w:pPr>
      <w:r w:rsidRPr="00630E12">
        <w:rPr>
          <w:rFonts w:ascii="Times New Roman" w:hAnsi="Times New Roman" w:cs="Times New Roman"/>
          <w:sz w:val="20"/>
        </w:rPr>
        <w:t>Millones de quetzales</w:t>
      </w:r>
    </w:p>
    <w:p w:rsidR="009325CC" w:rsidRPr="00630E12" w:rsidRDefault="00630E12" w:rsidP="009325CC">
      <w:pPr>
        <w:spacing w:after="0" w:line="240" w:lineRule="auto"/>
        <w:jc w:val="both"/>
        <w:rPr>
          <w:rFonts w:ascii="Times New Roman" w:hAnsi="Times New Roman" w:cs="Times New Roman"/>
        </w:rPr>
      </w:pPr>
      <w:r w:rsidRPr="00630E12">
        <w:rPr>
          <w:rFonts w:ascii="Times New Roman" w:hAnsi="Times New Roman" w:cs="Times New Roman"/>
          <w:noProof/>
          <w:lang w:eastAsia="es-GT"/>
        </w:rPr>
        <w:drawing>
          <wp:inline distT="0" distB="0" distL="0" distR="0" wp14:anchorId="734E090C" wp14:editId="13BE0DAB">
            <wp:extent cx="2733675" cy="2190750"/>
            <wp:effectExtent l="0" t="0" r="0" b="0"/>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325CC" w:rsidRPr="00630E12">
        <w:rPr>
          <w:rFonts w:ascii="Times New Roman" w:hAnsi="Times New Roman" w:cs="Times New Roman"/>
        </w:rPr>
        <w:t xml:space="preserve"> </w:t>
      </w:r>
    </w:p>
    <w:p w:rsidR="009325CC" w:rsidRPr="00630E12" w:rsidRDefault="009325CC" w:rsidP="009325CC">
      <w:pPr>
        <w:spacing w:after="0" w:line="240" w:lineRule="auto"/>
        <w:jc w:val="both"/>
        <w:rPr>
          <w:rFonts w:ascii="Times New Roman" w:hAnsi="Times New Roman" w:cs="Times New Roman"/>
          <w:sz w:val="16"/>
        </w:rPr>
      </w:pPr>
      <w:r w:rsidRPr="00630E12">
        <w:rPr>
          <w:rFonts w:ascii="Times New Roman" w:hAnsi="Times New Roman" w:cs="Times New Roman"/>
          <w:sz w:val="16"/>
        </w:rPr>
        <w:t>Fuente: Ministerio de Finanzas Públicas.</w:t>
      </w:r>
    </w:p>
    <w:p w:rsidR="00094C53" w:rsidRPr="00630E12" w:rsidRDefault="00094C53" w:rsidP="009325CC">
      <w:pPr>
        <w:spacing w:after="0" w:line="240" w:lineRule="auto"/>
        <w:jc w:val="both"/>
        <w:rPr>
          <w:rFonts w:ascii="Times New Roman" w:hAnsi="Times New Roman" w:cs="Times New Roman"/>
          <w:color w:val="FF0000"/>
          <w:sz w:val="18"/>
        </w:rPr>
      </w:pPr>
    </w:p>
    <w:p w:rsidR="00630E12" w:rsidRDefault="00630E12" w:rsidP="00630E12">
      <w:pPr>
        <w:spacing w:after="0" w:line="240" w:lineRule="auto"/>
        <w:jc w:val="both"/>
        <w:rPr>
          <w:rFonts w:ascii="Times New Roman" w:hAnsi="Times New Roman" w:cs="Times New Roman"/>
        </w:rPr>
      </w:pPr>
      <w:r w:rsidRPr="0008085E">
        <w:rPr>
          <w:rFonts w:ascii="Times New Roman" w:hAnsi="Times New Roman" w:cs="Times New Roman"/>
        </w:rPr>
        <w:t>De manera acumulada, el IVA total genera brecha positiva de Q4,837.</w:t>
      </w:r>
      <w:r>
        <w:rPr>
          <w:rFonts w:ascii="Times New Roman" w:hAnsi="Times New Roman" w:cs="Times New Roman"/>
        </w:rPr>
        <w:t>1</w:t>
      </w:r>
      <w:r w:rsidRPr="0008085E">
        <w:rPr>
          <w:rFonts w:ascii="Times New Roman" w:hAnsi="Times New Roman" w:cs="Times New Roman"/>
        </w:rPr>
        <w:t xml:space="preserve"> millones respecto a la meta de presupuesto y de Q7,700.</w:t>
      </w:r>
      <w:r>
        <w:rPr>
          <w:rFonts w:ascii="Times New Roman" w:hAnsi="Times New Roman" w:cs="Times New Roman"/>
        </w:rPr>
        <w:t>7</w:t>
      </w:r>
      <w:r w:rsidRPr="0008085E">
        <w:rPr>
          <w:rFonts w:ascii="Times New Roman" w:hAnsi="Times New Roman" w:cs="Times New Roman"/>
        </w:rPr>
        <w:t xml:space="preserve"> millones respecto a 2020.</w:t>
      </w:r>
    </w:p>
    <w:p w:rsidR="000F0085" w:rsidRPr="00CD1EDF" w:rsidRDefault="00630E12" w:rsidP="0008085E">
      <w:pPr>
        <w:spacing w:after="0" w:line="240" w:lineRule="auto"/>
        <w:jc w:val="both"/>
        <w:rPr>
          <w:rFonts w:ascii="Times New Roman" w:hAnsi="Times New Roman" w:cs="Times New Roman"/>
          <w:color w:val="FF0000"/>
        </w:rPr>
      </w:pPr>
      <w:r w:rsidRPr="00630E12">
        <w:rPr>
          <w:rFonts w:ascii="Times New Roman" w:hAnsi="Times New Roman" w:cs="Times New Roman"/>
          <w:noProof/>
          <w:color w:val="FF0000"/>
          <w:lang w:eastAsia="es-GT"/>
        </w:rPr>
        <mc:AlternateContent>
          <mc:Choice Requires="wps">
            <w:drawing>
              <wp:anchor distT="0" distB="0" distL="114300" distR="114300" simplePos="0" relativeHeight="251926528" behindDoc="0" locked="0" layoutInCell="1" allowOverlap="1" wp14:anchorId="775EE8F7" wp14:editId="0F1C4A96">
                <wp:simplePos x="0" y="0"/>
                <wp:positionH relativeFrom="column">
                  <wp:posOffset>-66675</wp:posOffset>
                </wp:positionH>
                <wp:positionV relativeFrom="paragraph">
                  <wp:posOffset>183515</wp:posOffset>
                </wp:positionV>
                <wp:extent cx="2726690" cy="1362075"/>
                <wp:effectExtent l="0" t="0" r="16510" b="28575"/>
                <wp:wrapSquare wrapText="bothSides"/>
                <wp:docPr id="229" name="Rectángulo: esquinas redondeadas 4"/>
                <wp:cNvGraphicFramePr/>
                <a:graphic xmlns:a="http://schemas.openxmlformats.org/drawingml/2006/main">
                  <a:graphicData uri="http://schemas.microsoft.com/office/word/2010/wordprocessingShape">
                    <wps:wsp>
                      <wps:cNvSpPr/>
                      <wps:spPr>
                        <a:xfrm>
                          <a:off x="0" y="0"/>
                          <a:ext cx="2726690" cy="1362075"/>
                        </a:xfrm>
                        <a:prstGeom prst="roundRect">
                          <a:avLst>
                            <a:gd name="adj" fmla="val 41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30E12" w:rsidRPr="00F74850" w:rsidRDefault="00630E12" w:rsidP="00630E12">
                            <w:pPr>
                              <w:spacing w:after="0" w:line="240" w:lineRule="auto"/>
                              <w:jc w:val="both"/>
                              <w:rPr>
                                <w:rFonts w:ascii="Times New Roman" w:hAnsi="Times New Roman" w:cs="Times New Roman"/>
                                <w:color w:val="000000" w:themeColor="text1"/>
                                <w:sz w:val="20"/>
                                <w:szCs w:val="18"/>
                              </w:rPr>
                            </w:pPr>
                            <w:r w:rsidRPr="00F74850">
                              <w:rPr>
                                <w:rFonts w:ascii="Times New Roman" w:hAnsi="Times New Roman" w:cs="Times New Roman"/>
                                <w:color w:val="000000" w:themeColor="text1"/>
                                <w:sz w:val="20"/>
                                <w:szCs w:val="18"/>
                              </w:rPr>
                              <w:t>En 2020, las importaciones gravadas a noviembre cayeron en 9.7%, para 2021, al mes de octubre crecen en 43.6%, según cifras del BANGUAT, el valor de las importaciones gravadas de combustibles y lubricantes acumuladas a noviembre 2021 tienen un crecimiento de 80.8%. En volumen, un incremento de 20.9% y en precio un incremento de 49.5%.</w:t>
                            </w:r>
                          </w:p>
                          <w:p w:rsidR="000F0085" w:rsidRPr="0008085E" w:rsidRDefault="000F0085" w:rsidP="000F0085">
                            <w:pPr>
                              <w:spacing w:after="0" w:line="240" w:lineRule="auto"/>
                              <w:jc w:val="both"/>
                              <w:rPr>
                                <w:rFonts w:ascii="Times New Roman" w:hAnsi="Times New Roman" w:cs="Times New Roman"/>
                                <w:color w:val="000000" w:themeColor="text1"/>
                                <w:sz w:val="18"/>
                                <w:szCs w:val="19"/>
                              </w:rPr>
                            </w:pPr>
                          </w:p>
                          <w:p w:rsidR="000F0085" w:rsidRPr="0008085E" w:rsidRDefault="000F0085" w:rsidP="000F0085">
                            <w:pPr>
                              <w:spacing w:after="0" w:line="240" w:lineRule="auto"/>
                              <w:jc w:val="both"/>
                              <w:rPr>
                                <w:rFonts w:ascii="Times New Roman" w:hAnsi="Times New Roman" w:cs="Times New Roman"/>
                                <w:color w:val="000000" w:themeColor="text1"/>
                                <w:sz w:val="18"/>
                                <w:szCs w:val="19"/>
                              </w:rPr>
                            </w:pPr>
                          </w:p>
                          <w:p w:rsidR="000F0085" w:rsidRPr="005515AF" w:rsidRDefault="000F0085" w:rsidP="000F0085">
                            <w:pPr>
                              <w:spacing w:after="0" w:line="240" w:lineRule="auto"/>
                              <w:jc w:val="both"/>
                              <w:rPr>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75EE8F7" id="Rectángulo: esquinas redondeadas 4" o:spid="_x0000_s1026" style="position:absolute;left:0;text-align:left;margin-left:-5.25pt;margin-top:14.45pt;width:214.7pt;height:107.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" fillcolor="#dbe5f1 [660]" strokecolor="#243f60 [1604]" strokeweight="2pt">
                <v:textbox>
                  <w:txbxContent>
                    <w:p w:rsidR="00630E12" w:rsidRPr="00F74850" w:rsidRDefault="00630E12" w:rsidP="00630E12">
                      <w:pPr>
                        <w:spacing w:after="0" w:line="240" w:lineRule="auto"/>
                        <w:jc w:val="both"/>
                        <w:rPr>
                          <w:rFonts w:ascii="Times New Roman" w:hAnsi="Times New Roman" w:cs="Times New Roman"/>
                          <w:color w:val="000000" w:themeColor="text1"/>
                          <w:sz w:val="20"/>
                          <w:szCs w:val="18"/>
                        </w:rPr>
                      </w:pPr>
                      <w:r w:rsidRPr="00F74850">
                        <w:rPr>
                          <w:rFonts w:ascii="Times New Roman" w:hAnsi="Times New Roman" w:cs="Times New Roman"/>
                          <w:color w:val="000000" w:themeColor="text1"/>
                          <w:sz w:val="20"/>
                          <w:szCs w:val="18"/>
                        </w:rPr>
                        <w:t>En 2020, las importaciones gravadas a noviembre cayeron en 9.7%, para 2021, al mes de octubre crecen en 43.6%, según cifras del BANGUAT, el valor de las importaciones gravadas de combustibles y lubricantes acumuladas a noviembre 2021 tienen un crecimiento de 80.8%. En volumen, un incremento de 20.9% y en precio un incremento de 49.5%.</w:t>
                      </w:r>
                    </w:p>
                    <w:p w:rsidR="000F0085" w:rsidRPr="0008085E" w:rsidRDefault="000F0085" w:rsidP="000F0085">
                      <w:pPr>
                        <w:spacing w:after="0" w:line="240" w:lineRule="auto"/>
                        <w:jc w:val="both"/>
                        <w:rPr>
                          <w:rFonts w:ascii="Times New Roman" w:hAnsi="Times New Roman" w:cs="Times New Roman"/>
                          <w:color w:val="000000" w:themeColor="text1"/>
                          <w:sz w:val="18"/>
                          <w:szCs w:val="19"/>
                        </w:rPr>
                      </w:pPr>
                    </w:p>
                    <w:p w:rsidR="000F0085" w:rsidRPr="0008085E" w:rsidRDefault="000F0085" w:rsidP="000F0085">
                      <w:pPr>
                        <w:spacing w:after="0" w:line="240" w:lineRule="auto"/>
                        <w:jc w:val="both"/>
                        <w:rPr>
                          <w:rFonts w:ascii="Times New Roman" w:hAnsi="Times New Roman" w:cs="Times New Roman"/>
                          <w:color w:val="000000" w:themeColor="text1"/>
                          <w:sz w:val="18"/>
                          <w:szCs w:val="19"/>
                        </w:rPr>
                      </w:pPr>
                    </w:p>
                    <w:p w:rsidR="000F0085" w:rsidRPr="005515AF" w:rsidRDefault="000F0085" w:rsidP="000F0085">
                      <w:pPr>
                        <w:spacing w:after="0" w:line="240" w:lineRule="auto"/>
                        <w:jc w:val="both"/>
                        <w:rPr>
                          <w:color w:val="000000" w:themeColor="text1"/>
                          <w:sz w:val="19"/>
                          <w:szCs w:val="19"/>
                        </w:rPr>
                      </w:pPr>
                    </w:p>
                  </w:txbxContent>
                </v:textbox>
                <w10:wrap type="square"/>
              </v:roundrect>
            </w:pict>
          </mc:Fallback>
        </mc:AlternateContent>
      </w:r>
    </w:p>
    <w:p w:rsidR="00852F6F" w:rsidRDefault="00852F6F" w:rsidP="0008085E">
      <w:pPr>
        <w:spacing w:after="0" w:line="240" w:lineRule="auto"/>
        <w:jc w:val="both"/>
        <w:rPr>
          <w:rFonts w:ascii="Times New Roman" w:hAnsi="Times New Roman" w:cs="Times New Roman"/>
          <w:b/>
          <w:bCs/>
        </w:rPr>
      </w:pPr>
    </w:p>
    <w:p w:rsidR="0008085E" w:rsidRPr="00630E12" w:rsidRDefault="0008085E" w:rsidP="0008085E">
      <w:pPr>
        <w:spacing w:after="0" w:line="240" w:lineRule="auto"/>
        <w:jc w:val="both"/>
        <w:rPr>
          <w:rFonts w:ascii="Times New Roman" w:hAnsi="Times New Roman" w:cs="Times New Roman"/>
          <w:b/>
          <w:bCs/>
        </w:rPr>
      </w:pPr>
      <w:r w:rsidRPr="00630E12">
        <w:rPr>
          <w:rFonts w:ascii="Times New Roman" w:hAnsi="Times New Roman" w:cs="Times New Roman"/>
          <w:b/>
          <w:bCs/>
        </w:rPr>
        <w:t>Los demás impuestos</w:t>
      </w:r>
    </w:p>
    <w:p w:rsidR="0008085E" w:rsidRPr="00630E12" w:rsidRDefault="0008085E" w:rsidP="0008085E">
      <w:pPr>
        <w:spacing w:after="0" w:line="240" w:lineRule="auto"/>
        <w:jc w:val="both"/>
        <w:rPr>
          <w:rFonts w:ascii="Times New Roman" w:hAnsi="Times New Roman" w:cs="Times New Roman"/>
          <w:b/>
          <w:bCs/>
          <w:color w:val="FF0000"/>
          <w:sz w:val="12"/>
        </w:rPr>
      </w:pPr>
    </w:p>
    <w:p w:rsidR="00630E12" w:rsidRPr="007551B2" w:rsidRDefault="00630E12" w:rsidP="00630E12">
      <w:pPr>
        <w:spacing w:after="0" w:line="240" w:lineRule="auto"/>
        <w:jc w:val="both"/>
        <w:rPr>
          <w:rFonts w:ascii="Times New Roman" w:hAnsi="Times New Roman" w:cs="Times New Roman"/>
        </w:rPr>
      </w:pPr>
      <w:r w:rsidRPr="007551B2">
        <w:rPr>
          <w:rFonts w:ascii="Times New Roman" w:hAnsi="Times New Roman" w:cs="Times New Roman"/>
        </w:rPr>
        <w:t>En la recaudación mensual de los demás impuestos, destaca que los impuestos no administrados por SAT no alcanzaron la meta mensual dejando de percibir Q49.3 millones respecto a la meta de presupuesto, aunado a estos impuestos también no superaron la meta el impuesto a los tabacos, el de derivados del petróleo</w:t>
      </w:r>
      <w:r>
        <w:rPr>
          <w:rFonts w:ascii="Times New Roman" w:hAnsi="Times New Roman" w:cs="Times New Roman"/>
        </w:rPr>
        <w:t>,</w:t>
      </w:r>
      <w:r w:rsidRPr="007551B2">
        <w:rPr>
          <w:rFonts w:ascii="Times New Roman" w:hAnsi="Times New Roman" w:cs="Times New Roman"/>
        </w:rPr>
        <w:t xml:space="preserve"> el de timbres fiscales</w:t>
      </w:r>
      <w:r>
        <w:rPr>
          <w:rFonts w:ascii="Times New Roman" w:hAnsi="Times New Roman" w:cs="Times New Roman"/>
        </w:rPr>
        <w:t xml:space="preserve"> y el de la propiedad</w:t>
      </w:r>
      <w:r w:rsidRPr="007551B2">
        <w:rPr>
          <w:rFonts w:ascii="Times New Roman" w:hAnsi="Times New Roman" w:cs="Times New Roman"/>
        </w:rPr>
        <w:t>.</w:t>
      </w:r>
    </w:p>
    <w:p w:rsidR="00630E12" w:rsidRDefault="00630E12" w:rsidP="00630E12">
      <w:pPr>
        <w:spacing w:after="0" w:line="240" w:lineRule="auto"/>
        <w:jc w:val="both"/>
        <w:rPr>
          <w:rFonts w:ascii="Times New Roman" w:hAnsi="Times New Roman" w:cs="Times New Roman"/>
        </w:rPr>
      </w:pPr>
    </w:p>
    <w:p w:rsidR="0008085E" w:rsidRDefault="00630E12" w:rsidP="0008085E">
      <w:pPr>
        <w:spacing w:after="0" w:line="240" w:lineRule="auto"/>
        <w:jc w:val="both"/>
        <w:rPr>
          <w:rFonts w:ascii="Times New Roman" w:hAnsi="Times New Roman" w:cs="Times New Roman"/>
        </w:rPr>
      </w:pPr>
      <w:r w:rsidRPr="007551B2">
        <w:rPr>
          <w:rFonts w:ascii="Times New Roman" w:hAnsi="Times New Roman" w:cs="Times New Roman"/>
        </w:rPr>
        <w:t>De manera acumulada el impuesto a los tabacos genera brecha negativa de Q28.2 millones y los impuestos no administrados por SAT generan brecha negativa de Q201.4 millones respecto a la meta de presupuesto</w:t>
      </w:r>
      <w:r>
        <w:rPr>
          <w:rFonts w:ascii="Times New Roman" w:hAnsi="Times New Roman" w:cs="Times New Roman"/>
        </w:rPr>
        <w:t>, de los cuales el impuesto a las regalías e hidrocarburos aportan 68.8 millones y Q132.6 millones el impuesto de salidas del país.</w:t>
      </w:r>
    </w:p>
    <w:p w:rsidR="00630E12" w:rsidRPr="00630E12" w:rsidRDefault="00630E12" w:rsidP="0008085E">
      <w:pPr>
        <w:spacing w:after="0" w:line="240" w:lineRule="auto"/>
        <w:jc w:val="both"/>
        <w:rPr>
          <w:rFonts w:ascii="Times New Roman" w:hAnsi="Times New Roman" w:cs="Times New Roman"/>
        </w:rPr>
      </w:pPr>
      <w:r w:rsidRPr="00630E12">
        <w:rPr>
          <w:rFonts w:ascii="Times New Roman" w:hAnsi="Times New Roman" w:cs="Times New Roman"/>
          <w:noProof/>
          <w:color w:val="FF0000"/>
          <w:lang w:eastAsia="es-GT"/>
        </w:rPr>
        <mc:AlternateContent>
          <mc:Choice Requires="wps">
            <w:drawing>
              <wp:anchor distT="0" distB="0" distL="114300" distR="114300" simplePos="0" relativeHeight="251905024" behindDoc="0" locked="0" layoutInCell="1" allowOverlap="1" wp14:anchorId="4B899C78" wp14:editId="794481F4">
                <wp:simplePos x="0" y="0"/>
                <wp:positionH relativeFrom="column">
                  <wp:posOffset>5715</wp:posOffset>
                </wp:positionH>
                <wp:positionV relativeFrom="paragraph">
                  <wp:posOffset>177165</wp:posOffset>
                </wp:positionV>
                <wp:extent cx="2596515" cy="3381375"/>
                <wp:effectExtent l="0" t="0" r="13335" b="28575"/>
                <wp:wrapSquare wrapText="bothSides"/>
                <wp:docPr id="1" name="Rectángulo: esquinas redondeadas 4"/>
                <wp:cNvGraphicFramePr/>
                <a:graphic xmlns:a="http://schemas.openxmlformats.org/drawingml/2006/main">
                  <a:graphicData uri="http://schemas.microsoft.com/office/word/2010/wordprocessingShape">
                    <wps:wsp>
                      <wps:cNvSpPr/>
                      <wps:spPr>
                        <a:xfrm>
                          <a:off x="0" y="0"/>
                          <a:ext cx="2596515" cy="3381375"/>
                        </a:xfrm>
                        <a:prstGeom prst="roundRect">
                          <a:avLst>
                            <a:gd name="adj" fmla="val 410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30E12" w:rsidRPr="00F74850" w:rsidRDefault="00630E12" w:rsidP="00630E12">
                            <w:pPr>
                              <w:spacing w:after="0" w:line="240" w:lineRule="auto"/>
                              <w:jc w:val="both"/>
                              <w:rPr>
                                <w:rFonts w:ascii="Times New Roman" w:hAnsi="Times New Roman" w:cs="Times New Roman"/>
                                <w:color w:val="000000" w:themeColor="text1"/>
                                <w:sz w:val="20"/>
                                <w:szCs w:val="20"/>
                              </w:rPr>
                            </w:pPr>
                            <w:r w:rsidRPr="00F74850">
                              <w:rPr>
                                <w:rFonts w:ascii="Times New Roman" w:hAnsi="Times New Roman" w:cs="Times New Roman"/>
                                <w:color w:val="000000" w:themeColor="text1"/>
                                <w:sz w:val="20"/>
                                <w:szCs w:val="20"/>
                              </w:rPr>
                              <w:t>Información publicada por el Instituto Guatemalteco de Turismo -INGUAT- da cuenta de la caída al mes de octubre del número de visitantes no residentes al país, si bien se tiene un ligero crecimiento respecto al año 2020 (18%) si la comparación se realiza respecto a 2019 (año sin pandemia) se observa una caída de 71.1%, otro factor importante a destacar es que de conformidad a las estadísticas del INGUAT al mes de octubre aún no se tienen reportes de excursionistas por cruceros.</w:t>
                            </w:r>
                          </w:p>
                          <w:p w:rsidR="00630E12" w:rsidRPr="00F74850" w:rsidRDefault="00630E12" w:rsidP="00630E12">
                            <w:pPr>
                              <w:spacing w:after="0" w:line="240" w:lineRule="auto"/>
                              <w:jc w:val="both"/>
                              <w:rPr>
                                <w:rFonts w:ascii="Times New Roman" w:hAnsi="Times New Roman" w:cs="Times New Roman"/>
                                <w:color w:val="000000" w:themeColor="text1"/>
                                <w:sz w:val="14"/>
                                <w:szCs w:val="20"/>
                              </w:rPr>
                            </w:pPr>
                          </w:p>
                          <w:p w:rsidR="00630E12" w:rsidRPr="00F74850" w:rsidRDefault="00630E12" w:rsidP="00630E12">
                            <w:pPr>
                              <w:spacing w:after="0" w:line="240" w:lineRule="auto"/>
                              <w:jc w:val="both"/>
                              <w:rPr>
                                <w:rFonts w:ascii="Times New Roman" w:hAnsi="Times New Roman" w:cs="Times New Roman"/>
                                <w:color w:val="000000" w:themeColor="text1"/>
                                <w:sz w:val="20"/>
                                <w:szCs w:val="20"/>
                              </w:rPr>
                            </w:pPr>
                            <w:r w:rsidRPr="00F74850">
                              <w:rPr>
                                <w:rFonts w:ascii="Times New Roman" w:hAnsi="Times New Roman" w:cs="Times New Roman"/>
                                <w:color w:val="000000" w:themeColor="text1"/>
                                <w:sz w:val="20"/>
                                <w:szCs w:val="20"/>
                              </w:rPr>
                              <w:t>Para el caso de las regalías e hidrocarburos compartibles según cifras del Ministerio de Energía y Minas se observa que el volumen exportado de petróleo y sus derivados al mes de octubre tiene un crecimiento del 10% respecto a lo observado en 2020, si la comparación se realiza respecto a 2019 se observa una caída del 15% en el volumen exportado.</w:t>
                            </w:r>
                          </w:p>
                          <w:p w:rsidR="0008085E" w:rsidRDefault="0008085E" w:rsidP="0008085E">
                            <w:pPr>
                              <w:spacing w:after="0" w:line="240" w:lineRule="auto"/>
                              <w:jc w:val="both"/>
                              <w:rPr>
                                <w:rFonts w:ascii="Times New Roman" w:hAnsi="Times New Roman" w:cs="Times New Roman"/>
                                <w:color w:val="000000" w:themeColor="text1"/>
                                <w:sz w:val="19"/>
                                <w:szCs w:val="19"/>
                              </w:rPr>
                            </w:pPr>
                          </w:p>
                          <w:p w:rsidR="0008085E" w:rsidRPr="005515AF" w:rsidRDefault="0008085E" w:rsidP="0008085E">
                            <w:pPr>
                              <w:spacing w:after="0" w:line="240" w:lineRule="auto"/>
                              <w:jc w:val="both"/>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 xml:space="preserve"> </w:t>
                            </w:r>
                          </w:p>
                          <w:p w:rsidR="0008085E" w:rsidRDefault="0008085E" w:rsidP="0008085E">
                            <w:pPr>
                              <w:spacing w:after="0" w:line="240" w:lineRule="auto"/>
                              <w:jc w:val="both"/>
                              <w:rPr>
                                <w:rFonts w:ascii="Times New Roman" w:hAnsi="Times New Roman" w:cs="Times New Roman"/>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B899C78" id="_x0000_s1027" style="position:absolute;left:0;text-align:left;margin-left:.45pt;margin-top:13.95pt;width:204.45pt;height:266.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" fillcolor="#dbe5f1 [660]" strokecolor="#243f60 [1604]" strokeweight="2pt">
                <v:textbox>
                  <w:txbxContent>
                    <w:p w:rsidR="00630E12" w:rsidRPr="00F74850" w:rsidRDefault="00630E12" w:rsidP="00630E12">
                      <w:pPr>
                        <w:spacing w:after="0" w:line="240" w:lineRule="auto"/>
                        <w:jc w:val="both"/>
                        <w:rPr>
                          <w:rFonts w:ascii="Times New Roman" w:hAnsi="Times New Roman" w:cs="Times New Roman"/>
                          <w:color w:val="000000" w:themeColor="text1"/>
                          <w:sz w:val="20"/>
                          <w:szCs w:val="20"/>
                        </w:rPr>
                      </w:pPr>
                      <w:r w:rsidRPr="00F74850">
                        <w:rPr>
                          <w:rFonts w:ascii="Times New Roman" w:hAnsi="Times New Roman" w:cs="Times New Roman"/>
                          <w:color w:val="000000" w:themeColor="text1"/>
                          <w:sz w:val="20"/>
                          <w:szCs w:val="20"/>
                        </w:rPr>
                        <w:t>Información publicada por el Instituto Guatemalteco de Turismo -INGUAT- da cuenta de la caída al mes de octubre del número de visitantes no residentes al país, si bien se tiene un ligero crecimiento respecto al año 2020 (18%) si la comparación se realiza respecto a 2019 (año sin pandemia) se observa una caída de 71.1%, otro factor importante a destacar es que de conformidad a las estadísticas del INGUAT al mes de octubre aún no se tienen reportes de excursionistas por cruceros.</w:t>
                      </w:r>
                    </w:p>
                    <w:p w:rsidR="00630E12" w:rsidRPr="00F74850" w:rsidRDefault="00630E12" w:rsidP="00630E12">
                      <w:pPr>
                        <w:spacing w:after="0" w:line="240" w:lineRule="auto"/>
                        <w:jc w:val="both"/>
                        <w:rPr>
                          <w:rFonts w:ascii="Times New Roman" w:hAnsi="Times New Roman" w:cs="Times New Roman"/>
                          <w:color w:val="000000" w:themeColor="text1"/>
                          <w:sz w:val="14"/>
                          <w:szCs w:val="20"/>
                        </w:rPr>
                      </w:pPr>
                    </w:p>
                    <w:p w:rsidR="00630E12" w:rsidRPr="00F74850" w:rsidRDefault="00630E12" w:rsidP="00630E12">
                      <w:pPr>
                        <w:spacing w:after="0" w:line="240" w:lineRule="auto"/>
                        <w:jc w:val="both"/>
                        <w:rPr>
                          <w:rFonts w:ascii="Times New Roman" w:hAnsi="Times New Roman" w:cs="Times New Roman"/>
                          <w:color w:val="000000" w:themeColor="text1"/>
                          <w:sz w:val="20"/>
                          <w:szCs w:val="20"/>
                        </w:rPr>
                      </w:pPr>
                      <w:r w:rsidRPr="00F74850">
                        <w:rPr>
                          <w:rFonts w:ascii="Times New Roman" w:hAnsi="Times New Roman" w:cs="Times New Roman"/>
                          <w:color w:val="000000" w:themeColor="text1"/>
                          <w:sz w:val="20"/>
                          <w:szCs w:val="20"/>
                        </w:rPr>
                        <w:t>Para el caso de las regalías e hidrocarburos compartibles según cifras del Ministerio de Energía y Minas se observa que el volumen exportado de petróleo y sus derivados al mes de octubre tiene un crecimiento del 10% respecto a lo observado en 2020, si la comparación se realiza respecto a 2019 se observa una caída del 15% en el volumen exportado.</w:t>
                      </w:r>
                    </w:p>
                    <w:p w:rsidR="0008085E" w:rsidRDefault="0008085E" w:rsidP="0008085E">
                      <w:pPr>
                        <w:spacing w:after="0" w:line="240" w:lineRule="auto"/>
                        <w:jc w:val="both"/>
                        <w:rPr>
                          <w:rFonts w:ascii="Times New Roman" w:hAnsi="Times New Roman" w:cs="Times New Roman"/>
                          <w:color w:val="000000" w:themeColor="text1"/>
                          <w:sz w:val="19"/>
                          <w:szCs w:val="19"/>
                        </w:rPr>
                      </w:pPr>
                    </w:p>
                    <w:p w:rsidR="0008085E" w:rsidRPr="005515AF" w:rsidRDefault="0008085E" w:rsidP="0008085E">
                      <w:pPr>
                        <w:spacing w:after="0" w:line="240" w:lineRule="auto"/>
                        <w:jc w:val="both"/>
                        <w:rPr>
                          <w:rFonts w:ascii="Times New Roman" w:hAnsi="Times New Roman" w:cs="Times New Roman"/>
                          <w:color w:val="000000" w:themeColor="text1"/>
                          <w:sz w:val="19"/>
                          <w:szCs w:val="19"/>
                        </w:rPr>
                      </w:pPr>
                      <w:r>
                        <w:rPr>
                          <w:rFonts w:ascii="Times New Roman" w:hAnsi="Times New Roman" w:cs="Times New Roman"/>
                          <w:color w:val="000000" w:themeColor="text1"/>
                          <w:sz w:val="19"/>
                          <w:szCs w:val="19"/>
                        </w:rPr>
                        <w:t xml:space="preserve"> </w:t>
                      </w:r>
                    </w:p>
                    <w:p w:rsidR="0008085E" w:rsidRDefault="0008085E" w:rsidP="0008085E">
                      <w:pPr>
                        <w:spacing w:after="0" w:line="240" w:lineRule="auto"/>
                        <w:jc w:val="both"/>
                        <w:rPr>
                          <w:rFonts w:ascii="Times New Roman" w:hAnsi="Times New Roman" w:cs="Times New Roman"/>
                          <w:color w:val="000000" w:themeColor="text1"/>
                          <w:sz w:val="19"/>
                          <w:szCs w:val="19"/>
                        </w:rPr>
                      </w:pPr>
                    </w:p>
                  </w:txbxContent>
                </v:textbox>
                <w10:wrap type="square"/>
              </v:roundrect>
            </w:pict>
          </mc:Fallback>
        </mc:AlternateContent>
      </w:r>
    </w:p>
    <w:p w:rsidR="000F0085" w:rsidRPr="00630E12" w:rsidRDefault="000F0085" w:rsidP="0008085E">
      <w:pPr>
        <w:spacing w:after="0" w:line="240" w:lineRule="auto"/>
        <w:jc w:val="both"/>
        <w:rPr>
          <w:rFonts w:ascii="Times New Roman" w:hAnsi="Times New Roman" w:cs="Times New Roman"/>
          <w:color w:val="FF0000"/>
        </w:rPr>
      </w:pPr>
    </w:p>
    <w:p w:rsidR="00630E12" w:rsidRDefault="00630E12" w:rsidP="00630E12">
      <w:pPr>
        <w:spacing w:after="0" w:line="240" w:lineRule="auto"/>
        <w:jc w:val="both"/>
        <w:rPr>
          <w:rFonts w:ascii="Times New Roman" w:hAnsi="Times New Roman" w:cs="Times New Roman"/>
        </w:rPr>
      </w:pPr>
      <w:r w:rsidRPr="007551B2">
        <w:rPr>
          <w:rFonts w:ascii="Times New Roman" w:hAnsi="Times New Roman" w:cs="Times New Roman"/>
        </w:rPr>
        <w:lastRenderedPageBreak/>
        <w:t xml:space="preserve">Aspectos importantes a destacar en el desempeño de la SAT y que tienen impacto directo en la recaudación son: el avance en las etapas complementarias a la modernización del RTU digital, avances en el gobierno de datos, seguimiento del modelo de atención de factura electrónica en línea, activación de agencia virtual a distancia y las mejoras al sistema de cita previa, y a programas y acciones como la implementación de auditorías seleccionadas a través de un nuevo modelo de fiscalización mediante la </w:t>
      </w:r>
    </w:p>
    <w:p w:rsidR="00630E12" w:rsidRDefault="00630E12" w:rsidP="00630E12">
      <w:pPr>
        <w:spacing w:after="0" w:line="240" w:lineRule="auto"/>
        <w:jc w:val="both"/>
        <w:rPr>
          <w:rFonts w:ascii="Times New Roman" w:hAnsi="Times New Roman" w:cs="Times New Roman"/>
        </w:rPr>
      </w:pPr>
    </w:p>
    <w:p w:rsidR="0008085E" w:rsidRDefault="00630E12" w:rsidP="00630E12">
      <w:pPr>
        <w:spacing w:after="0" w:line="240" w:lineRule="auto"/>
        <w:jc w:val="both"/>
        <w:rPr>
          <w:rFonts w:ascii="Times New Roman" w:hAnsi="Times New Roman" w:cs="Times New Roman"/>
        </w:rPr>
      </w:pPr>
      <w:r w:rsidRPr="007551B2">
        <w:rPr>
          <w:rFonts w:ascii="Times New Roman" w:hAnsi="Times New Roman" w:cs="Times New Roman"/>
        </w:rPr>
        <w:t>segregación por sector económico, verificación de tributos internos y externos y a la verificación de obligaciones formales aunado a los nuevos proyectos que se encuentra realizando SAT como el nuevo sistema de retenciones WEB.</w:t>
      </w:r>
    </w:p>
    <w:p w:rsidR="00630E12" w:rsidRPr="00630E12" w:rsidRDefault="00630E12" w:rsidP="00630E12">
      <w:pPr>
        <w:spacing w:after="0" w:line="240" w:lineRule="auto"/>
        <w:jc w:val="both"/>
        <w:rPr>
          <w:rFonts w:ascii="Times New Roman" w:hAnsi="Times New Roman" w:cs="Times New Roman"/>
          <w:b/>
          <w:bCs/>
          <w:color w:val="FF0000"/>
        </w:rPr>
      </w:pPr>
    </w:p>
    <w:p w:rsidR="0008085E" w:rsidRPr="00630E12" w:rsidRDefault="0008085E" w:rsidP="0008085E">
      <w:pPr>
        <w:spacing w:after="0" w:line="240" w:lineRule="auto"/>
        <w:jc w:val="both"/>
        <w:rPr>
          <w:rFonts w:ascii="Times New Roman" w:hAnsi="Times New Roman" w:cs="Times New Roman"/>
          <w:b/>
          <w:bCs/>
        </w:rPr>
      </w:pPr>
      <w:r w:rsidRPr="00630E12">
        <w:rPr>
          <w:rFonts w:ascii="Times New Roman" w:hAnsi="Times New Roman" w:cs="Times New Roman"/>
          <w:b/>
          <w:bCs/>
        </w:rPr>
        <w:t>Expectativas de cierre 2021</w:t>
      </w:r>
    </w:p>
    <w:p w:rsidR="0008085E" w:rsidRPr="00630E12" w:rsidRDefault="0008085E" w:rsidP="0008085E">
      <w:pPr>
        <w:spacing w:after="0" w:line="240" w:lineRule="auto"/>
        <w:jc w:val="both"/>
        <w:rPr>
          <w:rFonts w:ascii="Times New Roman" w:hAnsi="Times New Roman" w:cs="Times New Roman"/>
          <w:color w:val="FF0000"/>
          <w:sz w:val="16"/>
        </w:rPr>
      </w:pPr>
    </w:p>
    <w:p w:rsidR="000F0085" w:rsidRPr="00630E12" w:rsidRDefault="00630E12" w:rsidP="0008085E">
      <w:pPr>
        <w:spacing w:after="0" w:line="240" w:lineRule="auto"/>
        <w:jc w:val="both"/>
        <w:rPr>
          <w:rFonts w:ascii="Times New Roman" w:hAnsi="Times New Roman" w:cs="Times New Roman"/>
        </w:rPr>
      </w:pPr>
      <w:r w:rsidRPr="007551B2">
        <w:rPr>
          <w:rFonts w:ascii="Times New Roman" w:hAnsi="Times New Roman" w:cs="Times New Roman"/>
        </w:rPr>
        <w:t xml:space="preserve">De conformidad con los resultados obtenidos de recaudación tributaria al mes de noviembre y bajo el escenario de pleno cumplimiento de </w:t>
      </w:r>
      <w:r>
        <w:rPr>
          <w:rFonts w:ascii="Times New Roman" w:hAnsi="Times New Roman" w:cs="Times New Roman"/>
        </w:rPr>
        <w:t xml:space="preserve">la </w:t>
      </w:r>
      <w:r w:rsidRPr="007551B2">
        <w:rPr>
          <w:rFonts w:ascii="Times New Roman" w:hAnsi="Times New Roman" w:cs="Times New Roman"/>
        </w:rPr>
        <w:t xml:space="preserve">meta de presupuesto para </w:t>
      </w:r>
      <w:r>
        <w:rPr>
          <w:rFonts w:ascii="Times New Roman" w:hAnsi="Times New Roman" w:cs="Times New Roman"/>
        </w:rPr>
        <w:t>diciembre</w:t>
      </w:r>
      <w:r w:rsidRPr="007551B2">
        <w:rPr>
          <w:rFonts w:ascii="Times New Roman" w:hAnsi="Times New Roman" w:cs="Times New Roman"/>
        </w:rPr>
        <w:t>, el resultado del ejercicio fiscal puede rondar los Q75,</w:t>
      </w:r>
      <w:r>
        <w:rPr>
          <w:rFonts w:ascii="Times New Roman" w:hAnsi="Times New Roman" w:cs="Times New Roman"/>
        </w:rPr>
        <w:t xml:space="preserve">495.5 </w:t>
      </w:r>
      <w:r w:rsidRPr="007551B2">
        <w:rPr>
          <w:rFonts w:ascii="Times New Roman" w:hAnsi="Times New Roman" w:cs="Times New Roman"/>
        </w:rPr>
        <w:t>millones, lo que significaría una brecha positiva respecto a la meta de presupuesto de Q1</w:t>
      </w:r>
      <w:r>
        <w:rPr>
          <w:rFonts w:ascii="Times New Roman" w:hAnsi="Times New Roman" w:cs="Times New Roman"/>
        </w:rPr>
        <w:t xml:space="preserve">1,467.8 </w:t>
      </w:r>
      <w:r w:rsidRPr="007551B2">
        <w:rPr>
          <w:rFonts w:ascii="Times New Roman" w:hAnsi="Times New Roman" w:cs="Times New Roman"/>
        </w:rPr>
        <w:t xml:space="preserve">millones. </w:t>
      </w:r>
    </w:p>
    <w:p w:rsidR="0008085E" w:rsidRPr="00630E12" w:rsidRDefault="0008085E" w:rsidP="0008085E">
      <w:pPr>
        <w:spacing w:after="0" w:line="240" w:lineRule="auto"/>
        <w:jc w:val="both"/>
        <w:rPr>
          <w:rFonts w:ascii="Times New Roman" w:hAnsi="Times New Roman" w:cs="Times New Roman"/>
          <w:color w:val="FF0000"/>
        </w:rPr>
      </w:pPr>
    </w:p>
    <w:p w:rsidR="0008085E" w:rsidRPr="00630E12" w:rsidRDefault="0008085E" w:rsidP="0008085E">
      <w:pPr>
        <w:spacing w:after="0" w:line="240" w:lineRule="auto"/>
        <w:jc w:val="center"/>
        <w:rPr>
          <w:rFonts w:ascii="Times New Roman" w:hAnsi="Times New Roman" w:cs="Times New Roman"/>
          <w:b/>
          <w:bCs/>
        </w:rPr>
      </w:pPr>
      <w:r w:rsidRPr="00630E12">
        <w:rPr>
          <w:rFonts w:ascii="Times New Roman" w:hAnsi="Times New Roman" w:cs="Times New Roman"/>
          <w:b/>
          <w:bCs/>
        </w:rPr>
        <w:t>Expectativas de cierre 2021</w:t>
      </w:r>
    </w:p>
    <w:p w:rsidR="0008085E" w:rsidRPr="00630E12" w:rsidRDefault="0008085E" w:rsidP="0008085E">
      <w:pPr>
        <w:spacing w:after="0" w:line="240" w:lineRule="auto"/>
        <w:jc w:val="center"/>
        <w:rPr>
          <w:rFonts w:ascii="Times New Roman" w:hAnsi="Times New Roman" w:cs="Times New Roman"/>
          <w:bCs/>
          <w:sz w:val="20"/>
        </w:rPr>
      </w:pPr>
      <w:r w:rsidRPr="00630E12">
        <w:rPr>
          <w:rFonts w:ascii="Times New Roman" w:hAnsi="Times New Roman" w:cs="Times New Roman"/>
          <w:bCs/>
          <w:sz w:val="20"/>
        </w:rPr>
        <w:t>Millones de quetzales</w:t>
      </w:r>
    </w:p>
    <w:p w:rsidR="0008085E" w:rsidRPr="00630E12" w:rsidRDefault="00630E12" w:rsidP="0008085E">
      <w:pPr>
        <w:spacing w:after="0" w:line="240" w:lineRule="auto"/>
        <w:jc w:val="both"/>
        <w:rPr>
          <w:rFonts w:ascii="Times New Roman" w:hAnsi="Times New Roman" w:cs="Times New Roman"/>
          <w:sz w:val="8"/>
        </w:rPr>
      </w:pPr>
      <w:r w:rsidRPr="00630E12">
        <w:rPr>
          <w:rFonts w:ascii="Times New Roman" w:hAnsi="Times New Roman" w:cs="Times New Roman"/>
          <w:noProof/>
          <w:sz w:val="8"/>
          <w:lang w:eastAsia="es-GT"/>
        </w:rPr>
        <w:drawing>
          <wp:inline distT="0" distB="0" distL="0" distR="0" wp14:anchorId="6F7DF555" wp14:editId="4E39A5F4">
            <wp:extent cx="2724150" cy="2066925"/>
            <wp:effectExtent l="0" t="0" r="0"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085E" w:rsidRPr="00630E12" w:rsidRDefault="0008085E" w:rsidP="0008085E">
      <w:pPr>
        <w:spacing w:after="0" w:line="240" w:lineRule="auto"/>
        <w:jc w:val="both"/>
        <w:rPr>
          <w:rFonts w:ascii="Times New Roman" w:hAnsi="Times New Roman" w:cs="Times New Roman"/>
          <w:sz w:val="8"/>
        </w:rPr>
      </w:pPr>
    </w:p>
    <w:p w:rsidR="00107D10" w:rsidRDefault="0008085E" w:rsidP="0008085E">
      <w:pPr>
        <w:spacing w:after="0" w:line="240" w:lineRule="auto"/>
        <w:jc w:val="both"/>
        <w:rPr>
          <w:rFonts w:ascii="Times New Roman" w:hAnsi="Times New Roman" w:cs="Times New Roman"/>
          <w:sz w:val="16"/>
        </w:rPr>
      </w:pPr>
      <w:r w:rsidRPr="00630E12">
        <w:rPr>
          <w:rFonts w:ascii="Times New Roman" w:hAnsi="Times New Roman" w:cs="Times New Roman"/>
          <w:sz w:val="16"/>
        </w:rPr>
        <w:t>Fuente: Ministerio de Finanzas Públicas.</w:t>
      </w:r>
    </w:p>
    <w:p w:rsidR="002D0B6E" w:rsidRDefault="002D0B6E" w:rsidP="0008085E">
      <w:pPr>
        <w:spacing w:after="0" w:line="240" w:lineRule="auto"/>
        <w:jc w:val="both"/>
        <w:rPr>
          <w:rFonts w:ascii="Times New Roman" w:hAnsi="Times New Roman" w:cs="Times New Roman"/>
          <w:sz w:val="16"/>
        </w:rPr>
      </w:pPr>
    </w:p>
    <w:p w:rsidR="002D0B6E" w:rsidRPr="00630E12" w:rsidRDefault="002D0B6E" w:rsidP="0008085E">
      <w:pPr>
        <w:spacing w:after="0" w:line="240" w:lineRule="auto"/>
        <w:jc w:val="both"/>
        <w:rPr>
          <w:rFonts w:ascii="Times New Roman" w:hAnsi="Times New Roman" w:cs="Times New Roman"/>
          <w:noProof/>
        </w:rPr>
        <w:sectPr w:rsidR="002D0B6E" w:rsidRPr="00630E12" w:rsidSect="00852F6F">
          <w:type w:val="continuous"/>
          <w:pgSz w:w="12240" w:h="15840"/>
          <w:pgMar w:top="1417" w:right="1701" w:bottom="1417" w:left="1701" w:header="720" w:footer="720" w:gutter="0"/>
          <w:cols w:num="2" w:space="518"/>
          <w:docGrid w:linePitch="360"/>
        </w:sectPr>
      </w:pPr>
    </w:p>
    <w:p w:rsidR="004552E3" w:rsidRPr="00630E12" w:rsidRDefault="004552E3" w:rsidP="00EF5550">
      <w:pPr>
        <w:spacing w:after="0" w:line="240" w:lineRule="auto"/>
        <w:jc w:val="both"/>
        <w:rPr>
          <w:rFonts w:ascii="Times New Roman" w:hAnsi="Times New Roman" w:cs="Times New Roman"/>
          <w:noProof/>
          <w:color w:val="FF0000"/>
          <w:sz w:val="14"/>
        </w:rPr>
        <w:sectPr w:rsidR="004552E3" w:rsidRPr="00630E12" w:rsidSect="00A36C8F">
          <w:type w:val="continuous"/>
          <w:pgSz w:w="12240" w:h="15840"/>
          <w:pgMar w:top="1417" w:right="1701" w:bottom="1417" w:left="1701" w:header="720" w:footer="720" w:gutter="0"/>
          <w:cols w:num="2" w:space="720"/>
          <w:docGrid w:linePitch="360"/>
        </w:sectPr>
      </w:pPr>
    </w:p>
    <w:p w:rsidR="00107D10" w:rsidRPr="002D0B6E" w:rsidRDefault="002D0B6E" w:rsidP="00107D1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07D10" w:rsidRPr="002D0B6E" w:rsidSect="00FA3B81">
          <w:headerReference w:type="default" r:id="rId20"/>
          <w:footerReference w:type="default" r:id="rId21"/>
          <w:type w:val="continuous"/>
          <w:pgSz w:w="12240" w:h="15840" w:code="1"/>
          <w:pgMar w:top="1418" w:right="1418" w:bottom="1418" w:left="1418" w:header="709" w:footer="709" w:gutter="0"/>
          <w:cols w:space="708"/>
          <w:docGrid w:linePitch="360"/>
        </w:sectPr>
      </w:pPr>
      <w:r w:rsidRPr="002D0B6E">
        <w:rPr>
          <w:rFonts w:ascii="Times New Roman" w:hAnsi="Times New Roman" w:cs="Times New Roman"/>
          <w:b/>
          <w:lang w:val="es-MX"/>
        </w:rPr>
        <w:lastRenderedPageBreak/>
        <w:t>Ritmo de ejecución del</w:t>
      </w:r>
      <w:r w:rsidR="000F0085" w:rsidRPr="002D0B6E">
        <w:rPr>
          <w:rFonts w:ascii="Times New Roman" w:hAnsi="Times New Roman" w:cs="Times New Roman"/>
          <w:b/>
          <w:lang w:val="es-MX"/>
        </w:rPr>
        <w:t xml:space="preserve"> </w:t>
      </w:r>
      <w:r w:rsidR="00107D10" w:rsidRPr="002D0B6E">
        <w:rPr>
          <w:rFonts w:ascii="Times New Roman" w:hAnsi="Times New Roman" w:cs="Times New Roman"/>
          <w:b/>
          <w:lang w:val="es-MX"/>
        </w:rPr>
        <w:t>gasto público</w:t>
      </w:r>
      <w:r w:rsidR="00970846" w:rsidRPr="002D0B6E">
        <w:rPr>
          <w:rFonts w:ascii="Times New Roman" w:hAnsi="Times New Roman" w:cs="Times New Roman"/>
          <w:b/>
          <w:lang w:val="es-MX"/>
        </w:rPr>
        <w:t xml:space="preserve"> </w:t>
      </w:r>
      <w:r w:rsidRPr="002D0B6E">
        <w:rPr>
          <w:rFonts w:ascii="Times New Roman" w:hAnsi="Times New Roman" w:cs="Times New Roman"/>
          <w:b/>
          <w:lang w:val="es-MX"/>
        </w:rPr>
        <w:t>muestra un repunte en noviembre</w:t>
      </w:r>
    </w:p>
    <w:p w:rsidR="00FA3B81" w:rsidRPr="00630E12" w:rsidRDefault="00FA3B81" w:rsidP="00FA3B81">
      <w:pPr>
        <w:pStyle w:val="Sinespaciado"/>
        <w:rPr>
          <w:rFonts w:ascii="Times New Roman" w:hAnsi="Times New Roman" w:cs="Times New Roman"/>
          <w:b/>
          <w:color w:val="FF0000"/>
          <w:sz w:val="18"/>
          <w:lang w:val="es-MX"/>
        </w:rPr>
      </w:pPr>
    </w:p>
    <w:p w:rsidR="00FA3B81" w:rsidRPr="00630E12" w:rsidRDefault="00FA3B81" w:rsidP="0041262B">
      <w:pPr>
        <w:pStyle w:val="Sinespaciado"/>
        <w:rPr>
          <w:rFonts w:ascii="Times New Roman" w:hAnsi="Times New Roman" w:cs="Times New Roman"/>
          <w:b/>
          <w:color w:val="FF0000"/>
          <w:sz w:val="24"/>
          <w:lang w:val="es-MX"/>
        </w:rPr>
        <w:sectPr w:rsidR="00FA3B81" w:rsidRPr="00630E12" w:rsidSect="004E358C">
          <w:headerReference w:type="default" r:id="rId22"/>
          <w:footerReference w:type="default" r:id="rId23"/>
          <w:type w:val="continuous"/>
          <w:pgSz w:w="12240" w:h="15840"/>
          <w:pgMar w:top="1417" w:right="1701" w:bottom="1417" w:left="1701" w:header="708" w:footer="708" w:gutter="0"/>
          <w:cols w:space="708"/>
          <w:docGrid w:linePitch="360"/>
        </w:sectPr>
      </w:pPr>
    </w:p>
    <w:p w:rsidR="002D0B6E" w:rsidRPr="002D0B6E" w:rsidRDefault="00646CCB" w:rsidP="002D0B6E">
      <w:pPr>
        <w:pStyle w:val="Sinespaciado"/>
        <w:jc w:val="both"/>
        <w:rPr>
          <w:rFonts w:ascii="Times New Roman" w:hAnsi="Times New Roman" w:cs="Times New Roman"/>
          <w:lang w:val="es-MX"/>
        </w:rPr>
      </w:pPr>
      <w:r w:rsidRPr="00D621F7">
        <w:rPr>
          <w:rFonts w:ascii="Times New Roman" w:hAnsi="Times New Roman" w:cs="Times New Roman"/>
          <w:noProof/>
          <w:color w:val="FF9933"/>
          <w:highlight w:val="yellow"/>
          <w:lang w:eastAsia="es-GT"/>
        </w:rPr>
        <w:lastRenderedPageBreak/>
        <w:drawing>
          <wp:anchor distT="0" distB="0" distL="114300" distR="114300" simplePos="0" relativeHeight="251953152" behindDoc="0" locked="0" layoutInCell="1" allowOverlap="1" wp14:anchorId="5FA294A9" wp14:editId="7B2E13D9">
            <wp:simplePos x="0" y="0"/>
            <wp:positionH relativeFrom="column">
              <wp:posOffset>3055620</wp:posOffset>
            </wp:positionH>
            <wp:positionV relativeFrom="paragraph">
              <wp:posOffset>1598930</wp:posOffset>
            </wp:positionV>
            <wp:extent cx="2838450" cy="2423795"/>
            <wp:effectExtent l="0" t="0" r="0" b="0"/>
            <wp:wrapSquare wrapText="bothSides"/>
            <wp:docPr id="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2D0B6E" w:rsidRPr="001E2D24">
        <w:rPr>
          <w:rFonts w:ascii="Times New Roman" w:hAnsi="Times New Roman" w:cs="Times New Roman"/>
          <w:lang w:val="es-MX"/>
        </w:rPr>
        <w:t xml:space="preserve">La </w:t>
      </w:r>
      <w:r w:rsidR="002D0B6E" w:rsidRPr="00ED090B">
        <w:rPr>
          <w:rFonts w:ascii="Times New Roman" w:hAnsi="Times New Roman" w:cs="Times New Roman"/>
          <w:lang w:val="es-MX"/>
        </w:rPr>
        <w:t xml:space="preserve">ejecución del gasto público a </w:t>
      </w:r>
      <w:r w:rsidR="002D0B6E">
        <w:rPr>
          <w:rFonts w:ascii="Times New Roman" w:hAnsi="Times New Roman" w:cs="Times New Roman"/>
          <w:lang w:val="es-MX"/>
        </w:rPr>
        <w:t xml:space="preserve">noviembre </w:t>
      </w:r>
      <w:r w:rsidR="002D0B6E" w:rsidRPr="00ED090B">
        <w:rPr>
          <w:rFonts w:ascii="Times New Roman" w:hAnsi="Times New Roman" w:cs="Times New Roman"/>
          <w:lang w:val="es-MX"/>
        </w:rPr>
        <w:t>sin incluir las amortizaciones de la deuda pública se ubicó en Q</w:t>
      </w:r>
      <w:r w:rsidR="002D0B6E">
        <w:rPr>
          <w:rFonts w:ascii="Times New Roman" w:hAnsi="Times New Roman" w:cs="Times New Roman"/>
          <w:lang w:val="es-MX"/>
        </w:rPr>
        <w:t>78</w:t>
      </w:r>
      <w:r w:rsidR="002D0B6E" w:rsidRPr="00ED090B">
        <w:rPr>
          <w:rFonts w:ascii="Times New Roman" w:hAnsi="Times New Roman" w:cs="Times New Roman"/>
          <w:lang w:val="es-MX"/>
        </w:rPr>
        <w:t>,</w:t>
      </w:r>
      <w:r w:rsidR="002D0B6E">
        <w:rPr>
          <w:rFonts w:ascii="Times New Roman" w:hAnsi="Times New Roman" w:cs="Times New Roman"/>
          <w:lang w:val="es-MX"/>
        </w:rPr>
        <w:t>309.0</w:t>
      </w:r>
      <w:r w:rsidR="002D0B6E" w:rsidRPr="00ED090B">
        <w:rPr>
          <w:rFonts w:ascii="Times New Roman" w:hAnsi="Times New Roman" w:cs="Times New Roman"/>
          <w:lang w:val="es-MX"/>
        </w:rPr>
        <w:t xml:space="preserve"> millones con un</w:t>
      </w:r>
      <w:r w:rsidR="002D0B6E">
        <w:rPr>
          <w:rFonts w:ascii="Times New Roman" w:hAnsi="Times New Roman" w:cs="Times New Roman"/>
          <w:lang w:val="es-MX"/>
        </w:rPr>
        <w:t>a variación</w:t>
      </w:r>
      <w:r w:rsidR="002D0B6E" w:rsidRPr="00ED090B">
        <w:rPr>
          <w:rFonts w:ascii="Times New Roman" w:hAnsi="Times New Roman" w:cs="Times New Roman"/>
          <w:lang w:val="es-MX"/>
        </w:rPr>
        <w:t xml:space="preserve"> interanual </w:t>
      </w:r>
      <w:r w:rsidR="002D0B6E">
        <w:rPr>
          <w:rFonts w:ascii="Times New Roman" w:hAnsi="Times New Roman" w:cs="Times New Roman"/>
          <w:lang w:val="es-MX"/>
        </w:rPr>
        <w:t xml:space="preserve">negativa </w:t>
      </w:r>
      <w:r w:rsidR="002D0B6E" w:rsidRPr="00ED090B">
        <w:rPr>
          <w:rFonts w:ascii="Times New Roman" w:hAnsi="Times New Roman" w:cs="Times New Roman"/>
          <w:lang w:val="es-MX"/>
        </w:rPr>
        <w:t>de -</w:t>
      </w:r>
      <w:r w:rsidR="002D0B6E">
        <w:rPr>
          <w:rFonts w:ascii="Times New Roman" w:hAnsi="Times New Roman" w:cs="Times New Roman"/>
          <w:lang w:val="es-MX"/>
        </w:rPr>
        <w:t>3</w:t>
      </w:r>
      <w:r w:rsidR="002D0B6E" w:rsidRPr="00ED090B">
        <w:rPr>
          <w:rFonts w:ascii="Times New Roman" w:hAnsi="Times New Roman" w:cs="Times New Roman"/>
          <w:lang w:val="es-MX"/>
        </w:rPr>
        <w:t>.</w:t>
      </w:r>
      <w:r w:rsidR="002D0B6E">
        <w:rPr>
          <w:rFonts w:ascii="Times New Roman" w:hAnsi="Times New Roman" w:cs="Times New Roman"/>
          <w:lang w:val="es-MX"/>
        </w:rPr>
        <w:t>4</w:t>
      </w:r>
      <w:r w:rsidR="002D0B6E" w:rsidRPr="00ED090B">
        <w:rPr>
          <w:rFonts w:ascii="Times New Roman" w:hAnsi="Times New Roman" w:cs="Times New Roman"/>
          <w:lang w:val="es-MX"/>
        </w:rPr>
        <w:t>% (equivalente a</w:t>
      </w:r>
      <w:r w:rsidR="002D0B6E">
        <w:rPr>
          <w:rFonts w:ascii="Times New Roman" w:hAnsi="Times New Roman" w:cs="Times New Roman"/>
          <w:lang w:val="es-MX"/>
        </w:rPr>
        <w:t xml:space="preserve"> Q2,718.3 millones), dado que en 2020 se encontraban en plena ejecución los programas para la atención económica y social del COVID-19 con Q11,980.3 millones encabezado por el bono familia, fondo para capital de trabajo y fondo de protección de empleo, mientras que en este año la ejecución </w:t>
      </w:r>
      <w:r w:rsidR="002D0B6E" w:rsidRPr="002D0B6E">
        <w:rPr>
          <w:rFonts w:ascii="Times New Roman" w:hAnsi="Times New Roman" w:cs="Times New Roman"/>
          <w:lang w:val="es-MX"/>
        </w:rPr>
        <w:t xml:space="preserve">por concepto de COVID-19 es menor. </w:t>
      </w:r>
    </w:p>
    <w:p w:rsidR="000F0085" w:rsidRPr="002D0B6E" w:rsidRDefault="000F0085" w:rsidP="000F0085">
      <w:pPr>
        <w:pStyle w:val="Sinespaciado"/>
        <w:jc w:val="both"/>
        <w:rPr>
          <w:rFonts w:ascii="Times New Roman" w:hAnsi="Times New Roman" w:cs="Times New Roman"/>
          <w:lang w:val="es-MX"/>
        </w:rPr>
      </w:pPr>
    </w:p>
    <w:p w:rsidR="000F0085" w:rsidRPr="002D0B6E" w:rsidRDefault="000F0085" w:rsidP="000F0085">
      <w:pPr>
        <w:pStyle w:val="Sinespaciado"/>
        <w:jc w:val="center"/>
        <w:rPr>
          <w:rFonts w:ascii="Times New Roman" w:hAnsi="Times New Roman" w:cs="Times New Roman"/>
          <w:b/>
          <w:lang w:val="es-MX"/>
        </w:rPr>
      </w:pPr>
      <w:r w:rsidRPr="002D0B6E">
        <w:rPr>
          <w:rFonts w:ascii="Times New Roman" w:hAnsi="Times New Roman" w:cs="Times New Roman"/>
          <w:b/>
          <w:lang w:val="es-MX"/>
        </w:rPr>
        <w:t>Ritmo de Ejecución del Gasto</w:t>
      </w:r>
    </w:p>
    <w:p w:rsidR="000F0085" w:rsidRPr="002D0B6E" w:rsidRDefault="002D0B6E" w:rsidP="000F0085">
      <w:pPr>
        <w:pStyle w:val="Sinespaciado"/>
        <w:jc w:val="center"/>
        <w:rPr>
          <w:rFonts w:ascii="Times New Roman" w:hAnsi="Times New Roman" w:cs="Times New Roman"/>
          <w:sz w:val="18"/>
          <w:lang w:val="es-MX"/>
        </w:rPr>
      </w:pPr>
      <w:r w:rsidRPr="002D0B6E">
        <w:rPr>
          <w:rFonts w:ascii="Times New Roman" w:hAnsi="Times New Roman" w:cs="Times New Roman"/>
          <w:noProof/>
          <w:sz w:val="18"/>
          <w:lang w:eastAsia="es-GT"/>
        </w:rPr>
        <w:drawing>
          <wp:anchor distT="0" distB="0" distL="114300" distR="114300" simplePos="0" relativeHeight="251928576" behindDoc="0" locked="0" layoutInCell="1" allowOverlap="1" wp14:anchorId="428DEE9C" wp14:editId="5A07BF6C">
            <wp:simplePos x="0" y="0"/>
            <wp:positionH relativeFrom="column">
              <wp:posOffset>-3810</wp:posOffset>
            </wp:positionH>
            <wp:positionV relativeFrom="paragraph">
              <wp:posOffset>134620</wp:posOffset>
            </wp:positionV>
            <wp:extent cx="2676525" cy="2343150"/>
            <wp:effectExtent l="0" t="0" r="0" b="0"/>
            <wp:wrapSquare wrapText="bothSides"/>
            <wp:docPr id="23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0F0085" w:rsidRPr="002D0B6E">
        <w:rPr>
          <w:rFonts w:ascii="Times New Roman" w:hAnsi="Times New Roman" w:cs="Times New Roman"/>
          <w:sz w:val="18"/>
          <w:lang w:val="es-MX"/>
        </w:rPr>
        <w:t>Variación Interanual (%)*</w:t>
      </w:r>
    </w:p>
    <w:p w:rsidR="000F0085" w:rsidRPr="002D0B6E" w:rsidRDefault="000F0085" w:rsidP="000F0085">
      <w:pPr>
        <w:pStyle w:val="Sinespaciado"/>
        <w:rPr>
          <w:rFonts w:ascii="Times New Roman" w:hAnsi="Times New Roman" w:cs="Times New Roman"/>
          <w:sz w:val="16"/>
          <w:lang w:val="es-MX"/>
        </w:rPr>
      </w:pPr>
      <w:r w:rsidRPr="002D0B6E">
        <w:rPr>
          <w:rFonts w:ascii="Times New Roman" w:hAnsi="Times New Roman" w:cs="Times New Roman"/>
          <w:sz w:val="16"/>
          <w:lang w:val="es-MX"/>
        </w:rPr>
        <w:t>*No incluye amortizaciones de la deuda pública</w:t>
      </w:r>
    </w:p>
    <w:p w:rsidR="000F0085" w:rsidRPr="002D0B6E" w:rsidRDefault="000F0085" w:rsidP="000F0085">
      <w:pPr>
        <w:spacing w:after="0" w:line="240" w:lineRule="auto"/>
        <w:jc w:val="both"/>
        <w:rPr>
          <w:rFonts w:ascii="Times New Roman" w:hAnsi="Times New Roman" w:cs="Times New Roman"/>
          <w:sz w:val="16"/>
        </w:rPr>
      </w:pPr>
      <w:r w:rsidRPr="002D0B6E">
        <w:rPr>
          <w:rFonts w:ascii="Times New Roman" w:hAnsi="Times New Roman" w:cs="Times New Roman"/>
          <w:sz w:val="16"/>
        </w:rPr>
        <w:t>Fuente: Dirección de Análisis y Política Fiscal</w:t>
      </w:r>
    </w:p>
    <w:p w:rsidR="000F0085" w:rsidRPr="002D0B6E" w:rsidRDefault="000F0085" w:rsidP="000F0085">
      <w:pPr>
        <w:spacing w:after="0" w:line="240" w:lineRule="auto"/>
        <w:jc w:val="both"/>
        <w:rPr>
          <w:rFonts w:ascii="Times New Roman" w:hAnsi="Times New Roman" w:cs="Times New Roman"/>
          <w:sz w:val="16"/>
        </w:rPr>
      </w:pPr>
    </w:p>
    <w:p w:rsidR="002D0B6E" w:rsidRPr="00646CCB" w:rsidRDefault="002D0B6E" w:rsidP="002D0B6E">
      <w:pPr>
        <w:spacing w:after="0" w:line="240" w:lineRule="auto"/>
        <w:jc w:val="both"/>
        <w:rPr>
          <w:rFonts w:ascii="Times New Roman" w:hAnsi="Times New Roman" w:cs="Times New Roman"/>
        </w:rPr>
      </w:pPr>
      <w:r w:rsidRPr="002D0B6E">
        <w:rPr>
          <w:rFonts w:ascii="Times New Roman" w:hAnsi="Times New Roman" w:cs="Times New Roman"/>
        </w:rPr>
        <w:t xml:space="preserve">Se espera que la contracción en el gasto público se mantenga para el cierre del año, dado que el gasto máximo en el que se puede incurrir en 2021 fue anunciado por el Ejecutivo (techo de Q94,354.0 millones) y se encuentra por debajo del gasto total </w:t>
      </w:r>
      <w:r w:rsidRPr="00646CCB">
        <w:rPr>
          <w:rFonts w:ascii="Times New Roman" w:hAnsi="Times New Roman" w:cs="Times New Roman"/>
        </w:rPr>
        <w:t>realizado en 2020 (Q96,625.4 millones).</w:t>
      </w:r>
    </w:p>
    <w:p w:rsidR="002D0B6E" w:rsidRPr="00646CCB" w:rsidRDefault="002D0B6E" w:rsidP="002D0B6E">
      <w:pPr>
        <w:spacing w:after="0" w:line="240" w:lineRule="auto"/>
        <w:jc w:val="both"/>
        <w:rPr>
          <w:rFonts w:ascii="Times New Roman" w:hAnsi="Times New Roman" w:cs="Times New Roman"/>
        </w:rPr>
      </w:pPr>
    </w:p>
    <w:p w:rsidR="00646CCB" w:rsidRPr="00646CCB" w:rsidRDefault="00646CCB" w:rsidP="00646CCB">
      <w:pPr>
        <w:spacing w:after="0" w:line="240" w:lineRule="auto"/>
        <w:jc w:val="both"/>
        <w:rPr>
          <w:rFonts w:ascii="Times New Roman" w:hAnsi="Times New Roman" w:cs="Times New Roman"/>
        </w:rPr>
      </w:pPr>
      <w:r w:rsidRPr="00646CCB">
        <w:rPr>
          <w:rFonts w:ascii="Times New Roman" w:hAnsi="Times New Roman" w:cs="Times New Roman"/>
        </w:rPr>
        <w:t>Al eliminar el gasto relacionado a la pandemia del COVID-19 tanto en 2020 como en 2021, la ejecución del gasto público a noviembre sin incluir las amortizaciones de la deuda pública se ubicaría en Q75,814.7 millones con un crecimiento interanual de 9.8% (equivalente a Q7,281.3 millones). Mientras que en 2020 el gasto público hubiera tenido una variación interanual negativa de 1.6%, aunque es importante tomar en consideración que a noviembre el gasto relacionado a COVID-19 representaba una proporción importante del gasto público total.</w:t>
      </w:r>
    </w:p>
    <w:p w:rsidR="00646CCB" w:rsidRDefault="00646CCB" w:rsidP="000F0085">
      <w:pPr>
        <w:spacing w:after="0" w:line="240" w:lineRule="auto"/>
        <w:jc w:val="both"/>
        <w:rPr>
          <w:rFonts w:ascii="Times New Roman" w:hAnsi="Times New Roman" w:cs="Times New Roman"/>
        </w:rPr>
      </w:pPr>
    </w:p>
    <w:p w:rsidR="000F0085" w:rsidRPr="002D0B6E" w:rsidRDefault="000F0085" w:rsidP="000F0085">
      <w:pPr>
        <w:spacing w:after="0" w:line="240" w:lineRule="auto"/>
        <w:jc w:val="both"/>
        <w:rPr>
          <w:rFonts w:ascii="Times New Roman" w:hAnsi="Times New Roman" w:cs="Times New Roman"/>
          <w:sz w:val="16"/>
        </w:rPr>
      </w:pPr>
      <w:r w:rsidRPr="002D0B6E">
        <w:rPr>
          <w:rFonts w:ascii="Times New Roman" w:hAnsi="Times New Roman" w:cs="Times New Roman"/>
          <w:sz w:val="16"/>
        </w:rPr>
        <w:t>*No incluye amortizaciones de la deuda pública</w:t>
      </w:r>
    </w:p>
    <w:p w:rsidR="000F0085" w:rsidRPr="002D0B6E" w:rsidRDefault="000F0085" w:rsidP="000F0085">
      <w:pPr>
        <w:spacing w:after="0" w:line="240" w:lineRule="auto"/>
        <w:jc w:val="both"/>
        <w:rPr>
          <w:rFonts w:ascii="Times New Roman" w:hAnsi="Times New Roman" w:cs="Times New Roman"/>
          <w:sz w:val="16"/>
        </w:rPr>
      </w:pPr>
      <w:r w:rsidRPr="002D0B6E">
        <w:rPr>
          <w:rFonts w:ascii="Times New Roman" w:hAnsi="Times New Roman" w:cs="Times New Roman"/>
          <w:sz w:val="16"/>
        </w:rPr>
        <w:t>Fuente: Dirección de Análisis y Política Fiscal</w:t>
      </w:r>
    </w:p>
    <w:p w:rsidR="000F0085" w:rsidRPr="00630E12" w:rsidRDefault="000F0085" w:rsidP="000F0085">
      <w:pPr>
        <w:pStyle w:val="Sinespaciado"/>
        <w:jc w:val="both"/>
        <w:rPr>
          <w:rFonts w:ascii="Times New Roman" w:hAnsi="Times New Roman" w:cs="Times New Roman"/>
          <w:color w:val="FF0000"/>
          <w:lang w:val="es-MX"/>
        </w:rPr>
      </w:pPr>
    </w:p>
    <w:p w:rsidR="002D0B6E" w:rsidRPr="00E25FF7" w:rsidRDefault="002D0B6E" w:rsidP="002D0B6E">
      <w:pPr>
        <w:pStyle w:val="Sinespaciado"/>
        <w:jc w:val="both"/>
        <w:rPr>
          <w:rFonts w:ascii="Times New Roman" w:hAnsi="Times New Roman" w:cs="Times New Roman"/>
          <w:color w:val="000000" w:themeColor="text1"/>
          <w:lang w:val="es-MX"/>
        </w:rPr>
      </w:pPr>
      <w:r w:rsidRPr="003A1809">
        <w:rPr>
          <w:rFonts w:ascii="Times New Roman" w:hAnsi="Times New Roman" w:cs="Times New Roman"/>
          <w:color w:val="000000" w:themeColor="text1"/>
          <w:lang w:val="es-MX"/>
        </w:rPr>
        <w:t>A nivel de rubro de cuenta económica, el mayor crecimiento absoluto se reporta en los bienes y servicio</w:t>
      </w:r>
      <w:r>
        <w:rPr>
          <w:rFonts w:ascii="Times New Roman" w:hAnsi="Times New Roman" w:cs="Times New Roman"/>
          <w:color w:val="000000" w:themeColor="text1"/>
          <w:lang w:val="es-MX"/>
        </w:rPr>
        <w:t xml:space="preserve">s con una ejecución mayor en </w:t>
      </w:r>
      <w:r w:rsidRPr="00E25FF7">
        <w:rPr>
          <w:rFonts w:ascii="Times New Roman" w:hAnsi="Times New Roman" w:cs="Times New Roman"/>
          <w:color w:val="000000" w:themeColor="text1"/>
          <w:lang w:val="es-MX"/>
        </w:rPr>
        <w:t xml:space="preserve">Q3,019.1 millones (equivalente a un crecimiento interanual de 38.0%), explicado principalmente por un aumento de Q1,863.5 millones en el Ministerio de Salud Pública y Asistencia Social destinado a la compra de la vacuna contra el COVID-19. </w:t>
      </w:r>
    </w:p>
    <w:p w:rsidR="002D0B6E" w:rsidRPr="00E25FF7" w:rsidRDefault="002D0B6E" w:rsidP="002D0B6E">
      <w:pPr>
        <w:pStyle w:val="Sinespaciado"/>
        <w:jc w:val="both"/>
        <w:rPr>
          <w:rFonts w:ascii="Times New Roman" w:hAnsi="Times New Roman" w:cs="Times New Roman"/>
          <w:color w:val="000000" w:themeColor="text1"/>
          <w:lang w:val="es-MX"/>
        </w:rPr>
      </w:pPr>
    </w:p>
    <w:p w:rsidR="002D0B6E" w:rsidRPr="00E25FF7" w:rsidRDefault="002D0B6E" w:rsidP="002D0B6E">
      <w:pPr>
        <w:pStyle w:val="Sinespaciado"/>
        <w:jc w:val="both"/>
        <w:rPr>
          <w:rFonts w:ascii="Times New Roman" w:hAnsi="Times New Roman" w:cs="Times New Roman"/>
          <w:color w:val="000000" w:themeColor="text1"/>
          <w:sz w:val="18"/>
          <w:lang w:val="es-MX"/>
        </w:rPr>
      </w:pPr>
      <w:r w:rsidRPr="00E25FF7">
        <w:rPr>
          <w:rFonts w:ascii="Times New Roman" w:hAnsi="Times New Roman" w:cs="Times New Roman"/>
          <w:color w:val="000000" w:themeColor="text1"/>
          <w:lang w:val="es-MX"/>
        </w:rPr>
        <w:lastRenderedPageBreak/>
        <w:t xml:space="preserve">En el Ministerio de Comunicaciones, Infraestructura y Vivienda, también se reporta un aumento importante de Q728.2 millones, derivado </w:t>
      </w:r>
      <w:r>
        <w:rPr>
          <w:rFonts w:ascii="Times New Roman" w:hAnsi="Times New Roman" w:cs="Times New Roman"/>
          <w:color w:val="000000" w:themeColor="text1"/>
          <w:lang w:val="es-MX"/>
        </w:rPr>
        <w:t xml:space="preserve">del </w:t>
      </w:r>
      <w:r w:rsidRPr="00E25FF7">
        <w:rPr>
          <w:rFonts w:ascii="Times New Roman" w:hAnsi="Times New Roman" w:cs="Times New Roman"/>
          <w:color w:val="000000" w:themeColor="text1"/>
          <w:lang w:val="es-MX"/>
        </w:rPr>
        <w:t>mantenimiento y reparación de carreteras, edificios y arrendamiento de maquinaria y equipo de construcción. En las Obligaciones del Estado a cargo del Tesoro, el aumento es de Q232.1 millones, el cual se explica casi en su totalidad por las comisiones que recibe la Superintendencia de Administración Tributaria (SAT), la cual está percibiendo una mayor cantidad de recursos en este año como resultado del desempeño positivo en la recaudación tributaria.</w:t>
      </w:r>
    </w:p>
    <w:p w:rsidR="002D0B6E" w:rsidRDefault="002D0B6E" w:rsidP="002D0B6E">
      <w:pPr>
        <w:pStyle w:val="Sinespaciado"/>
        <w:jc w:val="both"/>
        <w:rPr>
          <w:rFonts w:ascii="Times New Roman" w:hAnsi="Times New Roman" w:cs="Times New Roman"/>
          <w:lang w:val="es-MX"/>
        </w:rPr>
      </w:pPr>
    </w:p>
    <w:p w:rsidR="002D0B6E" w:rsidRDefault="002D0B6E" w:rsidP="002D0B6E">
      <w:pPr>
        <w:pStyle w:val="Sinespaciado"/>
        <w:jc w:val="both"/>
        <w:rPr>
          <w:rFonts w:ascii="Times New Roman" w:hAnsi="Times New Roman" w:cs="Times New Roman"/>
          <w:color w:val="000000" w:themeColor="text1"/>
          <w:lang w:val="es-MX"/>
        </w:rPr>
      </w:pPr>
      <w:r w:rsidRPr="00E25FF7">
        <w:rPr>
          <w:rFonts w:ascii="Times New Roman" w:hAnsi="Times New Roman" w:cs="Times New Roman"/>
          <w:color w:val="000000" w:themeColor="text1"/>
          <w:lang w:val="es-MX"/>
        </w:rPr>
        <w:t xml:space="preserve">En lo que respecta a los intereses de la deuda interna y externa se observa un aumento de Q1,462.4 millones (equivalente a un crecimiento de 16.1%). En la deuda interna se encuentra concentrado la mayor parte de dicho aumento con Q1,406.8 millones. </w:t>
      </w:r>
    </w:p>
    <w:p w:rsidR="002D0B6E" w:rsidRDefault="002D0B6E" w:rsidP="002D0B6E">
      <w:pPr>
        <w:pStyle w:val="Sinespaciado"/>
        <w:jc w:val="both"/>
        <w:rPr>
          <w:rFonts w:ascii="Times New Roman" w:hAnsi="Times New Roman" w:cs="Times New Roman"/>
          <w:color w:val="000000" w:themeColor="text1"/>
          <w:lang w:val="es-MX"/>
        </w:rPr>
      </w:pPr>
    </w:p>
    <w:p w:rsidR="002D0B6E" w:rsidRDefault="002D0B6E" w:rsidP="002D0B6E">
      <w:pPr>
        <w:pStyle w:val="Sinespaciado"/>
        <w:jc w:val="both"/>
        <w:rPr>
          <w:rFonts w:ascii="Times New Roman" w:hAnsi="Times New Roman" w:cs="Times New Roman"/>
          <w:color w:val="000000" w:themeColor="text1"/>
          <w:lang w:val="es-MX"/>
        </w:rPr>
      </w:pPr>
      <w:r w:rsidRPr="00E25FF7">
        <w:rPr>
          <w:rFonts w:ascii="Times New Roman" w:hAnsi="Times New Roman" w:cs="Times New Roman"/>
          <w:color w:val="000000" w:themeColor="text1"/>
          <w:lang w:val="es-MX"/>
        </w:rPr>
        <w:t xml:space="preserve">Por su parte, las remuneraciones reportan un aumento de Q870.3 millones (crecimiento interanual de 3.6%), se espera que en diciembre al menos </w:t>
      </w:r>
      <w:r>
        <w:rPr>
          <w:rFonts w:ascii="Times New Roman" w:hAnsi="Times New Roman" w:cs="Times New Roman"/>
          <w:color w:val="000000" w:themeColor="text1"/>
          <w:lang w:val="es-MX"/>
        </w:rPr>
        <w:t>do</w:t>
      </w:r>
      <w:r w:rsidRPr="00E25FF7">
        <w:rPr>
          <w:rFonts w:ascii="Times New Roman" w:hAnsi="Times New Roman" w:cs="Times New Roman"/>
          <w:color w:val="000000" w:themeColor="text1"/>
          <w:lang w:val="es-MX"/>
        </w:rPr>
        <w:t>s entidades otorguen bonos únicos de apoyo económico o de dignificación a sus funcionarios, tal es el caso del Ministerio de Gobernación con un bono de Q5 mil y el Ministerio de Salud Pública y Asistencia So</w:t>
      </w:r>
      <w:r>
        <w:rPr>
          <w:rFonts w:ascii="Times New Roman" w:hAnsi="Times New Roman" w:cs="Times New Roman"/>
          <w:color w:val="000000" w:themeColor="text1"/>
          <w:lang w:val="es-MX"/>
        </w:rPr>
        <w:t xml:space="preserve">cial otorgará un bono de Q2 mil. </w:t>
      </w:r>
    </w:p>
    <w:p w:rsidR="002D0B6E" w:rsidRDefault="002D0B6E" w:rsidP="002D0B6E">
      <w:pPr>
        <w:pStyle w:val="Sinespaciado"/>
        <w:jc w:val="both"/>
        <w:rPr>
          <w:rFonts w:ascii="Times New Roman" w:hAnsi="Times New Roman" w:cs="Times New Roman"/>
          <w:color w:val="000000" w:themeColor="text1"/>
          <w:lang w:val="es-MX"/>
        </w:rPr>
      </w:pPr>
    </w:p>
    <w:p w:rsidR="002D0B6E" w:rsidRPr="00E25FF7" w:rsidRDefault="002D0B6E" w:rsidP="002D0B6E">
      <w:pPr>
        <w:spacing w:after="0" w:line="240" w:lineRule="auto"/>
        <w:jc w:val="both"/>
        <w:rPr>
          <w:rFonts w:ascii="Times New Roman" w:hAnsi="Times New Roman" w:cs="Times New Roman"/>
          <w:szCs w:val="24"/>
        </w:rPr>
      </w:pPr>
      <w:r w:rsidRPr="00E25FF7">
        <w:rPr>
          <w:rFonts w:ascii="Times New Roman" w:hAnsi="Times New Roman" w:cs="Times New Roman"/>
          <w:szCs w:val="24"/>
        </w:rPr>
        <w:t>En el rubro de las transferencias de capital se reporta un aumento de Q753.3 millones, con un crecimiento interanual de 7.7</w:t>
      </w:r>
      <w:r>
        <w:rPr>
          <w:rFonts w:ascii="Times New Roman" w:hAnsi="Times New Roman" w:cs="Times New Roman"/>
          <w:szCs w:val="24"/>
        </w:rPr>
        <w:t xml:space="preserve">%, </w:t>
      </w:r>
      <w:r w:rsidRPr="00E25FF7">
        <w:rPr>
          <w:rFonts w:ascii="Times New Roman" w:hAnsi="Times New Roman" w:cs="Times New Roman"/>
          <w:szCs w:val="24"/>
        </w:rPr>
        <w:t>las que se dirigen al sector privado crecen un 7.8% y las del sector público crecen un 7.7%.</w:t>
      </w:r>
    </w:p>
    <w:p w:rsidR="002D0B6E" w:rsidRPr="00E25FF7" w:rsidRDefault="002D0B6E" w:rsidP="002D0B6E">
      <w:pPr>
        <w:spacing w:after="0" w:line="240" w:lineRule="auto"/>
        <w:jc w:val="both"/>
        <w:rPr>
          <w:rFonts w:ascii="Times New Roman" w:hAnsi="Times New Roman" w:cs="Times New Roman"/>
          <w:szCs w:val="24"/>
        </w:rPr>
      </w:pPr>
    </w:p>
    <w:p w:rsidR="002D0B6E" w:rsidRPr="00E25FF7" w:rsidRDefault="002D0B6E" w:rsidP="002D0B6E">
      <w:pPr>
        <w:spacing w:after="0" w:line="240" w:lineRule="auto"/>
        <w:jc w:val="both"/>
        <w:rPr>
          <w:rFonts w:ascii="Times New Roman" w:hAnsi="Times New Roman" w:cs="Times New Roman"/>
          <w:szCs w:val="24"/>
        </w:rPr>
      </w:pPr>
      <w:r w:rsidRPr="00E25FF7">
        <w:rPr>
          <w:rFonts w:ascii="Times New Roman" w:hAnsi="Times New Roman" w:cs="Times New Roman"/>
          <w:szCs w:val="24"/>
        </w:rPr>
        <w:t>En la inversión real directa se reporta un aumento de Q593.7 millones (crecimiento interanual de 26.7%), siendo relevante dado que en 2020 este fue uno de los rubros de gasto más castigados por la pandemia</w:t>
      </w:r>
      <w:r>
        <w:rPr>
          <w:rFonts w:ascii="Times New Roman" w:hAnsi="Times New Roman" w:cs="Times New Roman"/>
          <w:szCs w:val="24"/>
        </w:rPr>
        <w:t xml:space="preserve"> y en 2021 se ha observado una recuperación</w:t>
      </w:r>
      <w:r w:rsidRPr="00E25FF7">
        <w:rPr>
          <w:rFonts w:ascii="Times New Roman" w:hAnsi="Times New Roman" w:cs="Times New Roman"/>
          <w:szCs w:val="24"/>
        </w:rPr>
        <w:t xml:space="preserve">, las entidades que suman a este aumento son: el </w:t>
      </w:r>
      <w:r w:rsidRPr="00E25FF7">
        <w:rPr>
          <w:rFonts w:ascii="Times New Roman" w:hAnsi="Times New Roman" w:cs="Times New Roman"/>
          <w:szCs w:val="24"/>
        </w:rPr>
        <w:lastRenderedPageBreak/>
        <w:t>Ministerio de Comunicaciones con Q452.4 millones y el Ministerio de Desarrollo Social con Q71.2 millones</w:t>
      </w:r>
      <w:r>
        <w:rPr>
          <w:rFonts w:ascii="Times New Roman" w:hAnsi="Times New Roman" w:cs="Times New Roman"/>
          <w:szCs w:val="24"/>
        </w:rPr>
        <w:t>.</w:t>
      </w:r>
    </w:p>
    <w:p w:rsidR="002D0B6E" w:rsidRPr="00E25FF7" w:rsidRDefault="002D0B6E" w:rsidP="002D0B6E">
      <w:pPr>
        <w:spacing w:after="0" w:line="240" w:lineRule="auto"/>
        <w:jc w:val="both"/>
        <w:rPr>
          <w:rFonts w:ascii="Times New Roman" w:hAnsi="Times New Roman" w:cs="Times New Roman"/>
          <w:szCs w:val="24"/>
        </w:rPr>
      </w:pPr>
      <w:r w:rsidRPr="00E25FF7">
        <w:rPr>
          <w:rFonts w:ascii="Times New Roman" w:hAnsi="Times New Roman" w:cs="Times New Roman"/>
          <w:szCs w:val="24"/>
        </w:rPr>
        <w:t>En cuanto a las prestaciones a la seguridad social, estás reportan un crecimiento interanual de 2.4%, equivalente a Q115.0 millones.</w:t>
      </w:r>
    </w:p>
    <w:p w:rsidR="00C92EFC" w:rsidRDefault="002D0B6E" w:rsidP="002D0B6E">
      <w:pPr>
        <w:spacing w:after="0" w:line="240" w:lineRule="auto"/>
        <w:jc w:val="both"/>
        <w:rPr>
          <w:rFonts w:ascii="Times New Roman" w:hAnsi="Times New Roman" w:cs="Times New Roman"/>
          <w:szCs w:val="24"/>
        </w:rPr>
      </w:pPr>
      <w:r w:rsidRPr="00E25FF7">
        <w:rPr>
          <w:rFonts w:ascii="Times New Roman" w:hAnsi="Times New Roman" w:cs="Times New Roman"/>
          <w:szCs w:val="24"/>
        </w:rPr>
        <w:t>Respecto a la inversión financiera y las transferencias corrientes estas reportarán una contracción importante durante el resto del año, a noviembre fue equivalente a -99.6% y -34.0%, respectivamente. Esto se encuentra asociado a los programas COVID-19 que se encontraban en ejecución durante 2020, cuyo registro recaía en dichos rubros.</w:t>
      </w:r>
    </w:p>
    <w:p w:rsidR="002D0B6E" w:rsidRPr="002D0B6E" w:rsidRDefault="002D0B6E" w:rsidP="002D0B6E">
      <w:pPr>
        <w:spacing w:after="0" w:line="240" w:lineRule="auto"/>
        <w:jc w:val="both"/>
        <w:rPr>
          <w:rFonts w:ascii="Times New Roman" w:hAnsi="Times New Roman" w:cs="Times New Roman"/>
          <w:szCs w:val="24"/>
        </w:rPr>
      </w:pPr>
    </w:p>
    <w:p w:rsidR="000F0085" w:rsidRPr="002D0B6E" w:rsidRDefault="000F0085" w:rsidP="000F0085">
      <w:pPr>
        <w:pStyle w:val="Sinespaciado"/>
        <w:jc w:val="center"/>
      </w:pPr>
      <w:r w:rsidRPr="002D0B6E">
        <w:rPr>
          <w:rFonts w:ascii="Times New Roman" w:hAnsi="Times New Roman" w:cs="Times New Roman"/>
          <w:b/>
          <w:lang w:val="es-MX"/>
        </w:rPr>
        <w:t>Ejecución por rubro de Cuenta Económica</w:t>
      </w:r>
    </w:p>
    <w:p w:rsidR="000F0085" w:rsidRPr="002D0B6E" w:rsidRDefault="000F0085" w:rsidP="000F0085">
      <w:pPr>
        <w:pStyle w:val="Sinespaciado"/>
        <w:jc w:val="center"/>
        <w:rPr>
          <w:rFonts w:ascii="Times New Roman" w:hAnsi="Times New Roman" w:cs="Times New Roman"/>
          <w:sz w:val="18"/>
          <w:lang w:val="es-MX"/>
        </w:rPr>
      </w:pPr>
      <w:r w:rsidRPr="002D0B6E">
        <w:rPr>
          <w:rFonts w:ascii="Times New Roman" w:hAnsi="Times New Roman" w:cs="Times New Roman"/>
          <w:sz w:val="18"/>
          <w:szCs w:val="18"/>
          <w:lang w:val="es-MX"/>
        </w:rPr>
        <w:t>2021 – 2020</w:t>
      </w:r>
    </w:p>
    <w:p w:rsidR="000F0085" w:rsidRPr="002D0B6E" w:rsidRDefault="000F0085" w:rsidP="000F0085">
      <w:pPr>
        <w:pStyle w:val="Sinespaciado"/>
        <w:jc w:val="center"/>
        <w:rPr>
          <w:rFonts w:ascii="Times New Roman" w:hAnsi="Times New Roman" w:cs="Times New Roman"/>
          <w:sz w:val="18"/>
          <w:lang w:val="es-MX"/>
        </w:rPr>
      </w:pPr>
      <w:r w:rsidRPr="002D0B6E">
        <w:rPr>
          <w:rFonts w:ascii="Times New Roman" w:hAnsi="Times New Roman" w:cs="Times New Roman"/>
          <w:sz w:val="18"/>
          <w:lang w:val="es-MX"/>
        </w:rPr>
        <w:t>Variación absoluta interanual</w:t>
      </w:r>
    </w:p>
    <w:p w:rsidR="000F0085" w:rsidRPr="002D0B6E" w:rsidRDefault="002D0B6E" w:rsidP="000F0085">
      <w:pPr>
        <w:pStyle w:val="Sinespaciado"/>
        <w:jc w:val="center"/>
        <w:rPr>
          <w:rFonts w:ascii="Times New Roman" w:hAnsi="Times New Roman" w:cs="Times New Roman"/>
          <w:sz w:val="18"/>
          <w:lang w:val="es-MX"/>
        </w:rPr>
      </w:pPr>
      <w:r w:rsidRPr="002D0B6E">
        <w:rPr>
          <w:rFonts w:ascii="Times New Roman" w:hAnsi="Times New Roman" w:cs="Times New Roman"/>
          <w:noProof/>
          <w:sz w:val="18"/>
          <w:lang w:eastAsia="es-GT"/>
        </w:rPr>
        <w:drawing>
          <wp:inline distT="0" distB="0" distL="0" distR="0" wp14:anchorId="3066C14F" wp14:editId="7112B602">
            <wp:extent cx="2610485" cy="2943225"/>
            <wp:effectExtent l="0" t="0" r="0" b="0"/>
            <wp:docPr id="2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0085" w:rsidRPr="002D0B6E" w:rsidRDefault="000F0085" w:rsidP="000F0085">
      <w:pPr>
        <w:spacing w:after="0" w:line="240" w:lineRule="auto"/>
        <w:jc w:val="both"/>
        <w:rPr>
          <w:rFonts w:ascii="Times New Roman" w:hAnsi="Times New Roman" w:cs="Times New Roman"/>
          <w:sz w:val="16"/>
        </w:rPr>
      </w:pPr>
      <w:r w:rsidRPr="002D0B6E">
        <w:rPr>
          <w:rFonts w:ascii="Times New Roman" w:hAnsi="Times New Roman" w:cs="Times New Roman"/>
          <w:sz w:val="16"/>
        </w:rPr>
        <w:t>Fuente: Dirección de Análisis y Política Fiscal</w:t>
      </w:r>
    </w:p>
    <w:p w:rsidR="002D0B6E" w:rsidRDefault="002D0B6E" w:rsidP="002D0B6E">
      <w:pPr>
        <w:pStyle w:val="Sinespaciado"/>
        <w:jc w:val="both"/>
        <w:rPr>
          <w:rFonts w:ascii="Times New Roman" w:hAnsi="Times New Roman" w:cs="Times New Roman"/>
          <w:lang w:val="es-MX"/>
        </w:rPr>
      </w:pPr>
    </w:p>
    <w:p w:rsidR="000F0085" w:rsidRPr="00630E12" w:rsidRDefault="002D0B6E" w:rsidP="002D0B6E">
      <w:pPr>
        <w:pStyle w:val="Sinespaciado"/>
        <w:jc w:val="both"/>
        <w:rPr>
          <w:rFonts w:ascii="Times New Roman" w:hAnsi="Times New Roman" w:cs="Times New Roman"/>
          <w:color w:val="FF0000"/>
          <w:lang w:val="es-MX"/>
        </w:rPr>
      </w:pPr>
      <w:r w:rsidRPr="008E3A30">
        <w:rPr>
          <w:rFonts w:ascii="Times New Roman" w:hAnsi="Times New Roman" w:cs="Times New Roman"/>
          <w:lang w:val="es-MX"/>
        </w:rPr>
        <w:t xml:space="preserve">En cuanto al gasto total, el cual incluye amortizaciones de </w:t>
      </w:r>
      <w:r>
        <w:rPr>
          <w:rFonts w:ascii="Times New Roman" w:hAnsi="Times New Roman" w:cs="Times New Roman"/>
          <w:lang w:val="es-MX"/>
        </w:rPr>
        <w:t>la deuda pública, se situó en Q81</w:t>
      </w:r>
      <w:r w:rsidRPr="008E3A30">
        <w:rPr>
          <w:rFonts w:ascii="Times New Roman" w:hAnsi="Times New Roman" w:cs="Times New Roman"/>
          <w:lang w:val="es-MX"/>
        </w:rPr>
        <w:t>,</w:t>
      </w:r>
      <w:r>
        <w:rPr>
          <w:rFonts w:ascii="Times New Roman" w:hAnsi="Times New Roman" w:cs="Times New Roman"/>
          <w:lang w:val="es-MX"/>
        </w:rPr>
        <w:t>195.4 m</w:t>
      </w:r>
      <w:r w:rsidRPr="008E3A30">
        <w:rPr>
          <w:rFonts w:ascii="Times New Roman" w:hAnsi="Times New Roman" w:cs="Times New Roman"/>
          <w:lang w:val="es-MX"/>
        </w:rPr>
        <w:t>illones,</w:t>
      </w:r>
      <w:r>
        <w:rPr>
          <w:rFonts w:ascii="Times New Roman" w:hAnsi="Times New Roman" w:cs="Times New Roman"/>
          <w:lang w:val="es-MX"/>
        </w:rPr>
        <w:t xml:space="preserve"> con un grado de ejecución de 75.5</w:t>
      </w:r>
      <w:r w:rsidRPr="008E3A30">
        <w:rPr>
          <w:rFonts w:ascii="Times New Roman" w:hAnsi="Times New Roman" w:cs="Times New Roman"/>
          <w:lang w:val="es-MX"/>
        </w:rPr>
        <w:t>%</w:t>
      </w:r>
      <w:r>
        <w:rPr>
          <w:rFonts w:ascii="Times New Roman" w:hAnsi="Times New Roman" w:cs="Times New Roman"/>
          <w:lang w:val="es-MX"/>
        </w:rPr>
        <w:t xml:space="preserve"> y una variación interanual negativa del 3</w:t>
      </w:r>
      <w:r w:rsidRPr="008E3A30">
        <w:rPr>
          <w:rFonts w:ascii="Times New Roman" w:hAnsi="Times New Roman" w:cs="Times New Roman"/>
          <w:lang w:val="es-MX"/>
        </w:rPr>
        <w:t>.</w:t>
      </w:r>
      <w:r>
        <w:rPr>
          <w:rFonts w:ascii="Times New Roman" w:hAnsi="Times New Roman" w:cs="Times New Roman"/>
          <w:lang w:val="es-MX"/>
        </w:rPr>
        <w:t>4</w:t>
      </w:r>
      <w:r w:rsidRPr="008E3A30">
        <w:rPr>
          <w:rFonts w:ascii="Times New Roman" w:hAnsi="Times New Roman" w:cs="Times New Roman"/>
          <w:lang w:val="es-MX"/>
        </w:rPr>
        <w:t xml:space="preserve">%. Este grado de ejecución se encuentra por abajo de la ejecución promedio </w:t>
      </w:r>
      <w:r w:rsidRPr="008E3A30">
        <w:rPr>
          <w:rFonts w:ascii="Times New Roman" w:hAnsi="Times New Roman" w:cs="Times New Roman"/>
          <w:lang w:val="es-MX"/>
        </w:rPr>
        <w:lastRenderedPageBreak/>
        <w:t>de los últimos 5 años (</w:t>
      </w:r>
      <w:r>
        <w:rPr>
          <w:rFonts w:ascii="Times New Roman" w:hAnsi="Times New Roman" w:cs="Times New Roman"/>
          <w:lang w:val="es-MX"/>
        </w:rPr>
        <w:t>80.5</w:t>
      </w:r>
      <w:r w:rsidRPr="008E3A30">
        <w:rPr>
          <w:rFonts w:ascii="Times New Roman" w:hAnsi="Times New Roman" w:cs="Times New Roman"/>
          <w:lang w:val="es-MX"/>
        </w:rPr>
        <w:t>%) y es inferior a la reportada en cada uno de los años previos.</w:t>
      </w:r>
      <w:r w:rsidR="000F0085" w:rsidRPr="00630E12">
        <w:rPr>
          <w:rFonts w:ascii="Times New Roman" w:hAnsi="Times New Roman" w:cs="Times New Roman"/>
          <w:color w:val="FF0000"/>
          <w:lang w:val="es-MX"/>
        </w:rPr>
        <w:t xml:space="preserve"> </w:t>
      </w:r>
    </w:p>
    <w:p w:rsidR="000F0085" w:rsidRDefault="000F0085" w:rsidP="000F0085">
      <w:pPr>
        <w:spacing w:after="0" w:line="240" w:lineRule="auto"/>
        <w:jc w:val="center"/>
        <w:rPr>
          <w:rFonts w:ascii="Times New Roman" w:hAnsi="Times New Roman" w:cs="Times New Roman"/>
          <w:b/>
          <w:lang w:val="es-MX"/>
        </w:rPr>
      </w:pPr>
    </w:p>
    <w:p w:rsidR="00646CCB" w:rsidRDefault="00646CCB" w:rsidP="000F0085">
      <w:pPr>
        <w:spacing w:after="0" w:line="240" w:lineRule="auto"/>
        <w:jc w:val="center"/>
        <w:rPr>
          <w:rFonts w:ascii="Times New Roman" w:hAnsi="Times New Roman" w:cs="Times New Roman"/>
          <w:b/>
          <w:lang w:val="es-MX"/>
        </w:rPr>
      </w:pPr>
    </w:p>
    <w:p w:rsidR="00646CCB" w:rsidRPr="002D0B6E" w:rsidRDefault="00646CCB" w:rsidP="000F0085">
      <w:pPr>
        <w:spacing w:after="0" w:line="240" w:lineRule="auto"/>
        <w:jc w:val="center"/>
        <w:rPr>
          <w:rFonts w:ascii="Times New Roman" w:hAnsi="Times New Roman" w:cs="Times New Roman"/>
          <w:b/>
          <w:lang w:val="es-MX"/>
        </w:rPr>
      </w:pPr>
    </w:p>
    <w:p w:rsidR="000F0085" w:rsidRPr="002D0B6E" w:rsidRDefault="000F0085" w:rsidP="000F0085">
      <w:pPr>
        <w:spacing w:after="0" w:line="240" w:lineRule="auto"/>
        <w:jc w:val="center"/>
        <w:rPr>
          <w:rFonts w:ascii="Times New Roman" w:hAnsi="Times New Roman" w:cs="Times New Roman"/>
          <w:b/>
          <w:lang w:val="es-MX"/>
        </w:rPr>
      </w:pPr>
      <w:r w:rsidRPr="002D0B6E">
        <w:rPr>
          <w:rFonts w:ascii="Times New Roman" w:hAnsi="Times New Roman" w:cs="Times New Roman"/>
          <w:b/>
          <w:lang w:val="es-MX"/>
        </w:rPr>
        <w:t>Grado de Ejecución de los últimos 5 años</w:t>
      </w:r>
    </w:p>
    <w:p w:rsidR="000F0085" w:rsidRPr="002D0B6E" w:rsidRDefault="000F0085" w:rsidP="000F0085">
      <w:pPr>
        <w:pStyle w:val="Sinespaciado"/>
        <w:jc w:val="center"/>
        <w:rPr>
          <w:rFonts w:ascii="Times New Roman" w:hAnsi="Times New Roman" w:cs="Times New Roman"/>
          <w:sz w:val="18"/>
          <w:szCs w:val="18"/>
          <w:lang w:val="es-MX"/>
        </w:rPr>
      </w:pPr>
      <w:r w:rsidRPr="002D0B6E">
        <w:rPr>
          <w:rFonts w:ascii="Times New Roman" w:hAnsi="Times New Roman" w:cs="Times New Roman"/>
          <w:sz w:val="18"/>
          <w:szCs w:val="18"/>
          <w:lang w:val="es-MX"/>
        </w:rPr>
        <w:t>Al 30 de noviembre de cada año</w:t>
      </w:r>
    </w:p>
    <w:p w:rsidR="000F0085" w:rsidRPr="002D0B6E" w:rsidRDefault="00BA6982" w:rsidP="000F0085">
      <w:pPr>
        <w:pStyle w:val="Sinespaciado"/>
        <w:jc w:val="center"/>
        <w:rPr>
          <w:rFonts w:ascii="Times New Roman" w:hAnsi="Times New Roman" w:cs="Times New Roman"/>
          <w:sz w:val="18"/>
          <w:szCs w:val="18"/>
          <w:lang w:val="es-MX"/>
        </w:rPr>
      </w:pPr>
      <w:r w:rsidRPr="002D0B6E">
        <w:rPr>
          <w:rFonts w:ascii="Times New Roman" w:hAnsi="Times New Roman" w:cs="Times New Roman"/>
          <w:noProof/>
          <w:sz w:val="18"/>
          <w:szCs w:val="18"/>
          <w:lang w:eastAsia="es-GT"/>
        </w:rPr>
        <w:drawing>
          <wp:anchor distT="0" distB="0" distL="114300" distR="114300" simplePos="0" relativeHeight="251932672" behindDoc="0" locked="0" layoutInCell="1" allowOverlap="1" wp14:anchorId="41703B61" wp14:editId="09A2C93D">
            <wp:simplePos x="0" y="0"/>
            <wp:positionH relativeFrom="column">
              <wp:posOffset>-133985</wp:posOffset>
            </wp:positionH>
            <wp:positionV relativeFrom="paragraph">
              <wp:posOffset>137795</wp:posOffset>
            </wp:positionV>
            <wp:extent cx="2818130" cy="1881505"/>
            <wp:effectExtent l="0" t="0" r="1270" b="4445"/>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0F0085" w:rsidRPr="002D0B6E">
        <w:rPr>
          <w:rFonts w:ascii="Times New Roman" w:hAnsi="Times New Roman" w:cs="Times New Roman"/>
          <w:sz w:val="18"/>
          <w:szCs w:val="18"/>
          <w:lang w:val="es-MX"/>
        </w:rPr>
        <w:t>Cifras en porcentajes</w:t>
      </w:r>
    </w:p>
    <w:p w:rsidR="000F0085" w:rsidRPr="002D0B6E" w:rsidRDefault="000F0085" w:rsidP="000F0085">
      <w:pPr>
        <w:spacing w:after="0" w:line="240" w:lineRule="auto"/>
        <w:jc w:val="both"/>
        <w:rPr>
          <w:rFonts w:ascii="Times New Roman" w:hAnsi="Times New Roman" w:cs="Times New Roman"/>
          <w:b/>
          <w:i/>
          <w:sz w:val="16"/>
        </w:rPr>
      </w:pPr>
      <w:r w:rsidRPr="002D0B6E">
        <w:rPr>
          <w:rFonts w:ascii="Times New Roman" w:hAnsi="Times New Roman" w:cs="Times New Roman"/>
          <w:b/>
          <w:i/>
          <w:sz w:val="16"/>
        </w:rPr>
        <w:t>*Con presupuesto 2021 ajustado Q94,354.0 millones</w:t>
      </w:r>
    </w:p>
    <w:p w:rsidR="000F0085" w:rsidRPr="00630E12" w:rsidRDefault="000F0085" w:rsidP="000F0085">
      <w:pPr>
        <w:spacing w:after="0" w:line="240" w:lineRule="auto"/>
        <w:jc w:val="both"/>
        <w:rPr>
          <w:rFonts w:ascii="Times New Roman" w:hAnsi="Times New Roman" w:cs="Times New Roman"/>
          <w:color w:val="FF0000"/>
          <w:sz w:val="16"/>
        </w:rPr>
      </w:pPr>
      <w:r w:rsidRPr="002D0B6E">
        <w:rPr>
          <w:rFonts w:ascii="Times New Roman" w:hAnsi="Times New Roman" w:cs="Times New Roman"/>
          <w:sz w:val="16"/>
        </w:rPr>
        <w:t>Fuente: Dirección de Análisis y Política Fiscal</w:t>
      </w:r>
    </w:p>
    <w:p w:rsidR="00646CCB" w:rsidRDefault="00646CCB" w:rsidP="002D0B6E">
      <w:pPr>
        <w:pStyle w:val="Sinespaciado"/>
        <w:jc w:val="both"/>
        <w:rPr>
          <w:rFonts w:ascii="Times New Roman" w:hAnsi="Times New Roman" w:cs="Times New Roman"/>
          <w:lang w:val="es-MX"/>
        </w:rPr>
      </w:pPr>
    </w:p>
    <w:p w:rsidR="002D0B6E" w:rsidRDefault="002D0B6E" w:rsidP="002D0B6E">
      <w:pPr>
        <w:pStyle w:val="Sinespaciado"/>
        <w:jc w:val="both"/>
        <w:rPr>
          <w:rFonts w:ascii="Times New Roman" w:hAnsi="Times New Roman" w:cs="Times New Roman"/>
          <w:color w:val="FF0000"/>
          <w:lang w:val="es-MX"/>
        </w:rPr>
      </w:pPr>
      <w:r w:rsidRPr="008E3A30">
        <w:rPr>
          <w:rFonts w:ascii="Times New Roman" w:hAnsi="Times New Roman" w:cs="Times New Roman"/>
          <w:lang w:val="es-MX"/>
        </w:rPr>
        <w:t>Tomando en consideración el presupuesto operativo anunciado por el Ejecutivo (Q94,354.0</w:t>
      </w:r>
      <w:r>
        <w:rPr>
          <w:rFonts w:ascii="Times New Roman" w:hAnsi="Times New Roman" w:cs="Times New Roman"/>
          <w:lang w:val="es-MX"/>
        </w:rPr>
        <w:t xml:space="preserve"> millones), una ejecución más apegada a la realidad</w:t>
      </w:r>
      <w:r w:rsidRPr="008E3A30">
        <w:rPr>
          <w:rFonts w:ascii="Times New Roman" w:hAnsi="Times New Roman" w:cs="Times New Roman"/>
          <w:lang w:val="es-MX"/>
        </w:rPr>
        <w:t xml:space="preserve"> podría ubicarse en</w:t>
      </w:r>
      <w:r>
        <w:rPr>
          <w:rFonts w:ascii="Times New Roman" w:hAnsi="Times New Roman" w:cs="Times New Roman"/>
          <w:lang w:val="es-MX"/>
        </w:rPr>
        <w:t xml:space="preserve"> 86</w:t>
      </w:r>
      <w:r w:rsidRPr="008E3A30">
        <w:rPr>
          <w:rFonts w:ascii="Times New Roman" w:hAnsi="Times New Roman" w:cs="Times New Roman"/>
          <w:lang w:val="es-MX"/>
        </w:rPr>
        <w:t>.</w:t>
      </w:r>
      <w:r>
        <w:rPr>
          <w:rFonts w:ascii="Times New Roman" w:hAnsi="Times New Roman" w:cs="Times New Roman"/>
          <w:lang w:val="es-MX"/>
        </w:rPr>
        <w:t>1</w:t>
      </w:r>
      <w:r w:rsidRPr="008E3A30">
        <w:rPr>
          <w:rFonts w:ascii="Times New Roman" w:hAnsi="Times New Roman" w:cs="Times New Roman"/>
          <w:lang w:val="es-MX"/>
        </w:rPr>
        <w:t>%, siendo superior al promedio de los últimos 5 años y a cada uno de los años anteriores.</w:t>
      </w:r>
    </w:p>
    <w:p w:rsidR="002D0B6E" w:rsidRPr="00094C53" w:rsidRDefault="002D0B6E" w:rsidP="002D0B6E">
      <w:pPr>
        <w:pStyle w:val="Sinespaciado"/>
        <w:jc w:val="both"/>
        <w:rPr>
          <w:rFonts w:ascii="Times New Roman" w:hAnsi="Times New Roman" w:cs="Times New Roman"/>
          <w:sz w:val="18"/>
          <w:lang w:val="es-MX"/>
        </w:rPr>
      </w:pPr>
    </w:p>
    <w:p w:rsidR="002D0B6E" w:rsidRPr="00CF4FB4" w:rsidRDefault="002D0B6E" w:rsidP="002D0B6E">
      <w:pPr>
        <w:pStyle w:val="Sinespaciado"/>
        <w:jc w:val="both"/>
        <w:rPr>
          <w:rFonts w:ascii="Times New Roman" w:hAnsi="Times New Roman" w:cs="Times New Roman"/>
        </w:rPr>
      </w:pPr>
      <w:r>
        <w:rPr>
          <w:rFonts w:ascii="Times New Roman" w:hAnsi="Times New Roman" w:cs="Times New Roman"/>
        </w:rPr>
        <w:t xml:space="preserve">A nivel del gasto público por entidades, las que muestran el mayor nivel de ejecución son: el Servicio de la Deuda Pública (92.1%), PGN (86.6%), Gobernación (85.1%), </w:t>
      </w:r>
      <w:r w:rsidRPr="008639E5">
        <w:rPr>
          <w:rFonts w:ascii="Times New Roman" w:hAnsi="Times New Roman" w:cs="Times New Roman"/>
        </w:rPr>
        <w:t>Educación (</w:t>
      </w:r>
      <w:r>
        <w:rPr>
          <w:rFonts w:ascii="Times New Roman" w:hAnsi="Times New Roman" w:cs="Times New Roman"/>
        </w:rPr>
        <w:t>84</w:t>
      </w:r>
      <w:r w:rsidRPr="008639E5">
        <w:rPr>
          <w:rFonts w:ascii="Times New Roman" w:hAnsi="Times New Roman" w:cs="Times New Roman"/>
        </w:rPr>
        <w:t>.</w:t>
      </w:r>
      <w:r>
        <w:rPr>
          <w:rFonts w:ascii="Times New Roman" w:hAnsi="Times New Roman" w:cs="Times New Roman"/>
        </w:rPr>
        <w:t>8</w:t>
      </w:r>
      <w:r w:rsidRPr="008639E5">
        <w:rPr>
          <w:rFonts w:ascii="Times New Roman" w:hAnsi="Times New Roman" w:cs="Times New Roman"/>
        </w:rPr>
        <w:t>%),</w:t>
      </w:r>
      <w:r>
        <w:rPr>
          <w:rFonts w:ascii="Times New Roman" w:hAnsi="Times New Roman" w:cs="Times New Roman"/>
        </w:rPr>
        <w:t xml:space="preserve"> MINREX (82.1</w:t>
      </w:r>
      <w:r>
        <w:rPr>
          <w:rFonts w:ascii="Times New Roman" w:hAnsi="Times New Roman" w:cs="Times New Roman"/>
        </w:rPr>
        <w:br/>
        <w:t xml:space="preserve">%), Presidencia (81.7%), </w:t>
      </w:r>
      <w:r w:rsidRPr="00CF4FB4">
        <w:rPr>
          <w:rFonts w:ascii="Times New Roman" w:hAnsi="Times New Roman" w:cs="Times New Roman"/>
        </w:rPr>
        <w:t>Trabajo (81.3%), Defensa Nacional (80.5%), Desarrollo Social (78.5%), Energía y Minas (78.4%), Agricultura (76.9%), Ambiente (76.5%) y Finanzas (76.3%), todas estas entidades se encuentran por arriba de la ejecución institucional total (75.5%).</w:t>
      </w:r>
    </w:p>
    <w:p w:rsidR="002D0B6E" w:rsidRPr="00094C53" w:rsidRDefault="002D0B6E" w:rsidP="002D0B6E">
      <w:pPr>
        <w:pStyle w:val="Sinespaciado"/>
        <w:jc w:val="both"/>
        <w:rPr>
          <w:rFonts w:ascii="Times New Roman" w:hAnsi="Times New Roman" w:cs="Times New Roman"/>
          <w:sz w:val="18"/>
        </w:rPr>
      </w:pPr>
    </w:p>
    <w:p w:rsidR="002D0B6E" w:rsidRDefault="002D0B6E" w:rsidP="002D0B6E">
      <w:pPr>
        <w:pStyle w:val="Sinespaciado"/>
        <w:jc w:val="both"/>
        <w:rPr>
          <w:rFonts w:ascii="Times New Roman" w:hAnsi="Times New Roman" w:cs="Times New Roman"/>
        </w:rPr>
      </w:pPr>
      <w:r>
        <w:rPr>
          <w:rFonts w:ascii="Times New Roman" w:hAnsi="Times New Roman" w:cs="Times New Roman"/>
        </w:rPr>
        <w:t xml:space="preserve">Por su parte, el resto de las entidades se encuentran por debajo de la ejecución total, resalta el caso de dos entidades: Economía </w:t>
      </w:r>
      <w:r>
        <w:rPr>
          <w:rFonts w:ascii="Times New Roman" w:hAnsi="Times New Roman" w:cs="Times New Roman"/>
        </w:rPr>
        <w:lastRenderedPageBreak/>
        <w:t xml:space="preserve">(65.2%) y las Obligaciones del Estado (64.2%). </w:t>
      </w:r>
    </w:p>
    <w:p w:rsidR="002D0B6E" w:rsidRDefault="002D0B6E" w:rsidP="002D0B6E">
      <w:pPr>
        <w:pStyle w:val="Sinespaciado"/>
        <w:jc w:val="both"/>
        <w:rPr>
          <w:rFonts w:ascii="Times New Roman" w:hAnsi="Times New Roman" w:cs="Times New Roman"/>
        </w:rPr>
      </w:pPr>
    </w:p>
    <w:p w:rsidR="002D0B6E" w:rsidRDefault="002D0B6E" w:rsidP="002D0B6E">
      <w:pPr>
        <w:pStyle w:val="Sinespaciado"/>
        <w:jc w:val="both"/>
        <w:rPr>
          <w:rFonts w:ascii="Times New Roman" w:hAnsi="Times New Roman" w:cs="Times New Roman"/>
        </w:rPr>
      </w:pPr>
      <w:r w:rsidRPr="00CF4FB4">
        <w:rPr>
          <w:rFonts w:ascii="Times New Roman" w:hAnsi="Times New Roman" w:cs="Times New Roman"/>
        </w:rPr>
        <w:t xml:space="preserve">En el caso del Ministerio de Economía, su presupuesto fue modificado por medio del reordenamiento presupuestario, por lo cual la baja ejecución no responde a los programas asignados en 2020 para la atención del COVID-19, sino a una baja capacidad de ejecución del Ministerio, los programas: Desarrollo de la Micro, Pequeña y Mediana Empresa y Gestión de la Integración Económica y Comercio Exterior reportan la menor ejecución. </w:t>
      </w:r>
    </w:p>
    <w:p w:rsidR="002D0B6E" w:rsidRDefault="002D0B6E" w:rsidP="002D0B6E">
      <w:pPr>
        <w:pStyle w:val="Sinespaciado"/>
        <w:jc w:val="both"/>
        <w:rPr>
          <w:rFonts w:ascii="Times New Roman" w:hAnsi="Times New Roman" w:cs="Times New Roman"/>
        </w:rPr>
      </w:pPr>
    </w:p>
    <w:p w:rsidR="000F0085" w:rsidRPr="00630E12" w:rsidRDefault="002D0B6E" w:rsidP="002D0B6E">
      <w:pPr>
        <w:pStyle w:val="Sinespaciado"/>
        <w:jc w:val="both"/>
        <w:rPr>
          <w:rFonts w:ascii="Times New Roman" w:hAnsi="Times New Roman" w:cs="Times New Roman"/>
          <w:color w:val="FF0000"/>
        </w:rPr>
      </w:pPr>
      <w:r w:rsidRPr="00CF4FB4">
        <w:rPr>
          <w:rFonts w:ascii="Times New Roman" w:hAnsi="Times New Roman" w:cs="Times New Roman"/>
        </w:rPr>
        <w:t>Por su parte, en las Obligaciones del Estado, la baja ejecución se debe a que se le establecieron las asignaciones inmovilizadas, por ello, el presupuesto de esta entidad se inflo virtualmente y su grado de ejecución disminuye.</w:t>
      </w:r>
    </w:p>
    <w:p w:rsidR="00BA6982" w:rsidRPr="00630E12" w:rsidRDefault="00BA6982" w:rsidP="000F0085">
      <w:pPr>
        <w:pStyle w:val="Sinespaciado"/>
        <w:jc w:val="both"/>
        <w:rPr>
          <w:rFonts w:ascii="Times New Roman" w:hAnsi="Times New Roman" w:cs="Times New Roman"/>
          <w:color w:val="FF0000"/>
          <w:sz w:val="18"/>
        </w:rPr>
      </w:pPr>
    </w:p>
    <w:p w:rsidR="000F0085" w:rsidRPr="002D0B6E" w:rsidRDefault="000F0085" w:rsidP="000F0085">
      <w:pPr>
        <w:spacing w:after="0" w:line="240" w:lineRule="auto"/>
        <w:jc w:val="center"/>
        <w:rPr>
          <w:rFonts w:ascii="Times New Roman" w:hAnsi="Times New Roman" w:cs="Times New Roman"/>
          <w:b/>
          <w:lang w:val="es-MX"/>
        </w:rPr>
      </w:pPr>
      <w:r w:rsidRPr="002D0B6E">
        <w:rPr>
          <w:rFonts w:ascii="Times New Roman" w:hAnsi="Times New Roman" w:cs="Times New Roman"/>
          <w:b/>
          <w:lang w:val="es-MX"/>
        </w:rPr>
        <w:t>Grado de Ejecución por Entidad</w:t>
      </w:r>
    </w:p>
    <w:p w:rsidR="000F0085" w:rsidRPr="002D0B6E" w:rsidRDefault="000F0085" w:rsidP="000F0085">
      <w:pPr>
        <w:spacing w:after="0" w:line="240" w:lineRule="auto"/>
        <w:jc w:val="center"/>
        <w:rPr>
          <w:rFonts w:ascii="Times New Roman" w:hAnsi="Times New Roman" w:cs="Times New Roman"/>
          <w:sz w:val="18"/>
          <w:szCs w:val="18"/>
          <w:lang w:val="es-MX"/>
        </w:rPr>
      </w:pPr>
      <w:r w:rsidRPr="002D0B6E">
        <w:rPr>
          <w:rFonts w:ascii="Times New Roman" w:hAnsi="Times New Roman" w:cs="Times New Roman"/>
          <w:sz w:val="18"/>
          <w:szCs w:val="18"/>
          <w:lang w:val="es-MX"/>
        </w:rPr>
        <w:t>Al 30 de noviembre del 2021</w:t>
      </w:r>
    </w:p>
    <w:p w:rsidR="000F0085" w:rsidRPr="002D0B6E" w:rsidRDefault="002D0B6E" w:rsidP="000F0085">
      <w:pPr>
        <w:spacing w:after="0" w:line="240" w:lineRule="auto"/>
        <w:jc w:val="center"/>
        <w:rPr>
          <w:rFonts w:ascii="Times New Roman" w:hAnsi="Times New Roman" w:cs="Times New Roman"/>
          <w:sz w:val="18"/>
          <w:szCs w:val="18"/>
          <w:lang w:val="es-MX"/>
        </w:rPr>
      </w:pPr>
      <w:r w:rsidRPr="002D0B6E">
        <w:rPr>
          <w:rFonts w:ascii="Times New Roman" w:hAnsi="Times New Roman" w:cs="Times New Roman"/>
          <w:noProof/>
          <w:sz w:val="18"/>
          <w:szCs w:val="18"/>
          <w:lang w:eastAsia="es-GT"/>
        </w:rPr>
        <w:drawing>
          <wp:anchor distT="0" distB="0" distL="114300" distR="114300" simplePos="0" relativeHeight="251934720" behindDoc="0" locked="0" layoutInCell="1" allowOverlap="1" wp14:anchorId="79E599FC" wp14:editId="7851554D">
            <wp:simplePos x="0" y="0"/>
            <wp:positionH relativeFrom="column">
              <wp:posOffset>-3810</wp:posOffset>
            </wp:positionH>
            <wp:positionV relativeFrom="paragraph">
              <wp:posOffset>135890</wp:posOffset>
            </wp:positionV>
            <wp:extent cx="2752725" cy="3486150"/>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0F0085" w:rsidRPr="002D0B6E">
        <w:rPr>
          <w:rFonts w:ascii="Times New Roman" w:hAnsi="Times New Roman" w:cs="Times New Roman"/>
          <w:sz w:val="18"/>
          <w:szCs w:val="18"/>
          <w:lang w:val="es-MX"/>
        </w:rPr>
        <w:t>En porcentajes</w:t>
      </w:r>
    </w:p>
    <w:p w:rsidR="000F0085" w:rsidRPr="002D0B6E" w:rsidRDefault="000F0085" w:rsidP="000F0085">
      <w:pPr>
        <w:spacing w:after="0" w:line="240" w:lineRule="auto"/>
        <w:jc w:val="both"/>
        <w:rPr>
          <w:rFonts w:ascii="Times New Roman" w:hAnsi="Times New Roman" w:cs="Times New Roman"/>
          <w:sz w:val="16"/>
        </w:rPr>
      </w:pPr>
      <w:r w:rsidRPr="002D0B6E">
        <w:rPr>
          <w:rFonts w:ascii="Times New Roman" w:hAnsi="Times New Roman" w:cs="Times New Roman"/>
          <w:sz w:val="16"/>
        </w:rPr>
        <w:lastRenderedPageBreak/>
        <w:t>Fuente: Dirección de Análisis y Política Fiscal</w:t>
      </w:r>
    </w:p>
    <w:p w:rsidR="000F0085" w:rsidRPr="00630E12" w:rsidRDefault="000F0085" w:rsidP="000F0085">
      <w:pPr>
        <w:pStyle w:val="Sinespaciado"/>
        <w:jc w:val="both"/>
        <w:rPr>
          <w:rFonts w:ascii="Times New Roman" w:hAnsi="Times New Roman" w:cs="Times New Roman"/>
          <w:color w:val="FF0000"/>
          <w:lang w:val="es-MX"/>
        </w:rPr>
      </w:pPr>
    </w:p>
    <w:p w:rsidR="002D0B6E" w:rsidRDefault="002D0B6E" w:rsidP="002D0B6E">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esta reporta un mayor dinamismo respecto al año previo, con un crecimiento interanual de 11.3%, equivalente a Q4,129.1 millones</w:t>
      </w:r>
      <w:r w:rsidRPr="00321A9C">
        <w:rPr>
          <w:rFonts w:ascii="Times New Roman" w:hAnsi="Times New Roman" w:cs="Times New Roman"/>
          <w:lang w:val="es-MX"/>
        </w:rPr>
        <w:t xml:space="preserve">. </w:t>
      </w:r>
    </w:p>
    <w:p w:rsidR="002D0B6E" w:rsidRPr="008B062E" w:rsidRDefault="002D0B6E" w:rsidP="002D0B6E">
      <w:pPr>
        <w:pStyle w:val="Sinespaciado"/>
        <w:jc w:val="both"/>
        <w:rPr>
          <w:rFonts w:ascii="Times New Roman" w:hAnsi="Times New Roman" w:cs="Times New Roman"/>
          <w:sz w:val="18"/>
          <w:lang w:val="es-MX"/>
        </w:rPr>
      </w:pPr>
    </w:p>
    <w:p w:rsidR="002D0B6E" w:rsidRDefault="002D0B6E" w:rsidP="002D0B6E">
      <w:pPr>
        <w:pStyle w:val="Sinespaciado"/>
        <w:jc w:val="both"/>
        <w:rPr>
          <w:rFonts w:ascii="Times New Roman" w:hAnsi="Times New Roman" w:cs="Times New Roman"/>
          <w:lang w:val="es-MX"/>
        </w:rPr>
      </w:pPr>
      <w:r w:rsidRPr="002B60F7">
        <w:rPr>
          <w:rFonts w:ascii="Times New Roman" w:hAnsi="Times New Roman" w:cs="Times New Roman"/>
          <w:lang w:val="es-MX"/>
        </w:rPr>
        <w:t>Todas las finalidades del gasto social se encuentran creciendo en términos absolutos. Asimismo, resalta el sector de Salud y Asistencia Social con un aumento importante de Q2,796.6 millones (equivalente a 29.5%), asociado a la compra de las vacunas para hacer frente a la pandemia, situación que en 2020 no se daba y el gasto COVID-19, en dicho año, se concentró en programas económicos y sociales de atención a las necesidades de la población guatemalteca.</w:t>
      </w:r>
      <w:r>
        <w:rPr>
          <w:rFonts w:ascii="Times New Roman" w:hAnsi="Times New Roman" w:cs="Times New Roman"/>
          <w:lang w:val="es-MX"/>
        </w:rPr>
        <w:t xml:space="preserve"> </w:t>
      </w:r>
    </w:p>
    <w:p w:rsidR="002D0B6E" w:rsidRDefault="002D0B6E" w:rsidP="002D0B6E">
      <w:pPr>
        <w:pStyle w:val="Sinespaciado"/>
        <w:jc w:val="both"/>
        <w:rPr>
          <w:rFonts w:ascii="Times New Roman" w:hAnsi="Times New Roman" w:cs="Times New Roman"/>
          <w:lang w:val="es-MX"/>
        </w:rPr>
      </w:pPr>
    </w:p>
    <w:p w:rsidR="002D0B6E" w:rsidRDefault="002D0B6E" w:rsidP="002D0B6E">
      <w:pPr>
        <w:pStyle w:val="Sinespaciado"/>
        <w:jc w:val="both"/>
        <w:rPr>
          <w:rFonts w:ascii="Times New Roman" w:hAnsi="Times New Roman" w:cs="Times New Roman"/>
          <w:lang w:val="es-MX"/>
        </w:rPr>
      </w:pPr>
      <w:r>
        <w:rPr>
          <w:rFonts w:ascii="Times New Roman" w:hAnsi="Times New Roman" w:cs="Times New Roman"/>
          <w:lang w:val="es-MX"/>
        </w:rPr>
        <w:t xml:space="preserve">Le sigue el sector de Educación con un aumento de Q656.2 millones (equivalente a 3.9%) y Seguridad Interna con un aumento de Q253.8 millones (equivalente a 6.0%). </w:t>
      </w:r>
    </w:p>
    <w:p w:rsidR="002D0B6E" w:rsidRDefault="002D0B6E" w:rsidP="002D0B6E">
      <w:pPr>
        <w:pStyle w:val="Sinespaciado"/>
        <w:jc w:val="both"/>
        <w:rPr>
          <w:rFonts w:ascii="Times New Roman" w:hAnsi="Times New Roman" w:cs="Times New Roman"/>
          <w:lang w:val="es-MX"/>
        </w:rPr>
      </w:pPr>
    </w:p>
    <w:p w:rsidR="000F0085" w:rsidRPr="00630E12" w:rsidRDefault="002D0B6E" w:rsidP="002D0B6E">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Por su parte, los aportes hacia el Ministerio Público reportan un aumento de Q108.2 </w:t>
      </w:r>
      <w:r>
        <w:rPr>
          <w:rFonts w:ascii="Times New Roman" w:hAnsi="Times New Roman" w:cs="Times New Roman"/>
          <w:lang w:val="es-MX"/>
        </w:rPr>
        <w:lastRenderedPageBreak/>
        <w:t>millones (equivalente a 8.5%) y el Organismo Judicial y Corte de Constitucionalidad reportan un aumento de Q58.6 millones (equivalente a 3.1%).</w:t>
      </w:r>
    </w:p>
    <w:p w:rsidR="000F0085" w:rsidRPr="00630E12" w:rsidRDefault="000F0085" w:rsidP="000F0085">
      <w:pPr>
        <w:pStyle w:val="Sinespaciado"/>
        <w:jc w:val="both"/>
        <w:rPr>
          <w:rFonts w:ascii="Times New Roman" w:hAnsi="Times New Roman" w:cs="Times New Roman"/>
          <w:color w:val="FF0000"/>
          <w:lang w:val="es-MX"/>
        </w:rPr>
      </w:pPr>
    </w:p>
    <w:p w:rsidR="000F0085" w:rsidRPr="009B4430" w:rsidRDefault="000F0085" w:rsidP="000F0085">
      <w:pPr>
        <w:pStyle w:val="Sinespaciado"/>
        <w:jc w:val="center"/>
        <w:rPr>
          <w:rFonts w:ascii="Times New Roman" w:hAnsi="Times New Roman" w:cs="Times New Roman"/>
          <w:b/>
          <w:lang w:val="es-MX"/>
        </w:rPr>
      </w:pPr>
      <w:r w:rsidRPr="009B4430">
        <w:rPr>
          <w:rFonts w:ascii="Times New Roman" w:hAnsi="Times New Roman" w:cs="Times New Roman"/>
          <w:b/>
          <w:lang w:val="es-MX"/>
        </w:rPr>
        <w:t>Ejecución y crecimiento del Gasto Social</w:t>
      </w:r>
    </w:p>
    <w:p w:rsidR="000F0085" w:rsidRPr="009B4430" w:rsidRDefault="000F0085" w:rsidP="000F0085">
      <w:pPr>
        <w:pStyle w:val="Sinespaciado"/>
        <w:jc w:val="center"/>
        <w:rPr>
          <w:rFonts w:ascii="Times New Roman" w:hAnsi="Times New Roman" w:cs="Times New Roman"/>
          <w:sz w:val="18"/>
          <w:szCs w:val="18"/>
          <w:lang w:val="es-MX"/>
        </w:rPr>
      </w:pPr>
      <w:r w:rsidRPr="009B4430">
        <w:rPr>
          <w:rFonts w:ascii="Times New Roman" w:hAnsi="Times New Roman" w:cs="Times New Roman"/>
          <w:sz w:val="18"/>
          <w:szCs w:val="18"/>
          <w:lang w:val="es-MX"/>
        </w:rPr>
        <w:t>Al 30 de noviembre 2021</w:t>
      </w:r>
    </w:p>
    <w:p w:rsidR="000F0085" w:rsidRPr="009B4430" w:rsidRDefault="000F0085" w:rsidP="000F0085">
      <w:pPr>
        <w:pStyle w:val="Sinespaciado"/>
        <w:jc w:val="center"/>
        <w:rPr>
          <w:rFonts w:ascii="Times New Roman" w:hAnsi="Times New Roman" w:cs="Times New Roman"/>
          <w:sz w:val="18"/>
          <w:szCs w:val="18"/>
          <w:lang w:val="es-MX"/>
        </w:rPr>
      </w:pPr>
      <w:r w:rsidRPr="009B4430">
        <w:t xml:space="preserve"> </w:t>
      </w:r>
      <w:r w:rsidRPr="009B4430">
        <w:rPr>
          <w:rFonts w:ascii="Times New Roman" w:hAnsi="Times New Roman" w:cs="Times New Roman"/>
          <w:sz w:val="18"/>
          <w:szCs w:val="18"/>
          <w:lang w:val="es-MX"/>
        </w:rPr>
        <w:t>Cifras en porcentajes y en millones de quetzales</w:t>
      </w:r>
    </w:p>
    <w:tbl>
      <w:tblPr>
        <w:tblW w:w="4385" w:type="dxa"/>
        <w:tblCellMar>
          <w:left w:w="70" w:type="dxa"/>
          <w:right w:w="70" w:type="dxa"/>
        </w:tblCellMar>
        <w:tblLook w:val="04A0" w:firstRow="1" w:lastRow="0" w:firstColumn="1" w:lastColumn="0" w:noHBand="0" w:noVBand="1"/>
      </w:tblPr>
      <w:tblGrid>
        <w:gridCol w:w="1408"/>
        <w:gridCol w:w="709"/>
        <w:gridCol w:w="708"/>
        <w:gridCol w:w="851"/>
        <w:gridCol w:w="772"/>
      </w:tblGrid>
      <w:tr w:rsidR="009B4430" w:rsidRPr="009B4430" w:rsidTr="00BA6982">
        <w:trPr>
          <w:trHeight w:val="151"/>
        </w:trPr>
        <w:tc>
          <w:tcPr>
            <w:tcW w:w="1408"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Sector</w:t>
            </w:r>
          </w:p>
        </w:tc>
        <w:tc>
          <w:tcPr>
            <w:tcW w:w="1417" w:type="dxa"/>
            <w:gridSpan w:val="2"/>
            <w:tcBorders>
              <w:top w:val="single" w:sz="8" w:space="0" w:color="auto"/>
              <w:left w:val="nil"/>
              <w:bottom w:val="single" w:sz="8" w:space="0" w:color="auto"/>
              <w:right w:val="single" w:sz="8" w:space="0" w:color="000000"/>
            </w:tcBorders>
            <w:shd w:val="clear" w:color="000000" w:fill="808080"/>
            <w:noWrap/>
            <w:vAlign w:val="bottom"/>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Ejecutado</w:t>
            </w:r>
          </w:p>
        </w:tc>
        <w:tc>
          <w:tcPr>
            <w:tcW w:w="1560" w:type="dxa"/>
            <w:gridSpan w:val="2"/>
            <w:tcBorders>
              <w:top w:val="single" w:sz="8" w:space="0" w:color="auto"/>
              <w:left w:val="single" w:sz="8" w:space="0" w:color="auto"/>
              <w:bottom w:val="single" w:sz="8" w:space="0" w:color="auto"/>
              <w:right w:val="single" w:sz="8" w:space="0" w:color="000000"/>
            </w:tcBorders>
            <w:shd w:val="clear" w:color="000000" w:fill="808080"/>
            <w:noWrap/>
            <w:vAlign w:val="bottom"/>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Diferencias</w:t>
            </w:r>
          </w:p>
        </w:tc>
      </w:tr>
      <w:tr w:rsidR="009B4430" w:rsidRPr="009B4430" w:rsidTr="00BA6982">
        <w:trPr>
          <w:trHeight w:val="300"/>
        </w:trPr>
        <w:tc>
          <w:tcPr>
            <w:tcW w:w="1408" w:type="dxa"/>
            <w:vMerge/>
            <w:tcBorders>
              <w:top w:val="single" w:sz="8" w:space="0" w:color="auto"/>
              <w:left w:val="single" w:sz="8" w:space="0" w:color="auto"/>
              <w:bottom w:val="single" w:sz="8" w:space="0" w:color="000000"/>
              <w:right w:val="single" w:sz="8" w:space="0" w:color="auto"/>
            </w:tcBorders>
            <w:vAlign w:val="center"/>
            <w:hideMark/>
          </w:tcPr>
          <w:p w:rsidR="009B4430" w:rsidRPr="009B4430" w:rsidRDefault="009B4430" w:rsidP="004C6F2C">
            <w:pPr>
              <w:spacing w:after="0" w:line="240" w:lineRule="auto"/>
              <w:rPr>
                <w:rFonts w:ascii="Times New Roman" w:eastAsia="Times New Roman" w:hAnsi="Times New Roman" w:cs="Times New Roman"/>
                <w:b/>
                <w:bCs/>
                <w:sz w:val="16"/>
                <w:szCs w:val="16"/>
                <w:lang w:eastAsia="es-GT"/>
              </w:rPr>
            </w:pPr>
          </w:p>
        </w:tc>
        <w:tc>
          <w:tcPr>
            <w:tcW w:w="709" w:type="dxa"/>
            <w:vMerge w:val="restart"/>
            <w:tcBorders>
              <w:top w:val="nil"/>
              <w:left w:val="nil"/>
              <w:bottom w:val="single" w:sz="8" w:space="0" w:color="000000"/>
              <w:right w:val="single" w:sz="4" w:space="0" w:color="auto"/>
            </w:tcBorders>
            <w:shd w:val="clear" w:color="000000" w:fill="808080"/>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2020</w:t>
            </w:r>
          </w:p>
        </w:tc>
        <w:tc>
          <w:tcPr>
            <w:tcW w:w="708" w:type="dxa"/>
            <w:vMerge w:val="restart"/>
            <w:tcBorders>
              <w:top w:val="nil"/>
              <w:left w:val="nil"/>
              <w:bottom w:val="single" w:sz="8" w:space="0" w:color="000000"/>
              <w:right w:val="single" w:sz="8" w:space="0" w:color="auto"/>
            </w:tcBorders>
            <w:shd w:val="clear" w:color="000000" w:fill="808080"/>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2021</w:t>
            </w:r>
          </w:p>
        </w:tc>
        <w:tc>
          <w:tcPr>
            <w:tcW w:w="851" w:type="dxa"/>
            <w:tcBorders>
              <w:top w:val="nil"/>
              <w:left w:val="single" w:sz="8" w:space="0" w:color="auto"/>
              <w:bottom w:val="nil"/>
              <w:right w:val="single" w:sz="4" w:space="0" w:color="auto"/>
            </w:tcBorders>
            <w:shd w:val="clear" w:color="000000" w:fill="808080"/>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Absolutas</w:t>
            </w:r>
          </w:p>
        </w:tc>
        <w:tc>
          <w:tcPr>
            <w:tcW w:w="709" w:type="dxa"/>
            <w:tcBorders>
              <w:top w:val="nil"/>
              <w:left w:val="nil"/>
              <w:bottom w:val="nil"/>
              <w:right w:val="single" w:sz="8" w:space="0" w:color="auto"/>
            </w:tcBorders>
            <w:shd w:val="clear" w:color="000000" w:fill="808080"/>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Relativas</w:t>
            </w:r>
          </w:p>
        </w:tc>
      </w:tr>
      <w:tr w:rsidR="009B4430" w:rsidRPr="009B4430" w:rsidTr="0013163B">
        <w:trPr>
          <w:trHeight w:val="110"/>
        </w:trPr>
        <w:tc>
          <w:tcPr>
            <w:tcW w:w="1408" w:type="dxa"/>
            <w:vMerge/>
            <w:tcBorders>
              <w:top w:val="single" w:sz="8" w:space="0" w:color="auto"/>
              <w:left w:val="single" w:sz="8" w:space="0" w:color="auto"/>
              <w:bottom w:val="single" w:sz="8" w:space="0" w:color="000000"/>
              <w:right w:val="single" w:sz="8" w:space="0" w:color="auto"/>
            </w:tcBorders>
            <w:vAlign w:val="center"/>
            <w:hideMark/>
          </w:tcPr>
          <w:p w:rsidR="009B4430" w:rsidRPr="009B4430" w:rsidRDefault="009B4430" w:rsidP="004C6F2C">
            <w:pPr>
              <w:spacing w:after="0" w:line="240" w:lineRule="auto"/>
              <w:rPr>
                <w:rFonts w:ascii="Times New Roman" w:eastAsia="Times New Roman" w:hAnsi="Times New Roman" w:cs="Times New Roman"/>
                <w:b/>
                <w:bCs/>
                <w:sz w:val="16"/>
                <w:szCs w:val="16"/>
                <w:lang w:eastAsia="es-GT"/>
              </w:rPr>
            </w:pPr>
          </w:p>
        </w:tc>
        <w:tc>
          <w:tcPr>
            <w:tcW w:w="709" w:type="dxa"/>
            <w:vMerge/>
            <w:tcBorders>
              <w:top w:val="nil"/>
              <w:left w:val="nil"/>
              <w:bottom w:val="single" w:sz="8" w:space="0" w:color="000000"/>
              <w:right w:val="single" w:sz="4" w:space="0" w:color="auto"/>
            </w:tcBorders>
            <w:vAlign w:val="center"/>
            <w:hideMark/>
          </w:tcPr>
          <w:p w:rsidR="009B4430" w:rsidRPr="009B4430" w:rsidRDefault="009B4430" w:rsidP="004C6F2C">
            <w:pPr>
              <w:spacing w:after="0" w:line="240" w:lineRule="auto"/>
              <w:rPr>
                <w:rFonts w:ascii="Times New Roman" w:eastAsia="Times New Roman" w:hAnsi="Times New Roman" w:cs="Times New Roman"/>
                <w:b/>
                <w:bCs/>
                <w:sz w:val="16"/>
                <w:szCs w:val="16"/>
                <w:lang w:eastAsia="es-GT"/>
              </w:rPr>
            </w:pPr>
          </w:p>
        </w:tc>
        <w:tc>
          <w:tcPr>
            <w:tcW w:w="708" w:type="dxa"/>
            <w:vMerge/>
            <w:tcBorders>
              <w:top w:val="nil"/>
              <w:left w:val="nil"/>
              <w:bottom w:val="single" w:sz="8" w:space="0" w:color="000000"/>
              <w:right w:val="single" w:sz="8" w:space="0" w:color="auto"/>
            </w:tcBorders>
            <w:vAlign w:val="center"/>
            <w:hideMark/>
          </w:tcPr>
          <w:p w:rsidR="009B4430" w:rsidRPr="009B4430" w:rsidRDefault="009B4430" w:rsidP="004C6F2C">
            <w:pPr>
              <w:spacing w:after="0" w:line="240" w:lineRule="auto"/>
              <w:rPr>
                <w:rFonts w:ascii="Times New Roman" w:eastAsia="Times New Roman" w:hAnsi="Times New Roman" w:cs="Times New Roman"/>
                <w:b/>
                <w:bCs/>
                <w:sz w:val="16"/>
                <w:szCs w:val="16"/>
                <w:lang w:eastAsia="es-GT"/>
              </w:rPr>
            </w:pPr>
          </w:p>
        </w:tc>
        <w:tc>
          <w:tcPr>
            <w:tcW w:w="851" w:type="dxa"/>
            <w:tcBorders>
              <w:top w:val="nil"/>
              <w:left w:val="nil"/>
              <w:bottom w:val="single" w:sz="8" w:space="0" w:color="auto"/>
              <w:right w:val="single" w:sz="4" w:space="0" w:color="auto"/>
            </w:tcBorders>
            <w:shd w:val="clear" w:color="000000" w:fill="808080"/>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21-20</w:t>
            </w:r>
          </w:p>
        </w:tc>
        <w:tc>
          <w:tcPr>
            <w:tcW w:w="709" w:type="dxa"/>
            <w:tcBorders>
              <w:top w:val="nil"/>
              <w:left w:val="nil"/>
              <w:bottom w:val="single" w:sz="8" w:space="0" w:color="auto"/>
              <w:right w:val="single" w:sz="8" w:space="0" w:color="auto"/>
            </w:tcBorders>
            <w:shd w:val="clear" w:color="000000" w:fill="808080"/>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21-20</w:t>
            </w:r>
          </w:p>
        </w:tc>
      </w:tr>
      <w:tr w:rsidR="009B4430" w:rsidRPr="009B4430" w:rsidTr="00BA6982">
        <w:trPr>
          <w:trHeight w:val="315"/>
        </w:trPr>
        <w:tc>
          <w:tcPr>
            <w:tcW w:w="1408" w:type="dxa"/>
            <w:tcBorders>
              <w:top w:val="nil"/>
              <w:left w:val="single" w:sz="8" w:space="0" w:color="auto"/>
              <w:bottom w:val="nil"/>
              <w:right w:val="single" w:sz="8" w:space="0" w:color="auto"/>
            </w:tcBorders>
            <w:shd w:val="clear" w:color="auto" w:fill="auto"/>
            <w:noWrap/>
            <w:vAlign w:val="center"/>
            <w:hideMark/>
          </w:tcPr>
          <w:p w:rsidR="009B4430" w:rsidRPr="009B4430" w:rsidRDefault="009B4430" w:rsidP="004C6F2C">
            <w:pPr>
              <w:spacing w:after="0" w:line="240" w:lineRule="auto"/>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Salud y Asistencia Social</w:t>
            </w:r>
          </w:p>
        </w:tc>
        <w:tc>
          <w:tcPr>
            <w:tcW w:w="709" w:type="dxa"/>
            <w:tcBorders>
              <w:top w:val="nil"/>
              <w:left w:val="nil"/>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9,469.7</w:t>
            </w:r>
          </w:p>
        </w:tc>
        <w:tc>
          <w:tcPr>
            <w:tcW w:w="708"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12,266.2</w:t>
            </w:r>
          </w:p>
        </w:tc>
        <w:tc>
          <w:tcPr>
            <w:tcW w:w="851" w:type="dxa"/>
            <w:tcBorders>
              <w:top w:val="nil"/>
              <w:left w:val="single" w:sz="8" w:space="0" w:color="auto"/>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2,796.6</w:t>
            </w:r>
          </w:p>
        </w:tc>
        <w:tc>
          <w:tcPr>
            <w:tcW w:w="709"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29.5%</w:t>
            </w:r>
          </w:p>
        </w:tc>
      </w:tr>
      <w:tr w:rsidR="009B4430" w:rsidRPr="009B4430" w:rsidTr="00BA6982">
        <w:trPr>
          <w:trHeight w:val="315"/>
        </w:trPr>
        <w:tc>
          <w:tcPr>
            <w:tcW w:w="1408" w:type="dxa"/>
            <w:tcBorders>
              <w:top w:val="nil"/>
              <w:left w:val="single" w:sz="8" w:space="0" w:color="auto"/>
              <w:bottom w:val="nil"/>
              <w:right w:val="single" w:sz="8" w:space="0" w:color="auto"/>
            </w:tcBorders>
            <w:shd w:val="clear" w:color="auto" w:fill="auto"/>
            <w:noWrap/>
            <w:vAlign w:val="center"/>
            <w:hideMark/>
          </w:tcPr>
          <w:p w:rsidR="009B4430" w:rsidRPr="009B4430" w:rsidRDefault="009B4430" w:rsidP="004C6F2C">
            <w:pPr>
              <w:spacing w:after="0" w:line="240" w:lineRule="auto"/>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Educación, Ciencia y Cultura</w:t>
            </w:r>
          </w:p>
        </w:tc>
        <w:tc>
          <w:tcPr>
            <w:tcW w:w="709" w:type="dxa"/>
            <w:tcBorders>
              <w:top w:val="nil"/>
              <w:left w:val="nil"/>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18,417.1</w:t>
            </w:r>
          </w:p>
        </w:tc>
        <w:tc>
          <w:tcPr>
            <w:tcW w:w="708"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19,085.2</w:t>
            </w:r>
          </w:p>
        </w:tc>
        <w:tc>
          <w:tcPr>
            <w:tcW w:w="851" w:type="dxa"/>
            <w:tcBorders>
              <w:top w:val="nil"/>
              <w:left w:val="single" w:sz="8" w:space="0" w:color="auto"/>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668.1</w:t>
            </w:r>
          </w:p>
        </w:tc>
        <w:tc>
          <w:tcPr>
            <w:tcW w:w="709"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3.6%</w:t>
            </w:r>
          </w:p>
        </w:tc>
      </w:tr>
      <w:tr w:rsidR="009B4430" w:rsidRPr="009B4430" w:rsidTr="00BA6982">
        <w:trPr>
          <w:trHeight w:val="330"/>
        </w:trPr>
        <w:tc>
          <w:tcPr>
            <w:tcW w:w="1408" w:type="dxa"/>
            <w:tcBorders>
              <w:top w:val="nil"/>
              <w:left w:val="single" w:sz="8" w:space="0" w:color="auto"/>
              <w:bottom w:val="nil"/>
              <w:right w:val="single" w:sz="8" w:space="0" w:color="auto"/>
            </w:tcBorders>
            <w:shd w:val="clear" w:color="auto" w:fill="auto"/>
            <w:noWrap/>
            <w:vAlign w:val="center"/>
            <w:hideMark/>
          </w:tcPr>
          <w:p w:rsidR="009B4430" w:rsidRPr="009B4430" w:rsidRDefault="009B4430" w:rsidP="004C6F2C">
            <w:pPr>
              <w:spacing w:after="0" w:line="240" w:lineRule="auto"/>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Vivienda</w:t>
            </w:r>
          </w:p>
        </w:tc>
        <w:tc>
          <w:tcPr>
            <w:tcW w:w="709" w:type="dxa"/>
            <w:tcBorders>
              <w:top w:val="nil"/>
              <w:left w:val="nil"/>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302.5</w:t>
            </w:r>
          </w:p>
        </w:tc>
        <w:tc>
          <w:tcPr>
            <w:tcW w:w="708"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312.1</w:t>
            </w:r>
          </w:p>
        </w:tc>
        <w:tc>
          <w:tcPr>
            <w:tcW w:w="851" w:type="dxa"/>
            <w:tcBorders>
              <w:top w:val="nil"/>
              <w:left w:val="single" w:sz="8" w:space="0" w:color="auto"/>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9.6</w:t>
            </w:r>
          </w:p>
        </w:tc>
        <w:tc>
          <w:tcPr>
            <w:tcW w:w="709"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3.2%</w:t>
            </w:r>
          </w:p>
        </w:tc>
      </w:tr>
      <w:tr w:rsidR="009B4430" w:rsidRPr="009B4430" w:rsidTr="00BA6982">
        <w:trPr>
          <w:trHeight w:val="315"/>
        </w:trPr>
        <w:tc>
          <w:tcPr>
            <w:tcW w:w="140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9B4430" w:rsidRPr="009B4430" w:rsidRDefault="009B4430" w:rsidP="004C6F2C">
            <w:pPr>
              <w:spacing w:after="0" w:line="240" w:lineRule="auto"/>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Sub - Total</w:t>
            </w:r>
          </w:p>
        </w:tc>
        <w:tc>
          <w:tcPr>
            <w:tcW w:w="709" w:type="dxa"/>
            <w:tcBorders>
              <w:top w:val="single" w:sz="8" w:space="0" w:color="auto"/>
              <w:left w:val="nil"/>
              <w:bottom w:val="single" w:sz="8" w:space="0" w:color="auto"/>
              <w:right w:val="single" w:sz="4" w:space="0" w:color="auto"/>
            </w:tcBorders>
            <w:shd w:val="clear" w:color="000000" w:fill="D9D9D9"/>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28,189.3</w:t>
            </w:r>
          </w:p>
        </w:tc>
        <w:tc>
          <w:tcPr>
            <w:tcW w:w="708" w:type="dxa"/>
            <w:tcBorders>
              <w:top w:val="single" w:sz="8" w:space="0" w:color="auto"/>
              <w:left w:val="nil"/>
              <w:bottom w:val="single" w:sz="8" w:space="0" w:color="auto"/>
              <w:right w:val="single" w:sz="8" w:space="0" w:color="auto"/>
            </w:tcBorders>
            <w:shd w:val="clear" w:color="000000" w:fill="D9D9D9"/>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31,663.6</w:t>
            </w:r>
          </w:p>
        </w:tc>
        <w:tc>
          <w:tcPr>
            <w:tcW w:w="851" w:type="dxa"/>
            <w:tcBorders>
              <w:top w:val="single" w:sz="8" w:space="0" w:color="auto"/>
              <w:left w:val="nil"/>
              <w:bottom w:val="single" w:sz="8" w:space="0" w:color="auto"/>
              <w:right w:val="single" w:sz="4" w:space="0" w:color="auto"/>
            </w:tcBorders>
            <w:shd w:val="clear" w:color="000000" w:fill="D9D9D9"/>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3,474.3</w:t>
            </w:r>
          </w:p>
        </w:tc>
        <w:tc>
          <w:tcPr>
            <w:tcW w:w="709" w:type="dxa"/>
            <w:tcBorders>
              <w:top w:val="single" w:sz="8" w:space="0" w:color="auto"/>
              <w:left w:val="nil"/>
              <w:bottom w:val="single" w:sz="8" w:space="0" w:color="auto"/>
              <w:right w:val="single" w:sz="8" w:space="0" w:color="auto"/>
            </w:tcBorders>
            <w:shd w:val="clear" w:color="000000" w:fill="D9D9D9"/>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12.3%</w:t>
            </w:r>
          </w:p>
        </w:tc>
      </w:tr>
      <w:tr w:rsidR="009B4430" w:rsidRPr="009B4430" w:rsidTr="00BA6982">
        <w:trPr>
          <w:trHeight w:val="315"/>
        </w:trPr>
        <w:tc>
          <w:tcPr>
            <w:tcW w:w="1408" w:type="dxa"/>
            <w:tcBorders>
              <w:top w:val="nil"/>
              <w:left w:val="single" w:sz="8" w:space="0" w:color="auto"/>
              <w:bottom w:val="nil"/>
              <w:right w:val="single" w:sz="8" w:space="0" w:color="auto"/>
            </w:tcBorders>
            <w:shd w:val="clear" w:color="auto" w:fill="auto"/>
            <w:noWrap/>
            <w:vAlign w:val="center"/>
            <w:hideMark/>
          </w:tcPr>
          <w:p w:rsidR="009B4430" w:rsidRPr="009B4430" w:rsidRDefault="009B4430" w:rsidP="004C6F2C">
            <w:pPr>
              <w:spacing w:after="0" w:line="240" w:lineRule="auto"/>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Seguridad Interna</w:t>
            </w:r>
          </w:p>
        </w:tc>
        <w:tc>
          <w:tcPr>
            <w:tcW w:w="709" w:type="dxa"/>
            <w:tcBorders>
              <w:top w:val="nil"/>
              <w:left w:val="nil"/>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4,661.7</w:t>
            </w:r>
          </w:p>
        </w:tc>
        <w:tc>
          <w:tcPr>
            <w:tcW w:w="708"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4,981.3</w:t>
            </w:r>
          </w:p>
        </w:tc>
        <w:tc>
          <w:tcPr>
            <w:tcW w:w="851" w:type="dxa"/>
            <w:tcBorders>
              <w:top w:val="nil"/>
              <w:left w:val="single" w:sz="8" w:space="0" w:color="auto"/>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319.6</w:t>
            </w:r>
          </w:p>
        </w:tc>
        <w:tc>
          <w:tcPr>
            <w:tcW w:w="709"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6.9%</w:t>
            </w:r>
          </w:p>
        </w:tc>
      </w:tr>
      <w:tr w:rsidR="009B4430" w:rsidRPr="009B4430" w:rsidTr="00BA6982">
        <w:trPr>
          <w:trHeight w:val="315"/>
        </w:trPr>
        <w:tc>
          <w:tcPr>
            <w:tcW w:w="1408" w:type="dxa"/>
            <w:tcBorders>
              <w:top w:val="nil"/>
              <w:left w:val="single" w:sz="8" w:space="0" w:color="auto"/>
              <w:bottom w:val="nil"/>
              <w:right w:val="single" w:sz="8" w:space="0" w:color="auto"/>
            </w:tcBorders>
            <w:shd w:val="clear" w:color="auto" w:fill="auto"/>
            <w:noWrap/>
            <w:vAlign w:val="center"/>
            <w:hideMark/>
          </w:tcPr>
          <w:p w:rsidR="009B4430" w:rsidRPr="009B4430" w:rsidRDefault="009B4430" w:rsidP="004C6F2C">
            <w:pPr>
              <w:spacing w:after="0" w:line="240" w:lineRule="auto"/>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Organismo Judicial y CC</w:t>
            </w:r>
          </w:p>
        </w:tc>
        <w:tc>
          <w:tcPr>
            <w:tcW w:w="709" w:type="dxa"/>
            <w:tcBorders>
              <w:top w:val="nil"/>
              <w:left w:val="nil"/>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2,151.9</w:t>
            </w:r>
          </w:p>
        </w:tc>
        <w:tc>
          <w:tcPr>
            <w:tcW w:w="708"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2,316.1</w:t>
            </w:r>
          </w:p>
        </w:tc>
        <w:tc>
          <w:tcPr>
            <w:tcW w:w="851" w:type="dxa"/>
            <w:tcBorders>
              <w:top w:val="nil"/>
              <w:left w:val="single" w:sz="8" w:space="0" w:color="auto"/>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164.1</w:t>
            </w:r>
          </w:p>
        </w:tc>
        <w:tc>
          <w:tcPr>
            <w:tcW w:w="709"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7.6%</w:t>
            </w:r>
          </w:p>
        </w:tc>
      </w:tr>
      <w:tr w:rsidR="009B4430" w:rsidRPr="009B4430" w:rsidTr="00BA6982">
        <w:trPr>
          <w:trHeight w:val="330"/>
        </w:trPr>
        <w:tc>
          <w:tcPr>
            <w:tcW w:w="1408" w:type="dxa"/>
            <w:tcBorders>
              <w:top w:val="nil"/>
              <w:left w:val="single" w:sz="8" w:space="0" w:color="auto"/>
              <w:bottom w:val="nil"/>
              <w:right w:val="single" w:sz="8" w:space="0" w:color="auto"/>
            </w:tcBorders>
            <w:shd w:val="clear" w:color="auto" w:fill="auto"/>
            <w:noWrap/>
            <w:vAlign w:val="center"/>
            <w:hideMark/>
          </w:tcPr>
          <w:p w:rsidR="009B4430" w:rsidRPr="009B4430" w:rsidRDefault="009B4430" w:rsidP="004C6F2C">
            <w:pPr>
              <w:spacing w:after="0" w:line="240" w:lineRule="auto"/>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Ministerio Público</w:t>
            </w:r>
          </w:p>
        </w:tc>
        <w:tc>
          <w:tcPr>
            <w:tcW w:w="709" w:type="dxa"/>
            <w:tcBorders>
              <w:top w:val="nil"/>
              <w:left w:val="nil"/>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1,399.5</w:t>
            </w:r>
          </w:p>
        </w:tc>
        <w:tc>
          <w:tcPr>
            <w:tcW w:w="708"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1,570.5</w:t>
            </w:r>
          </w:p>
        </w:tc>
        <w:tc>
          <w:tcPr>
            <w:tcW w:w="851" w:type="dxa"/>
            <w:tcBorders>
              <w:top w:val="nil"/>
              <w:left w:val="single" w:sz="8" w:space="0" w:color="auto"/>
              <w:bottom w:val="nil"/>
              <w:right w:val="single" w:sz="4"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171.0</w:t>
            </w:r>
          </w:p>
        </w:tc>
        <w:tc>
          <w:tcPr>
            <w:tcW w:w="709" w:type="dxa"/>
            <w:tcBorders>
              <w:top w:val="nil"/>
              <w:left w:val="nil"/>
              <w:bottom w:val="nil"/>
              <w:right w:val="single" w:sz="8" w:space="0" w:color="auto"/>
            </w:tcBorders>
            <w:shd w:val="clear" w:color="auto" w:fill="auto"/>
            <w:noWrap/>
            <w:vAlign w:val="center"/>
            <w:hideMark/>
          </w:tcPr>
          <w:p w:rsidR="009B4430" w:rsidRPr="009B4430" w:rsidRDefault="009B4430" w:rsidP="004C6F2C">
            <w:pPr>
              <w:spacing w:after="0" w:line="240" w:lineRule="auto"/>
              <w:jc w:val="center"/>
              <w:rPr>
                <w:rFonts w:ascii="Times New Roman" w:eastAsia="Times New Roman" w:hAnsi="Times New Roman" w:cs="Times New Roman"/>
                <w:sz w:val="16"/>
                <w:szCs w:val="16"/>
                <w:lang w:eastAsia="es-GT"/>
              </w:rPr>
            </w:pPr>
            <w:r w:rsidRPr="009B4430">
              <w:rPr>
                <w:rFonts w:ascii="Times New Roman" w:eastAsia="Times New Roman" w:hAnsi="Times New Roman" w:cs="Times New Roman"/>
                <w:sz w:val="16"/>
                <w:szCs w:val="16"/>
                <w:lang w:eastAsia="es-GT"/>
              </w:rPr>
              <w:t>12.2%</w:t>
            </w:r>
          </w:p>
        </w:tc>
      </w:tr>
      <w:tr w:rsidR="009B4430" w:rsidRPr="009B4430" w:rsidTr="00BA6982">
        <w:trPr>
          <w:trHeight w:val="315"/>
        </w:trPr>
        <w:tc>
          <w:tcPr>
            <w:tcW w:w="140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9B4430" w:rsidRPr="009B4430" w:rsidRDefault="009B4430" w:rsidP="004C6F2C">
            <w:pPr>
              <w:spacing w:after="0" w:line="240" w:lineRule="auto"/>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Total con Acuerdos de Paz</w:t>
            </w:r>
          </w:p>
        </w:tc>
        <w:tc>
          <w:tcPr>
            <w:tcW w:w="709" w:type="dxa"/>
            <w:tcBorders>
              <w:top w:val="single" w:sz="8" w:space="0" w:color="auto"/>
              <w:left w:val="nil"/>
              <w:bottom w:val="single" w:sz="8" w:space="0" w:color="auto"/>
              <w:right w:val="single" w:sz="4" w:space="0" w:color="auto"/>
            </w:tcBorders>
            <w:shd w:val="clear" w:color="000000" w:fill="D9D9D9"/>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36,402.3</w:t>
            </w:r>
          </w:p>
        </w:tc>
        <w:tc>
          <w:tcPr>
            <w:tcW w:w="708" w:type="dxa"/>
            <w:tcBorders>
              <w:top w:val="single" w:sz="8" w:space="0" w:color="auto"/>
              <w:left w:val="nil"/>
              <w:bottom w:val="single" w:sz="8" w:space="0" w:color="auto"/>
              <w:right w:val="single" w:sz="8" w:space="0" w:color="auto"/>
            </w:tcBorders>
            <w:shd w:val="clear" w:color="000000" w:fill="D9D9D9"/>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40,531.4</w:t>
            </w:r>
          </w:p>
        </w:tc>
        <w:tc>
          <w:tcPr>
            <w:tcW w:w="851" w:type="dxa"/>
            <w:tcBorders>
              <w:top w:val="single" w:sz="8" w:space="0" w:color="auto"/>
              <w:left w:val="nil"/>
              <w:bottom w:val="single" w:sz="8" w:space="0" w:color="auto"/>
              <w:right w:val="single" w:sz="4" w:space="0" w:color="auto"/>
            </w:tcBorders>
            <w:shd w:val="clear" w:color="000000" w:fill="D9D9D9"/>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4,129.1</w:t>
            </w:r>
          </w:p>
        </w:tc>
        <w:tc>
          <w:tcPr>
            <w:tcW w:w="709" w:type="dxa"/>
            <w:tcBorders>
              <w:top w:val="single" w:sz="8" w:space="0" w:color="auto"/>
              <w:left w:val="nil"/>
              <w:bottom w:val="single" w:sz="8" w:space="0" w:color="auto"/>
              <w:right w:val="single" w:sz="8" w:space="0" w:color="auto"/>
            </w:tcBorders>
            <w:shd w:val="clear" w:color="000000" w:fill="D9D9D9"/>
            <w:noWrap/>
            <w:vAlign w:val="center"/>
            <w:hideMark/>
          </w:tcPr>
          <w:p w:rsidR="009B4430" w:rsidRPr="009B4430" w:rsidRDefault="009B4430" w:rsidP="004C6F2C">
            <w:pPr>
              <w:spacing w:after="0" w:line="240" w:lineRule="auto"/>
              <w:jc w:val="center"/>
              <w:rPr>
                <w:rFonts w:ascii="Times New Roman" w:eastAsia="Times New Roman" w:hAnsi="Times New Roman" w:cs="Times New Roman"/>
                <w:b/>
                <w:bCs/>
                <w:sz w:val="16"/>
                <w:szCs w:val="16"/>
                <w:lang w:eastAsia="es-GT"/>
              </w:rPr>
            </w:pPr>
            <w:r w:rsidRPr="009B4430">
              <w:rPr>
                <w:rFonts w:ascii="Times New Roman" w:eastAsia="Times New Roman" w:hAnsi="Times New Roman" w:cs="Times New Roman"/>
                <w:b/>
                <w:bCs/>
                <w:sz w:val="16"/>
                <w:szCs w:val="16"/>
                <w:lang w:eastAsia="es-GT"/>
              </w:rPr>
              <w:t>11.3%</w:t>
            </w:r>
          </w:p>
        </w:tc>
      </w:tr>
    </w:tbl>
    <w:p w:rsidR="00646CCB" w:rsidRDefault="000F0085" w:rsidP="00862A4B">
      <w:pPr>
        <w:pStyle w:val="Sinespaciado"/>
        <w:spacing w:after="240"/>
        <w:rPr>
          <w:rFonts w:ascii="Times New Roman" w:hAnsi="Times New Roman" w:cs="Times New Roman"/>
          <w:sz w:val="16"/>
        </w:rPr>
      </w:pPr>
      <w:r w:rsidRPr="009B4430">
        <w:rPr>
          <w:rFonts w:ascii="Times New Roman" w:hAnsi="Times New Roman" w:cs="Times New Roman"/>
          <w:sz w:val="16"/>
        </w:rPr>
        <w:t>Fuente: Dirección de Análisis y Política Fiscal</w:t>
      </w:r>
    </w:p>
    <w:p w:rsidR="00646CCB" w:rsidRDefault="00646CCB" w:rsidP="00862A4B">
      <w:pPr>
        <w:pStyle w:val="Sinespaciado"/>
        <w:spacing w:after="240"/>
        <w:rPr>
          <w:rFonts w:ascii="Times New Roman" w:hAnsi="Times New Roman" w:cs="Times New Roman"/>
          <w:sz w:val="16"/>
        </w:rPr>
      </w:pPr>
    </w:p>
    <w:p w:rsidR="00646CCB" w:rsidRPr="00646CCB" w:rsidRDefault="00646CCB" w:rsidP="00862A4B">
      <w:pPr>
        <w:pStyle w:val="Sinespaciado"/>
        <w:spacing w:after="240"/>
        <w:rPr>
          <w:rFonts w:ascii="Times New Roman" w:hAnsi="Times New Roman" w:cs="Times New Roman"/>
          <w:sz w:val="16"/>
        </w:rPr>
      </w:pPr>
    </w:p>
    <w:p w:rsidR="00107D10" w:rsidRPr="00630E12" w:rsidRDefault="00107D10" w:rsidP="00BA782D">
      <w:pPr>
        <w:pStyle w:val="Sinespaciado"/>
        <w:jc w:val="both"/>
        <w:rPr>
          <w:rFonts w:ascii="Times New Roman" w:hAnsi="Times New Roman" w:cs="Times New Roman"/>
          <w:color w:val="FF0000"/>
          <w:sz w:val="8"/>
        </w:rPr>
        <w:sectPr w:rsidR="00107D10" w:rsidRPr="00630E12" w:rsidSect="00474998">
          <w:headerReference w:type="default" r:id="rId29"/>
          <w:footerReference w:type="default" r:id="rId30"/>
          <w:type w:val="continuous"/>
          <w:pgSz w:w="12240" w:h="15840" w:code="1"/>
          <w:pgMar w:top="1418" w:right="1608" w:bottom="1418" w:left="1701" w:header="709" w:footer="709" w:gutter="0"/>
          <w:cols w:num="2" w:space="708"/>
          <w:docGrid w:linePitch="360"/>
        </w:sectPr>
      </w:pPr>
    </w:p>
    <w:p w:rsidR="00BA782D" w:rsidRPr="00630E12" w:rsidRDefault="00BA782D" w:rsidP="00216605">
      <w:pPr>
        <w:pStyle w:val="Sinespaciado"/>
        <w:jc w:val="both"/>
        <w:rPr>
          <w:rFonts w:ascii="Times New Roman" w:hAnsi="Times New Roman" w:cs="Times New Roman"/>
          <w:color w:val="FF0000"/>
          <w:sz w:val="2"/>
          <w:lang w:val="es-MX"/>
        </w:rPr>
      </w:pPr>
    </w:p>
    <w:p w:rsidR="00642070" w:rsidRPr="009B4430" w:rsidRDefault="000F0085" w:rsidP="0064207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642070" w:rsidRPr="009B4430" w:rsidSect="00FA3B81">
          <w:type w:val="continuous"/>
          <w:pgSz w:w="12240" w:h="15840" w:code="1"/>
          <w:pgMar w:top="1418" w:right="1418" w:bottom="1418" w:left="1418" w:header="709" w:footer="709" w:gutter="0"/>
          <w:cols w:space="708"/>
          <w:docGrid w:linePitch="360"/>
        </w:sectPr>
      </w:pPr>
      <w:r w:rsidRPr="009B4430">
        <w:rPr>
          <w:rFonts w:ascii="Times New Roman" w:hAnsi="Times New Roman" w:cs="Times New Roman"/>
          <w:b/>
          <w:lang w:val="es-MX"/>
        </w:rPr>
        <w:t>Emisión de Bonos del Tesoro se encuentra próxima a concluir</w:t>
      </w:r>
      <w:r w:rsidR="00642070" w:rsidRPr="009B4430">
        <w:rPr>
          <w:rFonts w:ascii="Times New Roman" w:hAnsi="Times New Roman" w:cs="Times New Roman"/>
          <w:b/>
          <w:lang w:val="es-MX"/>
        </w:rPr>
        <w:t xml:space="preserve"> </w:t>
      </w:r>
    </w:p>
    <w:p w:rsidR="00216605" w:rsidRPr="00630E12" w:rsidRDefault="00216605" w:rsidP="00216605">
      <w:pPr>
        <w:pStyle w:val="Sinespaciado"/>
        <w:rPr>
          <w:rFonts w:ascii="Times New Roman" w:hAnsi="Times New Roman" w:cs="Times New Roman"/>
          <w:b/>
          <w:color w:val="FF0000"/>
          <w:sz w:val="18"/>
          <w:lang w:val="es-MX"/>
        </w:rPr>
      </w:pPr>
    </w:p>
    <w:p w:rsidR="00216605" w:rsidRPr="00630E12" w:rsidRDefault="00216605" w:rsidP="00216605">
      <w:pPr>
        <w:pStyle w:val="Sinespaciado"/>
        <w:rPr>
          <w:rFonts w:ascii="Times New Roman" w:hAnsi="Times New Roman" w:cs="Times New Roman"/>
          <w:b/>
          <w:color w:val="FF0000"/>
          <w:lang w:val="es-MX"/>
        </w:rPr>
        <w:sectPr w:rsidR="00216605" w:rsidRPr="00630E12" w:rsidSect="004E358C">
          <w:type w:val="continuous"/>
          <w:pgSz w:w="12240" w:h="15840"/>
          <w:pgMar w:top="1417" w:right="1701" w:bottom="1417" w:left="1701" w:header="708" w:footer="708" w:gutter="0"/>
          <w:cols w:space="708"/>
          <w:docGrid w:linePitch="360"/>
        </w:sectPr>
      </w:pPr>
    </w:p>
    <w:p w:rsidR="009B4430" w:rsidRDefault="009B4430" w:rsidP="009B4430">
      <w:pPr>
        <w:pStyle w:val="Sinespaciado"/>
        <w:ind w:right="95"/>
        <w:jc w:val="both"/>
        <w:rPr>
          <w:rFonts w:ascii="Times New Roman" w:hAnsi="Times New Roman" w:cs="Times New Roman"/>
        </w:rPr>
      </w:pPr>
      <w:r w:rsidRPr="00A36C8F">
        <w:rPr>
          <w:rFonts w:ascii="Times New Roman" w:hAnsi="Times New Roman" w:cs="Times New Roman"/>
        </w:rPr>
        <w:lastRenderedPageBreak/>
        <w:t xml:space="preserve">Respecto al financiamiento del gasto público, los desembolsos de préstamos </w:t>
      </w:r>
      <w:r>
        <w:rPr>
          <w:rFonts w:ascii="Times New Roman" w:hAnsi="Times New Roman" w:cs="Times New Roman"/>
        </w:rPr>
        <w:t xml:space="preserve">se mantienen en </w:t>
      </w:r>
      <w:r w:rsidRPr="00A36C8F">
        <w:rPr>
          <w:rFonts w:ascii="Times New Roman" w:hAnsi="Times New Roman" w:cs="Times New Roman"/>
        </w:rPr>
        <w:t>un</w:t>
      </w:r>
      <w:r>
        <w:rPr>
          <w:rFonts w:ascii="Times New Roman" w:hAnsi="Times New Roman" w:cs="Times New Roman"/>
        </w:rPr>
        <w:t xml:space="preserve"> nivel bajo con un</w:t>
      </w:r>
      <w:r w:rsidRPr="00A36C8F">
        <w:rPr>
          <w:rFonts w:ascii="Times New Roman" w:hAnsi="Times New Roman" w:cs="Times New Roman"/>
        </w:rPr>
        <w:t xml:space="preserve"> </w:t>
      </w:r>
      <w:r>
        <w:rPr>
          <w:rFonts w:ascii="Times New Roman" w:hAnsi="Times New Roman" w:cs="Times New Roman"/>
        </w:rPr>
        <w:t>monto de Q392</w:t>
      </w:r>
      <w:r w:rsidRPr="00A36C8F">
        <w:rPr>
          <w:rFonts w:ascii="Times New Roman" w:hAnsi="Times New Roman" w:cs="Times New Roman"/>
        </w:rPr>
        <w:t>.</w:t>
      </w:r>
      <w:r>
        <w:rPr>
          <w:rFonts w:ascii="Times New Roman" w:hAnsi="Times New Roman" w:cs="Times New Roman"/>
        </w:rPr>
        <w:t>5</w:t>
      </w:r>
      <w:r w:rsidRPr="00A36C8F">
        <w:rPr>
          <w:rFonts w:ascii="Times New Roman" w:hAnsi="Times New Roman" w:cs="Times New Roman"/>
        </w:rPr>
        <w:t xml:space="preserve"> millones</w:t>
      </w:r>
      <w:r>
        <w:rPr>
          <w:rFonts w:ascii="Times New Roman" w:hAnsi="Times New Roman" w:cs="Times New Roman"/>
        </w:rPr>
        <w:t xml:space="preserve">. </w:t>
      </w:r>
      <w:r w:rsidRPr="00A36C8F">
        <w:rPr>
          <w:rFonts w:ascii="Times New Roman" w:hAnsi="Times New Roman" w:cs="Times New Roman"/>
        </w:rPr>
        <w:t xml:space="preserve"> </w:t>
      </w:r>
      <w:r>
        <w:rPr>
          <w:rFonts w:ascii="Times New Roman" w:hAnsi="Times New Roman" w:cs="Times New Roman"/>
        </w:rPr>
        <w:t xml:space="preserve">Por su parte, </w:t>
      </w:r>
      <w:r w:rsidRPr="00A36C8F">
        <w:rPr>
          <w:rFonts w:ascii="Times New Roman" w:hAnsi="Times New Roman" w:cs="Times New Roman"/>
        </w:rPr>
        <w:t>las amortizaciones alcanzaron los Q</w:t>
      </w:r>
      <w:r>
        <w:rPr>
          <w:rFonts w:ascii="Times New Roman" w:hAnsi="Times New Roman" w:cs="Times New Roman"/>
        </w:rPr>
        <w:t>2</w:t>
      </w:r>
      <w:r w:rsidRPr="00A36C8F">
        <w:rPr>
          <w:rFonts w:ascii="Times New Roman" w:hAnsi="Times New Roman" w:cs="Times New Roman"/>
        </w:rPr>
        <w:t>,</w:t>
      </w:r>
      <w:r>
        <w:rPr>
          <w:rFonts w:ascii="Times New Roman" w:hAnsi="Times New Roman" w:cs="Times New Roman"/>
        </w:rPr>
        <w:t>886.5</w:t>
      </w:r>
      <w:r w:rsidRPr="00A36C8F">
        <w:rPr>
          <w:rFonts w:ascii="Times New Roman" w:hAnsi="Times New Roman" w:cs="Times New Roman"/>
        </w:rPr>
        <w:t xml:space="preserve"> millones</w:t>
      </w:r>
      <w:r>
        <w:rPr>
          <w:rFonts w:ascii="Times New Roman" w:hAnsi="Times New Roman" w:cs="Times New Roman"/>
        </w:rPr>
        <w:t xml:space="preserve">, pero en octubre se realizó la liquidación del eurobono por US$1,000 millones, equivalente a Q7,732.2 millones, lo cual genera un </w:t>
      </w:r>
      <w:r w:rsidRPr="00A36C8F">
        <w:rPr>
          <w:rFonts w:ascii="Times New Roman" w:hAnsi="Times New Roman" w:cs="Times New Roman"/>
        </w:rPr>
        <w:t>fina</w:t>
      </w:r>
      <w:r>
        <w:rPr>
          <w:rFonts w:ascii="Times New Roman" w:hAnsi="Times New Roman" w:cs="Times New Roman"/>
        </w:rPr>
        <w:t>nciamiento externo neto positivo de</w:t>
      </w:r>
      <w:r w:rsidRPr="00A36C8F">
        <w:rPr>
          <w:rFonts w:ascii="Times New Roman" w:hAnsi="Times New Roman" w:cs="Times New Roman"/>
        </w:rPr>
        <w:t xml:space="preserve"> Q</w:t>
      </w:r>
      <w:r>
        <w:rPr>
          <w:rFonts w:ascii="Times New Roman" w:hAnsi="Times New Roman" w:cs="Times New Roman"/>
        </w:rPr>
        <w:t>5,238.1</w:t>
      </w:r>
      <w:r w:rsidRPr="00A36C8F">
        <w:rPr>
          <w:rFonts w:ascii="Times New Roman" w:hAnsi="Times New Roman" w:cs="Times New Roman"/>
        </w:rPr>
        <w:t xml:space="preserve"> millones.</w:t>
      </w:r>
      <w:r>
        <w:rPr>
          <w:rFonts w:ascii="Times New Roman" w:hAnsi="Times New Roman" w:cs="Times New Roman"/>
        </w:rPr>
        <w:t xml:space="preserve"> </w:t>
      </w:r>
    </w:p>
    <w:p w:rsidR="009B4430" w:rsidRDefault="009B4430" w:rsidP="009B4430">
      <w:pPr>
        <w:spacing w:after="0" w:line="240" w:lineRule="auto"/>
        <w:ind w:right="237"/>
        <w:jc w:val="center"/>
        <w:rPr>
          <w:rFonts w:ascii="Times New Roman" w:hAnsi="Times New Roman" w:cs="Times New Roman"/>
          <w:b/>
        </w:rPr>
      </w:pPr>
    </w:p>
    <w:p w:rsidR="0013163B" w:rsidRPr="00646CCB" w:rsidRDefault="009B4430" w:rsidP="000F0085">
      <w:pPr>
        <w:pStyle w:val="Sinespaciado"/>
        <w:ind w:right="237"/>
        <w:jc w:val="both"/>
        <w:rPr>
          <w:rFonts w:ascii="Times New Roman" w:hAnsi="Times New Roman" w:cs="Times New Roman"/>
          <w:color w:val="FF0000"/>
        </w:rPr>
      </w:pPr>
      <w:r w:rsidRPr="00A36C8F">
        <w:rPr>
          <w:rFonts w:ascii="Times New Roman" w:hAnsi="Times New Roman" w:cs="Times New Roman"/>
        </w:rPr>
        <w:t>En cuanto al financiamiento interno, s</w:t>
      </w:r>
      <w:r>
        <w:rPr>
          <w:rFonts w:ascii="Times New Roman" w:hAnsi="Times New Roman" w:cs="Times New Roman"/>
        </w:rPr>
        <w:t>e han colocado hasta la fecha Q16,653.0</w:t>
      </w:r>
      <w:r w:rsidRPr="00A36C8F">
        <w:rPr>
          <w:rFonts w:ascii="Times New Roman" w:hAnsi="Times New Roman" w:cs="Times New Roman"/>
        </w:rPr>
        <w:t xml:space="preserve"> </w:t>
      </w:r>
      <w:r>
        <w:rPr>
          <w:rFonts w:ascii="Times New Roman" w:hAnsi="Times New Roman" w:cs="Times New Roman"/>
        </w:rPr>
        <w:t>millones, quedando pendientes de colocar el 0.4</w:t>
      </w:r>
      <w:r w:rsidRPr="00A36C8F">
        <w:rPr>
          <w:rFonts w:ascii="Times New Roman" w:hAnsi="Times New Roman" w:cs="Times New Roman"/>
        </w:rPr>
        <w:t>%</w:t>
      </w:r>
      <w:r>
        <w:rPr>
          <w:rFonts w:ascii="Times New Roman" w:hAnsi="Times New Roman" w:cs="Times New Roman"/>
        </w:rPr>
        <w:t xml:space="preserve"> (Q93.3 millones)</w:t>
      </w:r>
      <w:r w:rsidRPr="00A36C8F">
        <w:rPr>
          <w:rFonts w:ascii="Times New Roman" w:hAnsi="Times New Roman" w:cs="Times New Roman"/>
        </w:rPr>
        <w:t xml:space="preserve"> del total autorizado en el Decreto 25-2018</w:t>
      </w:r>
      <w:r>
        <w:rPr>
          <w:rFonts w:ascii="Times New Roman" w:hAnsi="Times New Roman" w:cs="Times New Roman"/>
        </w:rPr>
        <w:t>.</w:t>
      </w:r>
      <w:r w:rsidR="000F0085" w:rsidRPr="00630E12">
        <w:rPr>
          <w:rFonts w:ascii="Times New Roman" w:hAnsi="Times New Roman" w:cs="Times New Roman"/>
          <w:color w:val="FF0000"/>
        </w:rPr>
        <w:t xml:space="preserve"> </w:t>
      </w:r>
    </w:p>
    <w:p w:rsidR="00BA6982" w:rsidRPr="00BA6982" w:rsidRDefault="00BA6982" w:rsidP="000F0085">
      <w:pPr>
        <w:spacing w:after="0" w:line="240" w:lineRule="auto"/>
        <w:ind w:right="237"/>
        <w:jc w:val="center"/>
        <w:rPr>
          <w:rFonts w:ascii="Times New Roman" w:hAnsi="Times New Roman" w:cs="Times New Roman"/>
          <w:b/>
          <w:sz w:val="10"/>
        </w:rPr>
      </w:pPr>
    </w:p>
    <w:p w:rsidR="000F0085" w:rsidRPr="009B4430" w:rsidRDefault="000F0085" w:rsidP="000F0085">
      <w:pPr>
        <w:spacing w:after="0" w:line="240" w:lineRule="auto"/>
        <w:ind w:right="237"/>
        <w:jc w:val="center"/>
        <w:rPr>
          <w:rFonts w:ascii="Times New Roman" w:hAnsi="Times New Roman" w:cs="Times New Roman"/>
          <w:b/>
        </w:rPr>
      </w:pPr>
      <w:r w:rsidRPr="009B4430">
        <w:rPr>
          <w:rFonts w:ascii="Times New Roman" w:hAnsi="Times New Roman" w:cs="Times New Roman"/>
          <w:b/>
        </w:rPr>
        <w:lastRenderedPageBreak/>
        <w:t>Colocación de Bonos del Tesoro</w:t>
      </w:r>
    </w:p>
    <w:p w:rsidR="000F0085" w:rsidRPr="009B4430" w:rsidRDefault="000F0085" w:rsidP="000F0085">
      <w:pPr>
        <w:pStyle w:val="Sinespaciado"/>
        <w:ind w:right="237"/>
        <w:jc w:val="center"/>
        <w:rPr>
          <w:rFonts w:ascii="Times New Roman" w:hAnsi="Times New Roman" w:cs="Times New Roman"/>
          <w:sz w:val="18"/>
        </w:rPr>
      </w:pPr>
      <w:r w:rsidRPr="009B4430">
        <w:rPr>
          <w:rFonts w:ascii="Times New Roman" w:hAnsi="Times New Roman" w:cs="Times New Roman"/>
          <w:sz w:val="18"/>
        </w:rPr>
        <w:t>A noviembre 2021</w:t>
      </w:r>
    </w:p>
    <w:p w:rsidR="009B4430" w:rsidRPr="009B4430" w:rsidRDefault="00646CCB" w:rsidP="00BA6982">
      <w:pPr>
        <w:pStyle w:val="Sinespaciado"/>
        <w:ind w:right="237"/>
        <w:jc w:val="center"/>
        <w:rPr>
          <w:rFonts w:ascii="Times New Roman" w:hAnsi="Times New Roman" w:cs="Times New Roman"/>
          <w:sz w:val="18"/>
        </w:rPr>
      </w:pPr>
      <w:r w:rsidRPr="009B4430">
        <w:rPr>
          <w:rFonts w:ascii="Times New Roman" w:hAnsi="Times New Roman" w:cs="Times New Roman"/>
          <w:noProof/>
          <w:sz w:val="18"/>
          <w:lang w:eastAsia="es-GT"/>
        </w:rPr>
        <w:drawing>
          <wp:anchor distT="0" distB="0" distL="114300" distR="114300" simplePos="0" relativeHeight="251936768" behindDoc="0" locked="0" layoutInCell="1" allowOverlap="1" wp14:anchorId="3D519000" wp14:editId="7D0E26C3">
            <wp:simplePos x="0" y="0"/>
            <wp:positionH relativeFrom="column">
              <wp:posOffset>-255905</wp:posOffset>
            </wp:positionH>
            <wp:positionV relativeFrom="paragraph">
              <wp:posOffset>191770</wp:posOffset>
            </wp:positionV>
            <wp:extent cx="3225165" cy="1870710"/>
            <wp:effectExtent l="0" t="0" r="0" b="0"/>
            <wp:wrapSquare wrapText="bothSides"/>
            <wp:docPr id="3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0F0085" w:rsidRPr="009B4430">
        <w:rPr>
          <w:rFonts w:ascii="Times New Roman" w:hAnsi="Times New Roman" w:cs="Times New Roman"/>
          <w:sz w:val="18"/>
        </w:rPr>
        <w:t>Millones de quetzales y porcentajes</w:t>
      </w:r>
    </w:p>
    <w:p w:rsidR="009B4430" w:rsidRPr="00CD1EDF" w:rsidRDefault="000F0085" w:rsidP="00CD1EDF">
      <w:pPr>
        <w:pStyle w:val="Sinespaciado"/>
        <w:spacing w:after="240"/>
        <w:ind w:right="237"/>
        <w:rPr>
          <w:rFonts w:ascii="Times New Roman" w:hAnsi="Times New Roman" w:cs="Times New Roman"/>
          <w:sz w:val="16"/>
        </w:rPr>
      </w:pPr>
      <w:r w:rsidRPr="009B4430">
        <w:rPr>
          <w:rFonts w:ascii="Times New Roman" w:hAnsi="Times New Roman" w:cs="Times New Roman"/>
          <w:sz w:val="16"/>
        </w:rPr>
        <w:t>Fuente: Dirección de Análisis y Política Fiscal</w:t>
      </w:r>
    </w:p>
    <w:p w:rsidR="000F0085" w:rsidRPr="00BA6982" w:rsidRDefault="000F0085" w:rsidP="000C65AB">
      <w:pPr>
        <w:pStyle w:val="Sinespaciado"/>
        <w:jc w:val="both"/>
        <w:rPr>
          <w:rFonts w:ascii="Times New Roman" w:hAnsi="Times New Roman" w:cs="Times New Roman"/>
          <w:color w:val="FF0000"/>
          <w:sz w:val="16"/>
        </w:rPr>
        <w:sectPr w:rsidR="000F0085" w:rsidRPr="00BA6982" w:rsidSect="00040C99">
          <w:headerReference w:type="default" r:id="rId32"/>
          <w:footerReference w:type="default" r:id="rId33"/>
          <w:type w:val="continuous"/>
          <w:pgSz w:w="12240" w:h="15840" w:code="1"/>
          <w:pgMar w:top="1418" w:right="1418" w:bottom="1418" w:left="1701" w:header="709" w:footer="709" w:gutter="0"/>
          <w:cols w:num="2" w:space="708"/>
          <w:docGrid w:linePitch="360"/>
        </w:sectPr>
      </w:pPr>
    </w:p>
    <w:p w:rsidR="00255F1F" w:rsidRDefault="00255F1F" w:rsidP="00A21CA3">
      <w:pPr>
        <w:pStyle w:val="Sinespaciado"/>
        <w:rPr>
          <w:rFonts w:ascii="Times New Roman" w:hAnsi="Times New Roman" w:cs="Times New Roman"/>
          <w:color w:val="FF0000"/>
          <w:sz w:val="8"/>
        </w:rPr>
      </w:pPr>
    </w:p>
    <w:p w:rsidR="00646CCB" w:rsidRDefault="00646CCB" w:rsidP="00A21CA3">
      <w:pPr>
        <w:pStyle w:val="Sinespaciado"/>
        <w:rPr>
          <w:rFonts w:ascii="Times New Roman" w:hAnsi="Times New Roman" w:cs="Times New Roman"/>
          <w:color w:val="FF0000"/>
          <w:sz w:val="8"/>
        </w:rPr>
      </w:pPr>
    </w:p>
    <w:p w:rsidR="00646CCB" w:rsidRDefault="00646CCB" w:rsidP="00A21CA3">
      <w:pPr>
        <w:pStyle w:val="Sinespaciado"/>
        <w:rPr>
          <w:rFonts w:ascii="Times New Roman" w:hAnsi="Times New Roman" w:cs="Times New Roman"/>
          <w:color w:val="FF0000"/>
          <w:sz w:val="8"/>
        </w:rPr>
      </w:pPr>
    </w:p>
    <w:p w:rsidR="00646CCB" w:rsidRPr="00BA6982" w:rsidRDefault="00646CCB" w:rsidP="00A21CA3">
      <w:pPr>
        <w:pStyle w:val="Sinespaciado"/>
        <w:rPr>
          <w:rFonts w:ascii="Times New Roman" w:hAnsi="Times New Roman" w:cs="Times New Roman"/>
          <w:color w:val="FF0000"/>
          <w:sz w:val="8"/>
        </w:rPr>
        <w:sectPr w:rsidR="00646CCB" w:rsidRPr="00BA6982" w:rsidSect="008E66C1">
          <w:type w:val="continuous"/>
          <w:pgSz w:w="12240" w:h="15840"/>
          <w:pgMar w:top="1417" w:right="1467" w:bottom="1417" w:left="1701" w:header="708" w:footer="708" w:gutter="0"/>
          <w:cols w:num="2" w:space="708"/>
          <w:docGrid w:linePitch="360"/>
        </w:sectPr>
      </w:pPr>
    </w:p>
    <w:p w:rsidR="000B20DC" w:rsidRPr="00BA6982" w:rsidRDefault="000B20DC" w:rsidP="000B20DC">
      <w:pPr>
        <w:pStyle w:val="Sinespaciado"/>
        <w:jc w:val="both"/>
        <w:rPr>
          <w:rFonts w:ascii="Times New Roman" w:hAnsi="Times New Roman" w:cs="Times New Roman"/>
          <w:sz w:val="8"/>
        </w:rPr>
      </w:pPr>
    </w:p>
    <w:p w:rsidR="00642070" w:rsidRPr="00605630" w:rsidRDefault="00642070" w:rsidP="00642070">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642070" w:rsidRPr="00605630" w:rsidSect="00FA3B81">
          <w:type w:val="continuous"/>
          <w:pgSz w:w="12240" w:h="15840" w:code="1"/>
          <w:pgMar w:top="1418" w:right="1418" w:bottom="1418" w:left="1418" w:header="709" w:footer="709" w:gutter="0"/>
          <w:cols w:space="708"/>
          <w:docGrid w:linePitch="360"/>
        </w:sectPr>
      </w:pPr>
      <w:r w:rsidRPr="00605630">
        <w:rPr>
          <w:rFonts w:ascii="Times New Roman" w:hAnsi="Times New Roman" w:cs="Times New Roman"/>
          <w:b/>
        </w:rPr>
        <w:t xml:space="preserve">Ejecución de gastos relacionados a la atención por desastres y calamidades públicas </w:t>
      </w:r>
    </w:p>
    <w:p w:rsidR="000B20DC" w:rsidRPr="00630E12" w:rsidRDefault="000B20DC" w:rsidP="000B20DC">
      <w:pPr>
        <w:pStyle w:val="Sinespaciado"/>
        <w:rPr>
          <w:rFonts w:ascii="Times New Roman" w:hAnsi="Times New Roman" w:cs="Times New Roman"/>
          <w:b/>
          <w:color w:val="FF0000"/>
          <w:sz w:val="20"/>
          <w:lang w:val="es-MX"/>
        </w:rPr>
      </w:pPr>
    </w:p>
    <w:p w:rsidR="000B20DC" w:rsidRPr="00630E12" w:rsidRDefault="000B20DC" w:rsidP="000B20DC">
      <w:pPr>
        <w:pStyle w:val="Sinespaciado"/>
        <w:rPr>
          <w:rFonts w:ascii="Times New Roman" w:hAnsi="Times New Roman" w:cs="Times New Roman"/>
          <w:b/>
          <w:color w:val="FF0000"/>
          <w:sz w:val="18"/>
          <w:lang w:val="es-MX"/>
        </w:rPr>
        <w:sectPr w:rsidR="000B20DC" w:rsidRPr="00630E12" w:rsidSect="004E358C">
          <w:type w:val="continuous"/>
          <w:pgSz w:w="12240" w:h="15840"/>
          <w:pgMar w:top="1417" w:right="1701" w:bottom="1417" w:left="1701" w:header="708" w:footer="708" w:gutter="0"/>
          <w:cols w:space="708"/>
          <w:docGrid w:linePitch="360"/>
        </w:sectPr>
      </w:pPr>
    </w:p>
    <w:p w:rsidR="00BA6982" w:rsidRDefault="009B4430" w:rsidP="009B4430">
      <w:pPr>
        <w:spacing w:after="0" w:line="240" w:lineRule="auto"/>
        <w:ind w:right="71"/>
        <w:jc w:val="both"/>
        <w:rPr>
          <w:rFonts w:ascii="Times New Roman" w:hAnsi="Times New Roman" w:cs="Times New Roman"/>
        </w:rPr>
      </w:pPr>
      <w:r>
        <w:rPr>
          <w:rFonts w:ascii="Times New Roman" w:hAnsi="Times New Roman" w:cs="Times New Roman"/>
          <w:b/>
          <w:lang w:val="es-MX"/>
        </w:rPr>
        <w:lastRenderedPageBreak/>
        <w:t xml:space="preserve">Se le da </w:t>
      </w:r>
      <w:r>
        <w:rPr>
          <w:rFonts w:ascii="Times New Roman" w:hAnsi="Times New Roman" w:cs="Times New Roman"/>
          <w:b/>
        </w:rPr>
        <w:t>seguimiento a</w:t>
      </w:r>
      <w:r w:rsidRPr="0080225F">
        <w:rPr>
          <w:rFonts w:ascii="Times New Roman" w:hAnsi="Times New Roman" w:cs="Times New Roman"/>
          <w:b/>
        </w:rPr>
        <w:t xml:space="preserve"> la ejecución del gasto relacionado a la pandemia COVID-19, dado que fue creado el programa específico para su seguimiento,</w:t>
      </w:r>
      <w:r>
        <w:rPr>
          <w:rFonts w:ascii="Times New Roman" w:hAnsi="Times New Roman" w:cs="Times New Roman"/>
        </w:rPr>
        <w:t xml:space="preserve"> durante el año se han dado gastos importantes a nivel de tres ministerios, siendo el caso de Ministerio de Salud Pública y Asistencia Social por Q2,278.0 millones, Ministerio de Desarrollo Social por Q103.0 millones y Ministerio de Agricultura, Ganadería y Alimentación por Q113.3 millones que totalizan intervenciones por Q2,494.3 millones. </w:t>
      </w:r>
    </w:p>
    <w:p w:rsidR="00BA6982" w:rsidRDefault="00BA6982" w:rsidP="009B4430">
      <w:pPr>
        <w:spacing w:after="0" w:line="240" w:lineRule="auto"/>
        <w:ind w:right="71"/>
        <w:jc w:val="both"/>
        <w:rPr>
          <w:rFonts w:ascii="Times New Roman" w:hAnsi="Times New Roman" w:cs="Times New Roman"/>
        </w:rPr>
      </w:pPr>
    </w:p>
    <w:p w:rsidR="009B4430" w:rsidRDefault="009B4430" w:rsidP="009B4430">
      <w:pPr>
        <w:spacing w:after="0" w:line="240" w:lineRule="auto"/>
        <w:ind w:right="71"/>
        <w:jc w:val="both"/>
        <w:rPr>
          <w:rFonts w:ascii="Times New Roman" w:hAnsi="Times New Roman" w:cs="Times New Roman"/>
        </w:rPr>
      </w:pPr>
      <w:r>
        <w:rPr>
          <w:rFonts w:ascii="Times New Roman" w:hAnsi="Times New Roman" w:cs="Times New Roman"/>
        </w:rPr>
        <w:t>Hace un año, las intervenciones por COVID-19 alcanzaban los Q11,980.3 millones, ejecución que estaba siendo impulsada por tres programas principalmente, Bono Familia, Fondo para Capital de Trabajo y Fondo de Protección de Empleo.</w:t>
      </w:r>
    </w:p>
    <w:p w:rsidR="009B4430" w:rsidRDefault="009B4430" w:rsidP="009B4430">
      <w:pPr>
        <w:spacing w:after="0" w:line="240" w:lineRule="auto"/>
        <w:ind w:right="71"/>
        <w:jc w:val="both"/>
        <w:rPr>
          <w:rFonts w:ascii="Times New Roman" w:hAnsi="Times New Roman" w:cs="Times New Roman"/>
        </w:rPr>
      </w:pPr>
    </w:p>
    <w:p w:rsidR="009B4430" w:rsidRDefault="009B4430" w:rsidP="0013163B">
      <w:pPr>
        <w:spacing w:after="0" w:line="240" w:lineRule="auto"/>
        <w:ind w:right="24"/>
        <w:jc w:val="both"/>
        <w:rPr>
          <w:rFonts w:ascii="Times New Roman" w:hAnsi="Times New Roman" w:cs="Times New Roman"/>
        </w:rPr>
      </w:pPr>
      <w:r>
        <w:rPr>
          <w:rFonts w:ascii="Times New Roman" w:hAnsi="Times New Roman" w:cs="Times New Roman"/>
        </w:rPr>
        <w:t xml:space="preserve">Dentro de los gastos, resalta la ejecución relacionada al esquema de vacunación contra el COVID-19 (Q952.2 millones), el cual representa el 41.8% de la ejecución del gasto total COVID-19 del 2021, dentro del Ministerio de Salud Pública también se han dado otras intervenciones como la atención de la emergencia COVID-19 (Q755.8 millones) y laboratorios beneficiados con materiales y equipo de atención de la emergencia COVID-19 (Q56.4 millones).  </w:t>
      </w:r>
    </w:p>
    <w:p w:rsidR="009B4430" w:rsidRDefault="009B4430" w:rsidP="009B4430">
      <w:pPr>
        <w:pStyle w:val="Sinespaciado"/>
        <w:ind w:right="213"/>
        <w:jc w:val="center"/>
        <w:rPr>
          <w:rFonts w:ascii="Times New Roman" w:hAnsi="Times New Roman" w:cs="Times New Roman"/>
          <w:b/>
        </w:rPr>
      </w:pPr>
    </w:p>
    <w:p w:rsidR="009B4430" w:rsidRDefault="009B4430" w:rsidP="00C5100A">
      <w:pPr>
        <w:spacing w:after="0" w:line="240" w:lineRule="auto"/>
        <w:ind w:right="24"/>
        <w:jc w:val="both"/>
        <w:rPr>
          <w:rFonts w:ascii="Times New Roman" w:hAnsi="Times New Roman" w:cs="Times New Roman"/>
        </w:rPr>
      </w:pPr>
      <w:r>
        <w:rPr>
          <w:rFonts w:ascii="Times New Roman" w:hAnsi="Times New Roman" w:cs="Times New Roman"/>
        </w:rPr>
        <w:t>E</w:t>
      </w:r>
      <w:r w:rsidRPr="007D5A9C">
        <w:rPr>
          <w:rFonts w:ascii="Times New Roman" w:hAnsi="Times New Roman" w:cs="Times New Roman"/>
        </w:rPr>
        <w:t xml:space="preserve">n septiembre fue publicado el Decreto 11-2021 “Ley de Emergencia Nacional para la atención de la pandemia COVID-19” </w:t>
      </w:r>
      <w:r>
        <w:rPr>
          <w:rFonts w:ascii="Times New Roman" w:hAnsi="Times New Roman" w:cs="Times New Roman"/>
        </w:rPr>
        <w:t>considerando la necesidad de cre</w:t>
      </w:r>
      <w:r w:rsidRPr="007D5A9C">
        <w:rPr>
          <w:rFonts w:ascii="Times New Roman" w:hAnsi="Times New Roman" w:cs="Times New Roman"/>
        </w:rPr>
        <w:t xml:space="preserve">ar un mecanismo temporal de adquisición extraordinaria de medicamentos, suministros, material quirúrgico y servicios destinados a la atención de pacientes.   </w:t>
      </w:r>
    </w:p>
    <w:p w:rsidR="009B4430" w:rsidRPr="007D5A9C" w:rsidRDefault="009B4430" w:rsidP="009B4430">
      <w:pPr>
        <w:spacing w:after="0" w:line="240" w:lineRule="auto"/>
        <w:ind w:right="213"/>
        <w:jc w:val="both"/>
        <w:rPr>
          <w:rFonts w:ascii="Times New Roman" w:hAnsi="Times New Roman" w:cs="Times New Roman"/>
        </w:rPr>
      </w:pPr>
    </w:p>
    <w:p w:rsidR="000F0085" w:rsidRPr="009B4430" w:rsidRDefault="009B4430" w:rsidP="00C5100A">
      <w:pPr>
        <w:spacing w:after="0" w:line="240" w:lineRule="auto"/>
        <w:ind w:right="24"/>
        <w:jc w:val="both"/>
        <w:rPr>
          <w:rFonts w:ascii="Times New Roman" w:hAnsi="Times New Roman" w:cs="Times New Roman"/>
          <w:b/>
        </w:rPr>
      </w:pPr>
      <w:r w:rsidRPr="007D5A9C">
        <w:rPr>
          <w:rFonts w:ascii="Times New Roman" w:hAnsi="Times New Roman" w:cs="Times New Roman"/>
        </w:rPr>
        <w:t>Dentro del</w:t>
      </w:r>
      <w:r>
        <w:rPr>
          <w:rFonts w:ascii="Times New Roman" w:hAnsi="Times New Roman" w:cs="Times New Roman"/>
        </w:rPr>
        <w:t xml:space="preserve"> sistema </w:t>
      </w:r>
      <w:r w:rsidRPr="007D5A9C">
        <w:rPr>
          <w:rFonts w:ascii="Times New Roman" w:hAnsi="Times New Roman" w:cs="Times New Roman"/>
        </w:rPr>
        <w:t xml:space="preserve">se creó el subprograma 13 “Ley de Emergencia Nacional para la Atención </w:t>
      </w:r>
      <w:r w:rsidRPr="007D5A9C">
        <w:rPr>
          <w:rFonts w:ascii="Times New Roman" w:hAnsi="Times New Roman" w:cs="Times New Roman"/>
        </w:rPr>
        <w:lastRenderedPageBreak/>
        <w:t>de la Pandemia COVID-19” el cual hasta la fecha</w:t>
      </w:r>
      <w:r>
        <w:rPr>
          <w:rFonts w:ascii="Times New Roman" w:hAnsi="Times New Roman" w:cs="Times New Roman"/>
        </w:rPr>
        <w:t xml:space="preserve"> </w:t>
      </w:r>
      <w:r w:rsidRPr="007D5A9C">
        <w:rPr>
          <w:rFonts w:ascii="Times New Roman" w:hAnsi="Times New Roman" w:cs="Times New Roman"/>
        </w:rPr>
        <w:t>reporta</w:t>
      </w:r>
      <w:r>
        <w:rPr>
          <w:rFonts w:ascii="Times New Roman" w:hAnsi="Times New Roman" w:cs="Times New Roman"/>
        </w:rPr>
        <w:t xml:space="preserve"> una ejecución de Q513.6 millones, estando concentrada la ejecución en intervenciones de prevención y recuperación para la pandemia COVID-19 y en la entrega de </w:t>
      </w:r>
      <w:r w:rsidRPr="009B4430">
        <w:rPr>
          <w:rFonts w:ascii="Times New Roman" w:hAnsi="Times New Roman" w:cs="Times New Roman"/>
        </w:rPr>
        <w:t>kits de tratamiento contra el COVID-19.</w:t>
      </w:r>
    </w:p>
    <w:p w:rsidR="00BA6982" w:rsidRPr="009B4430" w:rsidRDefault="00BA6982" w:rsidP="009B4430">
      <w:pPr>
        <w:pStyle w:val="Sinespaciado"/>
        <w:ind w:right="213"/>
        <w:rPr>
          <w:rFonts w:ascii="Times New Roman" w:hAnsi="Times New Roman" w:cs="Times New Roman"/>
          <w:b/>
        </w:rPr>
      </w:pPr>
    </w:p>
    <w:p w:rsidR="000F0085" w:rsidRPr="009B4430" w:rsidRDefault="000F0085" w:rsidP="000F0085">
      <w:pPr>
        <w:pStyle w:val="Sinespaciado"/>
        <w:ind w:right="213"/>
        <w:jc w:val="center"/>
        <w:rPr>
          <w:rFonts w:ascii="Times New Roman" w:hAnsi="Times New Roman" w:cs="Times New Roman"/>
          <w:b/>
        </w:rPr>
      </w:pPr>
      <w:r w:rsidRPr="009B4430">
        <w:rPr>
          <w:rFonts w:ascii="Times New Roman" w:hAnsi="Times New Roman" w:cs="Times New Roman"/>
          <w:b/>
        </w:rPr>
        <w:t>Ejecución acumulada de los programas en atención al COVID-19</w:t>
      </w:r>
    </w:p>
    <w:p w:rsidR="000F0085" w:rsidRPr="009B4430" w:rsidRDefault="00646CCB" w:rsidP="000F0085">
      <w:pPr>
        <w:pStyle w:val="Sinespaciado"/>
        <w:ind w:right="213"/>
        <w:jc w:val="center"/>
        <w:rPr>
          <w:rFonts w:ascii="Times New Roman" w:hAnsi="Times New Roman" w:cs="Times New Roman"/>
          <w:sz w:val="18"/>
        </w:rPr>
      </w:pPr>
      <w:r w:rsidRPr="009B4430">
        <w:rPr>
          <w:rFonts w:ascii="Times New Roman" w:hAnsi="Times New Roman" w:cs="Times New Roman"/>
          <w:noProof/>
          <w:lang w:eastAsia="es-GT"/>
        </w:rPr>
        <w:drawing>
          <wp:anchor distT="0" distB="0" distL="114300" distR="114300" simplePos="0" relativeHeight="251938816" behindDoc="0" locked="0" layoutInCell="1" allowOverlap="1" wp14:anchorId="7B33EEED" wp14:editId="1261FC67">
            <wp:simplePos x="0" y="0"/>
            <wp:positionH relativeFrom="column">
              <wp:posOffset>-211455</wp:posOffset>
            </wp:positionH>
            <wp:positionV relativeFrom="paragraph">
              <wp:posOffset>225868</wp:posOffset>
            </wp:positionV>
            <wp:extent cx="2932430" cy="2498090"/>
            <wp:effectExtent l="0" t="0" r="1270" b="0"/>
            <wp:wrapSquare wrapText="bothSides"/>
            <wp:docPr id="2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0F0085" w:rsidRPr="009B4430">
        <w:rPr>
          <w:rFonts w:ascii="Times New Roman" w:hAnsi="Times New Roman" w:cs="Times New Roman"/>
          <w:sz w:val="18"/>
        </w:rPr>
        <w:t xml:space="preserve">Millones de quetzales </w:t>
      </w:r>
    </w:p>
    <w:p w:rsidR="000F0085" w:rsidRPr="009B4430" w:rsidRDefault="000F0085" w:rsidP="000F0085">
      <w:pPr>
        <w:pStyle w:val="Sinespaciado"/>
        <w:ind w:right="213"/>
        <w:rPr>
          <w:rFonts w:ascii="Times New Roman" w:hAnsi="Times New Roman" w:cs="Times New Roman"/>
          <w:sz w:val="16"/>
        </w:rPr>
      </w:pPr>
      <w:r w:rsidRPr="009B4430">
        <w:rPr>
          <w:rFonts w:ascii="Times New Roman" w:hAnsi="Times New Roman" w:cs="Times New Roman"/>
          <w:sz w:val="16"/>
        </w:rPr>
        <w:t>Fuente: Dirección de Análisis y Política Fiscal</w:t>
      </w:r>
    </w:p>
    <w:p w:rsidR="000F0085" w:rsidRPr="00630E12" w:rsidRDefault="000F0085" w:rsidP="000F0085">
      <w:pPr>
        <w:pStyle w:val="Sinespaciado"/>
        <w:ind w:right="213"/>
        <w:rPr>
          <w:rFonts w:ascii="Times New Roman" w:hAnsi="Times New Roman" w:cs="Times New Roman"/>
          <w:color w:val="FF0000"/>
          <w:sz w:val="16"/>
        </w:rPr>
      </w:pPr>
    </w:p>
    <w:p w:rsidR="007971B0" w:rsidRDefault="00C93295" w:rsidP="000F0085">
      <w:pPr>
        <w:pStyle w:val="Sinespaciado"/>
        <w:ind w:right="213"/>
        <w:jc w:val="both"/>
        <w:rPr>
          <w:rFonts w:ascii="Times New Roman" w:hAnsi="Times New Roman" w:cs="Times New Roman"/>
        </w:rPr>
      </w:pPr>
      <w:r>
        <w:rPr>
          <w:rFonts w:ascii="Times New Roman" w:hAnsi="Times New Roman" w:cs="Times New Roman"/>
        </w:rPr>
        <w:t xml:space="preserve">Derivado de los esfuerzos antes mencionados, al cierre de noviembre de acuerdo al tablero de seguimiento de COVID-19 del MSPAS, se han administrado alrededor de 10.1 millones de dosis, de las cuales 6.0 millones corresponden a primera dosis y 4.1 millones corresponden a segunda dosis (esquema completo). De la primera dosis, el 42.3% corresponde a Moderna, 27.5% a </w:t>
      </w:r>
      <w:proofErr w:type="spellStart"/>
      <w:r>
        <w:rPr>
          <w:rFonts w:ascii="Times New Roman" w:hAnsi="Times New Roman" w:cs="Times New Roman"/>
        </w:rPr>
        <w:t>Astrazeneca</w:t>
      </w:r>
      <w:proofErr w:type="spellEnd"/>
      <w:r>
        <w:rPr>
          <w:rFonts w:ascii="Times New Roman" w:hAnsi="Times New Roman" w:cs="Times New Roman"/>
        </w:rPr>
        <w:t xml:space="preserve">, 21.9% a </w:t>
      </w:r>
      <w:proofErr w:type="spellStart"/>
      <w:r>
        <w:rPr>
          <w:rFonts w:ascii="Times New Roman" w:hAnsi="Times New Roman" w:cs="Times New Roman"/>
        </w:rPr>
        <w:t>Sputnik</w:t>
      </w:r>
      <w:proofErr w:type="spellEnd"/>
      <w:r>
        <w:rPr>
          <w:rFonts w:ascii="Times New Roman" w:hAnsi="Times New Roman" w:cs="Times New Roman"/>
        </w:rPr>
        <w:t xml:space="preserve"> y 8.4% a Pfizer, lo cual corresponde a donaciones y compras hechas por el gobierno de Guatemala. </w:t>
      </w:r>
    </w:p>
    <w:p w:rsidR="007971B0" w:rsidRDefault="007971B0" w:rsidP="000F0085">
      <w:pPr>
        <w:pStyle w:val="Sinespaciado"/>
        <w:ind w:right="213"/>
        <w:jc w:val="both"/>
        <w:rPr>
          <w:rFonts w:ascii="Times New Roman" w:hAnsi="Times New Roman" w:cs="Times New Roman"/>
        </w:rPr>
      </w:pPr>
    </w:p>
    <w:p w:rsidR="000F0085" w:rsidRPr="00630E12" w:rsidRDefault="00C93295" w:rsidP="000F0085">
      <w:pPr>
        <w:pStyle w:val="Sinespaciado"/>
        <w:ind w:right="213"/>
        <w:jc w:val="both"/>
        <w:rPr>
          <w:rFonts w:ascii="Times New Roman" w:hAnsi="Times New Roman" w:cs="Times New Roman"/>
          <w:color w:val="FF0000"/>
          <w:sz w:val="12"/>
        </w:rPr>
      </w:pPr>
      <w:r>
        <w:rPr>
          <w:rFonts w:ascii="Times New Roman" w:hAnsi="Times New Roman" w:cs="Times New Roman"/>
        </w:rPr>
        <w:lastRenderedPageBreak/>
        <w:t>Esto es relevante dado que en la vacunación se reflejan los esfuerzos del gobierno por asegurar la salud de los guatemaltecos ante los efectos de la pandemia COVID-19. No obstante, es importante mencionar que aún queda camino por recorrer para alcanzar el 70% de la población guatemalteca vacunada con esquema completo, dado que es el objetivo que algunos expertos en salud han marcado como clave para que el virus pierda capacidad de propagación.</w:t>
      </w:r>
    </w:p>
    <w:p w:rsidR="00C92EFC" w:rsidRPr="00630E12" w:rsidRDefault="00C92EFC" w:rsidP="000F0085">
      <w:pPr>
        <w:pStyle w:val="Sinespaciado"/>
        <w:ind w:right="213"/>
        <w:jc w:val="both"/>
        <w:rPr>
          <w:rFonts w:ascii="Times New Roman" w:hAnsi="Times New Roman" w:cs="Times New Roman"/>
          <w:color w:val="FF0000"/>
          <w:sz w:val="12"/>
        </w:rPr>
      </w:pPr>
    </w:p>
    <w:p w:rsidR="00C92EFC" w:rsidRPr="00630E12" w:rsidRDefault="00C92EFC" w:rsidP="000F0085">
      <w:pPr>
        <w:pStyle w:val="Sinespaciado"/>
        <w:ind w:right="213"/>
        <w:jc w:val="both"/>
        <w:rPr>
          <w:rFonts w:ascii="Times New Roman" w:hAnsi="Times New Roman" w:cs="Times New Roman"/>
          <w:color w:val="FF0000"/>
          <w:sz w:val="12"/>
        </w:rPr>
      </w:pPr>
    </w:p>
    <w:p w:rsidR="000F0085" w:rsidRPr="00C93295" w:rsidRDefault="000F0085" w:rsidP="000F0085">
      <w:pPr>
        <w:pStyle w:val="Sinespaciado"/>
        <w:ind w:right="213"/>
        <w:jc w:val="center"/>
        <w:rPr>
          <w:rFonts w:ascii="Times New Roman" w:hAnsi="Times New Roman" w:cs="Times New Roman"/>
          <w:b/>
        </w:rPr>
      </w:pPr>
      <w:r w:rsidRPr="00C93295">
        <w:rPr>
          <w:rFonts w:ascii="Times New Roman" w:hAnsi="Times New Roman" w:cs="Times New Roman"/>
          <w:b/>
        </w:rPr>
        <w:t>Cantidad de dosis aplicadas y tipo de vacuna</w:t>
      </w:r>
    </w:p>
    <w:p w:rsidR="000F0085" w:rsidRPr="00C93295" w:rsidRDefault="00C93295" w:rsidP="000F0085">
      <w:pPr>
        <w:pStyle w:val="Sinespaciado"/>
        <w:ind w:right="213"/>
        <w:jc w:val="center"/>
        <w:rPr>
          <w:rFonts w:ascii="Times New Roman" w:hAnsi="Times New Roman" w:cs="Times New Roman"/>
          <w:sz w:val="18"/>
        </w:rPr>
      </w:pPr>
      <w:r w:rsidRPr="00C93295">
        <w:rPr>
          <w:rFonts w:ascii="Times New Roman" w:hAnsi="Times New Roman" w:cs="Times New Roman"/>
          <w:noProof/>
          <w:sz w:val="18"/>
          <w:lang w:eastAsia="es-GT"/>
        </w:rPr>
        <w:drawing>
          <wp:anchor distT="0" distB="0" distL="114300" distR="114300" simplePos="0" relativeHeight="251940864" behindDoc="0" locked="0" layoutInCell="1" allowOverlap="1" wp14:anchorId="0C52D7A6" wp14:editId="6127B6F2">
            <wp:simplePos x="0" y="0"/>
            <wp:positionH relativeFrom="column">
              <wp:posOffset>0</wp:posOffset>
            </wp:positionH>
            <wp:positionV relativeFrom="paragraph">
              <wp:posOffset>132715</wp:posOffset>
            </wp:positionV>
            <wp:extent cx="2773045" cy="1924050"/>
            <wp:effectExtent l="0" t="0" r="8255" b="0"/>
            <wp:wrapSquare wrapText="bothSides"/>
            <wp:docPr id="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0F0085" w:rsidRPr="00C93295">
        <w:rPr>
          <w:rFonts w:ascii="Times New Roman" w:hAnsi="Times New Roman" w:cs="Times New Roman"/>
          <w:sz w:val="18"/>
        </w:rPr>
        <w:t>Cifras en millones y porcentajes</w:t>
      </w:r>
    </w:p>
    <w:p w:rsidR="000F0085" w:rsidRPr="00C93295" w:rsidRDefault="000F0085" w:rsidP="000F0085">
      <w:pPr>
        <w:pStyle w:val="Sinespaciado"/>
        <w:ind w:right="213"/>
        <w:jc w:val="both"/>
        <w:rPr>
          <w:rFonts w:ascii="Times New Roman" w:hAnsi="Times New Roman" w:cs="Times New Roman"/>
          <w:sz w:val="16"/>
        </w:rPr>
      </w:pPr>
      <w:r w:rsidRPr="00C93295">
        <w:rPr>
          <w:rFonts w:ascii="Times New Roman" w:hAnsi="Times New Roman" w:cs="Times New Roman"/>
          <w:sz w:val="16"/>
        </w:rPr>
        <w:t xml:space="preserve">Fuente: Ministerio de Salud Pública y Asistencia Social </w:t>
      </w:r>
    </w:p>
    <w:p w:rsidR="000F0085" w:rsidRPr="00630E12" w:rsidRDefault="000F0085" w:rsidP="000F0085">
      <w:pPr>
        <w:spacing w:after="0" w:line="240" w:lineRule="auto"/>
        <w:ind w:right="213"/>
        <w:jc w:val="both"/>
        <w:rPr>
          <w:rFonts w:ascii="Times New Roman" w:hAnsi="Times New Roman" w:cs="Times New Roman"/>
          <w:color w:val="FF0000"/>
        </w:rPr>
      </w:pPr>
    </w:p>
    <w:p w:rsidR="00C93295" w:rsidRPr="00D92216" w:rsidRDefault="00C93295" w:rsidP="00C93295">
      <w:pPr>
        <w:spacing w:after="0" w:line="240" w:lineRule="auto"/>
        <w:ind w:right="213"/>
        <w:jc w:val="both"/>
        <w:rPr>
          <w:rFonts w:ascii="Times New Roman" w:hAnsi="Times New Roman" w:cs="Times New Roman"/>
        </w:rPr>
      </w:pPr>
      <w:r w:rsidRPr="00D92216">
        <w:rPr>
          <w:rFonts w:ascii="Times New Roman" w:hAnsi="Times New Roman" w:cs="Times New Roman"/>
        </w:rPr>
        <w:t xml:space="preserve">Al analizar las cifras de personas vacunadas con esquema completo por departamento, se observa grandes disparidades, el mayor avance se tiene en el Departamento de Guatemala con </w:t>
      </w:r>
      <w:r>
        <w:rPr>
          <w:rFonts w:ascii="Times New Roman" w:hAnsi="Times New Roman" w:cs="Times New Roman"/>
        </w:rPr>
        <w:t>53</w:t>
      </w:r>
      <w:r w:rsidRPr="00D92216">
        <w:rPr>
          <w:rFonts w:ascii="Times New Roman" w:hAnsi="Times New Roman" w:cs="Times New Roman"/>
        </w:rPr>
        <w:t>.</w:t>
      </w:r>
      <w:r>
        <w:rPr>
          <w:rFonts w:ascii="Times New Roman" w:hAnsi="Times New Roman" w:cs="Times New Roman"/>
        </w:rPr>
        <w:t>7</w:t>
      </w:r>
      <w:r w:rsidRPr="00D92216">
        <w:rPr>
          <w:rFonts w:ascii="Times New Roman" w:hAnsi="Times New Roman" w:cs="Times New Roman"/>
        </w:rPr>
        <w:t>%</w:t>
      </w:r>
      <w:r>
        <w:rPr>
          <w:rFonts w:ascii="Times New Roman" w:hAnsi="Times New Roman" w:cs="Times New Roman"/>
        </w:rPr>
        <w:t xml:space="preserve"> y Sacatepéquez con 46.3%</w:t>
      </w:r>
      <w:r w:rsidRPr="00D92216">
        <w:rPr>
          <w:rFonts w:ascii="Times New Roman" w:hAnsi="Times New Roman" w:cs="Times New Roman"/>
        </w:rPr>
        <w:t xml:space="preserve">, mientras que Alta Verapaz reporta el menor avance con apenas </w:t>
      </w:r>
      <w:r>
        <w:rPr>
          <w:rFonts w:ascii="Times New Roman" w:hAnsi="Times New Roman" w:cs="Times New Roman"/>
        </w:rPr>
        <w:t>14.4</w:t>
      </w:r>
      <w:r w:rsidRPr="00D92216">
        <w:rPr>
          <w:rFonts w:ascii="Times New Roman" w:hAnsi="Times New Roman" w:cs="Times New Roman"/>
        </w:rPr>
        <w:t xml:space="preserve">%. </w:t>
      </w:r>
    </w:p>
    <w:p w:rsidR="00C93295" w:rsidRPr="00D92216" w:rsidRDefault="00C93295" w:rsidP="00C93295">
      <w:pPr>
        <w:spacing w:after="0" w:line="240" w:lineRule="auto"/>
        <w:ind w:right="213"/>
        <w:jc w:val="both"/>
        <w:rPr>
          <w:rFonts w:ascii="Times New Roman" w:hAnsi="Times New Roman" w:cs="Times New Roman"/>
        </w:rPr>
      </w:pPr>
    </w:p>
    <w:p w:rsidR="00C93295" w:rsidRDefault="00C93295" w:rsidP="00C93295">
      <w:pPr>
        <w:pStyle w:val="Sinespaciado"/>
        <w:ind w:right="213"/>
        <w:jc w:val="both"/>
        <w:rPr>
          <w:rFonts w:ascii="Times New Roman" w:hAnsi="Times New Roman" w:cs="Times New Roman"/>
        </w:rPr>
      </w:pPr>
      <w:r w:rsidRPr="00481971">
        <w:rPr>
          <w:rFonts w:ascii="Times New Roman" w:hAnsi="Times New Roman" w:cs="Times New Roman"/>
        </w:rPr>
        <w:t xml:space="preserve">Al analizar </w:t>
      </w:r>
      <w:r>
        <w:rPr>
          <w:rFonts w:ascii="Times New Roman" w:hAnsi="Times New Roman" w:cs="Times New Roman"/>
        </w:rPr>
        <w:t xml:space="preserve">las cifras de personas vacunadas por grupo etario resalta que el mayor grupo de vacunados tanto de primera dosis como esquema completo se encuentra en los mayores de 60 años, mientras que los menos vacunados son los de 12 a 17 años, aunque es </w:t>
      </w:r>
      <w:r>
        <w:rPr>
          <w:rFonts w:ascii="Times New Roman" w:hAnsi="Times New Roman" w:cs="Times New Roman"/>
        </w:rPr>
        <w:lastRenderedPageBreak/>
        <w:t xml:space="preserve">importante tener en cuenta que el </w:t>
      </w:r>
      <w:r w:rsidRPr="00982014">
        <w:rPr>
          <w:rFonts w:ascii="Times New Roman" w:hAnsi="Times New Roman" w:cs="Times New Roman"/>
        </w:rPr>
        <w:t>Decreto 11-2021</w:t>
      </w:r>
      <w:r>
        <w:rPr>
          <w:rFonts w:ascii="Times New Roman" w:hAnsi="Times New Roman" w:cs="Times New Roman"/>
        </w:rPr>
        <w:t xml:space="preserve"> que posibilita la vacunación de este grupo etario fue publicado en septiembre. No obstante, se observa un avance importante en la vacunación de este grupo en noviembre, con 23% de la población vacunada con primera dosis, mientras un 7.4% cuenta con segunda dosis.</w:t>
      </w:r>
    </w:p>
    <w:p w:rsidR="00C93295" w:rsidRPr="00630E12" w:rsidRDefault="00C93295" w:rsidP="000F0085">
      <w:pPr>
        <w:pStyle w:val="Sinespaciado"/>
        <w:ind w:right="213"/>
        <w:jc w:val="both"/>
        <w:rPr>
          <w:rFonts w:ascii="Times New Roman" w:hAnsi="Times New Roman" w:cs="Times New Roman"/>
          <w:color w:val="FF0000"/>
        </w:rPr>
      </w:pPr>
    </w:p>
    <w:p w:rsidR="000F0085" w:rsidRPr="00C93295" w:rsidRDefault="000F0085" w:rsidP="000F0085">
      <w:pPr>
        <w:pStyle w:val="Sinespaciado"/>
        <w:ind w:right="213"/>
        <w:jc w:val="center"/>
        <w:rPr>
          <w:rFonts w:ascii="Times New Roman" w:hAnsi="Times New Roman" w:cs="Times New Roman"/>
          <w:b/>
        </w:rPr>
      </w:pPr>
      <w:r w:rsidRPr="00C93295">
        <w:rPr>
          <w:rFonts w:ascii="Times New Roman" w:hAnsi="Times New Roman" w:cs="Times New Roman"/>
          <w:b/>
        </w:rPr>
        <w:t>Porcentaje de vacunados por grupo etario</w:t>
      </w:r>
    </w:p>
    <w:p w:rsidR="000F0085" w:rsidRPr="00C93295" w:rsidRDefault="00646CCB" w:rsidP="000F0085">
      <w:pPr>
        <w:pStyle w:val="Sinespaciado"/>
        <w:ind w:right="213"/>
        <w:jc w:val="center"/>
        <w:rPr>
          <w:rFonts w:ascii="Times New Roman" w:hAnsi="Times New Roman" w:cs="Times New Roman"/>
          <w:sz w:val="18"/>
        </w:rPr>
      </w:pPr>
      <w:r w:rsidRPr="00C93295">
        <w:rPr>
          <w:rFonts w:ascii="Times New Roman" w:hAnsi="Times New Roman" w:cs="Times New Roman"/>
          <w:b/>
          <w:noProof/>
          <w:lang w:eastAsia="es-GT"/>
        </w:rPr>
        <w:drawing>
          <wp:anchor distT="0" distB="0" distL="114300" distR="114300" simplePos="0" relativeHeight="251942912" behindDoc="0" locked="0" layoutInCell="1" allowOverlap="1" wp14:anchorId="4B32BAAF" wp14:editId="7430AFC0">
            <wp:simplePos x="0" y="0"/>
            <wp:positionH relativeFrom="column">
              <wp:posOffset>635</wp:posOffset>
            </wp:positionH>
            <wp:positionV relativeFrom="paragraph">
              <wp:posOffset>165100</wp:posOffset>
            </wp:positionV>
            <wp:extent cx="2827655" cy="1998345"/>
            <wp:effectExtent l="0" t="0" r="0" b="1905"/>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0F0085" w:rsidRPr="00C93295">
        <w:rPr>
          <w:rFonts w:ascii="Times New Roman" w:hAnsi="Times New Roman" w:cs="Times New Roman"/>
          <w:sz w:val="18"/>
        </w:rPr>
        <w:t>Cifras en porcentajes</w:t>
      </w:r>
    </w:p>
    <w:p w:rsidR="000F0085" w:rsidRPr="00630E12" w:rsidRDefault="000F0085" w:rsidP="000F0085">
      <w:pPr>
        <w:pStyle w:val="Sinespaciado"/>
        <w:ind w:right="213"/>
        <w:rPr>
          <w:rFonts w:ascii="Times New Roman" w:hAnsi="Times New Roman" w:cs="Times New Roman"/>
          <w:color w:val="FF0000"/>
          <w:sz w:val="16"/>
        </w:rPr>
      </w:pPr>
      <w:r w:rsidRPr="00C93295">
        <w:rPr>
          <w:rFonts w:ascii="Times New Roman" w:hAnsi="Times New Roman" w:cs="Times New Roman"/>
          <w:sz w:val="16"/>
        </w:rPr>
        <w:t>Fuente: Ministerio de Salud Pública y Asistencia Social</w:t>
      </w:r>
    </w:p>
    <w:p w:rsidR="000F0085" w:rsidRPr="00630E12" w:rsidRDefault="000F0085" w:rsidP="000F0085">
      <w:pPr>
        <w:pStyle w:val="Sinespaciado"/>
        <w:ind w:right="213"/>
        <w:jc w:val="both"/>
        <w:rPr>
          <w:rFonts w:ascii="Times New Roman" w:hAnsi="Times New Roman" w:cs="Times New Roman"/>
          <w:b/>
          <w:color w:val="FF0000"/>
        </w:rPr>
      </w:pPr>
    </w:p>
    <w:p w:rsidR="000F0085" w:rsidRPr="00630E12" w:rsidRDefault="00C93295" w:rsidP="000F0085">
      <w:pPr>
        <w:pStyle w:val="Sinespaciado"/>
        <w:jc w:val="both"/>
        <w:rPr>
          <w:rFonts w:ascii="Times New Roman" w:hAnsi="Times New Roman" w:cs="Times New Roman"/>
          <w:color w:val="FF0000"/>
          <w:sz w:val="20"/>
        </w:rPr>
      </w:pPr>
      <w:r w:rsidRPr="008F16DC">
        <w:rPr>
          <w:rFonts w:ascii="Times New Roman" w:hAnsi="Times New Roman" w:cs="Times New Roman"/>
          <w:b/>
        </w:rPr>
        <w:t>Respecto al subprograma 11, relacionado al Estado de Calamidad Pública por la Depresión Tropical ETA (DG 20-2020 y 21-2020)</w:t>
      </w:r>
      <w:r>
        <w:rPr>
          <w:rFonts w:ascii="Times New Roman" w:hAnsi="Times New Roman" w:cs="Times New Roman"/>
        </w:rPr>
        <w:t xml:space="preserve"> reporta una ejecución de Q207</w:t>
      </w:r>
      <w:r w:rsidRPr="004C71BC">
        <w:rPr>
          <w:rFonts w:ascii="Times New Roman" w:hAnsi="Times New Roman" w:cs="Times New Roman"/>
        </w:rPr>
        <w:t>.</w:t>
      </w:r>
      <w:r>
        <w:rPr>
          <w:rFonts w:ascii="Times New Roman" w:hAnsi="Times New Roman" w:cs="Times New Roman"/>
        </w:rPr>
        <w:t>4</w:t>
      </w:r>
      <w:r w:rsidRPr="004C71BC">
        <w:rPr>
          <w:rFonts w:ascii="Times New Roman" w:hAnsi="Times New Roman" w:cs="Times New Roman"/>
        </w:rPr>
        <w:t xml:space="preserve"> millones, de los cuales Q</w:t>
      </w:r>
      <w:r>
        <w:rPr>
          <w:rFonts w:ascii="Times New Roman" w:hAnsi="Times New Roman" w:cs="Times New Roman"/>
        </w:rPr>
        <w:t>203</w:t>
      </w:r>
      <w:r w:rsidRPr="004C71BC">
        <w:rPr>
          <w:rFonts w:ascii="Times New Roman" w:hAnsi="Times New Roman" w:cs="Times New Roman"/>
        </w:rPr>
        <w:t>.</w:t>
      </w:r>
      <w:r>
        <w:rPr>
          <w:rFonts w:ascii="Times New Roman" w:hAnsi="Times New Roman" w:cs="Times New Roman"/>
        </w:rPr>
        <w:t>9</w:t>
      </w:r>
      <w:r w:rsidRPr="004C71BC">
        <w:rPr>
          <w:rFonts w:ascii="Times New Roman" w:hAnsi="Times New Roman" w:cs="Times New Roman"/>
        </w:rPr>
        <w:t xml:space="preserve"> millones corresponden al Ministerio de Comunicaciones, Infraestructura y Vivienda para el mantenimiento y reparación </w:t>
      </w:r>
      <w:r>
        <w:rPr>
          <w:rFonts w:ascii="Times New Roman" w:hAnsi="Times New Roman" w:cs="Times New Roman"/>
        </w:rPr>
        <w:t>de infraestructura</w:t>
      </w:r>
      <w:r w:rsidRPr="004C71BC">
        <w:rPr>
          <w:rFonts w:ascii="Times New Roman" w:hAnsi="Times New Roman" w:cs="Times New Roman"/>
        </w:rPr>
        <w:t>, lo cual incluye gastos de mantenimiento y repar</w:t>
      </w:r>
      <w:r>
        <w:rPr>
          <w:rFonts w:ascii="Times New Roman" w:hAnsi="Times New Roman" w:cs="Times New Roman"/>
        </w:rPr>
        <w:t>ación de carreteras y puentes y arrendamiento de maquinaria y equipo de construcción. Adicionalmente, el Ministerio de Desarrollo Social y el Ministerio de Cultura y Deportes reportan una ejecución de Q1.7 y Q1.8 millones, respectivamente, por materiales de construcción y enseres y mantenimiento y reparación de bienes nacionales.</w:t>
      </w:r>
      <w:r w:rsidR="00011BF4" w:rsidRPr="00630E12">
        <w:rPr>
          <w:rFonts w:ascii="Times New Roman" w:hAnsi="Times New Roman" w:cs="Times New Roman"/>
          <w:color w:val="FF0000"/>
        </w:rPr>
        <w:t xml:space="preserve"> </w:t>
      </w:r>
    </w:p>
    <w:p w:rsidR="00C92EFC" w:rsidRPr="00630E12" w:rsidRDefault="00C92EFC" w:rsidP="00C92EF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FF0000"/>
        </w:rPr>
        <w:sectPr w:rsidR="00C92EFC" w:rsidRPr="00630E12" w:rsidSect="00BA6982">
          <w:type w:val="continuous"/>
          <w:pgSz w:w="12240" w:h="15840" w:code="1"/>
          <w:pgMar w:top="1418" w:right="1418" w:bottom="1418" w:left="1560" w:header="709" w:footer="709" w:gutter="0"/>
          <w:cols w:num="2" w:space="708"/>
          <w:docGrid w:linePitch="360"/>
        </w:sectPr>
      </w:pPr>
    </w:p>
    <w:p w:rsidR="000F0085" w:rsidRPr="00C93295" w:rsidRDefault="000F0085" w:rsidP="00862A4B">
      <w:pPr>
        <w:pBdr>
          <w:top w:val="single" w:sz="4" w:space="1" w:color="auto"/>
          <w:left w:val="single" w:sz="4" w:space="4" w:color="auto"/>
          <w:bottom w:val="single" w:sz="4" w:space="1" w:color="auto"/>
          <w:right w:val="single" w:sz="4" w:space="4" w:color="auto"/>
        </w:pBdr>
        <w:shd w:val="clear" w:color="auto" w:fill="B8CCE4" w:themeFill="accent1" w:themeFillTint="66"/>
        <w:spacing w:before="240" w:after="0" w:line="240" w:lineRule="auto"/>
        <w:jc w:val="center"/>
        <w:rPr>
          <w:rFonts w:ascii="Times New Roman" w:hAnsi="Times New Roman" w:cs="Times New Roman"/>
          <w:b/>
        </w:rPr>
      </w:pPr>
      <w:r w:rsidRPr="00C93295">
        <w:rPr>
          <w:rFonts w:ascii="Times New Roman" w:hAnsi="Times New Roman" w:cs="Times New Roman"/>
          <w:b/>
        </w:rPr>
        <w:lastRenderedPageBreak/>
        <w:t xml:space="preserve">Congreso de la República aprueba presupuesto 2022 </w:t>
      </w:r>
    </w:p>
    <w:p w:rsidR="00C92EFC" w:rsidRPr="00646CCB" w:rsidRDefault="00C92EFC" w:rsidP="000F008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FF0000"/>
        </w:rPr>
        <w:sectPr w:rsidR="00C92EFC" w:rsidRPr="00646CCB" w:rsidSect="00FA3B81">
          <w:type w:val="continuous"/>
          <w:pgSz w:w="12240" w:h="15840" w:code="1"/>
          <w:pgMar w:top="1418" w:right="1418" w:bottom="1418" w:left="1418" w:header="709" w:footer="709" w:gutter="0"/>
          <w:cols w:space="708"/>
          <w:docGrid w:linePitch="360"/>
        </w:sectPr>
      </w:pPr>
    </w:p>
    <w:p w:rsidR="000F0085" w:rsidRPr="00630E12" w:rsidRDefault="000F0085" w:rsidP="000F0085">
      <w:pPr>
        <w:pStyle w:val="Sinespaciado"/>
        <w:rPr>
          <w:rFonts w:ascii="Times New Roman" w:hAnsi="Times New Roman" w:cs="Times New Roman"/>
          <w:b/>
          <w:color w:val="FF0000"/>
          <w:sz w:val="16"/>
          <w:lang w:val="es-MX"/>
        </w:rPr>
      </w:pPr>
    </w:p>
    <w:p w:rsidR="000F0085" w:rsidRPr="00630E12" w:rsidRDefault="000F0085" w:rsidP="000F0085">
      <w:pPr>
        <w:pStyle w:val="Sinespaciado"/>
        <w:rPr>
          <w:rFonts w:ascii="Times New Roman" w:hAnsi="Times New Roman" w:cs="Times New Roman"/>
          <w:b/>
          <w:color w:val="FF0000"/>
          <w:sz w:val="18"/>
          <w:lang w:val="es-MX"/>
        </w:rPr>
        <w:sectPr w:rsidR="000F0085" w:rsidRPr="00630E12" w:rsidSect="004E358C">
          <w:type w:val="continuous"/>
          <w:pgSz w:w="12240" w:h="15840"/>
          <w:pgMar w:top="1417" w:right="1701" w:bottom="1417" w:left="1701" w:header="708" w:footer="708" w:gutter="0"/>
          <w:cols w:space="708"/>
          <w:docGrid w:linePitch="360"/>
        </w:sectPr>
      </w:pPr>
    </w:p>
    <w:p w:rsidR="00C93295" w:rsidRDefault="00C93295" w:rsidP="00C93295">
      <w:pPr>
        <w:pStyle w:val="Sinespaciado"/>
        <w:ind w:right="213"/>
        <w:jc w:val="both"/>
        <w:rPr>
          <w:rFonts w:ascii="Times New Roman" w:hAnsi="Times New Roman" w:cs="Times New Roman"/>
        </w:rPr>
      </w:pPr>
      <w:r>
        <w:rPr>
          <w:rFonts w:ascii="Times New Roman" w:hAnsi="Times New Roman" w:cs="Times New Roman"/>
        </w:rPr>
        <w:lastRenderedPageBreak/>
        <w:t xml:space="preserve">El jueves 18 de noviembre 2021 el </w:t>
      </w:r>
      <w:r w:rsidRPr="00CC7221">
        <w:rPr>
          <w:rFonts w:ascii="Times New Roman" w:hAnsi="Times New Roman" w:cs="Times New Roman"/>
        </w:rPr>
        <w:t>pleno del Congreso aprobó</w:t>
      </w:r>
      <w:r>
        <w:rPr>
          <w:rFonts w:ascii="Times New Roman" w:hAnsi="Times New Roman" w:cs="Times New Roman"/>
        </w:rPr>
        <w:t xml:space="preserve"> el Presupuesto General de Ingresos y Egresos del Estado para el ejercicio fiscal 2022, lo cual es de suma relevancia dado que desde 2018</w:t>
      </w:r>
      <w:r w:rsidRPr="00CC7221">
        <w:rPr>
          <w:rFonts w:ascii="Times New Roman" w:hAnsi="Times New Roman" w:cs="Times New Roman"/>
        </w:rPr>
        <w:t xml:space="preserve"> el Congreso de la Repúb</w:t>
      </w:r>
      <w:r>
        <w:rPr>
          <w:rFonts w:ascii="Times New Roman" w:hAnsi="Times New Roman" w:cs="Times New Roman"/>
        </w:rPr>
        <w:t>lica no aprobaba el presupuesto.</w:t>
      </w:r>
    </w:p>
    <w:p w:rsidR="00C93295" w:rsidRDefault="00C93295" w:rsidP="00C93295">
      <w:pPr>
        <w:pStyle w:val="Sinespaciado"/>
        <w:ind w:right="213"/>
        <w:jc w:val="both"/>
        <w:rPr>
          <w:rFonts w:ascii="Times New Roman" w:hAnsi="Times New Roman" w:cs="Times New Roman"/>
        </w:rPr>
      </w:pPr>
      <w:r>
        <w:rPr>
          <w:rFonts w:ascii="Times New Roman" w:hAnsi="Times New Roman" w:cs="Times New Roman"/>
        </w:rPr>
        <w:t xml:space="preserve">El presupuesto 2022 asciende a </w:t>
      </w:r>
      <w:r w:rsidRPr="00CC7221">
        <w:rPr>
          <w:rFonts w:ascii="Times New Roman" w:hAnsi="Times New Roman" w:cs="Times New Roman"/>
        </w:rPr>
        <w:t>Q106,229.5 millones, equivalente a 15.3% del PIB.</w:t>
      </w:r>
      <w:r>
        <w:rPr>
          <w:rFonts w:ascii="Times New Roman" w:hAnsi="Times New Roman" w:cs="Times New Roman"/>
        </w:rPr>
        <w:t xml:space="preserve"> Respecto al Proyecto de Presupuesto reporta un incremento de Q2,237.0 millones, mientras que, respecto al Presupuesto Propuesto por la Comisión de Finanzas, el incremento es de Q290 millones, incremento que fue asignado para la Gran Cruzada por la Nutrición (fondos ejecutados por los CODEDES), por lo cual las Obligaciones del Estado a cargo del Tesoro fue la única entidad que vio incrementado su presupuesto respecto al propuesto por la Comisión de Finanzas.</w:t>
      </w:r>
    </w:p>
    <w:p w:rsidR="00C93295" w:rsidRDefault="00C93295" w:rsidP="00C93295">
      <w:pPr>
        <w:pStyle w:val="Sinespaciado"/>
        <w:ind w:right="213"/>
        <w:jc w:val="both"/>
        <w:rPr>
          <w:rFonts w:ascii="Times New Roman" w:hAnsi="Times New Roman" w:cs="Times New Roman"/>
        </w:rPr>
      </w:pPr>
    </w:p>
    <w:p w:rsidR="00C93295" w:rsidRDefault="00C93295" w:rsidP="00C93295">
      <w:pPr>
        <w:pStyle w:val="Sinespaciado"/>
        <w:ind w:right="213"/>
        <w:jc w:val="both"/>
        <w:rPr>
          <w:rFonts w:ascii="Times New Roman" w:hAnsi="Times New Roman" w:cs="Times New Roman"/>
        </w:rPr>
      </w:pPr>
      <w:r>
        <w:rPr>
          <w:rFonts w:ascii="Times New Roman" w:hAnsi="Times New Roman" w:cs="Times New Roman"/>
        </w:rPr>
        <w:t xml:space="preserve">La mayor parte </w:t>
      </w:r>
      <w:r w:rsidRPr="000C1D4B">
        <w:rPr>
          <w:rFonts w:ascii="Times New Roman" w:hAnsi="Times New Roman" w:cs="Times New Roman"/>
        </w:rPr>
        <w:t>del Presupuesto 2022 se financia con ingresos tributarios</w:t>
      </w:r>
      <w:r>
        <w:rPr>
          <w:rFonts w:ascii="Times New Roman" w:hAnsi="Times New Roman" w:cs="Times New Roman"/>
        </w:rPr>
        <w:t xml:space="preserve"> (72%), seguidamente de los bonos del tesoro (15%), uso de caja (6%), no tributarios (5%) y préstamos (2%). </w:t>
      </w:r>
    </w:p>
    <w:p w:rsidR="00C93295" w:rsidRDefault="00C93295" w:rsidP="00C93295">
      <w:pPr>
        <w:pStyle w:val="Sinespaciado"/>
        <w:ind w:right="213"/>
        <w:jc w:val="both"/>
        <w:rPr>
          <w:rFonts w:ascii="Times New Roman" w:hAnsi="Times New Roman" w:cs="Times New Roman"/>
        </w:rPr>
      </w:pPr>
    </w:p>
    <w:p w:rsidR="00C93295" w:rsidRDefault="00C93295" w:rsidP="00C93295">
      <w:pPr>
        <w:pStyle w:val="Sinespaciado"/>
        <w:ind w:right="213"/>
        <w:jc w:val="both"/>
        <w:rPr>
          <w:rFonts w:ascii="Times New Roman" w:hAnsi="Times New Roman" w:cs="Times New Roman"/>
        </w:rPr>
      </w:pPr>
      <w:r>
        <w:rPr>
          <w:rFonts w:ascii="Times New Roman" w:hAnsi="Times New Roman" w:cs="Times New Roman"/>
        </w:rPr>
        <w:t xml:space="preserve">Por su parte, el déficit fiscal podría ubicarse en torno al 2.9% del PIB, del cual un 2.0% generaría deuda pública y el restante 0.9% se pagaría con saldo de caja. </w:t>
      </w:r>
    </w:p>
    <w:p w:rsidR="00C93295" w:rsidRPr="00605630" w:rsidRDefault="00C93295" w:rsidP="000F0085">
      <w:pPr>
        <w:pStyle w:val="Sinespaciado"/>
        <w:ind w:right="213"/>
        <w:jc w:val="both"/>
        <w:rPr>
          <w:rFonts w:ascii="Times New Roman" w:hAnsi="Times New Roman" w:cs="Times New Roman"/>
        </w:rPr>
      </w:pPr>
    </w:p>
    <w:p w:rsidR="000F0085" w:rsidRPr="00605630" w:rsidRDefault="000F0085" w:rsidP="000F0085">
      <w:pPr>
        <w:spacing w:after="0" w:line="240" w:lineRule="auto"/>
        <w:jc w:val="center"/>
        <w:rPr>
          <w:rFonts w:ascii="Times New Roman" w:hAnsi="Times New Roman" w:cs="Times New Roman"/>
          <w:b/>
        </w:rPr>
      </w:pPr>
      <w:r w:rsidRPr="00605630">
        <w:rPr>
          <w:rFonts w:ascii="Times New Roman" w:hAnsi="Times New Roman" w:cs="Times New Roman"/>
          <w:b/>
        </w:rPr>
        <w:t>Techos Presupuestarios por tipo de gasto</w:t>
      </w:r>
    </w:p>
    <w:p w:rsidR="00C93295" w:rsidRPr="00605630" w:rsidRDefault="00A736A6" w:rsidP="0087741E">
      <w:pPr>
        <w:spacing w:after="0" w:line="240" w:lineRule="auto"/>
        <w:rPr>
          <w:rFonts w:ascii="Times New Roman" w:hAnsi="Times New Roman" w:cs="Times New Roman"/>
        </w:rPr>
      </w:pPr>
      <w:r w:rsidRPr="00605630">
        <w:rPr>
          <w:noProof/>
          <w:lang w:eastAsia="es-GT"/>
        </w:rPr>
        <w:drawing>
          <wp:anchor distT="0" distB="0" distL="114300" distR="114300" simplePos="0" relativeHeight="251944960" behindDoc="1" locked="0" layoutInCell="1" allowOverlap="1" wp14:anchorId="6B7F0C53" wp14:editId="0408C9F6">
            <wp:simplePos x="0" y="0"/>
            <wp:positionH relativeFrom="column">
              <wp:posOffset>-44450</wp:posOffset>
            </wp:positionH>
            <wp:positionV relativeFrom="paragraph">
              <wp:posOffset>156210</wp:posOffset>
            </wp:positionV>
            <wp:extent cx="2733675" cy="2211070"/>
            <wp:effectExtent l="0" t="0" r="0" b="0"/>
            <wp:wrapTight wrapText="bothSides">
              <wp:wrapPolygon edited="0">
                <wp:start x="0" y="0"/>
                <wp:lineTo x="0" y="2791"/>
                <wp:lineTo x="151" y="3164"/>
                <wp:lineTo x="903" y="3164"/>
                <wp:lineTo x="301" y="5583"/>
                <wp:lineTo x="753" y="5955"/>
                <wp:lineTo x="4365" y="6141"/>
                <wp:lineTo x="151" y="7630"/>
                <wp:lineTo x="151" y="8002"/>
                <wp:lineTo x="4365" y="9119"/>
                <wp:lineTo x="151" y="10235"/>
                <wp:lineTo x="151" y="10608"/>
                <wp:lineTo x="4365" y="12096"/>
                <wp:lineTo x="151" y="12469"/>
                <wp:lineTo x="151" y="13027"/>
                <wp:lineTo x="4365" y="15074"/>
                <wp:lineTo x="1957" y="15074"/>
                <wp:lineTo x="1806" y="15446"/>
                <wp:lineTo x="3311" y="18052"/>
                <wp:lineTo x="2709" y="18610"/>
                <wp:lineTo x="2408" y="19168"/>
                <wp:lineTo x="2408" y="19727"/>
                <wp:lineTo x="20170" y="19727"/>
                <wp:lineTo x="20321" y="18796"/>
                <wp:lineTo x="19116" y="18424"/>
                <wp:lineTo x="15203" y="18052"/>
                <wp:lineTo x="21374" y="17121"/>
                <wp:lineTo x="21374" y="15446"/>
                <wp:lineTo x="21073" y="1303"/>
                <wp:lineTo x="18665" y="930"/>
                <wp:lineTo x="3161" y="0"/>
                <wp:lineTo x="0" y="0"/>
              </wp:wrapPolygon>
            </wp:wrapTight>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0F0085" w:rsidRPr="00605630">
        <w:rPr>
          <w:rFonts w:ascii="Times New Roman" w:hAnsi="Times New Roman" w:cs="Times New Roman"/>
        </w:rPr>
        <w:t>Cifras en millones de quetzales</w:t>
      </w:r>
    </w:p>
    <w:p w:rsidR="00C92EFC" w:rsidRPr="00A736A6" w:rsidRDefault="000F0085" w:rsidP="00A736A6">
      <w:pPr>
        <w:pStyle w:val="Sinespaciado"/>
        <w:ind w:right="213"/>
        <w:rPr>
          <w:rFonts w:ascii="Times New Roman" w:hAnsi="Times New Roman" w:cs="Times New Roman"/>
          <w:sz w:val="16"/>
        </w:rPr>
      </w:pPr>
      <w:r w:rsidRPr="00605630">
        <w:rPr>
          <w:rFonts w:ascii="Times New Roman" w:hAnsi="Times New Roman" w:cs="Times New Roman"/>
          <w:sz w:val="16"/>
        </w:rPr>
        <w:lastRenderedPageBreak/>
        <w:t>Fuente: Ministerio de Finanzas Públicas</w:t>
      </w:r>
    </w:p>
    <w:p w:rsidR="000F0085" w:rsidRPr="00605630" w:rsidRDefault="000F0085" w:rsidP="000F0085">
      <w:pPr>
        <w:spacing w:after="0" w:line="240" w:lineRule="auto"/>
        <w:jc w:val="center"/>
        <w:rPr>
          <w:rFonts w:ascii="Times New Roman" w:hAnsi="Times New Roman" w:cs="Times New Roman"/>
        </w:rPr>
      </w:pPr>
      <w:r w:rsidRPr="00605630">
        <w:rPr>
          <w:rFonts w:ascii="Times New Roman" w:hAnsi="Times New Roman" w:cs="Times New Roman"/>
          <w:b/>
          <w:bCs/>
        </w:rPr>
        <w:t>Distribución por Entidad del Presupuesto Aprobado 2022</w:t>
      </w:r>
    </w:p>
    <w:p w:rsidR="000F0085" w:rsidRPr="00605630" w:rsidRDefault="00605630" w:rsidP="007971B0">
      <w:pPr>
        <w:spacing w:after="0" w:line="240" w:lineRule="auto"/>
        <w:jc w:val="center"/>
        <w:rPr>
          <w:rFonts w:ascii="Times New Roman" w:hAnsi="Times New Roman" w:cs="Times New Roman"/>
        </w:rPr>
      </w:pPr>
      <w:r w:rsidRPr="00605630">
        <w:rPr>
          <w:rFonts w:ascii="Times New Roman" w:hAnsi="Times New Roman" w:cs="Times New Roman"/>
          <w:noProof/>
          <w:lang w:eastAsia="es-GT"/>
        </w:rPr>
        <w:drawing>
          <wp:anchor distT="0" distB="0" distL="114300" distR="114300" simplePos="0" relativeHeight="251947008" behindDoc="0" locked="0" layoutInCell="1" allowOverlap="1" wp14:anchorId="2B40AB00" wp14:editId="6AECD9AB">
            <wp:simplePos x="0" y="0"/>
            <wp:positionH relativeFrom="column">
              <wp:posOffset>95250</wp:posOffset>
            </wp:positionH>
            <wp:positionV relativeFrom="paragraph">
              <wp:posOffset>183515</wp:posOffset>
            </wp:positionV>
            <wp:extent cx="2762250" cy="4048125"/>
            <wp:effectExtent l="0" t="0" r="0" b="0"/>
            <wp:wrapSquare wrapText="bothSides"/>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0F0085" w:rsidRPr="00605630">
        <w:rPr>
          <w:rFonts w:ascii="Times New Roman" w:hAnsi="Times New Roman" w:cs="Times New Roman"/>
        </w:rPr>
        <w:t>Millones de quetzales</w:t>
      </w:r>
    </w:p>
    <w:p w:rsidR="000F0085" w:rsidRPr="00605630" w:rsidRDefault="000F0085" w:rsidP="000F0085">
      <w:pPr>
        <w:pStyle w:val="Sinespaciado"/>
        <w:ind w:right="213"/>
        <w:rPr>
          <w:rFonts w:ascii="Times New Roman" w:hAnsi="Times New Roman" w:cs="Times New Roman"/>
          <w:sz w:val="16"/>
        </w:rPr>
      </w:pPr>
      <w:r w:rsidRPr="00605630">
        <w:rPr>
          <w:rFonts w:ascii="Times New Roman" w:hAnsi="Times New Roman" w:cs="Times New Roman"/>
          <w:sz w:val="16"/>
        </w:rPr>
        <w:t>Fuente: Ministerio de Finanzas Públicas</w:t>
      </w:r>
    </w:p>
    <w:p w:rsidR="007971B0" w:rsidRPr="00630E12" w:rsidRDefault="007971B0" w:rsidP="000F0085">
      <w:pPr>
        <w:spacing w:after="0" w:line="240" w:lineRule="auto"/>
        <w:jc w:val="both"/>
        <w:rPr>
          <w:rFonts w:ascii="Times New Roman" w:hAnsi="Times New Roman" w:cs="Times New Roman"/>
          <w:color w:val="FF0000"/>
        </w:rPr>
      </w:pPr>
    </w:p>
    <w:p w:rsidR="00C93295" w:rsidRPr="00176503" w:rsidRDefault="00C93295" w:rsidP="00C93295">
      <w:pPr>
        <w:spacing w:after="0" w:line="240" w:lineRule="auto"/>
        <w:jc w:val="both"/>
        <w:rPr>
          <w:rFonts w:ascii="Times New Roman" w:hAnsi="Times New Roman" w:cs="Times New Roman"/>
        </w:rPr>
      </w:pPr>
      <w:r w:rsidRPr="00176503">
        <w:rPr>
          <w:rFonts w:ascii="Times New Roman" w:hAnsi="Times New Roman" w:cs="Times New Roman"/>
        </w:rPr>
        <w:t>Es importante considerar</w:t>
      </w:r>
      <w:r>
        <w:rPr>
          <w:rFonts w:ascii="Times New Roman" w:hAnsi="Times New Roman" w:cs="Times New Roman"/>
        </w:rPr>
        <w:t xml:space="preserve"> que el presupuesto de los ingresos tributarios aumentó en Q1,947 millones, incluidos en el rubro de otros ingresos directos e indirectos,</w:t>
      </w:r>
      <w:r w:rsidRPr="00176503">
        <w:rPr>
          <w:rFonts w:ascii="Times New Roman" w:hAnsi="Times New Roman" w:cs="Times New Roman"/>
        </w:rPr>
        <w:t xml:space="preserve"> </w:t>
      </w:r>
      <w:r>
        <w:rPr>
          <w:rFonts w:ascii="Times New Roman" w:hAnsi="Times New Roman" w:cs="Times New Roman"/>
        </w:rPr>
        <w:t>por lo cual la meta de recaudación aumentó de forma discrecional, asociado a las expectativas de cierre previstas para 2021.</w:t>
      </w:r>
    </w:p>
    <w:p w:rsidR="007971B0" w:rsidRDefault="007971B0" w:rsidP="004456FD">
      <w:pPr>
        <w:pStyle w:val="Sinespaciado"/>
        <w:rPr>
          <w:rFonts w:ascii="Times New Roman" w:hAnsi="Times New Roman" w:cs="Times New Roman"/>
          <w:color w:val="FF0000"/>
          <w:sz w:val="16"/>
        </w:rPr>
      </w:pPr>
    </w:p>
    <w:p w:rsidR="007971B0" w:rsidRDefault="007971B0" w:rsidP="004456FD">
      <w:pPr>
        <w:pStyle w:val="Sinespaciado"/>
        <w:rPr>
          <w:rFonts w:ascii="Times New Roman" w:hAnsi="Times New Roman" w:cs="Times New Roman"/>
          <w:color w:val="FF0000"/>
          <w:sz w:val="16"/>
        </w:rPr>
      </w:pPr>
    </w:p>
    <w:p w:rsidR="000F0085" w:rsidRPr="00630E12" w:rsidRDefault="000F0085" w:rsidP="004456FD">
      <w:pPr>
        <w:pStyle w:val="Sinespaciado"/>
        <w:rPr>
          <w:rFonts w:ascii="Times New Roman" w:hAnsi="Times New Roman" w:cs="Times New Roman"/>
          <w:color w:val="FF0000"/>
          <w:sz w:val="16"/>
          <w:lang w:val="es-MX"/>
        </w:rPr>
        <w:sectPr w:rsidR="000F0085" w:rsidRPr="00630E12" w:rsidSect="00BA6982">
          <w:type w:val="continuous"/>
          <w:pgSz w:w="12240" w:h="15840"/>
          <w:pgMar w:top="1417" w:right="1467" w:bottom="1417" w:left="1560" w:header="708" w:footer="708" w:gutter="0"/>
          <w:cols w:num="2" w:space="708"/>
          <w:docGrid w:linePitch="360"/>
        </w:sectPr>
      </w:pPr>
    </w:p>
    <w:p w:rsidR="009B76D6" w:rsidRPr="00630E12" w:rsidRDefault="009B76D6" w:rsidP="00D4202F">
      <w:pPr>
        <w:spacing w:after="0"/>
        <w:rPr>
          <w:rFonts w:ascii="Times New Roman" w:hAnsi="Times New Roman" w:cs="Times New Roman"/>
          <w:color w:val="FF0000"/>
          <w:sz w:val="10"/>
          <w:lang w:val="es-MX"/>
        </w:rPr>
        <w:sectPr w:rsidR="009B76D6" w:rsidRPr="00630E12" w:rsidSect="004E358C">
          <w:type w:val="continuous"/>
          <w:pgSz w:w="12240" w:h="15840"/>
          <w:pgMar w:top="1417" w:right="1701" w:bottom="1417" w:left="1701" w:header="708" w:footer="708" w:gutter="0"/>
          <w:cols w:num="2" w:space="708"/>
          <w:docGrid w:linePitch="360"/>
        </w:sectPr>
      </w:pPr>
    </w:p>
    <w:p w:rsidR="006470E2" w:rsidRPr="004212CC" w:rsidRDefault="004212CC" w:rsidP="004212CC">
      <w:pPr>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Times New Roman" w:hAnsi="Times New Roman" w:cs="Times New Roman"/>
          <w:b/>
          <w:lang w:val="es-MX"/>
        </w:rPr>
      </w:pPr>
      <w:r w:rsidRPr="00FF0112">
        <w:rPr>
          <w:noProof/>
          <w:lang w:eastAsia="es-GT"/>
        </w:rPr>
        <w:lastRenderedPageBreak/>
        <w:drawing>
          <wp:anchor distT="0" distB="0" distL="114300" distR="114300" simplePos="0" relativeHeight="251955200" behindDoc="0" locked="0" layoutInCell="1" allowOverlap="1" wp14:anchorId="42A0A8E4" wp14:editId="287C0028">
            <wp:simplePos x="0" y="0"/>
            <wp:positionH relativeFrom="column">
              <wp:posOffset>3175</wp:posOffset>
            </wp:positionH>
            <wp:positionV relativeFrom="paragraph">
              <wp:posOffset>351155</wp:posOffset>
            </wp:positionV>
            <wp:extent cx="5898515" cy="514604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8515" cy="514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2CC">
        <w:rPr>
          <w:rFonts w:ascii="Times New Roman" w:hAnsi="Times New Roman" w:cs="Times New Roman"/>
          <w:b/>
          <w:lang w:val="es-MX"/>
        </w:rPr>
        <w:t>Anexo</w:t>
      </w:r>
    </w:p>
    <w:sectPr w:rsidR="006470E2" w:rsidRPr="004212CC" w:rsidSect="00AB38CA">
      <w:headerReference w:type="default" r:id="rId40"/>
      <w:footerReference w:type="default" r:id="rId41"/>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970" w:rsidRDefault="00D57970" w:rsidP="007D4651">
      <w:pPr>
        <w:spacing w:after="0" w:line="240" w:lineRule="auto"/>
      </w:pPr>
      <w:r>
        <w:separator/>
      </w:r>
    </w:p>
  </w:endnote>
  <w:endnote w:type="continuationSeparator" w:id="0">
    <w:p w:rsidR="00D57970" w:rsidRDefault="00D57970"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418480500"/>
      <w:docPartObj>
        <w:docPartGallery w:val="Page Numbers (Bottom of Page)"/>
        <w:docPartUnique/>
      </w:docPartObj>
    </w:sdtPr>
    <w:sdtEndPr/>
    <w:sdtContent>
      <w:p w:rsidR="0008085E" w:rsidRDefault="0008085E">
        <w:pPr>
          <w:pStyle w:val="Piedepgina"/>
          <w:jc w:val="right"/>
          <w:rPr>
            <w:lang w:val="es-ES"/>
          </w:rPr>
        </w:pPr>
      </w:p>
      <w:p w:rsidR="0008085E" w:rsidRDefault="0008085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838464" behindDoc="0" locked="0" layoutInCell="1" allowOverlap="1" wp14:anchorId="6C8CC32A" wp14:editId="6F2800F7">
                  <wp:simplePos x="0" y="0"/>
                  <wp:positionH relativeFrom="column">
                    <wp:posOffset>1755792</wp:posOffset>
                  </wp:positionH>
                  <wp:positionV relativeFrom="paragraph">
                    <wp:posOffset>70485</wp:posOffset>
                  </wp:positionV>
                  <wp:extent cx="5155565" cy="45719"/>
                  <wp:effectExtent l="38100" t="38100" r="64135" b="88265"/>
                  <wp:wrapNone/>
                  <wp:docPr id="251"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DC54C61" id="3 Rectángulo" o:spid="_x0000_s1026" style="position:absolute;margin-left:138.25pt;margin-top:5.55pt;width:405.95pt;height:3.6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wjPg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08085E" w:rsidRDefault="0008085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30889" w:rsidRPr="00D30889">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08085E" w:rsidRDefault="0008085E" w:rsidP="007D4651">
    <w:pPr>
      <w:pStyle w:val="Piedepgina"/>
      <w:tabs>
        <w:tab w:val="clear" w:pos="4419"/>
        <w:tab w:val="clear" w:pos="8838"/>
        <w:tab w:val="left" w:pos="5777"/>
      </w:tabs>
    </w:pPr>
  </w:p>
  <w:p w:rsidR="0008085E" w:rsidRDefault="0008085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606041391"/>
      <w:docPartObj>
        <w:docPartGallery w:val="Page Numbers (Bottom of Page)"/>
        <w:docPartUnique/>
      </w:docPartObj>
    </w:sdtPr>
    <w:sdtEndPr/>
    <w:sdtContent>
      <w:p w:rsidR="0008085E" w:rsidRDefault="0008085E">
        <w:pPr>
          <w:pStyle w:val="Piedepgina"/>
          <w:jc w:val="right"/>
          <w:rPr>
            <w:lang w:val="es-ES"/>
          </w:rPr>
        </w:pPr>
      </w:p>
      <w:p w:rsidR="0008085E" w:rsidRDefault="0008085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280A6B2A" wp14:editId="32BDE860">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48AE7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08085E" w:rsidRDefault="0008085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7971B0" w:rsidRPr="007971B0">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08085E" w:rsidRDefault="0008085E" w:rsidP="007D4651">
    <w:pPr>
      <w:pStyle w:val="Piedepgina"/>
      <w:tabs>
        <w:tab w:val="clear" w:pos="4419"/>
        <w:tab w:val="clear" w:pos="8838"/>
        <w:tab w:val="left" w:pos="5777"/>
      </w:tabs>
    </w:pPr>
  </w:p>
  <w:p w:rsidR="0008085E" w:rsidRDefault="0008085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85034144"/>
      <w:docPartObj>
        <w:docPartGallery w:val="Page Numbers (Bottom of Page)"/>
        <w:docPartUnique/>
      </w:docPartObj>
    </w:sdtPr>
    <w:sdtEndPr/>
    <w:sdtContent>
      <w:p w:rsidR="0008085E" w:rsidRDefault="0008085E">
        <w:pPr>
          <w:pStyle w:val="Piedepgina"/>
          <w:jc w:val="right"/>
          <w:rPr>
            <w:lang w:val="es-ES"/>
          </w:rPr>
        </w:pPr>
      </w:p>
      <w:p w:rsidR="0008085E" w:rsidRDefault="0008085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607968C4" wp14:editId="2CB5058A">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1D3D7C"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08085E" w:rsidRDefault="0008085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30889" w:rsidRPr="00D30889">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08085E" w:rsidRDefault="0008085E" w:rsidP="007D4651">
    <w:pPr>
      <w:pStyle w:val="Piedepgina"/>
      <w:tabs>
        <w:tab w:val="clear" w:pos="4419"/>
        <w:tab w:val="clear" w:pos="8838"/>
        <w:tab w:val="left" w:pos="5777"/>
      </w:tabs>
    </w:pPr>
  </w:p>
  <w:p w:rsidR="0008085E" w:rsidRDefault="0008085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734622255"/>
      <w:docPartObj>
        <w:docPartGallery w:val="Page Numbers (Bottom of Page)"/>
        <w:docPartUnique/>
      </w:docPartObj>
    </w:sdtPr>
    <w:sdtEndPr/>
    <w:sdtContent>
      <w:p w:rsidR="0008085E" w:rsidRDefault="0008085E">
        <w:pPr>
          <w:pStyle w:val="Piedepgina"/>
          <w:jc w:val="right"/>
          <w:rPr>
            <w:lang w:val="es-ES"/>
          </w:rPr>
        </w:pPr>
      </w:p>
      <w:p w:rsidR="0008085E" w:rsidRDefault="0008085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833344" behindDoc="0" locked="0" layoutInCell="1" allowOverlap="1" wp14:anchorId="40482FB2" wp14:editId="2C5A9037">
                  <wp:simplePos x="0" y="0"/>
                  <wp:positionH relativeFrom="column">
                    <wp:posOffset>1776669</wp:posOffset>
                  </wp:positionH>
                  <wp:positionV relativeFrom="paragraph">
                    <wp:posOffset>70516</wp:posOffset>
                  </wp:positionV>
                  <wp:extent cx="5155565" cy="45719"/>
                  <wp:effectExtent l="38100" t="38100" r="64135" b="88265"/>
                  <wp:wrapNone/>
                  <wp:docPr id="32"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0B35C07" id="16 Rectángulo" o:spid="_x0000_s1026" style="position:absolute;margin-left:139.9pt;margin-top:5.55pt;width:405.95pt;height:3.6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SoPg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&#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qai0qD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08085E" w:rsidRDefault="0008085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7741E" w:rsidRPr="0087741E">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08085E" w:rsidRDefault="0008085E" w:rsidP="007D4651">
    <w:pPr>
      <w:pStyle w:val="Piedepgina"/>
      <w:tabs>
        <w:tab w:val="clear" w:pos="4419"/>
        <w:tab w:val="clear" w:pos="8838"/>
        <w:tab w:val="left" w:pos="5777"/>
      </w:tabs>
    </w:pPr>
  </w:p>
  <w:p w:rsidR="0008085E" w:rsidRDefault="0008085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057080796"/>
      <w:docPartObj>
        <w:docPartGallery w:val="Page Numbers (Bottom of Page)"/>
        <w:docPartUnique/>
      </w:docPartObj>
    </w:sdtPr>
    <w:sdtEndPr/>
    <w:sdtContent>
      <w:p w:rsidR="0008085E" w:rsidRDefault="0008085E">
        <w:pPr>
          <w:pStyle w:val="Piedepgina"/>
          <w:jc w:val="right"/>
          <w:rPr>
            <w:lang w:val="es-ES"/>
          </w:rPr>
        </w:pPr>
      </w:p>
      <w:p w:rsidR="0008085E" w:rsidRDefault="0008085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6EEC3B90" wp14:editId="77B5E790">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55413E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08085E" w:rsidRDefault="0008085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2D0B6E" w:rsidRPr="002D0B6E">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08085E" w:rsidRDefault="0008085E" w:rsidP="007D4651">
    <w:pPr>
      <w:pStyle w:val="Piedepgina"/>
      <w:tabs>
        <w:tab w:val="clear" w:pos="4419"/>
        <w:tab w:val="clear" w:pos="8838"/>
        <w:tab w:val="left" w:pos="5777"/>
      </w:tabs>
    </w:pPr>
  </w:p>
  <w:p w:rsidR="0008085E" w:rsidRDefault="0008085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906532020"/>
      <w:docPartObj>
        <w:docPartGallery w:val="Page Numbers (Bottom of Page)"/>
        <w:docPartUnique/>
      </w:docPartObj>
    </w:sdtPr>
    <w:sdtEndPr/>
    <w:sdtContent>
      <w:p w:rsidR="0008085E" w:rsidRDefault="0008085E">
        <w:pPr>
          <w:pStyle w:val="Piedepgina"/>
          <w:jc w:val="right"/>
          <w:rPr>
            <w:lang w:val="es-ES"/>
          </w:rPr>
        </w:pPr>
      </w:p>
      <w:p w:rsidR="0008085E" w:rsidRDefault="0008085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56B8A90C" wp14:editId="053A03B6">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9F92A91"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08085E" w:rsidRDefault="0008085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30889" w:rsidRPr="00D30889">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08085E" w:rsidRDefault="0008085E" w:rsidP="007D4651">
    <w:pPr>
      <w:pStyle w:val="Piedepgina"/>
      <w:tabs>
        <w:tab w:val="clear" w:pos="4419"/>
        <w:tab w:val="clear" w:pos="8838"/>
        <w:tab w:val="left" w:pos="5777"/>
      </w:tabs>
    </w:pPr>
  </w:p>
  <w:p w:rsidR="0008085E" w:rsidRDefault="0008085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602346125"/>
      <w:docPartObj>
        <w:docPartGallery w:val="Page Numbers (Bottom of Page)"/>
        <w:docPartUnique/>
      </w:docPartObj>
    </w:sdtPr>
    <w:sdtEndPr/>
    <w:sdtContent>
      <w:p w:rsidR="0008085E" w:rsidRDefault="0008085E">
        <w:pPr>
          <w:pStyle w:val="Piedepgina"/>
          <w:jc w:val="right"/>
          <w:rPr>
            <w:lang w:val="es-ES"/>
          </w:rPr>
        </w:pPr>
      </w:p>
      <w:p w:rsidR="0008085E" w:rsidRDefault="0008085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1C09A494" wp14:editId="38FB80EE">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D22DF1A"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08085E" w:rsidRDefault="0008085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30889" w:rsidRPr="00D30889">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08085E" w:rsidRDefault="0008085E" w:rsidP="007D4651">
    <w:pPr>
      <w:pStyle w:val="Piedepgina"/>
      <w:tabs>
        <w:tab w:val="clear" w:pos="4419"/>
        <w:tab w:val="clear" w:pos="8838"/>
        <w:tab w:val="left" w:pos="5777"/>
      </w:tabs>
    </w:pPr>
  </w:p>
  <w:p w:rsidR="0008085E" w:rsidRDefault="0008085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75777905"/>
      <w:docPartObj>
        <w:docPartGallery w:val="Page Numbers (Bottom of Page)"/>
        <w:docPartUnique/>
      </w:docPartObj>
    </w:sdtPr>
    <w:sdtEndPr/>
    <w:sdtContent>
      <w:p w:rsidR="0008085E" w:rsidRDefault="0008085E">
        <w:pPr>
          <w:pStyle w:val="Piedepgina"/>
          <w:jc w:val="right"/>
          <w:rPr>
            <w:lang w:val="es-ES"/>
          </w:rPr>
        </w:pPr>
      </w:p>
      <w:p w:rsidR="0008085E" w:rsidRDefault="0008085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5E44A49F" wp14:editId="0A6C414E">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73A2FEC"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08085E" w:rsidRDefault="0008085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30889" w:rsidRPr="00D30889">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08085E" w:rsidRDefault="0008085E" w:rsidP="007D4651">
    <w:pPr>
      <w:pStyle w:val="Piedepgina"/>
      <w:tabs>
        <w:tab w:val="clear" w:pos="4419"/>
        <w:tab w:val="clear" w:pos="8838"/>
        <w:tab w:val="left" w:pos="5777"/>
      </w:tabs>
    </w:pPr>
  </w:p>
  <w:p w:rsidR="0008085E" w:rsidRDefault="0008085E"/>
  <w:p w:rsidR="00433228" w:rsidRDefault="004332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970" w:rsidRDefault="00D57970" w:rsidP="007D4651">
      <w:pPr>
        <w:spacing w:after="0" w:line="240" w:lineRule="auto"/>
      </w:pPr>
      <w:r>
        <w:separator/>
      </w:r>
    </w:p>
  </w:footnote>
  <w:footnote w:type="continuationSeparator" w:id="0">
    <w:p w:rsidR="00D57970" w:rsidRDefault="00D57970" w:rsidP="007D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5E" w:rsidRPr="002E105E" w:rsidRDefault="0008085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40512" behindDoc="1" locked="1" layoutInCell="1" allowOverlap="1" wp14:anchorId="3F9D6F89" wp14:editId="15CCC09A">
          <wp:simplePos x="0" y="0"/>
          <wp:positionH relativeFrom="column">
            <wp:posOffset>-46990</wp:posOffset>
          </wp:positionH>
          <wp:positionV relativeFrom="page">
            <wp:posOffset>217805</wp:posOffset>
          </wp:positionV>
          <wp:extent cx="1282700" cy="1022985"/>
          <wp:effectExtent l="0" t="0" r="0" b="5715"/>
          <wp:wrapNone/>
          <wp:docPr id="3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85E" w:rsidRPr="002E105E" w:rsidRDefault="0008085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Noviembre</w:t>
    </w:r>
    <w:r w:rsidRPr="002E105E">
      <w:rPr>
        <w:rFonts w:ascii="Times New Roman" w:hAnsi="Times New Roman" w:cs="Times New Roman"/>
        <w:color w:val="1F497D" w:themeColor="text2"/>
        <w:sz w:val="20"/>
        <w:lang w:val="es-MX"/>
      </w:rPr>
      <w:t xml:space="preserve"> 2021</w:t>
    </w:r>
  </w:p>
  <w:p w:rsidR="0008085E" w:rsidRDefault="0008085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39488" behindDoc="0" locked="0" layoutInCell="1" allowOverlap="1" wp14:anchorId="6B0581A6" wp14:editId="4D4BB5DD">
              <wp:simplePos x="0" y="0"/>
              <wp:positionH relativeFrom="column">
                <wp:posOffset>1352514</wp:posOffset>
              </wp:positionH>
              <wp:positionV relativeFrom="paragraph">
                <wp:posOffset>12472</wp:posOffset>
              </wp:positionV>
              <wp:extent cx="4744528" cy="45719"/>
              <wp:effectExtent l="38100" t="38100" r="56515" b="88265"/>
              <wp:wrapNone/>
              <wp:docPr id="250"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C1C33CC" id="11 Rectángulo" o:spid="_x0000_s1026" style="position:absolute;margin-left:106.5pt;margin-top:1pt;width:373.6pt;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&#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MkWJBj4DAACo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08085E" w:rsidRPr="0073581B" w:rsidRDefault="0008085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08085E" w:rsidRPr="00E16925" w:rsidRDefault="0008085E"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5E" w:rsidRPr="002E105E" w:rsidRDefault="0008085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5696" behindDoc="1" locked="1" layoutInCell="1" allowOverlap="1" wp14:anchorId="6CB9F458" wp14:editId="34DFD479">
          <wp:simplePos x="0" y="0"/>
          <wp:positionH relativeFrom="column">
            <wp:posOffset>-46990</wp:posOffset>
          </wp:positionH>
          <wp:positionV relativeFrom="page">
            <wp:posOffset>217805</wp:posOffset>
          </wp:positionV>
          <wp:extent cx="1282700" cy="1022985"/>
          <wp:effectExtent l="0" t="0" r="0" b="5715"/>
          <wp:wrapNone/>
          <wp:docPr id="3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85E" w:rsidRPr="002E105E" w:rsidRDefault="0008085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Septiembre</w:t>
    </w:r>
    <w:r w:rsidRPr="002E105E">
      <w:rPr>
        <w:rFonts w:ascii="Times New Roman" w:hAnsi="Times New Roman" w:cs="Times New Roman"/>
        <w:color w:val="1F497D" w:themeColor="text2"/>
        <w:sz w:val="20"/>
        <w:lang w:val="es-MX"/>
      </w:rPr>
      <w:t xml:space="preserve"> 2021</w:t>
    </w:r>
  </w:p>
  <w:p w:rsidR="0008085E" w:rsidRDefault="0008085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4672" behindDoc="0" locked="0" layoutInCell="1" allowOverlap="1" wp14:anchorId="09E6ED38" wp14:editId="7B2726DA">
              <wp:simplePos x="0" y="0"/>
              <wp:positionH relativeFrom="column">
                <wp:posOffset>1352514</wp:posOffset>
              </wp:positionH>
              <wp:positionV relativeFrom="paragraph">
                <wp:posOffset>12472</wp:posOffset>
              </wp:positionV>
              <wp:extent cx="4744528" cy="45719"/>
              <wp:effectExtent l="38100" t="38100" r="56515" b="88265"/>
              <wp:wrapNone/>
              <wp:docPr id="18"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2054779" id="11 Rectángulo" o:spid="_x0000_s1026" style="position:absolute;margin-left:106.5pt;margin-top:1pt;width:373.6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08085E" w:rsidRPr="0073581B" w:rsidRDefault="0008085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08085E" w:rsidRPr="00E16925" w:rsidRDefault="0008085E"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5E" w:rsidRPr="002E105E" w:rsidRDefault="0008085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3952" behindDoc="1" locked="1" layoutInCell="1" allowOverlap="1" wp14:anchorId="3A88749B" wp14:editId="1FEE2DF6">
          <wp:simplePos x="0" y="0"/>
          <wp:positionH relativeFrom="column">
            <wp:posOffset>-46990</wp:posOffset>
          </wp:positionH>
          <wp:positionV relativeFrom="page">
            <wp:posOffset>217805</wp:posOffset>
          </wp:positionV>
          <wp:extent cx="1282700" cy="1022985"/>
          <wp:effectExtent l="0" t="0" r="0" b="5715"/>
          <wp:wrapNone/>
          <wp:docPr id="3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85E" w:rsidRPr="002E105E" w:rsidRDefault="0008085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Noviembre</w:t>
    </w:r>
    <w:r w:rsidRPr="002E105E">
      <w:rPr>
        <w:rFonts w:ascii="Times New Roman" w:hAnsi="Times New Roman" w:cs="Times New Roman"/>
        <w:color w:val="1F497D" w:themeColor="text2"/>
        <w:sz w:val="20"/>
        <w:lang w:val="es-MX"/>
      </w:rPr>
      <w:t xml:space="preserve"> 2021</w:t>
    </w:r>
  </w:p>
  <w:p w:rsidR="0008085E" w:rsidRDefault="0008085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1904" behindDoc="0" locked="0" layoutInCell="1" allowOverlap="1" wp14:anchorId="0F65ED11" wp14:editId="54446F94">
              <wp:simplePos x="0" y="0"/>
              <wp:positionH relativeFrom="column">
                <wp:posOffset>1352514</wp:posOffset>
              </wp:positionH>
              <wp:positionV relativeFrom="paragraph">
                <wp:posOffset>12472</wp:posOffset>
              </wp:positionV>
              <wp:extent cx="4744528" cy="45719"/>
              <wp:effectExtent l="38100" t="38100" r="56515" b="88265"/>
              <wp:wrapNone/>
              <wp:docPr id="1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57EF83" id="11 Rectángulo" o:spid="_x0000_s1026" style="position:absolute;margin-left:106.5pt;margin-top:1pt;width:373.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&#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B4xDSQ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08085E" w:rsidRPr="0073581B" w:rsidRDefault="0008085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08085E" w:rsidRPr="00E16925" w:rsidRDefault="0008085E" w:rsidP="00E16925">
    <w:pPr>
      <w:pStyle w:val="Encabezado"/>
      <w:rPr>
        <w:rFonts w:ascii="Times New Roman" w:hAnsi="Times New Roman" w:cs="Times New Roman"/>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F6F" w:rsidRPr="002E105E" w:rsidRDefault="00852F6F" w:rsidP="00852F6F">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43584" behindDoc="1" locked="1" layoutInCell="1" allowOverlap="1" wp14:anchorId="2A01B9CE" wp14:editId="1F41D866">
          <wp:simplePos x="0" y="0"/>
          <wp:positionH relativeFrom="column">
            <wp:posOffset>-46990</wp:posOffset>
          </wp:positionH>
          <wp:positionV relativeFrom="page">
            <wp:posOffset>217805</wp:posOffset>
          </wp:positionV>
          <wp:extent cx="1282700" cy="1022985"/>
          <wp:effectExtent l="0" t="0" r="0" b="5715"/>
          <wp:wrapNone/>
          <wp:docPr id="3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2F6F" w:rsidRPr="002E105E" w:rsidRDefault="00852F6F" w:rsidP="00852F6F">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Noviembre</w:t>
    </w:r>
    <w:r w:rsidRPr="002E105E">
      <w:rPr>
        <w:rFonts w:ascii="Times New Roman" w:hAnsi="Times New Roman" w:cs="Times New Roman"/>
        <w:color w:val="1F497D" w:themeColor="text2"/>
        <w:sz w:val="20"/>
        <w:lang w:val="es-MX"/>
      </w:rPr>
      <w:t xml:space="preserve"> 2021</w:t>
    </w:r>
  </w:p>
  <w:p w:rsidR="00852F6F" w:rsidRDefault="00852F6F" w:rsidP="00852F6F">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42560" behindDoc="0" locked="0" layoutInCell="1" allowOverlap="1" wp14:anchorId="3C177C40" wp14:editId="6C0669C1">
              <wp:simplePos x="0" y="0"/>
              <wp:positionH relativeFrom="column">
                <wp:posOffset>1352514</wp:posOffset>
              </wp:positionH>
              <wp:positionV relativeFrom="paragraph">
                <wp:posOffset>12472</wp:posOffset>
              </wp:positionV>
              <wp:extent cx="4744528" cy="45719"/>
              <wp:effectExtent l="38100" t="38100" r="56515" b="88265"/>
              <wp:wrapNone/>
              <wp:docPr id="37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5EF45FF" id="11 Rectángulo" o:spid="_x0000_s1026" style="position:absolute;margin-left:106.5pt;margin-top:1pt;width:373.6pt;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52F6F" w:rsidRPr="0073581B" w:rsidRDefault="00852F6F" w:rsidP="00852F6F">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08085E" w:rsidRPr="00E16925" w:rsidRDefault="0008085E"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5E" w:rsidRPr="002E105E" w:rsidRDefault="0008085E"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77024" behindDoc="0" locked="0" layoutInCell="1" allowOverlap="1" wp14:anchorId="295B4B93" wp14:editId="2E6F05B8">
          <wp:simplePos x="0" y="0"/>
          <wp:positionH relativeFrom="column">
            <wp:posOffset>-548640</wp:posOffset>
          </wp:positionH>
          <wp:positionV relativeFrom="paragraph">
            <wp:posOffset>-8587</wp:posOffset>
          </wp:positionV>
          <wp:extent cx="1598212" cy="723976"/>
          <wp:effectExtent l="0" t="0" r="2540" b="0"/>
          <wp:wrapNone/>
          <wp:docPr id="364" name="Imagen 36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8048" behindDoc="1" locked="1" layoutInCell="1" allowOverlap="1" wp14:anchorId="743B29F9" wp14:editId="1CC63643">
          <wp:simplePos x="0" y="0"/>
          <wp:positionH relativeFrom="column">
            <wp:posOffset>5207000</wp:posOffset>
          </wp:positionH>
          <wp:positionV relativeFrom="page">
            <wp:posOffset>166370</wp:posOffset>
          </wp:positionV>
          <wp:extent cx="1282700" cy="1022985"/>
          <wp:effectExtent l="0" t="0" r="0" b="5715"/>
          <wp:wrapNone/>
          <wp:docPr id="3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85E" w:rsidRPr="002E105E" w:rsidRDefault="0008085E"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rsidR="0008085E" w:rsidRDefault="0008085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6000" behindDoc="0" locked="0" layoutInCell="1" allowOverlap="1" wp14:anchorId="7B1C651A" wp14:editId="0B5FA291">
              <wp:simplePos x="0" y="0"/>
              <wp:positionH relativeFrom="column">
                <wp:posOffset>1214617</wp:posOffset>
              </wp:positionH>
              <wp:positionV relativeFrom="paragraph">
                <wp:posOffset>14357</wp:posOffset>
              </wp:positionV>
              <wp:extent cx="3991555" cy="45719"/>
              <wp:effectExtent l="38100" t="38100" r="66675" b="88265"/>
              <wp:wrapNone/>
              <wp:docPr id="236"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F4E741E" id="11 Rectángulo" o:spid="_x0000_s1026" style="position:absolute;margin-left:95.65pt;margin-top:1.15pt;width:314.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CKrkFE/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08085E" w:rsidRPr="0073581B" w:rsidRDefault="0008085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08085E" w:rsidRPr="00E16925" w:rsidRDefault="0008085E"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5E" w:rsidRPr="002E105E" w:rsidRDefault="0008085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8768" behindDoc="1" locked="1" layoutInCell="1" allowOverlap="1" wp14:anchorId="18818104" wp14:editId="3B3F3A1D">
          <wp:simplePos x="0" y="0"/>
          <wp:positionH relativeFrom="column">
            <wp:posOffset>-46990</wp:posOffset>
          </wp:positionH>
          <wp:positionV relativeFrom="page">
            <wp:posOffset>217805</wp:posOffset>
          </wp:positionV>
          <wp:extent cx="1282700" cy="1022985"/>
          <wp:effectExtent l="0" t="0" r="0" b="5715"/>
          <wp:wrapNone/>
          <wp:docPr id="3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85E" w:rsidRPr="002E105E" w:rsidRDefault="0008085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Noviembre</w:t>
    </w:r>
    <w:r w:rsidRPr="002E105E">
      <w:rPr>
        <w:rFonts w:ascii="Times New Roman" w:hAnsi="Times New Roman" w:cs="Times New Roman"/>
        <w:color w:val="1F497D" w:themeColor="text2"/>
        <w:sz w:val="20"/>
        <w:lang w:val="es-MX"/>
      </w:rPr>
      <w:t xml:space="preserve"> 2021</w:t>
    </w:r>
  </w:p>
  <w:p w:rsidR="0008085E" w:rsidRDefault="0008085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7744" behindDoc="0" locked="0" layoutInCell="1" allowOverlap="1" wp14:anchorId="03A54534" wp14:editId="765C871F">
              <wp:simplePos x="0" y="0"/>
              <wp:positionH relativeFrom="column">
                <wp:posOffset>1352514</wp:posOffset>
              </wp:positionH>
              <wp:positionV relativeFrom="paragraph">
                <wp:posOffset>12472</wp:posOffset>
              </wp:positionV>
              <wp:extent cx="4744528" cy="45719"/>
              <wp:effectExtent l="38100" t="38100" r="56515" b="88265"/>
              <wp:wrapNone/>
              <wp:docPr id="24"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8BE9D67" id="11 Rectángulo" o:spid="_x0000_s1026" style="position:absolute;margin-left:106.5pt;margin-top:1pt;width:373.6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&#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SoC73j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08085E" w:rsidRPr="0073581B" w:rsidRDefault="0008085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08085E" w:rsidRPr="00E16925" w:rsidRDefault="0008085E"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5E" w:rsidRPr="002E105E" w:rsidRDefault="0008085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11840" behindDoc="1" locked="1" layoutInCell="1" allowOverlap="1" wp14:anchorId="1DAD0222" wp14:editId="1137A1DB">
          <wp:simplePos x="0" y="0"/>
          <wp:positionH relativeFrom="column">
            <wp:posOffset>-46990</wp:posOffset>
          </wp:positionH>
          <wp:positionV relativeFrom="page">
            <wp:posOffset>217805</wp:posOffset>
          </wp:positionV>
          <wp:extent cx="1282700" cy="1022985"/>
          <wp:effectExtent l="0" t="0" r="0" b="5715"/>
          <wp:wrapNone/>
          <wp:docPr id="3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85E" w:rsidRPr="002E105E" w:rsidRDefault="0008085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Noviembre</w:t>
    </w:r>
    <w:r w:rsidRPr="002E105E">
      <w:rPr>
        <w:rFonts w:ascii="Times New Roman" w:hAnsi="Times New Roman" w:cs="Times New Roman"/>
        <w:color w:val="1F497D" w:themeColor="text2"/>
        <w:sz w:val="20"/>
        <w:lang w:val="es-MX"/>
      </w:rPr>
      <w:t xml:space="preserve"> 2021</w:t>
    </w:r>
  </w:p>
  <w:p w:rsidR="0008085E" w:rsidRDefault="0008085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10816" behindDoc="0" locked="0" layoutInCell="1" allowOverlap="1" wp14:anchorId="1E48F752" wp14:editId="7044D76F">
              <wp:simplePos x="0" y="0"/>
              <wp:positionH relativeFrom="column">
                <wp:posOffset>1352514</wp:posOffset>
              </wp:positionH>
              <wp:positionV relativeFrom="paragraph">
                <wp:posOffset>12472</wp:posOffset>
              </wp:positionV>
              <wp:extent cx="4744528" cy="45719"/>
              <wp:effectExtent l="38100" t="38100" r="56515" b="88265"/>
              <wp:wrapNone/>
              <wp:docPr id="2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D8A4B6E" id="11 Rectángulo" o:spid="_x0000_s1026" style="position:absolute;margin-left:106.5pt;margin-top:1pt;width:373.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&#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CiEAU+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08085E" w:rsidRPr="0073581B" w:rsidRDefault="0008085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08085E" w:rsidRPr="00E16925" w:rsidRDefault="0008085E"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85E" w:rsidRPr="002E105E" w:rsidRDefault="0008085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24128" behindDoc="1" locked="1" layoutInCell="1" allowOverlap="1" wp14:anchorId="0ACFCA61" wp14:editId="60938FBA">
          <wp:simplePos x="0" y="0"/>
          <wp:positionH relativeFrom="column">
            <wp:posOffset>-46990</wp:posOffset>
          </wp:positionH>
          <wp:positionV relativeFrom="page">
            <wp:posOffset>217805</wp:posOffset>
          </wp:positionV>
          <wp:extent cx="1282700" cy="102298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85E" w:rsidRPr="002E105E" w:rsidRDefault="0008085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Noviembre</w:t>
    </w:r>
    <w:r w:rsidRPr="002E105E">
      <w:rPr>
        <w:rFonts w:ascii="Times New Roman" w:hAnsi="Times New Roman" w:cs="Times New Roman"/>
        <w:color w:val="1F497D" w:themeColor="text2"/>
        <w:sz w:val="20"/>
        <w:lang w:val="es-MX"/>
      </w:rPr>
      <w:t xml:space="preserve"> 2021</w:t>
    </w:r>
  </w:p>
  <w:p w:rsidR="0008085E" w:rsidRDefault="0008085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23104" behindDoc="0" locked="0" layoutInCell="1" allowOverlap="1" wp14:anchorId="17FDBE05" wp14:editId="7C6F8B6C">
              <wp:simplePos x="0" y="0"/>
              <wp:positionH relativeFrom="column">
                <wp:posOffset>1352514</wp:posOffset>
              </wp:positionH>
              <wp:positionV relativeFrom="paragraph">
                <wp:posOffset>12472</wp:posOffset>
              </wp:positionV>
              <wp:extent cx="4744528" cy="45719"/>
              <wp:effectExtent l="38100" t="38100" r="56515" b="88265"/>
              <wp:wrapNone/>
              <wp:docPr id="35"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AEE2E6E" id="11 Rectángulo" o:spid="_x0000_s1026" style="position:absolute;margin-left:106.5pt;margin-top:1pt;width:373.6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pEPB5D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08085E" w:rsidRPr="0073581B" w:rsidRDefault="0008085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08085E" w:rsidRPr="00E16925" w:rsidRDefault="0008085E" w:rsidP="00E16925">
    <w:pPr>
      <w:pStyle w:val="Encabezado"/>
      <w:rPr>
        <w:rFonts w:ascii="Times New Roman" w:hAnsi="Times New Roman" w:cs="Times New Roman"/>
        <w:lang w:val="es-MX"/>
      </w:rPr>
    </w:pPr>
  </w:p>
  <w:p w:rsidR="00433228" w:rsidRDefault="004332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9E5567E"/>
    <w:multiLevelType w:val="hybridMultilevel"/>
    <w:tmpl w:val="668C7A32"/>
    <w:lvl w:ilvl="0" w:tplc="3E663D0C">
      <w:start w:val="1"/>
      <w:numFmt w:val="lowerLetter"/>
      <w:lvlText w:val="%1)"/>
      <w:lvlJc w:val="left"/>
      <w:pPr>
        <w:ind w:left="720" w:hanging="360"/>
      </w:pPr>
      <w:rPr>
        <w:rFonts w:ascii="Times New Roman" w:eastAsiaTheme="minorHAnsi" w:hAnsi="Times New Roman" w:cs="Times New Roman"/>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32FF1852"/>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nsid w:val="34920911"/>
    <w:multiLevelType w:val="hybridMultilevel"/>
    <w:tmpl w:val="110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37515E66"/>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AF330C7"/>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3FF856EE"/>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69506CB3"/>
    <w:multiLevelType w:val="hybridMultilevel"/>
    <w:tmpl w:val="E098E3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7BFA7B7A"/>
    <w:multiLevelType w:val="hybridMultilevel"/>
    <w:tmpl w:val="83745F2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23"/>
  </w:num>
  <w:num w:numId="7">
    <w:abstractNumId w:val="21"/>
  </w:num>
  <w:num w:numId="8">
    <w:abstractNumId w:val="4"/>
  </w:num>
  <w:num w:numId="9">
    <w:abstractNumId w:val="12"/>
  </w:num>
  <w:num w:numId="10">
    <w:abstractNumId w:val="7"/>
  </w:num>
  <w:num w:numId="11">
    <w:abstractNumId w:val="10"/>
  </w:num>
  <w:num w:numId="12">
    <w:abstractNumId w:val="8"/>
  </w:num>
  <w:num w:numId="13">
    <w:abstractNumId w:val="0"/>
  </w:num>
  <w:num w:numId="14">
    <w:abstractNumId w:val="3"/>
  </w:num>
  <w:num w:numId="15">
    <w:abstractNumId w:val="6"/>
  </w:num>
  <w:num w:numId="16">
    <w:abstractNumId w:val="20"/>
  </w:num>
  <w:num w:numId="17">
    <w:abstractNumId w:val="13"/>
  </w:num>
  <w:num w:numId="18">
    <w:abstractNumId w:val="19"/>
  </w:num>
  <w:num w:numId="19">
    <w:abstractNumId w:val="14"/>
  </w:num>
  <w:num w:numId="20">
    <w:abstractNumId w:val="15"/>
  </w:num>
  <w:num w:numId="21">
    <w:abstractNumId w:val="16"/>
  </w:num>
  <w:num w:numId="22">
    <w:abstractNumId w:val="11"/>
  </w:num>
  <w:num w:numId="23">
    <w:abstractNumId w:val="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51"/>
    <w:rsid w:val="0000354D"/>
    <w:rsid w:val="000053A7"/>
    <w:rsid w:val="00006489"/>
    <w:rsid w:val="000064C3"/>
    <w:rsid w:val="000067B1"/>
    <w:rsid w:val="00010575"/>
    <w:rsid w:val="00011BF4"/>
    <w:rsid w:val="00013A7F"/>
    <w:rsid w:val="00013C63"/>
    <w:rsid w:val="0001606E"/>
    <w:rsid w:val="0001624A"/>
    <w:rsid w:val="00020E23"/>
    <w:rsid w:val="00022E98"/>
    <w:rsid w:val="00025121"/>
    <w:rsid w:val="00025788"/>
    <w:rsid w:val="00025D1E"/>
    <w:rsid w:val="0002628B"/>
    <w:rsid w:val="0002658D"/>
    <w:rsid w:val="00035835"/>
    <w:rsid w:val="000378CF"/>
    <w:rsid w:val="00040C99"/>
    <w:rsid w:val="00042B27"/>
    <w:rsid w:val="00045D14"/>
    <w:rsid w:val="0004709F"/>
    <w:rsid w:val="00051776"/>
    <w:rsid w:val="00051A92"/>
    <w:rsid w:val="000530BD"/>
    <w:rsid w:val="00053517"/>
    <w:rsid w:val="0006261A"/>
    <w:rsid w:val="00063120"/>
    <w:rsid w:val="0006646A"/>
    <w:rsid w:val="00067F82"/>
    <w:rsid w:val="000704F4"/>
    <w:rsid w:val="000723B2"/>
    <w:rsid w:val="00072EEB"/>
    <w:rsid w:val="00073F2F"/>
    <w:rsid w:val="0007494B"/>
    <w:rsid w:val="00074BC6"/>
    <w:rsid w:val="00076AB4"/>
    <w:rsid w:val="00076AD2"/>
    <w:rsid w:val="00076BF9"/>
    <w:rsid w:val="000802A8"/>
    <w:rsid w:val="0008085E"/>
    <w:rsid w:val="00080B88"/>
    <w:rsid w:val="00080BD8"/>
    <w:rsid w:val="000812E3"/>
    <w:rsid w:val="0008320B"/>
    <w:rsid w:val="0008348D"/>
    <w:rsid w:val="00084499"/>
    <w:rsid w:val="00087ADE"/>
    <w:rsid w:val="00091917"/>
    <w:rsid w:val="00094C53"/>
    <w:rsid w:val="000A0A4F"/>
    <w:rsid w:val="000A6E8E"/>
    <w:rsid w:val="000B0279"/>
    <w:rsid w:val="000B20DC"/>
    <w:rsid w:val="000B568D"/>
    <w:rsid w:val="000B56CE"/>
    <w:rsid w:val="000B6744"/>
    <w:rsid w:val="000C1547"/>
    <w:rsid w:val="000C1FF2"/>
    <w:rsid w:val="000C21E1"/>
    <w:rsid w:val="000C2C25"/>
    <w:rsid w:val="000C4EC0"/>
    <w:rsid w:val="000C65AB"/>
    <w:rsid w:val="000D016D"/>
    <w:rsid w:val="000D2E0C"/>
    <w:rsid w:val="000D2FA4"/>
    <w:rsid w:val="000D489E"/>
    <w:rsid w:val="000D7057"/>
    <w:rsid w:val="000E164F"/>
    <w:rsid w:val="000E43A8"/>
    <w:rsid w:val="000E4859"/>
    <w:rsid w:val="000E5E43"/>
    <w:rsid w:val="000F0085"/>
    <w:rsid w:val="000F1314"/>
    <w:rsid w:val="000F3B7F"/>
    <w:rsid w:val="000F4520"/>
    <w:rsid w:val="000F509C"/>
    <w:rsid w:val="000F5A9A"/>
    <w:rsid w:val="000F5F87"/>
    <w:rsid w:val="000F6E9F"/>
    <w:rsid w:val="000F70B3"/>
    <w:rsid w:val="000F7F65"/>
    <w:rsid w:val="00102939"/>
    <w:rsid w:val="00103705"/>
    <w:rsid w:val="00103DA9"/>
    <w:rsid w:val="001045CE"/>
    <w:rsid w:val="00106793"/>
    <w:rsid w:val="00106A31"/>
    <w:rsid w:val="00107309"/>
    <w:rsid w:val="00107D10"/>
    <w:rsid w:val="00110662"/>
    <w:rsid w:val="0011194C"/>
    <w:rsid w:val="00111B77"/>
    <w:rsid w:val="001178B6"/>
    <w:rsid w:val="00120C4D"/>
    <w:rsid w:val="001259BA"/>
    <w:rsid w:val="0012792C"/>
    <w:rsid w:val="0013022C"/>
    <w:rsid w:val="0013163B"/>
    <w:rsid w:val="001339A4"/>
    <w:rsid w:val="00133DBA"/>
    <w:rsid w:val="0013436D"/>
    <w:rsid w:val="001353D2"/>
    <w:rsid w:val="00136989"/>
    <w:rsid w:val="00136D08"/>
    <w:rsid w:val="0014167F"/>
    <w:rsid w:val="00142BF3"/>
    <w:rsid w:val="00142F1A"/>
    <w:rsid w:val="00143620"/>
    <w:rsid w:val="00145313"/>
    <w:rsid w:val="001463FC"/>
    <w:rsid w:val="00150585"/>
    <w:rsid w:val="00152798"/>
    <w:rsid w:val="001549AB"/>
    <w:rsid w:val="00154C2D"/>
    <w:rsid w:val="00155A02"/>
    <w:rsid w:val="00156534"/>
    <w:rsid w:val="00156DE0"/>
    <w:rsid w:val="00157402"/>
    <w:rsid w:val="00157C3A"/>
    <w:rsid w:val="00160EAC"/>
    <w:rsid w:val="00163944"/>
    <w:rsid w:val="00171909"/>
    <w:rsid w:val="001735EE"/>
    <w:rsid w:val="00174121"/>
    <w:rsid w:val="001741D8"/>
    <w:rsid w:val="0017454D"/>
    <w:rsid w:val="00180819"/>
    <w:rsid w:val="00182730"/>
    <w:rsid w:val="00183252"/>
    <w:rsid w:val="00183309"/>
    <w:rsid w:val="00185253"/>
    <w:rsid w:val="001913A4"/>
    <w:rsid w:val="00196A44"/>
    <w:rsid w:val="001A0C82"/>
    <w:rsid w:val="001A27B3"/>
    <w:rsid w:val="001A3185"/>
    <w:rsid w:val="001A6038"/>
    <w:rsid w:val="001A790A"/>
    <w:rsid w:val="001A79F4"/>
    <w:rsid w:val="001A7B1C"/>
    <w:rsid w:val="001B1DBB"/>
    <w:rsid w:val="001B3984"/>
    <w:rsid w:val="001B3EEE"/>
    <w:rsid w:val="001B4A4C"/>
    <w:rsid w:val="001B5046"/>
    <w:rsid w:val="001C2FF5"/>
    <w:rsid w:val="001C3649"/>
    <w:rsid w:val="001C67EF"/>
    <w:rsid w:val="001C7451"/>
    <w:rsid w:val="001D0065"/>
    <w:rsid w:val="001D01CB"/>
    <w:rsid w:val="001D1406"/>
    <w:rsid w:val="001D3345"/>
    <w:rsid w:val="001D46C3"/>
    <w:rsid w:val="001D4C8E"/>
    <w:rsid w:val="001D5A5B"/>
    <w:rsid w:val="001D7142"/>
    <w:rsid w:val="001E05BE"/>
    <w:rsid w:val="001E0E10"/>
    <w:rsid w:val="001E0F86"/>
    <w:rsid w:val="001E3B99"/>
    <w:rsid w:val="001E4CD2"/>
    <w:rsid w:val="001E61BB"/>
    <w:rsid w:val="001F1609"/>
    <w:rsid w:val="001F2EA3"/>
    <w:rsid w:val="001F34AD"/>
    <w:rsid w:val="001F4EE1"/>
    <w:rsid w:val="001F4F78"/>
    <w:rsid w:val="001F5240"/>
    <w:rsid w:val="001F5581"/>
    <w:rsid w:val="001F7141"/>
    <w:rsid w:val="00200FB1"/>
    <w:rsid w:val="00202594"/>
    <w:rsid w:val="0020377F"/>
    <w:rsid w:val="00205BF7"/>
    <w:rsid w:val="00207693"/>
    <w:rsid w:val="002101C9"/>
    <w:rsid w:val="00212A2C"/>
    <w:rsid w:val="00213C92"/>
    <w:rsid w:val="0021435D"/>
    <w:rsid w:val="00216605"/>
    <w:rsid w:val="0021693D"/>
    <w:rsid w:val="00216B0E"/>
    <w:rsid w:val="00216DA8"/>
    <w:rsid w:val="002215C9"/>
    <w:rsid w:val="00222598"/>
    <w:rsid w:val="00226B35"/>
    <w:rsid w:val="002302ED"/>
    <w:rsid w:val="00232A32"/>
    <w:rsid w:val="002335EE"/>
    <w:rsid w:val="00233EB9"/>
    <w:rsid w:val="00234F86"/>
    <w:rsid w:val="0023642A"/>
    <w:rsid w:val="00240D86"/>
    <w:rsid w:val="00242202"/>
    <w:rsid w:val="00242A7B"/>
    <w:rsid w:val="00244AAA"/>
    <w:rsid w:val="00246DD3"/>
    <w:rsid w:val="0025116F"/>
    <w:rsid w:val="002512EC"/>
    <w:rsid w:val="00251969"/>
    <w:rsid w:val="00252B28"/>
    <w:rsid w:val="00255F1F"/>
    <w:rsid w:val="0025608A"/>
    <w:rsid w:val="00256F02"/>
    <w:rsid w:val="002610FC"/>
    <w:rsid w:val="00261B5A"/>
    <w:rsid w:val="00261B7A"/>
    <w:rsid w:val="00262E76"/>
    <w:rsid w:val="00263007"/>
    <w:rsid w:val="00263CC4"/>
    <w:rsid w:val="00264C3A"/>
    <w:rsid w:val="00264FC5"/>
    <w:rsid w:val="002672D5"/>
    <w:rsid w:val="00270CAB"/>
    <w:rsid w:val="002719C8"/>
    <w:rsid w:val="00271EDC"/>
    <w:rsid w:val="00273E2C"/>
    <w:rsid w:val="002752BD"/>
    <w:rsid w:val="00275B04"/>
    <w:rsid w:val="00275F3F"/>
    <w:rsid w:val="00276250"/>
    <w:rsid w:val="0027637A"/>
    <w:rsid w:val="00276A28"/>
    <w:rsid w:val="00281439"/>
    <w:rsid w:val="00281FB7"/>
    <w:rsid w:val="0028212F"/>
    <w:rsid w:val="00292AD2"/>
    <w:rsid w:val="00292AD8"/>
    <w:rsid w:val="0029321A"/>
    <w:rsid w:val="00295365"/>
    <w:rsid w:val="002955BE"/>
    <w:rsid w:val="00296D57"/>
    <w:rsid w:val="0029751C"/>
    <w:rsid w:val="002977ED"/>
    <w:rsid w:val="00297AA7"/>
    <w:rsid w:val="002A076B"/>
    <w:rsid w:val="002A375D"/>
    <w:rsid w:val="002A5B1B"/>
    <w:rsid w:val="002A63DE"/>
    <w:rsid w:val="002A7979"/>
    <w:rsid w:val="002B5E9D"/>
    <w:rsid w:val="002B7644"/>
    <w:rsid w:val="002B769D"/>
    <w:rsid w:val="002C0021"/>
    <w:rsid w:val="002C2547"/>
    <w:rsid w:val="002C482A"/>
    <w:rsid w:val="002C4CB2"/>
    <w:rsid w:val="002C6478"/>
    <w:rsid w:val="002C68B8"/>
    <w:rsid w:val="002C7F2B"/>
    <w:rsid w:val="002D0B6E"/>
    <w:rsid w:val="002D11E8"/>
    <w:rsid w:val="002D1C01"/>
    <w:rsid w:val="002D3469"/>
    <w:rsid w:val="002D54E6"/>
    <w:rsid w:val="002E105E"/>
    <w:rsid w:val="002E3F4C"/>
    <w:rsid w:val="002F0EAF"/>
    <w:rsid w:val="002F14AA"/>
    <w:rsid w:val="002F29DE"/>
    <w:rsid w:val="002F2A42"/>
    <w:rsid w:val="002F5408"/>
    <w:rsid w:val="002F7E08"/>
    <w:rsid w:val="002F7FDC"/>
    <w:rsid w:val="0030020D"/>
    <w:rsid w:val="003004FC"/>
    <w:rsid w:val="00302D40"/>
    <w:rsid w:val="00306038"/>
    <w:rsid w:val="0030695C"/>
    <w:rsid w:val="00312262"/>
    <w:rsid w:val="00312D85"/>
    <w:rsid w:val="0031651A"/>
    <w:rsid w:val="00317AA8"/>
    <w:rsid w:val="00321745"/>
    <w:rsid w:val="0032198D"/>
    <w:rsid w:val="00322ECC"/>
    <w:rsid w:val="00326005"/>
    <w:rsid w:val="00330A9D"/>
    <w:rsid w:val="00333949"/>
    <w:rsid w:val="00334324"/>
    <w:rsid w:val="00336F5B"/>
    <w:rsid w:val="003371DC"/>
    <w:rsid w:val="00340AB7"/>
    <w:rsid w:val="003421D8"/>
    <w:rsid w:val="00343A5D"/>
    <w:rsid w:val="00345216"/>
    <w:rsid w:val="00346F8B"/>
    <w:rsid w:val="0034700C"/>
    <w:rsid w:val="003523F0"/>
    <w:rsid w:val="0035279B"/>
    <w:rsid w:val="003531E5"/>
    <w:rsid w:val="003551C3"/>
    <w:rsid w:val="003566E1"/>
    <w:rsid w:val="0036168D"/>
    <w:rsid w:val="003649D9"/>
    <w:rsid w:val="00364DD6"/>
    <w:rsid w:val="00366770"/>
    <w:rsid w:val="00367E12"/>
    <w:rsid w:val="0037150D"/>
    <w:rsid w:val="00374D44"/>
    <w:rsid w:val="003762C5"/>
    <w:rsid w:val="00376802"/>
    <w:rsid w:val="00376FE9"/>
    <w:rsid w:val="003775B5"/>
    <w:rsid w:val="0038008D"/>
    <w:rsid w:val="003804E5"/>
    <w:rsid w:val="00381A4F"/>
    <w:rsid w:val="003844F4"/>
    <w:rsid w:val="0038488D"/>
    <w:rsid w:val="00385BA8"/>
    <w:rsid w:val="00387AFB"/>
    <w:rsid w:val="00393E59"/>
    <w:rsid w:val="0039499F"/>
    <w:rsid w:val="0039681F"/>
    <w:rsid w:val="003968DB"/>
    <w:rsid w:val="003A1300"/>
    <w:rsid w:val="003A3726"/>
    <w:rsid w:val="003A37AC"/>
    <w:rsid w:val="003A3AB5"/>
    <w:rsid w:val="003A72C9"/>
    <w:rsid w:val="003B00D2"/>
    <w:rsid w:val="003B13B4"/>
    <w:rsid w:val="003B1A93"/>
    <w:rsid w:val="003B24E3"/>
    <w:rsid w:val="003B7D31"/>
    <w:rsid w:val="003C3922"/>
    <w:rsid w:val="003C4892"/>
    <w:rsid w:val="003C7085"/>
    <w:rsid w:val="003D05CE"/>
    <w:rsid w:val="003D15F7"/>
    <w:rsid w:val="003D2128"/>
    <w:rsid w:val="003D2C99"/>
    <w:rsid w:val="003D38A7"/>
    <w:rsid w:val="003D557F"/>
    <w:rsid w:val="003D60E4"/>
    <w:rsid w:val="003D72D3"/>
    <w:rsid w:val="003D7EBA"/>
    <w:rsid w:val="003E25F8"/>
    <w:rsid w:val="003E2823"/>
    <w:rsid w:val="003E28F4"/>
    <w:rsid w:val="003E591D"/>
    <w:rsid w:val="003E70E0"/>
    <w:rsid w:val="003F0660"/>
    <w:rsid w:val="003F1E83"/>
    <w:rsid w:val="003F32A1"/>
    <w:rsid w:val="003F4609"/>
    <w:rsid w:val="003F7076"/>
    <w:rsid w:val="0040361C"/>
    <w:rsid w:val="004053C6"/>
    <w:rsid w:val="0040580B"/>
    <w:rsid w:val="00410690"/>
    <w:rsid w:val="00410B23"/>
    <w:rsid w:val="0041262B"/>
    <w:rsid w:val="00413452"/>
    <w:rsid w:val="00413FBE"/>
    <w:rsid w:val="00416D41"/>
    <w:rsid w:val="004212CC"/>
    <w:rsid w:val="00421BA0"/>
    <w:rsid w:val="0042387A"/>
    <w:rsid w:val="0042628E"/>
    <w:rsid w:val="00426F4F"/>
    <w:rsid w:val="00433228"/>
    <w:rsid w:val="004337AB"/>
    <w:rsid w:val="00434FC6"/>
    <w:rsid w:val="00443336"/>
    <w:rsid w:val="00443385"/>
    <w:rsid w:val="00443621"/>
    <w:rsid w:val="00443689"/>
    <w:rsid w:val="004456FD"/>
    <w:rsid w:val="00447F4F"/>
    <w:rsid w:val="00450531"/>
    <w:rsid w:val="00451504"/>
    <w:rsid w:val="00452A5A"/>
    <w:rsid w:val="004552E3"/>
    <w:rsid w:val="004575BA"/>
    <w:rsid w:val="004606FD"/>
    <w:rsid w:val="004611E4"/>
    <w:rsid w:val="00464DB9"/>
    <w:rsid w:val="004650C5"/>
    <w:rsid w:val="00465F37"/>
    <w:rsid w:val="00471B35"/>
    <w:rsid w:val="00474998"/>
    <w:rsid w:val="00474EC2"/>
    <w:rsid w:val="00476161"/>
    <w:rsid w:val="00480824"/>
    <w:rsid w:val="004830FD"/>
    <w:rsid w:val="004835C8"/>
    <w:rsid w:val="00483632"/>
    <w:rsid w:val="0048385B"/>
    <w:rsid w:val="00484E5F"/>
    <w:rsid w:val="00487136"/>
    <w:rsid w:val="00491F92"/>
    <w:rsid w:val="00492967"/>
    <w:rsid w:val="00494116"/>
    <w:rsid w:val="00494BC6"/>
    <w:rsid w:val="00494D1D"/>
    <w:rsid w:val="00495AE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2A11"/>
    <w:rsid w:val="004C3B4E"/>
    <w:rsid w:val="004C71BC"/>
    <w:rsid w:val="004D0A0F"/>
    <w:rsid w:val="004D1F76"/>
    <w:rsid w:val="004D401E"/>
    <w:rsid w:val="004D4775"/>
    <w:rsid w:val="004D7482"/>
    <w:rsid w:val="004E01C1"/>
    <w:rsid w:val="004E23E4"/>
    <w:rsid w:val="004E358C"/>
    <w:rsid w:val="004E4FDE"/>
    <w:rsid w:val="004E54B7"/>
    <w:rsid w:val="004E5D0E"/>
    <w:rsid w:val="004E61EC"/>
    <w:rsid w:val="004F02B2"/>
    <w:rsid w:val="004F4F4D"/>
    <w:rsid w:val="004F72F9"/>
    <w:rsid w:val="005004C9"/>
    <w:rsid w:val="005016F6"/>
    <w:rsid w:val="005016F7"/>
    <w:rsid w:val="00502FD6"/>
    <w:rsid w:val="00505063"/>
    <w:rsid w:val="00506BDB"/>
    <w:rsid w:val="005077A5"/>
    <w:rsid w:val="00507E67"/>
    <w:rsid w:val="005104DC"/>
    <w:rsid w:val="00511C93"/>
    <w:rsid w:val="00512601"/>
    <w:rsid w:val="0051308A"/>
    <w:rsid w:val="00513134"/>
    <w:rsid w:val="005136F3"/>
    <w:rsid w:val="00514CFD"/>
    <w:rsid w:val="00515C51"/>
    <w:rsid w:val="00515CE6"/>
    <w:rsid w:val="00517930"/>
    <w:rsid w:val="00520351"/>
    <w:rsid w:val="00520FB0"/>
    <w:rsid w:val="005226CD"/>
    <w:rsid w:val="00523738"/>
    <w:rsid w:val="00527291"/>
    <w:rsid w:val="00530EAC"/>
    <w:rsid w:val="00532025"/>
    <w:rsid w:val="0053566F"/>
    <w:rsid w:val="005364DE"/>
    <w:rsid w:val="00541A32"/>
    <w:rsid w:val="005428C6"/>
    <w:rsid w:val="00544962"/>
    <w:rsid w:val="00544E9A"/>
    <w:rsid w:val="00546650"/>
    <w:rsid w:val="0055248B"/>
    <w:rsid w:val="005537D0"/>
    <w:rsid w:val="005550D8"/>
    <w:rsid w:val="0055590E"/>
    <w:rsid w:val="00560B51"/>
    <w:rsid w:val="00561402"/>
    <w:rsid w:val="00562204"/>
    <w:rsid w:val="00573652"/>
    <w:rsid w:val="00573AB0"/>
    <w:rsid w:val="005755E9"/>
    <w:rsid w:val="00575DFA"/>
    <w:rsid w:val="00580066"/>
    <w:rsid w:val="00580234"/>
    <w:rsid w:val="005802BF"/>
    <w:rsid w:val="00580D47"/>
    <w:rsid w:val="00582F9F"/>
    <w:rsid w:val="005831AA"/>
    <w:rsid w:val="00586745"/>
    <w:rsid w:val="005879A5"/>
    <w:rsid w:val="00591D14"/>
    <w:rsid w:val="005925BD"/>
    <w:rsid w:val="00592D6E"/>
    <w:rsid w:val="0059421A"/>
    <w:rsid w:val="005948F0"/>
    <w:rsid w:val="005958E9"/>
    <w:rsid w:val="0059655C"/>
    <w:rsid w:val="00596662"/>
    <w:rsid w:val="0059700F"/>
    <w:rsid w:val="005979EB"/>
    <w:rsid w:val="005A03A9"/>
    <w:rsid w:val="005A1EFC"/>
    <w:rsid w:val="005A34F5"/>
    <w:rsid w:val="005A6ACE"/>
    <w:rsid w:val="005A6F91"/>
    <w:rsid w:val="005B0C8B"/>
    <w:rsid w:val="005B0E33"/>
    <w:rsid w:val="005B0E84"/>
    <w:rsid w:val="005B1B53"/>
    <w:rsid w:val="005B44D1"/>
    <w:rsid w:val="005B4E4C"/>
    <w:rsid w:val="005B6D05"/>
    <w:rsid w:val="005B78CA"/>
    <w:rsid w:val="005C103A"/>
    <w:rsid w:val="005C15AD"/>
    <w:rsid w:val="005C275E"/>
    <w:rsid w:val="005C4C97"/>
    <w:rsid w:val="005D2336"/>
    <w:rsid w:val="005D34FC"/>
    <w:rsid w:val="005D5151"/>
    <w:rsid w:val="005D51CA"/>
    <w:rsid w:val="005D6423"/>
    <w:rsid w:val="005D7AC4"/>
    <w:rsid w:val="005E4A68"/>
    <w:rsid w:val="005E4D76"/>
    <w:rsid w:val="005E6BD0"/>
    <w:rsid w:val="005E7E89"/>
    <w:rsid w:val="005F01EF"/>
    <w:rsid w:val="005F04EC"/>
    <w:rsid w:val="005F18DE"/>
    <w:rsid w:val="005F470C"/>
    <w:rsid w:val="005F493D"/>
    <w:rsid w:val="005F591A"/>
    <w:rsid w:val="0060094A"/>
    <w:rsid w:val="0060136C"/>
    <w:rsid w:val="00601491"/>
    <w:rsid w:val="006014EC"/>
    <w:rsid w:val="00601BE6"/>
    <w:rsid w:val="00601C99"/>
    <w:rsid w:val="00603743"/>
    <w:rsid w:val="00604F51"/>
    <w:rsid w:val="00605630"/>
    <w:rsid w:val="006060AD"/>
    <w:rsid w:val="00606D70"/>
    <w:rsid w:val="00610F84"/>
    <w:rsid w:val="00615821"/>
    <w:rsid w:val="00620D69"/>
    <w:rsid w:val="00621070"/>
    <w:rsid w:val="0062255C"/>
    <w:rsid w:val="00622FB1"/>
    <w:rsid w:val="00623DEA"/>
    <w:rsid w:val="00623EC9"/>
    <w:rsid w:val="00624417"/>
    <w:rsid w:val="00625AA5"/>
    <w:rsid w:val="00630E12"/>
    <w:rsid w:val="00632EE6"/>
    <w:rsid w:val="00633616"/>
    <w:rsid w:val="0063426D"/>
    <w:rsid w:val="00637772"/>
    <w:rsid w:val="00637AC9"/>
    <w:rsid w:val="006407B8"/>
    <w:rsid w:val="00640B12"/>
    <w:rsid w:val="00642070"/>
    <w:rsid w:val="0064258A"/>
    <w:rsid w:val="00643685"/>
    <w:rsid w:val="00643FB6"/>
    <w:rsid w:val="00646CCB"/>
    <w:rsid w:val="006470E2"/>
    <w:rsid w:val="00651522"/>
    <w:rsid w:val="00651D53"/>
    <w:rsid w:val="006525C5"/>
    <w:rsid w:val="006530FD"/>
    <w:rsid w:val="00654855"/>
    <w:rsid w:val="006553D6"/>
    <w:rsid w:val="00656178"/>
    <w:rsid w:val="006576D5"/>
    <w:rsid w:val="00660888"/>
    <w:rsid w:val="00661E2A"/>
    <w:rsid w:val="006630B2"/>
    <w:rsid w:val="00663EB3"/>
    <w:rsid w:val="00665BB7"/>
    <w:rsid w:val="00666477"/>
    <w:rsid w:val="006668D4"/>
    <w:rsid w:val="0066791B"/>
    <w:rsid w:val="00670F33"/>
    <w:rsid w:val="0067132B"/>
    <w:rsid w:val="00674EAE"/>
    <w:rsid w:val="00676765"/>
    <w:rsid w:val="00680393"/>
    <w:rsid w:val="0068170A"/>
    <w:rsid w:val="006820CE"/>
    <w:rsid w:val="006830CD"/>
    <w:rsid w:val="00683AF9"/>
    <w:rsid w:val="00685A33"/>
    <w:rsid w:val="00685C3A"/>
    <w:rsid w:val="00687029"/>
    <w:rsid w:val="00690C8D"/>
    <w:rsid w:val="006924F1"/>
    <w:rsid w:val="006968BB"/>
    <w:rsid w:val="006A1473"/>
    <w:rsid w:val="006A2218"/>
    <w:rsid w:val="006A33A0"/>
    <w:rsid w:val="006A41F1"/>
    <w:rsid w:val="006A64D5"/>
    <w:rsid w:val="006B0D82"/>
    <w:rsid w:val="006B40EC"/>
    <w:rsid w:val="006B5C28"/>
    <w:rsid w:val="006B7BFD"/>
    <w:rsid w:val="006C0680"/>
    <w:rsid w:val="006C2F15"/>
    <w:rsid w:val="006C47AE"/>
    <w:rsid w:val="006C7015"/>
    <w:rsid w:val="006D1251"/>
    <w:rsid w:val="006D1857"/>
    <w:rsid w:val="006D7959"/>
    <w:rsid w:val="006D7B6E"/>
    <w:rsid w:val="006D7BB6"/>
    <w:rsid w:val="006E082A"/>
    <w:rsid w:val="006E1D11"/>
    <w:rsid w:val="006E27A5"/>
    <w:rsid w:val="006E4937"/>
    <w:rsid w:val="006E63F3"/>
    <w:rsid w:val="006E6A13"/>
    <w:rsid w:val="006F10D1"/>
    <w:rsid w:val="006F157C"/>
    <w:rsid w:val="006F1B31"/>
    <w:rsid w:val="006F202E"/>
    <w:rsid w:val="006F20A4"/>
    <w:rsid w:val="006F3C0D"/>
    <w:rsid w:val="006F3FF3"/>
    <w:rsid w:val="006F410A"/>
    <w:rsid w:val="006F4891"/>
    <w:rsid w:val="006F5EA0"/>
    <w:rsid w:val="006F7575"/>
    <w:rsid w:val="007027B7"/>
    <w:rsid w:val="00706506"/>
    <w:rsid w:val="00706A33"/>
    <w:rsid w:val="00712339"/>
    <w:rsid w:val="00714E40"/>
    <w:rsid w:val="00715429"/>
    <w:rsid w:val="00715C88"/>
    <w:rsid w:val="00715D8F"/>
    <w:rsid w:val="0071791E"/>
    <w:rsid w:val="007206C9"/>
    <w:rsid w:val="00720E64"/>
    <w:rsid w:val="00723F6E"/>
    <w:rsid w:val="00725F93"/>
    <w:rsid w:val="00731FB9"/>
    <w:rsid w:val="0073367E"/>
    <w:rsid w:val="007336AF"/>
    <w:rsid w:val="0073437F"/>
    <w:rsid w:val="0073581B"/>
    <w:rsid w:val="007362C1"/>
    <w:rsid w:val="0074137E"/>
    <w:rsid w:val="007413CE"/>
    <w:rsid w:val="00741591"/>
    <w:rsid w:val="00741F6B"/>
    <w:rsid w:val="0074369F"/>
    <w:rsid w:val="0074502B"/>
    <w:rsid w:val="0074528B"/>
    <w:rsid w:val="007452E2"/>
    <w:rsid w:val="00747C79"/>
    <w:rsid w:val="00751CCA"/>
    <w:rsid w:val="00754057"/>
    <w:rsid w:val="007572E9"/>
    <w:rsid w:val="0075770C"/>
    <w:rsid w:val="00757FCC"/>
    <w:rsid w:val="0076028F"/>
    <w:rsid w:val="0076218A"/>
    <w:rsid w:val="00762722"/>
    <w:rsid w:val="00762FE3"/>
    <w:rsid w:val="0076667B"/>
    <w:rsid w:val="00767573"/>
    <w:rsid w:val="00767B56"/>
    <w:rsid w:val="007701C9"/>
    <w:rsid w:val="007703A2"/>
    <w:rsid w:val="007706F8"/>
    <w:rsid w:val="00771670"/>
    <w:rsid w:val="00773919"/>
    <w:rsid w:val="007744C7"/>
    <w:rsid w:val="00775116"/>
    <w:rsid w:val="00775DE3"/>
    <w:rsid w:val="00776974"/>
    <w:rsid w:val="0078135B"/>
    <w:rsid w:val="007814D6"/>
    <w:rsid w:val="007846C7"/>
    <w:rsid w:val="00784AF8"/>
    <w:rsid w:val="007859CD"/>
    <w:rsid w:val="007971B0"/>
    <w:rsid w:val="007A05AB"/>
    <w:rsid w:val="007A1680"/>
    <w:rsid w:val="007A345B"/>
    <w:rsid w:val="007A6523"/>
    <w:rsid w:val="007A71F2"/>
    <w:rsid w:val="007A7272"/>
    <w:rsid w:val="007A7814"/>
    <w:rsid w:val="007A7FB8"/>
    <w:rsid w:val="007B26CD"/>
    <w:rsid w:val="007B3D0C"/>
    <w:rsid w:val="007B5BA5"/>
    <w:rsid w:val="007B720C"/>
    <w:rsid w:val="007C06D3"/>
    <w:rsid w:val="007C0C8C"/>
    <w:rsid w:val="007C4E46"/>
    <w:rsid w:val="007C6379"/>
    <w:rsid w:val="007C6F35"/>
    <w:rsid w:val="007D0566"/>
    <w:rsid w:val="007D268B"/>
    <w:rsid w:val="007D2722"/>
    <w:rsid w:val="007D38A9"/>
    <w:rsid w:val="007D4651"/>
    <w:rsid w:val="007D76FD"/>
    <w:rsid w:val="007D7CFE"/>
    <w:rsid w:val="007E314A"/>
    <w:rsid w:val="007E5841"/>
    <w:rsid w:val="007E6BCF"/>
    <w:rsid w:val="007E6F28"/>
    <w:rsid w:val="007F126E"/>
    <w:rsid w:val="007F443F"/>
    <w:rsid w:val="007F4528"/>
    <w:rsid w:val="007F525E"/>
    <w:rsid w:val="007F5898"/>
    <w:rsid w:val="007F6F57"/>
    <w:rsid w:val="008010A6"/>
    <w:rsid w:val="00802814"/>
    <w:rsid w:val="00804E1C"/>
    <w:rsid w:val="00805711"/>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3E7"/>
    <w:rsid w:val="00835D5C"/>
    <w:rsid w:val="00842D8F"/>
    <w:rsid w:val="00842FFE"/>
    <w:rsid w:val="008501C7"/>
    <w:rsid w:val="00851AA6"/>
    <w:rsid w:val="00851B4B"/>
    <w:rsid w:val="00852F6F"/>
    <w:rsid w:val="00853D11"/>
    <w:rsid w:val="00855D0B"/>
    <w:rsid w:val="00857302"/>
    <w:rsid w:val="00857341"/>
    <w:rsid w:val="0085741B"/>
    <w:rsid w:val="00861640"/>
    <w:rsid w:val="0086199A"/>
    <w:rsid w:val="00861BE5"/>
    <w:rsid w:val="00862A4B"/>
    <w:rsid w:val="00863C29"/>
    <w:rsid w:val="00864787"/>
    <w:rsid w:val="008662DB"/>
    <w:rsid w:val="00867436"/>
    <w:rsid w:val="00870831"/>
    <w:rsid w:val="008718E5"/>
    <w:rsid w:val="00871B31"/>
    <w:rsid w:val="00874862"/>
    <w:rsid w:val="0087741E"/>
    <w:rsid w:val="008801C1"/>
    <w:rsid w:val="008827D6"/>
    <w:rsid w:val="008844B1"/>
    <w:rsid w:val="00886F39"/>
    <w:rsid w:val="00891B11"/>
    <w:rsid w:val="00891F2D"/>
    <w:rsid w:val="00892181"/>
    <w:rsid w:val="00892DE1"/>
    <w:rsid w:val="0089425E"/>
    <w:rsid w:val="00894DC9"/>
    <w:rsid w:val="00895722"/>
    <w:rsid w:val="00897192"/>
    <w:rsid w:val="008A1777"/>
    <w:rsid w:val="008A2427"/>
    <w:rsid w:val="008A2503"/>
    <w:rsid w:val="008A5760"/>
    <w:rsid w:val="008B0176"/>
    <w:rsid w:val="008B062E"/>
    <w:rsid w:val="008B110A"/>
    <w:rsid w:val="008B3C43"/>
    <w:rsid w:val="008B47CF"/>
    <w:rsid w:val="008B5573"/>
    <w:rsid w:val="008C079A"/>
    <w:rsid w:val="008C147E"/>
    <w:rsid w:val="008C24EA"/>
    <w:rsid w:val="008C2DDF"/>
    <w:rsid w:val="008C6964"/>
    <w:rsid w:val="008D097E"/>
    <w:rsid w:val="008D3F91"/>
    <w:rsid w:val="008D5E9E"/>
    <w:rsid w:val="008D6C33"/>
    <w:rsid w:val="008E0F73"/>
    <w:rsid w:val="008E3A30"/>
    <w:rsid w:val="008E4CBB"/>
    <w:rsid w:val="008E54C0"/>
    <w:rsid w:val="008E5C4F"/>
    <w:rsid w:val="008E6162"/>
    <w:rsid w:val="008E66C1"/>
    <w:rsid w:val="008E7869"/>
    <w:rsid w:val="008E7927"/>
    <w:rsid w:val="008F2683"/>
    <w:rsid w:val="008F312E"/>
    <w:rsid w:val="008F370C"/>
    <w:rsid w:val="008F46B7"/>
    <w:rsid w:val="008F4BCE"/>
    <w:rsid w:val="008F4D62"/>
    <w:rsid w:val="008F5915"/>
    <w:rsid w:val="008F59E6"/>
    <w:rsid w:val="008F5DBB"/>
    <w:rsid w:val="0090034D"/>
    <w:rsid w:val="009060FA"/>
    <w:rsid w:val="009062A4"/>
    <w:rsid w:val="00910163"/>
    <w:rsid w:val="009121F7"/>
    <w:rsid w:val="00912A58"/>
    <w:rsid w:val="009140AB"/>
    <w:rsid w:val="00916532"/>
    <w:rsid w:val="00917786"/>
    <w:rsid w:val="0092152F"/>
    <w:rsid w:val="00924740"/>
    <w:rsid w:val="00924E88"/>
    <w:rsid w:val="009325CC"/>
    <w:rsid w:val="0093267D"/>
    <w:rsid w:val="00934746"/>
    <w:rsid w:val="00934D66"/>
    <w:rsid w:val="0093522C"/>
    <w:rsid w:val="00935D14"/>
    <w:rsid w:val="00936E17"/>
    <w:rsid w:val="00940C2E"/>
    <w:rsid w:val="00942163"/>
    <w:rsid w:val="0094219B"/>
    <w:rsid w:val="00943253"/>
    <w:rsid w:val="00945C92"/>
    <w:rsid w:val="00946523"/>
    <w:rsid w:val="00950874"/>
    <w:rsid w:val="00951347"/>
    <w:rsid w:val="00954FB2"/>
    <w:rsid w:val="009557E8"/>
    <w:rsid w:val="00956270"/>
    <w:rsid w:val="009567D5"/>
    <w:rsid w:val="00956DD7"/>
    <w:rsid w:val="00963756"/>
    <w:rsid w:val="00964466"/>
    <w:rsid w:val="00964ECA"/>
    <w:rsid w:val="00965239"/>
    <w:rsid w:val="00965F44"/>
    <w:rsid w:val="00970846"/>
    <w:rsid w:val="00972FCF"/>
    <w:rsid w:val="009743AB"/>
    <w:rsid w:val="00975E49"/>
    <w:rsid w:val="00981FB0"/>
    <w:rsid w:val="00982379"/>
    <w:rsid w:val="00986297"/>
    <w:rsid w:val="0099341E"/>
    <w:rsid w:val="00993857"/>
    <w:rsid w:val="00994379"/>
    <w:rsid w:val="0099523B"/>
    <w:rsid w:val="00995540"/>
    <w:rsid w:val="00996BA4"/>
    <w:rsid w:val="00997A06"/>
    <w:rsid w:val="009A12F9"/>
    <w:rsid w:val="009A1EA3"/>
    <w:rsid w:val="009A1FA7"/>
    <w:rsid w:val="009A3187"/>
    <w:rsid w:val="009A47FE"/>
    <w:rsid w:val="009A5380"/>
    <w:rsid w:val="009A7441"/>
    <w:rsid w:val="009A7D66"/>
    <w:rsid w:val="009B10B6"/>
    <w:rsid w:val="009B2AD3"/>
    <w:rsid w:val="009B4430"/>
    <w:rsid w:val="009B4C07"/>
    <w:rsid w:val="009B7148"/>
    <w:rsid w:val="009B7429"/>
    <w:rsid w:val="009B76D6"/>
    <w:rsid w:val="009C0583"/>
    <w:rsid w:val="009C0B93"/>
    <w:rsid w:val="009C361A"/>
    <w:rsid w:val="009C3938"/>
    <w:rsid w:val="009C4027"/>
    <w:rsid w:val="009C5F4E"/>
    <w:rsid w:val="009D0D94"/>
    <w:rsid w:val="009D0DA6"/>
    <w:rsid w:val="009D1232"/>
    <w:rsid w:val="009D14C8"/>
    <w:rsid w:val="009D2132"/>
    <w:rsid w:val="009D25F9"/>
    <w:rsid w:val="009D2C22"/>
    <w:rsid w:val="009D38BF"/>
    <w:rsid w:val="009D4E7A"/>
    <w:rsid w:val="009D72CF"/>
    <w:rsid w:val="009E0376"/>
    <w:rsid w:val="009E5BD2"/>
    <w:rsid w:val="009E61BB"/>
    <w:rsid w:val="009F15B9"/>
    <w:rsid w:val="009F164F"/>
    <w:rsid w:val="009F1C07"/>
    <w:rsid w:val="009F1C62"/>
    <w:rsid w:val="009F2F46"/>
    <w:rsid w:val="009F36DC"/>
    <w:rsid w:val="009F530C"/>
    <w:rsid w:val="009F628A"/>
    <w:rsid w:val="00A00D30"/>
    <w:rsid w:val="00A0113A"/>
    <w:rsid w:val="00A015C5"/>
    <w:rsid w:val="00A05D6C"/>
    <w:rsid w:val="00A07383"/>
    <w:rsid w:val="00A07BE4"/>
    <w:rsid w:val="00A10AB8"/>
    <w:rsid w:val="00A1145F"/>
    <w:rsid w:val="00A11B04"/>
    <w:rsid w:val="00A15244"/>
    <w:rsid w:val="00A159B6"/>
    <w:rsid w:val="00A2151F"/>
    <w:rsid w:val="00A21A6A"/>
    <w:rsid w:val="00A21CA3"/>
    <w:rsid w:val="00A24C4D"/>
    <w:rsid w:val="00A25906"/>
    <w:rsid w:val="00A26C76"/>
    <w:rsid w:val="00A305E5"/>
    <w:rsid w:val="00A32AA1"/>
    <w:rsid w:val="00A34EAE"/>
    <w:rsid w:val="00A36C8F"/>
    <w:rsid w:val="00A40EAF"/>
    <w:rsid w:val="00A4399A"/>
    <w:rsid w:val="00A446DB"/>
    <w:rsid w:val="00A45BC8"/>
    <w:rsid w:val="00A46630"/>
    <w:rsid w:val="00A53877"/>
    <w:rsid w:val="00A54CC2"/>
    <w:rsid w:val="00A56612"/>
    <w:rsid w:val="00A60591"/>
    <w:rsid w:val="00A63A53"/>
    <w:rsid w:val="00A64AE4"/>
    <w:rsid w:val="00A66588"/>
    <w:rsid w:val="00A67992"/>
    <w:rsid w:val="00A706A2"/>
    <w:rsid w:val="00A710E7"/>
    <w:rsid w:val="00A736A6"/>
    <w:rsid w:val="00A7383F"/>
    <w:rsid w:val="00A73B4D"/>
    <w:rsid w:val="00A74007"/>
    <w:rsid w:val="00A74F16"/>
    <w:rsid w:val="00A75539"/>
    <w:rsid w:val="00A75E19"/>
    <w:rsid w:val="00A775C6"/>
    <w:rsid w:val="00A8024A"/>
    <w:rsid w:val="00A808B8"/>
    <w:rsid w:val="00A817F8"/>
    <w:rsid w:val="00A82417"/>
    <w:rsid w:val="00A875EE"/>
    <w:rsid w:val="00A900E8"/>
    <w:rsid w:val="00A922E8"/>
    <w:rsid w:val="00A92B4B"/>
    <w:rsid w:val="00A92D6E"/>
    <w:rsid w:val="00A93052"/>
    <w:rsid w:val="00A970F8"/>
    <w:rsid w:val="00AA11B9"/>
    <w:rsid w:val="00AA136F"/>
    <w:rsid w:val="00AA29CE"/>
    <w:rsid w:val="00AA4872"/>
    <w:rsid w:val="00AA54A5"/>
    <w:rsid w:val="00AA559F"/>
    <w:rsid w:val="00AA6C6B"/>
    <w:rsid w:val="00AA7DB0"/>
    <w:rsid w:val="00AB100D"/>
    <w:rsid w:val="00AB20BD"/>
    <w:rsid w:val="00AB2522"/>
    <w:rsid w:val="00AB38CA"/>
    <w:rsid w:val="00AB39D4"/>
    <w:rsid w:val="00AB52BE"/>
    <w:rsid w:val="00AC33CD"/>
    <w:rsid w:val="00AC4ECF"/>
    <w:rsid w:val="00AC5CAC"/>
    <w:rsid w:val="00AC614D"/>
    <w:rsid w:val="00AC7961"/>
    <w:rsid w:val="00AD02C8"/>
    <w:rsid w:val="00AD255C"/>
    <w:rsid w:val="00AD3FF3"/>
    <w:rsid w:val="00AD4251"/>
    <w:rsid w:val="00AD4EF6"/>
    <w:rsid w:val="00AD55FD"/>
    <w:rsid w:val="00AD5816"/>
    <w:rsid w:val="00AD7F64"/>
    <w:rsid w:val="00AE1096"/>
    <w:rsid w:val="00AE2039"/>
    <w:rsid w:val="00AE50A8"/>
    <w:rsid w:val="00AF067F"/>
    <w:rsid w:val="00AF073D"/>
    <w:rsid w:val="00AF4290"/>
    <w:rsid w:val="00AF644A"/>
    <w:rsid w:val="00AF6555"/>
    <w:rsid w:val="00AF68D3"/>
    <w:rsid w:val="00AF7ACE"/>
    <w:rsid w:val="00B00205"/>
    <w:rsid w:val="00B00A4F"/>
    <w:rsid w:val="00B00E20"/>
    <w:rsid w:val="00B0107A"/>
    <w:rsid w:val="00B01AD0"/>
    <w:rsid w:val="00B01D2D"/>
    <w:rsid w:val="00B02673"/>
    <w:rsid w:val="00B04199"/>
    <w:rsid w:val="00B04D97"/>
    <w:rsid w:val="00B05AC1"/>
    <w:rsid w:val="00B06546"/>
    <w:rsid w:val="00B11FD1"/>
    <w:rsid w:val="00B136D6"/>
    <w:rsid w:val="00B13AF1"/>
    <w:rsid w:val="00B1448A"/>
    <w:rsid w:val="00B21010"/>
    <w:rsid w:val="00B21D47"/>
    <w:rsid w:val="00B24905"/>
    <w:rsid w:val="00B24D42"/>
    <w:rsid w:val="00B26014"/>
    <w:rsid w:val="00B26F2C"/>
    <w:rsid w:val="00B2709E"/>
    <w:rsid w:val="00B307C2"/>
    <w:rsid w:val="00B33CEF"/>
    <w:rsid w:val="00B35FDC"/>
    <w:rsid w:val="00B368DA"/>
    <w:rsid w:val="00B36B7C"/>
    <w:rsid w:val="00B42A82"/>
    <w:rsid w:val="00B43892"/>
    <w:rsid w:val="00B468EF"/>
    <w:rsid w:val="00B5017E"/>
    <w:rsid w:val="00B5079C"/>
    <w:rsid w:val="00B508E2"/>
    <w:rsid w:val="00B5628E"/>
    <w:rsid w:val="00B579BB"/>
    <w:rsid w:val="00B57AAB"/>
    <w:rsid w:val="00B57CED"/>
    <w:rsid w:val="00B606D0"/>
    <w:rsid w:val="00B61961"/>
    <w:rsid w:val="00B632B3"/>
    <w:rsid w:val="00B63567"/>
    <w:rsid w:val="00B667BC"/>
    <w:rsid w:val="00B667E7"/>
    <w:rsid w:val="00B7015D"/>
    <w:rsid w:val="00B7136E"/>
    <w:rsid w:val="00B7616E"/>
    <w:rsid w:val="00B807A2"/>
    <w:rsid w:val="00B80C7C"/>
    <w:rsid w:val="00B822A9"/>
    <w:rsid w:val="00B827E1"/>
    <w:rsid w:val="00B82ABC"/>
    <w:rsid w:val="00B83CAC"/>
    <w:rsid w:val="00B84995"/>
    <w:rsid w:val="00B85950"/>
    <w:rsid w:val="00B86812"/>
    <w:rsid w:val="00B87A60"/>
    <w:rsid w:val="00B91010"/>
    <w:rsid w:val="00B917E5"/>
    <w:rsid w:val="00B926A5"/>
    <w:rsid w:val="00B9286A"/>
    <w:rsid w:val="00B93470"/>
    <w:rsid w:val="00B95BBF"/>
    <w:rsid w:val="00B96036"/>
    <w:rsid w:val="00B96AC8"/>
    <w:rsid w:val="00B97122"/>
    <w:rsid w:val="00BA12CD"/>
    <w:rsid w:val="00BA25B6"/>
    <w:rsid w:val="00BA3920"/>
    <w:rsid w:val="00BA6982"/>
    <w:rsid w:val="00BA782D"/>
    <w:rsid w:val="00BB1AAC"/>
    <w:rsid w:val="00BB4591"/>
    <w:rsid w:val="00BB4C28"/>
    <w:rsid w:val="00BB5426"/>
    <w:rsid w:val="00BC1B3C"/>
    <w:rsid w:val="00BC2768"/>
    <w:rsid w:val="00BC33C2"/>
    <w:rsid w:val="00BC4F9E"/>
    <w:rsid w:val="00BC647C"/>
    <w:rsid w:val="00BC7539"/>
    <w:rsid w:val="00BC79C1"/>
    <w:rsid w:val="00BD0FCC"/>
    <w:rsid w:val="00BD1088"/>
    <w:rsid w:val="00BD33FC"/>
    <w:rsid w:val="00BD3A7C"/>
    <w:rsid w:val="00BD4961"/>
    <w:rsid w:val="00BD6CCD"/>
    <w:rsid w:val="00BE0387"/>
    <w:rsid w:val="00BE1CD4"/>
    <w:rsid w:val="00BE2D99"/>
    <w:rsid w:val="00BE54D6"/>
    <w:rsid w:val="00BE58B5"/>
    <w:rsid w:val="00BE5CD0"/>
    <w:rsid w:val="00BF1481"/>
    <w:rsid w:val="00BF2610"/>
    <w:rsid w:val="00BF4EE6"/>
    <w:rsid w:val="00C001D0"/>
    <w:rsid w:val="00C01040"/>
    <w:rsid w:val="00C02A39"/>
    <w:rsid w:val="00C02D50"/>
    <w:rsid w:val="00C02FE1"/>
    <w:rsid w:val="00C04E3C"/>
    <w:rsid w:val="00C05425"/>
    <w:rsid w:val="00C06568"/>
    <w:rsid w:val="00C069B8"/>
    <w:rsid w:val="00C06E6C"/>
    <w:rsid w:val="00C074EF"/>
    <w:rsid w:val="00C1020B"/>
    <w:rsid w:val="00C10B42"/>
    <w:rsid w:val="00C12720"/>
    <w:rsid w:val="00C15432"/>
    <w:rsid w:val="00C15AC4"/>
    <w:rsid w:val="00C162B2"/>
    <w:rsid w:val="00C21149"/>
    <w:rsid w:val="00C2355D"/>
    <w:rsid w:val="00C2773E"/>
    <w:rsid w:val="00C3128B"/>
    <w:rsid w:val="00C33674"/>
    <w:rsid w:val="00C3385B"/>
    <w:rsid w:val="00C33A2E"/>
    <w:rsid w:val="00C36B12"/>
    <w:rsid w:val="00C41470"/>
    <w:rsid w:val="00C41FF2"/>
    <w:rsid w:val="00C422C2"/>
    <w:rsid w:val="00C47479"/>
    <w:rsid w:val="00C5100A"/>
    <w:rsid w:val="00C533A3"/>
    <w:rsid w:val="00C54747"/>
    <w:rsid w:val="00C5514E"/>
    <w:rsid w:val="00C56C98"/>
    <w:rsid w:val="00C61690"/>
    <w:rsid w:val="00C6254D"/>
    <w:rsid w:val="00C629B9"/>
    <w:rsid w:val="00C645BC"/>
    <w:rsid w:val="00C646C4"/>
    <w:rsid w:val="00C647CD"/>
    <w:rsid w:val="00C64B43"/>
    <w:rsid w:val="00C6700D"/>
    <w:rsid w:val="00C671EC"/>
    <w:rsid w:val="00C67BA2"/>
    <w:rsid w:val="00C75935"/>
    <w:rsid w:val="00C76463"/>
    <w:rsid w:val="00C77E67"/>
    <w:rsid w:val="00C813D6"/>
    <w:rsid w:val="00C84EF0"/>
    <w:rsid w:val="00C85696"/>
    <w:rsid w:val="00C85F93"/>
    <w:rsid w:val="00C8692F"/>
    <w:rsid w:val="00C9002C"/>
    <w:rsid w:val="00C90FF9"/>
    <w:rsid w:val="00C91204"/>
    <w:rsid w:val="00C91553"/>
    <w:rsid w:val="00C922D7"/>
    <w:rsid w:val="00C92EFC"/>
    <w:rsid w:val="00C93295"/>
    <w:rsid w:val="00C935C2"/>
    <w:rsid w:val="00C93727"/>
    <w:rsid w:val="00C95BFB"/>
    <w:rsid w:val="00C97A4D"/>
    <w:rsid w:val="00CA1458"/>
    <w:rsid w:val="00CA19F5"/>
    <w:rsid w:val="00CA4AD0"/>
    <w:rsid w:val="00CA57D4"/>
    <w:rsid w:val="00CA6173"/>
    <w:rsid w:val="00CA628D"/>
    <w:rsid w:val="00CA65FF"/>
    <w:rsid w:val="00CB0938"/>
    <w:rsid w:val="00CB220A"/>
    <w:rsid w:val="00CB5234"/>
    <w:rsid w:val="00CC1604"/>
    <w:rsid w:val="00CC2800"/>
    <w:rsid w:val="00CC3420"/>
    <w:rsid w:val="00CC3BC7"/>
    <w:rsid w:val="00CC547C"/>
    <w:rsid w:val="00CC60FF"/>
    <w:rsid w:val="00CC741C"/>
    <w:rsid w:val="00CD1EDF"/>
    <w:rsid w:val="00CD5166"/>
    <w:rsid w:val="00CD52C9"/>
    <w:rsid w:val="00CD58C8"/>
    <w:rsid w:val="00CD7760"/>
    <w:rsid w:val="00CE0468"/>
    <w:rsid w:val="00CE05BD"/>
    <w:rsid w:val="00CE123C"/>
    <w:rsid w:val="00CE13DA"/>
    <w:rsid w:val="00CE2620"/>
    <w:rsid w:val="00CE2837"/>
    <w:rsid w:val="00CE3C39"/>
    <w:rsid w:val="00CE75B5"/>
    <w:rsid w:val="00CE7A73"/>
    <w:rsid w:val="00CF0F94"/>
    <w:rsid w:val="00CF2D98"/>
    <w:rsid w:val="00CF436B"/>
    <w:rsid w:val="00CF5AB1"/>
    <w:rsid w:val="00CF73B4"/>
    <w:rsid w:val="00D00395"/>
    <w:rsid w:val="00D00E78"/>
    <w:rsid w:val="00D01738"/>
    <w:rsid w:val="00D04F96"/>
    <w:rsid w:val="00D101B7"/>
    <w:rsid w:val="00D1031C"/>
    <w:rsid w:val="00D112CE"/>
    <w:rsid w:val="00D1279C"/>
    <w:rsid w:val="00D1383A"/>
    <w:rsid w:val="00D22050"/>
    <w:rsid w:val="00D231C6"/>
    <w:rsid w:val="00D23424"/>
    <w:rsid w:val="00D24DA4"/>
    <w:rsid w:val="00D257A3"/>
    <w:rsid w:val="00D26F28"/>
    <w:rsid w:val="00D30889"/>
    <w:rsid w:val="00D30D15"/>
    <w:rsid w:val="00D31977"/>
    <w:rsid w:val="00D32839"/>
    <w:rsid w:val="00D33EE3"/>
    <w:rsid w:val="00D343EC"/>
    <w:rsid w:val="00D3500F"/>
    <w:rsid w:val="00D35260"/>
    <w:rsid w:val="00D36EA4"/>
    <w:rsid w:val="00D40769"/>
    <w:rsid w:val="00D4202F"/>
    <w:rsid w:val="00D43052"/>
    <w:rsid w:val="00D436D4"/>
    <w:rsid w:val="00D44203"/>
    <w:rsid w:val="00D45810"/>
    <w:rsid w:val="00D466D2"/>
    <w:rsid w:val="00D50ABF"/>
    <w:rsid w:val="00D51EBD"/>
    <w:rsid w:val="00D532B4"/>
    <w:rsid w:val="00D55ACB"/>
    <w:rsid w:val="00D571E0"/>
    <w:rsid w:val="00D57970"/>
    <w:rsid w:val="00D60160"/>
    <w:rsid w:val="00D616E2"/>
    <w:rsid w:val="00D61F8E"/>
    <w:rsid w:val="00D63636"/>
    <w:rsid w:val="00D63CFC"/>
    <w:rsid w:val="00D66147"/>
    <w:rsid w:val="00D66D34"/>
    <w:rsid w:val="00D700D1"/>
    <w:rsid w:val="00D716E4"/>
    <w:rsid w:val="00D71969"/>
    <w:rsid w:val="00D73D1A"/>
    <w:rsid w:val="00D7427C"/>
    <w:rsid w:val="00D75694"/>
    <w:rsid w:val="00D75C74"/>
    <w:rsid w:val="00D75E95"/>
    <w:rsid w:val="00D770B0"/>
    <w:rsid w:val="00D858E5"/>
    <w:rsid w:val="00D918FA"/>
    <w:rsid w:val="00D92627"/>
    <w:rsid w:val="00D927DC"/>
    <w:rsid w:val="00DA13C8"/>
    <w:rsid w:val="00DA26EC"/>
    <w:rsid w:val="00DA53C7"/>
    <w:rsid w:val="00DA5809"/>
    <w:rsid w:val="00DA58BF"/>
    <w:rsid w:val="00DA7B48"/>
    <w:rsid w:val="00DA7C18"/>
    <w:rsid w:val="00DB03B7"/>
    <w:rsid w:val="00DB0850"/>
    <w:rsid w:val="00DB2350"/>
    <w:rsid w:val="00DB4551"/>
    <w:rsid w:val="00DB4688"/>
    <w:rsid w:val="00DC1048"/>
    <w:rsid w:val="00DC25F0"/>
    <w:rsid w:val="00DC3E44"/>
    <w:rsid w:val="00DC44CF"/>
    <w:rsid w:val="00DC6DE1"/>
    <w:rsid w:val="00DC711C"/>
    <w:rsid w:val="00DC7AAA"/>
    <w:rsid w:val="00DD01C5"/>
    <w:rsid w:val="00DD23C0"/>
    <w:rsid w:val="00DD24D7"/>
    <w:rsid w:val="00DD4AB3"/>
    <w:rsid w:val="00DD4D5D"/>
    <w:rsid w:val="00DD517E"/>
    <w:rsid w:val="00DE17E2"/>
    <w:rsid w:val="00DE3020"/>
    <w:rsid w:val="00DE306A"/>
    <w:rsid w:val="00DE4D85"/>
    <w:rsid w:val="00DE67FE"/>
    <w:rsid w:val="00DE6D9A"/>
    <w:rsid w:val="00DE6DD3"/>
    <w:rsid w:val="00DE6FB7"/>
    <w:rsid w:val="00DF18B6"/>
    <w:rsid w:val="00DF317F"/>
    <w:rsid w:val="00DF3C7A"/>
    <w:rsid w:val="00DF42DF"/>
    <w:rsid w:val="00DF4B52"/>
    <w:rsid w:val="00DF57A6"/>
    <w:rsid w:val="00DF70C1"/>
    <w:rsid w:val="00DF71A8"/>
    <w:rsid w:val="00E027B0"/>
    <w:rsid w:val="00E02A24"/>
    <w:rsid w:val="00E0599F"/>
    <w:rsid w:val="00E06484"/>
    <w:rsid w:val="00E06DEC"/>
    <w:rsid w:val="00E0750D"/>
    <w:rsid w:val="00E11403"/>
    <w:rsid w:val="00E11DA9"/>
    <w:rsid w:val="00E1309C"/>
    <w:rsid w:val="00E16303"/>
    <w:rsid w:val="00E16925"/>
    <w:rsid w:val="00E27247"/>
    <w:rsid w:val="00E30236"/>
    <w:rsid w:val="00E31CA5"/>
    <w:rsid w:val="00E31D49"/>
    <w:rsid w:val="00E3382E"/>
    <w:rsid w:val="00E348DD"/>
    <w:rsid w:val="00E3492D"/>
    <w:rsid w:val="00E3753A"/>
    <w:rsid w:val="00E37543"/>
    <w:rsid w:val="00E412A7"/>
    <w:rsid w:val="00E4153A"/>
    <w:rsid w:val="00E42E28"/>
    <w:rsid w:val="00E43BF3"/>
    <w:rsid w:val="00E44DE5"/>
    <w:rsid w:val="00E45C4B"/>
    <w:rsid w:val="00E47525"/>
    <w:rsid w:val="00E47720"/>
    <w:rsid w:val="00E47F91"/>
    <w:rsid w:val="00E50BBF"/>
    <w:rsid w:val="00E50D06"/>
    <w:rsid w:val="00E5126C"/>
    <w:rsid w:val="00E526A4"/>
    <w:rsid w:val="00E52D3C"/>
    <w:rsid w:val="00E53A90"/>
    <w:rsid w:val="00E53B45"/>
    <w:rsid w:val="00E545F1"/>
    <w:rsid w:val="00E54BAD"/>
    <w:rsid w:val="00E551C4"/>
    <w:rsid w:val="00E56B67"/>
    <w:rsid w:val="00E570ED"/>
    <w:rsid w:val="00E60A24"/>
    <w:rsid w:val="00E6202B"/>
    <w:rsid w:val="00E627ED"/>
    <w:rsid w:val="00E63798"/>
    <w:rsid w:val="00E6457C"/>
    <w:rsid w:val="00E6619D"/>
    <w:rsid w:val="00E701B7"/>
    <w:rsid w:val="00E7442E"/>
    <w:rsid w:val="00E756CD"/>
    <w:rsid w:val="00E80EA8"/>
    <w:rsid w:val="00E82188"/>
    <w:rsid w:val="00E825A1"/>
    <w:rsid w:val="00E829E3"/>
    <w:rsid w:val="00E85293"/>
    <w:rsid w:val="00E871CE"/>
    <w:rsid w:val="00E87AC7"/>
    <w:rsid w:val="00E91D50"/>
    <w:rsid w:val="00E9315E"/>
    <w:rsid w:val="00E93DB9"/>
    <w:rsid w:val="00E94F03"/>
    <w:rsid w:val="00E97903"/>
    <w:rsid w:val="00EA145C"/>
    <w:rsid w:val="00EA37FC"/>
    <w:rsid w:val="00EA68DF"/>
    <w:rsid w:val="00EA7845"/>
    <w:rsid w:val="00EB0687"/>
    <w:rsid w:val="00EB0FC5"/>
    <w:rsid w:val="00EB1910"/>
    <w:rsid w:val="00EB317F"/>
    <w:rsid w:val="00EB335D"/>
    <w:rsid w:val="00EB38A7"/>
    <w:rsid w:val="00EB46C3"/>
    <w:rsid w:val="00EB62F2"/>
    <w:rsid w:val="00EC25D0"/>
    <w:rsid w:val="00EC5082"/>
    <w:rsid w:val="00EC697A"/>
    <w:rsid w:val="00ED100E"/>
    <w:rsid w:val="00ED2C29"/>
    <w:rsid w:val="00ED3624"/>
    <w:rsid w:val="00ED7253"/>
    <w:rsid w:val="00ED7B45"/>
    <w:rsid w:val="00EE02F0"/>
    <w:rsid w:val="00EE2F16"/>
    <w:rsid w:val="00EE68A4"/>
    <w:rsid w:val="00EE6FBD"/>
    <w:rsid w:val="00EE72DB"/>
    <w:rsid w:val="00EE73CD"/>
    <w:rsid w:val="00EF0600"/>
    <w:rsid w:val="00EF1CB1"/>
    <w:rsid w:val="00EF32F5"/>
    <w:rsid w:val="00EF4692"/>
    <w:rsid w:val="00EF5550"/>
    <w:rsid w:val="00EF56F9"/>
    <w:rsid w:val="00F00537"/>
    <w:rsid w:val="00F03418"/>
    <w:rsid w:val="00F04678"/>
    <w:rsid w:val="00F055BD"/>
    <w:rsid w:val="00F05CB1"/>
    <w:rsid w:val="00F062BF"/>
    <w:rsid w:val="00F06437"/>
    <w:rsid w:val="00F06559"/>
    <w:rsid w:val="00F0775B"/>
    <w:rsid w:val="00F07EED"/>
    <w:rsid w:val="00F10A29"/>
    <w:rsid w:val="00F10ACE"/>
    <w:rsid w:val="00F16658"/>
    <w:rsid w:val="00F16692"/>
    <w:rsid w:val="00F20D0D"/>
    <w:rsid w:val="00F21DB9"/>
    <w:rsid w:val="00F229CE"/>
    <w:rsid w:val="00F23065"/>
    <w:rsid w:val="00F25E21"/>
    <w:rsid w:val="00F26087"/>
    <w:rsid w:val="00F27024"/>
    <w:rsid w:val="00F27173"/>
    <w:rsid w:val="00F3088D"/>
    <w:rsid w:val="00F341FB"/>
    <w:rsid w:val="00F34933"/>
    <w:rsid w:val="00F37AD2"/>
    <w:rsid w:val="00F424CE"/>
    <w:rsid w:val="00F43CF0"/>
    <w:rsid w:val="00F454D8"/>
    <w:rsid w:val="00F45F14"/>
    <w:rsid w:val="00F4680E"/>
    <w:rsid w:val="00F46EBB"/>
    <w:rsid w:val="00F47088"/>
    <w:rsid w:val="00F4723C"/>
    <w:rsid w:val="00F51B37"/>
    <w:rsid w:val="00F541D1"/>
    <w:rsid w:val="00F54627"/>
    <w:rsid w:val="00F54C17"/>
    <w:rsid w:val="00F641E1"/>
    <w:rsid w:val="00F644EA"/>
    <w:rsid w:val="00F6521F"/>
    <w:rsid w:val="00F652E7"/>
    <w:rsid w:val="00F654C6"/>
    <w:rsid w:val="00F674C8"/>
    <w:rsid w:val="00F70176"/>
    <w:rsid w:val="00F70871"/>
    <w:rsid w:val="00F708DC"/>
    <w:rsid w:val="00F73186"/>
    <w:rsid w:val="00F74B8C"/>
    <w:rsid w:val="00F75C84"/>
    <w:rsid w:val="00F75EDB"/>
    <w:rsid w:val="00F762E5"/>
    <w:rsid w:val="00F76491"/>
    <w:rsid w:val="00F8230E"/>
    <w:rsid w:val="00F82B41"/>
    <w:rsid w:val="00F84C6C"/>
    <w:rsid w:val="00F84D0A"/>
    <w:rsid w:val="00F85421"/>
    <w:rsid w:val="00F8628C"/>
    <w:rsid w:val="00F930A8"/>
    <w:rsid w:val="00FA3B81"/>
    <w:rsid w:val="00FA5DE4"/>
    <w:rsid w:val="00FA5E7B"/>
    <w:rsid w:val="00FA7384"/>
    <w:rsid w:val="00FB2C2F"/>
    <w:rsid w:val="00FB5F5C"/>
    <w:rsid w:val="00FB6AF8"/>
    <w:rsid w:val="00FC0D3E"/>
    <w:rsid w:val="00FC319F"/>
    <w:rsid w:val="00FC3884"/>
    <w:rsid w:val="00FC4BEB"/>
    <w:rsid w:val="00FC4C76"/>
    <w:rsid w:val="00FC4DC9"/>
    <w:rsid w:val="00FC4F6B"/>
    <w:rsid w:val="00FD36A3"/>
    <w:rsid w:val="00FD4333"/>
    <w:rsid w:val="00FD46E0"/>
    <w:rsid w:val="00FD61B9"/>
    <w:rsid w:val="00FD7FF0"/>
    <w:rsid w:val="00FE16D2"/>
    <w:rsid w:val="00FE1AFF"/>
    <w:rsid w:val="00FE2ED3"/>
    <w:rsid w:val="00FE4F72"/>
    <w:rsid w:val="00FE500D"/>
    <w:rsid w:val="00FE52A7"/>
    <w:rsid w:val="00FE56B8"/>
    <w:rsid w:val="00FE65DB"/>
    <w:rsid w:val="00FE66F6"/>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1564">
      <w:bodyDiv w:val="1"/>
      <w:marLeft w:val="0"/>
      <w:marRight w:val="0"/>
      <w:marTop w:val="0"/>
      <w:marBottom w:val="0"/>
      <w:divBdr>
        <w:top w:val="none" w:sz="0" w:space="0" w:color="auto"/>
        <w:left w:val="none" w:sz="0" w:space="0" w:color="auto"/>
        <w:bottom w:val="none" w:sz="0" w:space="0" w:color="auto"/>
        <w:right w:val="none" w:sz="0" w:space="0" w:color="auto"/>
      </w:divBdr>
    </w:div>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782306113">
      <w:bodyDiv w:val="1"/>
      <w:marLeft w:val="0"/>
      <w:marRight w:val="0"/>
      <w:marTop w:val="0"/>
      <w:marBottom w:val="0"/>
      <w:divBdr>
        <w:top w:val="none" w:sz="0" w:space="0" w:color="auto"/>
        <w:left w:val="none" w:sz="0" w:space="0" w:color="auto"/>
        <w:bottom w:val="none" w:sz="0" w:space="0" w:color="auto"/>
        <w:right w:val="none" w:sz="0" w:space="0" w:color="auto"/>
      </w:divBdr>
    </w:div>
    <w:div w:id="790591874">
      <w:bodyDiv w:val="1"/>
      <w:marLeft w:val="0"/>
      <w:marRight w:val="0"/>
      <w:marTop w:val="0"/>
      <w:marBottom w:val="0"/>
      <w:divBdr>
        <w:top w:val="none" w:sz="0" w:space="0" w:color="auto"/>
        <w:left w:val="none" w:sz="0" w:space="0" w:color="auto"/>
        <w:bottom w:val="none" w:sz="0" w:space="0" w:color="auto"/>
        <w:right w:val="none" w:sz="0" w:space="0" w:color="auto"/>
      </w:divBdr>
    </w:div>
    <w:div w:id="801312384">
      <w:bodyDiv w:val="1"/>
      <w:marLeft w:val="0"/>
      <w:marRight w:val="0"/>
      <w:marTop w:val="0"/>
      <w:marBottom w:val="0"/>
      <w:divBdr>
        <w:top w:val="none" w:sz="0" w:space="0" w:color="auto"/>
        <w:left w:val="none" w:sz="0" w:space="0" w:color="auto"/>
        <w:bottom w:val="none" w:sz="0" w:space="0" w:color="auto"/>
        <w:right w:val="none" w:sz="0" w:space="0" w:color="auto"/>
      </w:divBdr>
    </w:div>
    <w:div w:id="1090859446">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443840126">
      <w:bodyDiv w:val="1"/>
      <w:marLeft w:val="0"/>
      <w:marRight w:val="0"/>
      <w:marTop w:val="0"/>
      <w:marBottom w:val="0"/>
      <w:divBdr>
        <w:top w:val="none" w:sz="0" w:space="0" w:color="auto"/>
        <w:left w:val="none" w:sz="0" w:space="0" w:color="auto"/>
        <w:bottom w:val="none" w:sz="0" w:space="0" w:color="auto"/>
        <w:right w:val="none" w:sz="0" w:space="0" w:color="auto"/>
      </w:divBdr>
    </w:div>
    <w:div w:id="1499081137">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790584602">
      <w:bodyDiv w:val="1"/>
      <w:marLeft w:val="0"/>
      <w:marRight w:val="0"/>
      <w:marTop w:val="0"/>
      <w:marBottom w:val="0"/>
      <w:divBdr>
        <w:top w:val="none" w:sz="0" w:space="0" w:color="auto"/>
        <w:left w:val="none" w:sz="0" w:space="0" w:color="auto"/>
        <w:bottom w:val="none" w:sz="0" w:space="0" w:color="auto"/>
        <w:right w:val="none" w:sz="0" w:space="0" w:color="auto"/>
      </w:divBdr>
    </w:div>
    <w:div w:id="1856572314">
      <w:bodyDiv w:val="1"/>
      <w:marLeft w:val="0"/>
      <w:marRight w:val="0"/>
      <w:marTop w:val="0"/>
      <w:marBottom w:val="0"/>
      <w:divBdr>
        <w:top w:val="none" w:sz="0" w:space="0" w:color="auto"/>
        <w:left w:val="none" w:sz="0" w:space="0" w:color="auto"/>
        <w:bottom w:val="none" w:sz="0" w:space="0" w:color="auto"/>
        <w:right w:val="none" w:sz="0" w:space="0" w:color="auto"/>
      </w:divBdr>
    </w:div>
    <w:div w:id="1938250269">
      <w:bodyDiv w:val="1"/>
      <w:marLeft w:val="0"/>
      <w:marRight w:val="0"/>
      <w:marTop w:val="0"/>
      <w:marBottom w:val="0"/>
      <w:divBdr>
        <w:top w:val="none" w:sz="0" w:space="0" w:color="auto"/>
        <w:left w:val="none" w:sz="0" w:space="0" w:color="auto"/>
        <w:bottom w:val="none" w:sz="0" w:space="0" w:color="auto"/>
        <w:right w:val="none" w:sz="0" w:space="0" w:color="auto"/>
      </w:divBdr>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 w:id="2047025171">
      <w:bodyDiv w:val="1"/>
      <w:marLeft w:val="0"/>
      <w:marRight w:val="0"/>
      <w:marTop w:val="0"/>
      <w:marBottom w:val="0"/>
      <w:divBdr>
        <w:top w:val="none" w:sz="0" w:space="0" w:color="auto"/>
        <w:left w:val="none" w:sz="0" w:space="0" w:color="auto"/>
        <w:bottom w:val="none" w:sz="0" w:space="0" w:color="auto"/>
        <w:right w:val="none" w:sz="0" w:space="0" w:color="auto"/>
      </w:divBdr>
    </w:div>
    <w:div w:id="20723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chart" Target="charts/chart1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footer" Target="footer7.xml"/><Relationship Id="rId38"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4.xml"/><Relationship Id="rId29" Type="http://schemas.openxmlformats.org/officeDocument/2006/relationships/header" Target="header6.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header" Target="header7.xml"/><Relationship Id="rId37" Type="http://schemas.openxmlformats.org/officeDocument/2006/relationships/chart" Target="charts/chart15.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chart" Target="charts/chart10.xml"/><Relationship Id="rId36"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chart" Target="charts/chart9.xml"/><Relationship Id="rId30" Type="http://schemas.openxmlformats.org/officeDocument/2006/relationships/footer" Target="footer6.xml"/><Relationship Id="rId35" Type="http://schemas.openxmlformats.org/officeDocument/2006/relationships/chart" Target="charts/chart13.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28819517441184"/>
          <c:y val="5.3140096618357488E-2"/>
          <c:w val="0.86831003905598914"/>
          <c:h val="0.81354460322089361"/>
        </c:manualLayout>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xmlns:c16r2="http://schemas.microsoft.com/office/drawing/2015/06/chart">
              <c:ext xmlns:c16="http://schemas.microsoft.com/office/drawing/2014/chart" uri="{C3380CC4-5D6E-409C-BE32-E72D297353CC}">
                <c16:uniqueId val="{00000001-0927-452D-BF8C-9A35B6DC91EB}"/>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2018</c:v>
                </c:pt>
                <c:pt idx="1">
                  <c:v>2019</c:v>
                </c:pt>
                <c:pt idx="2">
                  <c:v>2020</c:v>
                </c:pt>
                <c:pt idx="3">
                  <c:v>2021</c:v>
                </c:pt>
              </c:numCache>
            </c:numRef>
          </c:cat>
          <c:val>
            <c:numRef>
              <c:f>'Reporte Diario'!$M$62:$P$62</c:f>
              <c:numCache>
                <c:formatCode>_-* #,##0.0_-;\-* #,##0.0_-;_-* "-"??_-;_-@_-</c:formatCode>
                <c:ptCount val="4"/>
                <c:pt idx="0">
                  <c:v>-5258.7146919500028</c:v>
                </c:pt>
                <c:pt idx="1">
                  <c:v>-9058.7240143700001</c:v>
                </c:pt>
                <c:pt idx="2">
                  <c:v>-22549.099908539996</c:v>
                </c:pt>
                <c:pt idx="3">
                  <c:v>-4271.7764243900019</c:v>
                </c:pt>
              </c:numCache>
            </c:numRef>
          </c:val>
          <c:extLst xmlns:c16r2="http://schemas.microsoft.com/office/drawing/2015/06/chart">
            <c:ext xmlns:c16="http://schemas.microsoft.com/office/drawing/2014/chart" uri="{C3380CC4-5D6E-409C-BE32-E72D297353CC}">
              <c16:uniqueId val="{00000002-0927-452D-BF8C-9A35B6DC91EB}"/>
            </c:ext>
          </c:extLst>
        </c:ser>
        <c:dLbls>
          <c:showLegendKey val="0"/>
          <c:showVal val="0"/>
          <c:showCatName val="0"/>
          <c:showSerName val="0"/>
          <c:showPercent val="0"/>
          <c:showBubbleSize val="0"/>
        </c:dLbls>
        <c:gapWidth val="63"/>
        <c:overlap val="-27"/>
        <c:axId val="132462464"/>
        <c:axId val="132464000"/>
      </c:barChart>
      <c:catAx>
        <c:axId val="132462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32464000"/>
        <c:crosses val="autoZero"/>
        <c:auto val="1"/>
        <c:lblAlgn val="ctr"/>
        <c:lblOffset val="100"/>
        <c:noMultiLvlLbl val="0"/>
      </c:catAx>
      <c:valAx>
        <c:axId val="132464000"/>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32462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1.8216503424876768E-2"/>
          <c:w val="0.67595450840542404"/>
          <c:h val="0.93331000291630217"/>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6"/>
            <c:invertIfNegative val="0"/>
            <c:bubble3D val="0"/>
            <c:spPr>
              <a:solidFill>
                <a:srgbClr val="C00000">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187B-464C-8B50-4C56F5F3FFEB}"/>
              </c:ext>
            </c:extLst>
          </c:dPt>
          <c:dPt>
            <c:idx val="7"/>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3-187B-464C-8B50-4C56F5F3FFEB}"/>
              </c:ext>
            </c:extLst>
          </c:dPt>
          <c:dPt>
            <c:idx val="8"/>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5-187B-464C-8B50-4C56F5F3FFEB}"/>
              </c:ext>
            </c:extLst>
          </c:dPt>
          <c:dPt>
            <c:idx val="9"/>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7-187B-464C-8B50-4C56F5F3FFEB}"/>
              </c:ext>
            </c:extLst>
          </c:dPt>
          <c:dPt>
            <c:idx val="10"/>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9-187B-464C-8B50-4C56F5F3FFEB}"/>
              </c:ext>
            </c:extLst>
          </c:dPt>
          <c:dPt>
            <c:idx val="11"/>
            <c:invertIfNegative val="0"/>
            <c:bubble3D val="0"/>
            <c:spPr>
              <a:solidFill>
                <a:srgbClr val="FF7C80">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B-187B-464C-8B50-4C56F5F3FFEB}"/>
              </c:ext>
            </c:extLst>
          </c:dPt>
          <c:dPt>
            <c:idx val="12"/>
            <c:invertIfNegative val="0"/>
            <c:bubble3D val="0"/>
            <c:spPr>
              <a:solidFill>
                <a:srgbClr val="FF7C80">
                  <a:alpha val="75000"/>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D-187B-464C-8B50-4C56F5F3FFEB}"/>
              </c:ext>
            </c:extLst>
          </c:dPt>
          <c:dPt>
            <c:idx val="13"/>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F-187B-464C-8B50-4C56F5F3FFEB}"/>
              </c:ext>
            </c:extLst>
          </c:dPt>
          <c:dPt>
            <c:idx val="14"/>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1-187B-464C-8B50-4C56F5F3FFEB}"/>
              </c:ext>
            </c:extLst>
          </c:dPt>
          <c:dLbls>
            <c:dLbl>
              <c:idx val="19"/>
              <c:layout>
                <c:manualLayout>
                  <c:x val="-1.3295143311980156E-3"/>
                  <c:y val="-4.1402713522016234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87B-464C-8B50-4C56F5F3FFE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Hoja1!$A$2:$A$21</c:f>
              <c:strCache>
                <c:ptCount val="20"/>
                <c:pt idx="0">
                  <c:v>Obligaciones </c:v>
                </c:pt>
                <c:pt idx="1">
                  <c:v>Economía</c:v>
                </c:pt>
                <c:pt idx="2">
                  <c:v>Cultura</c:v>
                </c:pt>
                <c:pt idx="3">
                  <c:v>Secretarías</c:v>
                </c:pt>
                <c:pt idx="4">
                  <c:v>Comunicaciones</c:v>
                </c:pt>
                <c:pt idx="5">
                  <c:v>Salud Pública </c:v>
                </c:pt>
                <c:pt idx="6">
                  <c:v>Total</c:v>
                </c:pt>
                <c:pt idx="7">
                  <c:v>Finanzas</c:v>
                </c:pt>
                <c:pt idx="8">
                  <c:v>Ambiente </c:v>
                </c:pt>
                <c:pt idx="9">
                  <c:v>Agricultura</c:v>
                </c:pt>
                <c:pt idx="10">
                  <c:v>Energía</c:v>
                </c:pt>
                <c:pt idx="11">
                  <c:v>Desarrollo</c:v>
                </c:pt>
                <c:pt idx="12">
                  <c:v>Defensa </c:v>
                </c:pt>
                <c:pt idx="13">
                  <c:v>Trabajo </c:v>
                </c:pt>
                <c:pt idx="14">
                  <c:v>Presidencia</c:v>
                </c:pt>
                <c:pt idx="15">
                  <c:v>MINREX</c:v>
                </c:pt>
                <c:pt idx="16">
                  <c:v>Educación </c:v>
                </c:pt>
                <c:pt idx="17">
                  <c:v>Gobernación</c:v>
                </c:pt>
                <c:pt idx="18">
                  <c:v>PGN</c:v>
                </c:pt>
                <c:pt idx="19">
                  <c:v>Deuda Pública</c:v>
                </c:pt>
              </c:strCache>
            </c:strRef>
          </c:cat>
          <c:val>
            <c:numRef>
              <c:f>Hoja1!$B$2:$B$21</c:f>
              <c:numCache>
                <c:formatCode>0.0</c:formatCode>
                <c:ptCount val="20"/>
                <c:pt idx="0">
                  <c:v>64.154326940616983</c:v>
                </c:pt>
                <c:pt idx="1">
                  <c:v>65.194623024707582</c:v>
                </c:pt>
                <c:pt idx="2">
                  <c:v>68.150327829739993</c:v>
                </c:pt>
                <c:pt idx="3">
                  <c:v>70.625700482189373</c:v>
                </c:pt>
                <c:pt idx="4">
                  <c:v>73.725287648983397</c:v>
                </c:pt>
                <c:pt idx="5">
                  <c:v>74.631610823232592</c:v>
                </c:pt>
                <c:pt idx="6">
                  <c:v>75.51556568706134</c:v>
                </c:pt>
                <c:pt idx="7">
                  <c:v>76.297707445492051</c:v>
                </c:pt>
                <c:pt idx="8">
                  <c:v>76.502663709253909</c:v>
                </c:pt>
                <c:pt idx="9">
                  <c:v>76.949933097948104</c:v>
                </c:pt>
                <c:pt idx="10">
                  <c:v>78.411013954786483</c:v>
                </c:pt>
                <c:pt idx="11">
                  <c:v>78.498830959475768</c:v>
                </c:pt>
                <c:pt idx="12">
                  <c:v>80.505471196533136</c:v>
                </c:pt>
                <c:pt idx="13">
                  <c:v>81.343128864831016</c:v>
                </c:pt>
                <c:pt idx="14">
                  <c:v>81.734434753384903</c:v>
                </c:pt>
                <c:pt idx="15">
                  <c:v>82.134998227254627</c:v>
                </c:pt>
                <c:pt idx="16">
                  <c:v>84.780540820245818</c:v>
                </c:pt>
                <c:pt idx="17">
                  <c:v>85.054433949948049</c:v>
                </c:pt>
                <c:pt idx="18">
                  <c:v>86.567696610849808</c:v>
                </c:pt>
                <c:pt idx="19">
                  <c:v>92.116552612073093</c:v>
                </c:pt>
              </c:numCache>
            </c:numRef>
          </c:val>
          <c:extLst xmlns:c16r2="http://schemas.microsoft.com/office/drawing/2015/06/chart">
            <c:ext xmlns:c16="http://schemas.microsoft.com/office/drawing/2014/chart" uri="{C3380CC4-5D6E-409C-BE32-E72D297353CC}">
              <c16:uniqueId val="{00000013-187B-464C-8B50-4C56F5F3FFEB}"/>
            </c:ext>
          </c:extLst>
        </c:ser>
        <c:dLbls>
          <c:showLegendKey val="0"/>
          <c:showVal val="0"/>
          <c:showCatName val="0"/>
          <c:showSerName val="0"/>
          <c:showPercent val="0"/>
          <c:showBubbleSize val="0"/>
        </c:dLbls>
        <c:gapWidth val="100"/>
        <c:axId val="271587968"/>
        <c:axId val="271589760"/>
      </c:barChart>
      <c:catAx>
        <c:axId val="27158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71589760"/>
        <c:crosses val="autoZero"/>
        <c:auto val="1"/>
        <c:lblAlgn val="ctr"/>
        <c:lblOffset val="100"/>
        <c:noMultiLvlLbl val="0"/>
      </c:catAx>
      <c:valAx>
        <c:axId val="271589760"/>
        <c:scaling>
          <c:orientation val="minMax"/>
          <c:max val="10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71587968"/>
        <c:crosses val="autoZero"/>
        <c:crossBetween val="between"/>
        <c:majorUnit val="30"/>
        <c:minorUnit val="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2306229196386118E-2"/>
          <c:y val="5.7049714751426242E-2"/>
          <c:w val="0.9308482680978839"/>
          <c:h val="0.82390804716164423"/>
        </c:manualLayout>
      </c:layout>
      <c:ofPieChart>
        <c:ofPieType val="pie"/>
        <c:varyColors val="1"/>
        <c:ser>
          <c:idx val="0"/>
          <c:order val="0"/>
          <c:tx>
            <c:strRef>
              <c:f>Sheet1!$B$1</c:f>
              <c:strCache>
                <c:ptCount val="1"/>
                <c:pt idx="0">
                  <c:v>Column1</c:v>
                </c:pt>
              </c:strCache>
            </c:strRef>
          </c:tx>
          <c:spPr>
            <a:ln w="9525">
              <a:solidFill>
                <a:schemeClr val="tx1"/>
              </a:solidFill>
            </a:ln>
            <a:effectLst>
              <a:softEdge rad="0"/>
            </a:effectLst>
          </c:spPr>
          <c:dPt>
            <c:idx val="0"/>
            <c:bubble3D val="0"/>
            <c:spPr>
              <a:solidFill>
                <a:schemeClr val="accent1">
                  <a:shade val="58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1-06B4-40DE-8D29-AD97C999F979}"/>
              </c:ext>
            </c:extLst>
          </c:dPt>
          <c:dPt>
            <c:idx val="1"/>
            <c:bubble3D val="0"/>
            <c:spPr>
              <a:solidFill>
                <a:schemeClr val="accent1">
                  <a:shade val="86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3-06B4-40DE-8D29-AD97C999F979}"/>
              </c:ext>
            </c:extLst>
          </c:dPt>
          <c:dPt>
            <c:idx val="2"/>
            <c:bubble3D val="0"/>
            <c:spPr>
              <a:solidFill>
                <a:schemeClr val="accent1">
                  <a:tint val="86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5-06B4-40DE-8D29-AD97C999F979}"/>
              </c:ext>
            </c:extLst>
          </c:dPt>
          <c:dPt>
            <c:idx val="3"/>
            <c:bubble3D val="0"/>
            <c:spPr>
              <a:solidFill>
                <a:schemeClr val="accent1">
                  <a:tint val="58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7-06B4-40DE-8D29-AD97C999F979}"/>
              </c:ext>
            </c:extLst>
          </c:dPt>
          <c:dPt>
            <c:idx val="4"/>
            <c:bubble3D val="0"/>
            <c:spPr>
              <a:solidFill>
                <a:schemeClr val="accent1">
                  <a:lumMod val="50000"/>
                </a:schemeClr>
              </a:solidFill>
              <a:ln w="9525">
                <a:solidFill>
                  <a:schemeClr val="tx1"/>
                </a:solidFill>
              </a:ln>
              <a:effectLst>
                <a:softEdge rad="0"/>
              </a:effectLst>
            </c:spPr>
            <c:extLst xmlns:c16r2="http://schemas.microsoft.com/office/drawing/2015/06/chart">
              <c:ext xmlns:c16="http://schemas.microsoft.com/office/drawing/2014/chart" uri="{C3380CC4-5D6E-409C-BE32-E72D297353CC}">
                <c16:uniqueId val="{00000009-06B4-40DE-8D29-AD97C999F979}"/>
              </c:ext>
            </c:extLst>
          </c:dPt>
          <c:dLbls>
            <c:dLbl>
              <c:idx val="0"/>
              <c:layout>
                <c:manualLayout>
                  <c:x val="0.15342501856494159"/>
                  <c:y val="-0.16131654666161382"/>
                </c:manualLayout>
              </c:layout>
              <c:spPr>
                <a:noFill/>
                <a:ln w="635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B4-40DE-8D29-AD97C999F979}"/>
                </c:ext>
              </c:extLst>
            </c:dLbl>
            <c:dLbl>
              <c:idx val="2"/>
              <c:layout>
                <c:manualLayout>
                  <c:x val="-3.2327586206896551E-3"/>
                  <c:y val="0.2"/>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4806034482758619"/>
                      <c:h val="0.3345132743362832"/>
                    </c:manualLayout>
                  </c15:layout>
                </c:ext>
                <c:ext xmlns:c16="http://schemas.microsoft.com/office/drawing/2014/chart" uri="{C3380CC4-5D6E-409C-BE32-E72D297353CC}">
                  <c16:uniqueId val="{00000005-06B4-40DE-8D29-AD97C999F979}"/>
                </c:ext>
              </c:extLst>
            </c:dLbl>
            <c:dLbl>
              <c:idx val="3"/>
              <c:layout>
                <c:manualLayout>
                  <c:x val="0.10928036238047628"/>
                  <c:y val="-0.18120490992290886"/>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387136620556664"/>
                      <c:h val="0.29044502617801049"/>
                    </c:manualLayout>
                  </c15:layout>
                </c:ext>
                <c:ext xmlns:c16="http://schemas.microsoft.com/office/drawing/2014/chart" uri="{C3380CC4-5D6E-409C-BE32-E72D297353CC}">
                  <c16:uniqueId val="{00000007-06B4-40DE-8D29-AD97C999F979}"/>
                </c:ext>
              </c:extLst>
            </c:dLbl>
            <c:dLbl>
              <c:idx val="4"/>
              <c:layout>
                <c:manualLayout>
                  <c:x val="-0.27233085125256379"/>
                  <c:y val="1.61749701117203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800" baseline="0">
                        <a:solidFill>
                          <a:schemeClr val="bg1"/>
                        </a:solidFill>
                        <a:latin typeface="Times New Roman" panose="02020603050405020304" pitchFamily="18" charset="0"/>
                        <a:cs typeface="Times New Roman" panose="02020603050405020304" pitchFamily="18" charset="0"/>
                      </a:rPr>
                      <a:t>Colocado; </a:t>
                    </a:r>
                    <a:fld id="{36066939-FD9D-4D7E-89B2-F23616AF3D74}" type="VALUE">
                      <a:rPr lang="en-US" sz="800" baseline="0">
                        <a:solidFill>
                          <a:schemeClr val="bg1"/>
                        </a:solidFill>
                        <a:latin typeface="Times New Roman" panose="02020603050405020304" pitchFamily="18" charset="0"/>
                        <a:cs typeface="Times New Roman" panose="02020603050405020304" pitchFamily="18" charset="0"/>
                      </a:rPr>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[VALOR]</a:t>
                    </a:fld>
                    <a:endParaRPr lang="en-US" sz="800"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w="6350">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581790115780696"/>
                      <c:h val="0.30127643566805451"/>
                    </c:manualLayout>
                  </c15:layout>
                  <c15:dlblFieldTable/>
                  <c15:showDataLabelsRange val="0"/>
                </c:ext>
                <c:ext xmlns:c16="http://schemas.microsoft.com/office/drawing/2014/chart" uri="{C3380CC4-5D6E-409C-BE32-E72D297353CC}">
                  <c16:uniqueId val="{00000009-06B4-40DE-8D29-AD97C999F979}"/>
                </c:ext>
              </c:extLst>
            </c:dLbl>
            <c:spPr>
              <a:noFill/>
              <a:ln w="6350">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93.3</c:v>
                </c:pt>
                <c:pt idx="2" formatCode="#,##0.0">
                  <c:v>18954.611450550001</c:v>
                </c:pt>
                <c:pt idx="3" formatCode="#,##0.0">
                  <c:v>5430.5190000000002</c:v>
                </c:pt>
              </c:numCache>
            </c:numRef>
          </c:val>
          <c:extLst xmlns:c16r2="http://schemas.microsoft.com/office/drawing/2015/06/chart">
            <c:ext xmlns:c16="http://schemas.microsoft.com/office/drawing/2014/chart" uri="{C3380CC4-5D6E-409C-BE32-E72D297353CC}">
              <c16:uniqueId val="{0000000A-06B4-40DE-8D29-AD97C999F979}"/>
            </c:ext>
          </c:extLst>
        </c:ser>
        <c:dLbls>
          <c:showLegendKey val="0"/>
          <c:showVal val="0"/>
          <c:showCatName val="0"/>
          <c:showSerName val="0"/>
          <c:showPercent val="0"/>
          <c:showBubbleSize val="0"/>
          <c:showLeaderLines val="0"/>
        </c:dLbls>
        <c:gapWidth val="29"/>
        <c:secondPieSize val="6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44206433849947"/>
          <c:y val="0.17015706806282724"/>
          <c:w val="0.73016511732020117"/>
          <c:h val="0.64677292354584714"/>
        </c:manualLayout>
      </c:layout>
      <c:barChart>
        <c:barDir val="col"/>
        <c:grouping val="stacked"/>
        <c:varyColors val="0"/>
        <c:ser>
          <c:idx val="0"/>
          <c:order val="1"/>
          <c:tx>
            <c:strRef>
              <c:f>Sheet1!$C$1</c:f>
              <c:strCache>
                <c:ptCount val="1"/>
                <c:pt idx="0">
                  <c:v>Ejecución 2021 subprograma 09</c:v>
                </c:pt>
              </c:strCache>
            </c:strRef>
          </c:tx>
          <c:spPr>
            <a:solidFill>
              <a:srgbClr val="FFC000"/>
            </a:solidFill>
            <a:ln>
              <a:solidFill>
                <a:schemeClr val="tx1"/>
              </a:solidFill>
            </a:ln>
            <a:effectLst/>
          </c:spPr>
          <c:invertIfNegative val="0"/>
          <c:dLbls>
            <c:dLbl>
              <c:idx val="2"/>
              <c:layout>
                <c:manualLayout>
                  <c:x val="-4.4027669422547523E-17"/>
                  <c:y val="-8.3533103846312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EE-472F-BEA5-7558EED869DA}"/>
                </c:ext>
              </c:extLst>
            </c:dLbl>
            <c:dLbl>
              <c:idx val="3"/>
              <c:layout>
                <c:manualLayout>
                  <c:x val="4.4027669422547523E-17"/>
                  <c:y val="-7.712722100836871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EE-472F-BEA5-7558EED869DA}"/>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Enero</c:v>
                </c:pt>
                <c:pt idx="1">
                  <c:v>Febrero</c:v>
                </c:pt>
                <c:pt idx="2">
                  <c:v>Marzo</c:v>
                </c:pt>
                <c:pt idx="3">
                  <c:v>Abril </c:v>
                </c:pt>
                <c:pt idx="4">
                  <c:v>Mayo</c:v>
                </c:pt>
                <c:pt idx="5">
                  <c:v>Junio</c:v>
                </c:pt>
                <c:pt idx="6">
                  <c:v>Julio</c:v>
                </c:pt>
                <c:pt idx="7">
                  <c:v>Agosto</c:v>
                </c:pt>
                <c:pt idx="8">
                  <c:v>Septiembre</c:v>
                </c:pt>
                <c:pt idx="9">
                  <c:v>Octubre</c:v>
                </c:pt>
                <c:pt idx="10">
                  <c:v>Noviembre</c:v>
                </c:pt>
              </c:strCache>
            </c:strRef>
          </c:cat>
          <c:val>
            <c:numRef>
              <c:f>Sheet1!$C$2:$C$12</c:f>
              <c:numCache>
                <c:formatCode>_-* #,##0.0_-;\-* #,##0.0_-;_-* "-"??_-;_-@_-</c:formatCode>
                <c:ptCount val="11"/>
                <c:pt idx="0">
                  <c:v>4.03</c:v>
                </c:pt>
                <c:pt idx="1">
                  <c:v>22.38</c:v>
                </c:pt>
                <c:pt idx="2">
                  <c:v>139.29</c:v>
                </c:pt>
                <c:pt idx="3">
                  <c:v>1010.3</c:v>
                </c:pt>
                <c:pt idx="4">
                  <c:v>1099.79</c:v>
                </c:pt>
                <c:pt idx="5">
                  <c:v>1218.47</c:v>
                </c:pt>
                <c:pt idx="6">
                  <c:v>1308.33</c:v>
                </c:pt>
                <c:pt idx="7">
                  <c:v>1429.6381633000001</c:v>
                </c:pt>
                <c:pt idx="8">
                  <c:v>1554.32</c:v>
                </c:pt>
                <c:pt idx="9">
                  <c:v>1873.13</c:v>
                </c:pt>
                <c:pt idx="10">
                  <c:v>1980.7</c:v>
                </c:pt>
              </c:numCache>
            </c:numRef>
          </c:val>
          <c:extLst xmlns:c16r2="http://schemas.microsoft.com/office/drawing/2015/06/chart">
            <c:ext xmlns:c16="http://schemas.microsoft.com/office/drawing/2014/chart" uri="{C3380CC4-5D6E-409C-BE32-E72D297353CC}">
              <c16:uniqueId val="{00000002-E4EE-472F-BEA5-7558EED869DA}"/>
            </c:ext>
          </c:extLst>
        </c:ser>
        <c:ser>
          <c:idx val="2"/>
          <c:order val="2"/>
          <c:tx>
            <c:strRef>
              <c:f>Sheet1!$D$1</c:f>
              <c:strCache>
                <c:ptCount val="1"/>
                <c:pt idx="0">
                  <c:v>Ejecución 2021 subprograma 13</c:v>
                </c:pt>
              </c:strCache>
            </c:strRef>
          </c:tx>
          <c:spPr>
            <a:solidFill>
              <a:srgbClr val="FFFF00"/>
            </a:solidFill>
            <a:ln>
              <a:solidFill>
                <a:schemeClr val="tx1"/>
              </a:solidFill>
            </a:ln>
            <a:effectLst/>
          </c:spPr>
          <c:invertIfNegative val="0"/>
          <c:dLbls>
            <c:dLbl>
              <c:idx val="10"/>
              <c:layout>
                <c:manualLayout>
                  <c:x val="-1.7611067769019009E-16"/>
                  <c:y val="-1.96335078534031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EE-472F-BEA5-7558EED869DA}"/>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Enero</c:v>
                </c:pt>
                <c:pt idx="1">
                  <c:v>Febrero</c:v>
                </c:pt>
                <c:pt idx="2">
                  <c:v>Marzo</c:v>
                </c:pt>
                <c:pt idx="3">
                  <c:v>Abril </c:v>
                </c:pt>
                <c:pt idx="4">
                  <c:v>Mayo</c:v>
                </c:pt>
                <c:pt idx="5">
                  <c:v>Junio</c:v>
                </c:pt>
                <c:pt idx="6">
                  <c:v>Julio</c:v>
                </c:pt>
                <c:pt idx="7">
                  <c:v>Agosto</c:v>
                </c:pt>
                <c:pt idx="8">
                  <c:v>Septiembre</c:v>
                </c:pt>
                <c:pt idx="9">
                  <c:v>Octubre</c:v>
                </c:pt>
                <c:pt idx="10">
                  <c:v>Noviembre</c:v>
                </c:pt>
              </c:strCache>
            </c:strRef>
          </c:cat>
          <c:val>
            <c:numRef>
              <c:f>Sheet1!$D$2:$D$12</c:f>
              <c:numCache>
                <c:formatCode>General</c:formatCode>
                <c:ptCount val="11"/>
                <c:pt idx="10" formatCode="0.0">
                  <c:v>513.58000000000004</c:v>
                </c:pt>
              </c:numCache>
            </c:numRef>
          </c:val>
          <c:extLst xmlns:c16r2="http://schemas.microsoft.com/office/drawing/2015/06/chart">
            <c:ext xmlns:c16="http://schemas.microsoft.com/office/drawing/2014/chart" uri="{C3380CC4-5D6E-409C-BE32-E72D297353CC}">
              <c16:uniqueId val="{00000004-E4EE-472F-BEA5-7558EED869DA}"/>
            </c:ext>
          </c:extLst>
        </c:ser>
        <c:dLbls>
          <c:showLegendKey val="0"/>
          <c:showVal val="0"/>
          <c:showCatName val="0"/>
          <c:showSerName val="0"/>
          <c:showPercent val="0"/>
          <c:showBubbleSize val="0"/>
        </c:dLbls>
        <c:gapWidth val="19"/>
        <c:overlap val="100"/>
        <c:axId val="271650816"/>
        <c:axId val="272095488"/>
      </c:barChart>
      <c:lineChart>
        <c:grouping val="standard"/>
        <c:varyColors val="0"/>
        <c:ser>
          <c:idx val="1"/>
          <c:order val="0"/>
          <c:tx>
            <c:strRef>
              <c:f>Sheet1!$B$1</c:f>
              <c:strCache>
                <c:ptCount val="1"/>
                <c:pt idx="0">
                  <c:v>Ejecución 2020</c:v>
                </c:pt>
              </c:strCache>
            </c:strRef>
          </c:tx>
          <c:spPr>
            <a:ln w="28575" cap="rnd">
              <a:solidFill>
                <a:schemeClr val="accent2"/>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EE-472F-BEA5-7558EED869D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EE-472F-BEA5-7558EED869D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EE-472F-BEA5-7558EED869D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EE-472F-BEA5-7558EED869DA}"/>
                </c:ext>
              </c:extLst>
            </c:dLbl>
            <c:dLbl>
              <c:idx val="4"/>
              <c:layout>
                <c:manualLayout>
                  <c:x val="-0.15372257142208809"/>
                  <c:y val="-0.1523070660015664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4EE-472F-BEA5-7558EED869DA}"/>
                </c:ext>
              </c:extLst>
            </c:dLbl>
            <c:dLbl>
              <c:idx val="5"/>
              <c:layout>
                <c:manualLayout>
                  <c:x val="-0.14411642348740988"/>
                  <c:y val="-0.1261290555303624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4EE-472F-BEA5-7558EED869DA}"/>
                </c:ext>
              </c:extLst>
            </c:dLbl>
            <c:dLbl>
              <c:idx val="6"/>
              <c:layout>
                <c:manualLayout>
                  <c:x val="-0.16332871935676629"/>
                  <c:y val="-0.1523070660015665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4EE-472F-BEA5-7558EED869DA}"/>
                </c:ext>
              </c:extLst>
            </c:dLbl>
            <c:dLbl>
              <c:idx val="7"/>
              <c:layout>
                <c:manualLayout>
                  <c:x val="-0.148919497454749"/>
                  <c:y val="-0.1130400502947603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4EE-472F-BEA5-7558EED869DA}"/>
                </c:ext>
              </c:extLst>
            </c:dLbl>
            <c:dLbl>
              <c:idx val="8"/>
              <c:layout>
                <c:manualLayout>
                  <c:x val="-0.11529797968337531"/>
                  <c:y val="-5.41395267345508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4EE-472F-BEA5-7558EED869DA}"/>
                </c:ext>
              </c:extLst>
            </c:dLbl>
            <c:dLbl>
              <c:idx val="9"/>
              <c:layout>
                <c:manualLayout>
                  <c:x val="-0.10953429092256849"/>
                  <c:y val="-6.72285319701529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4EE-472F-BEA5-7558EED869DA}"/>
                </c:ext>
              </c:extLst>
            </c:dLbl>
            <c:dLbl>
              <c:idx val="10"/>
              <c:layout>
                <c:manualLayout>
                  <c:x val="-8.7869023576663874E-2"/>
                  <c:y val="-0.1048753967926784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4EE-472F-BEA5-7558EED869D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C00000"/>
                      </a:solidFill>
                      <a:round/>
                    </a:ln>
                    <a:effectLst/>
                  </c:spPr>
                </c15:leaderLines>
              </c:ext>
            </c:extLst>
          </c:dLbls>
          <c:cat>
            <c:strRef>
              <c:f>Sheet1!$A$2:$A$12</c:f>
              <c:strCache>
                <c:ptCount val="11"/>
                <c:pt idx="0">
                  <c:v>Enero</c:v>
                </c:pt>
                <c:pt idx="1">
                  <c:v>Febrero</c:v>
                </c:pt>
                <c:pt idx="2">
                  <c:v>Marzo</c:v>
                </c:pt>
                <c:pt idx="3">
                  <c:v>Abril </c:v>
                </c:pt>
                <c:pt idx="4">
                  <c:v>Mayo</c:v>
                </c:pt>
                <c:pt idx="5">
                  <c:v>Junio</c:v>
                </c:pt>
                <c:pt idx="6">
                  <c:v>Julio</c:v>
                </c:pt>
                <c:pt idx="7">
                  <c:v>Agosto</c:v>
                </c:pt>
                <c:pt idx="8">
                  <c:v>Septiembre</c:v>
                </c:pt>
                <c:pt idx="9">
                  <c:v>Octubre</c:v>
                </c:pt>
                <c:pt idx="10">
                  <c:v>Noviembre</c:v>
                </c:pt>
              </c:strCache>
            </c:strRef>
          </c:cat>
          <c:val>
            <c:numRef>
              <c:f>Sheet1!$B$2:$B$12</c:f>
              <c:numCache>
                <c:formatCode>General</c:formatCode>
                <c:ptCount val="11"/>
                <c:pt idx="0">
                  <c:v>0</c:v>
                </c:pt>
                <c:pt idx="1">
                  <c:v>0</c:v>
                </c:pt>
                <c:pt idx="2">
                  <c:v>0</c:v>
                </c:pt>
                <c:pt idx="3">
                  <c:v>0</c:v>
                </c:pt>
                <c:pt idx="4" formatCode="_-* #,##0.0_-;\-* #,##0.0_-;_-* &quot;-&quot;??_-;_-@_-">
                  <c:v>2120.6800000000003</c:v>
                </c:pt>
                <c:pt idx="5" formatCode="_-* #,##0.0_-;\-* #,##0.0_-;_-* &quot;-&quot;??_-;_-@_-">
                  <c:v>4006.5029999999997</c:v>
                </c:pt>
                <c:pt idx="6" formatCode="_-* #,##0.0_-;\-* #,##0.0_-;_-* &quot;-&quot;??_-;_-@_-">
                  <c:v>4935.3299730000008</c:v>
                </c:pt>
                <c:pt idx="7" formatCode="_-* #,##0.0_-;\-* #,##0.0_-;_-* &quot;-&quot;??_-;_-@_-">
                  <c:v>7035.3304124899996</c:v>
                </c:pt>
                <c:pt idx="8" formatCode="_-* #,##0.0_-;\-* #,##0.0_-;_-* &quot;-&quot;??_-;_-@_-">
                  <c:v>9807.7554124899998</c:v>
                </c:pt>
                <c:pt idx="9" formatCode="_-* #,##0.0_-;\-* #,##0.0_-;_-* &quot;-&quot;??_-;_-@_-">
                  <c:v>11151.555412489999</c:v>
                </c:pt>
                <c:pt idx="10" formatCode="_-* #,##0.0_-;\-* #,##0.0_-;_-* &quot;-&quot;??_-;_-@_-">
                  <c:v>11980.3</c:v>
                </c:pt>
              </c:numCache>
            </c:numRef>
          </c:val>
          <c:smooth val="0"/>
          <c:extLst xmlns:c16r2="http://schemas.microsoft.com/office/drawing/2015/06/chart">
            <c:ext xmlns:c16="http://schemas.microsoft.com/office/drawing/2014/chart" uri="{C3380CC4-5D6E-409C-BE32-E72D297353CC}">
              <c16:uniqueId val="{00000010-E4EE-472F-BEA5-7558EED869DA}"/>
            </c:ext>
          </c:extLst>
        </c:ser>
        <c:dLbls>
          <c:showLegendKey val="0"/>
          <c:showVal val="0"/>
          <c:showCatName val="0"/>
          <c:showSerName val="0"/>
          <c:showPercent val="0"/>
          <c:showBubbleSize val="0"/>
        </c:dLbls>
        <c:marker val="1"/>
        <c:smooth val="0"/>
        <c:axId val="272093952"/>
        <c:axId val="272079872"/>
      </c:lineChart>
      <c:valAx>
        <c:axId val="272079872"/>
        <c:scaling>
          <c:orientation val="minMax"/>
          <c:max val="14000"/>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72093952"/>
        <c:crosses val="max"/>
        <c:crossBetween val="between"/>
      </c:valAx>
      <c:catAx>
        <c:axId val="27209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72079872"/>
        <c:crosses val="autoZero"/>
        <c:auto val="1"/>
        <c:lblAlgn val="ctr"/>
        <c:lblOffset val="100"/>
        <c:noMultiLvlLbl val="0"/>
      </c:catAx>
      <c:valAx>
        <c:axId val="272095488"/>
        <c:scaling>
          <c:orientation val="minMax"/>
          <c:max val="3500"/>
          <c:min val="0"/>
        </c:scaling>
        <c:delete val="0"/>
        <c:axPos val="l"/>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71650816"/>
        <c:crosses val="autoZero"/>
        <c:crossBetween val="between"/>
      </c:valAx>
      <c:catAx>
        <c:axId val="271650816"/>
        <c:scaling>
          <c:orientation val="minMax"/>
        </c:scaling>
        <c:delete val="1"/>
        <c:axPos val="b"/>
        <c:numFmt formatCode="General" sourceLinked="1"/>
        <c:majorTickMark val="out"/>
        <c:minorTickMark val="none"/>
        <c:tickLblPos val="nextTo"/>
        <c:crossAx val="272095488"/>
        <c:crosses val="autoZero"/>
        <c:auto val="1"/>
        <c:lblAlgn val="ctr"/>
        <c:lblOffset val="100"/>
        <c:noMultiLvlLbl val="0"/>
      </c:catAx>
      <c:spPr>
        <a:noFill/>
        <a:ln>
          <a:noFill/>
        </a:ln>
        <a:effectLst/>
      </c:spPr>
    </c:plotArea>
    <c:legend>
      <c:legendPos val="b"/>
      <c:layout>
        <c:manualLayout>
          <c:xMode val="edge"/>
          <c:yMode val="edge"/>
          <c:x val="0.13530108088074005"/>
          <c:y val="3.588139506121954E-3"/>
          <c:w val="0.5226724000998435"/>
          <c:h val="0.23714340190460487"/>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G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22189999150465E-4"/>
          <c:y val="5.3060050186034442E-2"/>
          <c:w val="0.97017979770072604"/>
          <c:h val="0.87543800614666767"/>
        </c:manualLayout>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04B-4B24-921C-B653C48C25A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04B-4B24-921C-B653C48C25A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04B-4B24-921C-B653C48C25A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04B-4B24-921C-B653C48C25A3}"/>
              </c:ext>
            </c:extLst>
          </c:dPt>
          <c:dPt>
            <c:idx val="4"/>
            <c:bubble3D val="0"/>
            <c:spPr>
              <a:solidFill>
                <a:schemeClr val="accent6">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04B-4B24-921C-B653C48C25A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04B-4B24-921C-B653C48C25A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04B-4B24-921C-B653C48C25A3}"/>
              </c:ext>
            </c:extLst>
          </c:dPt>
          <c:dLbls>
            <c:dLbl>
              <c:idx val="0"/>
              <c:layout>
                <c:manualLayout>
                  <c:x val="2.675699491445524E-2"/>
                  <c:y val="3.5335784849810439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DC7BDA1-E372-4970-8527-358DD59F94FF}" type="CATEGORYNAME">
                      <a:rPr lang="en-US" sz="900">
                        <a:solidFill>
                          <a:schemeClr val="bg1"/>
                        </a:solidFill>
                        <a:latin typeface="Times New Roman" panose="02020603050405020304" pitchFamily="18" charset="0"/>
                        <a:cs typeface="Times New Roman" panose="02020603050405020304" pitchFamily="18" charset="0"/>
                      </a:rPr>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[NOMBRE DE CATEGORÍA]</a:t>
                    </a:fld>
                    <a:r>
                      <a:rPr lang="en-US" sz="900" baseline="0">
                        <a:solidFill>
                          <a:schemeClr val="bg1"/>
                        </a:solidFill>
                        <a:latin typeface="Times New Roman" panose="02020603050405020304" pitchFamily="18" charset="0"/>
                        <a:cs typeface="Times New Roman" panose="02020603050405020304" pitchFamily="18" charset="0"/>
                      </a:rPr>
                      <a:t>; </a:t>
                    </a:r>
                    <a:fld id="{A62E6584-E5F5-4B14-9482-26CC836CD6EA}" type="VALUE">
                      <a:rPr lang="en-US" sz="900" baseline="0">
                        <a:solidFill>
                          <a:schemeClr val="bg1"/>
                        </a:solidFill>
                        <a:latin typeface="Times New Roman" panose="02020603050405020304" pitchFamily="18" charset="0"/>
                        <a:cs typeface="Times New Roman" panose="02020603050405020304" pitchFamily="18" charset="0"/>
                      </a:rPr>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[VALOR]</a:t>
                    </a:fld>
                    <a:r>
                      <a:rPr lang="en-US" sz="900" baseline="0">
                        <a:solidFill>
                          <a:schemeClr val="bg1"/>
                        </a:solidFill>
                        <a:latin typeface="Times New Roman" panose="02020603050405020304" pitchFamily="18" charset="0"/>
                        <a:cs typeface="Times New Roman" panose="02020603050405020304" pitchFamily="18" charset="0"/>
                      </a:rPr>
                      <a:t>; </a:t>
                    </a:r>
                  </a:p>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02571D6F-CC88-483A-8998-5228F8499A85}" type="PERCENTAGE">
                      <a:rPr lang="en-US" sz="900" baseline="0">
                        <a:solidFill>
                          <a:schemeClr val="bg1"/>
                        </a:solidFill>
                        <a:latin typeface="Times New Roman" panose="02020603050405020304" pitchFamily="18" charset="0"/>
                        <a:cs typeface="Times New Roman" panose="02020603050405020304" pitchFamily="18" charset="0"/>
                      </a:rPr>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[PORCENTAJE]</a:t>
                    </a:fld>
                    <a:endParaRPr lang="es-GT"/>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7862266857962692"/>
                      <c:h val="0.44146685472496466"/>
                    </c:manualLayout>
                  </c15:layout>
                  <c15:dlblFieldTable/>
                  <c15:showDataLabelsRange val="0"/>
                </c:ext>
                <c:ext xmlns:c16="http://schemas.microsoft.com/office/drawing/2014/chart" uri="{C3380CC4-5D6E-409C-BE32-E72D297353CC}">
                  <c16:uniqueId val="{00000001-604B-4B24-921C-B653C48C25A3}"/>
                </c:ext>
              </c:extLst>
            </c:dLbl>
            <c:dLbl>
              <c:idx val="2"/>
              <c:layout>
                <c:manualLayout>
                  <c:x val="-5.8594793809692958E-2"/>
                  <c:y val="3.8655440347184324E-3"/>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E464A87-2203-40B8-BAE9-BF48B5BA28B8}" type="CATEGORYNAME">
                      <a:rPr lang="en-US" sz="800">
                        <a:solidFill>
                          <a:sysClr val="windowText" lastClr="000000"/>
                        </a:solidFill>
                        <a:latin typeface="Times New Roman" panose="02020603050405020304" pitchFamily="18" charset="0"/>
                        <a:cs typeface="Times New Roman" panose="02020603050405020304" pitchFamily="18" charset="0"/>
                      </a:rPr>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p>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7979994-A173-4E9F-BB7C-04A202E50AC3}" type="VALUE">
                      <a:rPr lang="en-US" sz="800" baseline="0">
                        <a:solidFill>
                          <a:sysClr val="windowText" lastClr="000000"/>
                        </a:solidFill>
                        <a:latin typeface="Times New Roman" panose="02020603050405020304" pitchFamily="18" charset="0"/>
                        <a:cs typeface="Times New Roman" panose="02020603050405020304" pitchFamily="18" charset="0"/>
                      </a:rPr>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[VALOR]</a:t>
                    </a:fld>
                    <a:r>
                      <a:rPr lang="en-US" sz="8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834597362446258"/>
                      <c:h val="0.25041344358495599"/>
                    </c:manualLayout>
                  </c15:layout>
                  <c15:dlblFieldTable/>
                  <c15:showDataLabelsRange val="0"/>
                </c:ext>
                <c:ext xmlns:c16="http://schemas.microsoft.com/office/drawing/2014/chart" uri="{C3380CC4-5D6E-409C-BE32-E72D297353CC}">
                  <c16:uniqueId val="{00000005-604B-4B24-921C-B653C48C25A3}"/>
                </c:ext>
              </c:extLst>
            </c:dLbl>
            <c:dLbl>
              <c:idx val="3"/>
              <c:layout>
                <c:manualLayout>
                  <c:x val="-3.1221094500810564E-2"/>
                  <c:y val="-3.7057249031989814E-3"/>
                </c:manualLayout>
              </c:layout>
              <c:tx>
                <c:rich>
                  <a:bodyPr/>
                  <a:lstStyle/>
                  <a:p>
                    <a:fld id="{5A0539E1-39E3-495F-9C04-90C91D46ADE0}" type="CATEGORYNAME">
                      <a:rPr lang="en-US" sz="800">
                        <a:solidFill>
                          <a:sysClr val="windowText" lastClr="000000"/>
                        </a:solidFill>
                        <a:latin typeface="Times New Roman" panose="02020603050405020304" pitchFamily="18" charset="0"/>
                        <a:cs typeface="Times New Roman" panose="02020603050405020304" pitchFamily="18" charset="0"/>
                      </a: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fld id="{B4F15D38-FB5C-4520-8E45-B19E6843CE2D}" type="VALUE">
                      <a:rPr lang="en-US" sz="800" baseline="0">
                        <a:solidFill>
                          <a:sysClr val="windowText" lastClr="000000"/>
                        </a:solidFill>
                        <a:latin typeface="Times New Roman" panose="02020603050405020304" pitchFamily="18" charset="0"/>
                        <a:cs typeface="Times New Roman" panose="02020603050405020304" pitchFamily="18" charset="0"/>
                      </a:rPr>
                      <a:pPr/>
                      <a:t>[VALOR]</a:t>
                    </a:fld>
                    <a:r>
                      <a:rPr lang="en-US" sz="800" baseline="0">
                        <a:solidFill>
                          <a:sysClr val="windowText" lastClr="000000"/>
                        </a:solidFill>
                        <a:latin typeface="Times New Roman" panose="02020603050405020304" pitchFamily="18" charset="0"/>
                        <a:cs typeface="Times New Roman" panose="02020603050405020304" pitchFamily="18" charset="0"/>
                      </a:rPr>
                      <a:t>; </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9759415253969074"/>
                      <c:h val="0.30901594755976924"/>
                    </c:manualLayout>
                  </c15:layout>
                  <c15:dlblFieldTable/>
                  <c15:showDataLabelsRange val="0"/>
                </c:ext>
                <c:ext xmlns:c16="http://schemas.microsoft.com/office/drawing/2014/chart" uri="{C3380CC4-5D6E-409C-BE32-E72D297353CC}">
                  <c16:uniqueId val="{00000007-604B-4B24-921C-B653C48C25A3}"/>
                </c:ext>
              </c:extLst>
            </c:dLbl>
            <c:dLbl>
              <c:idx val="4"/>
              <c:layout>
                <c:manualLayout>
                  <c:x val="-2.6006610062224017E-2"/>
                  <c:y val="-5.7870117720433458E-3"/>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D59B87D0-C898-4D9B-8D89-576CB63F6D88}" type="CATEGORYNAME">
                      <a:rPr lang="en-US" sz="800">
                        <a:solidFill>
                          <a:sysClr val="windowText" lastClr="000000"/>
                        </a:solidFill>
                        <a:latin typeface="Times New Roman" panose="02020603050405020304" pitchFamily="18" charset="0"/>
                        <a:cs typeface="Times New Roman" panose="02020603050405020304" pitchFamily="18" charset="0"/>
                      </a:rPr>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p>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A39C6A9-3549-49EE-BED0-8E4767D8C56C}" type="VALUE">
                      <a:rPr lang="en-US" sz="800" baseline="0">
                        <a:solidFill>
                          <a:sysClr val="windowText" lastClr="000000"/>
                        </a:solidFill>
                        <a:latin typeface="Times New Roman" panose="02020603050405020304" pitchFamily="18" charset="0"/>
                        <a:cs typeface="Times New Roman" panose="02020603050405020304" pitchFamily="18" charset="0"/>
                      </a:rPr>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[VALOR]</a:t>
                    </a:fld>
                    <a:r>
                      <a:rPr lang="en-US" sz="8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0886363977085901"/>
                      <c:h val="0.19181145626027515"/>
                    </c:manualLayout>
                  </c15:layout>
                  <c15:dlblFieldTable/>
                  <c15:showDataLabelsRange val="0"/>
                </c:ext>
                <c:ext xmlns:c16="http://schemas.microsoft.com/office/drawing/2014/chart" uri="{C3380CC4-5D6E-409C-BE32-E72D297353CC}">
                  <c16:uniqueId val="{00000009-604B-4B24-921C-B653C48C25A3}"/>
                </c:ext>
              </c:extLst>
            </c:dLbl>
            <c:dLbl>
              <c:idx val="5"/>
              <c:layout>
                <c:manualLayout>
                  <c:x val="-5.686059908872737E-2"/>
                  <c:y val="2.1715392011641989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0376161-5E3F-464E-9F50-6AB3A50BF40D}" type="CATEGORYNAME">
                      <a:rPr lang="en-US" sz="800">
                        <a:solidFill>
                          <a:sysClr val="windowText" lastClr="000000"/>
                        </a:solidFill>
                        <a:latin typeface="Times New Roman" panose="02020603050405020304" pitchFamily="18" charset="0"/>
                        <a:cs typeface="Times New Roman" panose="02020603050405020304" pitchFamily="18" charset="0"/>
                      </a:rPr>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[NOMBRE DE CATEGORÍA]</a:t>
                    </a:fld>
                    <a:r>
                      <a:rPr lang="en-US" sz="800" baseline="0">
                        <a:solidFill>
                          <a:sysClr val="windowText" lastClr="000000"/>
                        </a:solidFill>
                        <a:latin typeface="Times New Roman" panose="02020603050405020304" pitchFamily="18" charset="0"/>
                        <a:cs typeface="Times New Roman" panose="02020603050405020304" pitchFamily="18" charset="0"/>
                      </a:rPr>
                      <a:t>; </a:t>
                    </a:r>
                    <a:fld id="{19734FF8-526B-4F1C-BDDA-D652191670ED}" type="VALUE">
                      <a:rPr lang="en-US" sz="800" baseline="0">
                        <a:solidFill>
                          <a:sysClr val="windowText" lastClr="000000"/>
                        </a:solidFill>
                        <a:latin typeface="Times New Roman" panose="02020603050405020304" pitchFamily="18" charset="0"/>
                        <a:cs typeface="Times New Roman" panose="02020603050405020304" pitchFamily="18" charset="0"/>
                      </a:rPr>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[VALOR]</a:t>
                    </a:fld>
                    <a:endParaRPr lang="en-US" sz="8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4333990195376201"/>
                      <c:h val="0.1918113596696652"/>
                    </c:manualLayout>
                  </c15:layout>
                  <c15:dlblFieldTable/>
                  <c15:showDataLabelsRange val="0"/>
                </c:ext>
                <c:ext xmlns:c16="http://schemas.microsoft.com/office/drawing/2014/chart" uri="{C3380CC4-5D6E-409C-BE32-E72D297353CC}">
                  <c16:uniqueId val="{0000000B-604B-4B24-921C-B653C48C25A3}"/>
                </c:ext>
              </c:extLst>
            </c:dLbl>
            <c:dLbl>
              <c:idx val="6"/>
              <c:layout>
                <c:manualLayout>
                  <c:x val="-0.35291531810057486"/>
                  <c:y val="-4.0556746891034952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900" baseline="0">
                        <a:solidFill>
                          <a:schemeClr val="bg1"/>
                        </a:solidFill>
                        <a:latin typeface="Times New Roman" panose="02020603050405020304" pitchFamily="18" charset="0"/>
                        <a:cs typeface="Times New Roman" panose="02020603050405020304" pitchFamily="18" charset="0"/>
                      </a:rPr>
                      <a:t>1ra dosis; </a:t>
                    </a:r>
                    <a:fld id="{471A49C0-EBEC-4D6B-9798-0B71A84C5862}" type="VALUE">
                      <a:rPr lang="en-US" sz="900" baseline="0">
                        <a:solidFill>
                          <a:schemeClr val="bg1"/>
                        </a:solidFill>
                        <a:latin typeface="Times New Roman" panose="02020603050405020304" pitchFamily="18" charset="0"/>
                        <a:cs typeface="Times New Roman" panose="02020603050405020304" pitchFamily="18" charset="0"/>
                      </a:rPr>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[VALOR]</a:t>
                    </a:fld>
                    <a:r>
                      <a:rPr lang="en-US" sz="900" baseline="0">
                        <a:solidFill>
                          <a:schemeClr val="bg1"/>
                        </a:solidFill>
                        <a:latin typeface="Times New Roman" panose="02020603050405020304" pitchFamily="18" charset="0"/>
                        <a:cs typeface="Times New Roman" panose="02020603050405020304" pitchFamily="18" charset="0"/>
                      </a:rPr>
                      <a:t>;</a:t>
                    </a:r>
                  </a:p>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900" baseline="0">
                        <a:solidFill>
                          <a:schemeClr val="bg1"/>
                        </a:solidFill>
                        <a:latin typeface="Times New Roman" panose="02020603050405020304" pitchFamily="18" charset="0"/>
                        <a:cs typeface="Times New Roman" panose="02020603050405020304" pitchFamily="18" charset="0"/>
                      </a:rPr>
                      <a:t> </a:t>
                    </a:r>
                    <a:fld id="{F8CE4A89-340F-437B-81A8-DD4EEBCA6CF6}" type="PERCENTAGE">
                      <a:rPr lang="en-US" sz="900" baseline="0">
                        <a:solidFill>
                          <a:schemeClr val="bg1"/>
                        </a:solidFill>
                        <a:latin typeface="Times New Roman" panose="02020603050405020304" pitchFamily="18" charset="0"/>
                        <a:cs typeface="Times New Roman" panose="02020603050405020304" pitchFamily="18" charset="0"/>
                      </a:rPr>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[PORCENTAJE]</a:t>
                    </a:fld>
                    <a:endParaRPr lang="en-US" sz="900" baseline="0">
                      <a:solidFill>
                        <a:schemeClr val="bg1"/>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0621942301637928"/>
                      <c:h val="0.48492931448386234"/>
                    </c:manualLayout>
                  </c15:layout>
                  <c15:dlblFieldTable/>
                  <c15:showDataLabelsRange val="0"/>
                </c:ext>
                <c:ext xmlns:c16="http://schemas.microsoft.com/office/drawing/2014/chart" uri="{C3380CC4-5D6E-409C-BE32-E72D297353CC}">
                  <c16:uniqueId val="{0000000D-604B-4B24-921C-B653C48C25A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Sheet1!$A$2:$A$7</c:f>
              <c:strCache>
                <c:ptCount val="6"/>
                <c:pt idx="0">
                  <c:v>2da Dosis (Esquema Completo)</c:v>
                </c:pt>
                <c:pt idx="2">
                  <c:v>Moderna</c:v>
                </c:pt>
                <c:pt idx="3">
                  <c:v>Astrazeneca</c:v>
                </c:pt>
                <c:pt idx="4">
                  <c:v>Sputnik</c:v>
                </c:pt>
                <c:pt idx="5">
                  <c:v>Pfizer</c:v>
                </c:pt>
              </c:strCache>
            </c:strRef>
          </c:cat>
          <c:val>
            <c:numRef>
              <c:f>Sheet1!$B$2:$B$7</c:f>
              <c:numCache>
                <c:formatCode>General</c:formatCode>
                <c:ptCount val="6"/>
                <c:pt idx="0" formatCode="#,##0">
                  <c:v>4087815</c:v>
                </c:pt>
                <c:pt idx="2" formatCode="#,##0">
                  <c:v>2540388</c:v>
                </c:pt>
                <c:pt idx="3" formatCode="#,##0">
                  <c:v>1650069</c:v>
                </c:pt>
                <c:pt idx="4" formatCode="#,##0">
                  <c:v>1314115</c:v>
                </c:pt>
                <c:pt idx="5" formatCode="#,##0">
                  <c:v>504479</c:v>
                </c:pt>
              </c:numCache>
            </c:numRef>
          </c:val>
          <c:extLst xmlns:c16r2="http://schemas.microsoft.com/office/drawing/2015/06/chart">
            <c:ext xmlns:c16="http://schemas.microsoft.com/office/drawing/2014/chart" uri="{C3380CC4-5D6E-409C-BE32-E72D297353CC}">
              <c16:uniqueId val="{0000000E-604B-4B24-921C-B653C48C25A3}"/>
            </c:ext>
          </c:extLst>
        </c:ser>
        <c:dLbls>
          <c:showLegendKey val="0"/>
          <c:showVal val="0"/>
          <c:showCatName val="0"/>
          <c:showSerName val="0"/>
          <c:showPercent val="0"/>
          <c:showBubbleSize val="0"/>
          <c:showLeaderLines val="0"/>
        </c:dLbls>
        <c:gapWidth val="34"/>
        <c:splitType val="pos"/>
        <c:splitPos val="4"/>
        <c:secondPieSize val="8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385969541275779E-2"/>
          <c:y val="7.3089700996677748E-2"/>
          <c:w val="0.92080803991766347"/>
          <c:h val="0.77467435190090783"/>
        </c:manualLayout>
      </c:layout>
      <c:barChart>
        <c:barDir val="col"/>
        <c:grouping val="stacked"/>
        <c:varyColors val="0"/>
        <c:ser>
          <c:idx val="0"/>
          <c:order val="0"/>
          <c:tx>
            <c:strRef>
              <c:f>Sheet1!$B$1</c:f>
              <c:strCache>
                <c:ptCount val="1"/>
                <c:pt idx="0">
                  <c:v>Primera Dosis</c:v>
                </c:pt>
              </c:strCache>
            </c:strRef>
          </c:tx>
          <c:spPr>
            <a:solidFill>
              <a:schemeClr val="accent5">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Sheet1!$B$2:$B$8</c:f>
              <c:numCache>
                <c:formatCode>General</c:formatCode>
                <c:ptCount val="7"/>
                <c:pt idx="0">
                  <c:v>22.95</c:v>
                </c:pt>
                <c:pt idx="1">
                  <c:v>44.77</c:v>
                </c:pt>
                <c:pt idx="2">
                  <c:v>51.56</c:v>
                </c:pt>
                <c:pt idx="3">
                  <c:v>58.38</c:v>
                </c:pt>
                <c:pt idx="4">
                  <c:v>62.25</c:v>
                </c:pt>
                <c:pt idx="5">
                  <c:v>66.28</c:v>
                </c:pt>
                <c:pt idx="6">
                  <c:v>55.41</c:v>
                </c:pt>
              </c:numCache>
            </c:numRef>
          </c:val>
          <c:extLst xmlns:c16r2="http://schemas.microsoft.com/office/drawing/2015/06/chart">
            <c:ext xmlns:c16="http://schemas.microsoft.com/office/drawing/2014/chart" uri="{C3380CC4-5D6E-409C-BE32-E72D297353CC}">
              <c16:uniqueId val="{00000000-F111-444C-A956-949225A0967F}"/>
            </c:ext>
          </c:extLst>
        </c:ser>
        <c:ser>
          <c:idx val="1"/>
          <c:order val="1"/>
          <c:tx>
            <c:strRef>
              <c:f>Sheet1!$C$1</c:f>
              <c:strCache>
                <c:ptCount val="1"/>
                <c:pt idx="0">
                  <c:v>Esquema completo</c:v>
                </c:pt>
              </c:strCache>
            </c:strRef>
          </c:tx>
          <c:spPr>
            <a:solidFill>
              <a:srgbClr val="FFC000"/>
            </a:solidFill>
            <a:ln>
              <a:solidFill>
                <a:schemeClr val="tx1"/>
              </a:solidFill>
            </a:ln>
            <a:effectLst/>
          </c:spPr>
          <c:invertIfNegative val="0"/>
          <c:dLbls>
            <c:dLbl>
              <c:idx val="0"/>
              <c:layout>
                <c:manualLayout>
                  <c:x val="-1.0519349063316956E-17"/>
                  <c:y val="-6.92584237781088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11-444C-A956-949225A0967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 a 17 años</c:v>
                </c:pt>
                <c:pt idx="1">
                  <c:v>18 a 29 años</c:v>
                </c:pt>
                <c:pt idx="2">
                  <c:v>30 a 39 años</c:v>
                </c:pt>
                <c:pt idx="3">
                  <c:v>40 a 49 años</c:v>
                </c:pt>
                <c:pt idx="4">
                  <c:v>50 a 59 años</c:v>
                </c:pt>
                <c:pt idx="5">
                  <c:v>60 a 69 años</c:v>
                </c:pt>
                <c:pt idx="6">
                  <c:v>70 años y más</c:v>
                </c:pt>
              </c:strCache>
            </c:strRef>
          </c:cat>
          <c:val>
            <c:numRef>
              <c:f>Sheet1!$C$2:$C$8</c:f>
              <c:numCache>
                <c:formatCode>General</c:formatCode>
                <c:ptCount val="7"/>
                <c:pt idx="0">
                  <c:v>7.36</c:v>
                </c:pt>
                <c:pt idx="1">
                  <c:v>26.41</c:v>
                </c:pt>
                <c:pt idx="2">
                  <c:v>36.11</c:v>
                </c:pt>
                <c:pt idx="3">
                  <c:v>44.71</c:v>
                </c:pt>
                <c:pt idx="4">
                  <c:v>50.67</c:v>
                </c:pt>
                <c:pt idx="5" formatCode="0.0">
                  <c:v>56</c:v>
                </c:pt>
                <c:pt idx="6">
                  <c:v>47.34</c:v>
                </c:pt>
              </c:numCache>
            </c:numRef>
          </c:val>
          <c:extLst xmlns:c16r2="http://schemas.microsoft.com/office/drawing/2015/06/chart">
            <c:ext xmlns:c16="http://schemas.microsoft.com/office/drawing/2014/chart" uri="{C3380CC4-5D6E-409C-BE32-E72D297353CC}">
              <c16:uniqueId val="{00000002-F111-444C-A956-949225A0967F}"/>
            </c:ext>
          </c:extLst>
        </c:ser>
        <c:dLbls>
          <c:showLegendKey val="0"/>
          <c:showVal val="0"/>
          <c:showCatName val="0"/>
          <c:showSerName val="0"/>
          <c:showPercent val="0"/>
          <c:showBubbleSize val="0"/>
        </c:dLbls>
        <c:gapWidth val="55"/>
        <c:overlap val="100"/>
        <c:axId val="272300672"/>
        <c:axId val="272114048"/>
      </c:barChart>
      <c:catAx>
        <c:axId val="27230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272114048"/>
        <c:crosses val="autoZero"/>
        <c:auto val="1"/>
        <c:lblAlgn val="ctr"/>
        <c:lblOffset val="100"/>
        <c:noMultiLvlLbl val="0"/>
      </c:catAx>
      <c:valAx>
        <c:axId val="272114048"/>
        <c:scaling>
          <c:orientation val="minMax"/>
          <c:max val="140"/>
        </c:scaling>
        <c:delete val="1"/>
        <c:axPos val="l"/>
        <c:numFmt formatCode="General" sourceLinked="1"/>
        <c:majorTickMark val="out"/>
        <c:minorTickMark val="none"/>
        <c:tickLblPos val="nextTo"/>
        <c:crossAx val="272300672"/>
        <c:crosses val="autoZero"/>
        <c:crossBetween val="between"/>
      </c:valAx>
      <c:spPr>
        <a:noFill/>
        <a:ln>
          <a:noFill/>
        </a:ln>
        <a:effectLst/>
      </c:spPr>
    </c:plotArea>
    <c:legend>
      <c:legendPos val="r"/>
      <c:layout>
        <c:manualLayout>
          <c:xMode val="edge"/>
          <c:yMode val="edge"/>
          <c:x val="0"/>
          <c:y val="1.6609726109817667E-2"/>
          <c:w val="0.41901185349306663"/>
          <c:h val="0.215949982996311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1716637610079"/>
          <c:y val="1.7845192951148784E-2"/>
          <c:w val="0.86252083453072015"/>
          <c:h val="0.69719446206664926"/>
        </c:manualLayout>
      </c:layout>
      <c:barChart>
        <c:barDir val="col"/>
        <c:grouping val="stacked"/>
        <c:varyColors val="0"/>
        <c:ser>
          <c:idx val="1"/>
          <c:order val="1"/>
          <c:tx>
            <c:strRef>
              <c:f>Sheet1!$C$1</c:f>
              <c:strCache>
                <c:ptCount val="1"/>
                <c:pt idx="0">
                  <c:v>Funcionamiento</c:v>
                </c:pt>
              </c:strCache>
            </c:strRef>
          </c:tx>
          <c:spPr>
            <a:solidFill>
              <a:schemeClr val="tx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Proyecto de Presupuesto 2022</c:v>
                </c:pt>
                <c:pt idx="1">
                  <c:v>Comision de Finanzas 2022</c:v>
                </c:pt>
                <c:pt idx="2">
                  <c:v>Aprobado 2022</c:v>
                </c:pt>
              </c:strCache>
            </c:strRef>
          </c:cat>
          <c:val>
            <c:numRef>
              <c:f>Sheet1!$C$2:$C$4</c:f>
              <c:numCache>
                <c:formatCode>#,##0.0</c:formatCode>
                <c:ptCount val="3"/>
                <c:pt idx="0">
                  <c:v>70420.051999999996</c:v>
                </c:pt>
                <c:pt idx="1">
                  <c:v>72184.179025999998</c:v>
                </c:pt>
                <c:pt idx="2">
                  <c:v>72184.179000000004</c:v>
                </c:pt>
              </c:numCache>
            </c:numRef>
          </c:val>
          <c:extLst xmlns:c16r2="http://schemas.microsoft.com/office/drawing/2015/06/chart">
            <c:ext xmlns:c16="http://schemas.microsoft.com/office/drawing/2014/chart" uri="{C3380CC4-5D6E-409C-BE32-E72D297353CC}">
              <c16:uniqueId val="{00000000-6BE5-4EFB-A4EF-ABC2122ED2E4}"/>
            </c:ext>
          </c:extLst>
        </c:ser>
        <c:ser>
          <c:idx val="2"/>
          <c:order val="2"/>
          <c:tx>
            <c:strRef>
              <c:f>Sheet1!$D$1</c:f>
              <c:strCache>
                <c:ptCount val="1"/>
                <c:pt idx="0">
                  <c:v>Inversión</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Proyecto de Presupuesto 2022</c:v>
                </c:pt>
                <c:pt idx="1">
                  <c:v>Comision de Finanzas 2022</c:v>
                </c:pt>
                <c:pt idx="2">
                  <c:v>Aprobado 2022</c:v>
                </c:pt>
              </c:strCache>
            </c:strRef>
          </c:cat>
          <c:val>
            <c:numRef>
              <c:f>Sheet1!$D$2:$D$4</c:f>
              <c:numCache>
                <c:formatCode>#,##0.0</c:formatCode>
                <c:ptCount val="3"/>
                <c:pt idx="0">
                  <c:v>18260.414000000001</c:v>
                </c:pt>
                <c:pt idx="1">
                  <c:v>18443.287</c:v>
                </c:pt>
                <c:pt idx="2">
                  <c:v>18733.287</c:v>
                </c:pt>
              </c:numCache>
            </c:numRef>
          </c:val>
          <c:extLst xmlns:c16r2="http://schemas.microsoft.com/office/drawing/2015/06/chart">
            <c:ext xmlns:c16="http://schemas.microsoft.com/office/drawing/2014/chart" uri="{C3380CC4-5D6E-409C-BE32-E72D297353CC}">
              <c16:uniqueId val="{00000001-6BE5-4EFB-A4EF-ABC2122ED2E4}"/>
            </c:ext>
          </c:extLst>
        </c:ser>
        <c:ser>
          <c:idx val="3"/>
          <c:order val="3"/>
          <c:tx>
            <c:strRef>
              <c:f>Sheet1!$E$1</c:f>
              <c:strCache>
                <c:ptCount val="1"/>
                <c:pt idx="0">
                  <c:v>Deuda</c:v>
                </c:pt>
              </c:strCache>
            </c:strRef>
          </c:tx>
          <c:spPr>
            <a:solidFill>
              <a:schemeClr val="accent5">
                <a:lumMod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Proyecto de Presupuesto 2022</c:v>
                </c:pt>
                <c:pt idx="1">
                  <c:v>Comision de Finanzas 2022</c:v>
                </c:pt>
                <c:pt idx="2">
                  <c:v>Aprobado 2022</c:v>
                </c:pt>
              </c:strCache>
            </c:strRef>
          </c:cat>
          <c:val>
            <c:numRef>
              <c:f>Sheet1!$E$2:$E$4</c:f>
              <c:numCache>
                <c:formatCode>#,##0.0</c:formatCode>
                <c:ptCount val="3"/>
                <c:pt idx="0">
                  <c:v>15312</c:v>
                </c:pt>
                <c:pt idx="1">
                  <c:v>15312</c:v>
                </c:pt>
                <c:pt idx="2">
                  <c:v>15312</c:v>
                </c:pt>
              </c:numCache>
            </c:numRef>
          </c:val>
          <c:extLst xmlns:c16r2="http://schemas.microsoft.com/office/drawing/2015/06/chart">
            <c:ext xmlns:c16="http://schemas.microsoft.com/office/drawing/2014/chart" uri="{C3380CC4-5D6E-409C-BE32-E72D297353CC}">
              <c16:uniqueId val="{00000002-6BE5-4EFB-A4EF-ABC2122ED2E4}"/>
            </c:ext>
          </c:extLst>
        </c:ser>
        <c:dLbls>
          <c:showLegendKey val="0"/>
          <c:showVal val="0"/>
          <c:showCatName val="0"/>
          <c:showSerName val="0"/>
          <c:showPercent val="0"/>
          <c:showBubbleSize val="0"/>
        </c:dLbls>
        <c:gapWidth val="60"/>
        <c:overlap val="100"/>
        <c:axId val="272157312"/>
        <c:axId val="272368000"/>
      </c:barChart>
      <c:lineChart>
        <c:grouping val="standard"/>
        <c:varyColors val="0"/>
        <c:ser>
          <c:idx val="0"/>
          <c:order val="0"/>
          <c:tx>
            <c:strRef>
              <c:f>Sheet1!$B$1</c:f>
              <c:strCache>
                <c:ptCount val="1"/>
                <c:pt idx="0">
                  <c:v>Total</c:v>
                </c:pt>
              </c:strCache>
            </c:strRef>
          </c:tx>
          <c:spPr>
            <a:ln w="28575" cap="rnd">
              <a:noFill/>
              <a:round/>
            </a:ln>
            <a:effectLst/>
          </c:spPr>
          <c:marker>
            <c:symbol val="none"/>
          </c:marker>
          <c:dLbls>
            <c:dLbl>
              <c:idx val="0"/>
              <c:layout>
                <c:manualLayout>
                  <c:x val="-0.11962692619626926"/>
                  <c:y val="-4.0307653936744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E5-4EFB-A4EF-ABC2122ED2E4}"/>
                </c:ext>
              </c:extLst>
            </c:dLbl>
            <c:dLbl>
              <c:idx val="1"/>
              <c:layout>
                <c:manualLayout>
                  <c:x val="-0.11962692619626934"/>
                  <c:y val="-3.1385057461170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E5-4EFB-A4EF-ABC2122ED2E4}"/>
                </c:ext>
              </c:extLst>
            </c:dLbl>
            <c:dLbl>
              <c:idx val="2"/>
              <c:layout>
                <c:manualLayout>
                  <c:x val="-5.2991870541729727E-2"/>
                  <c:y val="-3.1385057461170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E5-4EFB-A4EF-ABC2122ED2E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Proyecto de Presupuesto 2022</c:v>
                </c:pt>
                <c:pt idx="1">
                  <c:v>Comision de Finanzas 2022</c:v>
                </c:pt>
                <c:pt idx="2">
                  <c:v>Aprobado 2022</c:v>
                </c:pt>
              </c:strCache>
            </c:strRef>
          </c:cat>
          <c:val>
            <c:numRef>
              <c:f>Sheet1!$B$2:$B$4</c:f>
              <c:numCache>
                <c:formatCode>#,##0.0</c:formatCode>
                <c:ptCount val="3"/>
                <c:pt idx="0">
                  <c:v>103992.466</c:v>
                </c:pt>
                <c:pt idx="1">
                  <c:v>105939.46602599999</c:v>
                </c:pt>
                <c:pt idx="2">
                  <c:v>106229.466</c:v>
                </c:pt>
              </c:numCache>
            </c:numRef>
          </c:val>
          <c:smooth val="0"/>
          <c:extLst xmlns:c16r2="http://schemas.microsoft.com/office/drawing/2015/06/chart">
            <c:ext xmlns:c16="http://schemas.microsoft.com/office/drawing/2014/chart" uri="{C3380CC4-5D6E-409C-BE32-E72D297353CC}">
              <c16:uniqueId val="{00000006-6BE5-4EFB-A4EF-ABC2122ED2E4}"/>
            </c:ext>
          </c:extLst>
        </c:ser>
        <c:dLbls>
          <c:showLegendKey val="0"/>
          <c:showVal val="0"/>
          <c:showCatName val="0"/>
          <c:showSerName val="0"/>
          <c:showPercent val="0"/>
          <c:showBubbleSize val="0"/>
        </c:dLbls>
        <c:marker val="1"/>
        <c:smooth val="0"/>
        <c:axId val="272157312"/>
        <c:axId val="272368000"/>
      </c:lineChart>
      <c:catAx>
        <c:axId val="27215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272368000"/>
        <c:crosses val="autoZero"/>
        <c:auto val="1"/>
        <c:lblAlgn val="ctr"/>
        <c:lblOffset val="100"/>
        <c:noMultiLvlLbl val="0"/>
      </c:catAx>
      <c:valAx>
        <c:axId val="27236800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72157312"/>
        <c:crosses val="autoZero"/>
        <c:crossBetween val="between"/>
      </c:valAx>
      <c:spPr>
        <a:noFill/>
        <a:ln>
          <a:noFill/>
        </a:ln>
        <a:effectLst/>
      </c:spPr>
    </c:plotArea>
    <c:legend>
      <c:legendPos val="b"/>
      <c:legendEntry>
        <c:idx val="3"/>
        <c:delete val="1"/>
      </c:legendEntry>
      <c:layout>
        <c:manualLayout>
          <c:xMode val="edge"/>
          <c:yMode val="edge"/>
          <c:x val="7.1365835368139952E-2"/>
          <c:y val="0.85798970033959021"/>
          <c:w val="0.8851425279157179"/>
          <c:h val="5.196290629548083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noFill/>
    <a:ln w="9525" cap="flat" cmpd="sng" algn="ctr">
      <a:noFill/>
      <a:round/>
    </a:ln>
    <a:effectLst/>
  </c:spPr>
  <c:txPr>
    <a:bodyPr/>
    <a:lstStyle/>
    <a:p>
      <a:pPr>
        <a:defRPr/>
      </a:pPr>
      <a:endParaRPr lang="es-G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Presup. Operativo 2021</c:v>
                </c:pt>
              </c:strCache>
            </c:strRef>
          </c:tx>
          <c:spPr>
            <a:solidFill>
              <a:schemeClr val="accent2">
                <a:lumMod val="75000"/>
              </a:schemeClr>
            </a:solidFill>
            <a:ln>
              <a:solidFill>
                <a:schemeClr val="tx1"/>
              </a:solidFill>
            </a:ln>
            <a:effectLst/>
          </c:spPr>
          <c:invertIfNegative val="0"/>
          <c:dLbls>
            <c:dLbl>
              <c:idx val="0"/>
              <c:layout>
                <c:manualLayout>
                  <c:x val="-7.3597056117755327E-2"/>
                  <c:y val="-2.6058631921824105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B8-4243-AD8A-CFDD2D4E145B}"/>
                </c:ext>
              </c:extLst>
            </c:dLbl>
            <c:dLbl>
              <c:idx val="1"/>
              <c:layout>
                <c:manualLayout>
                  <c:x val="-6.4397424103035922E-2"/>
                  <c:y val="-2.6058631921824105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B8-4243-AD8A-CFDD2D4E145B}"/>
                </c:ext>
              </c:extLst>
            </c:dLbl>
            <c:dLbl>
              <c:idx val="2"/>
              <c:layout>
                <c:manualLayout>
                  <c:x val="-8.7396504139834449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B8-4243-AD8A-CFDD2D4E145B}"/>
                </c:ext>
              </c:extLst>
            </c:dLbl>
            <c:dLbl>
              <c:idx val="3"/>
              <c:layout>
                <c:manualLayout>
                  <c:x val="0.16559337626494941"/>
                  <c:y val="-2.60586319218241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B8-4243-AD8A-CFDD2D4E145B}"/>
                </c:ext>
              </c:extLst>
            </c:dLbl>
            <c:dLbl>
              <c:idx val="4"/>
              <c:layout>
                <c:manualLayout>
                  <c:x val="-4.1398344066237353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B8-4243-AD8A-CFDD2D4E145B}"/>
                </c:ext>
              </c:extLst>
            </c:dLbl>
            <c:dLbl>
              <c:idx val="5"/>
              <c:layout>
                <c:manualLayout>
                  <c:x val="0.14719411223551057"/>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B8-4243-AD8A-CFDD2D4E14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Desarrollo Social</c:v>
                </c:pt>
                <c:pt idx="1">
                  <c:v>Agricultura</c:v>
                </c:pt>
                <c:pt idx="2">
                  <c:v>Defensa</c:v>
                </c:pt>
                <c:pt idx="3">
                  <c:v>Gobernación</c:v>
                </c:pt>
                <c:pt idx="4">
                  <c:v>Salud</c:v>
                </c:pt>
                <c:pt idx="5">
                  <c:v>Otros</c:v>
                </c:pt>
                <c:pt idx="6">
                  <c:v>Deuda</c:v>
                </c:pt>
                <c:pt idx="7">
                  <c:v>Educación</c:v>
                </c:pt>
                <c:pt idx="8">
                  <c:v>Obligaciones</c:v>
                </c:pt>
              </c:strCache>
            </c:strRef>
          </c:cat>
          <c:val>
            <c:numRef>
              <c:f>Sheet1!$B$2:$B$10</c:f>
              <c:numCache>
                <c:formatCode>#,##0.0</c:formatCode>
                <c:ptCount val="9"/>
                <c:pt idx="0">
                  <c:v>1116.8</c:v>
                </c:pt>
                <c:pt idx="1">
                  <c:v>1313.4</c:v>
                </c:pt>
                <c:pt idx="2">
                  <c:v>2634.7</c:v>
                </c:pt>
                <c:pt idx="3">
                  <c:v>5496.6</c:v>
                </c:pt>
                <c:pt idx="4">
                  <c:v>10652.2</c:v>
                </c:pt>
                <c:pt idx="5">
                  <c:v>11476.6</c:v>
                </c:pt>
                <c:pt idx="6">
                  <c:v>14611</c:v>
                </c:pt>
                <c:pt idx="7">
                  <c:v>17851.7</c:v>
                </c:pt>
                <c:pt idx="8">
                  <c:v>29201</c:v>
                </c:pt>
              </c:numCache>
            </c:numRef>
          </c:val>
          <c:extLst xmlns:c16r2="http://schemas.microsoft.com/office/drawing/2015/06/chart">
            <c:ext xmlns:c16="http://schemas.microsoft.com/office/drawing/2014/chart" uri="{C3380CC4-5D6E-409C-BE32-E72D297353CC}">
              <c16:uniqueId val="{00000006-75B8-4243-AD8A-CFDD2D4E145B}"/>
            </c:ext>
          </c:extLst>
        </c:ser>
        <c:ser>
          <c:idx val="1"/>
          <c:order val="1"/>
          <c:tx>
            <c:strRef>
              <c:f>Sheet1!$C$1</c:f>
              <c:strCache>
                <c:ptCount val="1"/>
                <c:pt idx="0">
                  <c:v>Aumento para 2022</c:v>
                </c:pt>
              </c:strCache>
            </c:strRef>
          </c:tx>
          <c:spPr>
            <a:solidFill>
              <a:schemeClr val="accent6">
                <a:lumMod val="75000"/>
              </a:schemeClr>
            </a:solidFill>
            <a:ln>
              <a:solidFill>
                <a:schemeClr val="tx1"/>
              </a:solidFill>
            </a:ln>
            <a:effectLst/>
          </c:spPr>
          <c:invertIfNegative val="0"/>
          <c:dLbls>
            <c:dLbl>
              <c:idx val="0"/>
              <c:layout>
                <c:manualLayout>
                  <c:x val="8.2796688132474622E-2"/>
                  <c:y val="2.60586319218241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5B8-4243-AD8A-CFDD2D4E145B}"/>
                </c:ext>
              </c:extLst>
            </c:dLbl>
            <c:dLbl>
              <c:idx val="1"/>
              <c:layout>
                <c:manualLayout>
                  <c:x val="7.3597056117755286E-2"/>
                  <c:y val="5.211726384364916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5B8-4243-AD8A-CFDD2D4E145B}"/>
                </c:ext>
              </c:extLst>
            </c:dLbl>
            <c:dLbl>
              <c:idx val="2"/>
              <c:layout>
                <c:manualLayout>
                  <c:x val="6.8997240110395583E-2"/>
                  <c:y val="2.60586319218231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5B8-4243-AD8A-CFDD2D4E145B}"/>
                </c:ext>
              </c:extLst>
            </c:dLbl>
            <c:dLbl>
              <c:idx val="3"/>
              <c:layout>
                <c:manualLayout>
                  <c:x val="0.12419503219871196"/>
                  <c:y val="5.21172638436482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5B8-4243-AD8A-CFDD2D4E145B}"/>
                </c:ext>
              </c:extLst>
            </c:dLbl>
            <c:dLbl>
              <c:idx val="4"/>
              <c:layout>
                <c:manualLayout>
                  <c:x val="9.659613615455381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5B8-4243-AD8A-CFDD2D4E145B}"/>
                </c:ext>
              </c:extLst>
            </c:dLbl>
            <c:dLbl>
              <c:idx val="5"/>
              <c:layout>
                <c:manualLayout>
                  <c:x val="-6.4397424103035839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5B8-4243-AD8A-CFDD2D4E145B}"/>
                </c:ext>
              </c:extLst>
            </c:dLbl>
            <c:dLbl>
              <c:idx val="6"/>
              <c:layout>
                <c:manualLayout>
                  <c:x val="6.899724011039558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5B8-4243-AD8A-CFDD2D4E145B}"/>
                </c:ext>
              </c:extLst>
            </c:dLbl>
            <c:dLbl>
              <c:idx val="7"/>
              <c:layout>
                <c:manualLayout>
                  <c:x val="0.11039558417663285"/>
                  <c:y val="2.605863192182410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5B8-4243-AD8A-CFDD2D4E145B}"/>
                </c:ext>
              </c:extLst>
            </c:dLbl>
            <c:dLbl>
              <c:idx val="8"/>
              <c:layout>
                <c:manualLayout>
                  <c:x val="5.979760809567617E-2"/>
                  <c:y val="5.472312703583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5B8-4243-AD8A-CFDD2D4E14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Desarrollo Social</c:v>
                </c:pt>
                <c:pt idx="1">
                  <c:v>Agricultura</c:v>
                </c:pt>
                <c:pt idx="2">
                  <c:v>Defensa</c:v>
                </c:pt>
                <c:pt idx="3">
                  <c:v>Gobernación</c:v>
                </c:pt>
                <c:pt idx="4">
                  <c:v>Salud</c:v>
                </c:pt>
                <c:pt idx="5">
                  <c:v>Otros</c:v>
                </c:pt>
                <c:pt idx="6">
                  <c:v>Deuda</c:v>
                </c:pt>
                <c:pt idx="7">
                  <c:v>Educación</c:v>
                </c:pt>
                <c:pt idx="8">
                  <c:v>Obligaciones</c:v>
                </c:pt>
              </c:strCache>
            </c:strRef>
          </c:cat>
          <c:val>
            <c:numRef>
              <c:f>Sheet1!$C$2:$C$10</c:f>
              <c:numCache>
                <c:formatCode>#,##0.0</c:formatCode>
                <c:ptCount val="9"/>
                <c:pt idx="0">
                  <c:v>189.8</c:v>
                </c:pt>
                <c:pt idx="1">
                  <c:v>140.6</c:v>
                </c:pt>
                <c:pt idx="2">
                  <c:v>524</c:v>
                </c:pt>
                <c:pt idx="3">
                  <c:v>983.9</c:v>
                </c:pt>
                <c:pt idx="4">
                  <c:v>2091.5</c:v>
                </c:pt>
                <c:pt idx="5">
                  <c:v>-991.9</c:v>
                </c:pt>
                <c:pt idx="6">
                  <c:v>701</c:v>
                </c:pt>
                <c:pt idx="7">
                  <c:v>2756.7</c:v>
                </c:pt>
                <c:pt idx="8">
                  <c:v>5479.8</c:v>
                </c:pt>
              </c:numCache>
            </c:numRef>
          </c:val>
          <c:extLst xmlns:c16r2="http://schemas.microsoft.com/office/drawing/2015/06/chart">
            <c:ext xmlns:c16="http://schemas.microsoft.com/office/drawing/2014/chart" uri="{C3380CC4-5D6E-409C-BE32-E72D297353CC}">
              <c16:uniqueId val="{00000010-75B8-4243-AD8A-CFDD2D4E145B}"/>
            </c:ext>
          </c:extLst>
        </c:ser>
        <c:dLbls>
          <c:showLegendKey val="0"/>
          <c:showVal val="0"/>
          <c:showCatName val="0"/>
          <c:showSerName val="0"/>
          <c:showPercent val="0"/>
          <c:showBubbleSize val="0"/>
        </c:dLbls>
        <c:gapWidth val="42"/>
        <c:overlap val="100"/>
        <c:axId val="272444800"/>
        <c:axId val="272467072"/>
      </c:barChart>
      <c:catAx>
        <c:axId val="27244480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272467072"/>
        <c:crosses val="autoZero"/>
        <c:auto val="1"/>
        <c:lblAlgn val="ctr"/>
        <c:lblOffset val="100"/>
        <c:noMultiLvlLbl val="0"/>
      </c:catAx>
      <c:valAx>
        <c:axId val="272467072"/>
        <c:scaling>
          <c:orientation val="minMax"/>
        </c:scaling>
        <c:delete val="1"/>
        <c:axPos val="b"/>
        <c:numFmt formatCode="#,##0.0" sourceLinked="1"/>
        <c:majorTickMark val="none"/>
        <c:minorTickMark val="none"/>
        <c:tickLblPos val="nextTo"/>
        <c:crossAx val="27244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Brecha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Hoja1!$B$2:$B$12</c:f>
              <c:numCache>
                <c:formatCode>General</c:formatCode>
                <c:ptCount val="11"/>
                <c:pt idx="0">
                  <c:v>27.269265356569122</c:v>
                </c:pt>
                <c:pt idx="1">
                  <c:v>190.42159745468052</c:v>
                </c:pt>
                <c:pt idx="2">
                  <c:v>852.73738267364752</c:v>
                </c:pt>
                <c:pt idx="3">
                  <c:v>1640.523204899735</c:v>
                </c:pt>
                <c:pt idx="4">
                  <c:v>1415.7639126420554</c:v>
                </c:pt>
                <c:pt idx="5">
                  <c:v>1222.0675771417059</c:v>
                </c:pt>
                <c:pt idx="6">
                  <c:v>2063.679349617496</c:v>
                </c:pt>
                <c:pt idx="7">
                  <c:v>1028.7891315166471</c:v>
                </c:pt>
                <c:pt idx="8">
                  <c:v>769.96328392664418</c:v>
                </c:pt>
                <c:pt idx="9">
                  <c:v>1497.959061583103</c:v>
                </c:pt>
                <c:pt idx="10">
                  <c:v>727.92881298616248</c:v>
                </c:pt>
              </c:numCache>
            </c:numRef>
          </c:val>
          <c:extLst xmlns:c16r2="http://schemas.microsoft.com/office/drawing/2015/06/chart">
            <c:ext xmlns:c16="http://schemas.microsoft.com/office/drawing/2014/chart" uri="{C3380CC4-5D6E-409C-BE32-E72D297353CC}">
              <c16:uniqueId val="{00000000-5F35-47E4-9A1B-165E0B016945}"/>
            </c:ext>
          </c:extLst>
        </c:ser>
        <c:dLbls>
          <c:showLegendKey val="0"/>
          <c:showVal val="0"/>
          <c:showCatName val="0"/>
          <c:showSerName val="0"/>
          <c:showPercent val="0"/>
          <c:showBubbleSize val="0"/>
        </c:dLbls>
        <c:gapWidth val="30"/>
        <c:overlap val="-27"/>
        <c:axId val="133099520"/>
        <c:axId val="133101056"/>
      </c:barChart>
      <c:catAx>
        <c:axId val="13309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3101056"/>
        <c:crosses val="autoZero"/>
        <c:auto val="1"/>
        <c:lblAlgn val="ctr"/>
        <c:lblOffset val="100"/>
        <c:noMultiLvlLbl val="0"/>
      </c:catAx>
      <c:valAx>
        <c:axId val="13310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3099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06649556832003"/>
          <c:y val="2.3583513747838829E-2"/>
          <c:w val="0.80441713078548105"/>
          <c:h val="0.94924023099816968"/>
        </c:manualLayout>
      </c:layout>
      <c:radarChart>
        <c:radarStyle val="marker"/>
        <c:varyColors val="0"/>
        <c:ser>
          <c:idx val="0"/>
          <c:order val="0"/>
          <c:tx>
            <c:strRef>
              <c:f>Hoja1!$B$1</c:f>
              <c:strCache>
                <c:ptCount val="1"/>
                <c:pt idx="0">
                  <c:v>2021-2020</c:v>
                </c:pt>
              </c:strCache>
            </c:strRef>
          </c:tx>
          <c:spPr>
            <a:ln w="22225" cap="rnd">
              <a:solidFill>
                <a:schemeClr val="accent1"/>
              </a:solidFill>
              <a:round/>
            </a:ln>
            <a:effectLst/>
          </c:spPr>
          <c:marker>
            <c:symbol val="none"/>
          </c:marker>
          <c:dLbls>
            <c:dLbl>
              <c:idx val="0"/>
              <c:layout>
                <c:manualLayout>
                  <c:x val="-0.22021249561099768"/>
                  <c:y val="0"/>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38-4615-A000-1CF97565B997}"/>
                </c:ext>
              </c:extLst>
            </c:dLbl>
            <c:dLbl>
              <c:idx val="1"/>
              <c:layout>
                <c:manualLayout>
                  <c:x val="9.0625090932369506E-2"/>
                  <c:y val="-2.1786635975074914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38-4615-A000-1CF97565B997}"/>
                </c:ext>
              </c:extLst>
            </c:dLbl>
            <c:dLbl>
              <c:idx val="2"/>
              <c:layout>
                <c:manualLayout>
                  <c:x val="0.16231878997386959"/>
                  <c:y val="-3.739067387986681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38-4615-A000-1CF97565B997}"/>
                </c:ext>
              </c:extLst>
            </c:dLbl>
            <c:dLbl>
              <c:idx val="3"/>
              <c:layout>
                <c:manualLayout>
                  <c:x val="9.2102233479161872E-3"/>
                  <c:y val="7.821901323706377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38-4615-A000-1CF97565B997}"/>
                </c:ext>
              </c:extLst>
            </c:dLbl>
            <c:dLbl>
              <c:idx val="4"/>
              <c:layout>
                <c:manualLayout>
                  <c:x val="-9.4585959460167263E-2"/>
                  <c:y val="-0.1149783756103250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38-4615-A000-1CF97565B997}"/>
                </c:ext>
              </c:extLst>
            </c:dLbl>
            <c:dLbl>
              <c:idx val="5"/>
              <c:layout>
                <c:manualLayout>
                  <c:x val="-0.14505337608852109"/>
                  <c:y val="-0.12551272365905969"/>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38-4615-A000-1CF97565B99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5685.612430819996</c:v>
                </c:pt>
                <c:pt idx="1">
                  <c:v>1964.8495280900004</c:v>
                </c:pt>
                <c:pt idx="2">
                  <c:v>591.52138524000111</c:v>
                </c:pt>
                <c:pt idx="3">
                  <c:v>297.47311555000397</c:v>
                </c:pt>
                <c:pt idx="4">
                  <c:v>4681.9631183299989</c:v>
                </c:pt>
                <c:pt idx="5">
                  <c:v>2015.0984891800017</c:v>
                </c:pt>
              </c:numCache>
            </c:numRef>
          </c:val>
          <c:extLst xmlns:c16r2="http://schemas.microsoft.com/office/drawing/2015/06/chart">
            <c:ext xmlns:c16="http://schemas.microsoft.com/office/drawing/2014/chart" uri="{C3380CC4-5D6E-409C-BE32-E72D297353CC}">
              <c16:uniqueId val="{00000006-1338-4615-A000-1CF97565B997}"/>
            </c:ext>
          </c:extLst>
        </c:ser>
        <c:ser>
          <c:idx val="1"/>
          <c:order val="1"/>
          <c:tx>
            <c:strRef>
              <c:f>Hoja1!$C$1</c:f>
              <c:strCache>
                <c:ptCount val="1"/>
                <c:pt idx="0">
                  <c:v>2021-Presupuesto</c:v>
                </c:pt>
              </c:strCache>
            </c:strRef>
          </c:tx>
          <c:spPr>
            <a:ln w="22225" cap="rnd">
              <a:solidFill>
                <a:srgbClr val="FF0000"/>
              </a:solidFill>
              <a:round/>
            </a:ln>
            <a:effectLst/>
          </c:spPr>
          <c:marker>
            <c:symbol val="none"/>
          </c:marker>
          <c:dLbls>
            <c:dLbl>
              <c:idx val="0"/>
              <c:layout>
                <c:manualLayout>
                  <c:x val="0.11152896353587721"/>
                  <c:y val="-7.238973589344474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338-4615-A000-1CF97565B997}"/>
                </c:ext>
              </c:extLst>
            </c:dLbl>
            <c:dLbl>
              <c:idx val="1"/>
              <c:layout>
                <c:manualLayout>
                  <c:x val="0.17520781077531605"/>
                  <c:y val="-0.1702399724181290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338-4615-A000-1CF97565B997}"/>
                </c:ext>
              </c:extLst>
            </c:dLbl>
            <c:dLbl>
              <c:idx val="2"/>
              <c:layout>
                <c:manualLayout>
                  <c:x val="0.16720692618522454"/>
                  <c:y val="8.656042914146355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338-4615-A000-1CF97565B997}"/>
                </c:ext>
              </c:extLst>
            </c:dLbl>
            <c:dLbl>
              <c:idx val="3"/>
              <c:layout>
                <c:manualLayout>
                  <c:x val="9.5325811650933383E-3"/>
                  <c:y val="0.1255990789959918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338-4615-A000-1CF97565B997}"/>
                </c:ext>
              </c:extLst>
            </c:dLbl>
            <c:dLbl>
              <c:idx val="4"/>
              <c:layout>
                <c:manualLayout>
                  <c:x val="-0.13303769401330379"/>
                  <c:y val="-2.227743103264699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338-4615-A000-1CF97565B997}"/>
                </c:ext>
              </c:extLst>
            </c:dLbl>
            <c:dLbl>
              <c:idx val="5"/>
              <c:layout>
                <c:manualLayout>
                  <c:x val="-0.17664526967388502"/>
                  <c:y val="-3.217394831441310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338-4615-A000-1CF97565B99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3942.4416710999903</c:v>
                </c:pt>
                <c:pt idx="1">
                  <c:v>979.14498131845085</c:v>
                </c:pt>
                <c:pt idx="2">
                  <c:v>454.68910300000152</c:v>
                </c:pt>
                <c:pt idx="3">
                  <c:v>256.73920915999952</c:v>
                </c:pt>
                <c:pt idx="4">
                  <c:v>4909.4140295399993</c:v>
                </c:pt>
                <c:pt idx="5">
                  <c:v>894.67358568000236</c:v>
                </c:pt>
              </c:numCache>
            </c:numRef>
          </c:val>
          <c:extLst xmlns:c16r2="http://schemas.microsoft.com/office/drawing/2015/06/chart">
            <c:ext xmlns:c16="http://schemas.microsoft.com/office/drawing/2014/chart" uri="{C3380CC4-5D6E-409C-BE32-E72D297353CC}">
              <c16:uniqueId val="{0000000D-1338-4615-A000-1CF97565B997}"/>
            </c:ext>
          </c:extLst>
        </c:ser>
        <c:dLbls>
          <c:showLegendKey val="0"/>
          <c:showVal val="0"/>
          <c:showCatName val="0"/>
          <c:showSerName val="0"/>
          <c:showPercent val="0"/>
          <c:showBubbleSize val="0"/>
        </c:dLbls>
        <c:axId val="133030272"/>
        <c:axId val="133031808"/>
      </c:radarChart>
      <c:catAx>
        <c:axId val="133030272"/>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133031808"/>
        <c:crosses val="autoZero"/>
        <c:auto val="1"/>
        <c:lblAlgn val="ctr"/>
        <c:lblOffset val="100"/>
        <c:noMultiLvlLbl val="1"/>
      </c:catAx>
      <c:valAx>
        <c:axId val="1330318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303027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1064524464332572"/>
          <c:y val="0.88191856756987119"/>
          <c:w val="0.80795044743575573"/>
          <c:h val="0.1180814324301287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9439337486389"/>
          <c:y val="0.14879480278591042"/>
          <c:w val="0.82931570877252758"/>
          <c:h val="0.74488279900347332"/>
        </c:manualLayout>
      </c:layout>
      <c:barChart>
        <c:barDir val="col"/>
        <c:grouping val="clustered"/>
        <c:varyColors val="0"/>
        <c:ser>
          <c:idx val="0"/>
          <c:order val="0"/>
          <c:tx>
            <c:strRef>
              <c:f>Hoja1!$B$1</c:f>
              <c:strCache>
                <c:ptCount val="1"/>
                <c:pt idx="0">
                  <c:v>Obs21-Pres</c:v>
                </c:pt>
              </c:strCache>
            </c:strRef>
          </c:tx>
          <c:spPr>
            <a:solidFill>
              <a:schemeClr val="accent1"/>
            </a:solidFill>
            <a:ln>
              <a:noFill/>
            </a:ln>
            <a:effectLst/>
          </c:spPr>
          <c:invertIfNegative val="0"/>
          <c:dLbls>
            <c:dLbl>
              <c:idx val="2"/>
              <c:layout>
                <c:manualLayout>
                  <c:x val="-4.516659656947226E-17"/>
                  <c:y val="1.6380016380016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60-439B-8520-AF51D1DF2D51}"/>
                </c:ext>
              </c:extLst>
            </c:dLbl>
            <c:dLbl>
              <c:idx val="3"/>
              <c:layout>
                <c:manualLayout>
                  <c:x val="0"/>
                  <c:y val="-1.27307447485677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60-439B-8520-AF51D1DF2D51}"/>
                </c:ext>
              </c:extLst>
            </c:dLbl>
            <c:dLbl>
              <c:idx val="4"/>
              <c:layout>
                <c:manualLayout>
                  <c:x val="-9.4073377234243569E-3"/>
                  <c:y val="1.63799530832318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860-439B-8520-AF51D1DF2D51}"/>
                </c:ext>
              </c:extLst>
            </c:dLbl>
            <c:dLbl>
              <c:idx val="5"/>
              <c:layout>
                <c:manualLayout>
                  <c:x val="2.35183443085605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60-439B-8520-AF51D1DF2D51}"/>
                </c:ext>
              </c:extLst>
            </c:dLbl>
            <c:dLbl>
              <c:idx val="7"/>
              <c:layout>
                <c:manualLayout>
                  <c:x val="-8.7676334517210861E-17"/>
                  <c:y val="-3.18268618714194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860-439B-8520-AF51D1DF2D51}"/>
                </c:ext>
              </c:extLst>
            </c:dLbl>
            <c:dLbl>
              <c:idx val="9"/>
              <c:layout>
                <c:manualLayout>
                  <c:x val="0"/>
                  <c:y val="8.190008190008190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60-439B-8520-AF51D1DF2D5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Hoja1!$B$2:$B$12</c:f>
              <c:numCache>
                <c:formatCode>General</c:formatCode>
                <c:ptCount val="11"/>
                <c:pt idx="0">
                  <c:v>69.45493179999994</c:v>
                </c:pt>
                <c:pt idx="1">
                  <c:v>49.331967139999961</c:v>
                </c:pt>
                <c:pt idx="2">
                  <c:v>-28.778871321311954</c:v>
                </c:pt>
                <c:pt idx="3">
                  <c:v>175.57319428647793</c:v>
                </c:pt>
                <c:pt idx="4">
                  <c:v>256.31831503483431</c:v>
                </c:pt>
                <c:pt idx="5">
                  <c:v>245.9969491899999</c:v>
                </c:pt>
                <c:pt idx="6">
                  <c:v>160.38195810000002</c:v>
                </c:pt>
                <c:pt idx="7">
                  <c:v>65.036105840000118</c:v>
                </c:pt>
                <c:pt idx="8">
                  <c:v>23.762332949999973</c:v>
                </c:pt>
                <c:pt idx="9">
                  <c:v>-39.508872280000105</c:v>
                </c:pt>
                <c:pt idx="10">
                  <c:v>-82.894425059999776</c:v>
                </c:pt>
              </c:numCache>
            </c:numRef>
          </c:val>
          <c:extLst xmlns:c16r2="http://schemas.microsoft.com/office/drawing/2015/06/chart">
            <c:ext xmlns:c16="http://schemas.microsoft.com/office/drawing/2014/chart" uri="{C3380CC4-5D6E-409C-BE32-E72D297353CC}">
              <c16:uniqueId val="{00000006-E860-439B-8520-AF51D1DF2D51}"/>
            </c:ext>
          </c:extLst>
        </c:ser>
        <c:dLbls>
          <c:showLegendKey val="0"/>
          <c:showVal val="0"/>
          <c:showCatName val="0"/>
          <c:showSerName val="0"/>
          <c:showPercent val="0"/>
          <c:showBubbleSize val="0"/>
        </c:dLbls>
        <c:gapWidth val="20"/>
        <c:overlap val="-27"/>
        <c:axId val="267688960"/>
        <c:axId val="267694848"/>
      </c:barChart>
      <c:lineChart>
        <c:grouping val="standard"/>
        <c:varyColors val="0"/>
        <c:ser>
          <c:idx val="1"/>
          <c:order val="1"/>
          <c:tx>
            <c:strRef>
              <c:f>Hoja1!$C$1</c:f>
              <c:strCache>
                <c:ptCount val="1"/>
                <c:pt idx="0">
                  <c:v>Obs21-Obs19</c:v>
                </c:pt>
              </c:strCache>
            </c:strRef>
          </c:tx>
          <c:spPr>
            <a:ln w="12700" cap="rnd">
              <a:solidFill>
                <a:srgbClr val="FF0000"/>
              </a:solidFill>
              <a:prstDash val="sysDot"/>
              <a:round/>
            </a:ln>
            <a:effectLst/>
          </c:spPr>
          <c:marker>
            <c:symbol val="circle"/>
            <c:size val="3"/>
            <c:spPr>
              <a:solidFill>
                <a:schemeClr val="bg1"/>
              </a:solidFill>
              <a:ln w="9525">
                <a:solidFill>
                  <a:srgbClr val="FF0000"/>
                </a:solidFill>
              </a:ln>
              <a:effectLst/>
            </c:spPr>
          </c:marker>
          <c:dLbls>
            <c:dLbl>
              <c:idx val="1"/>
              <c:layout>
                <c:manualLayout>
                  <c:x val="-4.1303373663657897E-2"/>
                  <c:y val="-0.1200861563066287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60-439B-8520-AF51D1DF2D51}"/>
                </c:ext>
              </c:extLst>
            </c:dLbl>
            <c:dLbl>
              <c:idx val="2"/>
              <c:layout>
                <c:manualLayout>
                  <c:x val="-5.1158017664643403E-2"/>
                  <c:y val="-0.1364661726866451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860-439B-8520-AF51D1DF2D51}"/>
                </c:ext>
              </c:extLst>
            </c:dLbl>
            <c:dLbl>
              <c:idx val="3"/>
              <c:layout>
                <c:manualLayout>
                  <c:x val="-6.5939983666121513E-2"/>
                  <c:y val="0.248464212243739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860-439B-8520-AF51D1DF2D51}"/>
                </c:ext>
              </c:extLst>
            </c:dLbl>
            <c:dLbl>
              <c:idx val="4"/>
              <c:layout>
                <c:manualLayout>
                  <c:x val="-6.5939983666121652E-2"/>
                  <c:y val="0.2075141712936990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860-439B-8520-AF51D1DF2D51}"/>
                </c:ext>
              </c:extLst>
            </c:dLbl>
            <c:dLbl>
              <c:idx val="5"/>
              <c:layout>
                <c:manualLayout>
                  <c:x val="-6.1012661665628916E-2"/>
                  <c:y val="0.2812242450037725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860-439B-8520-AF51D1DF2D51}"/>
                </c:ext>
              </c:extLst>
            </c:dLbl>
            <c:dLbl>
              <c:idx val="6"/>
              <c:layout>
                <c:manualLayout>
                  <c:x val="-5.8450454225372601E-2"/>
                  <c:y val="0.1501841139636415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860-439B-8520-AF51D1DF2D51}"/>
                </c:ext>
              </c:extLst>
            </c:dLbl>
            <c:dLbl>
              <c:idx val="7"/>
              <c:layout>
                <c:manualLayout>
                  <c:x val="-6.5939983666121554E-2"/>
                  <c:y val="0.1501841139636415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860-439B-8520-AF51D1DF2D51}"/>
                </c:ext>
              </c:extLst>
            </c:dLbl>
            <c:dLbl>
              <c:idx val="8"/>
              <c:layout>
                <c:manualLayout>
                  <c:x val="-8.6430100517773945E-2"/>
                  <c:y val="-5.7880835045734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860-439B-8520-AF51D1DF2D51}"/>
                </c:ext>
              </c:extLst>
            </c:dLbl>
            <c:dLbl>
              <c:idx val="9"/>
              <c:layout>
                <c:manualLayout>
                  <c:x val="-7.7022762794349678E-2"/>
                  <c:y val="-5.78808350457347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860-439B-8520-AF51D1DF2D51}"/>
                </c:ext>
              </c:extLst>
            </c:dLbl>
            <c:dLbl>
              <c:idx val="10"/>
              <c:layout>
                <c:manualLayout>
                  <c:x val="-4.582188280086814E-3"/>
                  <c:y val="-5.78808350457347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860-439B-8520-AF51D1DF2D5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3175" cap="flat" cmpd="sng" algn="ctr">
                      <a:solidFill>
                        <a:srgbClr val="FF0000"/>
                      </a:solidFill>
                      <a:prstDash val="sysDash"/>
                      <a:round/>
                    </a:ln>
                    <a:effectLst/>
                  </c:spPr>
                </c15:leaderLines>
              </c:ext>
            </c:extLst>
          </c:dLbls>
          <c:cat>
            <c:strRef>
              <c:f>Hoja1!$A$2:$A$12</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Hoja1!$C$2:$C$12</c:f>
              <c:numCache>
                <c:formatCode>General</c:formatCode>
                <c:ptCount val="11"/>
                <c:pt idx="0">
                  <c:v>411.57787566000002</c:v>
                </c:pt>
                <c:pt idx="1">
                  <c:v>227.48059463999994</c:v>
                </c:pt>
                <c:pt idx="2">
                  <c:v>174.07122125000001</c:v>
                </c:pt>
                <c:pt idx="3">
                  <c:v>206.11858329000006</c:v>
                </c:pt>
                <c:pt idx="4">
                  <c:v>124.18946142000004</c:v>
                </c:pt>
                <c:pt idx="5">
                  <c:v>185.84631783000009</c:v>
                </c:pt>
                <c:pt idx="6">
                  <c:v>89.584891319999997</c:v>
                </c:pt>
                <c:pt idx="7">
                  <c:v>105.89436840000008</c:v>
                </c:pt>
                <c:pt idx="8">
                  <c:v>175.28470663999997</c:v>
                </c:pt>
                <c:pt idx="9">
                  <c:v>147.17482384000004</c:v>
                </c:pt>
                <c:pt idx="10">
                  <c:v>170.05623992000005</c:v>
                </c:pt>
              </c:numCache>
            </c:numRef>
          </c:val>
          <c:smooth val="0"/>
          <c:extLst xmlns:c16r2="http://schemas.microsoft.com/office/drawing/2015/06/chart">
            <c:ext xmlns:c16="http://schemas.microsoft.com/office/drawing/2014/chart" uri="{C3380CC4-5D6E-409C-BE32-E72D297353CC}">
              <c16:uniqueId val="{00000011-E860-439B-8520-AF51D1DF2D51}"/>
            </c:ext>
          </c:extLst>
        </c:ser>
        <c:dLbls>
          <c:showLegendKey val="0"/>
          <c:showVal val="0"/>
          <c:showCatName val="0"/>
          <c:showSerName val="0"/>
          <c:showPercent val="0"/>
          <c:showBubbleSize val="0"/>
        </c:dLbls>
        <c:marker val="1"/>
        <c:smooth val="0"/>
        <c:axId val="267688960"/>
        <c:axId val="267694848"/>
      </c:lineChart>
      <c:catAx>
        <c:axId val="267688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67694848"/>
        <c:crosses val="autoZero"/>
        <c:auto val="1"/>
        <c:lblAlgn val="ctr"/>
        <c:lblOffset val="100"/>
        <c:noMultiLvlLbl val="0"/>
      </c:catAx>
      <c:valAx>
        <c:axId val="26769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67688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23296533609574"/>
          <c:y val="6.9095477386934667E-2"/>
          <c:w val="0.75014791665454239"/>
          <c:h val="0.71229985140746299"/>
        </c:manualLayout>
      </c:layout>
      <c:barChart>
        <c:barDir val="col"/>
        <c:grouping val="clustered"/>
        <c:varyColors val="0"/>
        <c:ser>
          <c:idx val="0"/>
          <c:order val="0"/>
          <c:tx>
            <c:strRef>
              <c:f>Hoja1!$B$1</c:f>
              <c:strCache>
                <c:ptCount val="1"/>
                <c:pt idx="0">
                  <c:v>2021</c:v>
                </c:pt>
              </c:strCache>
            </c:strRef>
          </c:tx>
          <c:spPr>
            <a:solidFill>
              <a:schemeClr val="accent1"/>
            </a:solidFill>
            <a:ln>
              <a:noFill/>
            </a:ln>
            <a:effectLst/>
          </c:spPr>
          <c:invertIfNegative val="0"/>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6893.669096820001</c:v>
                </c:pt>
                <c:pt idx="1">
                  <c:v>11624.583736160002</c:v>
                </c:pt>
                <c:pt idx="2">
                  <c:v>17879.829767710002</c:v>
                </c:pt>
                <c:pt idx="3">
                  <c:v>25654.842707700001</c:v>
                </c:pt>
                <c:pt idx="4">
                  <c:v>30913.261819669999</c:v>
                </c:pt>
                <c:pt idx="5">
                  <c:v>36019.283114489997</c:v>
                </c:pt>
                <c:pt idx="6">
                  <c:v>44929.969261189995</c:v>
                </c:pt>
                <c:pt idx="7">
                  <c:v>50246.586428339993</c:v>
                </c:pt>
                <c:pt idx="8">
                  <c:v>55519.849199109987</c:v>
                </c:pt>
                <c:pt idx="9">
                  <c:v>64668.439570429982</c:v>
                </c:pt>
                <c:pt idx="10">
                  <c:v>70400.244462119983</c:v>
                </c:pt>
              </c:numCache>
            </c:numRef>
          </c:val>
          <c:extLst xmlns:c16r2="http://schemas.microsoft.com/office/drawing/2015/06/chart">
            <c:ext xmlns:c16="http://schemas.microsoft.com/office/drawing/2014/chart" uri="{C3380CC4-5D6E-409C-BE32-E72D297353CC}">
              <c16:uniqueId val="{00000000-C5F0-45D1-9EB6-7BBF8C757B61}"/>
            </c:ext>
          </c:extLst>
        </c:ser>
        <c:dLbls>
          <c:showLegendKey val="0"/>
          <c:showVal val="0"/>
          <c:showCatName val="0"/>
          <c:showSerName val="0"/>
          <c:showPercent val="0"/>
          <c:showBubbleSize val="0"/>
        </c:dLbls>
        <c:gapWidth val="20"/>
        <c:overlap val="-27"/>
        <c:axId val="267386880"/>
        <c:axId val="267388032"/>
      </c:barChart>
      <c:lineChart>
        <c:grouping val="standard"/>
        <c:varyColors val="0"/>
        <c:ser>
          <c:idx val="1"/>
          <c:order val="1"/>
          <c:tx>
            <c:strRef>
              <c:f>Hoja1!$C$1</c:f>
              <c:strCache>
                <c:ptCount val="1"/>
                <c:pt idx="0">
                  <c:v>0bs+Pres</c:v>
                </c:pt>
              </c:strCache>
            </c:strRef>
          </c:tx>
          <c:spPr>
            <a:ln w="19050" cap="rnd">
              <a:solidFill>
                <a:srgbClr val="FF0000"/>
              </a:solidFill>
              <a:prstDash val="sysDot"/>
              <a:round/>
            </a:ln>
            <a:effectLst/>
          </c:spPr>
          <c:marker>
            <c:symbol val="circle"/>
            <c:size val="5"/>
            <c:spPr>
              <a:solidFill>
                <a:schemeClr val="bg1"/>
              </a:solidFill>
              <a:ln w="9525">
                <a:solidFill>
                  <a:schemeClr val="accent2"/>
                </a:solidFill>
              </a:ln>
              <a:effectLst/>
            </c:spPr>
          </c:marker>
          <c:dLbls>
            <c:dLbl>
              <c:idx val="11"/>
              <c:layout>
                <c:manualLayout>
                  <c:x val="0"/>
                  <c:y val="-7.348801092074545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F0-45D1-9EB6-7BBF8C757B6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10">
                  <c:v>70400.244462119983</c:v>
                </c:pt>
                <c:pt idx="11">
                  <c:v>75495.455162498431</c:v>
                </c:pt>
              </c:numCache>
            </c:numRef>
          </c:val>
          <c:smooth val="0"/>
          <c:extLst xmlns:c16r2="http://schemas.microsoft.com/office/drawing/2015/06/chart">
            <c:ext xmlns:c16="http://schemas.microsoft.com/office/drawing/2014/chart" uri="{C3380CC4-5D6E-409C-BE32-E72D297353CC}">
              <c16:uniqueId val="{00000002-C5F0-45D1-9EB6-7BBF8C757B61}"/>
            </c:ext>
          </c:extLst>
        </c:ser>
        <c:ser>
          <c:idx val="2"/>
          <c:order val="2"/>
          <c:tx>
            <c:strRef>
              <c:f>Hoja1!$D$1</c:f>
              <c:strCache>
                <c:ptCount val="1"/>
                <c:pt idx="0">
                  <c:v>Presupuesto</c:v>
                </c:pt>
              </c:strCache>
            </c:strRef>
          </c:tx>
          <c:spPr>
            <a:ln w="22225" cap="rnd">
              <a:solidFill>
                <a:srgbClr val="0070C0"/>
              </a:solidFill>
              <a:prstDash val="sysDot"/>
              <a:round/>
            </a:ln>
            <a:effectLst/>
          </c:spPr>
          <c:marker>
            <c:symbol val="circle"/>
            <c:size val="5"/>
            <c:spPr>
              <a:solidFill>
                <a:schemeClr val="bg1"/>
              </a:solidFill>
              <a:ln w="9525">
                <a:solidFill>
                  <a:srgbClr val="0070C0"/>
                </a:solidFill>
              </a:ln>
              <a:effectLst/>
            </c:spPr>
          </c:marker>
          <c:dLbls>
            <c:dLbl>
              <c:idx val="11"/>
              <c:layout>
                <c:manualLayout>
                  <c:x val="0"/>
                  <c:y val="7.756563245823389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F0-45D1-9EB6-7BBF8C757B6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Hoja1!$D$2:$D$13</c:f>
              <c:numCache>
                <c:formatCode>General</c:formatCode>
                <c:ptCount val="12"/>
                <c:pt idx="10">
                  <c:v>70400.244462119983</c:v>
                </c:pt>
                <c:pt idx="11">
                  <c:v>64027.699691689981</c:v>
                </c:pt>
              </c:numCache>
            </c:numRef>
          </c:val>
          <c:smooth val="0"/>
          <c:extLst xmlns:c16r2="http://schemas.microsoft.com/office/drawing/2015/06/chart">
            <c:ext xmlns:c16="http://schemas.microsoft.com/office/drawing/2014/chart" uri="{C3380CC4-5D6E-409C-BE32-E72D297353CC}">
              <c16:uniqueId val="{00000004-C5F0-45D1-9EB6-7BBF8C757B61}"/>
            </c:ext>
          </c:extLst>
        </c:ser>
        <c:dLbls>
          <c:showLegendKey val="0"/>
          <c:showVal val="0"/>
          <c:showCatName val="0"/>
          <c:showSerName val="0"/>
          <c:showPercent val="0"/>
          <c:showBubbleSize val="0"/>
        </c:dLbls>
        <c:marker val="1"/>
        <c:smooth val="0"/>
        <c:axId val="267386880"/>
        <c:axId val="267388032"/>
      </c:lineChart>
      <c:catAx>
        <c:axId val="26738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67388032"/>
        <c:crosses val="autoZero"/>
        <c:auto val="1"/>
        <c:lblAlgn val="ctr"/>
        <c:lblOffset val="100"/>
        <c:noMultiLvlLbl val="0"/>
      </c:catAx>
      <c:valAx>
        <c:axId val="267388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67386880"/>
        <c:crosses val="autoZero"/>
        <c:crossBetween val="between"/>
      </c:valAx>
      <c:spPr>
        <a:noFill/>
        <a:ln>
          <a:noFill/>
        </a:ln>
        <a:effectLst/>
      </c:spPr>
    </c:plotArea>
    <c:legend>
      <c:legendPos val="b"/>
      <c:layout>
        <c:manualLayout>
          <c:xMode val="edge"/>
          <c:yMode val="edge"/>
          <c:x val="0"/>
          <c:y val="0.9072157045067859"/>
          <c:w val="0.99854624602079955"/>
          <c:h val="9.2784295493214097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s-G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b="1">
                <a:solidFill>
                  <a:sysClr val="windowText" lastClr="000000"/>
                </a:solidFill>
              </a:rPr>
              <a:t>Ritmo de Ejecución del Gasto</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900">
                <a:solidFill>
                  <a:sysClr val="windowText" lastClr="000000"/>
                </a:solidFill>
              </a:rPr>
              <a:t>Variación Interanual (%)</a:t>
            </a:r>
            <a:r>
              <a:rPr lang="es-MX" sz="900" baseline="0">
                <a:solidFill>
                  <a:sysClr val="windowText" lastClr="000000"/>
                </a:solidFill>
              </a:rPr>
              <a:t> sin COVID-19</a:t>
            </a:r>
            <a:endParaRPr lang="es-GT" sz="900">
              <a:solidFill>
                <a:sysClr val="windowText" lastClr="000000"/>
              </a:solidFill>
            </a:endParaRPr>
          </a:p>
        </c:rich>
      </c:tx>
      <c:layout>
        <c:manualLayout>
          <c:xMode val="edge"/>
          <c:yMode val="edge"/>
          <c:x val="0.14650918635170604"/>
          <c:y val="0"/>
        </c:manualLayout>
      </c:layout>
      <c:overlay val="0"/>
      <c:spPr>
        <a:noFill/>
        <a:ln>
          <a:noFill/>
        </a:ln>
        <a:effectLst/>
      </c:spPr>
    </c:title>
    <c:autoTitleDeleted val="0"/>
    <c:plotArea>
      <c:layout>
        <c:manualLayout>
          <c:layoutTarget val="inner"/>
          <c:xMode val="edge"/>
          <c:yMode val="edge"/>
          <c:x val="9.8900103929961777E-2"/>
          <c:y val="0.19207445211648153"/>
          <c:w val="0.85188289383290172"/>
          <c:h val="0.54193712529927129"/>
        </c:manualLayout>
      </c:layout>
      <c:barChart>
        <c:barDir val="col"/>
        <c:grouping val="clustered"/>
        <c:varyColors val="0"/>
        <c:ser>
          <c:idx val="1"/>
          <c:order val="1"/>
          <c:tx>
            <c:strRef>
              <c:f>Sheet1!$C$1</c:f>
              <c:strCache>
                <c:ptCount val="1"/>
                <c:pt idx="0">
                  <c:v>2021</c:v>
                </c:pt>
              </c:strCache>
            </c:strRef>
          </c:tx>
          <c:spPr>
            <a:solidFill>
              <a:schemeClr val="accent5">
                <a:lumMod val="75000"/>
              </a:schemeClr>
            </a:solidFill>
            <a:ln>
              <a:solidFill>
                <a:schemeClr val="tx1"/>
              </a:solidFill>
            </a:ln>
            <a:effectLst/>
          </c:spPr>
          <c:invertIfNegative val="0"/>
          <c:dLbls>
            <c:dLbl>
              <c:idx val="0"/>
              <c:layout>
                <c:manualLayout>
                  <c:x val="0"/>
                  <c:y val="0.11407985589912939"/>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D9-4334-86C0-A76AD975BED0}"/>
                </c:ext>
              </c:extLst>
            </c:dLbl>
            <c:dLbl>
              <c:idx val="2"/>
              <c:layout>
                <c:manualLayout>
                  <c:x val="0"/>
                  <c:y val="6.6046232362653862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D9-4334-86C0-A76AD975BED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3.6453163052856183</c:v>
                </c:pt>
                <c:pt idx="1">
                  <c:v>5.9151064266832094</c:v>
                </c:pt>
                <c:pt idx="2">
                  <c:v>1.1274104866919572</c:v>
                </c:pt>
                <c:pt idx="3">
                  <c:v>6.9774866153619257</c:v>
                </c:pt>
                <c:pt idx="4">
                  <c:v>10.407434084911557</c:v>
                </c:pt>
                <c:pt idx="5">
                  <c:v>8.2331525982774849</c:v>
                </c:pt>
                <c:pt idx="6">
                  <c:v>10.117607309447223</c:v>
                </c:pt>
                <c:pt idx="7">
                  <c:v>9.7411370682155791</c:v>
                </c:pt>
                <c:pt idx="8">
                  <c:v>9.8421816318711564</c:v>
                </c:pt>
                <c:pt idx="9">
                  <c:v>8.319396414947164</c:v>
                </c:pt>
                <c:pt idx="10">
                  <c:v>9.8016530457454536</c:v>
                </c:pt>
              </c:numCache>
            </c:numRef>
          </c:val>
          <c:extLst xmlns:c16r2="http://schemas.microsoft.com/office/drawing/2015/06/chart">
            <c:ext xmlns:c16="http://schemas.microsoft.com/office/drawing/2014/chart" uri="{C3380CC4-5D6E-409C-BE32-E72D297353CC}">
              <c16:uniqueId val="{00000002-0CD9-4334-86C0-A76AD975BED0}"/>
            </c:ext>
          </c:extLst>
        </c:ser>
        <c:dLbls>
          <c:showLegendKey val="0"/>
          <c:showVal val="0"/>
          <c:showCatName val="0"/>
          <c:showSerName val="0"/>
          <c:showPercent val="0"/>
          <c:showBubbleSize val="0"/>
        </c:dLbls>
        <c:gapWidth val="41"/>
        <c:overlap val="-27"/>
        <c:axId val="267441664"/>
        <c:axId val="267443200"/>
      </c:barChart>
      <c:lineChart>
        <c:grouping val="stacked"/>
        <c:varyColors val="0"/>
        <c:ser>
          <c:idx val="0"/>
          <c:order val="0"/>
          <c:tx>
            <c:strRef>
              <c:f>Sheet1!$B$1</c:f>
              <c:strCache>
                <c:ptCount val="1"/>
                <c:pt idx="0">
                  <c:v>2020</c:v>
                </c:pt>
              </c:strCache>
            </c:strRef>
          </c:tx>
          <c:spPr>
            <a:ln w="15875" cap="rnd" cmpd="dbl">
              <a:solidFill>
                <a:srgbClr val="FFC000"/>
              </a:solidFill>
              <a:round/>
            </a:ln>
            <a:effectLst/>
          </c:spPr>
          <c:marker>
            <c:symbol val="circle"/>
            <c:size val="3"/>
            <c:spPr>
              <a:solidFill>
                <a:srgbClr val="FFC000"/>
              </a:solidFill>
              <a:ln w="9525">
                <a:solidFill>
                  <a:schemeClr val="tx1"/>
                </a:solidFill>
              </a:ln>
              <a:effectLst/>
            </c:spPr>
          </c:marker>
          <c:dLbls>
            <c:dLbl>
              <c:idx val="0"/>
              <c:layout>
                <c:manualLayout>
                  <c:x val="-5.8165548098434022E-2"/>
                  <c:y val="-3.00210147102971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D9-4334-86C0-A76AD975BED0}"/>
                </c:ext>
              </c:extLst>
            </c:dLbl>
            <c:dLbl>
              <c:idx val="1"/>
              <c:layout>
                <c:manualLayout>
                  <c:x val="-5.3691275167785234E-2"/>
                  <c:y val="6.00420294205944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CD9-4334-86C0-A76AD975BED0}"/>
                </c:ext>
              </c:extLst>
            </c:dLbl>
            <c:dLbl>
              <c:idx val="2"/>
              <c:layout>
                <c:manualLayout>
                  <c:x val="-6.2639821029082818E-2"/>
                  <c:y val="-4.80336235364755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D9-4334-86C0-A76AD975BED0}"/>
                </c:ext>
              </c:extLst>
            </c:dLbl>
            <c:dLbl>
              <c:idx val="3"/>
              <c:layout>
                <c:manualLayout>
                  <c:x val="-6.2639821029082818E-2"/>
                  <c:y val="4.20294205944160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CD9-4334-86C0-A76AD975BED0}"/>
                </c:ext>
              </c:extLst>
            </c:dLbl>
            <c:dLbl>
              <c:idx val="4"/>
              <c:layout>
                <c:manualLayout>
                  <c:x val="-5.8165548098434001E-2"/>
                  <c:y val="3.60252176523566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CD9-4334-86C0-A76AD975BED0}"/>
                </c:ext>
              </c:extLst>
            </c:dLbl>
            <c:dLbl>
              <c:idx val="5"/>
              <c:layout>
                <c:manualLayout>
                  <c:x val="-4.4742729306487698E-2"/>
                  <c:y val="4.20294205944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CD9-4334-86C0-A76AD975BED0}"/>
                </c:ext>
              </c:extLst>
            </c:dLbl>
            <c:dLbl>
              <c:idx val="6"/>
              <c:layout>
                <c:manualLayout>
                  <c:x val="-4.9217002237136549E-2"/>
                  <c:y val="4.80336235364755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CD9-4334-86C0-A76AD975BED0}"/>
                </c:ext>
              </c:extLst>
            </c:dLbl>
            <c:dLbl>
              <c:idx val="7"/>
              <c:layout>
                <c:manualLayout>
                  <c:x val="-4.9217002237136549E-2"/>
                  <c:y val="4.20294205944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CD9-4334-86C0-A76AD975BED0}"/>
                </c:ext>
              </c:extLst>
            </c:dLbl>
            <c:dLbl>
              <c:idx val="8"/>
              <c:layout>
                <c:manualLayout>
                  <c:x val="-4.9217002237136383E-2"/>
                  <c:y val="4.80336235364754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CD9-4334-86C0-A76AD975BED0}"/>
                </c:ext>
              </c:extLst>
            </c:dLbl>
            <c:dLbl>
              <c:idx val="9"/>
              <c:layout>
                <c:manualLayout>
                  <c:x val="-4.4742729306487698E-2"/>
                  <c:y val="4.20294205944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CD9-4334-86C0-A76AD975BED0}"/>
                </c:ext>
              </c:extLst>
            </c:dLbl>
            <c:dLbl>
              <c:idx val="10"/>
              <c:layout>
                <c:manualLayout>
                  <c:x val="-3.1319910514541388E-2"/>
                  <c:y val="3.00210147102972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CD9-4334-86C0-A76AD975BED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C99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-2.9237447840155539</c:v>
                </c:pt>
                <c:pt idx="5">
                  <c:v>-1.9263830360911527</c:v>
                </c:pt>
                <c:pt idx="6">
                  <c:v>-1.130497710774506</c:v>
                </c:pt>
                <c:pt idx="7">
                  <c:v>-1.5119324923504678</c:v>
                </c:pt>
                <c:pt idx="8">
                  <c:v>-2.4625963133342026</c:v>
                </c:pt>
                <c:pt idx="9">
                  <c:v>-2.881013702901285</c:v>
                </c:pt>
                <c:pt idx="10">
                  <c:v>-1.6004903273873339</c:v>
                </c:pt>
                <c:pt idx="11">
                  <c:v>0.21618185408536306</c:v>
                </c:pt>
              </c:numCache>
            </c:numRef>
          </c:val>
          <c:smooth val="0"/>
          <c:extLst xmlns:c16r2="http://schemas.microsoft.com/office/drawing/2015/06/chart">
            <c:ext xmlns:c16="http://schemas.microsoft.com/office/drawing/2014/chart" uri="{C3380CC4-5D6E-409C-BE32-E72D297353CC}">
              <c16:uniqueId val="{0000000E-0CD9-4334-86C0-A76AD975BED0}"/>
            </c:ext>
          </c:extLst>
        </c:ser>
        <c:dLbls>
          <c:showLegendKey val="0"/>
          <c:showVal val="0"/>
          <c:showCatName val="0"/>
          <c:showSerName val="0"/>
          <c:showPercent val="0"/>
          <c:showBubbleSize val="0"/>
        </c:dLbls>
        <c:marker val="1"/>
        <c:smooth val="0"/>
        <c:axId val="267441664"/>
        <c:axId val="267443200"/>
      </c:lineChart>
      <c:catAx>
        <c:axId val="267441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6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67443200"/>
        <c:crosses val="autoZero"/>
        <c:auto val="1"/>
        <c:lblAlgn val="ctr"/>
        <c:lblOffset val="100"/>
        <c:noMultiLvlLbl val="0"/>
      </c:catAx>
      <c:valAx>
        <c:axId val="26744320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67441664"/>
        <c:crosses val="autoZero"/>
        <c:crossBetween val="between"/>
      </c:valAx>
      <c:spPr>
        <a:noFill/>
        <a:ln>
          <a:noFill/>
        </a:ln>
        <a:effectLst/>
      </c:spPr>
    </c:plotArea>
    <c:legend>
      <c:legendPos val="b"/>
      <c:layout>
        <c:manualLayout>
          <c:xMode val="edge"/>
          <c:yMode val="edge"/>
          <c:x val="0.2789709172259508"/>
          <c:y val="0.90474119285074339"/>
          <c:w val="0.45100671140939597"/>
          <c:h val="9.5258807149256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062772325873062"/>
        </c:manualLayout>
      </c:layout>
      <c:barChart>
        <c:barDir val="col"/>
        <c:grouping val="clustered"/>
        <c:varyColors val="0"/>
        <c:ser>
          <c:idx val="1"/>
          <c:order val="1"/>
          <c:tx>
            <c:strRef>
              <c:f>Sheet1!$C$1</c:f>
              <c:strCache>
                <c:ptCount val="1"/>
                <c:pt idx="0">
                  <c:v>2021</c:v>
                </c:pt>
              </c:strCache>
            </c:strRef>
          </c:tx>
          <c:spPr>
            <a:solidFill>
              <a:srgbClr val="FF7C80"/>
            </a:solidFill>
            <a:ln w="12700">
              <a:solidFill>
                <a:schemeClr val="tx1"/>
              </a:solidFill>
            </a:ln>
            <a:effectLst/>
          </c:spPr>
          <c:invertIfNegative val="0"/>
          <c:dLbls>
            <c:dLbl>
              <c:idx val="0"/>
              <c:layout>
                <c:manualLayout>
                  <c:x val="0"/>
                  <c:y val="9.20643153526971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0B-46F1-A71D-8FDC82C42927}"/>
                </c:ext>
              </c:extLst>
            </c:dLbl>
            <c:dLbl>
              <c:idx val="1"/>
              <c:layout>
                <c:manualLayout>
                  <c:x val="0"/>
                  <c:y val="9.72510373443982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0B-46F1-A71D-8FDC82C42927}"/>
                </c:ext>
              </c:extLst>
            </c:dLbl>
            <c:dLbl>
              <c:idx val="2"/>
              <c:layout>
                <c:manualLayout>
                  <c:x val="0"/>
                  <c:y val="8.06878328486947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90B-46F1-A71D-8FDC82C42927}"/>
                </c:ext>
              </c:extLst>
            </c:dLbl>
            <c:dLbl>
              <c:idx val="3"/>
              <c:layout>
                <c:manualLayout>
                  <c:x val="3.9468507099136252E-17"/>
                  <c:y val="1.94988074623451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90B-46F1-A71D-8FDC82C42927}"/>
                </c:ext>
              </c:extLst>
            </c:dLbl>
            <c:dLbl>
              <c:idx val="4"/>
              <c:layout>
                <c:manualLayout>
                  <c:x val="0"/>
                  <c:y val="1.426348547717847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90B-46F1-A71D-8FDC82C42927}"/>
                </c:ext>
              </c:extLst>
            </c:dLbl>
            <c:dLbl>
              <c:idx val="6"/>
              <c:layout>
                <c:manualLayout>
                  <c:x val="0"/>
                  <c:y val="1.513382915860101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90B-46F1-A71D-8FDC82C42927}"/>
                </c:ext>
              </c:extLst>
            </c:dLbl>
            <c:dLbl>
              <c:idx val="7"/>
              <c:layout>
                <c:manualLayout>
                  <c:x val="4.7036688617121351E-3"/>
                  <c:y val="5.931467439028531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90B-46F1-A71D-8FDC82C42927}"/>
                </c:ext>
              </c:extLst>
            </c:dLbl>
            <c:dLbl>
              <c:idx val="8"/>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90B-46F1-A71D-8FDC82C42927}"/>
                </c:ext>
              </c:extLst>
            </c:dLbl>
            <c:dLbl>
              <c:idx val="9"/>
              <c:layout>
                <c:manualLayout>
                  <c:x val="0"/>
                  <c:y val="1.65228766525958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90B-46F1-A71D-8FDC82C42927}"/>
                </c:ext>
              </c:extLst>
            </c:dLbl>
            <c:dLbl>
              <c:idx val="10"/>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90B-46F1-A71D-8FDC82C42927}"/>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-4.3420352501965001</c:v>
                </c:pt>
                <c:pt idx="9">
                  <c:v>-5.6943807513343216</c:v>
                </c:pt>
                <c:pt idx="10">
                  <c:v>-3.3547814445017821</c:v>
                </c:pt>
              </c:numCache>
            </c:numRef>
          </c:val>
          <c:extLst xmlns:c16r2="http://schemas.microsoft.com/office/drawing/2015/06/chart">
            <c:ext xmlns:c16="http://schemas.microsoft.com/office/drawing/2014/chart" uri="{C3380CC4-5D6E-409C-BE32-E72D297353CC}">
              <c16:uniqueId val="{0000000A-A90B-46F1-A71D-8FDC82C42927}"/>
            </c:ext>
          </c:extLst>
        </c:ser>
        <c:dLbls>
          <c:showLegendKey val="0"/>
          <c:showVal val="0"/>
          <c:showCatName val="0"/>
          <c:showSerName val="0"/>
          <c:showPercent val="0"/>
          <c:showBubbleSize val="0"/>
        </c:dLbls>
        <c:gapWidth val="62"/>
        <c:overlap val="-27"/>
        <c:axId val="267844224"/>
        <c:axId val="270348672"/>
      </c:barChart>
      <c:lineChart>
        <c:grouping val="stacked"/>
        <c:varyColors val="0"/>
        <c:ser>
          <c:idx val="0"/>
          <c:order val="0"/>
          <c:tx>
            <c:strRef>
              <c:f>Sheet1!$B$1</c:f>
              <c:strCache>
                <c:ptCount val="1"/>
                <c:pt idx="0">
                  <c:v>2020</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90B-46F1-A71D-8FDC82C42927}"/>
                </c:ext>
              </c:extLst>
            </c:dLbl>
            <c:dLbl>
              <c:idx val="1"/>
              <c:layout>
                <c:manualLayout>
                  <c:x val="-6.3041624640838081E-2"/>
                  <c:y val="5.0289149540954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90B-46F1-A71D-8FDC82C42927}"/>
                </c:ext>
              </c:extLst>
            </c:dLbl>
            <c:dLbl>
              <c:idx val="2"/>
              <c:layout>
                <c:manualLayout>
                  <c:x val="-5.235160997770865E-2"/>
                  <c:y val="-3.5720178390564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90B-46F1-A71D-8FDC82C42927}"/>
                </c:ext>
              </c:extLst>
            </c:dLbl>
            <c:dLbl>
              <c:idx val="3"/>
              <c:layout>
                <c:manualLayout>
                  <c:x val="-6.1378673198681163E-2"/>
                  <c:y val="3.12551050413304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90B-46F1-A71D-8FDC82C42927}"/>
                </c:ext>
              </c:extLst>
            </c:dLbl>
            <c:dLbl>
              <c:idx val="4"/>
              <c:layout>
                <c:manualLayout>
                  <c:x val="-1.0988023698329421E-3"/>
                  <c:y val="-1.4703744241513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90B-46F1-A71D-8FDC82C42927}"/>
                </c:ext>
              </c:extLst>
            </c:dLbl>
            <c:dLbl>
              <c:idx val="5"/>
              <c:layout>
                <c:manualLayout>
                  <c:x val="-6.915877711195681E-2"/>
                  <c:y val="-4.0637354200019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90B-46F1-A71D-8FDC82C42927}"/>
                </c:ext>
              </c:extLst>
            </c:dLbl>
            <c:dLbl>
              <c:idx val="6"/>
              <c:layout>
                <c:manualLayout>
                  <c:x val="-7.5489811186583891E-2"/>
                  <c:y val="-4.72673817806046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90B-46F1-A71D-8FDC82C42927}"/>
                </c:ext>
              </c:extLst>
            </c:dLbl>
            <c:dLbl>
              <c:idx val="7"/>
              <c:layout>
                <c:manualLayout>
                  <c:x val="-6.9990083317087975E-2"/>
                  <c:y val="-4.6545724834188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90B-46F1-A71D-8FDC82C42927}"/>
                </c:ext>
              </c:extLst>
            </c:dLbl>
            <c:dLbl>
              <c:idx val="8"/>
              <c:layout>
                <c:manualLayout>
                  <c:x val="-4.9708856360662211E-2"/>
                  <c:y val="5.24540954683568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90B-46F1-A71D-8FDC82C42927}"/>
                </c:ext>
              </c:extLst>
            </c:dLbl>
            <c:dLbl>
              <c:idx val="9"/>
              <c:layout>
                <c:manualLayout>
                  <c:x val="-3.2486036123848351E-2"/>
                  <c:y val="4.0637354200019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90B-46F1-A71D-8FDC82C42927}"/>
                </c:ext>
              </c:extLst>
            </c:dLbl>
            <c:dLbl>
              <c:idx val="10"/>
              <c:layout>
                <c:manualLayout>
                  <c:x val="-7.0405736419653836E-2"/>
                  <c:y val="-3.6441827033031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A90B-46F1-A71D-8FDC82C42927}"/>
                </c:ext>
              </c:extLst>
            </c:dLbl>
            <c:dLbl>
              <c:idx val="11"/>
              <c:layout>
                <c:manualLayout>
                  <c:x val="-8.3130620513124768E-4"/>
                  <c:y val="-4.2350197667200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A90B-46F1-A71D-8FDC82C4292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0"/>
          <c:extLst xmlns:c16r2="http://schemas.microsoft.com/office/drawing/2015/06/chart">
            <c:ext xmlns:c16="http://schemas.microsoft.com/office/drawing/2014/chart" uri="{C3380CC4-5D6E-409C-BE32-E72D297353CC}">
              <c16:uniqueId val="{00000017-A90B-46F1-A71D-8FDC82C42927}"/>
            </c:ext>
          </c:extLst>
        </c:ser>
        <c:dLbls>
          <c:showLegendKey val="0"/>
          <c:showVal val="0"/>
          <c:showCatName val="0"/>
          <c:showSerName val="0"/>
          <c:showPercent val="0"/>
          <c:showBubbleSize val="0"/>
        </c:dLbls>
        <c:marker val="1"/>
        <c:smooth val="0"/>
        <c:axId val="267844224"/>
        <c:axId val="270348672"/>
      </c:lineChart>
      <c:catAx>
        <c:axId val="2678442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70348672"/>
        <c:crosses val="autoZero"/>
        <c:auto val="1"/>
        <c:lblAlgn val="ctr"/>
        <c:lblOffset val="100"/>
        <c:noMultiLvlLbl val="0"/>
      </c:catAx>
      <c:valAx>
        <c:axId val="270348672"/>
        <c:scaling>
          <c:orientation val="minMax"/>
          <c:min val="-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67844224"/>
        <c:crosses val="autoZero"/>
        <c:crossBetween val="between"/>
      </c:valAx>
      <c:spPr>
        <a:noFill/>
        <a:ln>
          <a:noFill/>
        </a:ln>
        <a:effectLst/>
      </c:spPr>
    </c:plotArea>
    <c:legend>
      <c:legendPos val="b"/>
      <c:layout>
        <c:manualLayout>
          <c:xMode val="edge"/>
          <c:yMode val="edge"/>
          <c:x val="0.65501181472729819"/>
          <c:y val="0.34502509568234158"/>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5435139447267456"/>
          <c:h val="0.89435092255259141"/>
        </c:manualLayout>
      </c:layout>
      <c:barChart>
        <c:barDir val="bar"/>
        <c:grouping val="clustered"/>
        <c:varyColors val="0"/>
        <c:ser>
          <c:idx val="0"/>
          <c:order val="0"/>
          <c:tx>
            <c:strRef>
              <c:f>Sheet1!$B$1</c:f>
              <c:strCache>
                <c:ptCount val="1"/>
                <c:pt idx="0">
                  <c:v>2020</c:v>
                </c:pt>
              </c:strCache>
            </c:strRef>
          </c:tx>
          <c:spPr>
            <a:solidFill>
              <a:schemeClr val="accent1">
                <a:lumMod val="75000"/>
              </a:schemeClr>
            </a:solidFill>
            <a:ln w="15875">
              <a:solidFill>
                <a:srgbClr val="002060"/>
              </a:solidFill>
            </a:ln>
            <a:effectLst>
              <a:outerShdw blurRad="50800" dist="38100" dir="2700000" algn="tl" rotWithShape="0">
                <a:prstClr val="black">
                  <a:alpha val="40000"/>
                </a:prstClr>
              </a:outerShdw>
            </a:effectLst>
          </c:spPr>
          <c:invertIfNegative val="0"/>
          <c:dLbls>
            <c:dLbl>
              <c:idx val="0"/>
              <c:layout>
                <c:manualLayout>
                  <c:x val="-3.7146354029998258E-3"/>
                  <c:y val="-3.59757125685101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62-4B13-BCC6-3088D7B15DE3}"/>
                </c:ext>
              </c:extLst>
            </c:dLbl>
            <c:dLbl>
              <c:idx val="1"/>
              <c:layout>
                <c:manualLayout>
                  <c:x val="-8.0042597448366868E-3"/>
                  <c:y val="-4.08005642168327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62-4B13-BCC6-3088D7B15DE3}"/>
                </c:ext>
              </c:extLst>
            </c:dLbl>
            <c:dLbl>
              <c:idx val="3"/>
              <c:layout>
                <c:manualLayout>
                  <c:x val="-3.9996850393700786E-3"/>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62-4B13-BCC6-3088D7B15DE3}"/>
                </c:ext>
              </c:extLst>
            </c:dLbl>
            <c:dLbl>
              <c:idx val="5"/>
              <c:layout>
                <c:manualLayout>
                  <c:x val="-1.4067995310668316E-2"/>
                  <c:y val="-4.047046699238143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62-4B13-BCC6-3088D7B15DE3}"/>
                </c:ext>
              </c:extLst>
            </c:dLbl>
            <c:dLbl>
              <c:idx val="6"/>
              <c:layout>
                <c:manualLayout>
                  <c:x val="-4.6893317702227429E-3"/>
                  <c:y val="1.32450331125827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62-4B13-BCC6-3088D7B15DE3}"/>
                </c:ext>
              </c:extLst>
            </c:dLbl>
            <c:dLbl>
              <c:idx val="7"/>
              <c:layout>
                <c:manualLayout>
                  <c:x val="-8.5970089320275687E-17"/>
                  <c:y val="1.3245033112582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62-4B13-BCC6-3088D7B15DE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Prestaciones a la S.S</c:v>
                </c:pt>
                <c:pt idx="3">
                  <c:v>Inversión Real Directa</c:v>
                </c:pt>
                <c:pt idx="4">
                  <c:v>Trans. De Capital</c:v>
                </c:pt>
                <c:pt idx="5">
                  <c:v>Remuneraciones </c:v>
                </c:pt>
                <c:pt idx="6">
                  <c:v>Intereses </c:v>
                </c:pt>
                <c:pt idx="7">
                  <c:v>Bienes y servicios </c:v>
                </c:pt>
              </c:strCache>
            </c:strRef>
          </c:cat>
          <c:val>
            <c:numRef>
              <c:f>Sheet1!$B$2:$B$9</c:f>
              <c:numCache>
                <c:formatCode>#,##0.0</c:formatCode>
                <c:ptCount val="8"/>
                <c:pt idx="0">
                  <c:v>7499.1099999999988</c:v>
                </c:pt>
                <c:pt idx="1">
                  <c:v>2545.4499999999998</c:v>
                </c:pt>
                <c:pt idx="2">
                  <c:v>17.210000000000036</c:v>
                </c:pt>
                <c:pt idx="3">
                  <c:v>-1509.2099999999996</c:v>
                </c:pt>
                <c:pt idx="4">
                  <c:v>-175.93000000000029</c:v>
                </c:pt>
                <c:pt idx="5">
                  <c:v>1502.1599999999999</c:v>
                </c:pt>
                <c:pt idx="6">
                  <c:v>349.46000000000095</c:v>
                </c:pt>
                <c:pt idx="7">
                  <c:v>642.90999999999894</c:v>
                </c:pt>
              </c:numCache>
            </c:numRef>
          </c:val>
          <c:extLst xmlns:c16r2="http://schemas.microsoft.com/office/drawing/2015/06/chart">
            <c:ext xmlns:c16="http://schemas.microsoft.com/office/drawing/2014/chart" uri="{C3380CC4-5D6E-409C-BE32-E72D297353CC}">
              <c16:uniqueId val="{00000006-E062-4B13-BCC6-3088D7B15DE3}"/>
            </c:ext>
          </c:extLst>
        </c:ser>
        <c:ser>
          <c:idx val="1"/>
          <c:order val="1"/>
          <c:tx>
            <c:strRef>
              <c:f>Sheet1!$C$1</c:f>
              <c:strCache>
                <c:ptCount val="1"/>
                <c:pt idx="0">
                  <c:v>2021</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Lbls>
            <c:dLbl>
              <c:idx val="0"/>
              <c:layout>
                <c:manualLayout>
                  <c:x val="-8.8297901800961864E-2"/>
                  <c:y val="3.86059689558672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62-4B13-BCC6-3088D7B15DE3}"/>
                </c:ext>
              </c:extLst>
            </c:dLbl>
            <c:dLbl>
              <c:idx val="1"/>
              <c:layout>
                <c:manualLayout>
                  <c:x val="-1.4067995310668272E-2"/>
                  <c:y val="-8.094093398476286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062-4B13-BCC6-3088D7B15DE3}"/>
                </c:ext>
              </c:extLst>
            </c:dLbl>
            <c:dLbl>
              <c:idx val="2"/>
              <c:layout>
                <c:manualLayout>
                  <c:x val="-8.5801574803149611E-3"/>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62-4B13-BCC6-3088D7B15DE3}"/>
                </c:ext>
              </c:extLst>
            </c:dLbl>
            <c:dLbl>
              <c:idx val="4"/>
              <c:layout>
                <c:manualLayout>
                  <c:x val="0"/>
                  <c:y val="-9.56022944550669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062-4B13-BCC6-3088D7B15DE3}"/>
                </c:ext>
              </c:extLst>
            </c:dLbl>
            <c:dLbl>
              <c:idx val="6"/>
              <c:layout>
                <c:manualLayout>
                  <c:x val="0"/>
                  <c:y val="-4.78011472275334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062-4B13-BCC6-3088D7B15DE3}"/>
                </c:ext>
              </c:extLst>
            </c:dLbl>
            <c:dLbl>
              <c:idx val="7"/>
              <c:layout>
                <c:manualLayout>
                  <c:x val="-1.4067883937276112E-2"/>
                  <c:y val="5.193985796675254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062-4B13-BCC6-3088D7B15DE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Prestaciones a la S.S</c:v>
                </c:pt>
                <c:pt idx="3">
                  <c:v>Inversión Real Directa</c:v>
                </c:pt>
                <c:pt idx="4">
                  <c:v>Trans. De Capital</c:v>
                </c:pt>
                <c:pt idx="5">
                  <c:v>Remuneraciones </c:v>
                </c:pt>
                <c:pt idx="6">
                  <c:v>Intereses </c:v>
                </c:pt>
                <c:pt idx="7">
                  <c:v>Bienes y servicios </c:v>
                </c:pt>
              </c:strCache>
            </c:strRef>
          </c:cat>
          <c:val>
            <c:numRef>
              <c:f>Sheet1!$C$2:$C$9</c:f>
              <c:numCache>
                <c:formatCode>#,##0.0</c:formatCode>
                <c:ptCount val="8"/>
                <c:pt idx="0">
                  <c:v>-7009.4147790199986</c:v>
                </c:pt>
                <c:pt idx="1">
                  <c:v>-2540.95507907</c:v>
                </c:pt>
                <c:pt idx="2">
                  <c:v>115.01749085999927</c:v>
                </c:pt>
                <c:pt idx="3">
                  <c:v>593.6616527999995</c:v>
                </c:pt>
                <c:pt idx="4">
                  <c:v>753.26201686000059</c:v>
                </c:pt>
                <c:pt idx="5">
                  <c:v>870.28847543999655</c:v>
                </c:pt>
                <c:pt idx="6">
                  <c:v>1462.4278451699993</c:v>
                </c:pt>
                <c:pt idx="7">
                  <c:v>3019.1440797799987</c:v>
                </c:pt>
              </c:numCache>
            </c:numRef>
          </c:val>
          <c:extLst xmlns:c16r2="http://schemas.microsoft.com/office/drawing/2015/06/chart">
            <c:ext xmlns:c16="http://schemas.microsoft.com/office/drawing/2014/chart" uri="{C3380CC4-5D6E-409C-BE32-E72D297353CC}">
              <c16:uniqueId val="{0000000D-E062-4B13-BCC6-3088D7B15DE3}"/>
            </c:ext>
          </c:extLst>
        </c:ser>
        <c:dLbls>
          <c:showLegendKey val="0"/>
          <c:showVal val="0"/>
          <c:showCatName val="0"/>
          <c:showSerName val="0"/>
          <c:showPercent val="0"/>
          <c:showBubbleSize val="0"/>
        </c:dLbls>
        <c:gapWidth val="132"/>
        <c:axId val="267418624"/>
        <c:axId val="270357248"/>
      </c:barChart>
      <c:catAx>
        <c:axId val="2674186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270357248"/>
        <c:crosses val="autoZero"/>
        <c:auto val="1"/>
        <c:lblAlgn val="ctr"/>
        <c:lblOffset val="100"/>
        <c:noMultiLvlLbl val="0"/>
      </c:catAx>
      <c:valAx>
        <c:axId val="27035724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67418624"/>
        <c:crosses val="autoZero"/>
        <c:crossBetween val="between"/>
        <c:majorUnit val="40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5845676186608999"/>
          <c:y val="0.94824679750852037"/>
          <c:w val="0.28308684661649763"/>
          <c:h val="5.175320249147961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363100771720747E-2"/>
          <c:w val="0.90422443251375917"/>
          <c:h val="0.88490914133436227"/>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98B2-4094-9DC0-5338C878C0CC}"/>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98B2-4094-9DC0-5338C878C0CC}"/>
              </c:ext>
            </c:extLst>
          </c:dPt>
          <c:dLbls>
            <c:dLbl>
              <c:idx val="2"/>
              <c:layout>
                <c:manualLayout>
                  <c:x val="-4.2174192655966848E-17"/>
                  <c:y val="0.171631205673758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8B2-4094-9DC0-5338C878C0CC}"/>
                </c:ext>
              </c:extLst>
            </c:dLbl>
            <c:dLbl>
              <c:idx val="3"/>
              <c:layout>
                <c:manualLayout>
                  <c:x val="4.6008741660914726E-3"/>
                  <c:y val="0.1602585581057686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B2-4094-9DC0-5338C878C0CC}"/>
                </c:ext>
              </c:extLst>
            </c:dLbl>
            <c:dLbl>
              <c:idx val="4"/>
              <c:layout>
                <c:manualLayout>
                  <c:x val="0"/>
                  <c:y val="0.1174777873631113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8B2-4094-9DC0-5338C878C0CC}"/>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B2-4094-9DC0-5338C878C0CC}"/>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Hoja1!$B$2:$B$8</c:f>
              <c:numCache>
                <c:formatCode>0.0</c:formatCode>
                <c:ptCount val="7"/>
                <c:pt idx="0">
                  <c:v>80.822270893106349</c:v>
                </c:pt>
                <c:pt idx="1">
                  <c:v>77.373178960706909</c:v>
                </c:pt>
                <c:pt idx="2">
                  <c:v>83.470731325555874</c:v>
                </c:pt>
                <c:pt idx="3">
                  <c:v>82.732918551459889</c:v>
                </c:pt>
                <c:pt idx="4">
                  <c:v>77.983294840643239</c:v>
                </c:pt>
                <c:pt idx="5">
                  <c:v>75.51556568706134</c:v>
                </c:pt>
                <c:pt idx="6">
                  <c:v>86.054053643311363</c:v>
                </c:pt>
              </c:numCache>
            </c:numRef>
          </c:val>
          <c:extLst xmlns:c16r2="http://schemas.microsoft.com/office/drawing/2015/06/chart">
            <c:ext xmlns:c16="http://schemas.microsoft.com/office/drawing/2014/chart" uri="{C3380CC4-5D6E-409C-BE32-E72D297353CC}">
              <c16:uniqueId val="{00000007-98B2-4094-9DC0-5338C878C0CC}"/>
            </c:ext>
          </c:extLst>
        </c:ser>
        <c:dLbls>
          <c:showLegendKey val="0"/>
          <c:showVal val="0"/>
          <c:showCatName val="0"/>
          <c:showSerName val="0"/>
          <c:showPercent val="0"/>
          <c:showBubbleSize val="0"/>
        </c:dLbls>
        <c:gapWidth val="50"/>
        <c:overlap val="-27"/>
        <c:axId val="270476032"/>
        <c:axId val="2704775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32772588209082559"/>
                  <c:y val="-7.96113251800971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8-98B2-4094-9DC0-5338C878C0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Hoja1!$C$2:$C$8</c:f>
              <c:numCache>
                <c:formatCode>0.0</c:formatCode>
                <c:ptCount val="7"/>
                <c:pt idx="0">
                  <c:v>80.476478914294461</c:v>
                </c:pt>
                <c:pt idx="1">
                  <c:v>80.476478914294461</c:v>
                </c:pt>
                <c:pt idx="2">
                  <c:v>80.476478914294461</c:v>
                </c:pt>
                <c:pt idx="3">
                  <c:v>80.476478914294461</c:v>
                </c:pt>
                <c:pt idx="4">
                  <c:v>80.476478914294461</c:v>
                </c:pt>
              </c:numCache>
            </c:numRef>
          </c:val>
          <c:smooth val="0"/>
          <c:extLst xmlns:c16r2="http://schemas.microsoft.com/office/drawing/2015/06/chart">
            <c:ext xmlns:c16="http://schemas.microsoft.com/office/drawing/2014/chart" uri="{C3380CC4-5D6E-409C-BE32-E72D297353CC}">
              <c16:uniqueId val="{00000009-98B2-4094-9DC0-5338C878C0CC}"/>
            </c:ext>
          </c:extLst>
        </c:ser>
        <c:dLbls>
          <c:showLegendKey val="0"/>
          <c:showVal val="0"/>
          <c:showCatName val="0"/>
          <c:showSerName val="0"/>
          <c:showPercent val="0"/>
          <c:showBubbleSize val="0"/>
        </c:dLbls>
        <c:marker val="1"/>
        <c:smooth val="0"/>
        <c:axId val="270476032"/>
        <c:axId val="270477568"/>
      </c:lineChart>
      <c:catAx>
        <c:axId val="270476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70477568"/>
        <c:crosses val="autoZero"/>
        <c:auto val="1"/>
        <c:lblAlgn val="ctr"/>
        <c:lblOffset val="100"/>
        <c:noMultiLvlLbl val="0"/>
      </c:catAx>
      <c:valAx>
        <c:axId val="270477568"/>
        <c:scaling>
          <c:orientation val="minMax"/>
          <c:max val="89.5"/>
          <c:min val="5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70476032"/>
        <c:crosses val="autoZero"/>
        <c:crossBetween val="between"/>
        <c:majorUnit val="2.5"/>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0.59185</cdr:x>
      <cdr:y>0.65001</cdr:y>
    </cdr:from>
    <cdr:to>
      <cdr:x>1</cdr:x>
      <cdr:y>0.82717</cdr:y>
    </cdr:to>
    <cdr:sp macro="" textlink="">
      <cdr:nvSpPr>
        <cdr:cNvPr id="2" name="CuadroTexto 1">
          <a:extLst xmlns:a="http://schemas.openxmlformats.org/drawingml/2006/main">
            <a:ext uri="{FF2B5EF4-FFF2-40B4-BE49-F238E27FC236}">
              <a16:creationId xmlns="" xmlns:a16="http://schemas.microsoft.com/office/drawing/2014/main" id="{838B079B-8D79-4AF0-A356-310B8B59AA75}"/>
            </a:ext>
          </a:extLst>
        </cdr:cNvPr>
        <cdr:cNvSpPr txBox="1"/>
      </cdr:nvSpPr>
      <cdr:spPr>
        <a:xfrm xmlns:a="http://schemas.openxmlformats.org/drawingml/2006/main">
          <a:off x="1634838" y="2631322"/>
          <a:ext cx="1127412" cy="717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GT" sz="1200" b="1" dirty="0">
              <a:solidFill>
                <a:sysClr val="windowText" lastClr="000000"/>
              </a:solidFill>
              <a:latin typeface="Times New Roman" panose="02020603050405020304" pitchFamily="18" charset="0"/>
              <a:cs typeface="Times New Roman" panose="02020603050405020304" pitchFamily="18" charset="0"/>
            </a:rPr>
            <a:t>Total Q106,229.5 millones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02B67-8E98-4A2A-A11C-BBC5AD436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3697</Words>
  <Characters>20336</Characters>
  <Application>Microsoft Office Word</Application>
  <DocSecurity>0</DocSecurity>
  <Lines>169</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René Augusto Castro González</cp:lastModifiedBy>
  <cp:revision>2</cp:revision>
  <cp:lastPrinted>2021-12-15T17:40:00Z</cp:lastPrinted>
  <dcterms:created xsi:type="dcterms:W3CDTF">2021-12-15T19:01:00Z</dcterms:created>
  <dcterms:modified xsi:type="dcterms:W3CDTF">2021-12-15T19:01:00Z</dcterms:modified>
</cp:coreProperties>
</file>