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9F1B7" w14:textId="77777777" w:rsidR="00C24781" w:rsidRPr="00E73F1A" w:rsidRDefault="00055C7A"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bookmarkStart w:id="1" w:name="_GoBack"/>
      <w:bookmarkEnd w:id="1"/>
      <w:r w:rsidRPr="00E73F1A">
        <w:rPr>
          <w:rFonts w:ascii="Times New Roman" w:hAnsi="Times New Roman" w:cs="Times New Roman"/>
          <w:b/>
          <w:color w:val="FFFFFF" w:themeColor="background1"/>
          <w:sz w:val="24"/>
        </w:rPr>
        <w:t xml:space="preserve">Se </w:t>
      </w:r>
      <w:r w:rsidR="00FD6C71" w:rsidRPr="00E73F1A">
        <w:rPr>
          <w:rFonts w:ascii="Times New Roman" w:hAnsi="Times New Roman" w:cs="Times New Roman"/>
          <w:b/>
          <w:color w:val="FFFFFF" w:themeColor="background1"/>
          <w:sz w:val="24"/>
        </w:rPr>
        <w:t>reporta défic</w:t>
      </w:r>
      <w:r w:rsidR="005419C5" w:rsidRPr="00E73F1A">
        <w:rPr>
          <w:rFonts w:ascii="Times New Roman" w:hAnsi="Times New Roman" w:cs="Times New Roman"/>
          <w:b/>
          <w:color w:val="FFFFFF" w:themeColor="background1"/>
          <w:sz w:val="24"/>
        </w:rPr>
        <w:t>it</w:t>
      </w:r>
      <w:r w:rsidR="00C24781" w:rsidRPr="00E73F1A">
        <w:rPr>
          <w:rFonts w:ascii="Times New Roman" w:hAnsi="Times New Roman" w:cs="Times New Roman"/>
          <w:b/>
          <w:color w:val="FFFFFF" w:themeColor="background1"/>
          <w:sz w:val="24"/>
        </w:rPr>
        <w:t xml:space="preserve"> fiscal</w:t>
      </w:r>
      <w:r w:rsidR="00FD6C71" w:rsidRPr="00E73F1A">
        <w:rPr>
          <w:rFonts w:ascii="Times New Roman" w:hAnsi="Times New Roman" w:cs="Times New Roman"/>
          <w:b/>
          <w:color w:val="FFFFFF" w:themeColor="background1"/>
          <w:sz w:val="24"/>
        </w:rPr>
        <w:t xml:space="preserve"> por </w:t>
      </w:r>
      <w:r w:rsidRPr="00E73F1A">
        <w:rPr>
          <w:rFonts w:ascii="Times New Roman" w:hAnsi="Times New Roman" w:cs="Times New Roman"/>
          <w:b/>
          <w:color w:val="FFFFFF" w:themeColor="background1"/>
          <w:sz w:val="24"/>
        </w:rPr>
        <w:t>l</w:t>
      </w:r>
      <w:r w:rsidR="00FD6C71" w:rsidRPr="00E73F1A">
        <w:rPr>
          <w:rFonts w:ascii="Times New Roman" w:hAnsi="Times New Roman" w:cs="Times New Roman"/>
          <w:b/>
          <w:color w:val="FFFFFF" w:themeColor="background1"/>
          <w:sz w:val="24"/>
        </w:rPr>
        <w:t>a</w:t>
      </w:r>
      <w:r w:rsidRPr="00E73F1A">
        <w:rPr>
          <w:rFonts w:ascii="Times New Roman" w:hAnsi="Times New Roman" w:cs="Times New Roman"/>
          <w:b/>
          <w:color w:val="FFFFFF" w:themeColor="background1"/>
          <w:sz w:val="24"/>
        </w:rPr>
        <w:t xml:space="preserve"> </w:t>
      </w:r>
      <w:r w:rsidR="00FD6C71" w:rsidRPr="00E73F1A">
        <w:rPr>
          <w:rFonts w:ascii="Times New Roman" w:hAnsi="Times New Roman" w:cs="Times New Roman"/>
          <w:b/>
          <w:color w:val="FFFFFF" w:themeColor="background1"/>
          <w:sz w:val="24"/>
        </w:rPr>
        <w:t>ejecución de los programas de emergencia</w:t>
      </w:r>
    </w:p>
    <w:bookmarkEnd w:id="0"/>
    <w:p w14:paraId="1C0AD3B2" w14:textId="77777777" w:rsidR="00C24781" w:rsidRPr="000104C5" w:rsidRDefault="00C24781" w:rsidP="00960BE9">
      <w:pPr>
        <w:spacing w:after="0"/>
        <w:rPr>
          <w:rFonts w:ascii="Times New Roman" w:hAnsi="Times New Roman" w:cs="Times New Roman"/>
          <w:color w:val="FF0000"/>
          <w:sz w:val="24"/>
        </w:rPr>
      </w:pPr>
    </w:p>
    <w:p w14:paraId="666821D0" w14:textId="77777777" w:rsidR="00960BE9" w:rsidRPr="000104C5" w:rsidRDefault="00960BE9" w:rsidP="00960BE9">
      <w:pPr>
        <w:spacing w:after="0"/>
        <w:rPr>
          <w:rFonts w:ascii="Times New Roman" w:hAnsi="Times New Roman" w:cs="Times New Roman"/>
          <w:color w:val="FF0000"/>
          <w:sz w:val="18"/>
        </w:rPr>
        <w:sectPr w:rsidR="00960BE9" w:rsidRPr="000104C5">
          <w:headerReference w:type="default" r:id="rId8"/>
          <w:footerReference w:type="default" r:id="rId9"/>
          <w:pgSz w:w="12240" w:h="15840"/>
          <w:pgMar w:top="1417" w:right="1701" w:bottom="1417" w:left="1701" w:header="708" w:footer="708" w:gutter="0"/>
          <w:cols w:space="708"/>
          <w:docGrid w:linePitch="360"/>
        </w:sectPr>
      </w:pPr>
    </w:p>
    <w:p w14:paraId="6AF7B786" w14:textId="747CB3D3" w:rsidR="00E73F1A" w:rsidRDefault="00E73F1A" w:rsidP="00E73F1A">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déficit fiscal por primera vez en el año, situándose al 30 de junio de 2022 en </w:t>
      </w:r>
      <w:r w:rsidRPr="00D17414">
        <w:rPr>
          <w:rFonts w:ascii="Times New Roman" w:hAnsi="Times New Roman" w:cs="Times New Roman"/>
          <w:lang w:val="es-MX"/>
        </w:rPr>
        <w:t>Q1,5</w:t>
      </w:r>
      <w:r>
        <w:rPr>
          <w:rFonts w:ascii="Times New Roman" w:hAnsi="Times New Roman" w:cs="Times New Roman"/>
          <w:lang w:val="es-MX"/>
        </w:rPr>
        <w:t>24</w:t>
      </w:r>
      <w:r w:rsidRPr="00D17414">
        <w:rPr>
          <w:rFonts w:ascii="Times New Roman" w:hAnsi="Times New Roman" w:cs="Times New Roman"/>
          <w:lang w:val="es-MX"/>
        </w:rPr>
        <w:t>.1 millones</w:t>
      </w:r>
      <w:r w:rsidRPr="006A5852">
        <w:rPr>
          <w:rFonts w:ascii="Times New Roman" w:hAnsi="Times New Roman" w:cs="Times New Roman"/>
          <w:lang w:val="es-MX"/>
        </w:rPr>
        <w:t>.</w:t>
      </w:r>
      <w:r w:rsidRPr="00D17414">
        <w:rPr>
          <w:rFonts w:ascii="Times New Roman" w:hAnsi="Times New Roman" w:cs="Times New Roman"/>
          <w:lang w:val="es-MX"/>
        </w:rPr>
        <w:t xml:space="preserve"> </w:t>
      </w:r>
      <w:r>
        <w:rPr>
          <w:rFonts w:ascii="Times New Roman" w:hAnsi="Times New Roman" w:cs="Times New Roman"/>
          <w:lang w:val="es-MX"/>
        </w:rPr>
        <w:t>En los años anteriores (</w:t>
      </w:r>
      <w:r w:rsidRPr="008835E5">
        <w:rPr>
          <w:rFonts w:ascii="Times New Roman" w:hAnsi="Times New Roman" w:cs="Times New Roman"/>
          <w:lang w:val="es-MX"/>
        </w:rPr>
        <w:t>2019</w:t>
      </w:r>
      <w:r>
        <w:rPr>
          <w:rFonts w:ascii="Times New Roman" w:hAnsi="Times New Roman" w:cs="Times New Roman"/>
          <w:lang w:val="es-MX"/>
        </w:rPr>
        <w:t xml:space="preserve">-2021), a la misma fecha también se reportaba déficit fiscal, aunque este era mayor, como es el caso de 2020, esto debido a los programas que se implementaron en atención a la crisis del COVID-19. El resultado en 2022 es explicado por un mayor dinamismo en el gasto como parte del “Programa Nacional de Emergencia Conflicto Rusia-Ucrania” y por </w:t>
      </w:r>
      <w:r w:rsidRPr="003A0732">
        <w:rPr>
          <w:rFonts w:ascii="Times New Roman" w:hAnsi="Times New Roman" w:cs="Times New Roman"/>
          <w:lang w:val="es-MX"/>
        </w:rPr>
        <w:t>el buen desempeño de la recaudación</w:t>
      </w:r>
      <w:r>
        <w:rPr>
          <w:rFonts w:ascii="Times New Roman" w:hAnsi="Times New Roman" w:cs="Times New Roman"/>
          <w:lang w:val="es-MX"/>
        </w:rPr>
        <w:t xml:space="preserve"> tributaria que al igual que en 2021, ha permitido que la </w:t>
      </w:r>
      <w:r w:rsidRPr="003A0732">
        <w:rPr>
          <w:rFonts w:ascii="Times New Roman" w:hAnsi="Times New Roman" w:cs="Times New Roman"/>
          <w:lang w:val="es-MX"/>
        </w:rPr>
        <w:t>brecha respecto a la meta</w:t>
      </w:r>
      <w:r>
        <w:rPr>
          <w:rFonts w:ascii="Times New Roman" w:hAnsi="Times New Roman" w:cs="Times New Roman"/>
          <w:lang w:val="es-MX"/>
        </w:rPr>
        <w:t xml:space="preserve"> </w:t>
      </w:r>
      <w:r w:rsidRPr="003A0732">
        <w:rPr>
          <w:rFonts w:ascii="Times New Roman" w:hAnsi="Times New Roman" w:cs="Times New Roman"/>
          <w:lang w:val="es-MX"/>
        </w:rPr>
        <w:t>establecida se ampl</w:t>
      </w:r>
      <w:r>
        <w:rPr>
          <w:rFonts w:ascii="Times New Roman" w:hAnsi="Times New Roman" w:cs="Times New Roman"/>
          <w:lang w:val="es-MX"/>
        </w:rPr>
        <w:t xml:space="preserve">íe </w:t>
      </w:r>
      <w:r w:rsidRPr="003A0732">
        <w:rPr>
          <w:rFonts w:ascii="Times New Roman" w:hAnsi="Times New Roman" w:cs="Times New Roman"/>
          <w:lang w:val="es-MX"/>
        </w:rPr>
        <w:t>de forma</w:t>
      </w:r>
      <w:r>
        <w:rPr>
          <w:rFonts w:ascii="Times New Roman" w:hAnsi="Times New Roman" w:cs="Times New Roman"/>
          <w:lang w:val="es-MX"/>
        </w:rPr>
        <w:t xml:space="preserve"> </w:t>
      </w:r>
      <w:r w:rsidRPr="003A0732">
        <w:rPr>
          <w:rFonts w:ascii="Times New Roman" w:hAnsi="Times New Roman" w:cs="Times New Roman"/>
          <w:lang w:val="es-MX"/>
        </w:rPr>
        <w:t>considerable</w:t>
      </w:r>
      <w:r>
        <w:rPr>
          <w:rFonts w:ascii="Times New Roman" w:hAnsi="Times New Roman" w:cs="Times New Roman"/>
          <w:lang w:val="es-MX"/>
        </w:rPr>
        <w:t xml:space="preserve">. </w:t>
      </w:r>
    </w:p>
    <w:p w14:paraId="3C487E33" w14:textId="77777777" w:rsidR="00E73F1A" w:rsidRPr="00E73F1A" w:rsidRDefault="00E73F1A" w:rsidP="00E73F1A">
      <w:pPr>
        <w:pStyle w:val="Sinespaciado"/>
        <w:ind w:left="284"/>
        <w:jc w:val="both"/>
        <w:rPr>
          <w:rFonts w:ascii="Times New Roman" w:hAnsi="Times New Roman" w:cs="Times New Roman"/>
          <w:sz w:val="18"/>
          <w:lang w:val="es-MX"/>
        </w:rPr>
      </w:pPr>
    </w:p>
    <w:p w14:paraId="441E415F" w14:textId="77777777" w:rsidR="00E73F1A" w:rsidRDefault="00E73F1A" w:rsidP="00E73F1A">
      <w:pPr>
        <w:pStyle w:val="Sinespaciado"/>
        <w:jc w:val="both"/>
        <w:rPr>
          <w:rFonts w:ascii="Times New Roman" w:hAnsi="Times New Roman" w:cs="Times New Roman"/>
          <w:lang w:val="es-MX"/>
        </w:rPr>
      </w:pPr>
      <w:r>
        <w:rPr>
          <w:rFonts w:ascii="Times New Roman" w:hAnsi="Times New Roman" w:cs="Times New Roman"/>
          <w:lang w:val="es-MX"/>
        </w:rPr>
        <w:t>La meta de recaudación fue superada por sexto mes consecutivo, impulsada por el IVA importaciones y en menor medida por los derechos arancelarios de importación que crecen de forma importante</w:t>
      </w:r>
      <w:r w:rsidRPr="00093DCF">
        <w:rPr>
          <w:rFonts w:ascii="Times New Roman" w:hAnsi="Times New Roman" w:cs="Times New Roman"/>
          <w:lang w:val="es-MX"/>
        </w:rPr>
        <w:t xml:space="preserve"> producto del</w:t>
      </w:r>
      <w:r>
        <w:rPr>
          <w:rFonts w:ascii="Times New Roman" w:hAnsi="Times New Roman" w:cs="Times New Roman"/>
          <w:lang w:val="es-MX"/>
        </w:rPr>
        <w:t xml:space="preserve"> </w:t>
      </w:r>
      <w:r w:rsidRPr="00093DCF">
        <w:rPr>
          <w:rFonts w:ascii="Times New Roman" w:hAnsi="Times New Roman" w:cs="Times New Roman"/>
          <w:lang w:val="es-MX"/>
        </w:rPr>
        <w:t>comportamiento en los precios internacionales</w:t>
      </w:r>
      <w:r>
        <w:rPr>
          <w:rFonts w:ascii="Times New Roman" w:hAnsi="Times New Roman" w:cs="Times New Roman"/>
          <w:lang w:val="es-MX"/>
        </w:rPr>
        <w:t xml:space="preserve"> </w:t>
      </w:r>
      <w:r w:rsidRPr="00093DCF">
        <w:rPr>
          <w:rFonts w:ascii="Times New Roman" w:hAnsi="Times New Roman" w:cs="Times New Roman"/>
          <w:lang w:val="es-MX"/>
        </w:rPr>
        <w:t>del petróleo</w:t>
      </w:r>
      <w:r>
        <w:rPr>
          <w:rFonts w:ascii="Times New Roman" w:hAnsi="Times New Roman" w:cs="Times New Roman"/>
          <w:lang w:val="es-MX"/>
        </w:rPr>
        <w:t>, principalmente.</w:t>
      </w:r>
      <w:r w:rsidRPr="00093DCF">
        <w:rPr>
          <w:rFonts w:ascii="Times New Roman" w:hAnsi="Times New Roman" w:cs="Times New Roman"/>
          <w:lang w:val="es-MX"/>
        </w:rPr>
        <w:t xml:space="preserve"> </w:t>
      </w:r>
    </w:p>
    <w:p w14:paraId="57BEA0FE" w14:textId="77777777" w:rsidR="00E73F1A" w:rsidRDefault="00E73F1A" w:rsidP="00E73F1A">
      <w:pPr>
        <w:pStyle w:val="Sinespaciado"/>
        <w:jc w:val="both"/>
        <w:rPr>
          <w:rFonts w:ascii="Times New Roman" w:hAnsi="Times New Roman" w:cs="Times New Roman"/>
          <w:lang w:val="es-MX"/>
        </w:rPr>
      </w:pPr>
      <w:r>
        <w:rPr>
          <w:rFonts w:ascii="Times New Roman" w:hAnsi="Times New Roman" w:cs="Times New Roman"/>
          <w:lang w:val="es-MX"/>
        </w:rPr>
        <w:t xml:space="preserve">Aunque también es preciso resaltar las medidas administrativas adoptadas por la SAT que han apoyado la recaudación aduanera y las medidas de fiscalización y control que ejercen resultados positivos en los impuestos internos, especialmente el Impuesto sobre la Renta (ISR), que continúa ampliando su brecha de forma positiva, aunque a un ritmo más moderado. Por el lado del gasto público, existe una aceleración en la ejecución a junio del 2022. Esto como resultado de la ejecución de las medidas temporales adoptadas en apoyo a la población guatemalteca ante el alza sostenida de los precios internacionales de los combustibles y otros gastos relacionados. Por lo que se espera que el gasto se mantenga dinámico en los siguientes meses. </w:t>
      </w:r>
    </w:p>
    <w:p w14:paraId="4733150D" w14:textId="77777777" w:rsidR="00E73F1A" w:rsidRPr="00E73F1A" w:rsidRDefault="00E73F1A" w:rsidP="00E73F1A">
      <w:pPr>
        <w:pStyle w:val="Sinespaciado"/>
        <w:jc w:val="both"/>
        <w:rPr>
          <w:rFonts w:ascii="Times New Roman" w:hAnsi="Times New Roman" w:cs="Times New Roman"/>
          <w:sz w:val="18"/>
          <w:lang w:val="es-MX"/>
        </w:rPr>
      </w:pPr>
    </w:p>
    <w:p w14:paraId="405831C0" w14:textId="0DBB7954" w:rsidR="00FD6C71" w:rsidRPr="000104C5" w:rsidRDefault="00E73F1A" w:rsidP="00E73F1A">
      <w:pPr>
        <w:pStyle w:val="Sinespaciado"/>
        <w:jc w:val="both"/>
        <w:rPr>
          <w:rFonts w:ascii="Times New Roman" w:hAnsi="Times New Roman" w:cs="Times New Roman"/>
          <w:color w:val="FF0000"/>
          <w:lang w:val="es-MX"/>
        </w:rPr>
      </w:pPr>
      <w:r>
        <w:rPr>
          <w:rFonts w:ascii="Times New Roman" w:hAnsi="Times New Roman" w:cs="Times New Roman"/>
          <w:lang w:val="es-MX"/>
        </w:rPr>
        <w:t>Tomando en cuenta, las ampliaciones presupuestarias realizadas a la fecha, la perspectiva de déficit fiscal es que este se situé en torno al 2.4% del PIB, al cierre del presente año.</w:t>
      </w:r>
    </w:p>
    <w:p w14:paraId="127957FD" w14:textId="77777777" w:rsidR="00960BE9" w:rsidRPr="000104C5" w:rsidRDefault="00960BE9" w:rsidP="00FD6C71">
      <w:pPr>
        <w:pStyle w:val="Sinespaciado"/>
        <w:jc w:val="both"/>
        <w:rPr>
          <w:rFonts w:ascii="Times New Roman" w:hAnsi="Times New Roman" w:cs="Times New Roman"/>
          <w:color w:val="FF0000"/>
          <w:lang w:val="es-MX"/>
        </w:rPr>
        <w:sectPr w:rsidR="00960BE9" w:rsidRPr="000104C5" w:rsidSect="00C24781">
          <w:type w:val="continuous"/>
          <w:pgSz w:w="12240" w:h="15840"/>
          <w:pgMar w:top="1417" w:right="1701" w:bottom="1417" w:left="1701" w:header="708" w:footer="708" w:gutter="0"/>
          <w:cols w:num="2" w:space="708"/>
          <w:docGrid w:linePitch="360"/>
        </w:sectPr>
      </w:pPr>
    </w:p>
    <w:p w14:paraId="54313217" w14:textId="77777777" w:rsidR="00960BE9" w:rsidRPr="000104C5" w:rsidRDefault="00960BE9" w:rsidP="00960BE9">
      <w:pPr>
        <w:spacing w:after="0"/>
        <w:rPr>
          <w:rFonts w:ascii="Times New Roman" w:hAnsi="Times New Roman" w:cs="Times New Roman"/>
          <w:color w:val="FF0000"/>
          <w:sz w:val="16"/>
        </w:rPr>
        <w:sectPr w:rsidR="00960BE9" w:rsidRPr="000104C5"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E73F1A" w:rsidRDefault="00960BE9" w:rsidP="00960BE9">
      <w:pPr>
        <w:pStyle w:val="Sinespaciado"/>
        <w:jc w:val="center"/>
        <w:rPr>
          <w:rFonts w:ascii="Times New Roman" w:hAnsi="Times New Roman" w:cs="Times New Roman"/>
          <w:b/>
          <w:sz w:val="24"/>
          <w:lang w:val="es-MX"/>
        </w:rPr>
      </w:pPr>
      <w:r w:rsidRPr="00E73F1A">
        <w:rPr>
          <w:rFonts w:ascii="Times New Roman" w:hAnsi="Times New Roman" w:cs="Times New Roman"/>
          <w:b/>
          <w:sz w:val="24"/>
          <w:lang w:val="es-MX"/>
        </w:rPr>
        <w:t>Resultado Presupuestario</w:t>
      </w:r>
    </w:p>
    <w:p w14:paraId="18DD2ACB" w14:textId="77777777" w:rsidR="00960BE9" w:rsidRPr="00E73F1A" w:rsidRDefault="00960BE9" w:rsidP="00960BE9">
      <w:pPr>
        <w:pStyle w:val="Sinespaciado"/>
        <w:jc w:val="center"/>
        <w:rPr>
          <w:rFonts w:ascii="Times New Roman" w:hAnsi="Times New Roman" w:cs="Times New Roman"/>
          <w:lang w:val="es-MX"/>
        </w:rPr>
      </w:pPr>
      <w:r w:rsidRPr="00E73F1A">
        <w:rPr>
          <w:rFonts w:ascii="Times New Roman" w:hAnsi="Times New Roman" w:cs="Times New Roman"/>
          <w:lang w:val="es-MX"/>
        </w:rPr>
        <w:t>Cifras en millones de quetzales</w:t>
      </w:r>
    </w:p>
    <w:p w14:paraId="77BF5C93" w14:textId="77777777" w:rsidR="00960BE9" w:rsidRPr="00E73F1A" w:rsidRDefault="00960BE9" w:rsidP="00960BE9">
      <w:pPr>
        <w:pStyle w:val="Sinespaciado"/>
        <w:jc w:val="center"/>
        <w:rPr>
          <w:rFonts w:ascii="Times New Roman" w:hAnsi="Times New Roman" w:cs="Times New Roman"/>
          <w:lang w:val="es-MX"/>
        </w:rPr>
      </w:pPr>
      <w:r w:rsidRPr="00E73F1A">
        <w:rPr>
          <w:rFonts w:ascii="Times New Roman" w:hAnsi="Times New Roman" w:cs="Times New Roman"/>
          <w:lang w:val="es-MX"/>
        </w:rPr>
        <w:t>Al</w:t>
      </w:r>
      <w:r w:rsidR="00FD6C71" w:rsidRPr="00E73F1A">
        <w:rPr>
          <w:rFonts w:ascii="Times New Roman" w:hAnsi="Times New Roman" w:cs="Times New Roman"/>
          <w:lang w:val="es-MX"/>
        </w:rPr>
        <w:t xml:space="preserve"> 30</w:t>
      </w:r>
      <w:r w:rsidRPr="00E73F1A">
        <w:rPr>
          <w:rFonts w:ascii="Times New Roman" w:hAnsi="Times New Roman" w:cs="Times New Roman"/>
          <w:lang w:val="es-MX"/>
        </w:rPr>
        <w:t xml:space="preserve"> de </w:t>
      </w:r>
      <w:r w:rsidR="00FD6C71" w:rsidRPr="00E73F1A">
        <w:rPr>
          <w:rFonts w:ascii="Times New Roman" w:hAnsi="Times New Roman" w:cs="Times New Roman"/>
          <w:lang w:val="es-MX"/>
        </w:rPr>
        <w:t>junio</w:t>
      </w:r>
      <w:r w:rsidRPr="00E73F1A">
        <w:rPr>
          <w:rFonts w:ascii="Times New Roman" w:hAnsi="Times New Roman" w:cs="Times New Roman"/>
          <w:lang w:val="es-MX"/>
        </w:rPr>
        <w:t xml:space="preserve"> de cada año</w:t>
      </w:r>
    </w:p>
    <w:p w14:paraId="034F6167" w14:textId="53518C64" w:rsidR="00283D03" w:rsidRPr="00E73F1A" w:rsidRDefault="00E73F1A" w:rsidP="00960BE9">
      <w:pPr>
        <w:pStyle w:val="Sinespaciado"/>
        <w:jc w:val="center"/>
        <w:rPr>
          <w:rFonts w:ascii="Times New Roman" w:hAnsi="Times New Roman" w:cs="Times New Roman"/>
          <w:lang w:val="es-MX"/>
        </w:rPr>
      </w:pPr>
      <w:r w:rsidRPr="00E73F1A">
        <w:rPr>
          <w:noProof/>
          <w:lang w:eastAsia="es-GT"/>
        </w:rPr>
        <w:drawing>
          <wp:inline distT="0" distB="0" distL="0" distR="0" wp14:anchorId="7A83BF80" wp14:editId="287E8117">
            <wp:extent cx="5612130" cy="2743200"/>
            <wp:effectExtent l="0" t="0" r="7620" b="0"/>
            <wp:docPr id="6" name="Gráfico 6">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585269" w14:textId="77777777" w:rsidR="00960BE9" w:rsidRPr="00E73F1A" w:rsidRDefault="00960BE9" w:rsidP="00960BE9">
      <w:pPr>
        <w:pStyle w:val="Sinespaciado"/>
        <w:rPr>
          <w:rFonts w:ascii="Times New Roman" w:hAnsi="Times New Roman" w:cs="Times New Roman"/>
          <w:sz w:val="18"/>
          <w:szCs w:val="18"/>
          <w:lang w:val="es-MX"/>
        </w:rPr>
      </w:pPr>
      <w:r w:rsidRPr="00E73F1A">
        <w:rPr>
          <w:rFonts w:ascii="Times New Roman" w:hAnsi="Times New Roman" w:cs="Times New Roman"/>
          <w:sz w:val="18"/>
          <w:szCs w:val="18"/>
          <w:lang w:val="es-MX"/>
        </w:rPr>
        <w:t>Fuente: Dirección de Análisis y Política Fiscal.</w:t>
      </w:r>
    </w:p>
    <w:p w14:paraId="4D5B16DF" w14:textId="73B9F433" w:rsidR="00FD6C71" w:rsidRDefault="00FD6C71" w:rsidP="00960BE9">
      <w:pPr>
        <w:pStyle w:val="Sinespaciado"/>
        <w:rPr>
          <w:rFonts w:ascii="Times New Roman" w:hAnsi="Times New Roman" w:cs="Times New Roman"/>
          <w:color w:val="FF0000"/>
          <w:sz w:val="18"/>
          <w:szCs w:val="18"/>
          <w:lang w:val="es-MX"/>
        </w:rPr>
      </w:pPr>
    </w:p>
    <w:p w14:paraId="3FDA37DF" w14:textId="694FD786" w:rsidR="00E73F1A" w:rsidRDefault="00E73F1A" w:rsidP="00960BE9">
      <w:pPr>
        <w:pStyle w:val="Sinespaciado"/>
        <w:rPr>
          <w:rFonts w:ascii="Times New Roman" w:hAnsi="Times New Roman" w:cs="Times New Roman"/>
          <w:color w:val="FF0000"/>
          <w:sz w:val="18"/>
          <w:szCs w:val="18"/>
          <w:lang w:val="es-MX"/>
        </w:rPr>
      </w:pPr>
    </w:p>
    <w:p w14:paraId="370C2E9C" w14:textId="0C1D690F" w:rsidR="00E73F1A" w:rsidRDefault="00E73F1A" w:rsidP="00960BE9">
      <w:pPr>
        <w:pStyle w:val="Sinespaciado"/>
        <w:rPr>
          <w:rFonts w:ascii="Times New Roman" w:hAnsi="Times New Roman" w:cs="Times New Roman"/>
          <w:color w:val="FF0000"/>
          <w:sz w:val="18"/>
          <w:szCs w:val="18"/>
          <w:lang w:val="es-MX"/>
        </w:rPr>
      </w:pPr>
    </w:p>
    <w:p w14:paraId="5F5413A7" w14:textId="77777777" w:rsidR="00E73F1A" w:rsidRPr="000104C5" w:rsidRDefault="00E73F1A" w:rsidP="00960BE9">
      <w:pPr>
        <w:pStyle w:val="Sinespaciado"/>
        <w:rPr>
          <w:rFonts w:ascii="Times New Roman" w:hAnsi="Times New Roman" w:cs="Times New Roman"/>
          <w:color w:val="FF0000"/>
          <w:sz w:val="18"/>
          <w:szCs w:val="18"/>
          <w:lang w:val="es-MX"/>
        </w:rPr>
      </w:pPr>
    </w:p>
    <w:p w14:paraId="3A8949AB" w14:textId="77777777" w:rsidR="00960BE9" w:rsidRPr="008A54C8" w:rsidRDefault="002C0967"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531"/>
      <w:r w:rsidRPr="008A54C8">
        <w:rPr>
          <w:rFonts w:ascii="Times New Roman" w:hAnsi="Times New Roman" w:cs="Times New Roman"/>
          <w:b/>
          <w:color w:val="FFFFFF" w:themeColor="background1"/>
          <w:sz w:val="24"/>
          <w:szCs w:val="24"/>
          <w:lang w:val="es-MX"/>
        </w:rPr>
        <w:lastRenderedPageBreak/>
        <w:t>L</w:t>
      </w:r>
      <w:r w:rsidR="00960BE9" w:rsidRPr="008A54C8">
        <w:rPr>
          <w:rFonts w:ascii="Times New Roman" w:hAnsi="Times New Roman" w:cs="Times New Roman"/>
          <w:b/>
          <w:color w:val="FFFFFF" w:themeColor="background1"/>
          <w:sz w:val="24"/>
          <w:szCs w:val="24"/>
          <w:lang w:val="es-MX"/>
        </w:rPr>
        <w:t xml:space="preserve">a </w:t>
      </w:r>
      <w:r w:rsidR="00015E02" w:rsidRPr="008A54C8">
        <w:rPr>
          <w:rFonts w:ascii="Times New Roman" w:hAnsi="Times New Roman" w:cs="Times New Roman"/>
          <w:b/>
          <w:color w:val="FFFFFF" w:themeColor="background1"/>
          <w:sz w:val="24"/>
          <w:szCs w:val="24"/>
          <w:lang w:val="es-MX"/>
        </w:rPr>
        <w:t>brecha de</w:t>
      </w:r>
      <w:r w:rsidR="00960BE9" w:rsidRPr="008A54C8">
        <w:rPr>
          <w:rFonts w:ascii="Times New Roman" w:hAnsi="Times New Roman" w:cs="Times New Roman"/>
          <w:b/>
          <w:color w:val="FFFFFF" w:themeColor="background1"/>
          <w:sz w:val="24"/>
          <w:szCs w:val="24"/>
          <w:lang w:val="es-MX"/>
        </w:rPr>
        <w:t xml:space="preserve"> recaudación </w:t>
      </w:r>
      <w:r w:rsidR="00D62B21" w:rsidRPr="008A54C8">
        <w:rPr>
          <w:rFonts w:ascii="Times New Roman" w:hAnsi="Times New Roman" w:cs="Times New Roman"/>
          <w:b/>
          <w:color w:val="FFFFFF" w:themeColor="background1"/>
          <w:sz w:val="24"/>
          <w:szCs w:val="24"/>
          <w:lang w:val="es-MX"/>
        </w:rPr>
        <w:t>al 30</w:t>
      </w:r>
      <w:r w:rsidR="00015E02" w:rsidRPr="008A54C8">
        <w:rPr>
          <w:rFonts w:ascii="Times New Roman" w:hAnsi="Times New Roman" w:cs="Times New Roman"/>
          <w:b/>
          <w:color w:val="FFFFFF" w:themeColor="background1"/>
          <w:sz w:val="24"/>
          <w:szCs w:val="24"/>
          <w:lang w:val="es-MX"/>
        </w:rPr>
        <w:t xml:space="preserve"> de </w:t>
      </w:r>
      <w:r w:rsidR="00D62B21" w:rsidRPr="008A54C8">
        <w:rPr>
          <w:rFonts w:ascii="Times New Roman" w:hAnsi="Times New Roman" w:cs="Times New Roman"/>
          <w:b/>
          <w:color w:val="FFFFFF" w:themeColor="background1"/>
          <w:sz w:val="24"/>
          <w:szCs w:val="24"/>
          <w:lang w:val="es-MX"/>
        </w:rPr>
        <w:t>junio</w:t>
      </w:r>
      <w:r w:rsidR="00015E02" w:rsidRPr="008A54C8">
        <w:rPr>
          <w:rFonts w:ascii="Times New Roman" w:hAnsi="Times New Roman" w:cs="Times New Roman"/>
          <w:b/>
          <w:color w:val="FFFFFF" w:themeColor="background1"/>
          <w:sz w:val="24"/>
          <w:szCs w:val="24"/>
          <w:lang w:val="es-MX"/>
        </w:rPr>
        <w:t xml:space="preserve"> </w:t>
      </w:r>
      <w:r w:rsidR="00A02862" w:rsidRPr="008A54C8">
        <w:rPr>
          <w:rFonts w:ascii="Times New Roman" w:hAnsi="Times New Roman" w:cs="Times New Roman"/>
          <w:b/>
          <w:color w:val="FFFFFF" w:themeColor="background1"/>
          <w:sz w:val="24"/>
          <w:szCs w:val="24"/>
          <w:lang w:val="es-MX"/>
        </w:rPr>
        <w:t>continúa ampliándose</w:t>
      </w:r>
    </w:p>
    <w:bookmarkEnd w:id="2"/>
    <w:p w14:paraId="3FDC0B19" w14:textId="77777777" w:rsidR="00960BE9" w:rsidRPr="000104C5" w:rsidRDefault="00960BE9" w:rsidP="00960BE9">
      <w:pPr>
        <w:pStyle w:val="Sinespaciado"/>
        <w:rPr>
          <w:rFonts w:ascii="Times New Roman" w:hAnsi="Times New Roman" w:cs="Times New Roman"/>
          <w:color w:val="FF0000"/>
          <w:sz w:val="18"/>
          <w:szCs w:val="18"/>
          <w:lang w:val="es-MX"/>
        </w:rPr>
      </w:pPr>
    </w:p>
    <w:p w14:paraId="77A2A016" w14:textId="77777777" w:rsidR="00960BE9" w:rsidRPr="000104C5" w:rsidRDefault="00960BE9" w:rsidP="00960BE9">
      <w:pPr>
        <w:spacing w:after="0"/>
        <w:rPr>
          <w:rFonts w:ascii="Times New Roman" w:hAnsi="Times New Roman" w:cs="Times New Roman"/>
          <w:color w:val="FF0000"/>
          <w:sz w:val="24"/>
        </w:rPr>
        <w:sectPr w:rsidR="00960BE9" w:rsidRPr="000104C5"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65BB73DF" w14:textId="053C1605" w:rsidR="003E34CE" w:rsidRDefault="003E34CE" w:rsidP="003E34CE">
      <w:pPr>
        <w:spacing w:after="0" w:line="240" w:lineRule="auto"/>
        <w:jc w:val="both"/>
        <w:rPr>
          <w:rFonts w:ascii="Times New Roman" w:hAnsi="Times New Roman" w:cs="Times New Roman"/>
        </w:rPr>
      </w:pPr>
      <w:r>
        <w:rPr>
          <w:rFonts w:ascii="Times New Roman" w:hAnsi="Times New Roman" w:cs="Times New Roman"/>
        </w:rPr>
        <w:t>En el primer semestre del 2022 la recaudación tributaria continúa superando la meta, principalmente, por una dinámica positiva en el Impuesto Sobre la Renta (ISR), Impuesto de Solidaridad (ISO), e Impuesto al Valor Agregado (IVA), en particular, el asociado al comercio exterior.</w:t>
      </w:r>
    </w:p>
    <w:p w14:paraId="6359228D" w14:textId="77777777" w:rsidR="003E34CE" w:rsidRDefault="003E34CE" w:rsidP="003E34CE">
      <w:pPr>
        <w:spacing w:after="0" w:line="240" w:lineRule="auto"/>
        <w:jc w:val="both"/>
        <w:rPr>
          <w:rFonts w:ascii="Times New Roman" w:hAnsi="Times New Roman" w:cs="Times New Roman"/>
        </w:rPr>
      </w:pPr>
    </w:p>
    <w:p w14:paraId="6D8F74AE" w14:textId="77777777" w:rsidR="003E34CE" w:rsidRDefault="003E34CE" w:rsidP="003E34CE">
      <w:pPr>
        <w:spacing w:after="0" w:line="240" w:lineRule="auto"/>
        <w:jc w:val="both"/>
        <w:rPr>
          <w:rFonts w:ascii="Times New Roman" w:hAnsi="Times New Roman" w:cs="Times New Roman"/>
        </w:rPr>
      </w:pPr>
      <w:r>
        <w:rPr>
          <w:rFonts w:ascii="Times New Roman" w:hAnsi="Times New Roman" w:cs="Times New Roman"/>
        </w:rPr>
        <w:t xml:space="preserve">La evolución de la recaudación tributaria total neta de junio fue </w:t>
      </w:r>
      <w:r w:rsidRPr="004C1154">
        <w:rPr>
          <w:rFonts w:ascii="Times New Roman" w:hAnsi="Times New Roman" w:cs="Times New Roman"/>
        </w:rPr>
        <w:t>de Q6,</w:t>
      </w:r>
      <w:r>
        <w:rPr>
          <w:rFonts w:ascii="Times New Roman" w:hAnsi="Times New Roman" w:cs="Times New Roman"/>
        </w:rPr>
        <w:t xml:space="preserve">204.4 millones, superior en </w:t>
      </w:r>
      <w:r w:rsidRPr="004C1154">
        <w:rPr>
          <w:rFonts w:ascii="Times New Roman" w:hAnsi="Times New Roman" w:cs="Times New Roman"/>
        </w:rPr>
        <w:t>Q</w:t>
      </w:r>
      <w:r>
        <w:rPr>
          <w:rFonts w:ascii="Times New Roman" w:hAnsi="Times New Roman" w:cs="Times New Roman"/>
        </w:rPr>
        <w:t>926.2millones respecto a lo establecido en la meta que se situaba en Q5,278.2 millones.</w:t>
      </w:r>
      <w:r w:rsidDel="00C835AD">
        <w:rPr>
          <w:rFonts w:ascii="Times New Roman" w:hAnsi="Times New Roman" w:cs="Times New Roman"/>
        </w:rPr>
        <w:t xml:space="preserve"> </w:t>
      </w:r>
    </w:p>
    <w:p w14:paraId="337C21E9" w14:textId="77777777" w:rsidR="003E34CE" w:rsidRDefault="003E34CE" w:rsidP="003E34CE">
      <w:pPr>
        <w:spacing w:after="0" w:line="240" w:lineRule="auto"/>
        <w:jc w:val="both"/>
        <w:rPr>
          <w:rFonts w:ascii="Times New Roman" w:hAnsi="Times New Roman" w:cs="Times New Roman"/>
        </w:rPr>
      </w:pPr>
    </w:p>
    <w:p w14:paraId="0BB2B77F" w14:textId="3C2DB44C" w:rsidR="00960BE9" w:rsidRPr="000104C5" w:rsidRDefault="003E34CE" w:rsidP="003E34CE">
      <w:pPr>
        <w:spacing w:after="0" w:line="240" w:lineRule="auto"/>
        <w:jc w:val="both"/>
        <w:rPr>
          <w:rFonts w:ascii="Times New Roman" w:hAnsi="Times New Roman" w:cs="Times New Roman"/>
          <w:b/>
          <w:color w:val="FF0000"/>
        </w:rPr>
      </w:pPr>
      <w:r>
        <w:rPr>
          <w:rFonts w:ascii="Times New Roman" w:hAnsi="Times New Roman" w:cs="Times New Roman"/>
        </w:rPr>
        <w:t xml:space="preserve">La recaudación tributaria total neta acumulada a junio reflejó una brecha positiva acumulada </w:t>
      </w:r>
      <w:r w:rsidRPr="00B10AF8">
        <w:rPr>
          <w:rFonts w:ascii="Times New Roman" w:hAnsi="Times New Roman" w:cs="Times New Roman"/>
        </w:rPr>
        <w:t>de Q</w:t>
      </w:r>
      <w:r>
        <w:rPr>
          <w:rFonts w:ascii="Times New Roman" w:hAnsi="Times New Roman" w:cs="Times New Roman"/>
        </w:rPr>
        <w:t xml:space="preserve">5,491.8 </w:t>
      </w:r>
      <w:r w:rsidRPr="00500AD2">
        <w:rPr>
          <w:rFonts w:ascii="Times New Roman" w:hAnsi="Times New Roman" w:cs="Times New Roman"/>
        </w:rPr>
        <w:t>millones respecto a la meta</w:t>
      </w:r>
      <w:r>
        <w:rPr>
          <w:rFonts w:ascii="Times New Roman" w:hAnsi="Times New Roman" w:cs="Times New Roman"/>
        </w:rPr>
        <w:t>,</w:t>
      </w:r>
      <w:r w:rsidRPr="00500AD2">
        <w:rPr>
          <w:rFonts w:ascii="Times New Roman" w:hAnsi="Times New Roman" w:cs="Times New Roman"/>
        </w:rPr>
        <w:t xml:space="preserve"> </w:t>
      </w:r>
      <w:r>
        <w:rPr>
          <w:rFonts w:ascii="Times New Roman" w:hAnsi="Times New Roman" w:cs="Times New Roman"/>
        </w:rPr>
        <w:t xml:space="preserve">siendo los impuestos que contribuyeron en mayor cuantía </w:t>
      </w:r>
      <w:r w:rsidRPr="00500AD2">
        <w:rPr>
          <w:rFonts w:ascii="Times New Roman" w:hAnsi="Times New Roman" w:cs="Times New Roman"/>
        </w:rPr>
        <w:t xml:space="preserve">el ISR, IVA total, </w:t>
      </w:r>
      <w:r>
        <w:rPr>
          <w:rFonts w:ascii="Times New Roman" w:hAnsi="Times New Roman" w:cs="Times New Roman"/>
        </w:rPr>
        <w:t xml:space="preserve">ISO, </w:t>
      </w:r>
      <w:r w:rsidRPr="00500AD2">
        <w:rPr>
          <w:rFonts w:ascii="Times New Roman" w:hAnsi="Times New Roman" w:cs="Times New Roman"/>
        </w:rPr>
        <w:t>D</w:t>
      </w:r>
      <w:r>
        <w:rPr>
          <w:rFonts w:ascii="Times New Roman" w:hAnsi="Times New Roman" w:cs="Times New Roman"/>
        </w:rPr>
        <w:t xml:space="preserve">erechos </w:t>
      </w:r>
      <w:r w:rsidRPr="00500AD2">
        <w:rPr>
          <w:rFonts w:ascii="Times New Roman" w:hAnsi="Times New Roman" w:cs="Times New Roman"/>
        </w:rPr>
        <w:t>A</w:t>
      </w:r>
      <w:r>
        <w:rPr>
          <w:rFonts w:ascii="Times New Roman" w:hAnsi="Times New Roman" w:cs="Times New Roman"/>
        </w:rPr>
        <w:t xml:space="preserve">rancelarios a la </w:t>
      </w:r>
      <w:r w:rsidRPr="00500AD2">
        <w:rPr>
          <w:rFonts w:ascii="Times New Roman" w:hAnsi="Times New Roman" w:cs="Times New Roman"/>
        </w:rPr>
        <w:t>I</w:t>
      </w:r>
      <w:r>
        <w:rPr>
          <w:rFonts w:ascii="Times New Roman" w:hAnsi="Times New Roman" w:cs="Times New Roman"/>
        </w:rPr>
        <w:t>mportación (DAI)</w:t>
      </w:r>
      <w:r w:rsidRPr="00500AD2">
        <w:rPr>
          <w:rFonts w:ascii="Times New Roman" w:hAnsi="Times New Roman" w:cs="Times New Roman"/>
        </w:rPr>
        <w:t xml:space="preserve">, Circulación de Vehículos </w:t>
      </w:r>
      <w:r>
        <w:rPr>
          <w:rFonts w:ascii="Times New Roman" w:hAnsi="Times New Roman" w:cs="Times New Roman"/>
        </w:rPr>
        <w:t>e</w:t>
      </w:r>
      <w:r w:rsidRPr="00500AD2">
        <w:rPr>
          <w:rFonts w:ascii="Times New Roman" w:hAnsi="Times New Roman" w:cs="Times New Roman"/>
        </w:rPr>
        <w:t xml:space="preserve"> IPRIMA. </w:t>
      </w:r>
      <w:r>
        <w:rPr>
          <w:rFonts w:ascii="Times New Roman" w:hAnsi="Times New Roman" w:cs="Times New Roman"/>
        </w:rPr>
        <w:t xml:space="preserve">Los impuestos que mantienen una brecha </w:t>
      </w:r>
      <w:r w:rsidRPr="005E386C">
        <w:rPr>
          <w:rFonts w:ascii="Times New Roman" w:hAnsi="Times New Roman" w:cs="Times New Roman"/>
        </w:rPr>
        <w:t xml:space="preserve">negativa </w:t>
      </w:r>
      <w:r>
        <w:rPr>
          <w:rFonts w:ascii="Times New Roman" w:hAnsi="Times New Roman" w:cs="Times New Roman"/>
        </w:rPr>
        <w:t>acumulada son e</w:t>
      </w:r>
      <w:r w:rsidRPr="005E386C">
        <w:rPr>
          <w:rFonts w:ascii="Times New Roman" w:hAnsi="Times New Roman" w:cs="Times New Roman"/>
        </w:rPr>
        <w:t>l de Derivados del Petróleo (Q</w:t>
      </w:r>
      <w:r>
        <w:rPr>
          <w:rFonts w:ascii="Times New Roman" w:hAnsi="Times New Roman" w:cs="Times New Roman"/>
        </w:rPr>
        <w:t>8.5</w:t>
      </w:r>
      <w:r w:rsidRPr="005E386C">
        <w:rPr>
          <w:rFonts w:ascii="Times New Roman" w:hAnsi="Times New Roman" w:cs="Times New Roman"/>
        </w:rPr>
        <w:t xml:space="preserve"> millones)</w:t>
      </w:r>
      <w:r>
        <w:rPr>
          <w:rFonts w:ascii="Times New Roman" w:hAnsi="Times New Roman" w:cs="Times New Roman"/>
        </w:rPr>
        <w:t xml:space="preserve"> y el de Tabacos (Q6.3 millones)</w:t>
      </w:r>
      <w:r w:rsidRPr="005E386C">
        <w:rPr>
          <w:rFonts w:ascii="Times New Roman" w:hAnsi="Times New Roman" w:cs="Times New Roman"/>
        </w:rPr>
        <w:t>.</w:t>
      </w:r>
    </w:p>
    <w:p w14:paraId="6236467F" w14:textId="77777777" w:rsidR="00371E68" w:rsidRPr="003E34CE" w:rsidRDefault="00371E68" w:rsidP="00960BE9">
      <w:pPr>
        <w:spacing w:after="0" w:line="240" w:lineRule="auto"/>
        <w:jc w:val="both"/>
        <w:rPr>
          <w:rFonts w:ascii="Times New Roman" w:hAnsi="Times New Roman" w:cs="Times New Roman"/>
          <w:b/>
        </w:rPr>
      </w:pPr>
    </w:p>
    <w:p w14:paraId="573B5B4A" w14:textId="77777777" w:rsidR="00960BE9" w:rsidRPr="003E34CE" w:rsidRDefault="00960BE9" w:rsidP="0094241B">
      <w:pPr>
        <w:spacing w:after="0" w:line="240" w:lineRule="auto"/>
        <w:jc w:val="center"/>
        <w:rPr>
          <w:rFonts w:ascii="Times New Roman" w:hAnsi="Times New Roman" w:cs="Times New Roman"/>
          <w:b/>
          <w:sz w:val="24"/>
        </w:rPr>
      </w:pPr>
      <w:r w:rsidRPr="003E34CE">
        <w:rPr>
          <w:rFonts w:ascii="Times New Roman" w:hAnsi="Times New Roman" w:cs="Times New Roman"/>
          <w:b/>
          <w:sz w:val="24"/>
        </w:rPr>
        <w:t>Brecha mensual de recaudación respecto a presupuesto</w:t>
      </w:r>
    </w:p>
    <w:p w14:paraId="1B2A07F7" w14:textId="4A00F67C" w:rsidR="00960BE9" w:rsidRDefault="00E73F1A" w:rsidP="00960BE9">
      <w:pPr>
        <w:spacing w:after="0" w:line="240" w:lineRule="auto"/>
        <w:jc w:val="center"/>
        <w:rPr>
          <w:rFonts w:ascii="Times New Roman" w:hAnsi="Times New Roman" w:cs="Times New Roman"/>
          <w:bCs/>
          <w:szCs w:val="20"/>
        </w:rPr>
      </w:pPr>
      <w:r w:rsidRPr="003E34CE">
        <w:rPr>
          <w:noProof/>
          <w:lang w:eastAsia="es-GT"/>
        </w:rPr>
        <w:drawing>
          <wp:anchor distT="0" distB="0" distL="114300" distR="114300" simplePos="0" relativeHeight="251836416" behindDoc="0" locked="0" layoutInCell="1" allowOverlap="1" wp14:anchorId="756543AD" wp14:editId="6AC035B9">
            <wp:simplePos x="0" y="0"/>
            <wp:positionH relativeFrom="column">
              <wp:posOffset>-60960</wp:posOffset>
            </wp:positionH>
            <wp:positionV relativeFrom="paragraph">
              <wp:posOffset>191135</wp:posOffset>
            </wp:positionV>
            <wp:extent cx="2733675" cy="2000250"/>
            <wp:effectExtent l="0" t="0" r="0" b="0"/>
            <wp:wrapNone/>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960BE9" w:rsidRPr="003E34CE">
        <w:rPr>
          <w:rFonts w:ascii="Times New Roman" w:hAnsi="Times New Roman" w:cs="Times New Roman"/>
          <w:bCs/>
          <w:szCs w:val="20"/>
        </w:rPr>
        <w:t>En millones de quetzales</w:t>
      </w:r>
    </w:p>
    <w:p w14:paraId="0AD4487C" w14:textId="388BA568" w:rsidR="00E73F1A" w:rsidRPr="003E34CE" w:rsidRDefault="00E73F1A" w:rsidP="00960BE9">
      <w:pPr>
        <w:spacing w:after="0" w:line="240" w:lineRule="auto"/>
        <w:jc w:val="center"/>
        <w:rPr>
          <w:rFonts w:ascii="Times New Roman" w:hAnsi="Times New Roman" w:cs="Times New Roman"/>
          <w:bCs/>
          <w:szCs w:val="20"/>
        </w:rPr>
      </w:pPr>
    </w:p>
    <w:p w14:paraId="36805FA7" w14:textId="067823C5" w:rsidR="00D509EF" w:rsidRPr="003E34CE" w:rsidRDefault="00D509EF" w:rsidP="00960BE9">
      <w:pPr>
        <w:spacing w:after="0" w:line="240" w:lineRule="auto"/>
        <w:jc w:val="center"/>
        <w:rPr>
          <w:rFonts w:ascii="Times New Roman" w:hAnsi="Times New Roman" w:cs="Times New Roman"/>
          <w:bCs/>
          <w:szCs w:val="20"/>
        </w:rPr>
      </w:pPr>
    </w:p>
    <w:p w14:paraId="75E26A19" w14:textId="77777777" w:rsidR="00D509EF" w:rsidRPr="003E34CE" w:rsidRDefault="00D509EF" w:rsidP="00960BE9">
      <w:pPr>
        <w:spacing w:after="0" w:line="240" w:lineRule="auto"/>
        <w:jc w:val="center"/>
        <w:rPr>
          <w:rFonts w:ascii="Times New Roman" w:hAnsi="Times New Roman" w:cs="Times New Roman"/>
          <w:bCs/>
          <w:szCs w:val="20"/>
        </w:rPr>
      </w:pPr>
    </w:p>
    <w:p w14:paraId="0A0D3885" w14:textId="77777777" w:rsidR="00D509EF" w:rsidRPr="003E34CE" w:rsidRDefault="00D509EF" w:rsidP="00960BE9">
      <w:pPr>
        <w:spacing w:after="0" w:line="240" w:lineRule="auto"/>
        <w:jc w:val="center"/>
        <w:rPr>
          <w:rFonts w:ascii="Times New Roman" w:hAnsi="Times New Roman" w:cs="Times New Roman"/>
          <w:bCs/>
          <w:szCs w:val="20"/>
        </w:rPr>
      </w:pPr>
    </w:p>
    <w:p w14:paraId="383E0E79" w14:textId="77777777" w:rsidR="00D509EF" w:rsidRPr="003E34CE" w:rsidRDefault="00D509EF" w:rsidP="00960BE9">
      <w:pPr>
        <w:spacing w:after="0" w:line="240" w:lineRule="auto"/>
        <w:jc w:val="center"/>
        <w:rPr>
          <w:rFonts w:ascii="Times New Roman" w:hAnsi="Times New Roman" w:cs="Times New Roman"/>
          <w:bCs/>
          <w:szCs w:val="20"/>
        </w:rPr>
      </w:pPr>
    </w:p>
    <w:p w14:paraId="3FBE0EB9" w14:textId="77777777" w:rsidR="00960BE9" w:rsidRPr="003E34CE" w:rsidRDefault="00960BE9" w:rsidP="00960BE9">
      <w:pPr>
        <w:spacing w:after="0" w:line="240" w:lineRule="auto"/>
        <w:jc w:val="both"/>
        <w:rPr>
          <w:rFonts w:ascii="Times New Roman" w:hAnsi="Times New Roman" w:cs="Times New Roman"/>
        </w:rPr>
      </w:pPr>
    </w:p>
    <w:p w14:paraId="7947B615" w14:textId="77777777" w:rsidR="00D509EF" w:rsidRPr="003E34CE" w:rsidRDefault="00D509EF" w:rsidP="00960BE9">
      <w:pPr>
        <w:spacing w:after="0" w:line="240" w:lineRule="auto"/>
        <w:jc w:val="both"/>
        <w:rPr>
          <w:rFonts w:ascii="Times New Roman" w:hAnsi="Times New Roman" w:cs="Times New Roman"/>
        </w:rPr>
      </w:pPr>
    </w:p>
    <w:p w14:paraId="4F212C87" w14:textId="77777777" w:rsidR="00D509EF" w:rsidRPr="003E34CE" w:rsidRDefault="00D509EF" w:rsidP="00960BE9">
      <w:pPr>
        <w:spacing w:after="0" w:line="240" w:lineRule="auto"/>
        <w:jc w:val="both"/>
        <w:rPr>
          <w:rFonts w:ascii="Times New Roman" w:hAnsi="Times New Roman" w:cs="Times New Roman"/>
        </w:rPr>
      </w:pPr>
    </w:p>
    <w:p w14:paraId="46B61C45" w14:textId="77777777" w:rsidR="00D509EF" w:rsidRPr="003E34CE" w:rsidRDefault="00D509EF" w:rsidP="00960BE9">
      <w:pPr>
        <w:spacing w:after="0" w:line="240" w:lineRule="auto"/>
        <w:jc w:val="both"/>
        <w:rPr>
          <w:rFonts w:ascii="Times New Roman" w:hAnsi="Times New Roman" w:cs="Times New Roman"/>
        </w:rPr>
      </w:pPr>
    </w:p>
    <w:p w14:paraId="53676C1D" w14:textId="77777777" w:rsidR="00D509EF" w:rsidRPr="003E34CE" w:rsidRDefault="00D509EF" w:rsidP="00960BE9">
      <w:pPr>
        <w:spacing w:after="0" w:line="240" w:lineRule="auto"/>
        <w:jc w:val="both"/>
        <w:rPr>
          <w:rFonts w:ascii="Times New Roman" w:hAnsi="Times New Roman" w:cs="Times New Roman"/>
        </w:rPr>
      </w:pPr>
    </w:p>
    <w:p w14:paraId="41AB87B3" w14:textId="77777777" w:rsidR="00D509EF" w:rsidRPr="003E34CE" w:rsidRDefault="00D509EF" w:rsidP="00960BE9">
      <w:pPr>
        <w:spacing w:after="0" w:line="240" w:lineRule="auto"/>
        <w:jc w:val="both"/>
        <w:rPr>
          <w:rFonts w:ascii="Times New Roman" w:hAnsi="Times New Roman" w:cs="Times New Roman"/>
        </w:rPr>
      </w:pPr>
    </w:p>
    <w:p w14:paraId="6C81BED5" w14:textId="77777777" w:rsidR="00D509EF" w:rsidRPr="003E34CE" w:rsidRDefault="00D509EF" w:rsidP="00960BE9">
      <w:pPr>
        <w:spacing w:after="0" w:line="240" w:lineRule="auto"/>
        <w:jc w:val="both"/>
        <w:rPr>
          <w:rFonts w:ascii="Times New Roman" w:hAnsi="Times New Roman" w:cs="Times New Roman"/>
        </w:rPr>
      </w:pPr>
    </w:p>
    <w:p w14:paraId="4882E54B" w14:textId="77777777" w:rsidR="001B456C" w:rsidRPr="003E34CE" w:rsidRDefault="001B456C" w:rsidP="00960BE9">
      <w:pPr>
        <w:spacing w:after="0" w:line="240" w:lineRule="auto"/>
        <w:jc w:val="both"/>
        <w:rPr>
          <w:rFonts w:ascii="Times New Roman" w:hAnsi="Times New Roman" w:cs="Times New Roman"/>
          <w:sz w:val="18"/>
        </w:rPr>
      </w:pPr>
    </w:p>
    <w:p w14:paraId="60A34815" w14:textId="77777777" w:rsidR="00112F6C" w:rsidRPr="003E34CE" w:rsidRDefault="00112F6C" w:rsidP="00112F6C">
      <w:pPr>
        <w:pStyle w:val="Sinespaciado"/>
        <w:rPr>
          <w:rFonts w:ascii="Times New Roman" w:hAnsi="Times New Roman" w:cs="Times New Roman"/>
          <w:sz w:val="16"/>
          <w:szCs w:val="18"/>
          <w:lang w:val="es-MX"/>
        </w:rPr>
      </w:pPr>
      <w:r w:rsidRPr="003E34CE">
        <w:rPr>
          <w:rFonts w:ascii="Times New Roman" w:hAnsi="Times New Roman" w:cs="Times New Roman"/>
          <w:sz w:val="16"/>
          <w:szCs w:val="18"/>
          <w:lang w:val="es-MX"/>
        </w:rPr>
        <w:t>Fuente: Dirección de Análisis y Política Fiscal.</w:t>
      </w:r>
    </w:p>
    <w:p w14:paraId="731145A9" w14:textId="77777777" w:rsidR="00960BE9" w:rsidRPr="000104C5" w:rsidRDefault="00960BE9" w:rsidP="00960BE9">
      <w:pPr>
        <w:spacing w:after="0" w:line="240" w:lineRule="auto"/>
        <w:jc w:val="both"/>
        <w:rPr>
          <w:rFonts w:ascii="Times New Roman" w:hAnsi="Times New Roman" w:cs="Times New Roman"/>
          <w:color w:val="FF0000"/>
          <w:lang w:val="es-MX"/>
        </w:rPr>
      </w:pPr>
    </w:p>
    <w:p w14:paraId="78AA6425" w14:textId="369D4FB8" w:rsidR="00960BE9" w:rsidRPr="000104C5" w:rsidRDefault="003E34CE" w:rsidP="00960BE9">
      <w:pPr>
        <w:spacing w:after="0" w:line="240" w:lineRule="auto"/>
        <w:jc w:val="both"/>
        <w:rPr>
          <w:rFonts w:ascii="Times New Roman" w:hAnsi="Times New Roman" w:cs="Times New Roman"/>
          <w:color w:val="FF0000"/>
        </w:rPr>
      </w:pPr>
      <w:r>
        <w:rPr>
          <w:rFonts w:ascii="Times New Roman" w:hAnsi="Times New Roman" w:cs="Times New Roman"/>
        </w:rPr>
        <w:t xml:space="preserve">Las expectativas de cierre para este ejercicio 2022, considerando el esfuerzo administrativo de la SAT constante durante el segundo semestre, promoviendo el objetivo de reducir las brechas de incumplimiento, permitiría que </w:t>
      </w:r>
      <w:r>
        <w:rPr>
          <w:rFonts w:ascii="Times New Roman" w:hAnsi="Times New Roman" w:cs="Times New Roman"/>
        </w:rPr>
        <w:t>se cumpla con los Q76,314.9 millones, que corresponden a la meta establecida en el presupuesto anual y expectativas de superarla.</w:t>
      </w:r>
    </w:p>
    <w:p w14:paraId="3BD0D41B" w14:textId="77777777" w:rsidR="00286DB5" w:rsidRPr="000104C5" w:rsidRDefault="00286DB5" w:rsidP="00960BE9">
      <w:pPr>
        <w:spacing w:after="0" w:line="240" w:lineRule="auto"/>
        <w:jc w:val="both"/>
        <w:rPr>
          <w:rFonts w:ascii="Times New Roman" w:hAnsi="Times New Roman" w:cs="Times New Roman"/>
          <w:color w:val="FF0000"/>
        </w:rPr>
      </w:pPr>
    </w:p>
    <w:p w14:paraId="5565E29A" w14:textId="77777777" w:rsidR="00960BE9" w:rsidRPr="003E34CE" w:rsidRDefault="00960BE9" w:rsidP="00960BE9">
      <w:pPr>
        <w:spacing w:after="0" w:line="240" w:lineRule="auto"/>
        <w:jc w:val="center"/>
        <w:rPr>
          <w:rFonts w:ascii="Times New Roman" w:hAnsi="Times New Roman" w:cs="Times New Roman"/>
          <w:b/>
          <w:sz w:val="24"/>
        </w:rPr>
      </w:pPr>
      <w:r w:rsidRPr="003E34CE">
        <w:rPr>
          <w:rFonts w:ascii="Times New Roman" w:hAnsi="Times New Roman" w:cs="Times New Roman"/>
          <w:b/>
          <w:sz w:val="24"/>
        </w:rPr>
        <w:t xml:space="preserve">Variación de la recaudación tributaria neta </w:t>
      </w:r>
      <w:r w:rsidR="0094207C" w:rsidRPr="003E34CE">
        <w:rPr>
          <w:rFonts w:ascii="Times New Roman" w:hAnsi="Times New Roman" w:cs="Times New Roman"/>
          <w:b/>
          <w:sz w:val="24"/>
        </w:rPr>
        <w:t>acumulada de junio</w:t>
      </w:r>
    </w:p>
    <w:p w14:paraId="40B32322" w14:textId="29C25EC5" w:rsidR="00960BE9" w:rsidRDefault="00E73F1A" w:rsidP="00960BE9">
      <w:pPr>
        <w:spacing w:after="0" w:line="240" w:lineRule="auto"/>
        <w:jc w:val="center"/>
        <w:rPr>
          <w:rFonts w:ascii="Times New Roman" w:hAnsi="Times New Roman" w:cs="Times New Roman"/>
        </w:rPr>
      </w:pPr>
      <w:r w:rsidRPr="003E34CE">
        <w:rPr>
          <w:noProof/>
          <w:lang w:eastAsia="es-GT"/>
        </w:rPr>
        <w:drawing>
          <wp:anchor distT="0" distB="0" distL="114300" distR="114300" simplePos="0" relativeHeight="251838464" behindDoc="0" locked="0" layoutInCell="1" allowOverlap="1" wp14:anchorId="05A45127" wp14:editId="59738F2D">
            <wp:simplePos x="0" y="0"/>
            <wp:positionH relativeFrom="column">
              <wp:posOffset>-62865</wp:posOffset>
            </wp:positionH>
            <wp:positionV relativeFrom="paragraph">
              <wp:posOffset>162560</wp:posOffset>
            </wp:positionV>
            <wp:extent cx="2733675" cy="2038350"/>
            <wp:effectExtent l="0" t="0" r="0" b="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60BE9" w:rsidRPr="003E34CE">
        <w:rPr>
          <w:rFonts w:ascii="Times New Roman" w:hAnsi="Times New Roman" w:cs="Times New Roman"/>
        </w:rPr>
        <w:t>Millones de quetzales</w:t>
      </w:r>
    </w:p>
    <w:p w14:paraId="20BA82EF" w14:textId="77777777" w:rsidR="00E73F1A" w:rsidRDefault="00E73F1A" w:rsidP="00960BE9">
      <w:pPr>
        <w:spacing w:after="0" w:line="240" w:lineRule="auto"/>
        <w:jc w:val="center"/>
        <w:rPr>
          <w:rFonts w:ascii="Times New Roman" w:hAnsi="Times New Roman" w:cs="Times New Roman"/>
        </w:rPr>
      </w:pPr>
    </w:p>
    <w:p w14:paraId="2B388771" w14:textId="6FD6FD13" w:rsidR="00E73F1A" w:rsidRPr="003E34CE" w:rsidRDefault="00E73F1A" w:rsidP="00960BE9">
      <w:pPr>
        <w:spacing w:after="0" w:line="240" w:lineRule="auto"/>
        <w:jc w:val="center"/>
        <w:rPr>
          <w:rFonts w:ascii="Times New Roman" w:hAnsi="Times New Roman" w:cs="Times New Roman"/>
        </w:rPr>
      </w:pPr>
    </w:p>
    <w:p w14:paraId="312F9114" w14:textId="3BCC5781" w:rsidR="003E34CE" w:rsidRPr="003E34CE" w:rsidRDefault="003E34CE" w:rsidP="00960BE9">
      <w:pPr>
        <w:spacing w:after="0" w:line="240" w:lineRule="auto"/>
        <w:jc w:val="center"/>
        <w:rPr>
          <w:rFonts w:ascii="Times New Roman" w:hAnsi="Times New Roman" w:cs="Times New Roman"/>
        </w:rPr>
      </w:pPr>
    </w:p>
    <w:p w14:paraId="3357AC7D" w14:textId="77777777" w:rsidR="00F01B17" w:rsidRPr="003E34CE" w:rsidRDefault="00F01B17" w:rsidP="00960BE9">
      <w:pPr>
        <w:spacing w:after="0" w:line="240" w:lineRule="auto"/>
        <w:jc w:val="center"/>
        <w:rPr>
          <w:rFonts w:ascii="Times New Roman" w:hAnsi="Times New Roman" w:cs="Times New Roman"/>
        </w:rPr>
      </w:pPr>
    </w:p>
    <w:p w14:paraId="458108C8" w14:textId="77777777" w:rsidR="00F01B17" w:rsidRPr="003E34CE" w:rsidRDefault="00F01B17" w:rsidP="00960BE9">
      <w:pPr>
        <w:spacing w:after="0" w:line="240" w:lineRule="auto"/>
        <w:jc w:val="center"/>
        <w:rPr>
          <w:rFonts w:ascii="Times New Roman" w:hAnsi="Times New Roman" w:cs="Times New Roman"/>
        </w:rPr>
      </w:pPr>
    </w:p>
    <w:p w14:paraId="023AC48A" w14:textId="77777777" w:rsidR="00F01B17" w:rsidRPr="003E34CE" w:rsidRDefault="00F01B17" w:rsidP="00960BE9">
      <w:pPr>
        <w:spacing w:after="0" w:line="240" w:lineRule="auto"/>
        <w:jc w:val="center"/>
        <w:rPr>
          <w:rFonts w:ascii="Times New Roman" w:hAnsi="Times New Roman" w:cs="Times New Roman"/>
        </w:rPr>
      </w:pPr>
    </w:p>
    <w:p w14:paraId="23929A7B" w14:textId="77777777" w:rsidR="00F01B17" w:rsidRPr="003E34CE" w:rsidRDefault="00F01B17" w:rsidP="00960BE9">
      <w:pPr>
        <w:spacing w:after="0" w:line="240" w:lineRule="auto"/>
        <w:jc w:val="center"/>
        <w:rPr>
          <w:rFonts w:ascii="Times New Roman" w:hAnsi="Times New Roman" w:cs="Times New Roman"/>
        </w:rPr>
      </w:pPr>
    </w:p>
    <w:p w14:paraId="4A3D2AF1" w14:textId="77777777" w:rsidR="00F01B17" w:rsidRPr="003E34CE" w:rsidRDefault="00F01B17" w:rsidP="00960BE9">
      <w:pPr>
        <w:spacing w:after="0" w:line="240" w:lineRule="auto"/>
        <w:jc w:val="center"/>
        <w:rPr>
          <w:rFonts w:ascii="Times New Roman" w:hAnsi="Times New Roman" w:cs="Times New Roman"/>
        </w:rPr>
      </w:pPr>
    </w:p>
    <w:p w14:paraId="27A52A42" w14:textId="77777777" w:rsidR="00F01B17" w:rsidRPr="003E34CE" w:rsidRDefault="00F01B17" w:rsidP="00960BE9">
      <w:pPr>
        <w:spacing w:after="0" w:line="240" w:lineRule="auto"/>
        <w:jc w:val="center"/>
        <w:rPr>
          <w:rFonts w:ascii="Times New Roman" w:hAnsi="Times New Roman" w:cs="Times New Roman"/>
        </w:rPr>
      </w:pPr>
    </w:p>
    <w:p w14:paraId="0652DD21" w14:textId="77777777" w:rsidR="00F01B17" w:rsidRPr="003E34CE" w:rsidRDefault="00F01B17" w:rsidP="00960BE9">
      <w:pPr>
        <w:spacing w:after="0" w:line="240" w:lineRule="auto"/>
        <w:jc w:val="center"/>
        <w:rPr>
          <w:rFonts w:ascii="Times New Roman" w:hAnsi="Times New Roman" w:cs="Times New Roman"/>
        </w:rPr>
      </w:pPr>
    </w:p>
    <w:p w14:paraId="33F9E27A" w14:textId="77777777" w:rsidR="00F01B17" w:rsidRPr="003E34CE" w:rsidRDefault="00F01B17" w:rsidP="00960BE9">
      <w:pPr>
        <w:spacing w:after="0" w:line="240" w:lineRule="auto"/>
        <w:jc w:val="center"/>
        <w:rPr>
          <w:rFonts w:ascii="Times New Roman" w:hAnsi="Times New Roman" w:cs="Times New Roman"/>
        </w:rPr>
      </w:pPr>
    </w:p>
    <w:p w14:paraId="14723199" w14:textId="77777777" w:rsidR="00F01B17" w:rsidRPr="003E34CE" w:rsidRDefault="00F01B17" w:rsidP="00960BE9">
      <w:pPr>
        <w:spacing w:after="0" w:line="240" w:lineRule="auto"/>
        <w:jc w:val="center"/>
        <w:rPr>
          <w:rFonts w:ascii="Times New Roman" w:hAnsi="Times New Roman" w:cs="Times New Roman"/>
        </w:rPr>
      </w:pPr>
    </w:p>
    <w:p w14:paraId="2CBEBB7C" w14:textId="4B101E03" w:rsidR="00F01B17" w:rsidRPr="003E34CE" w:rsidRDefault="00F01B17" w:rsidP="003E34CE">
      <w:pPr>
        <w:spacing w:after="0" w:line="240" w:lineRule="auto"/>
        <w:rPr>
          <w:rFonts w:ascii="Times New Roman" w:hAnsi="Times New Roman" w:cs="Times New Roman"/>
        </w:rPr>
      </w:pPr>
    </w:p>
    <w:p w14:paraId="2C2B43D0" w14:textId="77777777" w:rsidR="00112F6C" w:rsidRPr="003E34CE" w:rsidRDefault="00112F6C" w:rsidP="00112F6C">
      <w:pPr>
        <w:pStyle w:val="Sinespaciado"/>
        <w:rPr>
          <w:rFonts w:ascii="Times New Roman" w:hAnsi="Times New Roman" w:cs="Times New Roman"/>
          <w:sz w:val="16"/>
          <w:szCs w:val="18"/>
          <w:lang w:val="es-MX"/>
        </w:rPr>
      </w:pPr>
      <w:r w:rsidRPr="003E34CE">
        <w:rPr>
          <w:rFonts w:ascii="Times New Roman" w:hAnsi="Times New Roman" w:cs="Times New Roman"/>
          <w:sz w:val="16"/>
          <w:szCs w:val="18"/>
          <w:lang w:val="es-MX"/>
        </w:rPr>
        <w:t>Fuente: Dirección de Análisis y Política Fiscal.</w:t>
      </w:r>
    </w:p>
    <w:p w14:paraId="12D54C25" w14:textId="77777777" w:rsidR="00371E68" w:rsidRPr="000104C5" w:rsidRDefault="00371E68" w:rsidP="00960BE9">
      <w:pPr>
        <w:spacing w:after="0" w:line="240" w:lineRule="auto"/>
        <w:jc w:val="both"/>
        <w:rPr>
          <w:rFonts w:ascii="Times New Roman" w:hAnsi="Times New Roman" w:cs="Times New Roman"/>
          <w:color w:val="FF0000"/>
          <w:lang w:val="es-MX"/>
        </w:rPr>
      </w:pPr>
    </w:p>
    <w:p w14:paraId="1BD6E928" w14:textId="0CB227D4" w:rsidR="00960BE9" w:rsidRPr="003E34CE" w:rsidRDefault="003E34CE" w:rsidP="00960BE9">
      <w:pPr>
        <w:spacing w:after="0" w:line="240" w:lineRule="auto"/>
        <w:jc w:val="both"/>
        <w:rPr>
          <w:rFonts w:ascii="Times New Roman" w:hAnsi="Times New Roman" w:cs="Times New Roman"/>
        </w:rPr>
      </w:pPr>
      <w:r>
        <w:rPr>
          <w:rFonts w:ascii="Times New Roman" w:hAnsi="Times New Roman" w:cs="Times New Roman"/>
        </w:rPr>
        <w:t xml:space="preserve">El ritmo de crecimiento de la recaudación asociada al comercio exterior observada en 2021 se mantiene alta para el presente ejercicio, generándose una brecha positiva acumulada a junio respecto a la meta de Q3,296.1 millones, y con relación a lo observado en 2021 de Q2,987.9 millones, es decir, 28.2% más de forma interanual.  Este  resultado combina, por una parte el seguimiento de las medidas implementadas en 2021 en el ramo de aduanas, en donde se continúan implementando acciones para combatir la defraudación y el contrabando que redundaron en mayor eficiencia del control aduanero, seguimiento del plan de combate al contrabando aduanero puesta en marcha a través de puestos de control interinstitucional (a la fecha van 6), a la simplificación, automatización y transparencia en el ingreso y salida de la carga vía aérea, fortalecimiento de la gestión de riesgo, operativos interinstitucionales en aduanas aéreas, terrestres, marítimas, puestos fronterizos, depósitos aduaneros y zonas francas, puesta en marcha del sistema de etiquetas de radiofrecuencia -RFID-, fortalecimiento del intercambio de información con otros Estados </w:t>
      </w:r>
      <w:r>
        <w:rPr>
          <w:rFonts w:ascii="Times New Roman" w:hAnsi="Times New Roman" w:cs="Times New Roman"/>
        </w:rPr>
        <w:lastRenderedPageBreak/>
        <w:t xml:space="preserve">Parte, fortalecimiento de la valoración aduanera  y a las mejoras en el tiempo de atención de solicitudes entre otras, y en segundo lugar, también por el efecto del precio de los combustibles y otros </w:t>
      </w:r>
      <w:r w:rsidRPr="003E34CE">
        <w:rPr>
          <w:rFonts w:ascii="Times New Roman" w:hAnsi="Times New Roman" w:cs="Times New Roman"/>
        </w:rPr>
        <w:t>productos importados, que siguen una tendencia alcista en sus precios y que impacta en el mismo sentido en la recaudación aduanera asociada con las importaciones.</w:t>
      </w:r>
      <w:r w:rsidR="00960BE9" w:rsidRPr="003E34CE">
        <w:rPr>
          <w:rFonts w:ascii="Times New Roman" w:hAnsi="Times New Roman" w:cs="Times New Roman"/>
        </w:rPr>
        <w:t xml:space="preserve"> </w:t>
      </w:r>
    </w:p>
    <w:p w14:paraId="6C5A192E" w14:textId="19E0F2CE" w:rsidR="0094207C" w:rsidRPr="003E34CE" w:rsidRDefault="0094207C" w:rsidP="00960BE9">
      <w:pPr>
        <w:spacing w:after="0" w:line="240" w:lineRule="auto"/>
        <w:jc w:val="both"/>
        <w:rPr>
          <w:rFonts w:ascii="Times New Roman" w:hAnsi="Times New Roman" w:cs="Times New Roman"/>
          <w:b/>
          <w:sz w:val="18"/>
        </w:rPr>
      </w:pPr>
    </w:p>
    <w:p w14:paraId="5784FB90" w14:textId="77777777" w:rsidR="00960BE9" w:rsidRPr="003E34CE" w:rsidRDefault="00960BE9" w:rsidP="00960BE9">
      <w:pPr>
        <w:spacing w:after="0" w:line="240" w:lineRule="auto"/>
        <w:jc w:val="both"/>
        <w:rPr>
          <w:rFonts w:ascii="Times New Roman" w:hAnsi="Times New Roman" w:cs="Times New Roman"/>
          <w:b/>
        </w:rPr>
      </w:pPr>
      <w:r w:rsidRPr="003E34CE">
        <w:rPr>
          <w:rFonts w:ascii="Times New Roman" w:hAnsi="Times New Roman" w:cs="Times New Roman"/>
          <w:b/>
        </w:rPr>
        <w:t>El Impuesto Sobre la Renta y el ISO</w:t>
      </w:r>
    </w:p>
    <w:p w14:paraId="23B394E9" w14:textId="77777777" w:rsidR="00960BE9" w:rsidRPr="003E34CE" w:rsidRDefault="00960BE9" w:rsidP="00960BE9">
      <w:pPr>
        <w:spacing w:after="0" w:line="240" w:lineRule="auto"/>
        <w:jc w:val="both"/>
        <w:rPr>
          <w:rFonts w:ascii="Times New Roman" w:hAnsi="Times New Roman" w:cs="Times New Roman"/>
          <w:b/>
          <w:sz w:val="20"/>
        </w:rPr>
      </w:pPr>
    </w:p>
    <w:p w14:paraId="743F6688" w14:textId="0053D0CC" w:rsidR="003E34CE" w:rsidRPr="003E34CE" w:rsidRDefault="003E34CE" w:rsidP="003E34CE">
      <w:pPr>
        <w:spacing w:after="0" w:line="240" w:lineRule="auto"/>
        <w:jc w:val="both"/>
        <w:rPr>
          <w:rFonts w:ascii="Times New Roman" w:hAnsi="Times New Roman" w:cs="Times New Roman"/>
        </w:rPr>
      </w:pPr>
      <w:r w:rsidRPr="003E34CE">
        <w:rPr>
          <w:rFonts w:ascii="Times New Roman" w:hAnsi="Times New Roman" w:cs="Times New Roman"/>
        </w:rPr>
        <w:t xml:space="preserve">En junio se recaudó por estos dos impuestos Q1,422 millones de un estimado de Q1,404.3 millones, lo que generó una brecha positiva de Q17.7 millones. </w:t>
      </w:r>
    </w:p>
    <w:p w14:paraId="3F4D5CCD" w14:textId="77777777" w:rsidR="003E34CE" w:rsidRPr="003E34CE" w:rsidRDefault="003E34CE" w:rsidP="003E34CE">
      <w:pPr>
        <w:spacing w:after="0" w:line="240" w:lineRule="auto"/>
        <w:jc w:val="both"/>
        <w:rPr>
          <w:rFonts w:ascii="Times New Roman" w:hAnsi="Times New Roman" w:cs="Times New Roman"/>
        </w:rPr>
      </w:pPr>
    </w:p>
    <w:p w14:paraId="15EE05CF" w14:textId="77777777" w:rsidR="003E34CE" w:rsidRPr="003E34CE" w:rsidRDefault="003E34CE" w:rsidP="003E34CE">
      <w:pPr>
        <w:spacing w:after="0" w:line="240" w:lineRule="auto"/>
        <w:jc w:val="both"/>
        <w:rPr>
          <w:rFonts w:ascii="Times New Roman" w:hAnsi="Times New Roman" w:cs="Times New Roman"/>
        </w:rPr>
      </w:pPr>
      <w:r w:rsidRPr="003E34CE">
        <w:rPr>
          <w:rFonts w:ascii="Times New Roman" w:hAnsi="Times New Roman" w:cs="Times New Roman"/>
        </w:rPr>
        <w:t>De manera acumulada estos dos impuestos superaron por Q1,515.2 millones la meta, determinada principalmente por el ISR que contribuye de manera positiva con Q1,432.0 millones.</w:t>
      </w:r>
    </w:p>
    <w:p w14:paraId="676187CD" w14:textId="77777777" w:rsidR="003E34CE" w:rsidRPr="003E34CE" w:rsidRDefault="003E34CE" w:rsidP="003E34CE">
      <w:pPr>
        <w:spacing w:after="0" w:line="240" w:lineRule="auto"/>
        <w:jc w:val="both"/>
        <w:rPr>
          <w:rFonts w:ascii="Times New Roman" w:hAnsi="Times New Roman" w:cs="Times New Roman"/>
        </w:rPr>
      </w:pPr>
    </w:p>
    <w:p w14:paraId="6D9E5666" w14:textId="23A3A6C1" w:rsidR="0094207C" w:rsidRPr="003E34CE" w:rsidRDefault="003E34CE" w:rsidP="003E34CE">
      <w:pPr>
        <w:spacing w:after="0" w:line="240" w:lineRule="auto"/>
        <w:jc w:val="both"/>
        <w:rPr>
          <w:rFonts w:ascii="Times New Roman" w:hAnsi="Times New Roman" w:cs="Times New Roman"/>
        </w:rPr>
      </w:pPr>
      <w:r w:rsidRPr="003E34CE">
        <w:rPr>
          <w:rFonts w:ascii="Times New Roman" w:hAnsi="Times New Roman" w:cs="Times New Roman"/>
        </w:rPr>
        <w:t>Aspectos relevantes que contribuyen con el desempeño del ISR son las medidas que ha venido desarrollando la SAT mediante fiscalización por sector económico y la inclusión de nuevos anexos al formulario de declaración.</w:t>
      </w:r>
    </w:p>
    <w:p w14:paraId="4191B64A" w14:textId="7C5B49EC" w:rsidR="00D26729" w:rsidRPr="003E34CE" w:rsidRDefault="00D26729" w:rsidP="00960BE9">
      <w:pPr>
        <w:spacing w:after="0" w:line="240" w:lineRule="auto"/>
        <w:jc w:val="both"/>
        <w:rPr>
          <w:rFonts w:ascii="Times New Roman" w:hAnsi="Times New Roman" w:cs="Times New Roman"/>
          <w:b/>
        </w:rPr>
      </w:pPr>
    </w:p>
    <w:p w14:paraId="68D84873" w14:textId="5461A8B3" w:rsidR="00960BE9" w:rsidRPr="003E34CE" w:rsidRDefault="00960BE9" w:rsidP="00960BE9">
      <w:pPr>
        <w:spacing w:after="0" w:line="240" w:lineRule="auto"/>
        <w:jc w:val="both"/>
        <w:rPr>
          <w:rFonts w:ascii="Times New Roman" w:hAnsi="Times New Roman" w:cs="Times New Roman"/>
          <w:b/>
        </w:rPr>
      </w:pPr>
      <w:r w:rsidRPr="003E34CE">
        <w:rPr>
          <w:rFonts w:ascii="Times New Roman" w:hAnsi="Times New Roman" w:cs="Times New Roman"/>
          <w:b/>
        </w:rPr>
        <w:t>El Impuesto al Valor Agregado</w:t>
      </w:r>
    </w:p>
    <w:p w14:paraId="4C605EA9" w14:textId="77777777" w:rsidR="00960BE9" w:rsidRPr="003E34CE" w:rsidRDefault="00960BE9" w:rsidP="00960BE9">
      <w:pPr>
        <w:spacing w:after="0" w:line="240" w:lineRule="auto"/>
        <w:jc w:val="both"/>
        <w:rPr>
          <w:rFonts w:ascii="Times New Roman" w:hAnsi="Times New Roman" w:cs="Times New Roman"/>
          <w:sz w:val="18"/>
        </w:rPr>
      </w:pPr>
    </w:p>
    <w:p w14:paraId="3D2EF0F8" w14:textId="27EF66B8" w:rsidR="003E34CE" w:rsidRPr="003E34CE" w:rsidRDefault="003E34CE" w:rsidP="003E34CE">
      <w:pPr>
        <w:spacing w:after="0" w:line="240" w:lineRule="auto"/>
        <w:jc w:val="both"/>
        <w:rPr>
          <w:rFonts w:ascii="Times New Roman" w:hAnsi="Times New Roman" w:cs="Times New Roman"/>
        </w:rPr>
      </w:pPr>
      <w:r w:rsidRPr="003E34CE">
        <w:rPr>
          <w:rFonts w:ascii="Times New Roman" w:hAnsi="Times New Roman" w:cs="Times New Roman"/>
        </w:rPr>
        <w:t>Este impuesto, en junio, generó una brecha positiva de Q769.7 millones, explicado en su mayoría por el IVA asociado al comercio exterior, el cual mantiene la dinámica observa en 2021, principalmente como reflejo al aumento de precios en los combustibles.</w:t>
      </w:r>
    </w:p>
    <w:p w14:paraId="4CDF1ECD" w14:textId="77777777" w:rsidR="003E34CE" w:rsidRPr="003E34CE" w:rsidRDefault="003E34CE" w:rsidP="003E34CE">
      <w:pPr>
        <w:spacing w:after="0" w:line="240" w:lineRule="auto"/>
        <w:jc w:val="both"/>
        <w:rPr>
          <w:rFonts w:ascii="Times New Roman" w:hAnsi="Times New Roman" w:cs="Times New Roman"/>
        </w:rPr>
      </w:pPr>
    </w:p>
    <w:p w14:paraId="26AD8DF8" w14:textId="77777777" w:rsidR="003E34CE" w:rsidRPr="003E34CE" w:rsidRDefault="003E34CE" w:rsidP="003E34CE">
      <w:pPr>
        <w:spacing w:after="0" w:line="240" w:lineRule="auto"/>
        <w:jc w:val="both"/>
        <w:rPr>
          <w:rFonts w:ascii="Times New Roman" w:hAnsi="Times New Roman" w:cs="Times New Roman"/>
        </w:rPr>
      </w:pPr>
      <w:r w:rsidRPr="003E34CE">
        <w:rPr>
          <w:rFonts w:ascii="Times New Roman" w:hAnsi="Times New Roman" w:cs="Times New Roman"/>
        </w:rPr>
        <w:t xml:space="preserve">Como referencia del crecimiento en el IVA de importaciones, se asume el aumento en el precio del barril de petróleo consecuencia del conflicto armado entre Rusia y Ucrania. En junio 2021 el precio del barril era de US$71.35 dólares y en 2022 se ubicó en US$114.34 dólares, según la U.S. </w:t>
      </w:r>
      <w:proofErr w:type="spellStart"/>
      <w:r w:rsidRPr="003E34CE">
        <w:rPr>
          <w:rFonts w:ascii="Times New Roman" w:hAnsi="Times New Roman" w:cs="Times New Roman"/>
        </w:rPr>
        <w:t>Energy</w:t>
      </w:r>
      <w:proofErr w:type="spellEnd"/>
      <w:r w:rsidRPr="003E34CE">
        <w:rPr>
          <w:rFonts w:ascii="Times New Roman" w:hAnsi="Times New Roman" w:cs="Times New Roman"/>
        </w:rPr>
        <w:t xml:space="preserve"> </w:t>
      </w:r>
      <w:proofErr w:type="spellStart"/>
      <w:r w:rsidRPr="003E34CE">
        <w:rPr>
          <w:rFonts w:ascii="Times New Roman" w:hAnsi="Times New Roman" w:cs="Times New Roman"/>
        </w:rPr>
        <w:t>Information</w:t>
      </w:r>
      <w:proofErr w:type="spellEnd"/>
      <w:r w:rsidRPr="003E34CE">
        <w:rPr>
          <w:rFonts w:ascii="Times New Roman" w:hAnsi="Times New Roman" w:cs="Times New Roman"/>
        </w:rPr>
        <w:t xml:space="preserve"> </w:t>
      </w:r>
      <w:proofErr w:type="spellStart"/>
      <w:r w:rsidRPr="003E34CE">
        <w:rPr>
          <w:rFonts w:ascii="Times New Roman" w:hAnsi="Times New Roman" w:cs="Times New Roman"/>
        </w:rPr>
        <w:t>Administration</w:t>
      </w:r>
      <w:proofErr w:type="spellEnd"/>
      <w:r w:rsidRPr="003E34CE">
        <w:rPr>
          <w:rFonts w:ascii="Times New Roman" w:hAnsi="Times New Roman" w:cs="Times New Roman"/>
        </w:rPr>
        <w:t>.</w:t>
      </w:r>
    </w:p>
    <w:p w14:paraId="6B2C215B" w14:textId="77777777" w:rsidR="003E34CE" w:rsidRPr="003E34CE" w:rsidRDefault="003E34CE" w:rsidP="003E34CE">
      <w:pPr>
        <w:spacing w:after="0" w:line="240" w:lineRule="auto"/>
        <w:jc w:val="both"/>
        <w:rPr>
          <w:rFonts w:ascii="Times New Roman" w:hAnsi="Times New Roman" w:cs="Times New Roman"/>
        </w:rPr>
      </w:pPr>
    </w:p>
    <w:p w14:paraId="39F059EB" w14:textId="11407D7B" w:rsidR="00D62B21" w:rsidRPr="003E34CE" w:rsidRDefault="003E34CE" w:rsidP="0094207C">
      <w:pPr>
        <w:spacing w:after="0" w:line="240" w:lineRule="auto"/>
        <w:jc w:val="both"/>
        <w:rPr>
          <w:rFonts w:ascii="Times New Roman" w:hAnsi="Times New Roman" w:cs="Times New Roman"/>
        </w:rPr>
      </w:pPr>
      <w:r w:rsidRPr="003E34CE">
        <w:rPr>
          <w:rFonts w:ascii="Times New Roman" w:hAnsi="Times New Roman" w:cs="Times New Roman"/>
        </w:rPr>
        <w:t xml:space="preserve">De manera acumulada, el IVA total genera brecha positiva de Q3,383.9 millones respecto a la meta de presupuesto y Q3,184.6 millones </w:t>
      </w:r>
      <w:r w:rsidRPr="003E34CE">
        <w:rPr>
          <w:rFonts w:ascii="Times New Roman" w:hAnsi="Times New Roman" w:cs="Times New Roman"/>
        </w:rPr>
        <w:t>respecto a lo observado en 2021, destaca que el IVA asociado al comercio exterior mantiene el mayor aporte, reflejando crecimientos de 34.8% respecto a la meta de presupuesto y 30.6% respecto a lo observado en 2021.</w:t>
      </w:r>
    </w:p>
    <w:p w14:paraId="721AA3BC" w14:textId="77777777" w:rsidR="003E34CE" w:rsidRPr="003E34CE" w:rsidRDefault="003E34CE" w:rsidP="0094207C">
      <w:pPr>
        <w:spacing w:after="0" w:line="240" w:lineRule="auto"/>
        <w:jc w:val="both"/>
        <w:rPr>
          <w:rFonts w:ascii="Times New Roman" w:hAnsi="Times New Roman" w:cs="Times New Roman"/>
        </w:rPr>
      </w:pPr>
    </w:p>
    <w:p w14:paraId="204DB3DF" w14:textId="77777777" w:rsidR="00D62B21" w:rsidRPr="003E34CE" w:rsidRDefault="00D62B21" w:rsidP="00D62B21">
      <w:pPr>
        <w:spacing w:after="0" w:line="240" w:lineRule="auto"/>
        <w:jc w:val="both"/>
        <w:rPr>
          <w:rFonts w:ascii="Times New Roman" w:hAnsi="Times New Roman" w:cs="Times New Roman"/>
          <w:b/>
          <w:bCs/>
        </w:rPr>
      </w:pPr>
      <w:r w:rsidRPr="003E34CE">
        <w:rPr>
          <w:rFonts w:ascii="Times New Roman" w:hAnsi="Times New Roman" w:cs="Times New Roman"/>
          <w:b/>
          <w:bCs/>
        </w:rPr>
        <w:t>Los demás impuestos</w:t>
      </w:r>
    </w:p>
    <w:p w14:paraId="5FFA3AD7" w14:textId="77777777" w:rsidR="00D62B21" w:rsidRPr="000104C5" w:rsidRDefault="00D62B21" w:rsidP="00D62B21">
      <w:pPr>
        <w:spacing w:after="0" w:line="240" w:lineRule="auto"/>
        <w:jc w:val="both"/>
        <w:rPr>
          <w:rFonts w:ascii="Times New Roman" w:hAnsi="Times New Roman" w:cs="Times New Roman"/>
          <w:b/>
          <w:bCs/>
          <w:color w:val="FF0000"/>
          <w:sz w:val="14"/>
        </w:rPr>
      </w:pPr>
    </w:p>
    <w:p w14:paraId="5B7C02FF" w14:textId="11DF0A75" w:rsidR="003E34CE" w:rsidRPr="00D62B21" w:rsidRDefault="003E34CE" w:rsidP="003E34CE">
      <w:pPr>
        <w:spacing w:after="0" w:line="240" w:lineRule="auto"/>
        <w:jc w:val="both"/>
        <w:rPr>
          <w:rFonts w:ascii="Times New Roman" w:hAnsi="Times New Roman" w:cs="Times New Roman"/>
        </w:rPr>
      </w:pPr>
      <w:r w:rsidRPr="00D62B21">
        <w:rPr>
          <w:rFonts w:ascii="Times New Roman" w:hAnsi="Times New Roman" w:cs="Times New Roman"/>
        </w:rPr>
        <w:t>En la recaudación de junio destaca que el Impuesto de Circulación de Vehículos y el Tabacos no alcanzaron la meta mensual dejando de percibir en conjunto Q27.0 millones respecto a la meta de presupuesto.</w:t>
      </w:r>
    </w:p>
    <w:p w14:paraId="3F8BCDEC" w14:textId="77777777" w:rsidR="003E34CE" w:rsidRPr="00D62B21" w:rsidRDefault="003E34CE" w:rsidP="003E34CE">
      <w:pPr>
        <w:spacing w:after="0" w:line="240" w:lineRule="auto"/>
        <w:jc w:val="both"/>
        <w:rPr>
          <w:rFonts w:ascii="Times New Roman" w:hAnsi="Times New Roman" w:cs="Times New Roman"/>
        </w:rPr>
      </w:pPr>
    </w:p>
    <w:p w14:paraId="1155E8D5" w14:textId="7167B60A" w:rsidR="00286DB5" w:rsidRPr="000104C5" w:rsidRDefault="003E34CE" w:rsidP="003E34CE">
      <w:pPr>
        <w:spacing w:after="0" w:line="240" w:lineRule="auto"/>
        <w:jc w:val="both"/>
        <w:rPr>
          <w:rFonts w:ascii="Times New Roman" w:hAnsi="Times New Roman" w:cs="Times New Roman"/>
          <w:color w:val="FF0000"/>
        </w:rPr>
      </w:pPr>
      <w:r w:rsidRPr="00D62B21">
        <w:rPr>
          <w:rFonts w:ascii="Times New Roman" w:hAnsi="Times New Roman" w:cs="Times New Roman"/>
        </w:rPr>
        <w:t>De manera acumulada el impuesto a los Derivados del Petróleo y el de Tabacos genera brecha negativa de Q14.8</w:t>
      </w:r>
      <w:r>
        <w:rPr>
          <w:rFonts w:ascii="Times New Roman" w:hAnsi="Times New Roman" w:cs="Times New Roman"/>
        </w:rPr>
        <w:t xml:space="preserve"> </w:t>
      </w:r>
      <w:r w:rsidRPr="00D62B21">
        <w:rPr>
          <w:rFonts w:ascii="Times New Roman" w:hAnsi="Times New Roman" w:cs="Times New Roman"/>
        </w:rPr>
        <w:t>millones.</w:t>
      </w:r>
    </w:p>
    <w:p w14:paraId="27D1F8EA" w14:textId="77777777" w:rsidR="001C5B4A" w:rsidRPr="003E34CE" w:rsidRDefault="001C5B4A" w:rsidP="000075D4">
      <w:pPr>
        <w:spacing w:after="0" w:line="240" w:lineRule="auto"/>
        <w:jc w:val="both"/>
        <w:rPr>
          <w:rFonts w:ascii="Times New Roman" w:hAnsi="Times New Roman" w:cs="Times New Roman"/>
        </w:rPr>
      </w:pPr>
    </w:p>
    <w:p w14:paraId="3D46F210" w14:textId="77777777" w:rsidR="00D62B21" w:rsidRPr="003E34CE" w:rsidRDefault="00D62B21" w:rsidP="00D62B21">
      <w:pPr>
        <w:spacing w:after="0" w:line="240" w:lineRule="auto"/>
        <w:jc w:val="both"/>
        <w:rPr>
          <w:rFonts w:ascii="Times New Roman" w:hAnsi="Times New Roman" w:cs="Times New Roman"/>
          <w:b/>
          <w:bCs/>
        </w:rPr>
      </w:pPr>
      <w:r w:rsidRPr="003E34CE">
        <w:rPr>
          <w:rFonts w:ascii="Times New Roman" w:hAnsi="Times New Roman" w:cs="Times New Roman"/>
          <w:b/>
          <w:bCs/>
        </w:rPr>
        <w:t>Estructura de la recaudación tributaria acumulada a junio 2022</w:t>
      </w:r>
    </w:p>
    <w:p w14:paraId="65C12D79" w14:textId="77777777" w:rsidR="00D62B21" w:rsidRPr="003E34CE" w:rsidRDefault="00D62B21" w:rsidP="00D62B21">
      <w:pPr>
        <w:spacing w:after="0" w:line="240" w:lineRule="auto"/>
        <w:jc w:val="both"/>
        <w:rPr>
          <w:rFonts w:ascii="Times New Roman" w:hAnsi="Times New Roman" w:cs="Times New Roman"/>
          <w:sz w:val="16"/>
        </w:rPr>
      </w:pPr>
    </w:p>
    <w:p w14:paraId="3EFA56BF" w14:textId="2F4CAD7E" w:rsidR="00D62B21" w:rsidRPr="000104C5" w:rsidRDefault="003E34CE" w:rsidP="00D62B21">
      <w:pPr>
        <w:spacing w:after="0" w:line="240" w:lineRule="auto"/>
        <w:jc w:val="both"/>
        <w:rPr>
          <w:rFonts w:ascii="Times New Roman" w:hAnsi="Times New Roman" w:cs="Times New Roman"/>
          <w:color w:val="FF0000"/>
        </w:rPr>
      </w:pPr>
      <w:r>
        <w:rPr>
          <w:rFonts w:ascii="Times New Roman" w:hAnsi="Times New Roman" w:cs="Times New Roman"/>
        </w:rPr>
        <w:t xml:space="preserve">La recaudación tributaria a junio 2022 </w:t>
      </w:r>
      <w:r w:rsidRPr="00D62B21">
        <w:rPr>
          <w:rFonts w:ascii="Times New Roman" w:hAnsi="Times New Roman" w:cs="Times New Roman"/>
        </w:rPr>
        <w:t>mantiene la estructura y el desempeño positivo está explicado principalmente por impuestos como el ISR, y el IVA que en conjunto representan el 81.5% de la recaudación observada total.</w:t>
      </w:r>
    </w:p>
    <w:p w14:paraId="24DEA46C" w14:textId="77777777" w:rsidR="00D62B21" w:rsidRPr="000104C5" w:rsidRDefault="00D62B21" w:rsidP="00D62B21">
      <w:pPr>
        <w:spacing w:after="0" w:line="240" w:lineRule="auto"/>
        <w:jc w:val="both"/>
        <w:rPr>
          <w:rFonts w:ascii="Times New Roman" w:hAnsi="Times New Roman" w:cs="Times New Roman"/>
          <w:color w:val="FF0000"/>
        </w:rPr>
      </w:pPr>
    </w:p>
    <w:p w14:paraId="0C567E35" w14:textId="77777777" w:rsidR="00D62B21" w:rsidRPr="003E34CE" w:rsidRDefault="00D62B21" w:rsidP="00D62B21">
      <w:pPr>
        <w:spacing w:after="0" w:line="240" w:lineRule="auto"/>
        <w:jc w:val="center"/>
        <w:rPr>
          <w:rFonts w:ascii="Times New Roman" w:hAnsi="Times New Roman" w:cs="Times New Roman"/>
          <w:b/>
          <w:bCs/>
        </w:rPr>
      </w:pPr>
      <w:r w:rsidRPr="003E34CE">
        <w:rPr>
          <w:rFonts w:ascii="Times New Roman" w:hAnsi="Times New Roman" w:cs="Times New Roman"/>
          <w:b/>
          <w:bCs/>
        </w:rPr>
        <w:t xml:space="preserve">Aporte por impuesto a la recaudación </w:t>
      </w:r>
    </w:p>
    <w:p w14:paraId="6D3468DB" w14:textId="5B1E1CB1" w:rsidR="00D62B21" w:rsidRDefault="00D62B21" w:rsidP="00D62B21">
      <w:pPr>
        <w:spacing w:after="0" w:line="240" w:lineRule="auto"/>
        <w:jc w:val="center"/>
        <w:rPr>
          <w:rFonts w:ascii="Times New Roman" w:hAnsi="Times New Roman" w:cs="Times New Roman"/>
          <w:b/>
          <w:bCs/>
        </w:rPr>
      </w:pPr>
      <w:r w:rsidRPr="003E34CE">
        <w:rPr>
          <w:rFonts w:ascii="Times New Roman" w:hAnsi="Times New Roman" w:cs="Times New Roman"/>
          <w:b/>
          <w:bCs/>
        </w:rPr>
        <w:t>Tributaria acumulada a junio 2022</w:t>
      </w:r>
    </w:p>
    <w:p w14:paraId="2D3F97AE" w14:textId="56BBD0B9" w:rsidR="00E73F1A" w:rsidRPr="003E34CE" w:rsidRDefault="00E73F1A" w:rsidP="00D62B21">
      <w:pPr>
        <w:spacing w:after="0" w:line="240" w:lineRule="auto"/>
        <w:jc w:val="center"/>
        <w:rPr>
          <w:rFonts w:ascii="Times New Roman" w:hAnsi="Times New Roman" w:cs="Times New Roman"/>
          <w:b/>
          <w:bCs/>
        </w:rPr>
      </w:pPr>
      <w:r w:rsidRPr="003E34CE">
        <w:rPr>
          <w:noProof/>
          <w:lang w:eastAsia="es-GT"/>
        </w:rPr>
        <w:drawing>
          <wp:inline distT="0" distB="0" distL="0" distR="0" wp14:anchorId="7E4324D7" wp14:editId="0FA7BC6B">
            <wp:extent cx="2762250" cy="2543175"/>
            <wp:effectExtent l="0" t="0" r="0"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6D1182" w14:textId="7742A921" w:rsidR="00D62B21" w:rsidRPr="003E34CE" w:rsidRDefault="00D62B21" w:rsidP="00D62B21">
      <w:pPr>
        <w:spacing w:after="0" w:line="240" w:lineRule="auto"/>
        <w:jc w:val="both"/>
        <w:rPr>
          <w:rFonts w:ascii="Times New Roman" w:hAnsi="Times New Roman" w:cs="Times New Roman"/>
          <w:sz w:val="16"/>
          <w:szCs w:val="16"/>
          <w:lang w:val="es-MX"/>
        </w:rPr>
      </w:pPr>
      <w:r w:rsidRPr="003E34CE">
        <w:rPr>
          <w:rFonts w:ascii="Times New Roman" w:hAnsi="Times New Roman" w:cs="Times New Roman"/>
          <w:sz w:val="16"/>
          <w:szCs w:val="16"/>
          <w:lang w:val="es-MX"/>
        </w:rPr>
        <w:t>Fuente: Dirección de Análisis y Política Fiscal.</w:t>
      </w:r>
    </w:p>
    <w:p w14:paraId="5545740E" w14:textId="77777777" w:rsidR="00D62B21" w:rsidRPr="003E34CE" w:rsidRDefault="00D62B21" w:rsidP="00D62B21">
      <w:pPr>
        <w:spacing w:after="0" w:line="240" w:lineRule="auto"/>
        <w:jc w:val="both"/>
        <w:rPr>
          <w:rFonts w:ascii="Times New Roman" w:hAnsi="Times New Roman" w:cs="Times New Roman"/>
        </w:rPr>
      </w:pPr>
    </w:p>
    <w:p w14:paraId="64821008" w14:textId="77777777" w:rsidR="00D62B21" w:rsidRPr="003E34CE" w:rsidRDefault="00D62B21" w:rsidP="00D62B21">
      <w:pPr>
        <w:spacing w:after="0" w:line="240" w:lineRule="auto"/>
        <w:jc w:val="both"/>
        <w:rPr>
          <w:rFonts w:ascii="Times New Roman" w:hAnsi="Times New Roman" w:cs="Times New Roman"/>
          <w:b/>
          <w:bCs/>
        </w:rPr>
      </w:pPr>
      <w:r w:rsidRPr="003E34CE">
        <w:rPr>
          <w:rFonts w:ascii="Times New Roman" w:hAnsi="Times New Roman" w:cs="Times New Roman"/>
          <w:b/>
          <w:bCs/>
        </w:rPr>
        <w:t>Expectativas de cierre 2022</w:t>
      </w:r>
    </w:p>
    <w:p w14:paraId="6CADDFAA" w14:textId="77777777" w:rsidR="00D62B21" w:rsidRPr="000104C5" w:rsidRDefault="00D62B21" w:rsidP="00D62B21">
      <w:pPr>
        <w:spacing w:after="0" w:line="240" w:lineRule="auto"/>
        <w:jc w:val="both"/>
        <w:rPr>
          <w:rFonts w:ascii="Times New Roman" w:hAnsi="Times New Roman" w:cs="Times New Roman"/>
          <w:color w:val="FF0000"/>
          <w:sz w:val="16"/>
        </w:rPr>
      </w:pPr>
    </w:p>
    <w:p w14:paraId="656A7803" w14:textId="0AF1DE54" w:rsidR="00D62B21" w:rsidRPr="000104C5" w:rsidRDefault="003E34CE" w:rsidP="00D62B21">
      <w:pPr>
        <w:spacing w:after="0" w:line="240" w:lineRule="auto"/>
        <w:jc w:val="both"/>
        <w:rPr>
          <w:rFonts w:ascii="Times New Roman" w:hAnsi="Times New Roman" w:cs="Times New Roman"/>
          <w:color w:val="FF0000"/>
        </w:rPr>
      </w:pPr>
      <w:r>
        <w:rPr>
          <w:rFonts w:ascii="Times New Roman" w:hAnsi="Times New Roman" w:cs="Times New Roman"/>
        </w:rPr>
        <w:t xml:space="preserve">De conformidad con los resultados obtenidos de recaudación tributaria al mes de junio y </w:t>
      </w:r>
      <w:r>
        <w:rPr>
          <w:rFonts w:ascii="Times New Roman" w:hAnsi="Times New Roman" w:cs="Times New Roman"/>
        </w:rPr>
        <w:lastRenderedPageBreak/>
        <w:t>bajo el escenario de pleno cumplimiento de las metas mensuales para el resto del año, el resultado del ejercicio fiscal a diciembre 2022 puede rondar los Q81,806.7 millones, es decir, de julio a diciembre, la meta se cumple en 100% y a ello se adiciona la recaudación observada a junio, en la que ya incluye la brecha positiva por Q5,491.8 millones</w:t>
      </w:r>
      <w:r w:rsidRPr="00D62B21">
        <w:rPr>
          <w:rFonts w:ascii="Times New Roman" w:hAnsi="Times New Roman" w:cs="Times New Roman"/>
        </w:rPr>
        <w:t>.</w:t>
      </w:r>
    </w:p>
    <w:p w14:paraId="408B03A6" w14:textId="40C05D93" w:rsidR="00D62B21" w:rsidRDefault="00D62B21" w:rsidP="00D62B21">
      <w:pPr>
        <w:spacing w:after="0" w:line="240" w:lineRule="auto"/>
        <w:jc w:val="both"/>
        <w:rPr>
          <w:rFonts w:ascii="Times New Roman" w:hAnsi="Times New Roman" w:cs="Times New Roman"/>
        </w:rPr>
      </w:pPr>
    </w:p>
    <w:p w14:paraId="2ED2B1E3" w14:textId="7DE59FAC" w:rsidR="00E73F1A" w:rsidRDefault="00E73F1A" w:rsidP="00D62B21">
      <w:pPr>
        <w:spacing w:after="0" w:line="240" w:lineRule="auto"/>
        <w:jc w:val="both"/>
        <w:rPr>
          <w:rFonts w:ascii="Times New Roman" w:hAnsi="Times New Roman" w:cs="Times New Roman"/>
        </w:rPr>
      </w:pPr>
    </w:p>
    <w:p w14:paraId="6D2B7B86" w14:textId="6E90164F" w:rsidR="00E73F1A" w:rsidRDefault="00E73F1A" w:rsidP="00D62B21">
      <w:pPr>
        <w:spacing w:after="0" w:line="240" w:lineRule="auto"/>
        <w:jc w:val="both"/>
        <w:rPr>
          <w:rFonts w:ascii="Times New Roman" w:hAnsi="Times New Roman" w:cs="Times New Roman"/>
        </w:rPr>
      </w:pPr>
    </w:p>
    <w:p w14:paraId="2EE86AB0" w14:textId="0A043866" w:rsidR="00F857CC" w:rsidRDefault="00F857CC" w:rsidP="00D62B21">
      <w:pPr>
        <w:spacing w:after="0" w:line="240" w:lineRule="auto"/>
        <w:jc w:val="both"/>
        <w:rPr>
          <w:rFonts w:ascii="Times New Roman" w:hAnsi="Times New Roman" w:cs="Times New Roman"/>
        </w:rPr>
      </w:pPr>
    </w:p>
    <w:p w14:paraId="5EF45008" w14:textId="69FD2D40" w:rsidR="001B14A3" w:rsidRDefault="001B14A3" w:rsidP="00D62B21">
      <w:pPr>
        <w:spacing w:after="0" w:line="240" w:lineRule="auto"/>
        <w:jc w:val="both"/>
        <w:rPr>
          <w:rFonts w:ascii="Times New Roman" w:hAnsi="Times New Roman" w:cs="Times New Roman"/>
        </w:rPr>
      </w:pPr>
    </w:p>
    <w:p w14:paraId="30BDCEE3" w14:textId="77777777" w:rsidR="001B14A3" w:rsidRPr="003E34CE" w:rsidRDefault="001B14A3" w:rsidP="00D62B21">
      <w:pPr>
        <w:spacing w:after="0" w:line="240" w:lineRule="auto"/>
        <w:jc w:val="both"/>
        <w:rPr>
          <w:rFonts w:ascii="Times New Roman" w:hAnsi="Times New Roman" w:cs="Times New Roman"/>
        </w:rPr>
      </w:pPr>
    </w:p>
    <w:p w14:paraId="3017DB1C" w14:textId="77777777" w:rsidR="00D62B21" w:rsidRPr="003E34CE" w:rsidRDefault="00D62B21" w:rsidP="00D62B21">
      <w:pPr>
        <w:spacing w:after="0" w:line="240" w:lineRule="auto"/>
        <w:jc w:val="center"/>
        <w:rPr>
          <w:rFonts w:ascii="Times New Roman" w:hAnsi="Times New Roman" w:cs="Times New Roman"/>
          <w:b/>
          <w:bCs/>
        </w:rPr>
      </w:pPr>
      <w:r w:rsidRPr="003E34CE">
        <w:rPr>
          <w:rFonts w:ascii="Times New Roman" w:hAnsi="Times New Roman" w:cs="Times New Roman"/>
          <w:b/>
          <w:bCs/>
        </w:rPr>
        <w:t>Estimación de ejercicio fiscal 2022</w:t>
      </w:r>
    </w:p>
    <w:p w14:paraId="1E3D98EA" w14:textId="77777777" w:rsidR="00D62B21" w:rsidRPr="003E34CE" w:rsidRDefault="00D62B21" w:rsidP="00D62B21">
      <w:pPr>
        <w:spacing w:after="0" w:line="240" w:lineRule="auto"/>
        <w:jc w:val="center"/>
        <w:rPr>
          <w:rFonts w:ascii="Times New Roman" w:hAnsi="Times New Roman" w:cs="Times New Roman"/>
        </w:rPr>
      </w:pPr>
      <w:r w:rsidRPr="003E34CE">
        <w:rPr>
          <w:rFonts w:ascii="Times New Roman" w:hAnsi="Times New Roman" w:cs="Times New Roman"/>
        </w:rPr>
        <w:t>Millones de quetzales</w:t>
      </w:r>
    </w:p>
    <w:p w14:paraId="3C201762" w14:textId="75B59D6E" w:rsidR="00D62B21" w:rsidRPr="003E34CE" w:rsidRDefault="003E34CE" w:rsidP="00D62B21">
      <w:pPr>
        <w:spacing w:after="0" w:line="240" w:lineRule="auto"/>
        <w:jc w:val="both"/>
        <w:rPr>
          <w:rFonts w:ascii="Times New Roman" w:hAnsi="Times New Roman" w:cs="Times New Roman"/>
        </w:rPr>
      </w:pPr>
      <w:r w:rsidRPr="003E34CE">
        <w:rPr>
          <w:noProof/>
          <w:lang w:eastAsia="es-GT"/>
        </w:rPr>
        <w:drawing>
          <wp:inline distT="0" distB="0" distL="0" distR="0" wp14:anchorId="53657B7F" wp14:editId="3D0007DF">
            <wp:extent cx="2647950" cy="1933575"/>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A1080D" w14:textId="03190C54" w:rsidR="00286DB5" w:rsidRPr="00F857CC" w:rsidRDefault="00D62B21" w:rsidP="00286DB5">
      <w:pPr>
        <w:spacing w:after="0" w:line="240" w:lineRule="auto"/>
        <w:jc w:val="both"/>
        <w:rPr>
          <w:rFonts w:ascii="Times New Roman" w:hAnsi="Times New Roman" w:cs="Times New Roman"/>
          <w:color w:val="FF0000"/>
          <w:sz w:val="24"/>
          <w:szCs w:val="24"/>
        </w:rPr>
      </w:pPr>
      <w:r w:rsidRPr="003E34CE">
        <w:rPr>
          <w:rFonts w:ascii="Times New Roman" w:hAnsi="Times New Roman" w:cs="Times New Roman"/>
          <w:sz w:val="16"/>
          <w:szCs w:val="16"/>
          <w:lang w:val="es-MX"/>
        </w:rPr>
        <w:t>Fuente: Dirección de Análisis y Política Fiscal</w:t>
      </w:r>
    </w:p>
    <w:p w14:paraId="3CBE9AF0" w14:textId="77777777" w:rsidR="001C5B4A" w:rsidRPr="000104C5" w:rsidRDefault="001C5B4A" w:rsidP="00286DB5">
      <w:pPr>
        <w:spacing w:after="0" w:line="240" w:lineRule="auto"/>
        <w:jc w:val="both"/>
        <w:rPr>
          <w:rFonts w:ascii="Times New Roman" w:hAnsi="Times New Roman" w:cs="Times New Roman"/>
          <w:color w:val="FF0000"/>
        </w:rPr>
        <w:sectPr w:rsidR="001C5B4A" w:rsidRPr="000104C5" w:rsidSect="001C5B4A">
          <w:headerReference w:type="default" r:id="rId19"/>
          <w:footerReference w:type="default" r:id="rId20"/>
          <w:type w:val="continuous"/>
          <w:pgSz w:w="12240" w:h="15840"/>
          <w:pgMar w:top="1417" w:right="1701" w:bottom="1417" w:left="1701" w:header="708" w:footer="708" w:gutter="0"/>
          <w:cols w:num="2" w:space="708"/>
          <w:docGrid w:linePitch="360"/>
        </w:sectPr>
      </w:pPr>
    </w:p>
    <w:p w14:paraId="083D36CC" w14:textId="5887CB32" w:rsidR="00F23E3F" w:rsidRPr="000104C5" w:rsidRDefault="00F23E3F" w:rsidP="00F23E3F">
      <w:pPr>
        <w:spacing w:after="0"/>
        <w:rPr>
          <w:rFonts w:ascii="Times New Roman" w:hAnsi="Times New Roman" w:cs="Times New Roman"/>
          <w:color w:val="FF0000"/>
          <w:sz w:val="24"/>
          <w:szCs w:val="24"/>
        </w:rPr>
        <w:sectPr w:rsidR="00F23E3F" w:rsidRPr="000104C5" w:rsidSect="00960BE9">
          <w:headerReference w:type="default" r:id="rId21"/>
          <w:footerReference w:type="default" r:id="rId22"/>
          <w:type w:val="continuous"/>
          <w:pgSz w:w="12240" w:h="15840"/>
          <w:pgMar w:top="1417" w:right="1701" w:bottom="1417" w:left="1701" w:header="708" w:footer="708" w:gutter="0"/>
          <w:cols w:space="708"/>
          <w:docGrid w:linePitch="360"/>
        </w:sectPr>
      </w:pPr>
    </w:p>
    <w:p w14:paraId="2F6BE948" w14:textId="77777777" w:rsidR="00960BE9" w:rsidRPr="001B14A3" w:rsidRDefault="00285F51"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3" w:name="_Hlk108188746"/>
      <w:r w:rsidRPr="001B14A3">
        <w:rPr>
          <w:rFonts w:ascii="Times New Roman" w:hAnsi="Times New Roman" w:cs="Times New Roman"/>
          <w:b/>
          <w:color w:val="FFFFFF" w:themeColor="background1"/>
          <w:sz w:val="24"/>
          <w:szCs w:val="24"/>
        </w:rPr>
        <w:t>Repunta e</w:t>
      </w:r>
      <w:r w:rsidR="0040097F" w:rsidRPr="001B14A3">
        <w:rPr>
          <w:rFonts w:ascii="Times New Roman" w:hAnsi="Times New Roman" w:cs="Times New Roman"/>
          <w:b/>
          <w:color w:val="FFFFFF" w:themeColor="background1"/>
          <w:sz w:val="24"/>
          <w:szCs w:val="24"/>
          <w:lang w:val="es-MX"/>
        </w:rPr>
        <w:t>l</w:t>
      </w:r>
      <w:r w:rsidR="000150E7" w:rsidRPr="001B14A3">
        <w:rPr>
          <w:rFonts w:ascii="Times New Roman" w:hAnsi="Times New Roman" w:cs="Times New Roman"/>
          <w:b/>
          <w:color w:val="FFFFFF" w:themeColor="background1"/>
          <w:sz w:val="24"/>
          <w:szCs w:val="24"/>
          <w:lang w:val="es-MX"/>
        </w:rPr>
        <w:t xml:space="preserve"> dinamismo</w:t>
      </w:r>
      <w:r w:rsidR="003854FF" w:rsidRPr="001B14A3">
        <w:rPr>
          <w:rFonts w:ascii="Times New Roman" w:hAnsi="Times New Roman" w:cs="Times New Roman"/>
          <w:b/>
          <w:color w:val="FFFFFF" w:themeColor="background1"/>
          <w:sz w:val="24"/>
          <w:szCs w:val="24"/>
          <w:lang w:val="es-MX"/>
        </w:rPr>
        <w:t xml:space="preserve"> en la ejecución</w:t>
      </w:r>
      <w:r w:rsidR="000150E7" w:rsidRPr="001B14A3">
        <w:rPr>
          <w:rFonts w:ascii="Times New Roman" w:hAnsi="Times New Roman" w:cs="Times New Roman"/>
          <w:b/>
          <w:color w:val="FFFFFF" w:themeColor="background1"/>
          <w:sz w:val="24"/>
          <w:szCs w:val="24"/>
          <w:lang w:val="es-MX"/>
        </w:rPr>
        <w:t xml:space="preserve"> del </w:t>
      </w:r>
      <w:r w:rsidR="00F23E3F" w:rsidRPr="001B14A3">
        <w:rPr>
          <w:rFonts w:ascii="Times New Roman" w:hAnsi="Times New Roman" w:cs="Times New Roman"/>
          <w:b/>
          <w:color w:val="FFFFFF" w:themeColor="background1"/>
          <w:sz w:val="24"/>
          <w:szCs w:val="24"/>
          <w:lang w:val="es-MX"/>
        </w:rPr>
        <w:t xml:space="preserve">gasto </w:t>
      </w:r>
      <w:r w:rsidR="000150E7" w:rsidRPr="001B14A3">
        <w:rPr>
          <w:rFonts w:ascii="Times New Roman" w:hAnsi="Times New Roman" w:cs="Times New Roman"/>
          <w:b/>
          <w:color w:val="FFFFFF" w:themeColor="background1"/>
          <w:sz w:val="24"/>
          <w:szCs w:val="24"/>
          <w:lang w:val="es-MX"/>
        </w:rPr>
        <w:t>público</w:t>
      </w:r>
    </w:p>
    <w:bookmarkEnd w:id="3"/>
    <w:p w14:paraId="59E13956" w14:textId="77777777" w:rsidR="00F23E3F" w:rsidRPr="000104C5" w:rsidRDefault="00F23E3F" w:rsidP="00F23E3F">
      <w:pPr>
        <w:pStyle w:val="Sinespaciado"/>
        <w:rPr>
          <w:rFonts w:ascii="Times New Roman" w:hAnsi="Times New Roman" w:cs="Times New Roman"/>
          <w:color w:val="FF0000"/>
          <w:sz w:val="18"/>
          <w:szCs w:val="18"/>
          <w:lang w:val="es-MX"/>
        </w:rPr>
      </w:pPr>
    </w:p>
    <w:p w14:paraId="30616B57" w14:textId="77777777" w:rsidR="00F23E3F" w:rsidRPr="000104C5" w:rsidRDefault="00F23E3F" w:rsidP="00F23E3F">
      <w:pPr>
        <w:spacing w:after="0"/>
        <w:rPr>
          <w:rFonts w:ascii="Times New Roman" w:hAnsi="Times New Roman" w:cs="Times New Roman"/>
          <w:color w:val="FF0000"/>
          <w:sz w:val="24"/>
        </w:rPr>
        <w:sectPr w:rsidR="00F23E3F" w:rsidRPr="000104C5" w:rsidSect="00960BE9">
          <w:headerReference w:type="default" r:id="rId23"/>
          <w:footerReference w:type="default" r:id="rId24"/>
          <w:type w:val="continuous"/>
          <w:pgSz w:w="12240" w:h="15840"/>
          <w:pgMar w:top="1417" w:right="1701" w:bottom="1417" w:left="1701" w:header="708" w:footer="708" w:gutter="0"/>
          <w:cols w:space="708"/>
          <w:docGrid w:linePitch="360"/>
        </w:sectPr>
      </w:pPr>
    </w:p>
    <w:p w14:paraId="245FACF1" w14:textId="575FA52C" w:rsidR="00E02DD8" w:rsidRPr="000104C5" w:rsidRDefault="001B14A3" w:rsidP="00E02DD8">
      <w:pPr>
        <w:pStyle w:val="Sinespaciado"/>
        <w:jc w:val="both"/>
        <w:rPr>
          <w:rFonts w:ascii="Times New Roman" w:hAnsi="Times New Roman" w:cs="Times New Roman"/>
          <w:color w:val="FF0000"/>
          <w:lang w:val="es-MX"/>
        </w:rPr>
      </w:pPr>
      <w:r>
        <w:rPr>
          <w:rFonts w:ascii="Times New Roman" w:hAnsi="Times New Roman" w:cs="Times New Roman"/>
          <w:lang w:val="es-MX"/>
        </w:rPr>
        <w:t>La ejecución del gasto público a junio sin incluir las amortizaciones de la deuda pública se ubicó en Q46,088.0 millones, con una variación interanual de 15.5% (equivalente a Q6,187.8 millones). El gasto en junio se muestra dinámico, se observó una desaceleración en su ritmo durante abril, pero este se aceleró nuevamente entre mayo y junio, aunque a un ritmo menor al observado entre febrero y marzo.</w:t>
      </w:r>
    </w:p>
    <w:p w14:paraId="057A6635" w14:textId="77777777" w:rsidR="004747BE" w:rsidRPr="001B14A3" w:rsidRDefault="004747BE" w:rsidP="00E02DD8">
      <w:pPr>
        <w:pStyle w:val="Sinespaciado"/>
        <w:jc w:val="both"/>
        <w:rPr>
          <w:rFonts w:ascii="Times New Roman" w:hAnsi="Times New Roman" w:cs="Times New Roman"/>
          <w:sz w:val="16"/>
          <w:lang w:val="es-MX"/>
        </w:rPr>
      </w:pPr>
    </w:p>
    <w:p w14:paraId="43AFABC3" w14:textId="77777777" w:rsidR="00E02DD8" w:rsidRPr="001B14A3" w:rsidRDefault="00E02DD8" w:rsidP="00E02DD8">
      <w:pPr>
        <w:pStyle w:val="Sinespaciado"/>
        <w:jc w:val="center"/>
        <w:rPr>
          <w:rFonts w:ascii="Times New Roman" w:hAnsi="Times New Roman" w:cs="Times New Roman"/>
          <w:b/>
          <w:sz w:val="24"/>
          <w:lang w:val="es-MX"/>
        </w:rPr>
      </w:pPr>
      <w:r w:rsidRPr="001B14A3">
        <w:rPr>
          <w:rFonts w:ascii="Times New Roman" w:hAnsi="Times New Roman" w:cs="Times New Roman"/>
          <w:b/>
          <w:sz w:val="24"/>
          <w:lang w:val="es-MX"/>
        </w:rPr>
        <w:t>Ritmo de Ejecución del Gasto</w:t>
      </w:r>
    </w:p>
    <w:p w14:paraId="455D2DA2" w14:textId="64A33FA4" w:rsidR="00863E34" w:rsidRDefault="001B14A3" w:rsidP="00863E34">
      <w:pPr>
        <w:pStyle w:val="Sinespaciado"/>
        <w:jc w:val="center"/>
        <w:rPr>
          <w:rFonts w:ascii="Times New Roman" w:hAnsi="Times New Roman" w:cs="Times New Roman"/>
          <w:lang w:val="es-MX"/>
        </w:rPr>
      </w:pPr>
      <w:r w:rsidRPr="001B14A3">
        <w:rPr>
          <w:noProof/>
          <w:lang w:eastAsia="es-GT"/>
        </w:rPr>
        <w:drawing>
          <wp:anchor distT="0" distB="0" distL="114300" distR="114300" simplePos="0" relativeHeight="251840512" behindDoc="0" locked="0" layoutInCell="1" allowOverlap="1" wp14:anchorId="2F206586" wp14:editId="64B9E76B">
            <wp:simplePos x="0" y="0"/>
            <wp:positionH relativeFrom="column">
              <wp:posOffset>-3810</wp:posOffset>
            </wp:positionH>
            <wp:positionV relativeFrom="paragraph">
              <wp:posOffset>156210</wp:posOffset>
            </wp:positionV>
            <wp:extent cx="2667000" cy="226695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E02DD8" w:rsidRPr="001B14A3">
        <w:rPr>
          <w:rFonts w:ascii="Times New Roman" w:hAnsi="Times New Roman" w:cs="Times New Roman"/>
          <w:lang w:val="es-MX"/>
        </w:rPr>
        <w:t>Variación Interanual (%)*</w:t>
      </w:r>
    </w:p>
    <w:p w14:paraId="65CD7308" w14:textId="77777777" w:rsidR="001B14A3" w:rsidRPr="001B14A3" w:rsidRDefault="001B14A3" w:rsidP="00863E34">
      <w:pPr>
        <w:pStyle w:val="Sinespaciado"/>
        <w:jc w:val="center"/>
        <w:rPr>
          <w:rFonts w:ascii="Times New Roman" w:hAnsi="Times New Roman" w:cs="Times New Roman"/>
          <w:lang w:val="es-MX"/>
        </w:rPr>
      </w:pPr>
    </w:p>
    <w:p w14:paraId="22AC78DE" w14:textId="0BC971A6" w:rsidR="00840733" w:rsidRPr="001B14A3" w:rsidRDefault="00840733" w:rsidP="00E02DD8">
      <w:pPr>
        <w:pStyle w:val="Sinespaciado"/>
        <w:jc w:val="center"/>
        <w:rPr>
          <w:rFonts w:ascii="Times New Roman" w:hAnsi="Times New Roman" w:cs="Times New Roman"/>
          <w:lang w:val="es-MX"/>
        </w:rPr>
      </w:pPr>
    </w:p>
    <w:p w14:paraId="4DA5AE65" w14:textId="77777777" w:rsidR="00840733" w:rsidRPr="001B14A3" w:rsidRDefault="00840733" w:rsidP="00E02DD8">
      <w:pPr>
        <w:pStyle w:val="Sinespaciado"/>
        <w:jc w:val="center"/>
        <w:rPr>
          <w:rFonts w:ascii="Times New Roman" w:hAnsi="Times New Roman" w:cs="Times New Roman"/>
          <w:lang w:val="es-MX"/>
        </w:rPr>
      </w:pPr>
    </w:p>
    <w:p w14:paraId="6820390C" w14:textId="77777777" w:rsidR="004747BE" w:rsidRPr="001B14A3" w:rsidRDefault="004747BE" w:rsidP="00E02DD8">
      <w:pPr>
        <w:pStyle w:val="Sinespaciado"/>
        <w:jc w:val="center"/>
        <w:rPr>
          <w:rFonts w:ascii="Times New Roman" w:hAnsi="Times New Roman" w:cs="Times New Roman"/>
          <w:lang w:val="es-MX"/>
        </w:rPr>
      </w:pPr>
    </w:p>
    <w:p w14:paraId="373971D4" w14:textId="77777777" w:rsidR="004747BE" w:rsidRPr="001B14A3" w:rsidRDefault="004747BE" w:rsidP="00E02DD8">
      <w:pPr>
        <w:pStyle w:val="Sinespaciado"/>
        <w:jc w:val="center"/>
        <w:rPr>
          <w:rFonts w:ascii="Times New Roman" w:hAnsi="Times New Roman" w:cs="Times New Roman"/>
          <w:lang w:val="es-MX"/>
        </w:rPr>
      </w:pPr>
    </w:p>
    <w:p w14:paraId="31D09E25" w14:textId="77777777" w:rsidR="004747BE" w:rsidRPr="001B14A3" w:rsidRDefault="004747BE" w:rsidP="00E02DD8">
      <w:pPr>
        <w:pStyle w:val="Sinespaciado"/>
        <w:jc w:val="center"/>
        <w:rPr>
          <w:rFonts w:ascii="Times New Roman" w:hAnsi="Times New Roman" w:cs="Times New Roman"/>
          <w:lang w:val="es-MX"/>
        </w:rPr>
      </w:pPr>
    </w:p>
    <w:p w14:paraId="2B4FB9E6" w14:textId="77777777" w:rsidR="004747BE" w:rsidRPr="001B14A3" w:rsidRDefault="004747BE" w:rsidP="00E02DD8">
      <w:pPr>
        <w:pStyle w:val="Sinespaciado"/>
        <w:jc w:val="center"/>
        <w:rPr>
          <w:rFonts w:ascii="Times New Roman" w:hAnsi="Times New Roman" w:cs="Times New Roman"/>
          <w:lang w:val="es-MX"/>
        </w:rPr>
      </w:pPr>
    </w:p>
    <w:p w14:paraId="2C9B78D5" w14:textId="77777777" w:rsidR="004747BE" w:rsidRPr="001B14A3" w:rsidRDefault="004747BE" w:rsidP="00E02DD8">
      <w:pPr>
        <w:pStyle w:val="Sinespaciado"/>
        <w:jc w:val="center"/>
        <w:rPr>
          <w:rFonts w:ascii="Times New Roman" w:hAnsi="Times New Roman" w:cs="Times New Roman"/>
          <w:lang w:val="es-MX"/>
        </w:rPr>
      </w:pPr>
    </w:p>
    <w:p w14:paraId="637759C5" w14:textId="77777777" w:rsidR="004747BE" w:rsidRPr="001B14A3" w:rsidRDefault="004747BE" w:rsidP="00E02DD8">
      <w:pPr>
        <w:pStyle w:val="Sinespaciado"/>
        <w:jc w:val="center"/>
        <w:rPr>
          <w:rFonts w:ascii="Times New Roman" w:hAnsi="Times New Roman" w:cs="Times New Roman"/>
          <w:lang w:val="es-MX"/>
        </w:rPr>
      </w:pPr>
    </w:p>
    <w:p w14:paraId="74BBC4F6" w14:textId="77777777" w:rsidR="004747BE" w:rsidRPr="001B14A3" w:rsidRDefault="004747BE" w:rsidP="00E02DD8">
      <w:pPr>
        <w:pStyle w:val="Sinespaciado"/>
        <w:jc w:val="center"/>
        <w:rPr>
          <w:rFonts w:ascii="Times New Roman" w:hAnsi="Times New Roman" w:cs="Times New Roman"/>
          <w:lang w:val="es-MX"/>
        </w:rPr>
      </w:pPr>
    </w:p>
    <w:p w14:paraId="62800EDF" w14:textId="77777777" w:rsidR="004747BE" w:rsidRPr="001B14A3" w:rsidRDefault="004747BE" w:rsidP="00E02DD8">
      <w:pPr>
        <w:pStyle w:val="Sinespaciado"/>
        <w:jc w:val="center"/>
        <w:rPr>
          <w:rFonts w:ascii="Times New Roman" w:hAnsi="Times New Roman" w:cs="Times New Roman"/>
          <w:lang w:val="es-MX"/>
        </w:rPr>
      </w:pPr>
    </w:p>
    <w:p w14:paraId="65C76471" w14:textId="77777777" w:rsidR="004747BE" w:rsidRPr="001B14A3" w:rsidRDefault="004747BE" w:rsidP="00E02DD8">
      <w:pPr>
        <w:pStyle w:val="Sinespaciado"/>
        <w:jc w:val="center"/>
        <w:rPr>
          <w:rFonts w:ascii="Times New Roman" w:hAnsi="Times New Roman" w:cs="Times New Roman"/>
          <w:lang w:val="es-MX"/>
        </w:rPr>
      </w:pPr>
    </w:p>
    <w:p w14:paraId="2D651E51" w14:textId="77777777" w:rsidR="00FD6C71" w:rsidRPr="001B14A3" w:rsidRDefault="00FD6C71" w:rsidP="00863E34">
      <w:pPr>
        <w:pStyle w:val="Sinespaciado"/>
        <w:rPr>
          <w:rFonts w:ascii="Times New Roman" w:hAnsi="Times New Roman" w:cs="Times New Roman"/>
          <w:sz w:val="18"/>
          <w:lang w:val="es-MX"/>
        </w:rPr>
      </w:pPr>
    </w:p>
    <w:p w14:paraId="1B48C60C" w14:textId="77777777" w:rsidR="00FD6C71" w:rsidRPr="001B14A3" w:rsidRDefault="00FD6C71" w:rsidP="00863E34">
      <w:pPr>
        <w:pStyle w:val="Sinespaciado"/>
        <w:rPr>
          <w:rFonts w:ascii="Times New Roman" w:hAnsi="Times New Roman" w:cs="Times New Roman"/>
          <w:sz w:val="18"/>
          <w:lang w:val="es-MX"/>
        </w:rPr>
      </w:pPr>
    </w:p>
    <w:p w14:paraId="51E26BD0" w14:textId="77777777" w:rsidR="00FD6C71" w:rsidRPr="001B14A3" w:rsidRDefault="00FD6C71" w:rsidP="00863E34">
      <w:pPr>
        <w:pStyle w:val="Sinespaciado"/>
        <w:rPr>
          <w:rFonts w:ascii="Times New Roman" w:hAnsi="Times New Roman" w:cs="Times New Roman"/>
          <w:sz w:val="18"/>
          <w:lang w:val="es-MX"/>
        </w:rPr>
      </w:pPr>
    </w:p>
    <w:p w14:paraId="764EDFE7" w14:textId="77777777" w:rsidR="00840733" w:rsidRPr="001B14A3" w:rsidRDefault="00E02DD8" w:rsidP="00863E34">
      <w:pPr>
        <w:pStyle w:val="Sinespaciado"/>
        <w:rPr>
          <w:rFonts w:ascii="Times New Roman" w:hAnsi="Times New Roman" w:cs="Times New Roman"/>
          <w:sz w:val="18"/>
          <w:lang w:val="es-MX"/>
        </w:rPr>
      </w:pPr>
      <w:r w:rsidRPr="001B14A3">
        <w:rPr>
          <w:rFonts w:ascii="Times New Roman" w:hAnsi="Times New Roman" w:cs="Times New Roman"/>
          <w:sz w:val="18"/>
          <w:lang w:val="es-MX"/>
        </w:rPr>
        <w:t>*No incluye amortizaciones de la deuda pública</w:t>
      </w:r>
    </w:p>
    <w:p w14:paraId="4AF09CD9" w14:textId="77777777" w:rsidR="00E02DD8" w:rsidRPr="001B14A3" w:rsidRDefault="00E02DD8" w:rsidP="00E02DD8">
      <w:pPr>
        <w:spacing w:after="0" w:line="240" w:lineRule="auto"/>
        <w:jc w:val="both"/>
        <w:rPr>
          <w:rFonts w:ascii="Times New Roman" w:hAnsi="Times New Roman" w:cs="Times New Roman"/>
          <w:sz w:val="16"/>
          <w:szCs w:val="16"/>
        </w:rPr>
      </w:pPr>
      <w:r w:rsidRPr="001B14A3">
        <w:rPr>
          <w:rFonts w:ascii="Times New Roman" w:hAnsi="Times New Roman" w:cs="Times New Roman"/>
          <w:sz w:val="16"/>
          <w:szCs w:val="16"/>
        </w:rPr>
        <w:t>Fuente: Dirección de Análisis y Política Fiscal</w:t>
      </w:r>
      <w:r w:rsidR="00840733" w:rsidRPr="001B14A3">
        <w:rPr>
          <w:rFonts w:ascii="Times New Roman" w:hAnsi="Times New Roman" w:cs="Times New Roman"/>
          <w:sz w:val="16"/>
          <w:szCs w:val="16"/>
        </w:rPr>
        <w:t>.</w:t>
      </w:r>
    </w:p>
    <w:p w14:paraId="0BBE1B75" w14:textId="77777777" w:rsidR="0040097F" w:rsidRPr="000104C5" w:rsidRDefault="0040097F" w:rsidP="004747BE">
      <w:pPr>
        <w:pStyle w:val="Sinespaciado"/>
        <w:jc w:val="both"/>
        <w:rPr>
          <w:rFonts w:ascii="Times New Roman" w:hAnsi="Times New Roman" w:cs="Times New Roman"/>
          <w:color w:val="FF0000"/>
          <w:sz w:val="16"/>
          <w:lang w:val="es-MX"/>
        </w:rPr>
      </w:pPr>
    </w:p>
    <w:p w14:paraId="4D2CFC3D" w14:textId="0FA844AF" w:rsidR="001B14A3" w:rsidRDefault="001B14A3" w:rsidP="001B14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 nivel de rubro de cuenta económica, el mayor crecimiento absoluto se reporta en</w:t>
      </w:r>
      <w:r>
        <w:rPr>
          <w:lang w:val="es-MX"/>
        </w:rPr>
        <w:t xml:space="preserve"> </w:t>
      </w:r>
      <w:r>
        <w:rPr>
          <w:rFonts w:ascii="Times New Roman" w:hAnsi="Times New Roman" w:cs="Times New Roman"/>
          <w:color w:val="000000" w:themeColor="text1"/>
          <w:lang w:val="es-MX"/>
        </w:rPr>
        <w:t xml:space="preserve">las transferencias corrientes estas reportan un crecimiento de 49.4%, equivalente a Q3,442.9 </w:t>
      </w:r>
      <w:r>
        <w:rPr>
          <w:rFonts w:ascii="Times New Roman" w:hAnsi="Times New Roman" w:cs="Times New Roman"/>
          <w:color w:val="000000" w:themeColor="text1"/>
          <w:lang w:val="es-MX"/>
        </w:rPr>
        <w:t xml:space="preserve">millones. Siendo explicadas en buena medida por </w:t>
      </w:r>
      <w:r w:rsidRPr="004716D6">
        <w:rPr>
          <w:rFonts w:ascii="Times New Roman" w:hAnsi="Times New Roman" w:cs="Times New Roman"/>
          <w:color w:val="000000" w:themeColor="text1"/>
          <w:lang w:val="es-MX"/>
        </w:rPr>
        <w:t>las transferencias al sector privado</w:t>
      </w:r>
      <w:r>
        <w:rPr>
          <w:rFonts w:ascii="Times New Roman" w:hAnsi="Times New Roman" w:cs="Times New Roman"/>
          <w:color w:val="000000" w:themeColor="text1"/>
          <w:lang w:val="es-MX"/>
        </w:rPr>
        <w:t xml:space="preserve">, las cuales se encuentran creciendo en un 112.5%, equivalente a Q2,301.1 millones, debido principalmente por los aportes </w:t>
      </w:r>
      <w:r w:rsidRPr="004716D6">
        <w:rPr>
          <w:rFonts w:ascii="Times New Roman" w:hAnsi="Times New Roman" w:cs="Times New Roman"/>
          <w:color w:val="000000" w:themeColor="text1"/>
          <w:lang w:val="es-MX"/>
        </w:rPr>
        <w:t>que realizan dos Ministerios, siendo</w:t>
      </w:r>
      <w:r>
        <w:rPr>
          <w:rFonts w:ascii="Times New Roman" w:hAnsi="Times New Roman" w:cs="Times New Roman"/>
          <w:color w:val="000000" w:themeColor="text1"/>
          <w:lang w:val="es-MX"/>
        </w:rPr>
        <w:t xml:space="preserve"> el Ministerio de</w:t>
      </w:r>
      <w:r w:rsidRPr="004716D6">
        <w:rPr>
          <w:rFonts w:ascii="Times New Roman" w:hAnsi="Times New Roman" w:cs="Times New Roman"/>
          <w:color w:val="000000" w:themeColor="text1"/>
          <w:lang w:val="es-MX"/>
        </w:rPr>
        <w:t xml:space="preserve"> Educación hacia instituciones sin fines de lucro, las cuales aumentaron Q</w:t>
      </w:r>
      <w:r>
        <w:rPr>
          <w:rFonts w:ascii="Times New Roman" w:hAnsi="Times New Roman" w:cs="Times New Roman"/>
          <w:color w:val="000000" w:themeColor="text1"/>
          <w:lang w:val="es-MX"/>
        </w:rPr>
        <w:t>679.0 millones</w:t>
      </w:r>
      <w:r w:rsidRPr="004716D6">
        <w:rPr>
          <w:rFonts w:ascii="Times New Roman" w:hAnsi="Times New Roman" w:cs="Times New Roman"/>
          <w:color w:val="000000" w:themeColor="text1"/>
          <w:lang w:val="es-MX"/>
        </w:rPr>
        <w:t>, destinadas principalmente a las Organizaciones de Padres de Familia y Consejos Educativos dirigidas al programa de apoyo para el consumo adecuado de alimentos (alimentación escolar).</w:t>
      </w:r>
      <w:r>
        <w:rPr>
          <w:rFonts w:ascii="Times New Roman" w:hAnsi="Times New Roman" w:cs="Times New Roman"/>
          <w:color w:val="000000" w:themeColor="text1"/>
          <w:lang w:val="es-MX"/>
        </w:rPr>
        <w:t xml:space="preserve"> </w:t>
      </w:r>
    </w:p>
    <w:p w14:paraId="51D59F0E" w14:textId="77777777" w:rsidR="001B14A3" w:rsidRDefault="001B14A3" w:rsidP="001B14A3">
      <w:pPr>
        <w:pStyle w:val="Sinespaciado"/>
        <w:jc w:val="both"/>
        <w:rPr>
          <w:rFonts w:ascii="Times New Roman" w:hAnsi="Times New Roman" w:cs="Times New Roman"/>
          <w:color w:val="000000" w:themeColor="text1"/>
          <w:lang w:val="es-MX"/>
        </w:rPr>
      </w:pPr>
    </w:p>
    <w:p w14:paraId="0B43AF56" w14:textId="77777777" w:rsidR="001B14A3" w:rsidRDefault="001B14A3" w:rsidP="001B14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w:t>
      </w:r>
      <w:r w:rsidRPr="004716D6">
        <w:rPr>
          <w:rFonts w:ascii="Times New Roman" w:hAnsi="Times New Roman" w:cs="Times New Roman"/>
          <w:color w:val="000000" w:themeColor="text1"/>
          <w:lang w:val="es-MX"/>
        </w:rPr>
        <w:t>simismo, resalta las transferencias que realizó el Ministerio de Energía y Minas hacia empresas privadas por concepto del subsidio al gas propano</w:t>
      </w:r>
      <w:r>
        <w:rPr>
          <w:rFonts w:ascii="Times New Roman" w:hAnsi="Times New Roman" w:cs="Times New Roman"/>
          <w:color w:val="000000" w:themeColor="text1"/>
          <w:lang w:val="es-MX"/>
        </w:rPr>
        <w:t xml:space="preserve"> y a la gasolina regular y diésel </w:t>
      </w:r>
      <w:r w:rsidRPr="004716D6">
        <w:rPr>
          <w:rFonts w:ascii="Times New Roman" w:hAnsi="Times New Roman" w:cs="Times New Roman"/>
          <w:color w:val="000000" w:themeColor="text1"/>
          <w:lang w:val="es-MX"/>
        </w:rPr>
        <w:t>por Q</w:t>
      </w:r>
      <w:r>
        <w:rPr>
          <w:rFonts w:ascii="Times New Roman" w:hAnsi="Times New Roman" w:cs="Times New Roman"/>
          <w:color w:val="000000" w:themeColor="text1"/>
          <w:lang w:val="es-MX"/>
        </w:rPr>
        <w:t>1,413</w:t>
      </w:r>
      <w:r w:rsidRPr="004716D6">
        <w:rPr>
          <w:rFonts w:ascii="Times New Roman" w:hAnsi="Times New Roman" w:cs="Times New Roman"/>
          <w:color w:val="000000" w:themeColor="text1"/>
          <w:lang w:val="es-MX"/>
        </w:rPr>
        <w:t>.</w:t>
      </w:r>
      <w:r>
        <w:rPr>
          <w:rFonts w:ascii="Times New Roman" w:hAnsi="Times New Roman" w:cs="Times New Roman"/>
          <w:color w:val="000000" w:themeColor="text1"/>
          <w:lang w:val="es-MX"/>
        </w:rPr>
        <w:t>6 millones, mientras que en 2021 no se reportaba ningún gasto por este concepto. Estos subsidios corresponden a las medidas temporales de alivio económico que fueron adoptadas y aprobadas por el Congreso de la República ante el incremento de los precios internacionales del petróleo y sus derivados producto de la guerra entre Rusia y Ucrania.</w:t>
      </w:r>
    </w:p>
    <w:p w14:paraId="3EAA2227" w14:textId="77777777" w:rsidR="001B14A3" w:rsidRDefault="001B14A3" w:rsidP="001B14A3">
      <w:pPr>
        <w:pStyle w:val="Sinespaciado"/>
        <w:jc w:val="both"/>
        <w:rPr>
          <w:rFonts w:ascii="Times New Roman" w:hAnsi="Times New Roman" w:cs="Times New Roman"/>
          <w:color w:val="000000" w:themeColor="text1"/>
          <w:lang w:val="es-MX"/>
        </w:rPr>
      </w:pPr>
    </w:p>
    <w:p w14:paraId="1FECF694" w14:textId="77777777" w:rsidR="001B14A3" w:rsidRDefault="001B14A3" w:rsidP="001B14A3">
      <w:pPr>
        <w:pStyle w:val="Sinespaciado"/>
        <w:jc w:val="both"/>
        <w:rPr>
          <w:rFonts w:ascii="Times New Roman" w:hAnsi="Times New Roman" w:cs="Times New Roman"/>
          <w:color w:val="000000" w:themeColor="text1"/>
          <w:lang w:val="es-MX"/>
        </w:rPr>
      </w:pPr>
      <w:r w:rsidRPr="00771E61">
        <w:rPr>
          <w:rFonts w:ascii="Times New Roman" w:hAnsi="Times New Roman" w:cs="Times New Roman"/>
          <w:color w:val="000000" w:themeColor="text1"/>
          <w:lang w:val="es-MX"/>
        </w:rPr>
        <w:t xml:space="preserve">Es importante </w:t>
      </w:r>
      <w:r>
        <w:rPr>
          <w:rFonts w:ascii="Times New Roman" w:hAnsi="Times New Roman" w:cs="Times New Roman"/>
          <w:color w:val="000000" w:themeColor="text1"/>
          <w:lang w:val="es-MX"/>
        </w:rPr>
        <w:t xml:space="preserve">considerar que en julio concluiría el subsidio a los combustibles, por lo cual las autoridades podrían tomar la decisión de ampliarlo, aunque tomando en consideración el escenario internacional de una posible reducción de la actividad </w:t>
      </w:r>
      <w:r>
        <w:rPr>
          <w:rFonts w:ascii="Times New Roman" w:hAnsi="Times New Roman" w:cs="Times New Roman"/>
          <w:color w:val="000000" w:themeColor="text1"/>
          <w:lang w:val="es-MX"/>
        </w:rPr>
        <w:lastRenderedPageBreak/>
        <w:t>económica mundial por el endurecimiento de la política monetaria en muchos países, así como ante un aumento en la producción de petróleo por parte de la OPEP, el monto del subsidio podría disminuir, tanto para diésel como gasolina superior y regular ante una menor volatilidad en los precios internacionales y también tomando en consideración una menor disponibilidad de recursos de caja.</w:t>
      </w:r>
    </w:p>
    <w:p w14:paraId="60BC5F62" w14:textId="77777777" w:rsidR="001B14A3" w:rsidRDefault="001B14A3" w:rsidP="001B14A3">
      <w:pPr>
        <w:pStyle w:val="Sinespaciado"/>
        <w:jc w:val="both"/>
        <w:rPr>
          <w:rFonts w:ascii="Times New Roman" w:hAnsi="Times New Roman" w:cs="Times New Roman"/>
          <w:color w:val="000000" w:themeColor="text1"/>
          <w:lang w:val="es-MX"/>
        </w:rPr>
      </w:pPr>
    </w:p>
    <w:p w14:paraId="35A427B7" w14:textId="77777777" w:rsidR="001B14A3" w:rsidRDefault="001B14A3" w:rsidP="001B14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Asimismo, el subsidio del gas propano se amplió en junio por medio del Decreto 33-2022 el cual contiene reformas al Decreto 17-2022 “Ley de Apoyo Social Temporal a los Consumidores de Gas Propano”, por lo tanto, el apoyo será otorgado por dos meses más, ampliando el presupuesto en Q70.0 millones, adicionales a lo aprobado anteriormente (Q150.0 millones).</w:t>
      </w:r>
    </w:p>
    <w:p w14:paraId="75946DA5" w14:textId="77777777" w:rsidR="001B14A3" w:rsidRDefault="001B14A3" w:rsidP="001B14A3">
      <w:pPr>
        <w:pStyle w:val="Sinespaciado"/>
        <w:jc w:val="both"/>
        <w:rPr>
          <w:rFonts w:ascii="Times New Roman" w:hAnsi="Times New Roman" w:cs="Times New Roman"/>
          <w:color w:val="000000" w:themeColor="text1"/>
          <w:lang w:val="es-MX"/>
        </w:rPr>
      </w:pPr>
    </w:p>
    <w:p w14:paraId="5A3F4ECC" w14:textId="77777777" w:rsidR="001B14A3" w:rsidRDefault="001B14A3" w:rsidP="001B14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Derivado de esto, las transferencias corrientes al sector privado sería el rubro del gasto que tendría el mayor crecimiento interanual, con el riesgo de que dicho apoyo a la economía familiar de los guatemaltecos continué si las condiciones internacionales y financieras del gobierno así lo ameritan.</w:t>
      </w:r>
    </w:p>
    <w:p w14:paraId="49BECBB0" w14:textId="77777777" w:rsidR="001B14A3" w:rsidRDefault="001B14A3" w:rsidP="001B14A3">
      <w:pPr>
        <w:pStyle w:val="Sinespaciado"/>
        <w:jc w:val="both"/>
        <w:rPr>
          <w:rFonts w:ascii="Times New Roman" w:hAnsi="Times New Roman" w:cs="Times New Roman"/>
          <w:color w:val="000000" w:themeColor="text1"/>
          <w:lang w:val="es-MX"/>
        </w:rPr>
      </w:pPr>
    </w:p>
    <w:p w14:paraId="37990823" w14:textId="77777777" w:rsidR="001B14A3" w:rsidRDefault="001B14A3" w:rsidP="001B14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Del lado de las transferencias hacia el sector público, se reporta un crecimiento de 23.4%, equivalente a Q1,143.0 millones. Se reporta un crecimiento importante en las que recibe el Ministerio Público (Q620.0 millones), Organismo Judicial (Q232.2 millones), Tribunal Supremo Electoral (Q202.0 millones), Congreso de la República (Q95.6 millones) e INDE (Q60 millones).</w:t>
      </w:r>
    </w:p>
    <w:p w14:paraId="04DA0175" w14:textId="77777777" w:rsidR="001B14A3" w:rsidRDefault="001B14A3" w:rsidP="001B14A3">
      <w:pPr>
        <w:pStyle w:val="Sinespaciado"/>
        <w:jc w:val="both"/>
        <w:rPr>
          <w:rFonts w:ascii="Times New Roman" w:hAnsi="Times New Roman" w:cs="Times New Roman"/>
          <w:color w:val="000000" w:themeColor="text1"/>
          <w:lang w:val="es-MX"/>
        </w:rPr>
      </w:pPr>
    </w:p>
    <w:p w14:paraId="3A7697B5" w14:textId="77777777" w:rsidR="001B14A3" w:rsidRDefault="001B14A3" w:rsidP="001B14A3">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En el rubro de las transferencias de capital se reporta un aumento de Q1,049.8 millones, con un crecimiento interanual de 21.1%, explicado por el alza en las transferencias que corresponden a las municipalidades, las cuales aumentaron en Q602.6 millones, mientras que las transferencias a los Consejos de Desarrollo Urbano y Rural aumentaron Q230.6 millones. </w:t>
      </w:r>
    </w:p>
    <w:p w14:paraId="72A6C90D" w14:textId="77777777" w:rsidR="001B14A3" w:rsidRDefault="001B14A3" w:rsidP="001B14A3">
      <w:pPr>
        <w:spacing w:after="0" w:line="240" w:lineRule="auto"/>
        <w:jc w:val="both"/>
        <w:rPr>
          <w:rFonts w:ascii="Times New Roman" w:hAnsi="Times New Roman" w:cs="Times New Roman"/>
          <w:color w:val="000000" w:themeColor="text1"/>
        </w:rPr>
      </w:pPr>
    </w:p>
    <w:p w14:paraId="037BF0D0" w14:textId="77777777" w:rsidR="001B14A3" w:rsidRDefault="001B14A3" w:rsidP="001B14A3">
      <w:pPr>
        <w:spacing w:after="0" w:line="240" w:lineRule="auto"/>
        <w:jc w:val="both"/>
        <w:rPr>
          <w:rFonts w:ascii="Times New Roman" w:hAnsi="Times New Roman" w:cs="Times New Roman"/>
          <w:color w:val="000000" w:themeColor="text1"/>
        </w:rPr>
      </w:pPr>
      <w:r w:rsidRPr="00467D68">
        <w:rPr>
          <w:rFonts w:ascii="Times New Roman" w:hAnsi="Times New Roman" w:cs="Times New Roman"/>
          <w:color w:val="000000" w:themeColor="text1"/>
        </w:rPr>
        <w:t>Por su parte, las remuneraciones reportan un aumento de Q</w:t>
      </w:r>
      <w:r>
        <w:rPr>
          <w:rFonts w:ascii="Times New Roman" w:hAnsi="Times New Roman" w:cs="Times New Roman"/>
          <w:color w:val="000000" w:themeColor="text1"/>
        </w:rPr>
        <w:t>670.0</w:t>
      </w:r>
      <w:r w:rsidRPr="00467D68">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5</w:t>
      </w:r>
      <w:r w:rsidRPr="00467D68">
        <w:rPr>
          <w:rFonts w:ascii="Times New Roman" w:hAnsi="Times New Roman" w:cs="Times New Roman"/>
          <w:color w:val="000000" w:themeColor="text1"/>
        </w:rPr>
        <w:t>.</w:t>
      </w:r>
      <w:r>
        <w:rPr>
          <w:rFonts w:ascii="Times New Roman" w:hAnsi="Times New Roman" w:cs="Times New Roman"/>
          <w:color w:val="000000" w:themeColor="text1"/>
        </w:rPr>
        <w:t>1</w:t>
      </w:r>
      <w:r w:rsidRPr="00467D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El cual se concentra en el </w:t>
      </w:r>
      <w:r>
        <w:rPr>
          <w:rFonts w:ascii="Times New Roman" w:hAnsi="Times New Roman" w:cs="Times New Roman"/>
          <w:color w:val="000000" w:themeColor="text1"/>
        </w:rPr>
        <w:t>Ministerio de Educación, específicamente en el complemento específicos al personal permanente con un aumento de Q267.2 millones y los derechos escalafonarios con un aumento de Q121.3 millones, dichos aumentos responden al pacto colectivo negociado con el magisterio. Por el lado de las Obligaciones del Tesoro, se reporta un aumento de Q101.5 millones correspondientes al aporte patronal que se realiza al IGSS.</w:t>
      </w:r>
    </w:p>
    <w:p w14:paraId="44D1FD0E" w14:textId="77777777" w:rsidR="001B14A3" w:rsidRDefault="001B14A3" w:rsidP="001B14A3">
      <w:pPr>
        <w:spacing w:after="0" w:line="240" w:lineRule="auto"/>
        <w:jc w:val="both"/>
        <w:rPr>
          <w:rFonts w:ascii="Times New Roman" w:hAnsi="Times New Roman" w:cs="Times New Roman"/>
          <w:color w:val="000000" w:themeColor="text1"/>
        </w:rPr>
      </w:pPr>
    </w:p>
    <w:p w14:paraId="46E5E358" w14:textId="77777777" w:rsidR="001B14A3" w:rsidRDefault="001B14A3" w:rsidP="001B14A3">
      <w:pPr>
        <w:spacing w:after="0" w:line="240" w:lineRule="auto"/>
        <w:jc w:val="both"/>
        <w:rPr>
          <w:rFonts w:ascii="Times New Roman" w:hAnsi="Times New Roman" w:cs="Times New Roman"/>
          <w:color w:val="000000" w:themeColor="text1"/>
        </w:rPr>
      </w:pPr>
      <w:r w:rsidRPr="00E329F7">
        <w:rPr>
          <w:rFonts w:ascii="Times New Roman" w:hAnsi="Times New Roman" w:cs="Times New Roman"/>
          <w:color w:val="000000" w:themeColor="text1"/>
        </w:rPr>
        <w:t>En la inversión real directa se reporta un aumento de Q</w:t>
      </w:r>
      <w:r>
        <w:rPr>
          <w:rFonts w:ascii="Times New Roman" w:hAnsi="Times New Roman" w:cs="Times New Roman"/>
          <w:color w:val="000000" w:themeColor="text1"/>
        </w:rPr>
        <w:t>318</w:t>
      </w:r>
      <w:r w:rsidRPr="00E329F7">
        <w:rPr>
          <w:rFonts w:ascii="Times New Roman" w:hAnsi="Times New Roman" w:cs="Times New Roman"/>
          <w:color w:val="000000" w:themeColor="text1"/>
        </w:rPr>
        <w:t>.</w:t>
      </w:r>
      <w:r>
        <w:rPr>
          <w:rFonts w:ascii="Times New Roman" w:hAnsi="Times New Roman" w:cs="Times New Roman"/>
          <w:color w:val="000000" w:themeColor="text1"/>
        </w:rPr>
        <w:t>5</w:t>
      </w:r>
      <w:r w:rsidRPr="00E329F7">
        <w:rPr>
          <w:rFonts w:ascii="Times New Roman" w:hAnsi="Times New Roman" w:cs="Times New Roman"/>
          <w:color w:val="000000" w:themeColor="text1"/>
        </w:rPr>
        <w:t xml:space="preserve"> millones y un crecimiento interanual de Q</w:t>
      </w:r>
      <w:r>
        <w:rPr>
          <w:rFonts w:ascii="Times New Roman" w:hAnsi="Times New Roman" w:cs="Times New Roman"/>
          <w:color w:val="000000" w:themeColor="text1"/>
        </w:rPr>
        <w:t>22</w:t>
      </w:r>
      <w:r w:rsidRPr="00E329F7">
        <w:rPr>
          <w:rFonts w:ascii="Times New Roman" w:hAnsi="Times New Roman" w:cs="Times New Roman"/>
          <w:color w:val="000000" w:themeColor="text1"/>
        </w:rPr>
        <w:t>.</w:t>
      </w:r>
      <w:r>
        <w:rPr>
          <w:rFonts w:ascii="Times New Roman" w:hAnsi="Times New Roman" w:cs="Times New Roman"/>
          <w:color w:val="000000" w:themeColor="text1"/>
        </w:rPr>
        <w:t>3</w:t>
      </w:r>
      <w:r w:rsidRPr="00E329F7">
        <w:rPr>
          <w:rFonts w:ascii="Times New Roman" w:hAnsi="Times New Roman" w:cs="Times New Roman"/>
          <w:color w:val="000000" w:themeColor="text1"/>
        </w:rPr>
        <w:t>%, la entidad que más suma en este aumento es el Ministerio de</w:t>
      </w:r>
      <w:r>
        <w:rPr>
          <w:rFonts w:ascii="Times New Roman" w:hAnsi="Times New Roman" w:cs="Times New Roman"/>
          <w:color w:val="000000" w:themeColor="text1"/>
        </w:rPr>
        <w:t xml:space="preserve"> Comunicaciones, Infraestructura y Vivienda con Q97.5 millones, que corresponde en su mayoría a la construcción de bienes nacionales de uso no común entre las que se encuentra escuelas, hospitales, viviendas, edificios para oficinas, entre otros. Por su parte, el Ministerio de</w:t>
      </w:r>
      <w:r w:rsidRPr="00E329F7">
        <w:rPr>
          <w:rFonts w:ascii="Times New Roman" w:hAnsi="Times New Roman" w:cs="Times New Roman"/>
          <w:color w:val="000000" w:themeColor="text1"/>
        </w:rPr>
        <w:t xml:space="preserve"> Desarrollo Social</w:t>
      </w:r>
      <w:r>
        <w:rPr>
          <w:rFonts w:ascii="Times New Roman" w:hAnsi="Times New Roman" w:cs="Times New Roman"/>
          <w:color w:val="000000" w:themeColor="text1"/>
        </w:rPr>
        <w:t xml:space="preserve"> reporta un aumento de</w:t>
      </w:r>
      <w:r w:rsidRPr="00E329F7">
        <w:rPr>
          <w:rFonts w:ascii="Times New Roman" w:hAnsi="Times New Roman" w:cs="Times New Roman"/>
          <w:color w:val="000000" w:themeColor="text1"/>
        </w:rPr>
        <w:t xml:space="preserve"> Q</w:t>
      </w:r>
      <w:r>
        <w:rPr>
          <w:rFonts w:ascii="Times New Roman" w:hAnsi="Times New Roman" w:cs="Times New Roman"/>
          <w:color w:val="000000" w:themeColor="text1"/>
        </w:rPr>
        <w:t>70.4</w:t>
      </w:r>
      <w:r w:rsidRPr="00E329F7">
        <w:rPr>
          <w:rFonts w:ascii="Times New Roman" w:hAnsi="Times New Roman" w:cs="Times New Roman"/>
          <w:color w:val="000000" w:themeColor="text1"/>
        </w:rPr>
        <w:t xml:space="preserve"> millones</w:t>
      </w:r>
      <w:r>
        <w:rPr>
          <w:rFonts w:ascii="Times New Roman" w:hAnsi="Times New Roman" w:cs="Times New Roman"/>
          <w:color w:val="000000" w:themeColor="text1"/>
        </w:rPr>
        <w:t>, explicado principalmente por el rubro de construcciones de bienes nacionales de uso común</w:t>
      </w:r>
      <w:r w:rsidRPr="00E329F7">
        <w:rPr>
          <w:rFonts w:ascii="Times New Roman" w:hAnsi="Times New Roman" w:cs="Times New Roman"/>
          <w:color w:val="000000" w:themeColor="text1"/>
        </w:rPr>
        <w:t xml:space="preserve"> </w:t>
      </w:r>
      <w:r>
        <w:rPr>
          <w:rFonts w:ascii="Times New Roman" w:hAnsi="Times New Roman" w:cs="Times New Roman"/>
          <w:color w:val="000000" w:themeColor="text1"/>
        </w:rPr>
        <w:t>entre las que se encuentra</w:t>
      </w:r>
      <w:r w:rsidRPr="00E329F7">
        <w:rPr>
          <w:rFonts w:ascii="Times New Roman" w:hAnsi="Times New Roman" w:cs="Times New Roman"/>
          <w:color w:val="000000" w:themeColor="text1"/>
        </w:rPr>
        <w:t xml:space="preserve"> el mejoramiento de calles pavimentadas, mejoramiento de caminos rurales y sistemas de tratamiento de aguas residuales. </w:t>
      </w:r>
      <w:r>
        <w:rPr>
          <w:rFonts w:ascii="Times New Roman" w:hAnsi="Times New Roman" w:cs="Times New Roman"/>
          <w:color w:val="000000" w:themeColor="text1"/>
        </w:rPr>
        <w:t xml:space="preserve">El Ministerio de Educación, el Ministerio de Salud Pública y Asistencia Social y el Ministerio de la Defensa Nacional también reportan una inversión mayor por Q99.4 millones. </w:t>
      </w:r>
    </w:p>
    <w:p w14:paraId="7C4F77F6" w14:textId="77777777" w:rsidR="001B14A3" w:rsidRDefault="001B14A3" w:rsidP="001B14A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Resalta que dentro del Ministerio de Comunicaciones, Infraestructura y Vivienda aún no se reporta ejecución correspondiente al Decreto 21-2022 “Ley para fortalecer el mantenimiento y Construcción de Infraestructura Estratégica”, el cual durante junio fue modificado por medio del Decreto 36-2022, ante la necesidad de reorientar recursos de dicho decreto hasta por un monto de Q400 millones para destinarlos al fortalecimiento del Fondo Emergente, lo que permitirá mitigar los daños ocasionados por los fenómenos naturales que han afectado al país, por ello el presupuesto del Decreto 21-2022 podría descender hasta ubicarse en Q2,791.2 millones. Es importante destacar que esta modificación presupuestaria aún no se refleja en el SICOIN al 30 de junio del </w:t>
      </w:r>
      <w:r>
        <w:rPr>
          <w:rFonts w:ascii="Times New Roman" w:hAnsi="Times New Roman" w:cs="Times New Roman"/>
          <w:color w:val="000000" w:themeColor="text1"/>
        </w:rPr>
        <w:lastRenderedPageBreak/>
        <w:t>presente año, se espera que esto se regularice en julio.</w:t>
      </w:r>
    </w:p>
    <w:p w14:paraId="0FBA2623" w14:textId="77777777" w:rsidR="001B14A3" w:rsidRDefault="001B14A3" w:rsidP="001B14A3">
      <w:pPr>
        <w:pStyle w:val="Sinespaciado"/>
        <w:jc w:val="both"/>
        <w:rPr>
          <w:rFonts w:ascii="Times New Roman" w:hAnsi="Times New Roman" w:cs="Times New Roman"/>
          <w:color w:val="000000" w:themeColor="text1"/>
          <w:lang w:val="es-MX"/>
        </w:rPr>
      </w:pPr>
    </w:p>
    <w:p w14:paraId="7355B34D" w14:textId="77777777" w:rsidR="001B14A3" w:rsidRDefault="001B14A3" w:rsidP="001B14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En lo que respecta a los intereses de la deuda pública, estos reportan una ejecución mayor en Q303.5 millones, siendo el crecimiento de 5.4%.</w:t>
      </w:r>
    </w:p>
    <w:p w14:paraId="39CC7FB8" w14:textId="77777777" w:rsidR="001B14A3" w:rsidRDefault="001B14A3" w:rsidP="001B14A3">
      <w:pPr>
        <w:pStyle w:val="Sinespaciado"/>
        <w:jc w:val="both"/>
        <w:rPr>
          <w:rFonts w:ascii="Times New Roman" w:hAnsi="Times New Roman" w:cs="Times New Roman"/>
          <w:color w:val="000000" w:themeColor="text1"/>
          <w:lang w:val="es-MX"/>
        </w:rPr>
      </w:pPr>
    </w:p>
    <w:p w14:paraId="754C7B4D" w14:textId="77777777" w:rsidR="001B14A3" w:rsidRDefault="001B14A3" w:rsidP="001B14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Los bienes y servicios reportan una ejecución mayor en Q257.9 millones (equivalente a un crecimiento interanual de 4.8%), explicado por un aumento de Q155.5 millones en el Ministerio de Gobernación, entre los que resaltan los combustibles y lubricantes con un aumento de Q71.4 millones, otros servicios con Q56.4 millones y prendas para vestir con Q27.7 millones. En el Ministerio de Educación se reporta un aumento de Q123.2 millones en los bienes y servicios (equivalente a 95.6%) por un aumento de Q42.2 millones en las primas y gastos de seguros y fianzas (seguro escolar) y Q29.5 millones en los útiles deportivos y recreativos. </w:t>
      </w:r>
    </w:p>
    <w:p w14:paraId="1223216D" w14:textId="77777777" w:rsidR="001B14A3" w:rsidRDefault="001B14A3" w:rsidP="001B14A3">
      <w:pPr>
        <w:pStyle w:val="Sinespaciado"/>
        <w:jc w:val="both"/>
        <w:rPr>
          <w:rFonts w:ascii="Times New Roman" w:hAnsi="Times New Roman" w:cs="Times New Roman"/>
          <w:color w:val="000000" w:themeColor="text1"/>
          <w:lang w:val="es-MX"/>
        </w:rPr>
      </w:pPr>
    </w:p>
    <w:p w14:paraId="68C60E2A" w14:textId="77777777" w:rsidR="001B14A3" w:rsidRDefault="001B14A3" w:rsidP="001B14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Mientras que en el Ministerio de Salud Pública y Asistencia Social el aumento en los bienes y servicios es de Q93.1 millones (equivalente a 3.6%), explicado por los servicios médico-sanitarios con un aumento de Q125.0 millones, los elementos y compuestos químicos con Q71.2 millones, otros estudios o servicios con Q49.3 millones y los útiles menores, suministros e instrumental médico-quirúrgico con Q48.9 millones. Por su parte, resalta que los productos medicinales y farmacéuticos reportan una disminución de Q317.8 millones, dado que en 2021 las compras por la vacuna contra el COVID-19 eran mayores mientras que en este ejercicio las compras por este concepto han ido disminuyendo. Adicionalmente, el presupuesto para la vacuna COVID-19 tuvo un recorte de Q600 millones que serían reorientados al Fondo Emergente, modificación que aún no se refleja en los registros de SICOIN.</w:t>
      </w:r>
    </w:p>
    <w:p w14:paraId="111A4A9C" w14:textId="77777777" w:rsidR="001B14A3" w:rsidRDefault="001B14A3" w:rsidP="001B14A3">
      <w:pPr>
        <w:pStyle w:val="Sinespaciado"/>
        <w:jc w:val="both"/>
        <w:rPr>
          <w:rFonts w:ascii="Times New Roman" w:hAnsi="Times New Roman" w:cs="Times New Roman"/>
          <w:color w:val="000000" w:themeColor="text1"/>
        </w:rPr>
      </w:pPr>
    </w:p>
    <w:p w14:paraId="64D639C7" w14:textId="38AD04FC" w:rsidR="0040097F" w:rsidRPr="000104C5" w:rsidRDefault="001B14A3" w:rsidP="001B14A3">
      <w:pPr>
        <w:pStyle w:val="Sinespaciado"/>
        <w:jc w:val="both"/>
        <w:rPr>
          <w:rFonts w:ascii="Times New Roman" w:hAnsi="Times New Roman" w:cs="Times New Roman"/>
          <w:color w:val="FF0000"/>
        </w:rPr>
      </w:pPr>
      <w:r w:rsidRPr="00467D68">
        <w:rPr>
          <w:rFonts w:ascii="Times New Roman" w:hAnsi="Times New Roman" w:cs="Times New Roman"/>
          <w:color w:val="000000" w:themeColor="text1"/>
        </w:rPr>
        <w:t xml:space="preserve">Por último, las prestaciones a la seguridad social reportan un crecimiento </w:t>
      </w:r>
      <w:r>
        <w:rPr>
          <w:rFonts w:ascii="Times New Roman" w:hAnsi="Times New Roman" w:cs="Times New Roman"/>
          <w:color w:val="000000" w:themeColor="text1"/>
        </w:rPr>
        <w:t xml:space="preserve">interanual </w:t>
      </w:r>
      <w:r w:rsidRPr="00467D68">
        <w:rPr>
          <w:rFonts w:ascii="Times New Roman" w:hAnsi="Times New Roman" w:cs="Times New Roman"/>
          <w:color w:val="000000" w:themeColor="text1"/>
        </w:rPr>
        <w:t xml:space="preserve">de </w:t>
      </w:r>
      <w:r>
        <w:rPr>
          <w:rFonts w:ascii="Times New Roman" w:hAnsi="Times New Roman" w:cs="Times New Roman"/>
          <w:color w:val="000000" w:themeColor="text1"/>
        </w:rPr>
        <w:t>3</w:t>
      </w:r>
      <w:r w:rsidRPr="00467D68">
        <w:rPr>
          <w:rFonts w:ascii="Times New Roman" w:hAnsi="Times New Roman" w:cs="Times New Roman"/>
          <w:color w:val="000000" w:themeColor="text1"/>
        </w:rPr>
        <w:t>.</w:t>
      </w:r>
      <w:r>
        <w:rPr>
          <w:rFonts w:ascii="Times New Roman" w:hAnsi="Times New Roman" w:cs="Times New Roman"/>
          <w:color w:val="000000" w:themeColor="text1"/>
        </w:rPr>
        <w:t>8</w:t>
      </w:r>
      <w:r w:rsidRPr="00467D68">
        <w:rPr>
          <w:rFonts w:ascii="Times New Roman" w:hAnsi="Times New Roman" w:cs="Times New Roman"/>
          <w:color w:val="000000" w:themeColor="text1"/>
        </w:rPr>
        <w:t>%, equivalente a Q</w:t>
      </w:r>
      <w:r>
        <w:rPr>
          <w:rFonts w:ascii="Times New Roman" w:hAnsi="Times New Roman" w:cs="Times New Roman"/>
          <w:color w:val="000000" w:themeColor="text1"/>
        </w:rPr>
        <w:t>95</w:t>
      </w:r>
      <w:r w:rsidRPr="00467D68">
        <w:rPr>
          <w:rFonts w:ascii="Times New Roman" w:hAnsi="Times New Roman" w:cs="Times New Roman"/>
          <w:color w:val="000000" w:themeColor="text1"/>
        </w:rPr>
        <w:t>.</w:t>
      </w:r>
      <w:r>
        <w:rPr>
          <w:rFonts w:ascii="Times New Roman" w:hAnsi="Times New Roman" w:cs="Times New Roman"/>
          <w:color w:val="000000" w:themeColor="text1"/>
        </w:rPr>
        <w:t>4</w:t>
      </w:r>
      <w:r w:rsidRPr="00467D68">
        <w:rPr>
          <w:rFonts w:ascii="Times New Roman" w:hAnsi="Times New Roman" w:cs="Times New Roman"/>
          <w:color w:val="000000" w:themeColor="text1"/>
        </w:rPr>
        <w:t xml:space="preserve"> millones.</w:t>
      </w:r>
    </w:p>
    <w:p w14:paraId="009078C8" w14:textId="38ABCC0A" w:rsidR="001B14A3" w:rsidRPr="000104C5" w:rsidRDefault="001B14A3" w:rsidP="00863E34">
      <w:pPr>
        <w:spacing w:line="240" w:lineRule="auto"/>
        <w:jc w:val="both"/>
        <w:rPr>
          <w:rFonts w:ascii="Times New Roman" w:hAnsi="Times New Roman" w:cs="Times New Roman"/>
          <w:color w:val="FF0000"/>
        </w:rPr>
      </w:pPr>
    </w:p>
    <w:p w14:paraId="6D32F04C" w14:textId="77777777" w:rsidR="00E02DD8" w:rsidRPr="001B14A3" w:rsidRDefault="00E02DD8" w:rsidP="00E02DD8">
      <w:pPr>
        <w:pStyle w:val="Sinespaciado"/>
        <w:jc w:val="center"/>
        <w:rPr>
          <w:sz w:val="24"/>
        </w:rPr>
      </w:pPr>
      <w:r w:rsidRPr="001B14A3">
        <w:rPr>
          <w:rFonts w:ascii="Times New Roman" w:hAnsi="Times New Roman" w:cs="Times New Roman"/>
          <w:b/>
          <w:sz w:val="24"/>
          <w:lang w:val="es-MX"/>
        </w:rPr>
        <w:t>Ejecución por rubro de Cuenta Económica</w:t>
      </w:r>
    </w:p>
    <w:p w14:paraId="563983C7" w14:textId="77777777" w:rsidR="00840733" w:rsidRPr="001B14A3" w:rsidRDefault="00E02DD8" w:rsidP="00863E34">
      <w:pPr>
        <w:pStyle w:val="Sinespaciado"/>
        <w:jc w:val="center"/>
        <w:rPr>
          <w:rFonts w:ascii="Times New Roman" w:hAnsi="Times New Roman" w:cs="Times New Roman"/>
          <w:sz w:val="20"/>
          <w:szCs w:val="18"/>
          <w:lang w:val="es-MX"/>
        </w:rPr>
      </w:pPr>
      <w:r w:rsidRPr="001B14A3">
        <w:rPr>
          <w:rFonts w:ascii="Times New Roman" w:hAnsi="Times New Roman" w:cs="Times New Roman"/>
          <w:sz w:val="20"/>
          <w:szCs w:val="18"/>
          <w:lang w:val="es-MX"/>
        </w:rPr>
        <w:t>2022 – 2021</w:t>
      </w:r>
    </w:p>
    <w:p w14:paraId="77813FFB" w14:textId="112FA7FF" w:rsidR="00E02DD8" w:rsidRDefault="00E02DD8" w:rsidP="00E02DD8">
      <w:pPr>
        <w:pStyle w:val="Sinespaciado"/>
        <w:jc w:val="center"/>
        <w:rPr>
          <w:rFonts w:ascii="Times New Roman" w:hAnsi="Times New Roman" w:cs="Times New Roman"/>
          <w:sz w:val="20"/>
          <w:lang w:val="es-MX"/>
        </w:rPr>
      </w:pPr>
      <w:r w:rsidRPr="001B14A3">
        <w:rPr>
          <w:rFonts w:ascii="Times New Roman" w:hAnsi="Times New Roman" w:cs="Times New Roman"/>
          <w:sz w:val="20"/>
          <w:lang w:val="es-MX"/>
        </w:rPr>
        <w:t>Variación absoluta interanual</w:t>
      </w:r>
    </w:p>
    <w:p w14:paraId="6C4C9C27" w14:textId="27483405" w:rsidR="00101EC1" w:rsidRDefault="00101EC1" w:rsidP="00E02DD8">
      <w:pPr>
        <w:pStyle w:val="Sinespaciado"/>
        <w:jc w:val="center"/>
        <w:rPr>
          <w:rFonts w:ascii="Times New Roman" w:hAnsi="Times New Roman" w:cs="Times New Roman"/>
          <w:sz w:val="20"/>
          <w:lang w:val="es-MX"/>
        </w:rPr>
      </w:pPr>
      <w:r w:rsidRPr="001B14A3">
        <w:rPr>
          <w:noProof/>
          <w:lang w:eastAsia="es-GT"/>
        </w:rPr>
        <w:drawing>
          <wp:anchor distT="0" distB="0" distL="114300" distR="114300" simplePos="0" relativeHeight="251842560" behindDoc="0" locked="0" layoutInCell="1" allowOverlap="1" wp14:anchorId="7AADB815" wp14:editId="52CA31D5">
            <wp:simplePos x="0" y="0"/>
            <wp:positionH relativeFrom="column">
              <wp:posOffset>3810</wp:posOffset>
            </wp:positionH>
            <wp:positionV relativeFrom="paragraph">
              <wp:posOffset>19685</wp:posOffset>
            </wp:positionV>
            <wp:extent cx="2777490" cy="3543300"/>
            <wp:effectExtent l="0" t="0" r="381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19A4800" w14:textId="14446FD9" w:rsidR="00101EC1" w:rsidRDefault="00101EC1" w:rsidP="00E02DD8">
      <w:pPr>
        <w:pStyle w:val="Sinespaciado"/>
        <w:jc w:val="center"/>
        <w:rPr>
          <w:rFonts w:ascii="Times New Roman" w:hAnsi="Times New Roman" w:cs="Times New Roman"/>
          <w:sz w:val="20"/>
          <w:lang w:val="es-MX"/>
        </w:rPr>
      </w:pPr>
    </w:p>
    <w:p w14:paraId="20E9F910" w14:textId="5C0ABAFE" w:rsidR="00101EC1" w:rsidRPr="001B14A3" w:rsidRDefault="00101EC1" w:rsidP="00E02DD8">
      <w:pPr>
        <w:pStyle w:val="Sinespaciado"/>
        <w:jc w:val="center"/>
        <w:rPr>
          <w:rFonts w:ascii="Times New Roman" w:hAnsi="Times New Roman" w:cs="Times New Roman"/>
          <w:sz w:val="20"/>
          <w:lang w:val="es-MX"/>
        </w:rPr>
      </w:pPr>
    </w:p>
    <w:p w14:paraId="5988071B" w14:textId="0D2D8B5D" w:rsidR="001B14A3" w:rsidRPr="001B14A3" w:rsidRDefault="001B14A3" w:rsidP="00E02DD8">
      <w:pPr>
        <w:pStyle w:val="Sinespaciado"/>
        <w:jc w:val="center"/>
        <w:rPr>
          <w:rFonts w:ascii="Times New Roman" w:hAnsi="Times New Roman" w:cs="Times New Roman"/>
          <w:sz w:val="20"/>
          <w:lang w:val="es-MX"/>
        </w:rPr>
      </w:pPr>
    </w:p>
    <w:p w14:paraId="4486BC06" w14:textId="760BA385" w:rsidR="001B14A3" w:rsidRPr="001B14A3" w:rsidRDefault="001B14A3" w:rsidP="00E02DD8">
      <w:pPr>
        <w:pStyle w:val="Sinespaciado"/>
        <w:jc w:val="center"/>
        <w:rPr>
          <w:rFonts w:ascii="Times New Roman" w:hAnsi="Times New Roman" w:cs="Times New Roman"/>
          <w:sz w:val="20"/>
          <w:lang w:val="es-MX"/>
        </w:rPr>
      </w:pPr>
    </w:p>
    <w:p w14:paraId="031221C5" w14:textId="4E0E984A" w:rsidR="001B14A3" w:rsidRPr="001B14A3" w:rsidRDefault="001B14A3" w:rsidP="00E02DD8">
      <w:pPr>
        <w:pStyle w:val="Sinespaciado"/>
        <w:jc w:val="center"/>
        <w:rPr>
          <w:rFonts w:ascii="Times New Roman" w:hAnsi="Times New Roman" w:cs="Times New Roman"/>
          <w:sz w:val="20"/>
          <w:lang w:val="es-MX"/>
        </w:rPr>
      </w:pPr>
    </w:p>
    <w:p w14:paraId="26284C4E" w14:textId="68B62CBC" w:rsidR="001B14A3" w:rsidRPr="001B14A3" w:rsidRDefault="001B14A3" w:rsidP="00E02DD8">
      <w:pPr>
        <w:pStyle w:val="Sinespaciado"/>
        <w:jc w:val="center"/>
        <w:rPr>
          <w:rFonts w:ascii="Times New Roman" w:hAnsi="Times New Roman" w:cs="Times New Roman"/>
          <w:sz w:val="20"/>
          <w:lang w:val="es-MX"/>
        </w:rPr>
      </w:pPr>
    </w:p>
    <w:p w14:paraId="34808675" w14:textId="6E006C06" w:rsidR="004747BE" w:rsidRPr="001B14A3" w:rsidRDefault="004747BE" w:rsidP="00E02DD8">
      <w:pPr>
        <w:pStyle w:val="Sinespaciado"/>
        <w:jc w:val="center"/>
        <w:rPr>
          <w:rFonts w:ascii="Times New Roman" w:hAnsi="Times New Roman" w:cs="Times New Roman"/>
          <w:lang w:val="es-MX"/>
        </w:rPr>
      </w:pPr>
    </w:p>
    <w:p w14:paraId="41B2FD29" w14:textId="77777777" w:rsidR="004747BE" w:rsidRPr="001B14A3" w:rsidRDefault="004747BE" w:rsidP="00E02DD8">
      <w:pPr>
        <w:pStyle w:val="Sinespaciado"/>
        <w:jc w:val="center"/>
        <w:rPr>
          <w:rFonts w:ascii="Times New Roman" w:hAnsi="Times New Roman" w:cs="Times New Roman"/>
          <w:lang w:val="es-MX"/>
        </w:rPr>
      </w:pPr>
    </w:p>
    <w:p w14:paraId="0AA6F2C0" w14:textId="77777777" w:rsidR="004747BE" w:rsidRPr="001B14A3" w:rsidRDefault="004747BE" w:rsidP="00E02DD8">
      <w:pPr>
        <w:pStyle w:val="Sinespaciado"/>
        <w:jc w:val="center"/>
        <w:rPr>
          <w:rFonts w:ascii="Times New Roman" w:hAnsi="Times New Roman" w:cs="Times New Roman"/>
          <w:lang w:val="es-MX"/>
        </w:rPr>
      </w:pPr>
    </w:p>
    <w:p w14:paraId="41BB75F5" w14:textId="77777777" w:rsidR="004747BE" w:rsidRPr="001B14A3" w:rsidRDefault="004747BE" w:rsidP="00E02DD8">
      <w:pPr>
        <w:pStyle w:val="Sinespaciado"/>
        <w:jc w:val="center"/>
        <w:rPr>
          <w:rFonts w:ascii="Times New Roman" w:hAnsi="Times New Roman" w:cs="Times New Roman"/>
          <w:lang w:val="es-MX"/>
        </w:rPr>
      </w:pPr>
    </w:p>
    <w:p w14:paraId="4FA91969" w14:textId="77777777" w:rsidR="004747BE" w:rsidRPr="001B14A3" w:rsidRDefault="004747BE" w:rsidP="00E02DD8">
      <w:pPr>
        <w:pStyle w:val="Sinespaciado"/>
        <w:jc w:val="center"/>
        <w:rPr>
          <w:rFonts w:ascii="Times New Roman" w:hAnsi="Times New Roman" w:cs="Times New Roman"/>
          <w:lang w:val="es-MX"/>
        </w:rPr>
      </w:pPr>
    </w:p>
    <w:p w14:paraId="2540B015" w14:textId="77777777" w:rsidR="004747BE" w:rsidRPr="001B14A3" w:rsidRDefault="004747BE" w:rsidP="00E02DD8">
      <w:pPr>
        <w:pStyle w:val="Sinespaciado"/>
        <w:jc w:val="center"/>
        <w:rPr>
          <w:rFonts w:ascii="Times New Roman" w:hAnsi="Times New Roman" w:cs="Times New Roman"/>
          <w:lang w:val="es-MX"/>
        </w:rPr>
      </w:pPr>
    </w:p>
    <w:p w14:paraId="3DAFCE6D" w14:textId="77777777" w:rsidR="004747BE" w:rsidRPr="001B14A3" w:rsidRDefault="004747BE" w:rsidP="00E02DD8">
      <w:pPr>
        <w:pStyle w:val="Sinespaciado"/>
        <w:jc w:val="center"/>
        <w:rPr>
          <w:rFonts w:ascii="Times New Roman" w:hAnsi="Times New Roman" w:cs="Times New Roman"/>
          <w:lang w:val="es-MX"/>
        </w:rPr>
      </w:pPr>
    </w:p>
    <w:p w14:paraId="1C8EF94D" w14:textId="77777777" w:rsidR="004747BE" w:rsidRPr="001B14A3" w:rsidRDefault="004747BE" w:rsidP="00E02DD8">
      <w:pPr>
        <w:pStyle w:val="Sinespaciado"/>
        <w:jc w:val="center"/>
        <w:rPr>
          <w:rFonts w:ascii="Times New Roman" w:hAnsi="Times New Roman" w:cs="Times New Roman"/>
          <w:lang w:val="es-MX"/>
        </w:rPr>
      </w:pPr>
    </w:p>
    <w:p w14:paraId="33FEC050" w14:textId="77777777" w:rsidR="004747BE" w:rsidRPr="001B14A3" w:rsidRDefault="004747BE" w:rsidP="00E02DD8">
      <w:pPr>
        <w:pStyle w:val="Sinespaciado"/>
        <w:jc w:val="center"/>
        <w:rPr>
          <w:rFonts w:ascii="Times New Roman" w:hAnsi="Times New Roman" w:cs="Times New Roman"/>
          <w:lang w:val="es-MX"/>
        </w:rPr>
      </w:pPr>
    </w:p>
    <w:p w14:paraId="4F247F86" w14:textId="77777777" w:rsidR="004747BE" w:rsidRPr="001B14A3" w:rsidRDefault="004747BE" w:rsidP="00E02DD8">
      <w:pPr>
        <w:pStyle w:val="Sinespaciado"/>
        <w:jc w:val="center"/>
        <w:rPr>
          <w:rFonts w:ascii="Times New Roman" w:hAnsi="Times New Roman" w:cs="Times New Roman"/>
          <w:lang w:val="es-MX"/>
        </w:rPr>
      </w:pPr>
    </w:p>
    <w:p w14:paraId="463D15F0" w14:textId="77777777" w:rsidR="004747BE" w:rsidRPr="001B14A3" w:rsidRDefault="004747BE" w:rsidP="00E02DD8">
      <w:pPr>
        <w:pStyle w:val="Sinespaciado"/>
        <w:jc w:val="center"/>
        <w:rPr>
          <w:rFonts w:ascii="Times New Roman" w:hAnsi="Times New Roman" w:cs="Times New Roman"/>
          <w:lang w:val="es-MX"/>
        </w:rPr>
      </w:pPr>
    </w:p>
    <w:p w14:paraId="307F855C" w14:textId="77777777" w:rsidR="004747BE" w:rsidRPr="001B14A3" w:rsidRDefault="004747BE" w:rsidP="00E02DD8">
      <w:pPr>
        <w:pStyle w:val="Sinespaciado"/>
        <w:jc w:val="center"/>
        <w:rPr>
          <w:rFonts w:ascii="Times New Roman" w:hAnsi="Times New Roman" w:cs="Times New Roman"/>
          <w:lang w:val="es-MX"/>
        </w:rPr>
      </w:pPr>
    </w:p>
    <w:p w14:paraId="272BE6DA" w14:textId="77777777" w:rsidR="004747BE" w:rsidRPr="001B14A3" w:rsidRDefault="004747BE" w:rsidP="00E02DD8">
      <w:pPr>
        <w:pStyle w:val="Sinespaciado"/>
        <w:jc w:val="center"/>
        <w:rPr>
          <w:rFonts w:ascii="Times New Roman" w:hAnsi="Times New Roman" w:cs="Times New Roman"/>
          <w:lang w:val="es-MX"/>
        </w:rPr>
      </w:pPr>
    </w:p>
    <w:p w14:paraId="5A43F729" w14:textId="77777777" w:rsidR="004747BE" w:rsidRPr="001B14A3" w:rsidRDefault="004747BE" w:rsidP="00E02DD8">
      <w:pPr>
        <w:pStyle w:val="Sinespaciado"/>
        <w:jc w:val="center"/>
        <w:rPr>
          <w:rFonts w:ascii="Times New Roman" w:hAnsi="Times New Roman" w:cs="Times New Roman"/>
          <w:lang w:val="es-MX"/>
        </w:rPr>
      </w:pPr>
    </w:p>
    <w:p w14:paraId="7C6DC20C" w14:textId="77777777" w:rsidR="00FA0E54" w:rsidRPr="001B14A3" w:rsidRDefault="00FA0E54" w:rsidP="00E02DD8">
      <w:pPr>
        <w:spacing w:after="0" w:line="240" w:lineRule="auto"/>
        <w:jc w:val="both"/>
        <w:rPr>
          <w:rFonts w:ascii="Times New Roman" w:hAnsi="Times New Roman" w:cs="Times New Roman"/>
          <w:sz w:val="16"/>
        </w:rPr>
      </w:pPr>
    </w:p>
    <w:p w14:paraId="19BA449E" w14:textId="77777777" w:rsidR="00FA0E54" w:rsidRPr="001B14A3" w:rsidRDefault="00FA0E54" w:rsidP="00E02DD8">
      <w:pPr>
        <w:spacing w:after="0" w:line="240" w:lineRule="auto"/>
        <w:jc w:val="both"/>
        <w:rPr>
          <w:rFonts w:ascii="Times New Roman" w:hAnsi="Times New Roman" w:cs="Times New Roman"/>
          <w:sz w:val="16"/>
        </w:rPr>
      </w:pPr>
    </w:p>
    <w:p w14:paraId="19E7176D" w14:textId="77777777" w:rsidR="00FA0E54" w:rsidRPr="001B14A3" w:rsidRDefault="00FA0E54" w:rsidP="00E02DD8">
      <w:pPr>
        <w:spacing w:after="0" w:line="240" w:lineRule="auto"/>
        <w:jc w:val="both"/>
        <w:rPr>
          <w:rFonts w:ascii="Times New Roman" w:hAnsi="Times New Roman" w:cs="Times New Roman"/>
          <w:sz w:val="16"/>
        </w:rPr>
      </w:pPr>
    </w:p>
    <w:p w14:paraId="517A62A6" w14:textId="77777777" w:rsidR="00E02DD8" w:rsidRPr="001B14A3" w:rsidRDefault="00E02DD8" w:rsidP="00E02DD8">
      <w:pPr>
        <w:spacing w:after="0" w:line="240" w:lineRule="auto"/>
        <w:jc w:val="both"/>
        <w:rPr>
          <w:rFonts w:ascii="Times New Roman" w:hAnsi="Times New Roman" w:cs="Times New Roman"/>
          <w:sz w:val="16"/>
        </w:rPr>
      </w:pPr>
      <w:r w:rsidRPr="001B14A3">
        <w:rPr>
          <w:rFonts w:ascii="Times New Roman" w:hAnsi="Times New Roman" w:cs="Times New Roman"/>
          <w:sz w:val="16"/>
        </w:rPr>
        <w:t>Fuente: Dirección de Análisis y Política Fiscal</w:t>
      </w:r>
      <w:r w:rsidR="00AD7C37" w:rsidRPr="001B14A3">
        <w:rPr>
          <w:rFonts w:ascii="Times New Roman" w:hAnsi="Times New Roman" w:cs="Times New Roman"/>
          <w:sz w:val="16"/>
        </w:rPr>
        <w:t>.</w:t>
      </w:r>
    </w:p>
    <w:p w14:paraId="5F276108" w14:textId="77777777" w:rsidR="0002331B" w:rsidRPr="000104C5" w:rsidRDefault="0002331B" w:rsidP="0067690E">
      <w:pPr>
        <w:pStyle w:val="Sinespaciado"/>
        <w:jc w:val="both"/>
        <w:rPr>
          <w:rFonts w:ascii="Times New Roman" w:hAnsi="Times New Roman" w:cs="Times New Roman"/>
          <w:color w:val="FF0000"/>
          <w:lang w:val="es-MX"/>
        </w:rPr>
      </w:pPr>
    </w:p>
    <w:p w14:paraId="04C24AE0" w14:textId="0BCC403C" w:rsidR="00E02DD8" w:rsidRPr="000104C5" w:rsidRDefault="00101EC1" w:rsidP="0067690E">
      <w:pPr>
        <w:pStyle w:val="Sinespaciado"/>
        <w:jc w:val="both"/>
        <w:rPr>
          <w:rFonts w:ascii="Times New Roman" w:hAnsi="Times New Roman" w:cs="Times New Roman"/>
          <w:color w:val="FF0000"/>
          <w:lang w:val="es-MX"/>
        </w:rPr>
      </w:pPr>
      <w:r w:rsidRPr="00863E34">
        <w:rPr>
          <w:rFonts w:ascii="Times New Roman" w:hAnsi="Times New Roman" w:cs="Times New Roman"/>
          <w:lang w:val="es-MX"/>
        </w:rPr>
        <w:t xml:space="preserve">Al eliminar el gasto relacionado a la pandemia del COVID-19, tanto en 2022 como en 2021, la ejecución del gasto público a </w:t>
      </w:r>
      <w:r>
        <w:rPr>
          <w:rFonts w:ascii="Times New Roman" w:hAnsi="Times New Roman" w:cs="Times New Roman"/>
          <w:lang w:val="es-MX"/>
        </w:rPr>
        <w:t>junio</w:t>
      </w:r>
      <w:r w:rsidRPr="00863E34">
        <w:rPr>
          <w:rFonts w:ascii="Times New Roman" w:hAnsi="Times New Roman" w:cs="Times New Roman"/>
          <w:lang w:val="es-MX"/>
        </w:rPr>
        <w:t xml:space="preserve"> sin incluir las amortizaciones de la deuda pública se ubicaría en Q</w:t>
      </w:r>
      <w:r>
        <w:rPr>
          <w:rFonts w:ascii="Times New Roman" w:hAnsi="Times New Roman" w:cs="Times New Roman"/>
          <w:lang w:val="es-MX"/>
        </w:rPr>
        <w:t>45</w:t>
      </w:r>
      <w:r w:rsidRPr="00863E34">
        <w:rPr>
          <w:rFonts w:ascii="Times New Roman" w:hAnsi="Times New Roman" w:cs="Times New Roman"/>
          <w:lang w:val="es-MX"/>
        </w:rPr>
        <w:t>,</w:t>
      </w:r>
      <w:r>
        <w:rPr>
          <w:rFonts w:ascii="Times New Roman" w:hAnsi="Times New Roman" w:cs="Times New Roman"/>
          <w:lang w:val="es-MX"/>
        </w:rPr>
        <w:t>3</w:t>
      </w:r>
      <w:r w:rsidRPr="00863E34">
        <w:rPr>
          <w:rFonts w:ascii="Times New Roman" w:hAnsi="Times New Roman" w:cs="Times New Roman"/>
          <w:lang w:val="es-MX"/>
        </w:rPr>
        <w:t>94.</w:t>
      </w:r>
      <w:r>
        <w:rPr>
          <w:rFonts w:ascii="Times New Roman" w:hAnsi="Times New Roman" w:cs="Times New Roman"/>
          <w:lang w:val="es-MX"/>
        </w:rPr>
        <w:t>4</w:t>
      </w:r>
      <w:r w:rsidRPr="00863E34">
        <w:rPr>
          <w:rFonts w:ascii="Times New Roman" w:hAnsi="Times New Roman" w:cs="Times New Roman"/>
          <w:lang w:val="es-MX"/>
        </w:rPr>
        <w:t xml:space="preserve"> millones, con un crecimiento interanual de 1</w:t>
      </w:r>
      <w:r>
        <w:rPr>
          <w:rFonts w:ascii="Times New Roman" w:hAnsi="Times New Roman" w:cs="Times New Roman"/>
          <w:lang w:val="es-MX"/>
        </w:rPr>
        <w:t>7</w:t>
      </w:r>
      <w:r w:rsidRPr="00863E34">
        <w:rPr>
          <w:rFonts w:ascii="Times New Roman" w:hAnsi="Times New Roman" w:cs="Times New Roman"/>
          <w:lang w:val="es-MX"/>
        </w:rPr>
        <w:t>.</w:t>
      </w:r>
      <w:r>
        <w:rPr>
          <w:rFonts w:ascii="Times New Roman" w:hAnsi="Times New Roman" w:cs="Times New Roman"/>
          <w:lang w:val="es-MX"/>
        </w:rPr>
        <w:t>4</w:t>
      </w:r>
      <w:r w:rsidRPr="00863E34">
        <w:rPr>
          <w:rFonts w:ascii="Times New Roman" w:hAnsi="Times New Roman" w:cs="Times New Roman"/>
          <w:lang w:val="es-MX"/>
        </w:rPr>
        <w:t>% (equivalente a Q</w:t>
      </w:r>
      <w:r>
        <w:rPr>
          <w:rFonts w:ascii="Times New Roman" w:hAnsi="Times New Roman" w:cs="Times New Roman"/>
          <w:lang w:val="es-MX"/>
        </w:rPr>
        <w:t>6</w:t>
      </w:r>
      <w:r w:rsidRPr="00863E34">
        <w:rPr>
          <w:rFonts w:ascii="Times New Roman" w:hAnsi="Times New Roman" w:cs="Times New Roman"/>
          <w:lang w:val="es-MX"/>
        </w:rPr>
        <w:t>,</w:t>
      </w:r>
      <w:r>
        <w:rPr>
          <w:rFonts w:ascii="Times New Roman" w:hAnsi="Times New Roman" w:cs="Times New Roman"/>
          <w:lang w:val="es-MX"/>
        </w:rPr>
        <w:t>712</w:t>
      </w:r>
      <w:r w:rsidRPr="00863E34">
        <w:rPr>
          <w:rFonts w:ascii="Times New Roman" w:hAnsi="Times New Roman" w:cs="Times New Roman"/>
          <w:lang w:val="es-MX"/>
        </w:rPr>
        <w:t>.</w:t>
      </w:r>
      <w:r>
        <w:rPr>
          <w:rFonts w:ascii="Times New Roman" w:hAnsi="Times New Roman" w:cs="Times New Roman"/>
          <w:lang w:val="es-MX"/>
        </w:rPr>
        <w:t>7</w:t>
      </w:r>
      <w:r w:rsidRPr="00863E34">
        <w:rPr>
          <w:rFonts w:ascii="Times New Roman" w:hAnsi="Times New Roman" w:cs="Times New Roman"/>
          <w:lang w:val="es-MX"/>
        </w:rPr>
        <w:t xml:space="preserve"> millones). Mientras que en 2021 el gasto público hubiera tenido una variación interanual de </w:t>
      </w:r>
      <w:r>
        <w:rPr>
          <w:rFonts w:ascii="Times New Roman" w:hAnsi="Times New Roman" w:cs="Times New Roman"/>
          <w:lang w:val="es-MX"/>
        </w:rPr>
        <w:t>8</w:t>
      </w:r>
      <w:r w:rsidRPr="00863E34">
        <w:rPr>
          <w:rFonts w:ascii="Times New Roman" w:hAnsi="Times New Roman" w:cs="Times New Roman"/>
          <w:lang w:val="es-MX"/>
        </w:rPr>
        <w:t>.</w:t>
      </w:r>
      <w:r>
        <w:rPr>
          <w:rFonts w:ascii="Times New Roman" w:hAnsi="Times New Roman" w:cs="Times New Roman"/>
          <w:lang w:val="es-MX"/>
        </w:rPr>
        <w:t>2</w:t>
      </w:r>
      <w:r w:rsidRPr="00863E34">
        <w:rPr>
          <w:rFonts w:ascii="Times New Roman" w:hAnsi="Times New Roman" w:cs="Times New Roman"/>
          <w:lang w:val="es-MX"/>
        </w:rPr>
        <w:t>%, es importante tomar en consideración que en 2021 e</w:t>
      </w:r>
      <w:r>
        <w:rPr>
          <w:rFonts w:ascii="Times New Roman" w:hAnsi="Times New Roman" w:cs="Times New Roman"/>
          <w:lang w:val="es-MX"/>
        </w:rPr>
        <w:t>l</w:t>
      </w:r>
      <w:r w:rsidRPr="00863E34">
        <w:rPr>
          <w:rFonts w:ascii="Times New Roman" w:hAnsi="Times New Roman" w:cs="Times New Roman"/>
          <w:lang w:val="es-MX"/>
        </w:rPr>
        <w:t xml:space="preserve"> gasto</w:t>
      </w:r>
      <w:r>
        <w:rPr>
          <w:rFonts w:ascii="Times New Roman" w:hAnsi="Times New Roman" w:cs="Times New Roman"/>
          <w:lang w:val="es-MX"/>
        </w:rPr>
        <w:t xml:space="preserve"> vinculado a COVID-19</w:t>
      </w:r>
      <w:r w:rsidRPr="00863E34">
        <w:rPr>
          <w:rFonts w:ascii="Times New Roman" w:hAnsi="Times New Roman" w:cs="Times New Roman"/>
          <w:lang w:val="es-MX"/>
        </w:rPr>
        <w:t xml:space="preserve"> fue importante por los procesos relacionados a la compra de la vacuna, mientras que en 2022 estos gastos han sido menores.</w:t>
      </w:r>
      <w:r w:rsidR="00E02DD8" w:rsidRPr="000104C5">
        <w:rPr>
          <w:rFonts w:ascii="Times New Roman" w:hAnsi="Times New Roman" w:cs="Times New Roman"/>
          <w:color w:val="FF0000"/>
          <w:lang w:val="es-MX"/>
        </w:rPr>
        <w:t xml:space="preserve"> </w:t>
      </w:r>
    </w:p>
    <w:p w14:paraId="2CBF141F" w14:textId="2C1B0F0A" w:rsidR="00FD6C71" w:rsidRDefault="00FD6C71" w:rsidP="004747BE">
      <w:pPr>
        <w:spacing w:after="0" w:line="240" w:lineRule="auto"/>
        <w:rPr>
          <w:rFonts w:ascii="Times New Roman" w:hAnsi="Times New Roman" w:cs="Times New Roman"/>
          <w:b/>
          <w:color w:val="FF0000"/>
          <w:lang w:val="es-MX"/>
        </w:rPr>
      </w:pPr>
    </w:p>
    <w:p w14:paraId="251CC881" w14:textId="1C88B18A" w:rsidR="00101EC1" w:rsidRDefault="00101EC1" w:rsidP="004747BE">
      <w:pPr>
        <w:spacing w:after="0" w:line="240" w:lineRule="auto"/>
        <w:rPr>
          <w:rFonts w:ascii="Times New Roman" w:hAnsi="Times New Roman" w:cs="Times New Roman"/>
          <w:b/>
          <w:color w:val="FF0000"/>
          <w:lang w:val="es-MX"/>
        </w:rPr>
      </w:pPr>
    </w:p>
    <w:p w14:paraId="430FB19B" w14:textId="03AE1E68" w:rsidR="00101EC1" w:rsidRDefault="00101EC1" w:rsidP="004747BE">
      <w:pPr>
        <w:spacing w:after="0" w:line="240" w:lineRule="auto"/>
        <w:rPr>
          <w:rFonts w:ascii="Times New Roman" w:hAnsi="Times New Roman" w:cs="Times New Roman"/>
          <w:b/>
          <w:color w:val="FF0000"/>
          <w:lang w:val="es-MX"/>
        </w:rPr>
      </w:pPr>
    </w:p>
    <w:p w14:paraId="49D123B8" w14:textId="4C51557E" w:rsidR="00101EC1" w:rsidRDefault="00101EC1" w:rsidP="004747BE">
      <w:pPr>
        <w:spacing w:after="0" w:line="240" w:lineRule="auto"/>
        <w:rPr>
          <w:rFonts w:ascii="Times New Roman" w:hAnsi="Times New Roman" w:cs="Times New Roman"/>
          <w:b/>
          <w:color w:val="FF0000"/>
          <w:lang w:val="es-MX"/>
        </w:rPr>
      </w:pPr>
    </w:p>
    <w:p w14:paraId="6749A18E" w14:textId="2E3DC3FC" w:rsidR="00101EC1" w:rsidRDefault="00101EC1" w:rsidP="004747BE">
      <w:pPr>
        <w:spacing w:after="0" w:line="240" w:lineRule="auto"/>
        <w:rPr>
          <w:rFonts w:ascii="Times New Roman" w:hAnsi="Times New Roman" w:cs="Times New Roman"/>
          <w:b/>
          <w:color w:val="FF0000"/>
          <w:lang w:val="es-MX"/>
        </w:rPr>
      </w:pPr>
    </w:p>
    <w:p w14:paraId="12945B37" w14:textId="2B50939A" w:rsidR="00101EC1" w:rsidRDefault="00101EC1" w:rsidP="004747BE">
      <w:pPr>
        <w:spacing w:after="0" w:line="240" w:lineRule="auto"/>
        <w:rPr>
          <w:rFonts w:ascii="Times New Roman" w:hAnsi="Times New Roman" w:cs="Times New Roman"/>
          <w:b/>
          <w:color w:val="FF0000"/>
          <w:lang w:val="es-MX"/>
        </w:rPr>
      </w:pPr>
    </w:p>
    <w:p w14:paraId="4D3B4C3E" w14:textId="1E6B29CD" w:rsidR="00101EC1" w:rsidRDefault="00101EC1" w:rsidP="004747BE">
      <w:pPr>
        <w:spacing w:after="0" w:line="240" w:lineRule="auto"/>
        <w:rPr>
          <w:rFonts w:ascii="Times New Roman" w:hAnsi="Times New Roman" w:cs="Times New Roman"/>
          <w:b/>
          <w:color w:val="FF0000"/>
          <w:lang w:val="es-MX"/>
        </w:rPr>
      </w:pPr>
    </w:p>
    <w:p w14:paraId="102F51C7" w14:textId="12C3D34E" w:rsidR="00101EC1" w:rsidRDefault="00101EC1" w:rsidP="004747BE">
      <w:pPr>
        <w:spacing w:after="0" w:line="240" w:lineRule="auto"/>
        <w:rPr>
          <w:rFonts w:ascii="Times New Roman" w:hAnsi="Times New Roman" w:cs="Times New Roman"/>
          <w:b/>
          <w:color w:val="FF0000"/>
          <w:lang w:val="es-MX"/>
        </w:rPr>
      </w:pPr>
    </w:p>
    <w:p w14:paraId="7D8E1B72" w14:textId="77777777" w:rsidR="00101EC1" w:rsidRPr="000104C5" w:rsidRDefault="00101EC1" w:rsidP="004747BE">
      <w:pPr>
        <w:spacing w:after="0" w:line="240" w:lineRule="auto"/>
        <w:rPr>
          <w:rFonts w:ascii="Times New Roman" w:hAnsi="Times New Roman" w:cs="Times New Roman"/>
          <w:b/>
          <w:color w:val="FF0000"/>
          <w:lang w:val="es-MX"/>
        </w:rPr>
      </w:pPr>
    </w:p>
    <w:p w14:paraId="3973AB33" w14:textId="77777777" w:rsidR="00E02DD8" w:rsidRPr="00101EC1" w:rsidRDefault="006302AC" w:rsidP="00E02DD8">
      <w:pPr>
        <w:spacing w:after="0" w:line="240" w:lineRule="auto"/>
        <w:jc w:val="center"/>
        <w:rPr>
          <w:rFonts w:ascii="Times New Roman" w:hAnsi="Times New Roman" w:cs="Times New Roman"/>
          <w:b/>
          <w:sz w:val="21"/>
          <w:szCs w:val="21"/>
          <w:lang w:val="es-MX"/>
        </w:rPr>
      </w:pPr>
      <w:r w:rsidRPr="00101EC1">
        <w:rPr>
          <w:rFonts w:ascii="Times New Roman" w:hAnsi="Times New Roman" w:cs="Times New Roman"/>
          <w:b/>
          <w:sz w:val="21"/>
          <w:szCs w:val="21"/>
          <w:lang w:val="es-MX"/>
        </w:rPr>
        <w:lastRenderedPageBreak/>
        <w:t>Ritmo de Ejecución del Gasto sin COVID-19</w:t>
      </w:r>
    </w:p>
    <w:p w14:paraId="257B9760" w14:textId="77777777" w:rsidR="00E02DD8" w:rsidRPr="00101EC1" w:rsidRDefault="006302AC" w:rsidP="00E02DD8">
      <w:pPr>
        <w:pStyle w:val="Sinespaciado"/>
        <w:jc w:val="center"/>
        <w:rPr>
          <w:rFonts w:ascii="Times New Roman" w:hAnsi="Times New Roman" w:cs="Times New Roman"/>
          <w:szCs w:val="18"/>
          <w:lang w:val="es-MX"/>
        </w:rPr>
      </w:pPr>
      <w:r w:rsidRPr="00101EC1">
        <w:rPr>
          <w:rFonts w:ascii="Times New Roman" w:hAnsi="Times New Roman" w:cs="Times New Roman"/>
          <w:szCs w:val="18"/>
          <w:lang w:val="es-MX"/>
        </w:rPr>
        <w:t>Variación interanual (%)*</w:t>
      </w:r>
    </w:p>
    <w:p w14:paraId="116AFB2B" w14:textId="508F5BAF" w:rsidR="004747BE" w:rsidRPr="00101EC1" w:rsidRDefault="00101EC1" w:rsidP="00E02DD8">
      <w:pPr>
        <w:pStyle w:val="Sinespaciado"/>
        <w:jc w:val="center"/>
        <w:rPr>
          <w:rFonts w:ascii="Times New Roman" w:hAnsi="Times New Roman" w:cs="Times New Roman"/>
          <w:szCs w:val="18"/>
          <w:lang w:val="es-MX"/>
        </w:rPr>
      </w:pPr>
      <w:r w:rsidRPr="00101EC1">
        <w:rPr>
          <w:rFonts w:ascii="Times New Roman" w:hAnsi="Times New Roman" w:cs="Times New Roman"/>
          <w:noProof/>
          <w:lang w:eastAsia="es-GT"/>
        </w:rPr>
        <w:drawing>
          <wp:inline distT="0" distB="0" distL="0" distR="0" wp14:anchorId="26BD276F" wp14:editId="07EE6B0A">
            <wp:extent cx="2581275" cy="2094230"/>
            <wp:effectExtent l="0" t="0" r="0" b="127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326A6D" w14:textId="77777777" w:rsidR="006302AC" w:rsidRPr="00101EC1" w:rsidRDefault="006302AC" w:rsidP="006302AC">
      <w:pPr>
        <w:pStyle w:val="Sinespaciado"/>
        <w:jc w:val="both"/>
        <w:rPr>
          <w:rFonts w:ascii="Times New Roman" w:hAnsi="Times New Roman" w:cs="Times New Roman"/>
          <w:sz w:val="18"/>
          <w:lang w:val="es-MX"/>
        </w:rPr>
      </w:pPr>
      <w:r w:rsidRPr="00101EC1">
        <w:rPr>
          <w:rFonts w:ascii="Times New Roman" w:hAnsi="Times New Roman" w:cs="Times New Roman"/>
          <w:sz w:val="18"/>
          <w:lang w:val="es-MX"/>
        </w:rPr>
        <w:t>*No incluye amortizaciones de la deuda pública</w:t>
      </w:r>
    </w:p>
    <w:p w14:paraId="3929AE37" w14:textId="77777777" w:rsidR="006302AC" w:rsidRPr="00101EC1" w:rsidRDefault="006302AC" w:rsidP="006302AC">
      <w:pPr>
        <w:pStyle w:val="Sinespaciado"/>
        <w:jc w:val="both"/>
        <w:rPr>
          <w:rFonts w:ascii="Times New Roman" w:hAnsi="Times New Roman" w:cs="Times New Roman"/>
          <w:sz w:val="16"/>
          <w:szCs w:val="16"/>
          <w:lang w:val="es-MX"/>
        </w:rPr>
      </w:pPr>
      <w:r w:rsidRPr="00101EC1">
        <w:rPr>
          <w:rFonts w:ascii="Times New Roman" w:hAnsi="Times New Roman" w:cs="Times New Roman"/>
          <w:sz w:val="16"/>
          <w:szCs w:val="16"/>
          <w:lang w:val="es-MX"/>
        </w:rPr>
        <w:t>Fuente: Dirección de Análisis y Política Fiscal</w:t>
      </w:r>
    </w:p>
    <w:p w14:paraId="5CCA503E" w14:textId="77777777" w:rsidR="00101EC1" w:rsidRDefault="00101EC1" w:rsidP="0024077F">
      <w:pPr>
        <w:pStyle w:val="Sinespaciado"/>
        <w:jc w:val="both"/>
        <w:rPr>
          <w:rFonts w:ascii="Times New Roman" w:hAnsi="Times New Roman" w:cs="Times New Roman"/>
          <w:color w:val="FF0000"/>
          <w:lang w:val="es-MX"/>
        </w:rPr>
      </w:pPr>
    </w:p>
    <w:p w14:paraId="0C4CC484" w14:textId="2BDF470F" w:rsidR="00FD6C71" w:rsidRDefault="00101EC1" w:rsidP="0024077F">
      <w:pPr>
        <w:pStyle w:val="Sinespaciado"/>
        <w:jc w:val="both"/>
        <w:rPr>
          <w:rFonts w:ascii="Times New Roman" w:hAnsi="Times New Roman" w:cs="Times New Roman"/>
          <w:lang w:val="es-MX"/>
        </w:rPr>
      </w:pPr>
      <w:r>
        <w:rPr>
          <w:rFonts w:ascii="Times New Roman" w:hAnsi="Times New Roman" w:cs="Times New Roman"/>
          <w:lang w:val="es-MX"/>
        </w:rPr>
        <w:t>En cuanto al gasto total, el cual incluye amortizaciones de la deuda pública, se situó en Q47,518.8 millones, con un grado de ejecución de 42.3% y una variación interanual de 14.8%. Este grado de ejecución se encuentra por arriba de la ejecución promedio de los últimos 5 años (40.3%) y es superior a la reportada en cada uno de los años anteriores, a excepción de 2019 cuando la ejecución fue de 42.9%.</w:t>
      </w:r>
    </w:p>
    <w:p w14:paraId="2FB5E5CA" w14:textId="77777777" w:rsidR="00101EC1" w:rsidRPr="000104C5" w:rsidRDefault="00101EC1" w:rsidP="0024077F">
      <w:pPr>
        <w:pStyle w:val="Sinespaciado"/>
        <w:jc w:val="both"/>
        <w:rPr>
          <w:rFonts w:ascii="Times New Roman" w:hAnsi="Times New Roman" w:cs="Times New Roman"/>
          <w:color w:val="FF0000"/>
          <w:lang w:val="es-MX"/>
        </w:rPr>
      </w:pPr>
    </w:p>
    <w:p w14:paraId="781BBA11" w14:textId="77777777" w:rsidR="006302AC" w:rsidRPr="00101EC1" w:rsidRDefault="006302AC" w:rsidP="006302AC">
      <w:pPr>
        <w:spacing w:after="0" w:line="240" w:lineRule="auto"/>
        <w:jc w:val="center"/>
        <w:rPr>
          <w:rFonts w:ascii="Times New Roman" w:hAnsi="Times New Roman" w:cs="Times New Roman"/>
          <w:b/>
          <w:lang w:val="es-MX"/>
        </w:rPr>
      </w:pPr>
      <w:r w:rsidRPr="00101EC1">
        <w:rPr>
          <w:rFonts w:ascii="Times New Roman" w:hAnsi="Times New Roman" w:cs="Times New Roman"/>
          <w:b/>
          <w:lang w:val="es-MX"/>
        </w:rPr>
        <w:t>Grado de Ejecución de los últimos 5 años</w:t>
      </w:r>
    </w:p>
    <w:p w14:paraId="5ABE0E44" w14:textId="77777777" w:rsidR="006302AC" w:rsidRPr="00101EC1" w:rsidRDefault="00863E34" w:rsidP="006302AC">
      <w:pPr>
        <w:pStyle w:val="Sinespaciado"/>
        <w:jc w:val="center"/>
        <w:rPr>
          <w:rFonts w:ascii="Times New Roman" w:hAnsi="Times New Roman" w:cs="Times New Roman"/>
          <w:szCs w:val="18"/>
          <w:lang w:val="es-MX"/>
        </w:rPr>
      </w:pPr>
      <w:r w:rsidRPr="00101EC1">
        <w:rPr>
          <w:rFonts w:ascii="Times New Roman" w:hAnsi="Times New Roman" w:cs="Times New Roman"/>
          <w:szCs w:val="18"/>
          <w:lang w:val="es-MX"/>
        </w:rPr>
        <w:t>Al 31</w:t>
      </w:r>
      <w:r w:rsidR="006302AC" w:rsidRPr="00101EC1">
        <w:rPr>
          <w:rFonts w:ascii="Times New Roman" w:hAnsi="Times New Roman" w:cs="Times New Roman"/>
          <w:szCs w:val="18"/>
          <w:lang w:val="es-MX"/>
        </w:rPr>
        <w:t xml:space="preserve"> de </w:t>
      </w:r>
      <w:r w:rsidR="00FD6C71" w:rsidRPr="00101EC1">
        <w:rPr>
          <w:rFonts w:ascii="Times New Roman" w:hAnsi="Times New Roman" w:cs="Times New Roman"/>
          <w:szCs w:val="18"/>
          <w:lang w:val="es-MX"/>
        </w:rPr>
        <w:t>junio</w:t>
      </w:r>
      <w:r w:rsidR="006302AC" w:rsidRPr="00101EC1">
        <w:rPr>
          <w:rFonts w:ascii="Times New Roman" w:hAnsi="Times New Roman" w:cs="Times New Roman"/>
          <w:szCs w:val="18"/>
          <w:lang w:val="es-MX"/>
        </w:rPr>
        <w:t xml:space="preserve"> de cada año</w:t>
      </w:r>
    </w:p>
    <w:p w14:paraId="48363CB7" w14:textId="291E4C0A" w:rsidR="006302AC" w:rsidRPr="00101EC1" w:rsidRDefault="00101EC1" w:rsidP="006302AC">
      <w:pPr>
        <w:pStyle w:val="Sinespaciado"/>
        <w:jc w:val="center"/>
        <w:rPr>
          <w:rFonts w:ascii="Times New Roman" w:hAnsi="Times New Roman" w:cs="Times New Roman"/>
          <w:szCs w:val="18"/>
          <w:lang w:val="es-MX"/>
        </w:rPr>
      </w:pPr>
      <w:r w:rsidRPr="00101EC1">
        <w:rPr>
          <w:noProof/>
          <w:lang w:eastAsia="es-GT"/>
        </w:rPr>
        <w:drawing>
          <wp:anchor distT="0" distB="0" distL="114300" distR="114300" simplePos="0" relativeHeight="251844608" behindDoc="0" locked="0" layoutInCell="1" allowOverlap="1" wp14:anchorId="5321A066" wp14:editId="391F5D96">
            <wp:simplePos x="0" y="0"/>
            <wp:positionH relativeFrom="column">
              <wp:posOffset>-3810</wp:posOffset>
            </wp:positionH>
            <wp:positionV relativeFrom="paragraph">
              <wp:posOffset>156210</wp:posOffset>
            </wp:positionV>
            <wp:extent cx="2570480" cy="2000250"/>
            <wp:effectExtent l="0" t="0" r="1270" b="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6302AC" w:rsidRPr="00101EC1">
        <w:rPr>
          <w:rFonts w:ascii="Times New Roman" w:hAnsi="Times New Roman" w:cs="Times New Roman"/>
          <w:szCs w:val="18"/>
          <w:lang w:val="es-MX"/>
        </w:rPr>
        <w:t>Cifras en porcentajes</w:t>
      </w:r>
    </w:p>
    <w:p w14:paraId="5B410DF3" w14:textId="1F480616" w:rsidR="00101EC1" w:rsidRPr="00101EC1" w:rsidRDefault="00101EC1" w:rsidP="006302AC">
      <w:pPr>
        <w:pStyle w:val="Sinespaciado"/>
        <w:jc w:val="center"/>
        <w:rPr>
          <w:rFonts w:ascii="Times New Roman" w:hAnsi="Times New Roman" w:cs="Times New Roman"/>
          <w:szCs w:val="18"/>
          <w:lang w:val="es-MX"/>
        </w:rPr>
      </w:pPr>
    </w:p>
    <w:p w14:paraId="63C4158A" w14:textId="77777777" w:rsidR="00FA0E54" w:rsidRPr="00101EC1" w:rsidRDefault="00FA0E54" w:rsidP="006302AC">
      <w:pPr>
        <w:pStyle w:val="Sinespaciado"/>
        <w:jc w:val="center"/>
        <w:rPr>
          <w:rFonts w:ascii="Times New Roman" w:hAnsi="Times New Roman" w:cs="Times New Roman"/>
          <w:szCs w:val="18"/>
          <w:lang w:val="es-MX"/>
        </w:rPr>
      </w:pPr>
    </w:p>
    <w:p w14:paraId="747B3FE6" w14:textId="77777777" w:rsidR="00FA0E54" w:rsidRPr="00101EC1" w:rsidRDefault="00FA0E54" w:rsidP="006302AC">
      <w:pPr>
        <w:pStyle w:val="Sinespaciado"/>
        <w:jc w:val="center"/>
        <w:rPr>
          <w:rFonts w:ascii="Times New Roman" w:hAnsi="Times New Roman" w:cs="Times New Roman"/>
          <w:szCs w:val="18"/>
          <w:lang w:val="es-MX"/>
        </w:rPr>
      </w:pPr>
    </w:p>
    <w:p w14:paraId="374F428E" w14:textId="77777777" w:rsidR="00863E34" w:rsidRPr="00101EC1" w:rsidRDefault="00863E34" w:rsidP="006302AC">
      <w:pPr>
        <w:pStyle w:val="Sinespaciado"/>
        <w:jc w:val="center"/>
        <w:rPr>
          <w:rFonts w:ascii="Times New Roman" w:hAnsi="Times New Roman" w:cs="Times New Roman"/>
          <w:szCs w:val="18"/>
          <w:lang w:val="es-MX"/>
        </w:rPr>
      </w:pPr>
    </w:p>
    <w:p w14:paraId="76B91FEB" w14:textId="77777777" w:rsidR="006302AC" w:rsidRPr="00101EC1" w:rsidRDefault="006302AC" w:rsidP="006302AC">
      <w:pPr>
        <w:pStyle w:val="Sinespaciado"/>
        <w:jc w:val="center"/>
        <w:rPr>
          <w:rFonts w:ascii="Times New Roman" w:hAnsi="Times New Roman" w:cs="Times New Roman"/>
          <w:szCs w:val="18"/>
          <w:lang w:val="es-MX"/>
        </w:rPr>
      </w:pPr>
    </w:p>
    <w:p w14:paraId="370A6E83" w14:textId="77777777" w:rsidR="006302AC" w:rsidRPr="00101EC1" w:rsidRDefault="006302AC" w:rsidP="006302AC">
      <w:pPr>
        <w:pStyle w:val="Sinespaciado"/>
        <w:jc w:val="center"/>
        <w:rPr>
          <w:rFonts w:ascii="Times New Roman" w:hAnsi="Times New Roman" w:cs="Times New Roman"/>
          <w:szCs w:val="18"/>
          <w:lang w:val="es-MX"/>
        </w:rPr>
      </w:pPr>
    </w:p>
    <w:p w14:paraId="263E600C" w14:textId="77777777" w:rsidR="006302AC" w:rsidRPr="00101EC1" w:rsidRDefault="006302AC" w:rsidP="006302AC">
      <w:pPr>
        <w:pStyle w:val="Sinespaciado"/>
        <w:jc w:val="center"/>
        <w:rPr>
          <w:rFonts w:ascii="Times New Roman" w:hAnsi="Times New Roman" w:cs="Times New Roman"/>
          <w:szCs w:val="18"/>
          <w:lang w:val="es-MX"/>
        </w:rPr>
      </w:pPr>
    </w:p>
    <w:p w14:paraId="41F778A3" w14:textId="77777777" w:rsidR="006302AC" w:rsidRPr="00101EC1" w:rsidRDefault="006302AC" w:rsidP="006302AC">
      <w:pPr>
        <w:pStyle w:val="Sinespaciado"/>
        <w:jc w:val="center"/>
        <w:rPr>
          <w:rFonts w:ascii="Times New Roman" w:hAnsi="Times New Roman" w:cs="Times New Roman"/>
          <w:szCs w:val="18"/>
          <w:lang w:val="es-MX"/>
        </w:rPr>
      </w:pPr>
    </w:p>
    <w:p w14:paraId="4DDBDB9B" w14:textId="77777777" w:rsidR="006302AC" w:rsidRPr="00101EC1" w:rsidRDefault="006302AC" w:rsidP="006302AC">
      <w:pPr>
        <w:pStyle w:val="Sinespaciado"/>
        <w:jc w:val="center"/>
        <w:rPr>
          <w:rFonts w:ascii="Times New Roman" w:hAnsi="Times New Roman" w:cs="Times New Roman"/>
          <w:szCs w:val="18"/>
          <w:lang w:val="es-MX"/>
        </w:rPr>
      </w:pPr>
    </w:p>
    <w:p w14:paraId="0684B3B6" w14:textId="77777777" w:rsidR="006302AC" w:rsidRPr="00101EC1" w:rsidRDefault="006302AC" w:rsidP="006302AC">
      <w:pPr>
        <w:pStyle w:val="Sinespaciado"/>
        <w:jc w:val="center"/>
        <w:rPr>
          <w:rFonts w:ascii="Times New Roman" w:hAnsi="Times New Roman" w:cs="Times New Roman"/>
          <w:szCs w:val="18"/>
          <w:lang w:val="es-MX"/>
        </w:rPr>
      </w:pPr>
    </w:p>
    <w:p w14:paraId="2BEEFDE6" w14:textId="77777777" w:rsidR="006302AC" w:rsidRPr="00101EC1" w:rsidRDefault="006302AC" w:rsidP="006302AC">
      <w:pPr>
        <w:pStyle w:val="Sinespaciado"/>
        <w:jc w:val="center"/>
        <w:rPr>
          <w:rFonts w:ascii="Times New Roman" w:hAnsi="Times New Roman" w:cs="Times New Roman"/>
          <w:szCs w:val="18"/>
          <w:lang w:val="es-MX"/>
        </w:rPr>
      </w:pPr>
    </w:p>
    <w:p w14:paraId="0A8F1D8D" w14:textId="77777777" w:rsidR="006302AC" w:rsidRPr="00101EC1" w:rsidRDefault="006302AC" w:rsidP="006302AC">
      <w:pPr>
        <w:pStyle w:val="Sinespaciado"/>
        <w:jc w:val="center"/>
        <w:rPr>
          <w:rFonts w:ascii="Times New Roman" w:hAnsi="Times New Roman" w:cs="Times New Roman"/>
          <w:szCs w:val="18"/>
          <w:lang w:val="es-MX"/>
        </w:rPr>
      </w:pPr>
    </w:p>
    <w:p w14:paraId="2F6D5828" w14:textId="77777777" w:rsidR="006302AC" w:rsidRPr="00101EC1" w:rsidRDefault="006302AC" w:rsidP="006302AC">
      <w:pPr>
        <w:pStyle w:val="Sinespaciado"/>
        <w:jc w:val="center"/>
        <w:rPr>
          <w:rFonts w:ascii="Times New Roman" w:hAnsi="Times New Roman" w:cs="Times New Roman"/>
          <w:szCs w:val="18"/>
          <w:lang w:val="es-MX"/>
        </w:rPr>
      </w:pPr>
    </w:p>
    <w:p w14:paraId="5812A982" w14:textId="5095B2ED" w:rsidR="006302AC" w:rsidRPr="00101EC1" w:rsidRDefault="006302AC" w:rsidP="006302AC">
      <w:pPr>
        <w:spacing w:after="0" w:line="240" w:lineRule="auto"/>
        <w:jc w:val="both"/>
        <w:rPr>
          <w:rFonts w:ascii="Times New Roman" w:hAnsi="Times New Roman" w:cs="Times New Roman"/>
          <w:sz w:val="16"/>
          <w:szCs w:val="16"/>
        </w:rPr>
      </w:pPr>
      <w:r w:rsidRPr="00101EC1">
        <w:rPr>
          <w:rFonts w:ascii="Times New Roman" w:hAnsi="Times New Roman" w:cs="Times New Roman"/>
          <w:sz w:val="16"/>
          <w:szCs w:val="16"/>
        </w:rPr>
        <w:t>Fuente: Dirección de Análisis y Política Fiscal.</w:t>
      </w:r>
    </w:p>
    <w:p w14:paraId="5EFDB917" w14:textId="77777777" w:rsidR="006302AC" w:rsidRPr="000104C5" w:rsidRDefault="006302AC" w:rsidP="0024077F">
      <w:pPr>
        <w:pStyle w:val="Sinespaciado"/>
        <w:jc w:val="both"/>
        <w:rPr>
          <w:rFonts w:ascii="Times New Roman" w:hAnsi="Times New Roman" w:cs="Times New Roman"/>
          <w:color w:val="FF0000"/>
          <w:sz w:val="18"/>
        </w:rPr>
      </w:pPr>
    </w:p>
    <w:p w14:paraId="3F06C82C" w14:textId="6A2701E7" w:rsidR="00101EC1" w:rsidRDefault="00101EC1" w:rsidP="00101EC1">
      <w:pPr>
        <w:pStyle w:val="Sinespaciado"/>
        <w:jc w:val="both"/>
        <w:rPr>
          <w:rFonts w:ascii="Times New Roman" w:hAnsi="Times New Roman" w:cs="Times New Roman"/>
        </w:rPr>
      </w:pPr>
      <w:r>
        <w:rPr>
          <w:rFonts w:ascii="Times New Roman" w:hAnsi="Times New Roman" w:cs="Times New Roman"/>
        </w:rPr>
        <w:t>A nivel del gasto público por entidades, las que muestran el mayor nivel de ejecución son: Energía y Minas (55.5%), PGN (47.7%), Deuda Pública (47.7%), Presidencia (46.1%), Educación (45.9%), Defensa (44</w:t>
      </w:r>
      <w:r w:rsidRPr="00661C9A">
        <w:rPr>
          <w:rFonts w:ascii="Times New Roman" w:hAnsi="Times New Roman" w:cs="Times New Roman"/>
        </w:rPr>
        <w:t>.</w:t>
      </w:r>
      <w:r>
        <w:rPr>
          <w:rFonts w:ascii="Times New Roman" w:hAnsi="Times New Roman" w:cs="Times New Roman"/>
        </w:rPr>
        <w:t>1</w:t>
      </w:r>
      <w:r w:rsidRPr="00661C9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Relaciones Exteriores (44.0%),</w:t>
      </w:r>
      <w:r>
        <w:t xml:space="preserve"> </w:t>
      </w:r>
      <w:r>
        <w:rPr>
          <w:rFonts w:ascii="Times New Roman" w:hAnsi="Times New Roman" w:cs="Times New Roman"/>
        </w:rPr>
        <w:t>Trabajo (44.0%) y Obligaciones del Estado (42.9%), todas estas entidades se encuentran por arriba de la ejecución institucional total (42.3%).</w:t>
      </w:r>
    </w:p>
    <w:p w14:paraId="023A05E6" w14:textId="77777777" w:rsidR="00101EC1" w:rsidRDefault="00101EC1" w:rsidP="00101EC1">
      <w:pPr>
        <w:pStyle w:val="Sinespaciado"/>
        <w:jc w:val="both"/>
        <w:rPr>
          <w:rFonts w:ascii="Times New Roman" w:hAnsi="Times New Roman" w:cs="Times New Roman"/>
        </w:rPr>
      </w:pPr>
    </w:p>
    <w:p w14:paraId="0700E7BB" w14:textId="77777777" w:rsidR="00101EC1" w:rsidRDefault="00101EC1" w:rsidP="00101EC1">
      <w:pPr>
        <w:pStyle w:val="Sinespaciado"/>
        <w:jc w:val="both"/>
        <w:rPr>
          <w:rFonts w:ascii="Times New Roman" w:hAnsi="Times New Roman" w:cs="Times New Roman"/>
        </w:rPr>
      </w:pPr>
      <w:r>
        <w:rPr>
          <w:rFonts w:ascii="Times New Roman" w:hAnsi="Times New Roman" w:cs="Times New Roman"/>
        </w:rPr>
        <w:t xml:space="preserve">Es relevante el caso del Ministerio de Energía y Minas, cuyo presupuesto y nivel de ejecución se ha ido ampliando conforme avanzan los meses y se espera que continúe siendo alto dado que es la entidad que concentra el subsidio a las empresas que distribuyen gas propano y gasolina superior, regular y diésel. </w:t>
      </w:r>
    </w:p>
    <w:p w14:paraId="48C693A1" w14:textId="77777777" w:rsidR="00101EC1" w:rsidRDefault="00101EC1" w:rsidP="00101EC1">
      <w:pPr>
        <w:pStyle w:val="Sinespaciado"/>
        <w:jc w:val="both"/>
        <w:rPr>
          <w:rFonts w:ascii="Times New Roman" w:hAnsi="Times New Roman" w:cs="Times New Roman"/>
        </w:rPr>
      </w:pPr>
    </w:p>
    <w:p w14:paraId="3E424CF6" w14:textId="051A55C8" w:rsidR="00E02DD8" w:rsidRPr="000104C5" w:rsidRDefault="00101EC1" w:rsidP="00101EC1">
      <w:pPr>
        <w:pStyle w:val="Sinespaciado"/>
        <w:jc w:val="both"/>
        <w:rPr>
          <w:rFonts w:ascii="Times New Roman" w:hAnsi="Times New Roman" w:cs="Times New Roman"/>
          <w:color w:val="FF0000"/>
        </w:rPr>
      </w:pPr>
      <w:r>
        <w:rPr>
          <w:rFonts w:ascii="Times New Roman" w:hAnsi="Times New Roman" w:cs="Times New Roman"/>
        </w:rPr>
        <w:t>Por su parte, el resto de las entidades se encuentran por debajo de la ejecución total, el caso más destacado es el de</w:t>
      </w:r>
      <w:r w:rsidRPr="00393220">
        <w:rPr>
          <w:rFonts w:ascii="Times New Roman" w:hAnsi="Times New Roman" w:cs="Times New Roman"/>
        </w:rPr>
        <w:t xml:space="preserve"> </w:t>
      </w:r>
      <w:r>
        <w:rPr>
          <w:rFonts w:ascii="Times New Roman" w:hAnsi="Times New Roman" w:cs="Times New Roman"/>
        </w:rPr>
        <w:t>Ambiente y Recursos Naturales (31.5%), Economía (29.2%) y Comunicaciones (28.4%).</w:t>
      </w:r>
      <w:r w:rsidR="0024077F" w:rsidRPr="000104C5">
        <w:rPr>
          <w:rFonts w:ascii="Times New Roman" w:hAnsi="Times New Roman" w:cs="Times New Roman"/>
          <w:color w:val="FF0000"/>
        </w:rPr>
        <w:t xml:space="preserve"> </w:t>
      </w:r>
      <w:r w:rsidR="00E02DD8" w:rsidRPr="000104C5">
        <w:rPr>
          <w:rFonts w:ascii="Times New Roman" w:hAnsi="Times New Roman" w:cs="Times New Roman"/>
          <w:color w:val="FF0000"/>
        </w:rPr>
        <w:t xml:space="preserve"> </w:t>
      </w:r>
    </w:p>
    <w:p w14:paraId="108F41E7" w14:textId="77777777" w:rsidR="00E02DD8" w:rsidRPr="00E07686" w:rsidRDefault="00E02DD8" w:rsidP="00E02DD8">
      <w:pPr>
        <w:pStyle w:val="Sinespaciado"/>
        <w:jc w:val="both"/>
        <w:rPr>
          <w:rFonts w:ascii="Times New Roman" w:hAnsi="Times New Roman" w:cs="Times New Roman"/>
          <w:sz w:val="18"/>
        </w:rPr>
      </w:pPr>
    </w:p>
    <w:p w14:paraId="62DFE7CC" w14:textId="77777777" w:rsidR="00E02DD8" w:rsidRPr="00E07686" w:rsidRDefault="00E02DD8" w:rsidP="00E02DD8">
      <w:pPr>
        <w:spacing w:after="0" w:line="240" w:lineRule="auto"/>
        <w:jc w:val="center"/>
        <w:rPr>
          <w:rFonts w:ascii="Times New Roman" w:hAnsi="Times New Roman" w:cs="Times New Roman"/>
          <w:b/>
          <w:sz w:val="24"/>
          <w:lang w:val="es-MX"/>
        </w:rPr>
      </w:pPr>
      <w:r w:rsidRPr="00E07686">
        <w:rPr>
          <w:rFonts w:ascii="Times New Roman" w:hAnsi="Times New Roman" w:cs="Times New Roman"/>
          <w:b/>
          <w:sz w:val="24"/>
          <w:lang w:val="es-MX"/>
        </w:rPr>
        <w:t>Grado de Ejecución por Entidad</w:t>
      </w:r>
    </w:p>
    <w:p w14:paraId="42CC75BE" w14:textId="77777777" w:rsidR="00E02DD8" w:rsidRPr="00E07686" w:rsidRDefault="00FD6C71" w:rsidP="00E02DD8">
      <w:pPr>
        <w:spacing w:after="0" w:line="240" w:lineRule="auto"/>
        <w:jc w:val="center"/>
        <w:rPr>
          <w:rFonts w:ascii="Times New Roman" w:hAnsi="Times New Roman" w:cs="Times New Roman"/>
          <w:sz w:val="20"/>
          <w:szCs w:val="18"/>
          <w:lang w:val="es-MX"/>
        </w:rPr>
      </w:pPr>
      <w:r w:rsidRPr="00E07686">
        <w:rPr>
          <w:rFonts w:ascii="Times New Roman" w:hAnsi="Times New Roman" w:cs="Times New Roman"/>
          <w:sz w:val="20"/>
          <w:szCs w:val="18"/>
          <w:lang w:val="es-MX"/>
        </w:rPr>
        <w:t>Al 30</w:t>
      </w:r>
      <w:r w:rsidR="0067690E" w:rsidRPr="00E07686">
        <w:rPr>
          <w:rFonts w:ascii="Times New Roman" w:hAnsi="Times New Roman" w:cs="Times New Roman"/>
          <w:sz w:val="20"/>
          <w:szCs w:val="18"/>
          <w:lang w:val="es-MX"/>
        </w:rPr>
        <w:t xml:space="preserve"> </w:t>
      </w:r>
      <w:r w:rsidR="00E02DD8" w:rsidRPr="00E07686">
        <w:rPr>
          <w:rFonts w:ascii="Times New Roman" w:hAnsi="Times New Roman" w:cs="Times New Roman"/>
          <w:sz w:val="20"/>
          <w:szCs w:val="18"/>
          <w:lang w:val="es-MX"/>
        </w:rPr>
        <w:t xml:space="preserve">de </w:t>
      </w:r>
      <w:r w:rsidRPr="00E07686">
        <w:rPr>
          <w:rFonts w:ascii="Times New Roman" w:hAnsi="Times New Roman" w:cs="Times New Roman"/>
          <w:sz w:val="20"/>
          <w:szCs w:val="18"/>
          <w:lang w:val="es-MX"/>
        </w:rPr>
        <w:t>juni</w:t>
      </w:r>
      <w:r w:rsidR="00863E34" w:rsidRPr="00E07686">
        <w:rPr>
          <w:rFonts w:ascii="Times New Roman" w:hAnsi="Times New Roman" w:cs="Times New Roman"/>
          <w:sz w:val="20"/>
          <w:szCs w:val="18"/>
          <w:lang w:val="es-MX"/>
        </w:rPr>
        <w:t>o</w:t>
      </w:r>
      <w:r w:rsidRPr="00E07686">
        <w:rPr>
          <w:rFonts w:ascii="Times New Roman" w:hAnsi="Times New Roman" w:cs="Times New Roman"/>
          <w:sz w:val="20"/>
          <w:szCs w:val="18"/>
          <w:lang w:val="es-MX"/>
        </w:rPr>
        <w:t xml:space="preserve"> del 2022</w:t>
      </w:r>
    </w:p>
    <w:p w14:paraId="38CDE4CC" w14:textId="08910784" w:rsidR="00E02DD8" w:rsidRPr="00E07686" w:rsidRDefault="00E07686" w:rsidP="00E02DD8">
      <w:pPr>
        <w:spacing w:after="0" w:line="240" w:lineRule="auto"/>
        <w:jc w:val="center"/>
        <w:rPr>
          <w:rFonts w:ascii="Times New Roman" w:hAnsi="Times New Roman" w:cs="Times New Roman"/>
          <w:sz w:val="20"/>
          <w:szCs w:val="18"/>
          <w:lang w:val="es-MX"/>
        </w:rPr>
      </w:pPr>
      <w:r w:rsidRPr="00E07686">
        <w:rPr>
          <w:noProof/>
          <w:lang w:eastAsia="es-GT"/>
        </w:rPr>
        <w:drawing>
          <wp:anchor distT="0" distB="0" distL="114300" distR="114300" simplePos="0" relativeHeight="251846656" behindDoc="0" locked="0" layoutInCell="1" allowOverlap="1" wp14:anchorId="2E71A21D" wp14:editId="31AF106E">
            <wp:simplePos x="0" y="0"/>
            <wp:positionH relativeFrom="column">
              <wp:posOffset>3810</wp:posOffset>
            </wp:positionH>
            <wp:positionV relativeFrom="paragraph">
              <wp:posOffset>147954</wp:posOffset>
            </wp:positionV>
            <wp:extent cx="2581275" cy="3057525"/>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E02DD8" w:rsidRPr="00E07686">
        <w:rPr>
          <w:rFonts w:ascii="Times New Roman" w:hAnsi="Times New Roman" w:cs="Times New Roman"/>
          <w:sz w:val="20"/>
          <w:szCs w:val="18"/>
          <w:lang w:val="es-MX"/>
        </w:rPr>
        <w:t>En porcentajes</w:t>
      </w:r>
    </w:p>
    <w:p w14:paraId="4DCF39BB" w14:textId="3543E410" w:rsidR="00840733" w:rsidRPr="00E07686" w:rsidRDefault="00840733" w:rsidP="00E02DD8">
      <w:pPr>
        <w:spacing w:after="0" w:line="240" w:lineRule="auto"/>
        <w:jc w:val="center"/>
        <w:rPr>
          <w:rFonts w:ascii="Times New Roman" w:hAnsi="Times New Roman" w:cs="Times New Roman"/>
          <w:szCs w:val="18"/>
          <w:lang w:val="es-MX"/>
        </w:rPr>
      </w:pPr>
    </w:p>
    <w:p w14:paraId="21E689AF" w14:textId="77777777" w:rsidR="00840733" w:rsidRPr="00E07686" w:rsidRDefault="00840733" w:rsidP="00E02DD8">
      <w:pPr>
        <w:spacing w:after="0" w:line="240" w:lineRule="auto"/>
        <w:jc w:val="center"/>
        <w:rPr>
          <w:rFonts w:ascii="Times New Roman" w:hAnsi="Times New Roman" w:cs="Times New Roman"/>
          <w:szCs w:val="18"/>
          <w:lang w:val="es-MX"/>
        </w:rPr>
      </w:pPr>
    </w:p>
    <w:p w14:paraId="243CD4BE" w14:textId="77777777" w:rsidR="0024077F" w:rsidRPr="00E07686" w:rsidRDefault="0024077F" w:rsidP="00E02DD8">
      <w:pPr>
        <w:spacing w:after="0" w:line="240" w:lineRule="auto"/>
        <w:jc w:val="center"/>
        <w:rPr>
          <w:rFonts w:ascii="Times New Roman" w:hAnsi="Times New Roman" w:cs="Times New Roman"/>
          <w:szCs w:val="18"/>
          <w:lang w:val="es-MX"/>
        </w:rPr>
      </w:pPr>
    </w:p>
    <w:p w14:paraId="4CBA5284" w14:textId="77777777" w:rsidR="0024077F" w:rsidRPr="00E07686" w:rsidRDefault="0024077F" w:rsidP="00E02DD8">
      <w:pPr>
        <w:spacing w:after="0" w:line="240" w:lineRule="auto"/>
        <w:jc w:val="center"/>
        <w:rPr>
          <w:rFonts w:ascii="Times New Roman" w:hAnsi="Times New Roman" w:cs="Times New Roman"/>
          <w:szCs w:val="18"/>
          <w:lang w:val="es-MX"/>
        </w:rPr>
      </w:pPr>
    </w:p>
    <w:p w14:paraId="22FC7576" w14:textId="77777777" w:rsidR="0024077F" w:rsidRPr="00E07686" w:rsidRDefault="0024077F" w:rsidP="00E02DD8">
      <w:pPr>
        <w:spacing w:after="0" w:line="240" w:lineRule="auto"/>
        <w:jc w:val="center"/>
        <w:rPr>
          <w:rFonts w:ascii="Times New Roman" w:hAnsi="Times New Roman" w:cs="Times New Roman"/>
          <w:szCs w:val="18"/>
          <w:lang w:val="es-MX"/>
        </w:rPr>
      </w:pPr>
    </w:p>
    <w:p w14:paraId="4A32EBBC" w14:textId="77777777" w:rsidR="0024077F" w:rsidRPr="00E07686" w:rsidRDefault="0024077F" w:rsidP="00E02DD8">
      <w:pPr>
        <w:spacing w:after="0" w:line="240" w:lineRule="auto"/>
        <w:jc w:val="center"/>
        <w:rPr>
          <w:rFonts w:ascii="Times New Roman" w:hAnsi="Times New Roman" w:cs="Times New Roman"/>
          <w:szCs w:val="18"/>
          <w:lang w:val="es-MX"/>
        </w:rPr>
      </w:pPr>
    </w:p>
    <w:p w14:paraId="1E8A6A29" w14:textId="77777777" w:rsidR="0024077F" w:rsidRPr="00E07686" w:rsidRDefault="0024077F" w:rsidP="00E02DD8">
      <w:pPr>
        <w:spacing w:after="0" w:line="240" w:lineRule="auto"/>
        <w:jc w:val="center"/>
        <w:rPr>
          <w:rFonts w:ascii="Times New Roman" w:hAnsi="Times New Roman" w:cs="Times New Roman"/>
          <w:szCs w:val="18"/>
          <w:lang w:val="es-MX"/>
        </w:rPr>
      </w:pPr>
    </w:p>
    <w:p w14:paraId="3F1758B9" w14:textId="77777777" w:rsidR="0024077F" w:rsidRPr="00E07686" w:rsidRDefault="0024077F" w:rsidP="00E02DD8">
      <w:pPr>
        <w:spacing w:after="0" w:line="240" w:lineRule="auto"/>
        <w:jc w:val="center"/>
        <w:rPr>
          <w:rFonts w:ascii="Times New Roman" w:hAnsi="Times New Roman" w:cs="Times New Roman"/>
          <w:szCs w:val="18"/>
          <w:lang w:val="es-MX"/>
        </w:rPr>
      </w:pPr>
    </w:p>
    <w:p w14:paraId="7DB38306" w14:textId="77777777" w:rsidR="0024077F" w:rsidRPr="00E07686" w:rsidRDefault="0024077F" w:rsidP="00E02DD8">
      <w:pPr>
        <w:spacing w:after="0" w:line="240" w:lineRule="auto"/>
        <w:jc w:val="center"/>
        <w:rPr>
          <w:rFonts w:ascii="Times New Roman" w:hAnsi="Times New Roman" w:cs="Times New Roman"/>
          <w:szCs w:val="18"/>
          <w:lang w:val="es-MX"/>
        </w:rPr>
      </w:pPr>
    </w:p>
    <w:p w14:paraId="6AB68ADE" w14:textId="77777777" w:rsidR="0024077F" w:rsidRPr="00E07686" w:rsidRDefault="0024077F" w:rsidP="00E02DD8">
      <w:pPr>
        <w:spacing w:after="0" w:line="240" w:lineRule="auto"/>
        <w:jc w:val="center"/>
        <w:rPr>
          <w:rFonts w:ascii="Times New Roman" w:hAnsi="Times New Roman" w:cs="Times New Roman"/>
          <w:szCs w:val="18"/>
          <w:lang w:val="es-MX"/>
        </w:rPr>
      </w:pPr>
    </w:p>
    <w:p w14:paraId="77FA5311" w14:textId="77777777" w:rsidR="0024077F" w:rsidRPr="00E07686" w:rsidRDefault="0024077F" w:rsidP="00E02DD8">
      <w:pPr>
        <w:spacing w:after="0" w:line="240" w:lineRule="auto"/>
        <w:jc w:val="center"/>
        <w:rPr>
          <w:rFonts w:ascii="Times New Roman" w:hAnsi="Times New Roman" w:cs="Times New Roman"/>
          <w:szCs w:val="18"/>
          <w:lang w:val="es-MX"/>
        </w:rPr>
      </w:pPr>
    </w:p>
    <w:p w14:paraId="5951AD02" w14:textId="77777777" w:rsidR="0024077F" w:rsidRPr="00E07686" w:rsidRDefault="0024077F" w:rsidP="00E02DD8">
      <w:pPr>
        <w:spacing w:after="0" w:line="240" w:lineRule="auto"/>
        <w:jc w:val="center"/>
        <w:rPr>
          <w:rFonts w:ascii="Times New Roman" w:hAnsi="Times New Roman" w:cs="Times New Roman"/>
          <w:szCs w:val="18"/>
          <w:lang w:val="es-MX"/>
        </w:rPr>
      </w:pPr>
    </w:p>
    <w:p w14:paraId="2D670D0E" w14:textId="77777777" w:rsidR="0024077F" w:rsidRPr="00E07686" w:rsidRDefault="0024077F" w:rsidP="00E02DD8">
      <w:pPr>
        <w:spacing w:after="0" w:line="240" w:lineRule="auto"/>
        <w:jc w:val="center"/>
        <w:rPr>
          <w:rFonts w:ascii="Times New Roman" w:hAnsi="Times New Roman" w:cs="Times New Roman"/>
          <w:szCs w:val="18"/>
          <w:lang w:val="es-MX"/>
        </w:rPr>
      </w:pPr>
    </w:p>
    <w:p w14:paraId="656C9811" w14:textId="77777777" w:rsidR="0024077F" w:rsidRPr="00E07686" w:rsidRDefault="0024077F" w:rsidP="00E02DD8">
      <w:pPr>
        <w:spacing w:after="0" w:line="240" w:lineRule="auto"/>
        <w:jc w:val="center"/>
        <w:rPr>
          <w:rFonts w:ascii="Times New Roman" w:hAnsi="Times New Roman" w:cs="Times New Roman"/>
          <w:szCs w:val="18"/>
          <w:lang w:val="es-MX"/>
        </w:rPr>
      </w:pPr>
    </w:p>
    <w:p w14:paraId="1212B70B" w14:textId="77777777" w:rsidR="0024077F" w:rsidRPr="00E07686" w:rsidRDefault="0024077F" w:rsidP="00E02DD8">
      <w:pPr>
        <w:spacing w:after="0" w:line="240" w:lineRule="auto"/>
        <w:jc w:val="center"/>
        <w:rPr>
          <w:rFonts w:ascii="Times New Roman" w:hAnsi="Times New Roman" w:cs="Times New Roman"/>
          <w:szCs w:val="18"/>
          <w:lang w:val="es-MX"/>
        </w:rPr>
      </w:pPr>
    </w:p>
    <w:p w14:paraId="7304E5ED" w14:textId="77777777" w:rsidR="0024077F" w:rsidRPr="00E07686" w:rsidRDefault="0024077F" w:rsidP="00E02DD8">
      <w:pPr>
        <w:spacing w:after="0" w:line="240" w:lineRule="auto"/>
        <w:jc w:val="center"/>
        <w:rPr>
          <w:rFonts w:ascii="Times New Roman" w:hAnsi="Times New Roman" w:cs="Times New Roman"/>
          <w:szCs w:val="18"/>
          <w:lang w:val="es-MX"/>
        </w:rPr>
      </w:pPr>
    </w:p>
    <w:p w14:paraId="1DF5B980" w14:textId="77777777" w:rsidR="0024077F" w:rsidRPr="00E07686" w:rsidRDefault="0024077F" w:rsidP="00E02DD8">
      <w:pPr>
        <w:spacing w:after="0" w:line="240" w:lineRule="auto"/>
        <w:jc w:val="center"/>
        <w:rPr>
          <w:rFonts w:ascii="Times New Roman" w:hAnsi="Times New Roman" w:cs="Times New Roman"/>
          <w:szCs w:val="18"/>
          <w:lang w:val="es-MX"/>
        </w:rPr>
      </w:pPr>
    </w:p>
    <w:p w14:paraId="76DA1579" w14:textId="77777777" w:rsidR="00F979D8" w:rsidRPr="00E07686" w:rsidRDefault="00F979D8" w:rsidP="00E02DD8">
      <w:pPr>
        <w:spacing w:after="0" w:line="240" w:lineRule="auto"/>
        <w:jc w:val="both"/>
        <w:rPr>
          <w:rFonts w:ascii="Times New Roman" w:hAnsi="Times New Roman" w:cs="Times New Roman"/>
          <w:sz w:val="16"/>
          <w:szCs w:val="16"/>
        </w:rPr>
      </w:pPr>
    </w:p>
    <w:p w14:paraId="2776C915" w14:textId="77777777" w:rsidR="00FA0E54" w:rsidRPr="00E07686" w:rsidRDefault="00FA0E54" w:rsidP="00E02DD8">
      <w:pPr>
        <w:spacing w:after="0" w:line="240" w:lineRule="auto"/>
        <w:jc w:val="both"/>
        <w:rPr>
          <w:rFonts w:ascii="Times New Roman" w:hAnsi="Times New Roman" w:cs="Times New Roman"/>
          <w:sz w:val="16"/>
          <w:szCs w:val="16"/>
        </w:rPr>
      </w:pPr>
    </w:p>
    <w:p w14:paraId="130CE381" w14:textId="77777777" w:rsidR="00FA0E54" w:rsidRPr="00E07686" w:rsidRDefault="00FA0E54" w:rsidP="00E02DD8">
      <w:pPr>
        <w:spacing w:after="0" w:line="240" w:lineRule="auto"/>
        <w:jc w:val="both"/>
        <w:rPr>
          <w:rFonts w:ascii="Times New Roman" w:hAnsi="Times New Roman" w:cs="Times New Roman"/>
          <w:sz w:val="16"/>
          <w:szCs w:val="16"/>
        </w:rPr>
      </w:pPr>
    </w:p>
    <w:p w14:paraId="70807A2B" w14:textId="77777777" w:rsidR="00E02DD8" w:rsidRPr="00E07686" w:rsidRDefault="00E02DD8" w:rsidP="00E02DD8">
      <w:pPr>
        <w:spacing w:after="0" w:line="240" w:lineRule="auto"/>
        <w:jc w:val="both"/>
        <w:rPr>
          <w:rFonts w:ascii="Times New Roman" w:hAnsi="Times New Roman" w:cs="Times New Roman"/>
          <w:sz w:val="16"/>
          <w:szCs w:val="16"/>
        </w:rPr>
      </w:pPr>
      <w:r w:rsidRPr="00E07686">
        <w:rPr>
          <w:rFonts w:ascii="Times New Roman" w:hAnsi="Times New Roman" w:cs="Times New Roman"/>
          <w:sz w:val="16"/>
          <w:szCs w:val="16"/>
        </w:rPr>
        <w:t>Fuente: Dirección de Análisis y Política Fiscal</w:t>
      </w:r>
      <w:r w:rsidR="00AD7C37" w:rsidRPr="00E07686">
        <w:rPr>
          <w:rFonts w:ascii="Times New Roman" w:hAnsi="Times New Roman" w:cs="Times New Roman"/>
          <w:sz w:val="16"/>
          <w:szCs w:val="16"/>
        </w:rPr>
        <w:t>.</w:t>
      </w:r>
    </w:p>
    <w:p w14:paraId="0BDBA734" w14:textId="77777777" w:rsidR="00DF6AE8" w:rsidRPr="000104C5" w:rsidRDefault="00DF6AE8" w:rsidP="00E02DD8">
      <w:pPr>
        <w:pStyle w:val="Sinespaciado"/>
        <w:jc w:val="both"/>
        <w:rPr>
          <w:rFonts w:ascii="Times New Roman" w:hAnsi="Times New Roman" w:cs="Times New Roman"/>
          <w:color w:val="FF0000"/>
          <w:lang w:val="es-MX"/>
        </w:rPr>
      </w:pPr>
    </w:p>
    <w:p w14:paraId="4CF4B414" w14:textId="74FAC2D2" w:rsidR="00E07686" w:rsidRDefault="00E07686" w:rsidP="00E07686">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respecta al Ministerio de Comunicaciones, Infraestructura y Vivienda, su bajo grado de ejecución se debe a que su presupuesto tuvo un aumento correspondiente al </w:t>
      </w:r>
      <w:r w:rsidRPr="00393220">
        <w:rPr>
          <w:rFonts w:ascii="Times New Roman" w:hAnsi="Times New Roman" w:cs="Times New Roman"/>
          <w:lang w:val="es-MX"/>
        </w:rPr>
        <w:t>Decreto 21-2022 “Ley para fortalecer el Mantenimiento y Construcción de Infraestructura Estratégica”</w:t>
      </w:r>
      <w:r>
        <w:rPr>
          <w:rFonts w:ascii="Times New Roman" w:hAnsi="Times New Roman" w:cs="Times New Roman"/>
          <w:lang w:val="es-MX"/>
        </w:rPr>
        <w:t xml:space="preserve">, el cual aún no </w:t>
      </w:r>
      <w:r>
        <w:rPr>
          <w:rFonts w:ascii="Times New Roman" w:hAnsi="Times New Roman" w:cs="Times New Roman"/>
          <w:lang w:val="es-MX"/>
        </w:rPr>
        <w:lastRenderedPageBreak/>
        <w:t>reporta ejecución. En los próximos meses, a medida que se dinamice la ejecución de los recursos, se esperaría un incremento en el rubro de la inversión real directa y el nivel de ejecución de este Ministerio.</w:t>
      </w:r>
    </w:p>
    <w:p w14:paraId="62AD3C6E" w14:textId="77777777" w:rsidR="00E07686" w:rsidRDefault="00E07686" w:rsidP="00E07686">
      <w:pPr>
        <w:pStyle w:val="Sinespaciado"/>
        <w:jc w:val="both"/>
        <w:rPr>
          <w:rFonts w:ascii="Times New Roman" w:hAnsi="Times New Roman" w:cs="Times New Roman"/>
          <w:lang w:val="es-MX"/>
        </w:rPr>
      </w:pPr>
    </w:p>
    <w:p w14:paraId="2AF427A5" w14:textId="77777777" w:rsidR="00E07686" w:rsidRDefault="00E07686" w:rsidP="00E07686">
      <w:pPr>
        <w:pStyle w:val="Sinespaciado"/>
        <w:jc w:val="both"/>
        <w:rPr>
          <w:rFonts w:ascii="Times New Roman" w:hAnsi="Times New Roman" w:cs="Times New Roman"/>
          <w:szCs w:val="24"/>
        </w:rPr>
      </w:pPr>
      <w:r w:rsidRPr="00553F17">
        <w:rPr>
          <w:rFonts w:ascii="Times New Roman" w:hAnsi="Times New Roman" w:cs="Times New Roman"/>
          <w:szCs w:val="24"/>
        </w:rPr>
        <w:t>En mayo</w:t>
      </w:r>
      <w:r>
        <w:rPr>
          <w:rFonts w:ascii="Times New Roman" w:hAnsi="Times New Roman" w:cs="Times New Roman"/>
          <w:szCs w:val="24"/>
        </w:rPr>
        <w:t xml:space="preserve"> se emitieron disposiciones presidenciales para la eficiencia, control y priorización del gasto público para el ejercicio fiscal 2022 (cobraron vigencia a partir del 01 de junio hasta el 31 de diciembre), al respecto se informó que, derivado de los factores geopolíticos, se puede producir una posible ralentización en la recuperación del crecimiento económico mundial, con un impacto negativo en el crecimiento económico de Guatemala, que podría incidir en la recaudación tributaria y, por lo tanto, en la disponibilidad de recursos que percibiría el Estado. Por ello es necesario continuar con un manejo prudente de las finanzas públicas.</w:t>
      </w:r>
    </w:p>
    <w:p w14:paraId="73A1BD0E" w14:textId="77777777" w:rsidR="00E07686" w:rsidRDefault="00E07686" w:rsidP="00E07686">
      <w:pPr>
        <w:pStyle w:val="Sinespaciado"/>
        <w:jc w:val="both"/>
        <w:rPr>
          <w:rFonts w:ascii="Times New Roman" w:hAnsi="Times New Roman" w:cs="Times New Roman"/>
          <w:szCs w:val="24"/>
        </w:rPr>
      </w:pPr>
    </w:p>
    <w:p w14:paraId="1EDEB34E" w14:textId="77777777" w:rsidR="00E07686" w:rsidRDefault="00E07686" w:rsidP="00E07686">
      <w:pPr>
        <w:pStyle w:val="Sinespaciado"/>
        <w:jc w:val="both"/>
        <w:rPr>
          <w:rFonts w:ascii="Times New Roman" w:hAnsi="Times New Roman" w:cs="Times New Roman"/>
          <w:szCs w:val="24"/>
        </w:rPr>
      </w:pPr>
      <w:r>
        <w:rPr>
          <w:rFonts w:ascii="Times New Roman" w:hAnsi="Times New Roman" w:cs="Times New Roman"/>
          <w:szCs w:val="24"/>
        </w:rPr>
        <w:t xml:space="preserve">Adicionalmente, por medio del Decreto 35-2022 se ratificó el decreto gubernativo 03-2022 por medio del cual se declara estado de calamidad pública en todo el territorio nacional por un plazo de 30 días, emitido por el Presidente de la República en Consejo de Ministros. </w:t>
      </w:r>
    </w:p>
    <w:p w14:paraId="60917C7E" w14:textId="77777777" w:rsidR="00E07686" w:rsidRDefault="00E07686" w:rsidP="00E07686">
      <w:pPr>
        <w:pStyle w:val="Sinespaciado"/>
        <w:jc w:val="both"/>
        <w:rPr>
          <w:rFonts w:ascii="Times New Roman" w:hAnsi="Times New Roman" w:cs="Times New Roman"/>
          <w:szCs w:val="24"/>
        </w:rPr>
      </w:pPr>
    </w:p>
    <w:p w14:paraId="4861E0B7" w14:textId="77777777" w:rsidR="00E07686" w:rsidRDefault="00E07686" w:rsidP="00E07686">
      <w:pPr>
        <w:pStyle w:val="Sinespaciado"/>
        <w:jc w:val="both"/>
        <w:rPr>
          <w:rFonts w:ascii="Times New Roman" w:hAnsi="Times New Roman" w:cs="Times New Roman"/>
          <w:szCs w:val="24"/>
        </w:rPr>
      </w:pPr>
      <w:r>
        <w:rPr>
          <w:rFonts w:ascii="Times New Roman" w:hAnsi="Times New Roman" w:cs="Times New Roman"/>
          <w:szCs w:val="24"/>
        </w:rPr>
        <w:t>El Estado de Calamidad Pública se decretó considerando los efectos de la época lluviosa, temporada ciclónica, sistemas de baja presión, entre otros, que favorecen altos acumulados de lluvia y saturación de suelos teniendo graves impactos en varias regiones de la República, obligando con ello al Estado a adoptar medidas oportunas y necesarias que permitan mitigar los efectos adversos reflejados especialmente en pérdidas y daños materiales.</w:t>
      </w:r>
    </w:p>
    <w:p w14:paraId="6DF69861" w14:textId="77777777" w:rsidR="00E07686" w:rsidRDefault="00E07686" w:rsidP="00E07686">
      <w:pPr>
        <w:pStyle w:val="Sinespaciado"/>
        <w:jc w:val="both"/>
        <w:rPr>
          <w:rFonts w:ascii="Times New Roman" w:hAnsi="Times New Roman" w:cs="Times New Roman"/>
          <w:szCs w:val="24"/>
        </w:rPr>
      </w:pPr>
    </w:p>
    <w:p w14:paraId="2840C184" w14:textId="77777777" w:rsidR="00E07686" w:rsidRDefault="00E07686" w:rsidP="00E07686">
      <w:pPr>
        <w:pStyle w:val="Sinespaciado"/>
        <w:jc w:val="both"/>
        <w:rPr>
          <w:rFonts w:ascii="Times New Roman" w:hAnsi="Times New Roman" w:cs="Times New Roman"/>
          <w:szCs w:val="24"/>
        </w:rPr>
      </w:pPr>
      <w:r>
        <w:rPr>
          <w:rFonts w:ascii="Times New Roman" w:hAnsi="Times New Roman" w:cs="Times New Roman"/>
          <w:szCs w:val="24"/>
        </w:rPr>
        <w:t xml:space="preserve">Por ello, en el Decreto 36-2022 se decidió fortalecer el fondo emergente hasta con Q1,000 millones que anteriormente correspondían a infraestructura estratégica (Q400 millones) y compra de la vacuna COVID-19 (Q600 millones). Dentro de la Ley </w:t>
      </w:r>
      <w:r>
        <w:rPr>
          <w:rFonts w:ascii="Times New Roman" w:hAnsi="Times New Roman" w:cs="Times New Roman"/>
          <w:szCs w:val="24"/>
        </w:rPr>
        <w:t>de Presupuesto de Ingresos y Egresos del Estado para el 2022, el Fondo Emergente contaba con una asignación de Q110.0 millones y con la nueva asignación se busca fortalecerlo con más recursos.</w:t>
      </w:r>
    </w:p>
    <w:p w14:paraId="574CBD98" w14:textId="77777777" w:rsidR="00E07686" w:rsidRDefault="00E07686" w:rsidP="00E07686">
      <w:pPr>
        <w:pStyle w:val="Sinespaciado"/>
        <w:jc w:val="both"/>
        <w:rPr>
          <w:rFonts w:ascii="Times New Roman" w:hAnsi="Times New Roman" w:cs="Times New Roman"/>
          <w:szCs w:val="24"/>
        </w:rPr>
      </w:pPr>
    </w:p>
    <w:p w14:paraId="3612457D" w14:textId="77777777" w:rsidR="00E07686" w:rsidRDefault="00E07686" w:rsidP="00E07686">
      <w:pPr>
        <w:pStyle w:val="Sinespaciado"/>
        <w:jc w:val="both"/>
        <w:rPr>
          <w:rFonts w:ascii="Times New Roman" w:hAnsi="Times New Roman" w:cs="Times New Roman"/>
          <w:lang w:val="es-MX"/>
        </w:rPr>
      </w:pPr>
      <w:r>
        <w:rPr>
          <w:rFonts w:ascii="Times New Roman" w:hAnsi="Times New Roman" w:cs="Times New Roman"/>
          <w:lang w:val="es-MX"/>
        </w:rPr>
        <w:t>Un componente importante del gasto es la ejecución del gasto social, este reporta un desempeño dinámico respecto a junio del año previo, con un crecimiento interanual de 15.3%, equivalente a Q3,110.5 millones. A excepción de Vivienda y Seguridad Interna, el resto de los sectores del gasto social se encuentran creciendo en términos interanuales.</w:t>
      </w:r>
    </w:p>
    <w:p w14:paraId="76009B02" w14:textId="77777777" w:rsidR="00E07686" w:rsidRDefault="00E07686" w:rsidP="00E07686">
      <w:pPr>
        <w:pStyle w:val="Sinespaciado"/>
        <w:jc w:val="both"/>
        <w:rPr>
          <w:rFonts w:ascii="Times New Roman" w:hAnsi="Times New Roman" w:cs="Times New Roman"/>
          <w:lang w:val="es-MX"/>
        </w:rPr>
      </w:pPr>
    </w:p>
    <w:p w14:paraId="10478A53" w14:textId="77777777" w:rsidR="00E07686" w:rsidRPr="00737678" w:rsidRDefault="00E07686" w:rsidP="00E07686">
      <w:pPr>
        <w:pStyle w:val="Sinespaciado"/>
        <w:jc w:val="both"/>
        <w:rPr>
          <w:rFonts w:ascii="Times New Roman" w:hAnsi="Times New Roman" w:cs="Times New Roman"/>
          <w:lang w:val="es-MX"/>
        </w:rPr>
      </w:pPr>
      <w:r>
        <w:rPr>
          <w:rFonts w:ascii="Times New Roman" w:hAnsi="Times New Roman" w:cs="Times New Roman"/>
          <w:lang w:val="es-MX"/>
        </w:rPr>
        <w:t>Resalta el</w:t>
      </w:r>
      <w:r w:rsidRPr="00737678">
        <w:t xml:space="preserve"> </w:t>
      </w:r>
      <w:r w:rsidRPr="00737678">
        <w:rPr>
          <w:rFonts w:ascii="Times New Roman" w:hAnsi="Times New Roman" w:cs="Times New Roman"/>
          <w:lang w:val="es-MX"/>
        </w:rPr>
        <w:t xml:space="preserve">sector </w:t>
      </w:r>
      <w:r>
        <w:rPr>
          <w:rFonts w:ascii="Times New Roman" w:hAnsi="Times New Roman" w:cs="Times New Roman"/>
          <w:lang w:val="es-MX"/>
        </w:rPr>
        <w:t>de Salud y Asistencia Social</w:t>
      </w:r>
      <w:r w:rsidRPr="00737678">
        <w:rPr>
          <w:rFonts w:ascii="Times New Roman" w:hAnsi="Times New Roman" w:cs="Times New Roman"/>
          <w:lang w:val="es-MX"/>
        </w:rPr>
        <w:t xml:space="preserve"> </w:t>
      </w:r>
      <w:r>
        <w:rPr>
          <w:rFonts w:ascii="Times New Roman" w:hAnsi="Times New Roman" w:cs="Times New Roman"/>
          <w:lang w:val="es-MX"/>
        </w:rPr>
        <w:t>con</w:t>
      </w:r>
      <w:r w:rsidRPr="00737678">
        <w:rPr>
          <w:rFonts w:ascii="Times New Roman" w:hAnsi="Times New Roman" w:cs="Times New Roman"/>
          <w:lang w:val="es-MX"/>
        </w:rPr>
        <w:t xml:space="preserve"> un crecimiento de </w:t>
      </w:r>
      <w:r>
        <w:rPr>
          <w:rFonts w:ascii="Times New Roman" w:hAnsi="Times New Roman" w:cs="Times New Roman"/>
          <w:lang w:val="es-MX"/>
        </w:rPr>
        <w:t>16</w:t>
      </w:r>
      <w:r w:rsidRPr="00737678">
        <w:rPr>
          <w:rFonts w:ascii="Times New Roman" w:hAnsi="Times New Roman" w:cs="Times New Roman"/>
          <w:lang w:val="es-MX"/>
        </w:rPr>
        <w:t>.</w:t>
      </w:r>
      <w:r>
        <w:rPr>
          <w:rFonts w:ascii="Times New Roman" w:hAnsi="Times New Roman" w:cs="Times New Roman"/>
          <w:lang w:val="es-MX"/>
        </w:rPr>
        <w:t>1</w:t>
      </w:r>
      <w:r w:rsidRPr="00737678">
        <w:rPr>
          <w:rFonts w:ascii="Times New Roman" w:hAnsi="Times New Roman" w:cs="Times New Roman"/>
          <w:lang w:val="es-MX"/>
        </w:rPr>
        <w:t>%, equivalente a Q</w:t>
      </w:r>
      <w:r>
        <w:rPr>
          <w:rFonts w:ascii="Times New Roman" w:hAnsi="Times New Roman" w:cs="Times New Roman"/>
          <w:lang w:val="es-MX"/>
        </w:rPr>
        <w:t xml:space="preserve">936.3 millones y Educación, Ciencia y Cultura con un crecimiento de 15.1% equivalente a Q1,477.0 millones. </w:t>
      </w:r>
    </w:p>
    <w:p w14:paraId="23924987" w14:textId="77777777" w:rsidR="00E07686" w:rsidRDefault="00E07686" w:rsidP="00E07686">
      <w:pPr>
        <w:pStyle w:val="Sinespaciado"/>
        <w:jc w:val="both"/>
        <w:rPr>
          <w:rFonts w:ascii="Times New Roman" w:hAnsi="Times New Roman" w:cs="Times New Roman"/>
          <w:lang w:val="es-MX"/>
        </w:rPr>
      </w:pPr>
    </w:p>
    <w:p w14:paraId="0FC4A329" w14:textId="3E1B7C70" w:rsidR="00E02DD8" w:rsidRPr="000104C5" w:rsidRDefault="00E07686" w:rsidP="00E07686">
      <w:pPr>
        <w:pStyle w:val="Sinespaciado"/>
        <w:jc w:val="both"/>
        <w:rPr>
          <w:rFonts w:ascii="Times New Roman" w:hAnsi="Times New Roman" w:cs="Times New Roman"/>
          <w:color w:val="FF0000"/>
          <w:lang w:val="es-MX"/>
        </w:rPr>
      </w:pPr>
      <w:r>
        <w:rPr>
          <w:rFonts w:ascii="Times New Roman" w:hAnsi="Times New Roman" w:cs="Times New Roman"/>
          <w:lang w:val="es-MX"/>
        </w:rPr>
        <w:t>Por su parte, el aporte que se le entrega al Ministerio Público, se encuentra creciendo en 66.0%, equivalente a Q543.0 millones, derivado que el presupuesto de dicha entidad creció de forma importante para el ejercicio 2022. Mientras que las transferencias a las entidades de justicia, están creciendo en 21.2%, equivalente a Q233.0 millones, siendo el aporte al OJ y CC</w:t>
      </w:r>
      <w:r w:rsidRPr="0024077F">
        <w:rPr>
          <w:rFonts w:ascii="Times New Roman" w:hAnsi="Times New Roman" w:cs="Times New Roman"/>
          <w:lang w:val="es-MX"/>
        </w:rPr>
        <w:t>.</w:t>
      </w:r>
    </w:p>
    <w:p w14:paraId="36DC991A" w14:textId="3561A43C" w:rsidR="00E02DD8" w:rsidRPr="000104C5" w:rsidRDefault="00E02DD8" w:rsidP="00E02DD8">
      <w:pPr>
        <w:pStyle w:val="Sinespaciado"/>
        <w:jc w:val="both"/>
        <w:rPr>
          <w:rFonts w:ascii="Times New Roman" w:hAnsi="Times New Roman" w:cs="Times New Roman"/>
          <w:color w:val="FF0000"/>
          <w:lang w:val="es-MX"/>
        </w:rPr>
      </w:pPr>
    </w:p>
    <w:p w14:paraId="47EA412D" w14:textId="77777777" w:rsidR="00E02DD8" w:rsidRPr="00E07686" w:rsidRDefault="00E02DD8" w:rsidP="00E02DD8">
      <w:pPr>
        <w:pStyle w:val="Sinespaciado"/>
        <w:jc w:val="center"/>
        <w:rPr>
          <w:rFonts w:ascii="Times New Roman" w:hAnsi="Times New Roman" w:cs="Times New Roman"/>
          <w:b/>
          <w:sz w:val="23"/>
          <w:szCs w:val="23"/>
          <w:lang w:val="es-MX"/>
        </w:rPr>
      </w:pPr>
      <w:r w:rsidRPr="00E07686">
        <w:rPr>
          <w:rFonts w:ascii="Times New Roman" w:hAnsi="Times New Roman" w:cs="Times New Roman"/>
          <w:b/>
          <w:sz w:val="23"/>
          <w:szCs w:val="23"/>
          <w:lang w:val="es-MX"/>
        </w:rPr>
        <w:t>Ejecución y crecimiento del Gasto Social</w:t>
      </w:r>
    </w:p>
    <w:p w14:paraId="00D3472C" w14:textId="30E414E8" w:rsidR="00E02DD8" w:rsidRPr="00E07686" w:rsidRDefault="002023FA" w:rsidP="00E02DD8">
      <w:pPr>
        <w:pStyle w:val="Sinespaciado"/>
        <w:jc w:val="center"/>
        <w:rPr>
          <w:rFonts w:ascii="Times New Roman" w:hAnsi="Times New Roman" w:cs="Times New Roman"/>
          <w:sz w:val="20"/>
          <w:szCs w:val="18"/>
          <w:lang w:val="es-MX"/>
        </w:rPr>
      </w:pPr>
      <w:r w:rsidRPr="00E07686">
        <w:rPr>
          <w:rFonts w:ascii="Times New Roman" w:hAnsi="Times New Roman" w:cs="Times New Roman"/>
          <w:sz w:val="20"/>
          <w:szCs w:val="18"/>
          <w:lang w:val="es-MX"/>
        </w:rPr>
        <w:t>Al 30</w:t>
      </w:r>
      <w:r w:rsidR="00E02DD8" w:rsidRPr="00E07686">
        <w:rPr>
          <w:rFonts w:ascii="Times New Roman" w:hAnsi="Times New Roman" w:cs="Times New Roman"/>
          <w:sz w:val="20"/>
          <w:szCs w:val="18"/>
          <w:lang w:val="es-MX"/>
        </w:rPr>
        <w:t xml:space="preserve"> de </w:t>
      </w:r>
      <w:r w:rsidRPr="00E07686">
        <w:rPr>
          <w:rFonts w:ascii="Times New Roman" w:hAnsi="Times New Roman" w:cs="Times New Roman"/>
          <w:sz w:val="20"/>
          <w:szCs w:val="18"/>
          <w:lang w:val="es-MX"/>
        </w:rPr>
        <w:t>junio</w:t>
      </w:r>
      <w:r w:rsidR="00E02DD8" w:rsidRPr="00E07686">
        <w:rPr>
          <w:rFonts w:ascii="Times New Roman" w:hAnsi="Times New Roman" w:cs="Times New Roman"/>
          <w:sz w:val="20"/>
          <w:szCs w:val="18"/>
          <w:lang w:val="es-MX"/>
        </w:rPr>
        <w:t xml:space="preserve"> 2022</w:t>
      </w:r>
    </w:p>
    <w:p w14:paraId="445E2512" w14:textId="3902E4D2" w:rsidR="002023FA" w:rsidRDefault="00E07686" w:rsidP="002023FA">
      <w:pPr>
        <w:pStyle w:val="Sinespaciado"/>
        <w:jc w:val="center"/>
        <w:rPr>
          <w:rFonts w:ascii="Times New Roman" w:hAnsi="Times New Roman" w:cs="Times New Roman"/>
          <w:sz w:val="20"/>
          <w:szCs w:val="18"/>
          <w:lang w:val="es-MX"/>
        </w:rPr>
      </w:pPr>
      <w:r w:rsidRPr="00113060">
        <w:rPr>
          <w:noProof/>
          <w:lang w:eastAsia="es-GT"/>
        </w:rPr>
        <w:drawing>
          <wp:anchor distT="0" distB="0" distL="114300" distR="114300" simplePos="0" relativeHeight="251848704" behindDoc="0" locked="0" layoutInCell="1" allowOverlap="1" wp14:anchorId="38F63421" wp14:editId="6FA0CF6B">
            <wp:simplePos x="0" y="0"/>
            <wp:positionH relativeFrom="column">
              <wp:posOffset>-6350</wp:posOffset>
            </wp:positionH>
            <wp:positionV relativeFrom="paragraph">
              <wp:posOffset>255905</wp:posOffset>
            </wp:positionV>
            <wp:extent cx="2809875" cy="1405255"/>
            <wp:effectExtent l="0" t="0" r="9525"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DD8" w:rsidRPr="00E07686">
        <w:rPr>
          <w:sz w:val="24"/>
        </w:rPr>
        <w:t xml:space="preserve"> </w:t>
      </w:r>
      <w:r w:rsidR="00E02DD8" w:rsidRPr="00E07686">
        <w:rPr>
          <w:rFonts w:ascii="Times New Roman" w:hAnsi="Times New Roman" w:cs="Times New Roman"/>
          <w:sz w:val="20"/>
          <w:szCs w:val="18"/>
          <w:lang w:val="es-MX"/>
        </w:rPr>
        <w:t>Cifras en porcentajes y en millones de quetzales</w:t>
      </w:r>
    </w:p>
    <w:p w14:paraId="064EDE30" w14:textId="4910AE2A" w:rsidR="00E07686" w:rsidRPr="00E07686" w:rsidRDefault="00371E68" w:rsidP="00E02DD8">
      <w:pPr>
        <w:pStyle w:val="Sinespaciado"/>
        <w:rPr>
          <w:rFonts w:ascii="Times New Roman" w:hAnsi="Times New Roman" w:cs="Times New Roman"/>
          <w:sz w:val="16"/>
          <w:szCs w:val="16"/>
        </w:rPr>
      </w:pPr>
      <w:r w:rsidRPr="00E07686">
        <w:rPr>
          <w:rFonts w:ascii="Times New Roman" w:hAnsi="Times New Roman" w:cs="Times New Roman"/>
          <w:sz w:val="16"/>
          <w:szCs w:val="16"/>
        </w:rPr>
        <w:t xml:space="preserve"> </w:t>
      </w:r>
      <w:r w:rsidR="00E02DD8" w:rsidRPr="00E07686">
        <w:rPr>
          <w:rFonts w:ascii="Times New Roman" w:hAnsi="Times New Roman" w:cs="Times New Roman"/>
          <w:sz w:val="16"/>
          <w:szCs w:val="16"/>
        </w:rPr>
        <w:t>Fuente: Dirección de Análisis y Política Fiscal</w:t>
      </w:r>
      <w:r w:rsidR="00840733" w:rsidRPr="00E07686">
        <w:rPr>
          <w:rFonts w:ascii="Times New Roman" w:hAnsi="Times New Roman" w:cs="Times New Roman"/>
          <w:sz w:val="16"/>
          <w:szCs w:val="16"/>
        </w:rPr>
        <w:t>.</w:t>
      </w:r>
    </w:p>
    <w:p w14:paraId="01AA5724" w14:textId="77777777" w:rsidR="00E07686" w:rsidRPr="000104C5" w:rsidRDefault="00E07686" w:rsidP="00E02DD8">
      <w:pPr>
        <w:pStyle w:val="Sinespaciado"/>
        <w:rPr>
          <w:rFonts w:ascii="Times New Roman" w:hAnsi="Times New Roman" w:cs="Times New Roman"/>
          <w:color w:val="FF0000"/>
          <w:sz w:val="16"/>
          <w:szCs w:val="16"/>
        </w:rPr>
      </w:pPr>
    </w:p>
    <w:p w14:paraId="3DAABFA8" w14:textId="77777777" w:rsidR="0089134E" w:rsidRPr="000104C5" w:rsidRDefault="0089134E" w:rsidP="00E02DD8">
      <w:pPr>
        <w:pStyle w:val="Sinespaciado"/>
        <w:rPr>
          <w:rFonts w:ascii="Times New Roman" w:hAnsi="Times New Roman" w:cs="Times New Roman"/>
          <w:color w:val="FF0000"/>
          <w:sz w:val="12"/>
          <w:szCs w:val="16"/>
        </w:rPr>
        <w:sectPr w:rsidR="0089134E" w:rsidRPr="000104C5" w:rsidSect="00F23E3F">
          <w:type w:val="continuous"/>
          <w:pgSz w:w="12240" w:h="15840"/>
          <w:pgMar w:top="1417" w:right="1701" w:bottom="1417" w:left="1701" w:header="708" w:footer="708" w:gutter="0"/>
          <w:cols w:num="2" w:space="708"/>
          <w:docGrid w:linePitch="360"/>
        </w:sectPr>
      </w:pPr>
    </w:p>
    <w:p w14:paraId="5A877542" w14:textId="5335F53E" w:rsidR="006302AC" w:rsidRDefault="006302AC" w:rsidP="00C76B98">
      <w:pPr>
        <w:spacing w:after="0"/>
        <w:rPr>
          <w:rFonts w:ascii="Times New Roman" w:hAnsi="Times New Roman" w:cs="Times New Roman"/>
          <w:color w:val="FF0000"/>
          <w:sz w:val="16"/>
        </w:rPr>
      </w:pPr>
    </w:p>
    <w:p w14:paraId="580E35FF" w14:textId="1F7EB07A" w:rsidR="00E07686" w:rsidRDefault="00E07686" w:rsidP="00C76B98">
      <w:pPr>
        <w:spacing w:after="0"/>
        <w:rPr>
          <w:rFonts w:ascii="Times New Roman" w:hAnsi="Times New Roman" w:cs="Times New Roman"/>
          <w:color w:val="FF0000"/>
          <w:sz w:val="16"/>
        </w:rPr>
      </w:pPr>
    </w:p>
    <w:p w14:paraId="5A450126" w14:textId="2FA54F45" w:rsidR="00E07686" w:rsidRDefault="00E07686" w:rsidP="00C76B98">
      <w:pPr>
        <w:spacing w:after="0"/>
        <w:rPr>
          <w:rFonts w:ascii="Times New Roman" w:hAnsi="Times New Roman" w:cs="Times New Roman"/>
          <w:color w:val="FF0000"/>
          <w:sz w:val="16"/>
        </w:rPr>
      </w:pPr>
    </w:p>
    <w:p w14:paraId="73DEE1F4" w14:textId="6B9B4A3D" w:rsidR="00E07686" w:rsidRDefault="00E07686" w:rsidP="00C76B98">
      <w:pPr>
        <w:spacing w:after="0"/>
        <w:rPr>
          <w:rFonts w:ascii="Times New Roman" w:hAnsi="Times New Roman" w:cs="Times New Roman"/>
          <w:color w:val="FF0000"/>
          <w:sz w:val="16"/>
        </w:rPr>
      </w:pPr>
    </w:p>
    <w:p w14:paraId="3F7BF0B5" w14:textId="77777777" w:rsidR="00E07686" w:rsidRPr="000104C5" w:rsidRDefault="00E07686" w:rsidP="00C76B98">
      <w:pPr>
        <w:spacing w:after="0"/>
        <w:rPr>
          <w:rFonts w:ascii="Times New Roman" w:hAnsi="Times New Roman" w:cs="Times New Roman"/>
          <w:color w:val="FF0000"/>
          <w:sz w:val="16"/>
        </w:rPr>
      </w:pPr>
    </w:p>
    <w:p w14:paraId="19AA4E07" w14:textId="77777777" w:rsidR="00F23E3F" w:rsidRPr="00E07686"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E07686">
        <w:rPr>
          <w:rFonts w:ascii="Times New Roman" w:hAnsi="Times New Roman" w:cs="Times New Roman"/>
          <w:b/>
          <w:color w:val="FFFFFF" w:themeColor="background1"/>
          <w:sz w:val="24"/>
          <w:szCs w:val="24"/>
          <w:lang w:val="es-MX"/>
        </w:rPr>
        <w:lastRenderedPageBreak/>
        <w:t>C</w:t>
      </w:r>
      <w:r w:rsidR="0089134E" w:rsidRPr="00E07686">
        <w:rPr>
          <w:rFonts w:ascii="Times New Roman" w:hAnsi="Times New Roman" w:cs="Times New Roman"/>
          <w:b/>
          <w:color w:val="FFFFFF" w:themeColor="background1"/>
          <w:sz w:val="24"/>
          <w:szCs w:val="24"/>
          <w:lang w:val="es-MX"/>
        </w:rPr>
        <w:t>olocación de Eurobono</w:t>
      </w:r>
      <w:r w:rsidR="00C76B98" w:rsidRPr="00E07686">
        <w:rPr>
          <w:rFonts w:ascii="Times New Roman" w:hAnsi="Times New Roman" w:cs="Times New Roman"/>
          <w:b/>
          <w:color w:val="FFFFFF" w:themeColor="background1"/>
          <w:sz w:val="24"/>
          <w:szCs w:val="24"/>
          <w:lang w:val="es-MX"/>
        </w:rPr>
        <w:t xml:space="preserve"> </w:t>
      </w:r>
      <w:r w:rsidR="0089134E" w:rsidRPr="00E07686">
        <w:rPr>
          <w:rFonts w:ascii="Times New Roman" w:hAnsi="Times New Roman" w:cs="Times New Roman"/>
          <w:b/>
          <w:color w:val="FFFFFF" w:themeColor="background1"/>
          <w:sz w:val="24"/>
          <w:szCs w:val="24"/>
          <w:lang w:val="es-MX"/>
        </w:rPr>
        <w:t>se posterga</w:t>
      </w:r>
    </w:p>
    <w:p w14:paraId="35802F58" w14:textId="77777777" w:rsidR="00C76B98" w:rsidRPr="000104C5" w:rsidRDefault="00C76B98" w:rsidP="00E02DD8">
      <w:pPr>
        <w:pStyle w:val="Sinespaciado"/>
        <w:rPr>
          <w:rFonts w:ascii="Times New Roman" w:hAnsi="Times New Roman" w:cs="Times New Roman"/>
          <w:color w:val="FF0000"/>
          <w:sz w:val="18"/>
          <w:szCs w:val="18"/>
          <w:lang w:val="es-MX"/>
        </w:rPr>
      </w:pPr>
    </w:p>
    <w:p w14:paraId="11A523C7" w14:textId="77777777" w:rsidR="00C76B98" w:rsidRPr="000104C5" w:rsidRDefault="00C76B98" w:rsidP="00C76B98">
      <w:pPr>
        <w:spacing w:after="0"/>
        <w:rPr>
          <w:rFonts w:ascii="Times New Roman" w:hAnsi="Times New Roman" w:cs="Times New Roman"/>
          <w:color w:val="FF0000"/>
          <w:sz w:val="14"/>
        </w:rPr>
        <w:sectPr w:rsidR="00C76B98" w:rsidRPr="000104C5" w:rsidSect="00960BE9">
          <w:headerReference w:type="default" r:id="rId31"/>
          <w:footerReference w:type="default" r:id="rId32"/>
          <w:type w:val="continuous"/>
          <w:pgSz w:w="12240" w:h="15840"/>
          <w:pgMar w:top="1417" w:right="1701" w:bottom="1417" w:left="1701" w:header="708" w:footer="708" w:gutter="0"/>
          <w:cols w:space="708"/>
          <w:docGrid w:linePitch="360"/>
        </w:sectPr>
      </w:pPr>
    </w:p>
    <w:p w14:paraId="470F1698" w14:textId="110C8166" w:rsidR="00E07686" w:rsidRDefault="00E07686" w:rsidP="00E07686">
      <w:pPr>
        <w:pStyle w:val="Sinespaciado"/>
        <w:spacing w:after="240"/>
        <w:ind w:right="95"/>
        <w:jc w:val="both"/>
        <w:rPr>
          <w:rFonts w:ascii="Times New Roman" w:hAnsi="Times New Roman" w:cs="Times New Roman"/>
        </w:rPr>
      </w:pPr>
      <w:r>
        <w:rPr>
          <w:rFonts w:ascii="Times New Roman" w:hAnsi="Times New Roman" w:cs="Times New Roman"/>
        </w:rPr>
        <w:t>Las colocaciones de bonos del tesoro ascienden a Q6,672.9 millones, de las cuales el 94.8% corresponden a nuevo endeudamiento y 5.2% a roll over o recolocaciones por vencimientos.</w:t>
      </w:r>
    </w:p>
    <w:p w14:paraId="28E2B2C4" w14:textId="77777777" w:rsidR="00E07686" w:rsidRDefault="00E07686" w:rsidP="00E07686">
      <w:pPr>
        <w:pStyle w:val="Sinespaciado"/>
        <w:spacing w:after="240"/>
        <w:ind w:right="95"/>
        <w:jc w:val="both"/>
        <w:rPr>
          <w:rFonts w:ascii="Times New Roman" w:hAnsi="Times New Roman" w:cs="Times New Roman"/>
        </w:rPr>
      </w:pPr>
      <w:r>
        <w:rPr>
          <w:rFonts w:ascii="Times New Roman" w:hAnsi="Times New Roman" w:cs="Times New Roman"/>
        </w:rPr>
        <w:t>La tasa ponderada que se ha alcanzado en moneda nacional asciende a 6.0% siendo el plazo promedio de colocación de 17.8 años, se observa un aumento en la tasa respecto a las colocaciones de años anteriores, así como en el plazo de colocación, presionado por el alza en la tasa líder de política monetaria aplicada por el Banco de Guatemala como consecuencia del leve aumento en las expectativas inflacionarias, así como la coyuntura internacional prevaleciente.</w:t>
      </w:r>
    </w:p>
    <w:p w14:paraId="1BF0D21C" w14:textId="77777777" w:rsidR="00E07686" w:rsidRDefault="00E07686" w:rsidP="00E07686">
      <w:pPr>
        <w:pStyle w:val="Sinespaciado"/>
        <w:spacing w:after="240"/>
        <w:ind w:right="95"/>
        <w:jc w:val="both"/>
        <w:rPr>
          <w:rFonts w:ascii="Times New Roman" w:hAnsi="Times New Roman" w:cs="Times New Roman"/>
        </w:rPr>
      </w:pPr>
      <w:r>
        <w:rPr>
          <w:rFonts w:ascii="Times New Roman" w:hAnsi="Times New Roman" w:cs="Times New Roman"/>
        </w:rPr>
        <w:t>Por su parte, las colocaciones en dólares ascienden a US$17.7 millones, con una tasa ponderada de 4.5% y un plazo promedio de 15 años.</w:t>
      </w:r>
    </w:p>
    <w:p w14:paraId="00B94BE6" w14:textId="77777777" w:rsidR="00E07686" w:rsidRDefault="00E07686" w:rsidP="00E07686">
      <w:pPr>
        <w:pStyle w:val="Sinespaciado"/>
        <w:spacing w:after="240"/>
        <w:ind w:right="95"/>
        <w:jc w:val="both"/>
        <w:rPr>
          <w:rFonts w:ascii="Times New Roman" w:hAnsi="Times New Roman" w:cs="Times New Roman"/>
        </w:rPr>
      </w:pPr>
      <w:r>
        <w:rPr>
          <w:rFonts w:ascii="Times New Roman" w:hAnsi="Times New Roman" w:cs="Times New Roman"/>
        </w:rPr>
        <w:t>En el Congreso de la República fue aprobado el</w:t>
      </w:r>
      <w:r w:rsidRPr="00E01BE0">
        <w:rPr>
          <w:rFonts w:ascii="Times New Roman" w:hAnsi="Times New Roman" w:cs="Times New Roman"/>
        </w:rPr>
        <w:t xml:space="preserve"> </w:t>
      </w:r>
      <w:r w:rsidRPr="00F77BE1">
        <w:rPr>
          <w:rFonts w:ascii="Times New Roman" w:hAnsi="Times New Roman" w:cs="Times New Roman"/>
        </w:rPr>
        <w:t>“Préstamo para Políticas de Desarrollo de Respuesta y Recuperación ante la Crisis en Guatemala”</w:t>
      </w:r>
      <w:r w:rsidRPr="00E01BE0">
        <w:rPr>
          <w:rFonts w:ascii="Times New Roman" w:hAnsi="Times New Roman" w:cs="Times New Roman"/>
        </w:rPr>
        <w:t xml:space="preserve"> por parte</w:t>
      </w:r>
      <w:r>
        <w:rPr>
          <w:rFonts w:ascii="Times New Roman" w:hAnsi="Times New Roman" w:cs="Times New Roman"/>
        </w:rPr>
        <w:t xml:space="preserve"> del </w:t>
      </w:r>
      <w:r w:rsidRPr="00F77BE1">
        <w:rPr>
          <w:rFonts w:ascii="Times New Roman" w:hAnsi="Times New Roman" w:cs="Times New Roman"/>
        </w:rPr>
        <w:t>Banco Internacional de</w:t>
      </w:r>
      <w:r>
        <w:rPr>
          <w:rFonts w:ascii="Times New Roman" w:hAnsi="Times New Roman" w:cs="Times New Roman"/>
        </w:rPr>
        <w:t xml:space="preserve"> Reconstrucción y Fomento (BIRF) por US$500.0 millones. </w:t>
      </w:r>
    </w:p>
    <w:p w14:paraId="5FA17438" w14:textId="77777777" w:rsidR="00E07686" w:rsidRDefault="00E07686" w:rsidP="00E07686">
      <w:pPr>
        <w:pStyle w:val="Sinespaciado"/>
        <w:ind w:right="95"/>
        <w:jc w:val="both"/>
        <w:rPr>
          <w:rFonts w:ascii="Times New Roman" w:hAnsi="Times New Roman" w:cs="Times New Roman"/>
        </w:rPr>
      </w:pPr>
      <w:r>
        <w:rPr>
          <w:rFonts w:ascii="Times New Roman" w:hAnsi="Times New Roman" w:cs="Times New Roman"/>
        </w:rPr>
        <w:t>Por ello, quedó facultado el Ministerio de Finanzas Públicas para que durante el ejercicio fiscal 2022 se incorpore al Presupuesto el equivalente al préstamo de US$500.0 millones, por medio de una sustitución de fuente de financiamiento, liberando recursos de la colocación de bonos del tesoro, todo ello sin incrementar el Presupuesto General de Egresos vigente para el 2022, porque ello no representa ingresos y gastos adicionales.</w:t>
      </w:r>
    </w:p>
    <w:p w14:paraId="4FF474FE" w14:textId="77777777" w:rsidR="00E07686" w:rsidRDefault="00E07686" w:rsidP="00E07686">
      <w:pPr>
        <w:pStyle w:val="Sinespaciado"/>
        <w:spacing w:after="240"/>
        <w:ind w:right="95"/>
        <w:jc w:val="both"/>
        <w:rPr>
          <w:rFonts w:ascii="Times New Roman" w:hAnsi="Times New Roman" w:cs="Times New Roman"/>
        </w:rPr>
      </w:pPr>
      <w:r>
        <w:rPr>
          <w:rFonts w:ascii="Times New Roman" w:hAnsi="Times New Roman" w:cs="Times New Roman"/>
        </w:rPr>
        <w:t xml:space="preserve">Este préstamo se considera relevante por sus condiciones financieras favorables dado que considera un vencimiento </w:t>
      </w:r>
      <w:r w:rsidRPr="00B035EE">
        <w:rPr>
          <w:rFonts w:ascii="Times New Roman" w:hAnsi="Times New Roman" w:cs="Times New Roman"/>
        </w:rPr>
        <w:t>de 13 años, incluido un período de gracia de 3 años</w:t>
      </w:r>
      <w:r>
        <w:rPr>
          <w:rFonts w:ascii="Times New Roman" w:hAnsi="Times New Roman" w:cs="Times New Roman"/>
        </w:rPr>
        <w:t xml:space="preserve"> y una tasa aproximada de 0.75%. Adicionalmente, con la sustitución de fuente, la disponibilidad de colocación es de Q18,013.4 millones, quedando pendientes de colocar Q11,340.5 millones.</w:t>
      </w:r>
    </w:p>
    <w:p w14:paraId="703901BF" w14:textId="77777777" w:rsidR="00E07686" w:rsidRDefault="00E07686" w:rsidP="00E07686">
      <w:pPr>
        <w:pStyle w:val="Sinespaciado"/>
        <w:spacing w:after="240"/>
        <w:ind w:right="95"/>
        <w:jc w:val="both"/>
        <w:rPr>
          <w:rFonts w:ascii="Times New Roman" w:hAnsi="Times New Roman" w:cs="Times New Roman"/>
        </w:rPr>
      </w:pPr>
      <w:r w:rsidRPr="00460D3C">
        <w:rPr>
          <w:rFonts w:ascii="Times New Roman" w:hAnsi="Times New Roman" w:cs="Times New Roman"/>
        </w:rPr>
        <w:t>Respecto a la colocación del Eurobono, dado el contexto internacional de subida de tasas de interés, no se consideró oportuno realizar la colocación, derivado que el costo financiero para el Estado podría aumentar considerablemente, luego de lograr colocaciones con tasas históricamente bajas en los últimos años.</w:t>
      </w:r>
      <w:r>
        <w:rPr>
          <w:rFonts w:ascii="Times New Roman" w:hAnsi="Times New Roman" w:cs="Times New Roman"/>
        </w:rPr>
        <w:t xml:space="preserve"> </w:t>
      </w:r>
    </w:p>
    <w:p w14:paraId="0E094874" w14:textId="5604F58B" w:rsidR="00B77BCA" w:rsidRPr="000104C5" w:rsidRDefault="00E07686" w:rsidP="00E07686">
      <w:pPr>
        <w:pStyle w:val="Sinespaciado"/>
        <w:ind w:right="95"/>
        <w:jc w:val="both"/>
        <w:rPr>
          <w:rFonts w:ascii="Times New Roman" w:hAnsi="Times New Roman" w:cs="Times New Roman"/>
          <w:color w:val="FF0000"/>
        </w:rPr>
      </w:pPr>
      <w:r>
        <w:rPr>
          <w:rFonts w:ascii="Times New Roman" w:hAnsi="Times New Roman" w:cs="Times New Roman"/>
        </w:rPr>
        <w:t>El financiamiento externo se ubica en -Q6,566.9 millones, derivado de que se han dado amortizaciones de préstamos por Q1,430.8 millones, mientras los desembolsos son de Q344.5 millones. Asimismo, durante el mes se dio la amortización por el vencimiento de un eurobono por US$700 millones, equivalente a Q5,480.6 millones.</w:t>
      </w:r>
    </w:p>
    <w:p w14:paraId="152D52D3" w14:textId="77777777" w:rsidR="0089134E" w:rsidRPr="00E07686" w:rsidRDefault="0089134E" w:rsidP="0089134E">
      <w:pPr>
        <w:pStyle w:val="Sinespaciado"/>
        <w:ind w:right="95"/>
        <w:jc w:val="both"/>
        <w:rPr>
          <w:rFonts w:ascii="Times New Roman" w:hAnsi="Times New Roman" w:cs="Times New Roman"/>
          <w:sz w:val="14"/>
          <w:szCs w:val="14"/>
        </w:rPr>
      </w:pPr>
    </w:p>
    <w:p w14:paraId="06CF237A" w14:textId="6883580E" w:rsidR="001A7D31" w:rsidRPr="00E07686" w:rsidRDefault="00E07686" w:rsidP="001A7D31">
      <w:pPr>
        <w:pStyle w:val="Sinespaciado"/>
        <w:ind w:right="95"/>
        <w:jc w:val="center"/>
        <w:rPr>
          <w:rFonts w:ascii="Times New Roman" w:hAnsi="Times New Roman" w:cs="Times New Roman"/>
          <w:b/>
          <w:sz w:val="23"/>
          <w:szCs w:val="23"/>
          <w:lang w:val="es-MX"/>
        </w:rPr>
      </w:pPr>
      <w:r w:rsidRPr="00E07686">
        <w:rPr>
          <w:noProof/>
          <w:lang w:eastAsia="es-GT"/>
        </w:rPr>
        <w:drawing>
          <wp:anchor distT="0" distB="0" distL="114300" distR="114300" simplePos="0" relativeHeight="251850752" behindDoc="1" locked="0" layoutInCell="1" allowOverlap="1" wp14:anchorId="6C23624F" wp14:editId="42A38170">
            <wp:simplePos x="0" y="0"/>
            <wp:positionH relativeFrom="column">
              <wp:posOffset>-62865</wp:posOffset>
            </wp:positionH>
            <wp:positionV relativeFrom="paragraph">
              <wp:posOffset>351790</wp:posOffset>
            </wp:positionV>
            <wp:extent cx="2733675" cy="1676400"/>
            <wp:effectExtent l="0" t="0" r="0" b="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1A7D31" w:rsidRPr="00E07686">
        <w:rPr>
          <w:rFonts w:ascii="Times New Roman" w:hAnsi="Times New Roman" w:cs="Times New Roman"/>
          <w:b/>
          <w:sz w:val="23"/>
          <w:szCs w:val="23"/>
          <w:lang w:val="es-MX"/>
        </w:rPr>
        <w:t>Colocación de Bonos del Tesoro</w:t>
      </w:r>
    </w:p>
    <w:p w14:paraId="5390A2FC" w14:textId="1593F74F" w:rsidR="0089134E" w:rsidRPr="00E07686" w:rsidRDefault="00841A3C" w:rsidP="0089134E">
      <w:pPr>
        <w:pStyle w:val="Sinespaciado"/>
        <w:jc w:val="center"/>
        <w:rPr>
          <w:rFonts w:ascii="Times New Roman" w:hAnsi="Times New Roman" w:cs="Times New Roman"/>
          <w:sz w:val="20"/>
          <w:szCs w:val="18"/>
          <w:lang w:val="es-MX"/>
        </w:rPr>
      </w:pPr>
      <w:r w:rsidRPr="00E07686">
        <w:rPr>
          <w:rFonts w:ascii="Times New Roman" w:hAnsi="Times New Roman" w:cs="Times New Roman"/>
          <w:sz w:val="20"/>
          <w:szCs w:val="18"/>
          <w:lang w:val="es-MX"/>
        </w:rPr>
        <w:t>Al 3</w:t>
      </w:r>
      <w:r w:rsidR="0089134E" w:rsidRPr="00E07686">
        <w:rPr>
          <w:rFonts w:ascii="Times New Roman" w:hAnsi="Times New Roman" w:cs="Times New Roman"/>
          <w:sz w:val="20"/>
          <w:szCs w:val="18"/>
          <w:lang w:val="es-MX"/>
        </w:rPr>
        <w:t>0</w:t>
      </w:r>
      <w:r w:rsidR="001A7D31" w:rsidRPr="00E07686">
        <w:rPr>
          <w:rFonts w:ascii="Times New Roman" w:hAnsi="Times New Roman" w:cs="Times New Roman"/>
          <w:sz w:val="20"/>
          <w:szCs w:val="18"/>
          <w:lang w:val="es-MX"/>
        </w:rPr>
        <w:t xml:space="preserve"> de </w:t>
      </w:r>
      <w:r w:rsidR="0089134E" w:rsidRPr="00E07686">
        <w:rPr>
          <w:rFonts w:ascii="Times New Roman" w:hAnsi="Times New Roman" w:cs="Times New Roman"/>
          <w:sz w:val="20"/>
          <w:szCs w:val="18"/>
          <w:lang w:val="es-MX"/>
        </w:rPr>
        <w:t>junio</w:t>
      </w:r>
      <w:r w:rsidR="001A7D31" w:rsidRPr="00E07686">
        <w:rPr>
          <w:rFonts w:ascii="Times New Roman" w:hAnsi="Times New Roman" w:cs="Times New Roman"/>
          <w:sz w:val="20"/>
          <w:szCs w:val="18"/>
          <w:lang w:val="es-MX"/>
        </w:rPr>
        <w:t xml:space="preserve"> 2022</w:t>
      </w:r>
    </w:p>
    <w:p w14:paraId="6EC98911" w14:textId="210C5D04" w:rsidR="001A7D31" w:rsidRPr="00E07686" w:rsidRDefault="001A7D31" w:rsidP="001A7D31">
      <w:pPr>
        <w:pStyle w:val="Sinespaciado"/>
        <w:jc w:val="both"/>
        <w:rPr>
          <w:rFonts w:ascii="Times New Roman" w:hAnsi="Times New Roman" w:cs="Times New Roman"/>
          <w:sz w:val="16"/>
          <w:szCs w:val="16"/>
        </w:rPr>
      </w:pPr>
      <w:r w:rsidRPr="00E07686">
        <w:rPr>
          <w:rFonts w:ascii="Times New Roman" w:hAnsi="Times New Roman" w:cs="Times New Roman"/>
          <w:sz w:val="16"/>
          <w:szCs w:val="16"/>
        </w:rPr>
        <w:t>Fuente: Dirección de Análisis y Política Fiscal.</w:t>
      </w:r>
    </w:p>
    <w:p w14:paraId="7A5A9820" w14:textId="4AD957B4" w:rsidR="00C76B98" w:rsidRPr="000104C5" w:rsidRDefault="00C76B98" w:rsidP="00B77BCA">
      <w:pPr>
        <w:pStyle w:val="Sinespaciado"/>
        <w:jc w:val="both"/>
        <w:rPr>
          <w:rFonts w:ascii="Times New Roman" w:hAnsi="Times New Roman" w:cs="Times New Roman"/>
          <w:color w:val="FF0000"/>
          <w:sz w:val="12"/>
        </w:rPr>
        <w:sectPr w:rsidR="00C76B98" w:rsidRPr="000104C5" w:rsidSect="00C76B98">
          <w:type w:val="continuous"/>
          <w:pgSz w:w="12240" w:h="15840"/>
          <w:pgMar w:top="1417" w:right="1701" w:bottom="1417" w:left="1701" w:header="708" w:footer="708" w:gutter="0"/>
          <w:cols w:num="2" w:space="708"/>
          <w:docGrid w:linePitch="360"/>
        </w:sectPr>
      </w:pPr>
    </w:p>
    <w:p w14:paraId="008AFA64" w14:textId="77777777" w:rsidR="00C76B98" w:rsidRPr="000104C5" w:rsidRDefault="00C76B98" w:rsidP="00C76B98">
      <w:pPr>
        <w:spacing w:after="0"/>
        <w:rPr>
          <w:rFonts w:ascii="Times New Roman" w:hAnsi="Times New Roman" w:cs="Times New Roman"/>
          <w:color w:val="FF0000"/>
          <w:sz w:val="24"/>
          <w:szCs w:val="24"/>
        </w:rPr>
        <w:sectPr w:rsidR="00C76B98" w:rsidRPr="000104C5" w:rsidSect="00960BE9">
          <w:headerReference w:type="default" r:id="rId34"/>
          <w:footerReference w:type="default" r:id="rId35"/>
          <w:type w:val="continuous"/>
          <w:pgSz w:w="12240" w:h="15840"/>
          <w:pgMar w:top="1417" w:right="1701" w:bottom="1417" w:left="1701" w:header="708" w:footer="708" w:gutter="0"/>
          <w:cols w:space="708"/>
          <w:docGrid w:linePitch="360"/>
        </w:sectPr>
      </w:pPr>
    </w:p>
    <w:p w14:paraId="51BA6055" w14:textId="77777777" w:rsidR="008E00B7" w:rsidRPr="00E07686" w:rsidRDefault="008E00B7"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E07686">
        <w:rPr>
          <w:rFonts w:ascii="Times New Roman" w:hAnsi="Times New Roman" w:cs="Times New Roman"/>
          <w:b/>
          <w:color w:val="FFFFFF" w:themeColor="background1"/>
          <w:sz w:val="24"/>
          <w:szCs w:val="24"/>
        </w:rPr>
        <w:t xml:space="preserve">Ejecución de gastos relacionados </w:t>
      </w:r>
      <w:r w:rsidR="004A0389" w:rsidRPr="00E07686">
        <w:rPr>
          <w:rFonts w:ascii="Times New Roman" w:hAnsi="Times New Roman" w:cs="Times New Roman"/>
          <w:b/>
          <w:color w:val="FFFFFF" w:themeColor="background1"/>
          <w:sz w:val="24"/>
          <w:szCs w:val="24"/>
        </w:rPr>
        <w:t>a emergencias y calamidades públicas</w:t>
      </w:r>
    </w:p>
    <w:p w14:paraId="760E6CD3" w14:textId="77777777" w:rsidR="008E00B7" w:rsidRPr="000104C5" w:rsidRDefault="008E00B7" w:rsidP="00C76B98">
      <w:pPr>
        <w:pStyle w:val="Sinespaciado"/>
        <w:rPr>
          <w:rFonts w:ascii="Times New Roman" w:hAnsi="Times New Roman" w:cs="Times New Roman"/>
          <w:color w:val="FF0000"/>
          <w:sz w:val="18"/>
          <w:szCs w:val="18"/>
        </w:rPr>
      </w:pPr>
    </w:p>
    <w:p w14:paraId="2271D397" w14:textId="77777777" w:rsidR="008E00B7" w:rsidRPr="000104C5" w:rsidRDefault="008E00B7" w:rsidP="008E00B7">
      <w:pPr>
        <w:spacing w:after="0"/>
        <w:rPr>
          <w:rFonts w:ascii="Times New Roman" w:hAnsi="Times New Roman" w:cs="Times New Roman"/>
          <w:color w:val="FF0000"/>
        </w:rPr>
        <w:sectPr w:rsidR="008E00B7" w:rsidRPr="000104C5"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4AC5F9B7" w14:textId="7B87A9EC" w:rsidR="00E07686" w:rsidRDefault="00E07686" w:rsidP="00E07686">
      <w:pPr>
        <w:pStyle w:val="Sinespaciado"/>
        <w:jc w:val="both"/>
        <w:rPr>
          <w:rFonts w:ascii="Times New Roman" w:hAnsi="Times New Roman" w:cs="Times New Roman"/>
          <w:color w:val="FF0000"/>
        </w:rPr>
      </w:pPr>
      <w:r w:rsidRPr="00112F6C">
        <w:rPr>
          <w:rFonts w:ascii="Times New Roman" w:hAnsi="Times New Roman" w:cs="Times New Roman"/>
          <w:lang w:val="es-MX"/>
        </w:rPr>
        <w:t xml:space="preserve">Se le da </w:t>
      </w:r>
      <w:r w:rsidRPr="00112F6C">
        <w:rPr>
          <w:rFonts w:ascii="Times New Roman" w:hAnsi="Times New Roman" w:cs="Times New Roman"/>
        </w:rPr>
        <w:t>seguimiento a la ejecución del gasto relacionado a la pandemia COVID-19, dado que fue creado el programa específico para su seguimiento, durante</w:t>
      </w:r>
      <w:r>
        <w:rPr>
          <w:rFonts w:ascii="Times New Roman" w:hAnsi="Times New Roman" w:cs="Times New Roman"/>
        </w:rPr>
        <w:t xml:space="preserve"> el año se han ejecutado </w:t>
      </w:r>
      <w:r>
        <w:rPr>
          <w:rFonts w:ascii="Times New Roman" w:hAnsi="Times New Roman" w:cs="Times New Roman"/>
        </w:rPr>
        <w:t>Q693.5 millones, correspondientes casi en su totalidad al Ministerio de Salud Pública y Asistencia Social y en una menor medida al Ministerio de Desarrollo Social.</w:t>
      </w:r>
    </w:p>
    <w:p w14:paraId="1F1BBE3D" w14:textId="77777777" w:rsidR="00E07686" w:rsidRDefault="00E07686" w:rsidP="00E07686">
      <w:pPr>
        <w:pStyle w:val="Sinespaciado"/>
        <w:jc w:val="both"/>
        <w:rPr>
          <w:rFonts w:ascii="Times New Roman" w:hAnsi="Times New Roman" w:cs="Times New Roman"/>
        </w:rPr>
      </w:pPr>
      <w:r>
        <w:rPr>
          <w:rFonts w:ascii="Times New Roman" w:hAnsi="Times New Roman" w:cs="Times New Roman"/>
        </w:rPr>
        <w:lastRenderedPageBreak/>
        <w:t xml:space="preserve">Dentro de los gastos, se encuentran la vacuna COVID-19 con Q134.4 millones y los servicios de prevención y tratamiento de COVID-19 con Q558.0 millones. </w:t>
      </w:r>
    </w:p>
    <w:p w14:paraId="4AD2CB90" w14:textId="77777777" w:rsidR="00E07686" w:rsidRDefault="00E07686" w:rsidP="00E07686">
      <w:pPr>
        <w:pStyle w:val="Sinespaciado"/>
        <w:jc w:val="both"/>
        <w:rPr>
          <w:rFonts w:ascii="Times New Roman" w:hAnsi="Times New Roman" w:cs="Times New Roman"/>
        </w:rPr>
      </w:pPr>
    </w:p>
    <w:p w14:paraId="7547D0BE" w14:textId="10EF63C2" w:rsidR="00E07686" w:rsidRPr="00E07686" w:rsidRDefault="00E07686" w:rsidP="00E07686">
      <w:pPr>
        <w:pStyle w:val="Sinespaciado"/>
        <w:jc w:val="both"/>
        <w:rPr>
          <w:rFonts w:ascii="Times New Roman" w:hAnsi="Times New Roman" w:cs="Times New Roman"/>
          <w:color w:val="FF0000"/>
        </w:rPr>
      </w:pPr>
      <w:r>
        <w:rPr>
          <w:rFonts w:ascii="Times New Roman" w:hAnsi="Times New Roman" w:cs="Times New Roman"/>
        </w:rPr>
        <w:t xml:space="preserve">Durante junio se aprobó el Decreto 36-2022 “Reformas a los Decretos 16-2021 Ley del Presupuesto General de Ingresos y Egresos del Estado para el 2022 y Decreto 21-2022 Ley para Fortalecer el Mantenimiento y Construcción de Infraestructura Estratégica”, con el objeto de fortalecer la conformación del Fondo Emergente, para lo cual el Ministerio de Salud Pública y Asistencia Social debe poner a disposición hasta Q600 millones correspondientes a la adquisición de vacunas contra el virus COVID-19. Por lo cual, en los próximos meses el presupuesto para la vacuna contra el COVID-19 podría experimentar una disminución.  </w:t>
      </w:r>
    </w:p>
    <w:p w14:paraId="5F1FEEA0" w14:textId="77777777" w:rsidR="00E07686" w:rsidRDefault="00E07686" w:rsidP="00E07686">
      <w:pPr>
        <w:spacing w:after="0" w:line="240" w:lineRule="auto"/>
        <w:ind w:right="213"/>
        <w:jc w:val="both"/>
        <w:rPr>
          <w:rFonts w:ascii="Times New Roman" w:hAnsi="Times New Roman" w:cs="Times New Roman"/>
        </w:rPr>
      </w:pPr>
    </w:p>
    <w:p w14:paraId="5589B123" w14:textId="671255A7" w:rsidR="00E35916" w:rsidRPr="000104C5" w:rsidRDefault="00E07686" w:rsidP="00E07686">
      <w:pPr>
        <w:pStyle w:val="Sinespaciado"/>
        <w:jc w:val="both"/>
        <w:rPr>
          <w:rFonts w:ascii="Times New Roman" w:hAnsi="Times New Roman" w:cs="Times New Roman"/>
          <w:color w:val="FF0000"/>
        </w:rPr>
      </w:pPr>
      <w:r>
        <w:rPr>
          <w:rFonts w:ascii="Times New Roman" w:hAnsi="Times New Roman" w:cs="Times New Roman"/>
        </w:rPr>
        <w:t>Por su parte, el Ministerio de Desarrollo Social cuenta con un presupuesto de Q3.9 millones por intervenciones diversas por COVID-19, de las cuales se reporta una ejecución de Q1.2 millones.</w:t>
      </w:r>
    </w:p>
    <w:p w14:paraId="049B3090" w14:textId="4C133C8D" w:rsidR="00FA0E54" w:rsidRPr="00E07686" w:rsidRDefault="00FA0E54" w:rsidP="006B4A2A">
      <w:pPr>
        <w:pStyle w:val="Sinespaciado"/>
        <w:jc w:val="both"/>
        <w:rPr>
          <w:rFonts w:ascii="Times New Roman" w:hAnsi="Times New Roman" w:cs="Times New Roman"/>
        </w:rPr>
      </w:pPr>
    </w:p>
    <w:p w14:paraId="50A2B637" w14:textId="77777777" w:rsidR="006B4A2A" w:rsidRPr="00E07686" w:rsidRDefault="006B4A2A" w:rsidP="006B4A2A">
      <w:pPr>
        <w:pStyle w:val="Sinespaciado"/>
        <w:jc w:val="center"/>
        <w:rPr>
          <w:rFonts w:ascii="Times New Roman" w:hAnsi="Times New Roman" w:cs="Times New Roman"/>
          <w:b/>
        </w:rPr>
      </w:pPr>
      <w:r w:rsidRPr="00E07686">
        <w:rPr>
          <w:rFonts w:ascii="Times New Roman" w:hAnsi="Times New Roman" w:cs="Times New Roman"/>
          <w:b/>
        </w:rPr>
        <w:t>Ejecución de gastos por COVID-19</w:t>
      </w:r>
    </w:p>
    <w:p w14:paraId="0D3534C6" w14:textId="77777777" w:rsidR="006B4A2A" w:rsidRPr="00E07686" w:rsidRDefault="006B4A2A" w:rsidP="006B4A2A">
      <w:pPr>
        <w:pStyle w:val="Sinespaciado"/>
        <w:jc w:val="center"/>
        <w:rPr>
          <w:rFonts w:ascii="Times New Roman" w:hAnsi="Times New Roman" w:cs="Times New Roman"/>
          <w:sz w:val="18"/>
          <w:szCs w:val="18"/>
        </w:rPr>
      </w:pPr>
      <w:r w:rsidRPr="00E07686">
        <w:rPr>
          <w:rFonts w:ascii="Times New Roman" w:hAnsi="Times New Roman" w:cs="Times New Roman"/>
          <w:sz w:val="18"/>
          <w:szCs w:val="18"/>
        </w:rPr>
        <w:t>Al 3</w:t>
      </w:r>
      <w:r w:rsidR="00E35916" w:rsidRPr="00E07686">
        <w:rPr>
          <w:rFonts w:ascii="Times New Roman" w:hAnsi="Times New Roman" w:cs="Times New Roman"/>
          <w:sz w:val="18"/>
          <w:szCs w:val="18"/>
        </w:rPr>
        <w:t>0</w:t>
      </w:r>
      <w:r w:rsidRPr="00E07686">
        <w:rPr>
          <w:rFonts w:ascii="Times New Roman" w:hAnsi="Times New Roman" w:cs="Times New Roman"/>
          <w:sz w:val="18"/>
          <w:szCs w:val="18"/>
        </w:rPr>
        <w:t xml:space="preserve"> de </w:t>
      </w:r>
      <w:r w:rsidR="00E35916" w:rsidRPr="00E07686">
        <w:rPr>
          <w:rFonts w:ascii="Times New Roman" w:hAnsi="Times New Roman" w:cs="Times New Roman"/>
          <w:sz w:val="18"/>
          <w:szCs w:val="18"/>
        </w:rPr>
        <w:t>juni</w:t>
      </w:r>
      <w:r w:rsidR="004577E8" w:rsidRPr="00E07686">
        <w:rPr>
          <w:rFonts w:ascii="Times New Roman" w:hAnsi="Times New Roman" w:cs="Times New Roman"/>
          <w:sz w:val="18"/>
          <w:szCs w:val="18"/>
        </w:rPr>
        <w:t>o</w:t>
      </w:r>
      <w:r w:rsidRPr="00E07686">
        <w:rPr>
          <w:rFonts w:ascii="Times New Roman" w:hAnsi="Times New Roman" w:cs="Times New Roman"/>
          <w:sz w:val="18"/>
          <w:szCs w:val="18"/>
        </w:rPr>
        <w:t xml:space="preserve"> 2021-2022</w:t>
      </w:r>
    </w:p>
    <w:p w14:paraId="4D364CC5" w14:textId="2417126B" w:rsidR="006B4A2A" w:rsidRPr="00E07686" w:rsidRDefault="00E07686" w:rsidP="006B4A2A">
      <w:pPr>
        <w:spacing w:after="0" w:line="240" w:lineRule="auto"/>
        <w:ind w:right="213"/>
        <w:jc w:val="both"/>
        <w:rPr>
          <w:rFonts w:ascii="Times New Roman" w:hAnsi="Times New Roman" w:cs="Times New Roman"/>
        </w:rPr>
      </w:pPr>
      <w:r w:rsidRPr="00E07686">
        <w:rPr>
          <w:rFonts w:ascii="Times New Roman" w:hAnsi="Times New Roman" w:cs="Times New Roman"/>
          <w:noProof/>
          <w:lang w:eastAsia="es-GT"/>
        </w:rPr>
        <w:drawing>
          <wp:inline distT="0" distB="0" distL="0" distR="0" wp14:anchorId="242A5D47" wp14:editId="3D4738DE">
            <wp:extent cx="2581275" cy="2383790"/>
            <wp:effectExtent l="0" t="0" r="0" b="0"/>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2C0E4A" w14:textId="77777777" w:rsidR="006B4A2A" w:rsidRPr="00E07686" w:rsidRDefault="006B4A2A" w:rsidP="006B4A2A">
      <w:pPr>
        <w:spacing w:after="0" w:line="240" w:lineRule="auto"/>
        <w:jc w:val="both"/>
        <w:rPr>
          <w:rFonts w:ascii="Times New Roman" w:hAnsi="Times New Roman" w:cs="Times New Roman"/>
          <w:sz w:val="18"/>
        </w:rPr>
      </w:pPr>
      <w:r w:rsidRPr="00E07686">
        <w:rPr>
          <w:rFonts w:ascii="Times New Roman" w:hAnsi="Times New Roman" w:cs="Times New Roman"/>
          <w:sz w:val="16"/>
        </w:rPr>
        <w:t xml:space="preserve">Fuente: </w:t>
      </w:r>
      <w:r w:rsidRPr="00E07686">
        <w:rPr>
          <w:rFonts w:ascii="Times New Roman" w:hAnsi="Times New Roman" w:cs="Times New Roman"/>
          <w:sz w:val="18"/>
        </w:rPr>
        <w:t>Dirección de Análisis y Política Fiscal.</w:t>
      </w:r>
    </w:p>
    <w:p w14:paraId="302CF5DD" w14:textId="77777777" w:rsidR="00FA0E54" w:rsidRPr="000104C5" w:rsidRDefault="00FA0E54" w:rsidP="00E35916">
      <w:pPr>
        <w:pStyle w:val="Sinespaciado"/>
        <w:jc w:val="both"/>
        <w:rPr>
          <w:rFonts w:ascii="Times New Roman" w:hAnsi="Times New Roman" w:cs="Times New Roman"/>
          <w:color w:val="FF0000"/>
          <w:sz w:val="14"/>
        </w:rPr>
      </w:pPr>
    </w:p>
    <w:p w14:paraId="07E080FF" w14:textId="16AA3612" w:rsidR="00E07686" w:rsidRDefault="00E07686" w:rsidP="00E07686">
      <w:pPr>
        <w:pStyle w:val="Sinespaciado"/>
        <w:ind w:right="71"/>
        <w:jc w:val="both"/>
        <w:rPr>
          <w:rFonts w:ascii="Times New Roman" w:hAnsi="Times New Roman" w:cs="Times New Roman"/>
        </w:rPr>
      </w:pPr>
      <w:r>
        <w:rPr>
          <w:rFonts w:ascii="Times New Roman" w:hAnsi="Times New Roman" w:cs="Times New Roman"/>
        </w:rPr>
        <w:t xml:space="preserve">Derivado de los esfuerzos antes mencionados, al cierre de junio de acuerdo al tablero de seguimiento de COVID-19 del MSPAS, se han administrado alrededor de 18.0 millones de dosis, de las cuales 8.3 millones corresponden a primera dosis, 6.3 millones </w:t>
      </w:r>
      <w:r>
        <w:rPr>
          <w:rFonts w:ascii="Times New Roman" w:hAnsi="Times New Roman" w:cs="Times New Roman"/>
        </w:rPr>
        <w:t xml:space="preserve">corresponden a segunda dosis, 3.1 millones corresponden a la dosis de refuerzo. Por su parte, ha iniciado la vacunación con segunda dosis de refuerzo (cuarta dosis), de las cuales hay 196,308 personas vacunadas </w:t>
      </w:r>
    </w:p>
    <w:p w14:paraId="4AC16731" w14:textId="77777777" w:rsidR="00E07686" w:rsidRDefault="00E07686" w:rsidP="00E07686">
      <w:pPr>
        <w:pStyle w:val="Sinespaciado"/>
        <w:ind w:right="71"/>
        <w:jc w:val="both"/>
        <w:rPr>
          <w:rFonts w:ascii="Times New Roman" w:hAnsi="Times New Roman" w:cs="Times New Roman"/>
        </w:rPr>
      </w:pPr>
    </w:p>
    <w:p w14:paraId="78A0913F" w14:textId="77777777" w:rsidR="00E07686" w:rsidRDefault="00E07686" w:rsidP="00E07686">
      <w:pPr>
        <w:pStyle w:val="Sinespaciado"/>
        <w:ind w:right="71"/>
        <w:jc w:val="both"/>
        <w:rPr>
          <w:rFonts w:ascii="Times New Roman" w:hAnsi="Times New Roman" w:cs="Times New Roman"/>
        </w:rPr>
      </w:pPr>
      <w:r>
        <w:rPr>
          <w:rFonts w:ascii="Times New Roman" w:hAnsi="Times New Roman" w:cs="Times New Roman"/>
        </w:rPr>
        <w:t xml:space="preserve">De la primera dosis, el 42.5% corresponde a Moderna, 24.5% a Astrazeneca, 18.9% a Sputnik y 14.1% a Pfizer, lo cual corresponde a donaciones y compras hechas por el gobierno de Guatemala. </w:t>
      </w:r>
    </w:p>
    <w:p w14:paraId="42F124E8" w14:textId="77777777" w:rsidR="00E07686" w:rsidRDefault="00E07686" w:rsidP="00E07686">
      <w:pPr>
        <w:pStyle w:val="Sinespaciado"/>
        <w:ind w:right="71"/>
        <w:jc w:val="both"/>
        <w:rPr>
          <w:rFonts w:ascii="Times New Roman" w:hAnsi="Times New Roman" w:cs="Times New Roman"/>
        </w:rPr>
      </w:pPr>
    </w:p>
    <w:p w14:paraId="70D83C53" w14:textId="1102A380" w:rsidR="00B77BCA" w:rsidRDefault="00E07686" w:rsidP="00E07686">
      <w:pPr>
        <w:pStyle w:val="Sinespaciado"/>
        <w:jc w:val="both"/>
        <w:rPr>
          <w:rFonts w:ascii="Times New Roman" w:hAnsi="Times New Roman" w:cs="Times New Roman"/>
        </w:rPr>
      </w:pPr>
      <w:r>
        <w:rPr>
          <w:rFonts w:ascii="Times New Roman" w:hAnsi="Times New Roman" w:cs="Times New Roman"/>
        </w:rPr>
        <w:t>Esto es relevante dado que en la vacunación se reflejan los esfuerzos del gobierno por asegurar la salud de los guatemaltecos ante los efectos de la pandemia COVID-19.</w:t>
      </w:r>
    </w:p>
    <w:p w14:paraId="2D47106F" w14:textId="77777777" w:rsidR="00E07686" w:rsidRPr="00E07686" w:rsidRDefault="00E07686" w:rsidP="00E07686">
      <w:pPr>
        <w:pStyle w:val="Sinespaciado"/>
        <w:jc w:val="both"/>
        <w:rPr>
          <w:rFonts w:ascii="Times New Roman" w:hAnsi="Times New Roman" w:cs="Times New Roman"/>
        </w:rPr>
      </w:pPr>
    </w:p>
    <w:p w14:paraId="328F1D8F" w14:textId="77777777" w:rsidR="00776700" w:rsidRPr="00E07686" w:rsidRDefault="00776700" w:rsidP="00776700">
      <w:pPr>
        <w:pStyle w:val="Sinespaciado"/>
        <w:ind w:right="213"/>
        <w:jc w:val="center"/>
        <w:rPr>
          <w:rFonts w:ascii="Times New Roman" w:hAnsi="Times New Roman" w:cs="Times New Roman"/>
          <w:b/>
        </w:rPr>
      </w:pPr>
      <w:r w:rsidRPr="00E07686">
        <w:rPr>
          <w:rFonts w:ascii="Times New Roman" w:hAnsi="Times New Roman" w:cs="Times New Roman"/>
          <w:b/>
        </w:rPr>
        <w:t>Cantidad de dosis aplicadas y tipo de vacuna</w:t>
      </w:r>
    </w:p>
    <w:p w14:paraId="376DD5E2" w14:textId="3C427011" w:rsidR="00776700" w:rsidRPr="00E07686" w:rsidRDefault="00E07686" w:rsidP="00776700">
      <w:pPr>
        <w:pStyle w:val="Sinespaciado"/>
        <w:ind w:right="213"/>
        <w:jc w:val="center"/>
        <w:rPr>
          <w:rFonts w:ascii="Times New Roman" w:hAnsi="Times New Roman" w:cs="Times New Roman"/>
          <w:sz w:val="20"/>
        </w:rPr>
      </w:pPr>
      <w:r w:rsidRPr="00E07686">
        <w:rPr>
          <w:noProof/>
          <w:lang w:eastAsia="es-GT"/>
        </w:rPr>
        <w:drawing>
          <wp:anchor distT="0" distB="0" distL="114300" distR="114300" simplePos="0" relativeHeight="251852800" behindDoc="0" locked="0" layoutInCell="1" allowOverlap="1" wp14:anchorId="3A1BF8FE" wp14:editId="762B6F07">
            <wp:simplePos x="0" y="0"/>
            <wp:positionH relativeFrom="column">
              <wp:posOffset>3810</wp:posOffset>
            </wp:positionH>
            <wp:positionV relativeFrom="paragraph">
              <wp:posOffset>143510</wp:posOffset>
            </wp:positionV>
            <wp:extent cx="2657475" cy="2200275"/>
            <wp:effectExtent l="0" t="0" r="0" b="0"/>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776700" w:rsidRPr="00E07686">
        <w:rPr>
          <w:rFonts w:ascii="Times New Roman" w:hAnsi="Times New Roman" w:cs="Times New Roman"/>
          <w:sz w:val="20"/>
        </w:rPr>
        <w:t>Cifras en millones y porcentajes</w:t>
      </w:r>
    </w:p>
    <w:p w14:paraId="0BB31E44" w14:textId="368F8DDF" w:rsidR="00FA0E54" w:rsidRPr="00E07686" w:rsidRDefault="00FA0E54" w:rsidP="00776700">
      <w:pPr>
        <w:pStyle w:val="Sinespaciado"/>
        <w:ind w:right="213"/>
        <w:jc w:val="center"/>
        <w:rPr>
          <w:rFonts w:ascii="Times New Roman" w:hAnsi="Times New Roman" w:cs="Times New Roman"/>
          <w:sz w:val="18"/>
        </w:rPr>
      </w:pPr>
    </w:p>
    <w:p w14:paraId="719CBE0A" w14:textId="77777777" w:rsidR="00FA0E54" w:rsidRPr="00E07686" w:rsidRDefault="00FA0E54" w:rsidP="00776700">
      <w:pPr>
        <w:pStyle w:val="Sinespaciado"/>
        <w:ind w:right="213"/>
        <w:jc w:val="center"/>
        <w:rPr>
          <w:rFonts w:ascii="Times New Roman" w:hAnsi="Times New Roman" w:cs="Times New Roman"/>
          <w:sz w:val="18"/>
        </w:rPr>
      </w:pPr>
    </w:p>
    <w:p w14:paraId="25336D56" w14:textId="77777777" w:rsidR="004577E8" w:rsidRPr="00E07686" w:rsidRDefault="004577E8" w:rsidP="00776700">
      <w:pPr>
        <w:pStyle w:val="Sinespaciado"/>
        <w:ind w:right="213"/>
        <w:jc w:val="center"/>
        <w:rPr>
          <w:rFonts w:ascii="Times New Roman" w:hAnsi="Times New Roman" w:cs="Times New Roman"/>
          <w:sz w:val="18"/>
        </w:rPr>
      </w:pPr>
    </w:p>
    <w:p w14:paraId="40F63EB4" w14:textId="77777777" w:rsidR="004577E8" w:rsidRPr="00E07686" w:rsidRDefault="004577E8" w:rsidP="00776700">
      <w:pPr>
        <w:pStyle w:val="Sinespaciado"/>
        <w:ind w:right="213"/>
        <w:jc w:val="center"/>
        <w:rPr>
          <w:rFonts w:ascii="Times New Roman" w:hAnsi="Times New Roman" w:cs="Times New Roman"/>
          <w:sz w:val="18"/>
        </w:rPr>
      </w:pPr>
    </w:p>
    <w:p w14:paraId="41D05DA7" w14:textId="77777777" w:rsidR="004577E8" w:rsidRPr="00E07686" w:rsidRDefault="004577E8" w:rsidP="00776700">
      <w:pPr>
        <w:pStyle w:val="Sinespaciado"/>
        <w:ind w:right="213"/>
        <w:jc w:val="center"/>
        <w:rPr>
          <w:rFonts w:ascii="Times New Roman" w:hAnsi="Times New Roman" w:cs="Times New Roman"/>
          <w:sz w:val="18"/>
        </w:rPr>
      </w:pPr>
    </w:p>
    <w:p w14:paraId="71A59679" w14:textId="77777777" w:rsidR="004577E8" w:rsidRPr="00E07686" w:rsidRDefault="004577E8" w:rsidP="00776700">
      <w:pPr>
        <w:pStyle w:val="Sinespaciado"/>
        <w:ind w:right="213"/>
        <w:jc w:val="center"/>
        <w:rPr>
          <w:rFonts w:ascii="Times New Roman" w:hAnsi="Times New Roman" w:cs="Times New Roman"/>
          <w:sz w:val="18"/>
        </w:rPr>
      </w:pPr>
    </w:p>
    <w:p w14:paraId="788A92BE" w14:textId="77777777" w:rsidR="006B4A2A" w:rsidRPr="00E07686" w:rsidRDefault="006B4A2A" w:rsidP="00776700">
      <w:pPr>
        <w:pStyle w:val="Sinespaciado"/>
        <w:ind w:right="213"/>
        <w:jc w:val="center"/>
        <w:rPr>
          <w:rFonts w:ascii="Times New Roman" w:hAnsi="Times New Roman" w:cs="Times New Roman"/>
          <w:sz w:val="18"/>
        </w:rPr>
      </w:pPr>
    </w:p>
    <w:p w14:paraId="772C8DB6" w14:textId="77777777" w:rsidR="006B4A2A" w:rsidRPr="00E07686" w:rsidRDefault="006B4A2A" w:rsidP="00776700">
      <w:pPr>
        <w:pStyle w:val="Sinespaciado"/>
        <w:ind w:right="213"/>
        <w:jc w:val="center"/>
        <w:rPr>
          <w:rFonts w:ascii="Times New Roman" w:hAnsi="Times New Roman" w:cs="Times New Roman"/>
          <w:sz w:val="18"/>
        </w:rPr>
      </w:pPr>
    </w:p>
    <w:p w14:paraId="034587B7" w14:textId="77777777" w:rsidR="006B4A2A" w:rsidRPr="00E07686" w:rsidRDefault="006B4A2A" w:rsidP="00776700">
      <w:pPr>
        <w:pStyle w:val="Sinespaciado"/>
        <w:ind w:right="213"/>
        <w:jc w:val="center"/>
        <w:rPr>
          <w:rFonts w:ascii="Times New Roman" w:hAnsi="Times New Roman" w:cs="Times New Roman"/>
          <w:sz w:val="18"/>
        </w:rPr>
      </w:pPr>
    </w:p>
    <w:p w14:paraId="1D74300E" w14:textId="77777777" w:rsidR="001A7D31" w:rsidRPr="00E07686" w:rsidRDefault="001A7D31" w:rsidP="00776700">
      <w:pPr>
        <w:pStyle w:val="Sinespaciado"/>
        <w:ind w:right="213"/>
        <w:jc w:val="center"/>
        <w:rPr>
          <w:rFonts w:ascii="Times New Roman" w:hAnsi="Times New Roman" w:cs="Times New Roman"/>
          <w:sz w:val="18"/>
        </w:rPr>
      </w:pPr>
    </w:p>
    <w:p w14:paraId="0D6441E3" w14:textId="77777777" w:rsidR="001A7D31" w:rsidRPr="00E07686" w:rsidRDefault="001A7D31" w:rsidP="00776700">
      <w:pPr>
        <w:pStyle w:val="Sinespaciado"/>
        <w:ind w:right="213"/>
        <w:jc w:val="center"/>
        <w:rPr>
          <w:rFonts w:ascii="Times New Roman" w:hAnsi="Times New Roman" w:cs="Times New Roman"/>
          <w:sz w:val="18"/>
        </w:rPr>
      </w:pPr>
    </w:p>
    <w:p w14:paraId="5A405FCE" w14:textId="77777777" w:rsidR="001A7D31" w:rsidRPr="00E07686" w:rsidRDefault="001A7D31" w:rsidP="00776700">
      <w:pPr>
        <w:pStyle w:val="Sinespaciado"/>
        <w:ind w:right="213"/>
        <w:jc w:val="center"/>
        <w:rPr>
          <w:rFonts w:ascii="Times New Roman" w:hAnsi="Times New Roman" w:cs="Times New Roman"/>
          <w:sz w:val="18"/>
        </w:rPr>
      </w:pPr>
    </w:p>
    <w:p w14:paraId="72A84078" w14:textId="77777777" w:rsidR="001A7D31" w:rsidRPr="00E07686" w:rsidRDefault="001A7D31" w:rsidP="00776700">
      <w:pPr>
        <w:pStyle w:val="Sinespaciado"/>
        <w:ind w:right="213"/>
        <w:jc w:val="center"/>
        <w:rPr>
          <w:rFonts w:ascii="Times New Roman" w:hAnsi="Times New Roman" w:cs="Times New Roman"/>
          <w:sz w:val="18"/>
        </w:rPr>
      </w:pPr>
    </w:p>
    <w:p w14:paraId="3BBE253E" w14:textId="77777777" w:rsidR="001A7D31" w:rsidRPr="00E07686" w:rsidRDefault="001A7D31" w:rsidP="00776700">
      <w:pPr>
        <w:pStyle w:val="Sinespaciado"/>
        <w:ind w:right="213"/>
        <w:jc w:val="center"/>
        <w:rPr>
          <w:rFonts w:ascii="Times New Roman" w:hAnsi="Times New Roman" w:cs="Times New Roman"/>
          <w:sz w:val="18"/>
        </w:rPr>
      </w:pPr>
    </w:p>
    <w:p w14:paraId="08A799DD" w14:textId="77777777" w:rsidR="001A7D31" w:rsidRPr="00E07686" w:rsidRDefault="001A7D31" w:rsidP="00776700">
      <w:pPr>
        <w:pStyle w:val="Sinespaciado"/>
        <w:ind w:right="213"/>
        <w:jc w:val="center"/>
        <w:rPr>
          <w:rFonts w:ascii="Times New Roman" w:hAnsi="Times New Roman" w:cs="Times New Roman"/>
          <w:sz w:val="18"/>
        </w:rPr>
      </w:pPr>
    </w:p>
    <w:p w14:paraId="20C65AB3" w14:textId="77777777" w:rsidR="00B77BCA" w:rsidRPr="00E07686" w:rsidRDefault="00B77BCA" w:rsidP="00112F6C">
      <w:pPr>
        <w:spacing w:after="0" w:line="240" w:lineRule="auto"/>
        <w:jc w:val="both"/>
        <w:rPr>
          <w:rFonts w:ascii="Times New Roman" w:hAnsi="Times New Roman" w:cs="Times New Roman"/>
          <w:sz w:val="18"/>
          <w:szCs w:val="18"/>
        </w:rPr>
      </w:pPr>
    </w:p>
    <w:p w14:paraId="74924D55" w14:textId="77777777" w:rsidR="00FA0E54" w:rsidRPr="00E07686" w:rsidRDefault="00FA0E54" w:rsidP="00112F6C">
      <w:pPr>
        <w:spacing w:after="0" w:line="240" w:lineRule="auto"/>
        <w:jc w:val="both"/>
        <w:rPr>
          <w:rFonts w:ascii="Times New Roman" w:hAnsi="Times New Roman" w:cs="Times New Roman"/>
          <w:sz w:val="16"/>
          <w:szCs w:val="18"/>
        </w:rPr>
      </w:pPr>
    </w:p>
    <w:p w14:paraId="2BAD9A96" w14:textId="77777777" w:rsidR="00776700" w:rsidRPr="00E07686" w:rsidRDefault="00112F6C" w:rsidP="00112F6C">
      <w:pPr>
        <w:spacing w:after="0" w:line="240" w:lineRule="auto"/>
        <w:jc w:val="both"/>
        <w:rPr>
          <w:rFonts w:ascii="Times New Roman" w:hAnsi="Times New Roman" w:cs="Times New Roman"/>
          <w:sz w:val="16"/>
          <w:szCs w:val="18"/>
        </w:rPr>
      </w:pPr>
      <w:r w:rsidRPr="00E07686">
        <w:rPr>
          <w:rFonts w:ascii="Times New Roman" w:hAnsi="Times New Roman" w:cs="Times New Roman"/>
          <w:sz w:val="16"/>
          <w:szCs w:val="18"/>
        </w:rPr>
        <w:t xml:space="preserve">Fuente: Dirección de Análisis y Política Fiscal, en base a información del </w:t>
      </w:r>
      <w:r w:rsidR="00776700" w:rsidRPr="00E07686">
        <w:rPr>
          <w:rFonts w:ascii="Times New Roman" w:hAnsi="Times New Roman" w:cs="Times New Roman"/>
          <w:sz w:val="16"/>
          <w:szCs w:val="18"/>
        </w:rPr>
        <w:t>Ministerio de Salud Pública y Asistencia Social</w:t>
      </w:r>
      <w:r w:rsidR="004577E8" w:rsidRPr="00E07686">
        <w:rPr>
          <w:rFonts w:ascii="Times New Roman" w:hAnsi="Times New Roman" w:cs="Times New Roman"/>
          <w:sz w:val="16"/>
          <w:szCs w:val="18"/>
        </w:rPr>
        <w:t>.</w:t>
      </w:r>
      <w:r w:rsidR="00776700" w:rsidRPr="00E07686">
        <w:rPr>
          <w:rFonts w:ascii="Times New Roman" w:hAnsi="Times New Roman" w:cs="Times New Roman"/>
          <w:sz w:val="16"/>
          <w:szCs w:val="18"/>
        </w:rPr>
        <w:t xml:space="preserve"> </w:t>
      </w:r>
    </w:p>
    <w:p w14:paraId="3E1024C4" w14:textId="77777777" w:rsidR="004577E8" w:rsidRPr="000104C5" w:rsidRDefault="004577E8" w:rsidP="004577E8">
      <w:pPr>
        <w:spacing w:after="0" w:line="240" w:lineRule="auto"/>
        <w:jc w:val="both"/>
        <w:rPr>
          <w:rFonts w:ascii="Times New Roman" w:hAnsi="Times New Roman" w:cs="Times New Roman"/>
          <w:color w:val="FF0000"/>
          <w:sz w:val="16"/>
          <w:szCs w:val="16"/>
        </w:rPr>
      </w:pPr>
    </w:p>
    <w:p w14:paraId="5E7699A9" w14:textId="2B6A48FA" w:rsidR="00E07686" w:rsidRDefault="00E07686" w:rsidP="00071B42">
      <w:pPr>
        <w:spacing w:after="0" w:line="240" w:lineRule="auto"/>
        <w:jc w:val="both"/>
        <w:rPr>
          <w:rFonts w:ascii="Times New Roman" w:hAnsi="Times New Roman" w:cs="Times New Roman"/>
        </w:rPr>
      </w:pPr>
      <w:r>
        <w:rPr>
          <w:rFonts w:ascii="Times New Roman" w:hAnsi="Times New Roman" w:cs="Times New Roman"/>
        </w:rPr>
        <w:t>Resalta que en junio continúo ampliándose el número de personas vacunadas de los 6 a 11 años alcanzando al 22.74% de este grupo etario, mientras que el grupo de 12 a 17 años continúo aplicándose la dosis de refuerzo.</w:t>
      </w:r>
    </w:p>
    <w:p w14:paraId="277E6362" w14:textId="77777777" w:rsidR="00071B42" w:rsidRDefault="00071B42" w:rsidP="00071B42">
      <w:pPr>
        <w:spacing w:after="0" w:line="240" w:lineRule="auto"/>
        <w:jc w:val="both"/>
        <w:rPr>
          <w:rFonts w:ascii="Times New Roman" w:hAnsi="Times New Roman" w:cs="Times New Roman"/>
        </w:rPr>
      </w:pPr>
    </w:p>
    <w:p w14:paraId="06F1CE3A" w14:textId="77777777" w:rsidR="00E07686" w:rsidRPr="00DB72E9" w:rsidRDefault="00E07686" w:rsidP="00E07686">
      <w:pPr>
        <w:spacing w:line="240" w:lineRule="auto"/>
        <w:jc w:val="both"/>
        <w:rPr>
          <w:rFonts w:ascii="Times New Roman" w:hAnsi="Times New Roman" w:cs="Times New Roman"/>
        </w:rPr>
      </w:pPr>
      <w:r>
        <w:rPr>
          <w:rFonts w:ascii="Times New Roman" w:hAnsi="Times New Roman" w:cs="Times New Roman"/>
        </w:rPr>
        <w:t xml:space="preserve">Según los lineamientos establecidos en el Programa de Inmunizaciones la cuarta dosis (2da dosis de refuerzo) se encuentra habilitada exclusivamente para el personal sanitario, personas de 50 años en adelante sin excepciones y población de 12 años o más con enfermedades crónicas o con </w:t>
      </w:r>
      <w:r>
        <w:rPr>
          <w:rFonts w:ascii="Times New Roman" w:hAnsi="Times New Roman" w:cs="Times New Roman"/>
        </w:rPr>
        <w:lastRenderedPageBreak/>
        <w:t>inmunosupresión,</w:t>
      </w:r>
      <w:r w:rsidRPr="00DB72E9">
        <w:rPr>
          <w:rFonts w:ascii="Times New Roman" w:hAnsi="Times New Roman" w:cs="Times New Roman"/>
        </w:rPr>
        <w:t xml:space="preserve"> siendo 4 meses el período de intervalo entre la tercera y cuarta dosis.</w:t>
      </w:r>
    </w:p>
    <w:p w14:paraId="75E467AF" w14:textId="058134C8" w:rsidR="00776700" w:rsidRPr="000104C5" w:rsidRDefault="00E07686" w:rsidP="00E07686">
      <w:pPr>
        <w:spacing w:after="0" w:line="240" w:lineRule="auto"/>
        <w:jc w:val="both"/>
        <w:rPr>
          <w:rFonts w:ascii="Times New Roman" w:hAnsi="Times New Roman" w:cs="Times New Roman"/>
          <w:color w:val="FF0000"/>
        </w:rPr>
      </w:pPr>
      <w:r>
        <w:rPr>
          <w:rFonts w:ascii="Times New Roman" w:hAnsi="Times New Roman" w:cs="Times New Roman"/>
        </w:rPr>
        <w:t>Al analizar las cifras de personas vacunadas por grupo etario resalta que el mayor grupo de vacunados de primera, segunda dosis y refuerzo se encuentra en los mayores de 60 años, mientras que los menos vacunados son los de 6 a 11 años, derivado que fue el último grupo en contar con autorización para iniciar su proceso de vacunación, por medio del Acuerdo Ministerial 94-2022, donde se emite la sexta adenda al plan nacional de vacunación contra la COVID-19. El mismo Acuerdo Ministerial autoriza la dosis de refuerzo para los de 12 a 17 años.</w:t>
      </w:r>
    </w:p>
    <w:p w14:paraId="566A9138" w14:textId="77777777" w:rsidR="004A0389" w:rsidRPr="00806A0C" w:rsidRDefault="004A0389" w:rsidP="00D22BC7">
      <w:pPr>
        <w:pStyle w:val="Sinespaciado"/>
        <w:ind w:right="-46"/>
        <w:jc w:val="both"/>
        <w:rPr>
          <w:rFonts w:ascii="Times New Roman" w:hAnsi="Times New Roman" w:cs="Times New Roman"/>
        </w:rPr>
      </w:pPr>
    </w:p>
    <w:p w14:paraId="5151F9DE" w14:textId="77777777" w:rsidR="00DF6AE8" w:rsidRPr="00806A0C" w:rsidRDefault="00DF6AE8" w:rsidP="00DF6AE8">
      <w:pPr>
        <w:pStyle w:val="Sinespaciado"/>
        <w:ind w:right="213"/>
        <w:jc w:val="center"/>
        <w:rPr>
          <w:rFonts w:ascii="Times New Roman" w:hAnsi="Times New Roman" w:cs="Times New Roman"/>
          <w:b/>
        </w:rPr>
      </w:pPr>
      <w:r w:rsidRPr="00806A0C">
        <w:rPr>
          <w:rFonts w:ascii="Times New Roman" w:hAnsi="Times New Roman" w:cs="Times New Roman"/>
          <w:b/>
        </w:rPr>
        <w:t>Porcentaje de vacunados por grupo etario</w:t>
      </w:r>
    </w:p>
    <w:p w14:paraId="50EBA266" w14:textId="776AC08E" w:rsidR="00DF6AE8" w:rsidRPr="00806A0C" w:rsidRDefault="00DF6AE8" w:rsidP="00DF6AE8">
      <w:pPr>
        <w:pStyle w:val="Sinespaciado"/>
        <w:ind w:right="213"/>
        <w:jc w:val="center"/>
        <w:rPr>
          <w:rFonts w:ascii="Times New Roman" w:hAnsi="Times New Roman" w:cs="Times New Roman"/>
          <w:sz w:val="20"/>
        </w:rPr>
      </w:pPr>
      <w:r w:rsidRPr="00806A0C">
        <w:rPr>
          <w:rFonts w:ascii="Times New Roman" w:hAnsi="Times New Roman" w:cs="Times New Roman"/>
          <w:sz w:val="20"/>
        </w:rPr>
        <w:t>Cifras en porcentajes</w:t>
      </w:r>
    </w:p>
    <w:p w14:paraId="429BD6B7" w14:textId="556A1247" w:rsidR="00E07686" w:rsidRPr="00806A0C" w:rsidRDefault="00806A0C" w:rsidP="00DF6AE8">
      <w:pPr>
        <w:pStyle w:val="Sinespaciado"/>
        <w:ind w:right="213"/>
        <w:jc w:val="center"/>
        <w:rPr>
          <w:rFonts w:ascii="Times New Roman" w:hAnsi="Times New Roman" w:cs="Times New Roman"/>
          <w:sz w:val="20"/>
        </w:rPr>
      </w:pPr>
      <w:r w:rsidRPr="00806A0C">
        <w:rPr>
          <w:noProof/>
          <w:lang w:eastAsia="es-GT"/>
        </w:rPr>
        <w:drawing>
          <wp:anchor distT="0" distB="0" distL="114300" distR="114300" simplePos="0" relativeHeight="251854848" behindDoc="0" locked="0" layoutInCell="1" allowOverlap="1" wp14:anchorId="7FD1891A" wp14:editId="34840960">
            <wp:simplePos x="0" y="0"/>
            <wp:positionH relativeFrom="column">
              <wp:posOffset>0</wp:posOffset>
            </wp:positionH>
            <wp:positionV relativeFrom="paragraph">
              <wp:posOffset>18415</wp:posOffset>
            </wp:positionV>
            <wp:extent cx="2581275" cy="1819275"/>
            <wp:effectExtent l="0" t="0" r="0" b="0"/>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0F04270A" w14:textId="102BDD75" w:rsidR="00E07686" w:rsidRPr="00806A0C" w:rsidRDefault="00E07686" w:rsidP="00DF6AE8">
      <w:pPr>
        <w:pStyle w:val="Sinespaciado"/>
        <w:ind w:right="213"/>
        <w:jc w:val="center"/>
        <w:rPr>
          <w:rFonts w:ascii="Times New Roman" w:hAnsi="Times New Roman" w:cs="Times New Roman"/>
          <w:sz w:val="20"/>
        </w:rPr>
      </w:pPr>
    </w:p>
    <w:p w14:paraId="7DDB8041" w14:textId="66FA3E78" w:rsidR="00E07686" w:rsidRPr="00806A0C" w:rsidRDefault="00E07686" w:rsidP="00DF6AE8">
      <w:pPr>
        <w:pStyle w:val="Sinespaciado"/>
        <w:ind w:right="213"/>
        <w:jc w:val="center"/>
        <w:rPr>
          <w:rFonts w:ascii="Times New Roman" w:hAnsi="Times New Roman" w:cs="Times New Roman"/>
          <w:sz w:val="20"/>
        </w:rPr>
      </w:pPr>
    </w:p>
    <w:p w14:paraId="293B8266" w14:textId="72E57001" w:rsidR="00E07686" w:rsidRPr="00806A0C" w:rsidRDefault="00E07686" w:rsidP="00DF6AE8">
      <w:pPr>
        <w:pStyle w:val="Sinespaciado"/>
        <w:ind w:right="213"/>
        <w:jc w:val="center"/>
        <w:rPr>
          <w:rFonts w:ascii="Times New Roman" w:hAnsi="Times New Roman" w:cs="Times New Roman"/>
          <w:sz w:val="20"/>
        </w:rPr>
      </w:pPr>
    </w:p>
    <w:p w14:paraId="6706C69B" w14:textId="438EFF25" w:rsidR="00E07686" w:rsidRPr="00806A0C" w:rsidRDefault="00E07686" w:rsidP="00DF6AE8">
      <w:pPr>
        <w:pStyle w:val="Sinespaciado"/>
        <w:ind w:right="213"/>
        <w:jc w:val="center"/>
        <w:rPr>
          <w:rFonts w:ascii="Times New Roman" w:hAnsi="Times New Roman" w:cs="Times New Roman"/>
          <w:sz w:val="20"/>
        </w:rPr>
      </w:pPr>
    </w:p>
    <w:p w14:paraId="5FDF05F5" w14:textId="0D7973F3" w:rsidR="00E07686" w:rsidRPr="00806A0C" w:rsidRDefault="00E07686" w:rsidP="00DF6AE8">
      <w:pPr>
        <w:pStyle w:val="Sinespaciado"/>
        <w:ind w:right="213"/>
        <w:jc w:val="center"/>
        <w:rPr>
          <w:rFonts w:ascii="Times New Roman" w:hAnsi="Times New Roman" w:cs="Times New Roman"/>
          <w:sz w:val="20"/>
        </w:rPr>
      </w:pPr>
    </w:p>
    <w:p w14:paraId="0761F9A9" w14:textId="77777777" w:rsidR="00E07686" w:rsidRPr="00806A0C" w:rsidRDefault="00E07686" w:rsidP="00DF6AE8">
      <w:pPr>
        <w:pStyle w:val="Sinespaciado"/>
        <w:ind w:right="213"/>
        <w:jc w:val="center"/>
        <w:rPr>
          <w:rFonts w:ascii="Times New Roman" w:hAnsi="Times New Roman" w:cs="Times New Roman"/>
          <w:sz w:val="20"/>
        </w:rPr>
      </w:pPr>
    </w:p>
    <w:p w14:paraId="465A6933" w14:textId="7A7B5FE1" w:rsidR="00FA0E54" w:rsidRPr="00806A0C" w:rsidRDefault="00FA0E54" w:rsidP="00112F6C">
      <w:pPr>
        <w:spacing w:after="0" w:line="240" w:lineRule="auto"/>
        <w:jc w:val="both"/>
        <w:rPr>
          <w:rFonts w:ascii="Times New Roman" w:hAnsi="Times New Roman" w:cs="Times New Roman"/>
          <w:sz w:val="20"/>
        </w:rPr>
      </w:pPr>
    </w:p>
    <w:p w14:paraId="6A1A2F8D" w14:textId="681B2773" w:rsidR="00806A0C" w:rsidRPr="00806A0C" w:rsidRDefault="00806A0C" w:rsidP="00112F6C">
      <w:pPr>
        <w:spacing w:after="0" w:line="240" w:lineRule="auto"/>
        <w:jc w:val="both"/>
        <w:rPr>
          <w:rFonts w:ascii="Times New Roman" w:hAnsi="Times New Roman" w:cs="Times New Roman"/>
          <w:sz w:val="20"/>
        </w:rPr>
      </w:pPr>
    </w:p>
    <w:p w14:paraId="74C56687" w14:textId="374C9464" w:rsidR="00806A0C" w:rsidRPr="00806A0C" w:rsidRDefault="00806A0C" w:rsidP="00112F6C">
      <w:pPr>
        <w:spacing w:after="0" w:line="240" w:lineRule="auto"/>
        <w:jc w:val="both"/>
        <w:rPr>
          <w:rFonts w:ascii="Times New Roman" w:hAnsi="Times New Roman" w:cs="Times New Roman"/>
          <w:sz w:val="20"/>
        </w:rPr>
      </w:pPr>
    </w:p>
    <w:p w14:paraId="0FE590E1" w14:textId="3C28E8C8" w:rsidR="00806A0C" w:rsidRPr="00806A0C" w:rsidRDefault="00806A0C" w:rsidP="00112F6C">
      <w:pPr>
        <w:spacing w:after="0" w:line="240" w:lineRule="auto"/>
        <w:jc w:val="both"/>
        <w:rPr>
          <w:rFonts w:ascii="Times New Roman" w:hAnsi="Times New Roman" w:cs="Times New Roman"/>
          <w:sz w:val="20"/>
        </w:rPr>
      </w:pPr>
    </w:p>
    <w:p w14:paraId="08772224" w14:textId="259986D9" w:rsidR="00806A0C" w:rsidRPr="00806A0C" w:rsidRDefault="00806A0C" w:rsidP="00112F6C">
      <w:pPr>
        <w:spacing w:after="0" w:line="240" w:lineRule="auto"/>
        <w:jc w:val="both"/>
        <w:rPr>
          <w:rFonts w:ascii="Times New Roman" w:hAnsi="Times New Roman" w:cs="Times New Roman"/>
          <w:sz w:val="20"/>
        </w:rPr>
      </w:pPr>
    </w:p>
    <w:p w14:paraId="0DD6FD77" w14:textId="7EDA3043" w:rsidR="00806A0C" w:rsidRPr="00806A0C" w:rsidRDefault="00806A0C" w:rsidP="00112F6C">
      <w:pPr>
        <w:spacing w:after="0" w:line="240" w:lineRule="auto"/>
        <w:jc w:val="both"/>
        <w:rPr>
          <w:rFonts w:ascii="Times New Roman" w:hAnsi="Times New Roman" w:cs="Times New Roman"/>
          <w:sz w:val="20"/>
        </w:rPr>
      </w:pPr>
    </w:p>
    <w:p w14:paraId="3E20B01C" w14:textId="77777777" w:rsidR="00806A0C" w:rsidRPr="00806A0C" w:rsidRDefault="00806A0C" w:rsidP="00071B42">
      <w:pPr>
        <w:spacing w:line="240" w:lineRule="auto"/>
        <w:jc w:val="both"/>
        <w:rPr>
          <w:rFonts w:ascii="Times New Roman" w:hAnsi="Times New Roman" w:cs="Times New Roman"/>
          <w:sz w:val="16"/>
          <w:szCs w:val="16"/>
        </w:rPr>
      </w:pPr>
      <w:r w:rsidRPr="00806A0C">
        <w:rPr>
          <w:rFonts w:ascii="Times New Roman" w:hAnsi="Times New Roman" w:cs="Times New Roman"/>
          <w:sz w:val="16"/>
          <w:szCs w:val="16"/>
        </w:rPr>
        <w:t xml:space="preserve">Fuente: Dirección de Análisis y Política Fiscal, en base a información del Ministerio de Salud Pública y Asistencia Social. </w:t>
      </w:r>
    </w:p>
    <w:p w14:paraId="0046607B" w14:textId="37EE7251" w:rsidR="00806A0C" w:rsidRDefault="00806A0C" w:rsidP="00806A0C">
      <w:pPr>
        <w:pStyle w:val="Sinespaciado"/>
        <w:ind w:right="-46"/>
        <w:jc w:val="both"/>
        <w:rPr>
          <w:rFonts w:ascii="Times New Roman" w:hAnsi="Times New Roman" w:cs="Times New Roman"/>
        </w:rPr>
      </w:pPr>
      <w:r w:rsidRPr="004577E8">
        <w:rPr>
          <w:rFonts w:ascii="Times New Roman" w:hAnsi="Times New Roman" w:cs="Times New Roman"/>
        </w:rPr>
        <w:t>Por otr</w:t>
      </w:r>
      <w:r>
        <w:rPr>
          <w:rFonts w:ascii="Times New Roman" w:hAnsi="Times New Roman" w:cs="Times New Roman"/>
        </w:rPr>
        <w:t>a parte</w:t>
      </w:r>
      <w:r w:rsidRPr="004577E8">
        <w:rPr>
          <w:rFonts w:ascii="Times New Roman" w:hAnsi="Times New Roman" w:cs="Times New Roman"/>
        </w:rPr>
        <w:t xml:space="preserve">, también se le da seguimiento a la ejecución del gasto relacionado al Estado de Calamidad Pública por la depresión tropical ETA, </w:t>
      </w:r>
      <w:r>
        <w:rPr>
          <w:rFonts w:ascii="Times New Roman" w:hAnsi="Times New Roman" w:cs="Times New Roman"/>
        </w:rPr>
        <w:t>durante el año se han ejecutado Q285.3 millones, correspondientes en su totalidad al Ministerio de Comunicaciones, Infraestructura y Vivienda.</w:t>
      </w:r>
    </w:p>
    <w:p w14:paraId="26F00E73" w14:textId="77777777" w:rsidR="00806A0C" w:rsidRPr="004577E8" w:rsidRDefault="00806A0C" w:rsidP="00806A0C">
      <w:pPr>
        <w:pStyle w:val="Sinespaciado"/>
        <w:ind w:right="-46"/>
        <w:jc w:val="both"/>
        <w:rPr>
          <w:rFonts w:ascii="Times New Roman" w:hAnsi="Times New Roman" w:cs="Times New Roman"/>
        </w:rPr>
      </w:pPr>
    </w:p>
    <w:p w14:paraId="5A379AA4" w14:textId="62671B5B" w:rsidR="00806A0C" w:rsidRDefault="00806A0C" w:rsidP="00806A0C">
      <w:pPr>
        <w:spacing w:after="0" w:line="240" w:lineRule="auto"/>
        <w:jc w:val="both"/>
        <w:rPr>
          <w:rFonts w:ascii="Times New Roman" w:hAnsi="Times New Roman" w:cs="Times New Roman"/>
          <w:color w:val="FF0000"/>
          <w:sz w:val="20"/>
        </w:rPr>
      </w:pPr>
      <w:r>
        <w:rPr>
          <w:rFonts w:ascii="Times New Roman" w:hAnsi="Times New Roman" w:cs="Times New Roman"/>
        </w:rPr>
        <w:t>Se resalta que este subprograma no contaba con presupuesto inicial y debido a reprogramaciones que se llevaron a cabo recientemente cuenta con un presupuesto vigente de Q533.0 millones, el cual corresponde a intervenciones para el mantenimiento y reparación de bienes nacionales, arrendamiento de maquinaria y equipo y de medios de transporte.</w:t>
      </w:r>
    </w:p>
    <w:p w14:paraId="487FC9E5" w14:textId="400961C7" w:rsidR="00806A0C" w:rsidRDefault="00806A0C" w:rsidP="00112F6C">
      <w:pPr>
        <w:spacing w:after="0" w:line="240" w:lineRule="auto"/>
        <w:jc w:val="both"/>
        <w:rPr>
          <w:rFonts w:ascii="Times New Roman" w:hAnsi="Times New Roman" w:cs="Times New Roman"/>
          <w:color w:val="FF0000"/>
          <w:sz w:val="20"/>
        </w:rPr>
      </w:pPr>
    </w:p>
    <w:p w14:paraId="42F8E516" w14:textId="6F4CCE4B" w:rsidR="00806A0C" w:rsidRDefault="00806A0C" w:rsidP="00112F6C">
      <w:pPr>
        <w:spacing w:after="0" w:line="240" w:lineRule="auto"/>
        <w:jc w:val="both"/>
        <w:rPr>
          <w:rFonts w:ascii="Times New Roman" w:hAnsi="Times New Roman" w:cs="Times New Roman"/>
          <w:color w:val="FF0000"/>
          <w:sz w:val="20"/>
        </w:rPr>
      </w:pPr>
    </w:p>
    <w:p w14:paraId="709318EA" w14:textId="719CCA8A" w:rsidR="00806A0C" w:rsidRDefault="00806A0C" w:rsidP="00112F6C">
      <w:pPr>
        <w:spacing w:after="0" w:line="240" w:lineRule="auto"/>
        <w:jc w:val="both"/>
        <w:rPr>
          <w:rFonts w:ascii="Times New Roman" w:hAnsi="Times New Roman" w:cs="Times New Roman"/>
          <w:color w:val="FF0000"/>
          <w:sz w:val="20"/>
        </w:rPr>
      </w:pPr>
    </w:p>
    <w:p w14:paraId="2712FDE8" w14:textId="799C8871" w:rsidR="00806A0C" w:rsidRDefault="00806A0C" w:rsidP="00112F6C">
      <w:pPr>
        <w:spacing w:after="0" w:line="240" w:lineRule="auto"/>
        <w:jc w:val="both"/>
        <w:rPr>
          <w:rFonts w:ascii="Times New Roman" w:hAnsi="Times New Roman" w:cs="Times New Roman"/>
          <w:color w:val="FF0000"/>
          <w:sz w:val="20"/>
        </w:rPr>
      </w:pPr>
    </w:p>
    <w:p w14:paraId="052B4978" w14:textId="4C81B999" w:rsidR="00806A0C" w:rsidRDefault="00806A0C" w:rsidP="00112F6C">
      <w:pPr>
        <w:spacing w:after="0" w:line="240" w:lineRule="auto"/>
        <w:jc w:val="both"/>
        <w:rPr>
          <w:rFonts w:ascii="Times New Roman" w:hAnsi="Times New Roman" w:cs="Times New Roman"/>
          <w:color w:val="FF0000"/>
          <w:sz w:val="20"/>
        </w:rPr>
      </w:pPr>
    </w:p>
    <w:p w14:paraId="27BA0663" w14:textId="5CC12757" w:rsidR="00806A0C" w:rsidRDefault="00806A0C" w:rsidP="00112F6C">
      <w:pPr>
        <w:spacing w:after="0" w:line="240" w:lineRule="auto"/>
        <w:jc w:val="both"/>
        <w:rPr>
          <w:rFonts w:ascii="Times New Roman" w:hAnsi="Times New Roman" w:cs="Times New Roman"/>
          <w:color w:val="FF0000"/>
          <w:sz w:val="20"/>
        </w:rPr>
      </w:pPr>
    </w:p>
    <w:p w14:paraId="790F1170" w14:textId="163FD6E1" w:rsidR="00806A0C" w:rsidRDefault="00806A0C" w:rsidP="00112F6C">
      <w:pPr>
        <w:spacing w:after="0" w:line="240" w:lineRule="auto"/>
        <w:jc w:val="both"/>
        <w:rPr>
          <w:rFonts w:ascii="Times New Roman" w:hAnsi="Times New Roman" w:cs="Times New Roman"/>
          <w:color w:val="FF0000"/>
          <w:sz w:val="20"/>
        </w:rPr>
      </w:pPr>
    </w:p>
    <w:p w14:paraId="2A232EAF" w14:textId="4DEB0469" w:rsidR="00806A0C" w:rsidRDefault="00806A0C" w:rsidP="00112F6C">
      <w:pPr>
        <w:spacing w:after="0" w:line="240" w:lineRule="auto"/>
        <w:jc w:val="both"/>
        <w:rPr>
          <w:rFonts w:ascii="Times New Roman" w:hAnsi="Times New Roman" w:cs="Times New Roman"/>
          <w:color w:val="FF0000"/>
          <w:sz w:val="20"/>
        </w:rPr>
      </w:pPr>
    </w:p>
    <w:p w14:paraId="4C151140" w14:textId="47986E25" w:rsidR="00806A0C" w:rsidRDefault="00806A0C" w:rsidP="00112F6C">
      <w:pPr>
        <w:spacing w:after="0" w:line="240" w:lineRule="auto"/>
        <w:jc w:val="both"/>
        <w:rPr>
          <w:rFonts w:ascii="Times New Roman" w:hAnsi="Times New Roman" w:cs="Times New Roman"/>
          <w:color w:val="FF0000"/>
          <w:sz w:val="20"/>
        </w:rPr>
      </w:pPr>
    </w:p>
    <w:p w14:paraId="3DC664A6" w14:textId="3E6D4FC0" w:rsidR="00806A0C" w:rsidRDefault="00806A0C" w:rsidP="00112F6C">
      <w:pPr>
        <w:spacing w:after="0" w:line="240" w:lineRule="auto"/>
        <w:jc w:val="both"/>
        <w:rPr>
          <w:rFonts w:ascii="Times New Roman" w:hAnsi="Times New Roman" w:cs="Times New Roman"/>
          <w:color w:val="FF0000"/>
          <w:sz w:val="20"/>
        </w:rPr>
      </w:pPr>
    </w:p>
    <w:p w14:paraId="0299452E" w14:textId="47EF92EA" w:rsidR="00806A0C" w:rsidRDefault="00806A0C" w:rsidP="00112F6C">
      <w:pPr>
        <w:spacing w:after="0" w:line="240" w:lineRule="auto"/>
        <w:jc w:val="both"/>
        <w:rPr>
          <w:rFonts w:ascii="Times New Roman" w:hAnsi="Times New Roman" w:cs="Times New Roman"/>
          <w:color w:val="FF0000"/>
          <w:sz w:val="20"/>
        </w:rPr>
      </w:pPr>
    </w:p>
    <w:p w14:paraId="4CE3F06D" w14:textId="6D636811" w:rsidR="00806A0C" w:rsidRDefault="00806A0C" w:rsidP="00112F6C">
      <w:pPr>
        <w:spacing w:after="0" w:line="240" w:lineRule="auto"/>
        <w:jc w:val="both"/>
        <w:rPr>
          <w:rFonts w:ascii="Times New Roman" w:hAnsi="Times New Roman" w:cs="Times New Roman"/>
          <w:color w:val="FF0000"/>
          <w:sz w:val="20"/>
        </w:rPr>
      </w:pPr>
    </w:p>
    <w:p w14:paraId="199C43F9" w14:textId="77777777" w:rsidR="00806A0C" w:rsidRPr="000104C5" w:rsidRDefault="00806A0C" w:rsidP="00112F6C">
      <w:pPr>
        <w:spacing w:after="0" w:line="240" w:lineRule="auto"/>
        <w:jc w:val="both"/>
        <w:rPr>
          <w:rFonts w:ascii="Times New Roman" w:hAnsi="Times New Roman" w:cs="Times New Roman"/>
          <w:color w:val="FF0000"/>
          <w:sz w:val="16"/>
          <w:szCs w:val="16"/>
        </w:rPr>
      </w:pPr>
    </w:p>
    <w:p w14:paraId="5026C5C2" w14:textId="77777777" w:rsidR="00112F6C" w:rsidRPr="000104C5" w:rsidRDefault="00112F6C" w:rsidP="001B456C">
      <w:pPr>
        <w:pStyle w:val="Sinespaciado"/>
        <w:ind w:right="213"/>
        <w:jc w:val="both"/>
        <w:rPr>
          <w:rFonts w:ascii="Times New Roman" w:hAnsi="Times New Roman" w:cs="Times New Roman"/>
          <w:b/>
          <w:color w:val="FF0000"/>
        </w:rPr>
      </w:pPr>
    </w:p>
    <w:p w14:paraId="7B461835" w14:textId="182DBE2A" w:rsidR="00DF6AE8" w:rsidRPr="000104C5" w:rsidRDefault="00DF6AE8" w:rsidP="00806A0C">
      <w:pPr>
        <w:pStyle w:val="Sinespaciado"/>
        <w:ind w:right="213"/>
        <w:jc w:val="both"/>
        <w:rPr>
          <w:rFonts w:ascii="Times New Roman" w:hAnsi="Times New Roman" w:cs="Times New Roman"/>
          <w:color w:val="FF0000"/>
          <w:sz w:val="24"/>
          <w:szCs w:val="24"/>
        </w:rPr>
      </w:pPr>
    </w:p>
    <w:p w14:paraId="4B1B9E84" w14:textId="77777777" w:rsidR="00776700" w:rsidRPr="000104C5" w:rsidRDefault="00776700" w:rsidP="00776700">
      <w:pPr>
        <w:pStyle w:val="Sinespaciado"/>
        <w:ind w:right="213"/>
        <w:rPr>
          <w:rFonts w:ascii="Times New Roman" w:hAnsi="Times New Roman" w:cs="Times New Roman"/>
          <w:color w:val="FF0000"/>
          <w:sz w:val="28"/>
          <w:szCs w:val="24"/>
        </w:rPr>
      </w:pPr>
    </w:p>
    <w:p w14:paraId="7D9D1221" w14:textId="77777777" w:rsidR="00FA0E54" w:rsidRPr="000104C5" w:rsidRDefault="00FA0E54" w:rsidP="00776700">
      <w:pPr>
        <w:pStyle w:val="Sinespaciado"/>
        <w:ind w:right="213"/>
        <w:rPr>
          <w:rFonts w:ascii="Times New Roman" w:hAnsi="Times New Roman" w:cs="Times New Roman"/>
          <w:color w:val="FF0000"/>
          <w:sz w:val="28"/>
          <w:szCs w:val="24"/>
        </w:rPr>
        <w:sectPr w:rsidR="00FA0E54" w:rsidRPr="000104C5" w:rsidSect="008E00B7">
          <w:type w:val="continuous"/>
          <w:pgSz w:w="12240" w:h="15840"/>
          <w:pgMar w:top="1417" w:right="1701" w:bottom="1417" w:left="1701" w:header="708" w:footer="708" w:gutter="0"/>
          <w:cols w:num="2" w:space="708"/>
          <w:docGrid w:linePitch="360"/>
        </w:sectPr>
      </w:pPr>
    </w:p>
    <w:p w14:paraId="0DCD7693" w14:textId="77777777" w:rsidR="0071038C" w:rsidRPr="00806A0C" w:rsidRDefault="00E35916" w:rsidP="0071038C">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806A0C">
        <w:rPr>
          <w:rFonts w:ascii="Times New Roman" w:hAnsi="Times New Roman" w:cs="Times New Roman"/>
          <w:b/>
          <w:color w:val="FFFFFF" w:themeColor="background1"/>
          <w:sz w:val="24"/>
          <w:szCs w:val="24"/>
        </w:rPr>
        <w:t>Ejecución de la</w:t>
      </w:r>
      <w:r w:rsidR="001E5527" w:rsidRPr="00806A0C">
        <w:rPr>
          <w:rFonts w:ascii="Times New Roman" w:hAnsi="Times New Roman" w:cs="Times New Roman"/>
          <w:b/>
          <w:color w:val="FFFFFF" w:themeColor="background1"/>
          <w:sz w:val="24"/>
          <w:szCs w:val="24"/>
        </w:rPr>
        <w:t>s</w:t>
      </w:r>
      <w:r w:rsidRPr="00806A0C">
        <w:rPr>
          <w:rFonts w:ascii="Times New Roman" w:hAnsi="Times New Roman" w:cs="Times New Roman"/>
          <w:b/>
          <w:color w:val="FFFFFF" w:themeColor="background1"/>
          <w:sz w:val="24"/>
          <w:szCs w:val="24"/>
        </w:rPr>
        <w:t xml:space="preserve"> ampliaciones presupuestarias y otras actividades</w:t>
      </w:r>
    </w:p>
    <w:p w14:paraId="1E4A9F2D" w14:textId="77777777" w:rsidR="0071038C" w:rsidRPr="000104C5" w:rsidRDefault="0071038C" w:rsidP="0071038C">
      <w:pPr>
        <w:pStyle w:val="Sinespaciado"/>
        <w:rPr>
          <w:rFonts w:ascii="Times New Roman" w:hAnsi="Times New Roman" w:cs="Times New Roman"/>
          <w:color w:val="FF0000"/>
          <w:sz w:val="18"/>
          <w:szCs w:val="18"/>
        </w:rPr>
      </w:pPr>
    </w:p>
    <w:p w14:paraId="2FC9368C" w14:textId="77777777" w:rsidR="0071038C" w:rsidRPr="000104C5" w:rsidRDefault="0071038C" w:rsidP="0071038C">
      <w:pPr>
        <w:pStyle w:val="Textodeglobo"/>
        <w:jc w:val="both"/>
        <w:rPr>
          <w:rFonts w:ascii="Times New Roman" w:hAnsi="Times New Roman" w:cs="Times New Roman"/>
          <w:color w:val="FF0000"/>
          <w:sz w:val="22"/>
          <w:szCs w:val="22"/>
        </w:rPr>
        <w:sectPr w:rsidR="0071038C" w:rsidRPr="000104C5"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0BD57E74" w14:textId="0AC0E078" w:rsidR="00806A0C" w:rsidRDefault="00806A0C" w:rsidP="00806A0C">
      <w:pPr>
        <w:pStyle w:val="Textodeglobo"/>
        <w:jc w:val="both"/>
        <w:rPr>
          <w:rFonts w:ascii="Times New Roman" w:hAnsi="Times New Roman" w:cs="Times New Roman"/>
          <w:sz w:val="22"/>
          <w:szCs w:val="22"/>
        </w:rPr>
      </w:pPr>
      <w:r>
        <w:rPr>
          <w:rFonts w:ascii="Times New Roman" w:hAnsi="Times New Roman" w:cs="Times New Roman"/>
          <w:sz w:val="22"/>
          <w:szCs w:val="22"/>
        </w:rPr>
        <w:t>En los últimos meses se ha observado la necesidad de una mayor intervención del Estado, derivado que existen factores externos que han impulsado los precios con un efecto negativo en el poder adquisitivo de los guatemaltecos, entre estos destacan las tensiones geopolíticas por la guerra entre Rusia y Ucrania, que ha generado problemas especulativos con presiones y volatilidad en los precios internacionales de algunos commodities, así como efectos rezagados del COVID-19, como la crisis de contenedores en los principales puertos de Asia.</w:t>
      </w:r>
    </w:p>
    <w:p w14:paraId="1860E55C" w14:textId="77777777" w:rsidR="00806A0C" w:rsidRPr="007C49F4" w:rsidRDefault="00806A0C" w:rsidP="00806A0C">
      <w:pPr>
        <w:pStyle w:val="Textodeglobo"/>
        <w:jc w:val="both"/>
        <w:rPr>
          <w:rFonts w:ascii="Times New Roman" w:hAnsi="Times New Roman" w:cs="Times New Roman"/>
          <w:szCs w:val="22"/>
        </w:rPr>
      </w:pPr>
    </w:p>
    <w:p w14:paraId="584BBD42" w14:textId="77777777" w:rsidR="00806A0C" w:rsidRDefault="00806A0C" w:rsidP="00806A0C">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Derivado de ello, el gobierno ha adoptado una serie de medidas que se han materializado en ampliaciones presupuestarias, la primera fue la aprobación del Decreto 17-2022 “Ley de Apoyo Social Temporal a los Consumidores de Gas Propano” siendo un apoyo social temporal de los cilindros de gas propano con capacidad de 10, 20, 25 y 35 libras, con el objetivo de beneficiar a la población guatemalteca que consume dicho producto. </w:t>
      </w:r>
    </w:p>
    <w:p w14:paraId="6CA867B6" w14:textId="77777777" w:rsidR="00806A0C" w:rsidRDefault="00806A0C" w:rsidP="00806A0C">
      <w:pPr>
        <w:pStyle w:val="Textodeglobo"/>
        <w:jc w:val="both"/>
        <w:rPr>
          <w:rFonts w:ascii="Times New Roman" w:hAnsi="Times New Roman" w:cs="Times New Roman"/>
          <w:sz w:val="22"/>
          <w:szCs w:val="22"/>
        </w:rPr>
      </w:pPr>
    </w:p>
    <w:p w14:paraId="139FB00C" w14:textId="77777777" w:rsidR="00806A0C" w:rsidRDefault="00806A0C" w:rsidP="00806A0C">
      <w:pPr>
        <w:pStyle w:val="Textodeglobo"/>
        <w:jc w:val="both"/>
        <w:rPr>
          <w:rFonts w:ascii="Times New Roman" w:hAnsi="Times New Roman" w:cs="Times New Roman"/>
          <w:sz w:val="22"/>
          <w:szCs w:val="22"/>
        </w:rPr>
      </w:pPr>
      <w:r>
        <w:rPr>
          <w:rFonts w:ascii="Times New Roman" w:hAnsi="Times New Roman" w:cs="Times New Roman"/>
          <w:sz w:val="22"/>
          <w:szCs w:val="22"/>
        </w:rPr>
        <w:t>Este Decreto constituye una extensión del Decreto 15-2021 que tuvo el mismo fin y estuvo vigente por 3 meses.</w:t>
      </w:r>
    </w:p>
    <w:p w14:paraId="70318ACF" w14:textId="77777777" w:rsidR="00806A0C" w:rsidRDefault="00806A0C" w:rsidP="00806A0C">
      <w:pPr>
        <w:pStyle w:val="Textodeglobo"/>
        <w:jc w:val="both"/>
        <w:rPr>
          <w:rFonts w:ascii="Times New Roman" w:hAnsi="Times New Roman" w:cs="Times New Roman"/>
          <w:sz w:val="22"/>
          <w:szCs w:val="22"/>
        </w:rPr>
      </w:pPr>
    </w:p>
    <w:p w14:paraId="37A707DC" w14:textId="77777777" w:rsidR="00806A0C" w:rsidRDefault="00806A0C" w:rsidP="00806A0C">
      <w:pPr>
        <w:pStyle w:val="Textodeglobo"/>
        <w:jc w:val="both"/>
        <w:rPr>
          <w:rFonts w:ascii="Times New Roman" w:hAnsi="Times New Roman" w:cs="Times New Roman"/>
          <w:sz w:val="22"/>
          <w:szCs w:val="22"/>
        </w:rPr>
      </w:pPr>
      <w:r>
        <w:rPr>
          <w:rFonts w:ascii="Times New Roman" w:hAnsi="Times New Roman" w:cs="Times New Roman"/>
          <w:sz w:val="22"/>
          <w:szCs w:val="22"/>
        </w:rPr>
        <w:lastRenderedPageBreak/>
        <w:t xml:space="preserve">En junio nuevamente fue ampliado el subsidio por medio del Decreto 33-2022 que contiene reformas a la “Ley de Apoyo Social Temporal a los Consumidores de Gas Propano” otorgándose por un periodo de 2 meses más con un costo de Q70 millones adicionales a los Q150 millones aprobados anteriormente. </w:t>
      </w:r>
    </w:p>
    <w:p w14:paraId="1DE542B0" w14:textId="77777777" w:rsidR="00806A0C" w:rsidRDefault="00806A0C" w:rsidP="00806A0C">
      <w:pPr>
        <w:pStyle w:val="Textodeglobo"/>
        <w:jc w:val="both"/>
        <w:rPr>
          <w:rFonts w:ascii="Times New Roman" w:hAnsi="Times New Roman" w:cs="Times New Roman"/>
          <w:sz w:val="22"/>
          <w:szCs w:val="22"/>
        </w:rPr>
      </w:pPr>
    </w:p>
    <w:p w14:paraId="7F3C2383" w14:textId="77777777" w:rsidR="00806A0C" w:rsidRDefault="00806A0C" w:rsidP="00806A0C">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En total, esta medida de apoyo social a los consumidores de gas propano estaría vigente por un período de 8 meses (incluye los 3 decretos aprobados). </w:t>
      </w:r>
    </w:p>
    <w:p w14:paraId="412B6707" w14:textId="77777777" w:rsidR="00806A0C" w:rsidRDefault="00806A0C" w:rsidP="00806A0C">
      <w:pPr>
        <w:pStyle w:val="Textodeglobo"/>
        <w:jc w:val="both"/>
        <w:rPr>
          <w:rFonts w:ascii="Times New Roman" w:hAnsi="Times New Roman" w:cs="Times New Roman"/>
          <w:sz w:val="22"/>
          <w:szCs w:val="22"/>
        </w:rPr>
      </w:pPr>
    </w:p>
    <w:p w14:paraId="391C5CEC"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El Ministerio de Energía y Minas, en coordinación con el Ministerio de Economía, verificará la adecuada implementación del apoyo social temporal. </w:t>
      </w:r>
    </w:p>
    <w:p w14:paraId="10259A5C" w14:textId="77777777" w:rsidR="00806A0C" w:rsidRDefault="00806A0C" w:rsidP="00806A0C">
      <w:pPr>
        <w:spacing w:after="0" w:line="240" w:lineRule="auto"/>
        <w:jc w:val="both"/>
        <w:rPr>
          <w:rFonts w:ascii="Times New Roman" w:hAnsi="Times New Roman" w:cs="Times New Roman"/>
        </w:rPr>
      </w:pPr>
    </w:p>
    <w:p w14:paraId="0D9F7FFC"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Para el financiamiento de esta medida se hace uso de recursos disponibles en caja y bancos. </w:t>
      </w:r>
    </w:p>
    <w:p w14:paraId="3AFDA1BE"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La segunda medida adoptada fue la aprobación del Decreto 20-2022 “Ley de Apoyo Social Temporal a los Consumidores de Diésel y Gasolina Regular” el cual es un apoyo social temporal a los consumidores de diésel y de gasolina regular. </w:t>
      </w:r>
    </w:p>
    <w:p w14:paraId="2F32BC88" w14:textId="77777777" w:rsidR="00806A0C" w:rsidRDefault="00806A0C" w:rsidP="00806A0C">
      <w:pPr>
        <w:spacing w:after="0" w:line="240" w:lineRule="auto"/>
        <w:jc w:val="both"/>
        <w:rPr>
          <w:rFonts w:ascii="Times New Roman" w:hAnsi="Times New Roman" w:cs="Times New Roman"/>
        </w:rPr>
      </w:pPr>
    </w:p>
    <w:p w14:paraId="48778453"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El apoyo social fue otorgado durante 2 meses, el monto de dicho apoyo fue de Q5.00 por cada galón de diésel y de Q2.50 por cada galón de gasolina regular. </w:t>
      </w:r>
    </w:p>
    <w:p w14:paraId="2C1C329B" w14:textId="77777777" w:rsidR="00806A0C" w:rsidRDefault="00806A0C" w:rsidP="00806A0C">
      <w:pPr>
        <w:spacing w:after="0" w:line="240" w:lineRule="auto"/>
        <w:jc w:val="both"/>
        <w:rPr>
          <w:rFonts w:ascii="Times New Roman" w:hAnsi="Times New Roman" w:cs="Times New Roman"/>
        </w:rPr>
      </w:pPr>
    </w:p>
    <w:p w14:paraId="50CE1E9A"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El Ministerio de Energía y Minas, en coordinación con el Ministerio de Economía (por medio de la Dirección de Atención y Asistencia al Consumidor –DIACO-), verifica la adecuada implementación del apoyo social temporal.</w:t>
      </w:r>
    </w:p>
    <w:p w14:paraId="0E78DFED" w14:textId="77777777" w:rsidR="00806A0C" w:rsidRDefault="00806A0C" w:rsidP="00806A0C">
      <w:pPr>
        <w:spacing w:after="0" w:line="240" w:lineRule="auto"/>
        <w:jc w:val="both"/>
        <w:rPr>
          <w:rFonts w:ascii="Times New Roman" w:hAnsi="Times New Roman" w:cs="Times New Roman"/>
        </w:rPr>
      </w:pPr>
    </w:p>
    <w:p w14:paraId="4E3342BD"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Para el financiamiento de esta medida fue necesaria la ampliación del Presupuesto por el monto de Q745.0 millones, para lo cual se hace uso de recursos disponibles en caja y bancos. </w:t>
      </w:r>
    </w:p>
    <w:p w14:paraId="1F943CFB" w14:textId="77777777" w:rsidR="00806A0C" w:rsidRDefault="00806A0C" w:rsidP="00806A0C">
      <w:pPr>
        <w:spacing w:after="0" w:line="240" w:lineRule="auto"/>
        <w:jc w:val="both"/>
        <w:rPr>
          <w:rFonts w:ascii="Times New Roman" w:hAnsi="Times New Roman" w:cs="Times New Roman"/>
        </w:rPr>
      </w:pPr>
    </w:p>
    <w:p w14:paraId="14F42761"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No obstante, e</w:t>
      </w:r>
      <w:r w:rsidRPr="00CB2472">
        <w:rPr>
          <w:rFonts w:ascii="Times New Roman" w:hAnsi="Times New Roman" w:cs="Times New Roman"/>
        </w:rPr>
        <w:t>n mayo fue aprobado el Decreto 28-2022 “Reformas a la Ley de Apoyo</w:t>
      </w:r>
      <w:r>
        <w:rPr>
          <w:rFonts w:ascii="Times New Roman" w:hAnsi="Times New Roman" w:cs="Times New Roman"/>
        </w:rPr>
        <w:t xml:space="preserve"> </w:t>
      </w:r>
      <w:r w:rsidRPr="00CB2472">
        <w:rPr>
          <w:rFonts w:ascii="Times New Roman" w:hAnsi="Times New Roman" w:cs="Times New Roman"/>
        </w:rPr>
        <w:t>Social Temporal a los Consumidores de Diésel y Gasolina Regular Decreto 20-2022” con este</w:t>
      </w:r>
      <w:r>
        <w:rPr>
          <w:rFonts w:ascii="Times New Roman" w:hAnsi="Times New Roman" w:cs="Times New Roman"/>
        </w:rPr>
        <w:t xml:space="preserve"> </w:t>
      </w:r>
      <w:r w:rsidRPr="00CB2472">
        <w:rPr>
          <w:rFonts w:ascii="Times New Roman" w:hAnsi="Times New Roman" w:cs="Times New Roman"/>
        </w:rPr>
        <w:t>decreto se ampli</w:t>
      </w:r>
      <w:r>
        <w:rPr>
          <w:rFonts w:ascii="Times New Roman" w:hAnsi="Times New Roman" w:cs="Times New Roman"/>
        </w:rPr>
        <w:t>ó</w:t>
      </w:r>
      <w:r w:rsidRPr="00CB2472">
        <w:rPr>
          <w:rFonts w:ascii="Times New Roman" w:hAnsi="Times New Roman" w:cs="Times New Roman"/>
        </w:rPr>
        <w:t xml:space="preserve"> los beneficiarios, ya que</w:t>
      </w:r>
      <w:r>
        <w:rPr>
          <w:rFonts w:ascii="Times New Roman" w:hAnsi="Times New Roman" w:cs="Times New Roman"/>
        </w:rPr>
        <w:t xml:space="preserve"> se</w:t>
      </w:r>
      <w:r w:rsidRPr="00CB2472">
        <w:rPr>
          <w:rFonts w:ascii="Times New Roman" w:hAnsi="Times New Roman" w:cs="Times New Roman"/>
        </w:rPr>
        <w:t xml:space="preserve"> cubr</w:t>
      </w:r>
      <w:r>
        <w:rPr>
          <w:rFonts w:ascii="Times New Roman" w:hAnsi="Times New Roman" w:cs="Times New Roman"/>
        </w:rPr>
        <w:t>e</w:t>
      </w:r>
      <w:r w:rsidRPr="00CB2472">
        <w:rPr>
          <w:rFonts w:ascii="Times New Roman" w:hAnsi="Times New Roman" w:cs="Times New Roman"/>
        </w:rPr>
        <w:t xml:space="preserve"> a consumidores de diésel y de gasolinas</w:t>
      </w:r>
      <w:r>
        <w:rPr>
          <w:rFonts w:ascii="Times New Roman" w:hAnsi="Times New Roman" w:cs="Times New Roman"/>
        </w:rPr>
        <w:t xml:space="preserve"> </w:t>
      </w:r>
      <w:r w:rsidRPr="00CB2472">
        <w:rPr>
          <w:rFonts w:ascii="Times New Roman" w:hAnsi="Times New Roman" w:cs="Times New Roman"/>
        </w:rPr>
        <w:t>regular y superior, siendo el apoyo otorgado por dos meses más (en total la medida estaría vigente por</w:t>
      </w:r>
      <w:r>
        <w:rPr>
          <w:rFonts w:ascii="Times New Roman" w:hAnsi="Times New Roman" w:cs="Times New Roman"/>
        </w:rPr>
        <w:t xml:space="preserve"> </w:t>
      </w:r>
      <w:r w:rsidRPr="00CB2472">
        <w:rPr>
          <w:rFonts w:ascii="Times New Roman" w:hAnsi="Times New Roman" w:cs="Times New Roman"/>
        </w:rPr>
        <w:t>cuatro meses para consumidores de gasolina regular y diésel, mientras que para consumidores de</w:t>
      </w:r>
      <w:r>
        <w:rPr>
          <w:rFonts w:ascii="Times New Roman" w:hAnsi="Times New Roman" w:cs="Times New Roman"/>
        </w:rPr>
        <w:t xml:space="preserve"> </w:t>
      </w:r>
      <w:r w:rsidRPr="00CB2472">
        <w:rPr>
          <w:rFonts w:ascii="Times New Roman" w:hAnsi="Times New Roman" w:cs="Times New Roman"/>
        </w:rPr>
        <w:t xml:space="preserve">gasolina superior únicamente por dos meses). </w:t>
      </w:r>
      <w:bookmarkStart w:id="4" w:name="_Hlk105421453"/>
      <w:r w:rsidRPr="00CB2472">
        <w:rPr>
          <w:rFonts w:ascii="Times New Roman" w:hAnsi="Times New Roman" w:cs="Times New Roman"/>
        </w:rPr>
        <w:t>A partir del 31 de mayo se pretende que el apoyo social</w:t>
      </w:r>
      <w:r>
        <w:rPr>
          <w:rFonts w:ascii="Times New Roman" w:hAnsi="Times New Roman" w:cs="Times New Roman"/>
        </w:rPr>
        <w:t xml:space="preserve"> </w:t>
      </w:r>
      <w:r w:rsidRPr="00CB2472">
        <w:rPr>
          <w:rFonts w:ascii="Times New Roman" w:hAnsi="Times New Roman" w:cs="Times New Roman"/>
        </w:rPr>
        <w:t>aumente pasando a ser de Q7.00 por cada galón de diésel, de Q5.00 por cada galón de gasolina regular</w:t>
      </w:r>
      <w:r>
        <w:rPr>
          <w:rFonts w:ascii="Times New Roman" w:hAnsi="Times New Roman" w:cs="Times New Roman"/>
        </w:rPr>
        <w:t xml:space="preserve"> </w:t>
      </w:r>
      <w:r w:rsidRPr="00CB2472">
        <w:rPr>
          <w:rFonts w:ascii="Times New Roman" w:hAnsi="Times New Roman" w:cs="Times New Roman"/>
        </w:rPr>
        <w:t>y de Q5.00 por cada galón de gasolina superior.</w:t>
      </w:r>
    </w:p>
    <w:bookmarkEnd w:id="4"/>
    <w:p w14:paraId="75975E92" w14:textId="77777777" w:rsidR="00806A0C" w:rsidRDefault="00806A0C" w:rsidP="00806A0C">
      <w:pPr>
        <w:spacing w:after="0" w:line="240" w:lineRule="auto"/>
        <w:jc w:val="both"/>
        <w:rPr>
          <w:rFonts w:ascii="Times New Roman" w:hAnsi="Times New Roman" w:cs="Times New Roman"/>
        </w:rPr>
      </w:pPr>
    </w:p>
    <w:p w14:paraId="4B13F8EE" w14:textId="77777777" w:rsidR="00806A0C" w:rsidRDefault="00806A0C" w:rsidP="00806A0C">
      <w:pPr>
        <w:spacing w:after="0" w:line="240" w:lineRule="auto"/>
        <w:jc w:val="both"/>
        <w:rPr>
          <w:rFonts w:ascii="Times New Roman" w:hAnsi="Times New Roman" w:cs="Times New Roman"/>
        </w:rPr>
      </w:pPr>
      <w:r w:rsidRPr="00CB2472">
        <w:rPr>
          <w:rFonts w:ascii="Times New Roman" w:hAnsi="Times New Roman" w:cs="Times New Roman"/>
        </w:rPr>
        <w:t>Derivado de lo anterior, el presupuesto fue ampliado por un monto de Q2,260 millones (incluye los</w:t>
      </w:r>
      <w:r>
        <w:rPr>
          <w:rFonts w:ascii="Times New Roman" w:hAnsi="Times New Roman" w:cs="Times New Roman"/>
        </w:rPr>
        <w:t xml:space="preserve"> </w:t>
      </w:r>
      <w:r w:rsidRPr="00CB2472">
        <w:rPr>
          <w:rFonts w:ascii="Times New Roman" w:hAnsi="Times New Roman" w:cs="Times New Roman"/>
        </w:rPr>
        <w:t>Q745 millones del decreto 20-2022), siendo la medida financiada con disminución de caja y bancos de</w:t>
      </w:r>
      <w:r>
        <w:rPr>
          <w:rFonts w:ascii="Times New Roman" w:hAnsi="Times New Roman" w:cs="Times New Roman"/>
        </w:rPr>
        <w:t xml:space="preserve"> </w:t>
      </w:r>
      <w:r w:rsidRPr="00CB2472">
        <w:rPr>
          <w:rFonts w:ascii="Times New Roman" w:hAnsi="Times New Roman" w:cs="Times New Roman"/>
        </w:rPr>
        <w:t>recursos del tesoro.</w:t>
      </w:r>
    </w:p>
    <w:p w14:paraId="58419FE5" w14:textId="77777777" w:rsidR="00806A0C" w:rsidRDefault="00806A0C" w:rsidP="00806A0C">
      <w:pPr>
        <w:spacing w:after="0" w:line="240" w:lineRule="auto"/>
        <w:jc w:val="both"/>
        <w:rPr>
          <w:rFonts w:ascii="Times New Roman" w:hAnsi="Times New Roman" w:cs="Times New Roman"/>
        </w:rPr>
      </w:pPr>
    </w:p>
    <w:p w14:paraId="68A0016F" w14:textId="77777777" w:rsidR="00806A0C" w:rsidRDefault="00806A0C" w:rsidP="00806A0C">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En julio concluiría el subsidio a los combustibles, por lo cual las autoridades podrían tomar la decisión de ampliarlo, si se toman en cuenta los nuevos elementos del entorno internacional donde existe la posibilidad de una reducción de la actividad económica mundial apoyada por el alza de las tasas de interés, así como un aumento en la producción de petróleo por parte de la OPEP, los precios de los combustibles podrían disminuir ante una menor demanda y una mayor oferta, por ello se podría pensar en disminuir el monto del subsidio.</w:t>
      </w:r>
    </w:p>
    <w:p w14:paraId="5D63F915" w14:textId="77777777" w:rsidR="00806A0C" w:rsidRDefault="00806A0C" w:rsidP="00806A0C">
      <w:pPr>
        <w:pStyle w:val="Sinespaciado"/>
        <w:jc w:val="both"/>
        <w:rPr>
          <w:rFonts w:ascii="Times New Roman" w:hAnsi="Times New Roman" w:cs="Times New Roman"/>
          <w:color w:val="000000" w:themeColor="text1"/>
          <w:lang w:val="es-MX"/>
        </w:rPr>
      </w:pPr>
    </w:p>
    <w:p w14:paraId="5F577AD6"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La tercera medida adoptada fue la aprobación del Decreto 21-2022 “Ley para fortalecer el Mantenimiento y Construcción de Infraestructura Estratégica” siendo el objeto fortalecer el mantenimiento y construcción de infraestructura estratégica, así como la recuperación de la red vial. </w:t>
      </w:r>
    </w:p>
    <w:p w14:paraId="3A104646" w14:textId="77777777" w:rsidR="00806A0C" w:rsidRDefault="00806A0C" w:rsidP="00806A0C">
      <w:pPr>
        <w:spacing w:after="0" w:line="240" w:lineRule="auto"/>
        <w:jc w:val="both"/>
        <w:rPr>
          <w:rFonts w:ascii="Times New Roman" w:hAnsi="Times New Roman" w:cs="Times New Roman"/>
          <w:color w:val="000000" w:themeColor="text1"/>
        </w:rPr>
      </w:pPr>
    </w:p>
    <w:p w14:paraId="1D64BFCD"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color w:val="000000" w:themeColor="text1"/>
        </w:rPr>
        <w:t xml:space="preserve">En junio el Decreto 21-2022 sufrió modificaciones, por medio del Decreto 36-2022, ante la necesidad de reorientar recursos de dicho decreto hasta por un monto de Q400 millones para destinarlos al fortalecimiento del Fondo Emergente, lo cual permitirá mitigar los daños ocasionados por los fenómenos naturales que han afectado al país, por ello el presupuesto del Decreto 21-2022 descendería hasta ubicarse en Q2,791.2 millones. </w:t>
      </w:r>
    </w:p>
    <w:p w14:paraId="3D1EE32E" w14:textId="77777777" w:rsidR="00806A0C" w:rsidRDefault="00806A0C" w:rsidP="00806A0C">
      <w:pPr>
        <w:spacing w:after="0" w:line="240" w:lineRule="auto"/>
        <w:jc w:val="both"/>
        <w:rPr>
          <w:rFonts w:ascii="Times New Roman" w:hAnsi="Times New Roman" w:cs="Times New Roman"/>
        </w:rPr>
      </w:pPr>
    </w:p>
    <w:p w14:paraId="64FE2F07"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La cuarta medida fue la aprobación del Decreto 25-2022 “Ley de Fortalecimiento al Aporte Social de la Tarifa Eléctrica” garantizando recursos de abril a diciembre del 2022, siendo el apoyo social temporal enfocado en usuarios regulados de distribución final de energía eléctrica que consuman mensualmente entre 89 </w:t>
      </w:r>
      <w:proofErr w:type="spellStart"/>
      <w:r>
        <w:rPr>
          <w:rFonts w:ascii="Times New Roman" w:hAnsi="Times New Roman" w:cs="Times New Roman"/>
        </w:rPr>
        <w:t>kWh</w:t>
      </w:r>
      <w:proofErr w:type="spellEnd"/>
      <w:r>
        <w:rPr>
          <w:rFonts w:ascii="Times New Roman" w:hAnsi="Times New Roman" w:cs="Times New Roman"/>
        </w:rPr>
        <w:t xml:space="preserve"> hasta 100 </w:t>
      </w:r>
      <w:proofErr w:type="spellStart"/>
      <w:r>
        <w:rPr>
          <w:rFonts w:ascii="Times New Roman" w:hAnsi="Times New Roman" w:cs="Times New Roman"/>
        </w:rPr>
        <w:t>kWh</w:t>
      </w:r>
      <w:proofErr w:type="spellEnd"/>
      <w:r>
        <w:rPr>
          <w:rFonts w:ascii="Times New Roman" w:hAnsi="Times New Roman" w:cs="Times New Roman"/>
        </w:rPr>
        <w:t xml:space="preserve"> al mes pagando Q1.00 por </w:t>
      </w:r>
      <w:proofErr w:type="spellStart"/>
      <w:r>
        <w:rPr>
          <w:rFonts w:ascii="Times New Roman" w:hAnsi="Times New Roman" w:cs="Times New Roman"/>
        </w:rPr>
        <w:t>kWh</w:t>
      </w:r>
      <w:proofErr w:type="spellEnd"/>
      <w:r>
        <w:rPr>
          <w:rFonts w:ascii="Times New Roman" w:hAnsi="Times New Roman" w:cs="Times New Roman"/>
        </w:rPr>
        <w:t xml:space="preserve">. Anteriormente, la tarifa social únicamente aplicaba a rangos de consumo de 1 a 88 </w:t>
      </w:r>
      <w:proofErr w:type="spellStart"/>
      <w:r>
        <w:rPr>
          <w:rFonts w:ascii="Times New Roman" w:hAnsi="Times New Roman" w:cs="Times New Roman"/>
        </w:rPr>
        <w:t>kWh</w:t>
      </w:r>
      <w:proofErr w:type="spellEnd"/>
      <w:r>
        <w:rPr>
          <w:rFonts w:ascii="Times New Roman" w:hAnsi="Times New Roman" w:cs="Times New Roman"/>
        </w:rPr>
        <w:t>, con el nuevo rango de consumo se incorporarían alrededor de 173,176 de hogares beneficiados por la tarifa social.</w:t>
      </w:r>
    </w:p>
    <w:p w14:paraId="065F1F26"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  </w:t>
      </w:r>
    </w:p>
    <w:p w14:paraId="0A3AB519"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La medida contaría con un presupuesto de Q90.0 millones, que estaría siendo financiado con caja y bancos destinado al Instituto Nacional de Electrificación (INDE). </w:t>
      </w:r>
    </w:p>
    <w:p w14:paraId="09422DB8" w14:textId="77777777" w:rsidR="00806A0C" w:rsidRDefault="00806A0C" w:rsidP="00806A0C">
      <w:pPr>
        <w:spacing w:after="0" w:line="240" w:lineRule="auto"/>
        <w:jc w:val="both"/>
        <w:rPr>
          <w:rFonts w:ascii="Times New Roman" w:hAnsi="Times New Roman" w:cs="Times New Roman"/>
        </w:rPr>
      </w:pPr>
    </w:p>
    <w:p w14:paraId="4AE090B5" w14:textId="77777777" w:rsidR="00806A0C" w:rsidRDefault="00806A0C" w:rsidP="00806A0C">
      <w:pPr>
        <w:spacing w:after="0" w:line="240" w:lineRule="auto"/>
        <w:jc w:val="both"/>
        <w:rPr>
          <w:rFonts w:ascii="Times New Roman" w:hAnsi="Times New Roman" w:cs="Times New Roman"/>
        </w:rPr>
      </w:pPr>
      <w:r>
        <w:rPr>
          <w:rFonts w:ascii="Times New Roman" w:hAnsi="Times New Roman" w:cs="Times New Roman"/>
        </w:rPr>
        <w:t xml:space="preserve">Asimismo, se está implementando dentro del MAGA el programa de estipendio por acciones, esta iniciativa busca restaurar las unidades productivas de familias agricultoras de infra subsistencia y subsistencia, afectadas por las tormentas tropicales Eta e Iota en 2020. </w:t>
      </w:r>
    </w:p>
    <w:p w14:paraId="241C57AE" w14:textId="77777777" w:rsidR="00806A0C" w:rsidRDefault="00806A0C" w:rsidP="00806A0C">
      <w:pPr>
        <w:spacing w:after="0" w:line="240" w:lineRule="auto"/>
        <w:jc w:val="both"/>
        <w:rPr>
          <w:rFonts w:ascii="Times New Roman" w:hAnsi="Times New Roman" w:cs="Times New Roman"/>
        </w:rPr>
      </w:pPr>
    </w:p>
    <w:p w14:paraId="6E5C8593" w14:textId="77777777" w:rsidR="00806A0C" w:rsidRDefault="00806A0C" w:rsidP="00806A0C">
      <w:pPr>
        <w:pStyle w:val="Sinespaciado"/>
        <w:jc w:val="both"/>
        <w:rPr>
          <w:rFonts w:ascii="Times New Roman" w:hAnsi="Times New Roman" w:cs="Times New Roman"/>
        </w:rPr>
      </w:pPr>
      <w:r>
        <w:rPr>
          <w:rFonts w:ascii="Times New Roman" w:hAnsi="Times New Roman" w:cs="Times New Roman"/>
        </w:rPr>
        <w:t>Las familias beneficiadas realizan diversos trabajos, que luego de verificación por parte del MAGA recibirán el beneficio económico por Q1,000. Esta medida no requiere ampliación presupuestaria, es por medio de readecuaciones presupuestarias.</w:t>
      </w:r>
    </w:p>
    <w:p w14:paraId="6E7D50A9" w14:textId="77777777" w:rsidR="00806A0C" w:rsidRDefault="00806A0C" w:rsidP="00806A0C">
      <w:pPr>
        <w:pStyle w:val="Sinespaciado"/>
        <w:jc w:val="both"/>
        <w:rPr>
          <w:rFonts w:ascii="Times New Roman" w:hAnsi="Times New Roman" w:cs="Times New Roman"/>
        </w:rPr>
      </w:pPr>
    </w:p>
    <w:p w14:paraId="68518526" w14:textId="588C51C3" w:rsidR="0071038C" w:rsidRPr="00806A0C" w:rsidRDefault="00806A0C" w:rsidP="00806A0C">
      <w:pPr>
        <w:pStyle w:val="Textodeglobo"/>
        <w:jc w:val="both"/>
        <w:rPr>
          <w:rFonts w:ascii="Times New Roman" w:hAnsi="Times New Roman" w:cs="Times New Roman"/>
          <w:sz w:val="22"/>
          <w:szCs w:val="22"/>
        </w:rPr>
      </w:pPr>
      <w:r w:rsidRPr="00806A0C">
        <w:rPr>
          <w:rFonts w:ascii="Times New Roman" w:hAnsi="Times New Roman" w:cs="Times New Roman"/>
          <w:sz w:val="22"/>
          <w:szCs w:val="22"/>
        </w:rPr>
        <w:t>Respecto a la ejecución de la totalidad de estas medidas, se han ejecutado Q1,554.3 millones, con un grado de ejecución del 26.4%, de las cuales Q1,196.3 millones, corresponden al subsidio a los consumidores de diésel y gasolina regular y superior, Q217.3 millones, corresponden al subsidio del gas propano, Q90 millones corresponden al aporte social de la tarifa eléctrica y Q50.8 millones, corresponden a los estipendios dados por el MAGA en apoyo a la agricultura familiar para fortalecer la economía campesina.</w:t>
      </w:r>
      <w:r w:rsidR="0071038C" w:rsidRPr="00806A0C">
        <w:rPr>
          <w:rFonts w:ascii="Times New Roman" w:hAnsi="Times New Roman" w:cs="Times New Roman"/>
          <w:sz w:val="22"/>
          <w:szCs w:val="22"/>
        </w:rPr>
        <w:t xml:space="preserve"> </w:t>
      </w:r>
    </w:p>
    <w:p w14:paraId="1A6DE603" w14:textId="17CF77CB" w:rsidR="00E35916" w:rsidRDefault="00E35916" w:rsidP="00E35916">
      <w:pPr>
        <w:pStyle w:val="Textodeglobo"/>
        <w:jc w:val="both"/>
        <w:rPr>
          <w:rFonts w:ascii="Times New Roman" w:hAnsi="Times New Roman" w:cs="Times New Roman"/>
          <w:color w:val="FF0000"/>
          <w:sz w:val="22"/>
          <w:szCs w:val="22"/>
        </w:rPr>
      </w:pPr>
    </w:p>
    <w:p w14:paraId="0D3355F4" w14:textId="524CFABE" w:rsidR="00806A0C" w:rsidRDefault="00806A0C" w:rsidP="00E35916">
      <w:pPr>
        <w:pStyle w:val="Textodeglobo"/>
        <w:jc w:val="both"/>
        <w:rPr>
          <w:rFonts w:ascii="Times New Roman" w:hAnsi="Times New Roman" w:cs="Times New Roman"/>
          <w:color w:val="FF0000"/>
          <w:sz w:val="22"/>
          <w:szCs w:val="22"/>
        </w:rPr>
      </w:pPr>
    </w:p>
    <w:p w14:paraId="6E3C2709" w14:textId="59F7FD79" w:rsidR="00806A0C" w:rsidRDefault="00806A0C" w:rsidP="00E35916">
      <w:pPr>
        <w:pStyle w:val="Textodeglobo"/>
        <w:jc w:val="both"/>
        <w:rPr>
          <w:rFonts w:ascii="Times New Roman" w:hAnsi="Times New Roman" w:cs="Times New Roman"/>
          <w:color w:val="FF0000"/>
          <w:sz w:val="22"/>
          <w:szCs w:val="22"/>
        </w:rPr>
      </w:pPr>
    </w:p>
    <w:p w14:paraId="19C3F4C2" w14:textId="70A7C6C2" w:rsidR="00806A0C" w:rsidRDefault="00806A0C" w:rsidP="00E35916">
      <w:pPr>
        <w:pStyle w:val="Textodeglobo"/>
        <w:jc w:val="both"/>
        <w:rPr>
          <w:rFonts w:ascii="Times New Roman" w:hAnsi="Times New Roman" w:cs="Times New Roman"/>
          <w:color w:val="FF0000"/>
          <w:sz w:val="22"/>
          <w:szCs w:val="22"/>
        </w:rPr>
      </w:pPr>
    </w:p>
    <w:p w14:paraId="19D72439" w14:textId="5234069B" w:rsidR="00806A0C" w:rsidRPr="000104C5" w:rsidRDefault="00806A0C" w:rsidP="00E35916">
      <w:pPr>
        <w:pStyle w:val="Textodeglobo"/>
        <w:jc w:val="both"/>
        <w:rPr>
          <w:rFonts w:ascii="Times New Roman" w:hAnsi="Times New Roman" w:cs="Times New Roman"/>
          <w:color w:val="FF0000"/>
          <w:sz w:val="22"/>
          <w:szCs w:val="22"/>
        </w:rPr>
      </w:pPr>
    </w:p>
    <w:p w14:paraId="051DC774" w14:textId="77777777" w:rsidR="00E35916" w:rsidRPr="00806A0C" w:rsidRDefault="00E35916" w:rsidP="00E35916">
      <w:pPr>
        <w:pStyle w:val="Sinespaciado"/>
        <w:jc w:val="center"/>
        <w:rPr>
          <w:rFonts w:ascii="Times New Roman" w:hAnsi="Times New Roman" w:cs="Times New Roman"/>
          <w:b/>
        </w:rPr>
      </w:pPr>
      <w:r w:rsidRPr="00806A0C">
        <w:rPr>
          <w:rFonts w:ascii="Times New Roman" w:hAnsi="Times New Roman" w:cs="Times New Roman"/>
          <w:b/>
        </w:rPr>
        <w:t>Ejecución de Subsidios y otras actividades</w:t>
      </w:r>
    </w:p>
    <w:p w14:paraId="62794FC1" w14:textId="77777777" w:rsidR="00E35916" w:rsidRPr="00806A0C" w:rsidRDefault="00E35916" w:rsidP="00E35916">
      <w:pPr>
        <w:pStyle w:val="Sinespaciado"/>
        <w:jc w:val="center"/>
        <w:rPr>
          <w:rFonts w:ascii="Times New Roman" w:hAnsi="Times New Roman" w:cs="Times New Roman"/>
        </w:rPr>
      </w:pPr>
      <w:r w:rsidRPr="00806A0C">
        <w:rPr>
          <w:rFonts w:ascii="Times New Roman" w:hAnsi="Times New Roman" w:cs="Times New Roman"/>
          <w:sz w:val="20"/>
          <w:szCs w:val="20"/>
        </w:rPr>
        <w:t>Ejecución al 30 de junio de 2022</w:t>
      </w:r>
    </w:p>
    <w:p w14:paraId="62F59C2B" w14:textId="77777777" w:rsidR="00E35916" w:rsidRPr="00806A0C" w:rsidRDefault="00E35916" w:rsidP="00E35916">
      <w:pPr>
        <w:pStyle w:val="Sinespaciado"/>
        <w:jc w:val="center"/>
        <w:rPr>
          <w:rFonts w:ascii="Times New Roman" w:hAnsi="Times New Roman" w:cs="Times New Roman"/>
          <w:sz w:val="20"/>
        </w:rPr>
      </w:pPr>
      <w:r w:rsidRPr="00806A0C">
        <w:rPr>
          <w:rFonts w:ascii="Times New Roman" w:hAnsi="Times New Roman" w:cs="Times New Roman"/>
          <w:sz w:val="20"/>
        </w:rPr>
        <w:t>Cifras en millones de quetzales y porcentajes</w:t>
      </w:r>
    </w:p>
    <w:p w14:paraId="3C36C2DC" w14:textId="5FDA68C5" w:rsidR="00806A0C" w:rsidRPr="00806A0C" w:rsidRDefault="00806A0C" w:rsidP="00806A0C">
      <w:pPr>
        <w:pStyle w:val="Sinespaciado"/>
        <w:jc w:val="center"/>
        <w:rPr>
          <w:rFonts w:ascii="Times New Roman" w:hAnsi="Times New Roman" w:cs="Times New Roman"/>
          <w:noProof/>
          <w:sz w:val="20"/>
          <w:lang w:eastAsia="es-GT"/>
        </w:rPr>
      </w:pPr>
      <w:r w:rsidRPr="00806A0C">
        <w:rPr>
          <w:rFonts w:ascii="Times New Roman" w:hAnsi="Times New Roman" w:cs="Times New Roman"/>
          <w:noProof/>
          <w:sz w:val="20"/>
          <w:lang w:eastAsia="es-GT"/>
        </w:rPr>
        <w:drawing>
          <wp:inline distT="0" distB="0" distL="0" distR="0" wp14:anchorId="790B8E53" wp14:editId="1107B9A9">
            <wp:extent cx="2581275" cy="255841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2F1110" w14:textId="77777777" w:rsidR="00E35916" w:rsidRPr="00806A0C" w:rsidRDefault="00E35916" w:rsidP="00E35916">
      <w:pPr>
        <w:pStyle w:val="Sinespaciado"/>
        <w:jc w:val="both"/>
        <w:rPr>
          <w:rFonts w:ascii="Times New Roman" w:hAnsi="Times New Roman" w:cs="Times New Roman"/>
          <w:sz w:val="16"/>
          <w:szCs w:val="14"/>
        </w:rPr>
      </w:pPr>
      <w:r w:rsidRPr="00806A0C">
        <w:rPr>
          <w:rFonts w:ascii="Times New Roman" w:hAnsi="Times New Roman" w:cs="Times New Roman"/>
          <w:sz w:val="16"/>
          <w:szCs w:val="14"/>
        </w:rPr>
        <w:t>*Aún está pendiente de computar el Decreto 33-2022 y Decreto 36-2022</w:t>
      </w:r>
    </w:p>
    <w:p w14:paraId="3AAE77AB" w14:textId="77777777" w:rsidR="00E35916" w:rsidRPr="00806A0C" w:rsidRDefault="00E35916" w:rsidP="00E35916">
      <w:pPr>
        <w:pStyle w:val="Sinespaciado"/>
        <w:jc w:val="both"/>
        <w:rPr>
          <w:rFonts w:ascii="Times New Roman" w:hAnsi="Times New Roman" w:cs="Times New Roman"/>
          <w:sz w:val="16"/>
        </w:rPr>
      </w:pPr>
      <w:r w:rsidRPr="00806A0C">
        <w:rPr>
          <w:rFonts w:ascii="Times New Roman" w:hAnsi="Times New Roman" w:cs="Times New Roman"/>
          <w:sz w:val="16"/>
          <w:szCs w:val="16"/>
        </w:rPr>
        <w:t>Fuente: Dirección de Análisis y Política Fiscal.</w:t>
      </w:r>
      <w:r w:rsidRPr="00806A0C">
        <w:rPr>
          <w:rFonts w:ascii="Times New Roman" w:hAnsi="Times New Roman" w:cs="Times New Roman"/>
          <w:sz w:val="24"/>
        </w:rPr>
        <w:t xml:space="preserve"> </w:t>
      </w:r>
    </w:p>
    <w:p w14:paraId="128170BA" w14:textId="77777777" w:rsidR="00806A0C" w:rsidRDefault="00806A0C" w:rsidP="00E35916">
      <w:pPr>
        <w:pStyle w:val="Sinespaciado"/>
        <w:jc w:val="both"/>
        <w:rPr>
          <w:rFonts w:ascii="Times New Roman" w:hAnsi="Times New Roman" w:cs="Times New Roman"/>
          <w:color w:val="FF0000"/>
        </w:rPr>
      </w:pPr>
    </w:p>
    <w:p w14:paraId="5231A154" w14:textId="321C3E40" w:rsidR="00E35916" w:rsidRPr="00806A0C" w:rsidRDefault="00806A0C" w:rsidP="00E35916">
      <w:pPr>
        <w:pStyle w:val="Sinespaciado"/>
        <w:jc w:val="both"/>
        <w:rPr>
          <w:rFonts w:ascii="Times New Roman" w:hAnsi="Times New Roman" w:cs="Times New Roman"/>
          <w:sz w:val="14"/>
        </w:rPr>
      </w:pPr>
      <w:r w:rsidRPr="00283BEA">
        <w:rPr>
          <w:rFonts w:ascii="Times New Roman" w:hAnsi="Times New Roman" w:cs="Times New Roman"/>
        </w:rPr>
        <w:t>Res</w:t>
      </w:r>
      <w:r>
        <w:rPr>
          <w:rFonts w:ascii="Times New Roman" w:hAnsi="Times New Roman" w:cs="Times New Roman"/>
        </w:rPr>
        <w:t xml:space="preserve">pecto a los receptores del subsidio al gas propano y gasolina regular, superior y diésel, resalta que Zeta Gas y Chevron son las empresas privadas que más han recibido </w:t>
      </w:r>
      <w:r w:rsidRPr="00806A0C">
        <w:rPr>
          <w:rFonts w:ascii="Times New Roman" w:hAnsi="Times New Roman" w:cs="Times New Roman"/>
        </w:rPr>
        <w:t>transferencias por este concepto.</w:t>
      </w:r>
    </w:p>
    <w:p w14:paraId="5506F4EC" w14:textId="77777777" w:rsidR="00E35916" w:rsidRPr="00806A0C" w:rsidRDefault="00E35916" w:rsidP="00E35916">
      <w:pPr>
        <w:pStyle w:val="Sinespaciado"/>
        <w:jc w:val="both"/>
        <w:rPr>
          <w:rFonts w:ascii="Times New Roman" w:hAnsi="Times New Roman" w:cs="Times New Roman"/>
        </w:rPr>
      </w:pPr>
    </w:p>
    <w:p w14:paraId="06EEE0AC" w14:textId="77777777" w:rsidR="00E35916" w:rsidRPr="00806A0C" w:rsidRDefault="00E35916" w:rsidP="00E35916">
      <w:pPr>
        <w:pStyle w:val="Sinespaciado"/>
        <w:jc w:val="center"/>
        <w:rPr>
          <w:rFonts w:ascii="Times New Roman" w:hAnsi="Times New Roman" w:cs="Times New Roman"/>
          <w:b/>
        </w:rPr>
      </w:pPr>
      <w:r w:rsidRPr="00806A0C">
        <w:rPr>
          <w:rFonts w:ascii="Times New Roman" w:hAnsi="Times New Roman" w:cs="Times New Roman"/>
          <w:b/>
        </w:rPr>
        <w:t>Empresas Privadas Receptoras</w:t>
      </w:r>
    </w:p>
    <w:p w14:paraId="152DDF48" w14:textId="77777777" w:rsidR="00E35916" w:rsidRPr="00806A0C" w:rsidRDefault="00E35916" w:rsidP="00E35916">
      <w:pPr>
        <w:pStyle w:val="Sinespaciado"/>
        <w:jc w:val="center"/>
        <w:rPr>
          <w:rFonts w:ascii="Times New Roman" w:hAnsi="Times New Roman" w:cs="Times New Roman"/>
          <w:sz w:val="20"/>
        </w:rPr>
      </w:pPr>
      <w:r w:rsidRPr="00806A0C">
        <w:rPr>
          <w:rFonts w:ascii="Times New Roman" w:hAnsi="Times New Roman" w:cs="Times New Roman"/>
          <w:sz w:val="20"/>
        </w:rPr>
        <w:t>Cifras en millones de quetzales</w:t>
      </w:r>
    </w:p>
    <w:p w14:paraId="1BDB9ADC" w14:textId="7CD965D0" w:rsidR="00E35916" w:rsidRPr="00806A0C" w:rsidRDefault="00806A0C" w:rsidP="00E35916">
      <w:pPr>
        <w:pStyle w:val="Sinespaciado"/>
        <w:jc w:val="center"/>
        <w:rPr>
          <w:rFonts w:ascii="Times New Roman" w:hAnsi="Times New Roman" w:cs="Times New Roman"/>
          <w:sz w:val="14"/>
        </w:rPr>
      </w:pPr>
      <w:r w:rsidRPr="00806A0C">
        <w:rPr>
          <w:noProof/>
          <w:lang w:eastAsia="es-GT"/>
        </w:rPr>
        <w:drawing>
          <wp:inline distT="0" distB="0" distL="0" distR="0" wp14:anchorId="3B23E023" wp14:editId="5B344251">
            <wp:extent cx="2581275" cy="110998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1275" cy="1109980"/>
                    </a:xfrm>
                    <a:prstGeom prst="rect">
                      <a:avLst/>
                    </a:prstGeom>
                    <a:noFill/>
                    <a:ln>
                      <a:noFill/>
                    </a:ln>
                  </pic:spPr>
                </pic:pic>
              </a:graphicData>
            </a:graphic>
          </wp:inline>
        </w:drawing>
      </w:r>
    </w:p>
    <w:p w14:paraId="52D0AB42" w14:textId="77777777" w:rsidR="00E35916" w:rsidRPr="00806A0C" w:rsidRDefault="00E35916" w:rsidP="00E35916">
      <w:pPr>
        <w:pStyle w:val="Sinespaciado"/>
        <w:rPr>
          <w:rFonts w:ascii="Times New Roman" w:hAnsi="Times New Roman" w:cs="Times New Roman"/>
          <w:sz w:val="16"/>
          <w:szCs w:val="16"/>
        </w:rPr>
      </w:pPr>
      <w:r w:rsidRPr="00806A0C">
        <w:rPr>
          <w:rFonts w:ascii="Times New Roman" w:hAnsi="Times New Roman" w:cs="Times New Roman"/>
          <w:sz w:val="16"/>
          <w:szCs w:val="16"/>
        </w:rPr>
        <w:t>Fuente: SICOIN</w:t>
      </w:r>
    </w:p>
    <w:p w14:paraId="2A46EBCE" w14:textId="77777777" w:rsidR="00E35916" w:rsidRPr="000104C5" w:rsidRDefault="00E35916" w:rsidP="00E35916">
      <w:pPr>
        <w:pStyle w:val="Sinespaciado"/>
        <w:rPr>
          <w:rFonts w:ascii="Times New Roman" w:hAnsi="Times New Roman" w:cs="Times New Roman"/>
          <w:color w:val="FF0000"/>
          <w:sz w:val="18"/>
          <w:szCs w:val="18"/>
        </w:rPr>
      </w:pPr>
    </w:p>
    <w:p w14:paraId="31FCEC61" w14:textId="42183DCB" w:rsidR="00806A0C" w:rsidRDefault="00806A0C" w:rsidP="00806A0C">
      <w:pPr>
        <w:pStyle w:val="Sinespaciado"/>
        <w:jc w:val="both"/>
        <w:rPr>
          <w:rFonts w:ascii="Times New Roman" w:hAnsi="Times New Roman" w:cs="Times New Roman"/>
        </w:rPr>
      </w:pPr>
      <w:r>
        <w:rPr>
          <w:rFonts w:ascii="Times New Roman" w:hAnsi="Times New Roman" w:cs="Times New Roman"/>
        </w:rPr>
        <w:t>Es importante resaltar que los Decretos aprobados en junio del 2022 aún no han sido computados en los sistemas y por ello no se reflejan en el presupuesto los últimos cambios.</w:t>
      </w:r>
    </w:p>
    <w:p w14:paraId="4F05065A" w14:textId="77777777" w:rsidR="00806A0C" w:rsidRDefault="00806A0C" w:rsidP="00806A0C">
      <w:pPr>
        <w:pStyle w:val="Sinespaciado"/>
        <w:rPr>
          <w:rFonts w:ascii="Times New Roman" w:hAnsi="Times New Roman" w:cs="Times New Roman"/>
          <w:color w:val="FF0000"/>
          <w:sz w:val="12"/>
          <w:szCs w:val="18"/>
        </w:rPr>
      </w:pPr>
    </w:p>
    <w:p w14:paraId="0ED17E9E" w14:textId="77777777" w:rsidR="00806A0C" w:rsidRDefault="00806A0C" w:rsidP="00806A0C">
      <w:pPr>
        <w:pStyle w:val="Sinespaciado"/>
        <w:rPr>
          <w:rFonts w:ascii="Times New Roman" w:hAnsi="Times New Roman" w:cs="Times New Roman"/>
          <w:color w:val="FF0000"/>
          <w:sz w:val="12"/>
          <w:szCs w:val="18"/>
        </w:rPr>
      </w:pPr>
    </w:p>
    <w:p w14:paraId="6F51CDFE" w14:textId="15F337A9" w:rsidR="00E35916" w:rsidRPr="000104C5" w:rsidRDefault="00806A0C" w:rsidP="00806A0C">
      <w:pPr>
        <w:pStyle w:val="Sinespaciado"/>
        <w:jc w:val="both"/>
        <w:rPr>
          <w:rFonts w:ascii="Times New Roman" w:hAnsi="Times New Roman" w:cs="Times New Roman"/>
          <w:color w:val="FF0000"/>
        </w:rPr>
      </w:pPr>
      <w:r>
        <w:rPr>
          <w:rFonts w:ascii="Times New Roman" w:hAnsi="Times New Roman" w:cs="Times New Roman"/>
        </w:rPr>
        <w:t xml:space="preserve">Respecto a la ejecución de las ampliaciones que se han computado hasta junio, relacionadas en su mayoría a las intervenciones del gobierno para la reactivación económica y la mitigación del efecto económico a las familias derivado de la guerra entre Rusia y Ucrania, estas ascienden </w:t>
      </w:r>
      <w:r>
        <w:rPr>
          <w:rFonts w:ascii="Times New Roman" w:hAnsi="Times New Roman" w:cs="Times New Roman"/>
        </w:rPr>
        <w:lastRenderedPageBreak/>
        <w:t>a Q6,033.7 millones, aunque considerando la readecuación presupuestaria por los estipendios del Maga y las ampliaciones a los Consejos de Desarrollo el presupuesto vigente de dichas intervenciones del gobierno asciende a Q6,126.8 millones, con una ejecución de Q1,807.6 millones (29.5%).</w:t>
      </w:r>
    </w:p>
    <w:p w14:paraId="30588DAC" w14:textId="77777777" w:rsidR="00E35916" w:rsidRPr="000104C5" w:rsidRDefault="00E35916" w:rsidP="00E35916">
      <w:pPr>
        <w:pStyle w:val="Sinespaciado"/>
        <w:jc w:val="both"/>
        <w:rPr>
          <w:rFonts w:ascii="Times New Roman" w:hAnsi="Times New Roman" w:cs="Times New Roman"/>
          <w:color w:val="FF0000"/>
        </w:rPr>
      </w:pPr>
    </w:p>
    <w:p w14:paraId="503FD7D3" w14:textId="77777777" w:rsidR="00FA0E54" w:rsidRPr="000104C5" w:rsidRDefault="00FA0E54" w:rsidP="00E35916">
      <w:pPr>
        <w:pStyle w:val="Sinespaciado"/>
        <w:jc w:val="both"/>
        <w:rPr>
          <w:rFonts w:ascii="Times New Roman" w:hAnsi="Times New Roman" w:cs="Times New Roman"/>
          <w:color w:val="FF0000"/>
        </w:rPr>
      </w:pPr>
    </w:p>
    <w:p w14:paraId="21D5303B" w14:textId="13FC56D9" w:rsidR="00FA0E54" w:rsidRDefault="00FA0E54" w:rsidP="00E35916">
      <w:pPr>
        <w:pStyle w:val="Sinespaciado"/>
        <w:jc w:val="both"/>
        <w:rPr>
          <w:rFonts w:ascii="Times New Roman" w:hAnsi="Times New Roman" w:cs="Times New Roman"/>
          <w:color w:val="FF0000"/>
        </w:rPr>
      </w:pPr>
    </w:p>
    <w:p w14:paraId="529C7E66" w14:textId="2FE2281C" w:rsidR="00806A0C" w:rsidRDefault="00806A0C" w:rsidP="00E35916">
      <w:pPr>
        <w:pStyle w:val="Sinespaciado"/>
        <w:jc w:val="both"/>
        <w:rPr>
          <w:rFonts w:ascii="Times New Roman" w:hAnsi="Times New Roman" w:cs="Times New Roman"/>
          <w:color w:val="FF0000"/>
        </w:rPr>
      </w:pPr>
    </w:p>
    <w:p w14:paraId="12298BFF" w14:textId="67B383D6" w:rsidR="00806A0C" w:rsidRDefault="00806A0C" w:rsidP="00E35916">
      <w:pPr>
        <w:pStyle w:val="Sinespaciado"/>
        <w:jc w:val="both"/>
        <w:rPr>
          <w:rFonts w:ascii="Times New Roman" w:hAnsi="Times New Roman" w:cs="Times New Roman"/>
          <w:color w:val="FF0000"/>
        </w:rPr>
      </w:pPr>
    </w:p>
    <w:p w14:paraId="6CD588B9" w14:textId="1E85BE0F" w:rsidR="00806A0C" w:rsidRDefault="00806A0C" w:rsidP="00E35916">
      <w:pPr>
        <w:pStyle w:val="Sinespaciado"/>
        <w:jc w:val="both"/>
        <w:rPr>
          <w:rFonts w:ascii="Times New Roman" w:hAnsi="Times New Roman" w:cs="Times New Roman"/>
          <w:color w:val="FF0000"/>
        </w:rPr>
      </w:pPr>
    </w:p>
    <w:p w14:paraId="0BD908BD" w14:textId="4E2A5A8D" w:rsidR="00806A0C" w:rsidRDefault="00806A0C" w:rsidP="00E35916">
      <w:pPr>
        <w:pStyle w:val="Sinespaciado"/>
        <w:jc w:val="both"/>
        <w:rPr>
          <w:rFonts w:ascii="Times New Roman" w:hAnsi="Times New Roman" w:cs="Times New Roman"/>
          <w:color w:val="FF0000"/>
        </w:rPr>
      </w:pPr>
    </w:p>
    <w:p w14:paraId="49E0AAD0" w14:textId="28C4D684" w:rsidR="00806A0C" w:rsidRDefault="00806A0C" w:rsidP="00E35916">
      <w:pPr>
        <w:pStyle w:val="Sinespaciado"/>
        <w:jc w:val="both"/>
        <w:rPr>
          <w:rFonts w:ascii="Times New Roman" w:hAnsi="Times New Roman" w:cs="Times New Roman"/>
          <w:color w:val="FF0000"/>
        </w:rPr>
      </w:pPr>
    </w:p>
    <w:p w14:paraId="22665109" w14:textId="019B56D9" w:rsidR="00806A0C" w:rsidRDefault="00806A0C" w:rsidP="00E35916">
      <w:pPr>
        <w:pStyle w:val="Sinespaciado"/>
        <w:jc w:val="both"/>
        <w:rPr>
          <w:rFonts w:ascii="Times New Roman" w:hAnsi="Times New Roman" w:cs="Times New Roman"/>
          <w:color w:val="FF0000"/>
        </w:rPr>
      </w:pPr>
    </w:p>
    <w:p w14:paraId="3F5F7CD4" w14:textId="7C16ADDF" w:rsidR="00806A0C" w:rsidRDefault="00806A0C" w:rsidP="00E35916">
      <w:pPr>
        <w:pStyle w:val="Sinespaciado"/>
        <w:jc w:val="both"/>
        <w:rPr>
          <w:rFonts w:ascii="Times New Roman" w:hAnsi="Times New Roman" w:cs="Times New Roman"/>
          <w:color w:val="FF0000"/>
        </w:rPr>
      </w:pPr>
    </w:p>
    <w:p w14:paraId="0D192F76" w14:textId="2AA75379" w:rsidR="00806A0C" w:rsidRDefault="00806A0C" w:rsidP="00E35916">
      <w:pPr>
        <w:pStyle w:val="Sinespaciado"/>
        <w:jc w:val="both"/>
        <w:rPr>
          <w:rFonts w:ascii="Times New Roman" w:hAnsi="Times New Roman" w:cs="Times New Roman"/>
          <w:color w:val="FF0000"/>
        </w:rPr>
      </w:pPr>
    </w:p>
    <w:p w14:paraId="703A0DF7" w14:textId="731B1B1C" w:rsidR="00806A0C" w:rsidRDefault="00806A0C" w:rsidP="00E35916">
      <w:pPr>
        <w:pStyle w:val="Sinespaciado"/>
        <w:jc w:val="both"/>
        <w:rPr>
          <w:rFonts w:ascii="Times New Roman" w:hAnsi="Times New Roman" w:cs="Times New Roman"/>
          <w:color w:val="FF0000"/>
        </w:rPr>
      </w:pPr>
    </w:p>
    <w:p w14:paraId="71EBFBE7" w14:textId="5726685B" w:rsidR="00806A0C" w:rsidRDefault="00806A0C" w:rsidP="00E35916">
      <w:pPr>
        <w:pStyle w:val="Sinespaciado"/>
        <w:jc w:val="both"/>
        <w:rPr>
          <w:rFonts w:ascii="Times New Roman" w:hAnsi="Times New Roman" w:cs="Times New Roman"/>
          <w:color w:val="FF0000"/>
        </w:rPr>
      </w:pPr>
    </w:p>
    <w:p w14:paraId="777E5887" w14:textId="146090A8" w:rsidR="00806A0C" w:rsidRDefault="00806A0C" w:rsidP="00E35916">
      <w:pPr>
        <w:pStyle w:val="Sinespaciado"/>
        <w:jc w:val="both"/>
        <w:rPr>
          <w:rFonts w:ascii="Times New Roman" w:hAnsi="Times New Roman" w:cs="Times New Roman"/>
          <w:color w:val="FF0000"/>
        </w:rPr>
      </w:pPr>
    </w:p>
    <w:p w14:paraId="579A36E0" w14:textId="3753B284" w:rsidR="00806A0C" w:rsidRDefault="00806A0C" w:rsidP="00E35916">
      <w:pPr>
        <w:pStyle w:val="Sinespaciado"/>
        <w:jc w:val="both"/>
        <w:rPr>
          <w:rFonts w:ascii="Times New Roman" w:hAnsi="Times New Roman" w:cs="Times New Roman"/>
          <w:color w:val="FF0000"/>
        </w:rPr>
      </w:pPr>
    </w:p>
    <w:p w14:paraId="2DCFDD0C" w14:textId="140C155B" w:rsidR="00806A0C" w:rsidRPr="000104C5" w:rsidRDefault="00806A0C" w:rsidP="00E35916">
      <w:pPr>
        <w:pStyle w:val="Sinespaciado"/>
        <w:jc w:val="both"/>
        <w:rPr>
          <w:rFonts w:ascii="Times New Roman" w:hAnsi="Times New Roman" w:cs="Times New Roman"/>
          <w:color w:val="FF0000"/>
        </w:rPr>
      </w:pPr>
    </w:p>
    <w:p w14:paraId="0AA80E2B" w14:textId="77777777" w:rsidR="00E35916" w:rsidRPr="00806A0C" w:rsidRDefault="00E35916" w:rsidP="00E35916">
      <w:pPr>
        <w:pStyle w:val="Sinespaciado"/>
        <w:jc w:val="center"/>
        <w:rPr>
          <w:rFonts w:ascii="Times New Roman" w:hAnsi="Times New Roman" w:cs="Times New Roman"/>
          <w:b/>
        </w:rPr>
      </w:pPr>
      <w:r w:rsidRPr="00806A0C">
        <w:rPr>
          <w:rFonts w:ascii="Times New Roman" w:hAnsi="Times New Roman" w:cs="Times New Roman"/>
          <w:b/>
        </w:rPr>
        <w:t>Ejecución de intervenciones del gobierno aprobados mediante ampliación o readecuación presupuestaria</w:t>
      </w:r>
    </w:p>
    <w:p w14:paraId="6C344D14" w14:textId="60A8D689" w:rsidR="00E35916" w:rsidRPr="00806A0C" w:rsidRDefault="00E35916" w:rsidP="00E35916">
      <w:pPr>
        <w:pStyle w:val="Sinespaciado"/>
        <w:jc w:val="center"/>
        <w:rPr>
          <w:rFonts w:ascii="Times New Roman" w:hAnsi="Times New Roman" w:cs="Times New Roman"/>
          <w:bCs/>
          <w:sz w:val="20"/>
          <w:szCs w:val="20"/>
        </w:rPr>
      </w:pPr>
      <w:r w:rsidRPr="00806A0C">
        <w:rPr>
          <w:rFonts w:ascii="Times New Roman" w:hAnsi="Times New Roman" w:cs="Times New Roman"/>
          <w:bCs/>
          <w:sz w:val="20"/>
          <w:szCs w:val="20"/>
        </w:rPr>
        <w:t>A junio</w:t>
      </w:r>
    </w:p>
    <w:p w14:paraId="2D7DE0B8" w14:textId="483B3556" w:rsidR="00E35916" w:rsidRPr="00806A0C" w:rsidRDefault="00D26729" w:rsidP="00E35916">
      <w:pPr>
        <w:pStyle w:val="Sinespaciado"/>
        <w:jc w:val="center"/>
        <w:rPr>
          <w:rFonts w:ascii="Times New Roman" w:hAnsi="Times New Roman" w:cs="Times New Roman"/>
          <w:sz w:val="20"/>
        </w:rPr>
      </w:pPr>
      <w:r w:rsidRPr="00806A0C">
        <w:rPr>
          <w:noProof/>
          <w:lang w:eastAsia="es-GT"/>
        </w:rPr>
        <w:drawing>
          <wp:anchor distT="0" distB="0" distL="114300" distR="114300" simplePos="0" relativeHeight="251834368" behindDoc="1" locked="0" layoutInCell="1" allowOverlap="1" wp14:anchorId="77117526" wp14:editId="69F23833">
            <wp:simplePos x="0" y="0"/>
            <wp:positionH relativeFrom="column">
              <wp:posOffset>-119490</wp:posOffset>
            </wp:positionH>
            <wp:positionV relativeFrom="paragraph">
              <wp:posOffset>157480</wp:posOffset>
            </wp:positionV>
            <wp:extent cx="2891155" cy="2299970"/>
            <wp:effectExtent l="0" t="0" r="4445" b="5080"/>
            <wp:wrapTight wrapText="bothSides">
              <wp:wrapPolygon edited="0">
                <wp:start x="0" y="0"/>
                <wp:lineTo x="0" y="21469"/>
                <wp:lineTo x="21491" y="21469"/>
                <wp:lineTo x="2149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115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916" w:rsidRPr="00806A0C">
        <w:rPr>
          <w:rFonts w:ascii="Times New Roman" w:hAnsi="Times New Roman" w:cs="Times New Roman"/>
          <w:sz w:val="20"/>
        </w:rPr>
        <w:t>Cifras en millones de quetzales y porcentajes</w:t>
      </w:r>
    </w:p>
    <w:p w14:paraId="55B65972" w14:textId="4915A86A" w:rsidR="0071038C" w:rsidRPr="00071B42" w:rsidRDefault="00E35916" w:rsidP="00071B42">
      <w:pPr>
        <w:pStyle w:val="Textodeglobo"/>
        <w:jc w:val="both"/>
        <w:rPr>
          <w:rFonts w:ascii="Times New Roman" w:hAnsi="Times New Roman" w:cs="Times New Roman"/>
          <w:sz w:val="24"/>
          <w:szCs w:val="22"/>
        </w:rPr>
        <w:sectPr w:rsidR="0071038C" w:rsidRPr="00071B42" w:rsidSect="0071038C">
          <w:type w:val="continuous"/>
          <w:pgSz w:w="12240" w:h="15840"/>
          <w:pgMar w:top="1417" w:right="1701" w:bottom="1417" w:left="1701" w:header="708" w:footer="708" w:gutter="0"/>
          <w:cols w:num="2" w:space="708"/>
          <w:docGrid w:linePitch="360"/>
        </w:sectPr>
      </w:pPr>
      <w:r w:rsidRPr="00806A0C">
        <w:rPr>
          <w:rFonts w:ascii="Times New Roman" w:hAnsi="Times New Roman" w:cs="Times New Roman"/>
          <w:szCs w:val="18"/>
        </w:rPr>
        <w:t>Nota: en el SICOIN aún no considera las modificaciones presupuestarias relacionadas con los Decretos 36-2022 que considera el fortalecimiento del Fondo Emergente por el Estado de Calamidad, así como la ampliación del subsidio al gas propano por Q70 millones del Decreto 33-2022.</w:t>
      </w:r>
    </w:p>
    <w:p w14:paraId="4F92611A" w14:textId="77777777" w:rsidR="00776700" w:rsidRPr="000104C5" w:rsidRDefault="00776700" w:rsidP="00776700">
      <w:pPr>
        <w:pStyle w:val="Sinespaciado"/>
        <w:ind w:right="213"/>
        <w:rPr>
          <w:rFonts w:ascii="Times New Roman" w:hAnsi="Times New Roman" w:cs="Times New Roman"/>
          <w:color w:val="FF0000"/>
          <w:sz w:val="8"/>
        </w:rPr>
      </w:pPr>
    </w:p>
    <w:p w14:paraId="3DA3F17F" w14:textId="77777777" w:rsidR="00776700" w:rsidRPr="000104C5" w:rsidRDefault="00776700" w:rsidP="00776700">
      <w:pPr>
        <w:spacing w:after="0"/>
        <w:rPr>
          <w:rFonts w:ascii="Times New Roman" w:hAnsi="Times New Roman" w:cs="Times New Roman"/>
          <w:color w:val="FF0000"/>
          <w:sz w:val="14"/>
        </w:rPr>
        <w:sectPr w:rsidR="00776700" w:rsidRPr="000104C5" w:rsidSect="00960BE9">
          <w:type w:val="continuous"/>
          <w:pgSz w:w="12240" w:h="15840"/>
          <w:pgMar w:top="1417" w:right="1701" w:bottom="1417" w:left="1701" w:header="708" w:footer="708" w:gutter="0"/>
          <w:cols w:space="708"/>
          <w:docGrid w:linePitch="360"/>
        </w:sectPr>
      </w:pPr>
    </w:p>
    <w:p w14:paraId="557460D0" w14:textId="77777777" w:rsidR="008E00B7" w:rsidRPr="00307AB3" w:rsidRDefault="00776700"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307AB3">
        <w:rPr>
          <w:rFonts w:ascii="Times New Roman" w:hAnsi="Times New Roman" w:cs="Times New Roman"/>
          <w:b/>
          <w:color w:val="FFFFFF" w:themeColor="background1"/>
          <w:sz w:val="24"/>
          <w:szCs w:val="24"/>
        </w:rPr>
        <w:t>Ambientes macroeconómicos (externo e interno)</w:t>
      </w:r>
    </w:p>
    <w:p w14:paraId="6CB2F6EF" w14:textId="77777777" w:rsidR="00776700" w:rsidRPr="00307AB3" w:rsidRDefault="00776700" w:rsidP="00C76B98">
      <w:pPr>
        <w:pStyle w:val="Sinespaciado"/>
        <w:rPr>
          <w:rFonts w:ascii="Times New Roman" w:hAnsi="Times New Roman" w:cs="Times New Roman"/>
          <w:sz w:val="18"/>
          <w:szCs w:val="18"/>
        </w:rPr>
      </w:pPr>
    </w:p>
    <w:p w14:paraId="28B813D4" w14:textId="77777777" w:rsidR="00776700" w:rsidRPr="00307AB3" w:rsidRDefault="00776700" w:rsidP="00776700">
      <w:pPr>
        <w:spacing w:after="0"/>
        <w:rPr>
          <w:rFonts w:ascii="Times New Roman" w:hAnsi="Times New Roman" w:cs="Times New Roman"/>
          <w:sz w:val="18"/>
        </w:rPr>
        <w:sectPr w:rsidR="00776700" w:rsidRPr="00307AB3" w:rsidSect="00960BE9">
          <w:headerReference w:type="default" r:id="rId46"/>
          <w:footerReference w:type="default" r:id="rId47"/>
          <w:type w:val="continuous"/>
          <w:pgSz w:w="12240" w:h="15840"/>
          <w:pgMar w:top="1417" w:right="1701" w:bottom="1417" w:left="1701" w:header="708" w:footer="708" w:gutter="0"/>
          <w:cols w:space="708"/>
          <w:docGrid w:linePitch="360"/>
        </w:sectPr>
      </w:pPr>
    </w:p>
    <w:p w14:paraId="38DD8029" w14:textId="77777777" w:rsidR="00FC0ED3" w:rsidRPr="00307AB3" w:rsidRDefault="00FC0ED3" w:rsidP="00FC0ED3">
      <w:pPr>
        <w:pStyle w:val="Textodeglobo"/>
        <w:jc w:val="both"/>
        <w:rPr>
          <w:rFonts w:ascii="Times New Roman" w:hAnsi="Times New Roman" w:cs="Times New Roman"/>
          <w:sz w:val="22"/>
          <w:szCs w:val="22"/>
        </w:rPr>
      </w:pPr>
      <w:r w:rsidRPr="00307AB3">
        <w:rPr>
          <w:rFonts w:ascii="Times New Roman" w:hAnsi="Times New Roman" w:cs="Times New Roman"/>
          <w:sz w:val="22"/>
          <w:szCs w:val="22"/>
        </w:rPr>
        <w:t xml:space="preserve">La economía mundial continúa registrando desaceleración en el crecimiento de importantes variables económicas, financieras y comerciales, analistas internacionales coinciden en identificar entre otras variables, ralentización del crecimiento económico, en especial en países desarrollados, lo que conlleva a sus efectos colaterales en los niveles de consumo, impactos en el empleo y, por el otro lado, se ha observado en forma generalizada un aumento de inflación, un aumento sustancial de las tasas de interés, el impacto de las medidas tomadas por las autoridades de China para atenuar mayores contagios en la población por el COVID-19 y la escalada de sanciones relacionadas con la guerra de Rusia en Ucrania. </w:t>
      </w:r>
    </w:p>
    <w:p w14:paraId="248A7E10" w14:textId="77777777" w:rsidR="00FC0ED3" w:rsidRPr="00307AB3" w:rsidRDefault="00FC0ED3" w:rsidP="00FC0ED3">
      <w:pPr>
        <w:pStyle w:val="Textodeglobo"/>
        <w:jc w:val="both"/>
        <w:rPr>
          <w:rFonts w:ascii="Times New Roman" w:hAnsi="Times New Roman" w:cs="Times New Roman"/>
          <w:szCs w:val="22"/>
        </w:rPr>
      </w:pPr>
    </w:p>
    <w:p w14:paraId="7012E521" w14:textId="77777777" w:rsidR="00FC0ED3" w:rsidRPr="00307AB3" w:rsidRDefault="00FC0ED3" w:rsidP="00FC0ED3">
      <w:pPr>
        <w:pStyle w:val="Textodeglobo"/>
        <w:jc w:val="both"/>
        <w:rPr>
          <w:rFonts w:ascii="Times New Roman" w:hAnsi="Times New Roman" w:cs="Times New Roman"/>
          <w:sz w:val="22"/>
          <w:szCs w:val="22"/>
        </w:rPr>
      </w:pPr>
      <w:r w:rsidRPr="00307AB3">
        <w:rPr>
          <w:rFonts w:ascii="Times New Roman" w:hAnsi="Times New Roman" w:cs="Times New Roman"/>
          <w:sz w:val="22"/>
          <w:szCs w:val="22"/>
        </w:rPr>
        <w:t xml:space="preserve">El Fondo Monetario Internacional ha lanzado varios alertivos indicando que podría producirse el próximo año una recesión mundial ante los elevados riesgos que enfrenta la economía. En ese sentido, la directora gerente del FMI, </w:t>
      </w:r>
      <w:proofErr w:type="spellStart"/>
      <w:r w:rsidRPr="00307AB3">
        <w:rPr>
          <w:rFonts w:ascii="Times New Roman" w:hAnsi="Times New Roman" w:cs="Times New Roman"/>
          <w:sz w:val="22"/>
          <w:szCs w:val="22"/>
        </w:rPr>
        <w:t>Kristalina</w:t>
      </w:r>
      <w:proofErr w:type="spellEnd"/>
      <w:r w:rsidRPr="00307AB3">
        <w:rPr>
          <w:rFonts w:ascii="Times New Roman" w:hAnsi="Times New Roman" w:cs="Times New Roman"/>
          <w:sz w:val="22"/>
          <w:szCs w:val="22"/>
        </w:rPr>
        <w:t xml:space="preserve"> </w:t>
      </w:r>
      <w:proofErr w:type="spellStart"/>
      <w:r w:rsidRPr="00307AB3">
        <w:rPr>
          <w:rFonts w:ascii="Times New Roman" w:hAnsi="Times New Roman" w:cs="Times New Roman"/>
          <w:sz w:val="22"/>
          <w:szCs w:val="22"/>
        </w:rPr>
        <w:t>Georgieva</w:t>
      </w:r>
      <w:proofErr w:type="spellEnd"/>
      <w:r w:rsidRPr="00307AB3">
        <w:rPr>
          <w:rFonts w:ascii="Times New Roman" w:hAnsi="Times New Roman" w:cs="Times New Roman"/>
          <w:sz w:val="22"/>
          <w:szCs w:val="22"/>
        </w:rPr>
        <w:t xml:space="preserve">, señaló que los últimos datos económicos mostraron que algunas grandes economías, como las de </w:t>
      </w:r>
      <w:r w:rsidRPr="00307AB3">
        <w:rPr>
          <w:rFonts w:ascii="Times New Roman" w:hAnsi="Times New Roman" w:cs="Times New Roman"/>
          <w:sz w:val="22"/>
          <w:szCs w:val="22"/>
        </w:rPr>
        <w:t>China y Rusia, se han contraído en el segundo trimestre y ya existe una propagación generalizada de la inflación; dicha situación devela una inminente rebaja de su previsión de crecimiento económico mundial en su actualización de perspectivas en julio.</w:t>
      </w:r>
    </w:p>
    <w:p w14:paraId="1FED2178" w14:textId="77777777" w:rsidR="00FC0ED3" w:rsidRPr="00307AB3" w:rsidRDefault="00FC0ED3" w:rsidP="00FC0ED3">
      <w:pPr>
        <w:pStyle w:val="Textodeglobo"/>
        <w:jc w:val="both"/>
        <w:rPr>
          <w:rFonts w:ascii="Times New Roman" w:hAnsi="Times New Roman" w:cs="Times New Roman"/>
          <w:sz w:val="18"/>
          <w:szCs w:val="22"/>
        </w:rPr>
      </w:pPr>
    </w:p>
    <w:p w14:paraId="6729C372" w14:textId="77777777" w:rsidR="00FC0ED3" w:rsidRPr="00307AB3" w:rsidRDefault="00FC0ED3" w:rsidP="00FC0ED3">
      <w:pPr>
        <w:pStyle w:val="Textodeglobo"/>
        <w:jc w:val="both"/>
        <w:rPr>
          <w:rFonts w:ascii="Times New Roman" w:hAnsi="Times New Roman" w:cs="Times New Roman"/>
          <w:sz w:val="22"/>
          <w:szCs w:val="22"/>
        </w:rPr>
      </w:pPr>
      <w:r w:rsidRPr="00307AB3">
        <w:rPr>
          <w:rFonts w:ascii="Times New Roman" w:hAnsi="Times New Roman" w:cs="Times New Roman"/>
          <w:sz w:val="22"/>
          <w:szCs w:val="22"/>
        </w:rPr>
        <w:t>En Estados Unidos, el crecimiento económico ya está dejando notar los efectos del endurecimiento económico de la Reserva Federal. En su reunión de política monetaria de junio, la Fed intensificó su combate a la inflación, que aumentó hasta 8.6% en mayo, al elevar su tasa de interés referencial en 0.75 puntos porcentuales, su mayor aumento desde 1994, e indicó el inicio de su política monetaria "restrictiva".  Además, la Fed no descartó otro aumento de 75 puntos básicos en la reunión del 26 y 27 de julio si continúa en aumento la inflación en junio.</w:t>
      </w:r>
    </w:p>
    <w:p w14:paraId="483BD7DC" w14:textId="77777777" w:rsidR="00FC0ED3" w:rsidRPr="00307AB3" w:rsidRDefault="00FC0ED3" w:rsidP="00FC0ED3">
      <w:pPr>
        <w:pStyle w:val="Textodeglobo"/>
        <w:jc w:val="both"/>
        <w:rPr>
          <w:rFonts w:ascii="Times New Roman" w:hAnsi="Times New Roman" w:cs="Times New Roman"/>
        </w:rPr>
      </w:pPr>
    </w:p>
    <w:p w14:paraId="3AD4FEE5" w14:textId="476D8462" w:rsidR="00FC0ED3" w:rsidRPr="00307AB3" w:rsidRDefault="00FC0ED3" w:rsidP="00FC0ED3">
      <w:pPr>
        <w:pStyle w:val="Textodeglobo"/>
        <w:jc w:val="both"/>
        <w:rPr>
          <w:rFonts w:ascii="Times New Roman" w:hAnsi="Times New Roman" w:cs="Times New Roman"/>
          <w:sz w:val="22"/>
          <w:szCs w:val="22"/>
        </w:rPr>
      </w:pPr>
      <w:r w:rsidRPr="00307AB3">
        <w:rPr>
          <w:rFonts w:ascii="Times New Roman" w:hAnsi="Times New Roman" w:cs="Times New Roman"/>
          <w:sz w:val="22"/>
          <w:szCs w:val="22"/>
        </w:rPr>
        <w:t xml:space="preserve">Es importante señalar que la tasa de desempleo en Estados Unidos se mantuvo en el 3.6% en junio por cuarto mes consecutivo, mientras el número de desempleados se mantuvo alrededor de los 5.9 millones, En dicho </w:t>
      </w:r>
      <w:r w:rsidRPr="00307AB3">
        <w:rPr>
          <w:rFonts w:ascii="Times New Roman" w:hAnsi="Times New Roman" w:cs="Times New Roman"/>
          <w:sz w:val="22"/>
          <w:szCs w:val="22"/>
        </w:rPr>
        <w:lastRenderedPageBreak/>
        <w:t>periodo se crearon 372,000 puestos de trabajo, un número muy similar al del mes de mayo, según la Oficina de Estadísticas Laborales.  El indicador PMI servicios y compuesto disminuyó en junio, atribuido principalmente a la subida de los precios de las materias primas, el descenso de las nuevas órdenes de pedidos, la incertidumbre económica y el menor optimismo de las empresas. En concreto, el PMI servicios disminuyó 0.7 puntos respecto a mayo y el PMI compuesto en 1.3 puntos, según IHS Markit.</w:t>
      </w:r>
    </w:p>
    <w:p w14:paraId="18436738" w14:textId="77777777" w:rsidR="00FC0ED3" w:rsidRPr="00307AB3" w:rsidRDefault="00FC0ED3" w:rsidP="00FC0ED3">
      <w:pPr>
        <w:pStyle w:val="Textodeglobo"/>
        <w:jc w:val="both"/>
        <w:rPr>
          <w:rFonts w:ascii="Times New Roman" w:hAnsi="Times New Roman" w:cs="Times New Roman"/>
          <w:szCs w:val="22"/>
        </w:rPr>
      </w:pPr>
    </w:p>
    <w:p w14:paraId="6CDB8284" w14:textId="77777777" w:rsidR="00FC0ED3" w:rsidRPr="00307AB3" w:rsidRDefault="00FC0ED3" w:rsidP="00FC0ED3">
      <w:pPr>
        <w:pStyle w:val="Textodeglobo"/>
        <w:jc w:val="both"/>
        <w:rPr>
          <w:rFonts w:ascii="Times New Roman" w:hAnsi="Times New Roman" w:cs="Times New Roman"/>
          <w:sz w:val="22"/>
          <w:szCs w:val="22"/>
        </w:rPr>
      </w:pPr>
      <w:r w:rsidRPr="00307AB3">
        <w:rPr>
          <w:rFonts w:ascii="Times New Roman" w:hAnsi="Times New Roman" w:cs="Times New Roman"/>
          <w:sz w:val="22"/>
          <w:szCs w:val="22"/>
        </w:rPr>
        <w:t>En la zona euro, el crecimiento económico ya está mostrando signos de debilidad, el crecimiento empresarial se redujo sustancialmente en junio, el PMI bajó hasta 51.9 en junio desde el 54.8 en mayo, situándose en su nivel más bajo desde febrero de 2021. El PMI del sector servicios también cayó a 52.8 en junio desde los 56.1 de mayo, por debajo de las expectativas de 55.5, colocándose en su lectura más débil desde abril de 2021.  La actividad empresarial en Alemania y Francia ha sido la más afectada, y la inflación de la zona alcanzó un récord del 8.1% en mayo y aún podría subir más en los próximos meses, por lo que se espera que el Banco Central Europeo (BCE) aumente los tipos de interés oficiales 25 puntos básicos en su reunión de política monetaria de julio, la primera subida desde hace once años.</w:t>
      </w:r>
    </w:p>
    <w:p w14:paraId="3C2B047B" w14:textId="77777777" w:rsidR="00FC0ED3" w:rsidRPr="00307AB3" w:rsidRDefault="00FC0ED3" w:rsidP="00FC0ED3">
      <w:pPr>
        <w:pStyle w:val="Textodeglobo"/>
        <w:jc w:val="both"/>
        <w:rPr>
          <w:rFonts w:ascii="Times New Roman" w:hAnsi="Times New Roman" w:cs="Times New Roman"/>
          <w:szCs w:val="22"/>
        </w:rPr>
      </w:pPr>
    </w:p>
    <w:p w14:paraId="5957A658" w14:textId="77777777" w:rsidR="00FC0ED3" w:rsidRPr="00307AB3" w:rsidRDefault="00FC0ED3" w:rsidP="00FC0ED3">
      <w:pPr>
        <w:pStyle w:val="Textodeglobo"/>
        <w:jc w:val="both"/>
        <w:rPr>
          <w:rFonts w:ascii="Times New Roman" w:hAnsi="Times New Roman" w:cs="Times New Roman"/>
          <w:sz w:val="22"/>
          <w:szCs w:val="22"/>
        </w:rPr>
      </w:pPr>
      <w:r w:rsidRPr="00307AB3">
        <w:rPr>
          <w:rFonts w:ascii="Times New Roman" w:hAnsi="Times New Roman" w:cs="Times New Roman"/>
          <w:sz w:val="22"/>
          <w:szCs w:val="22"/>
        </w:rPr>
        <w:t>El IPC de China, su principal indicador de la inflación, subió un 2.1% interanual en mayo, mes en el que el índice de precios a la producción (IPP), que mide la inflación mayorista, siguió moderando su crecimiento hasta el 6.4%, según la Oficina Nacional de Estadística. La oficina apuntó a la mejora de la situación epidemiológica en China en mayo con respecto a abril, mes en el que el país sufrió los peores rebrotes de COVID-19 desde el comienzo de la pandemia, y a la "abundante oferta" en el mercado como factores que contribuyeron a la "estabilización" del indicador, que no varió con respecto al alcanzado en abril.</w:t>
      </w:r>
    </w:p>
    <w:p w14:paraId="06761074" w14:textId="487EF454" w:rsidR="00FC0ED3" w:rsidRPr="00307AB3" w:rsidRDefault="00FC0ED3" w:rsidP="00FC0ED3">
      <w:pPr>
        <w:pStyle w:val="Textodeglobo"/>
        <w:jc w:val="both"/>
        <w:rPr>
          <w:rFonts w:ascii="Times New Roman" w:hAnsi="Times New Roman" w:cs="Times New Roman"/>
          <w:sz w:val="22"/>
          <w:szCs w:val="22"/>
        </w:rPr>
      </w:pPr>
      <w:r w:rsidRPr="00307AB3">
        <w:rPr>
          <w:rFonts w:ascii="Times New Roman" w:hAnsi="Times New Roman" w:cs="Times New Roman"/>
          <w:sz w:val="22"/>
          <w:szCs w:val="22"/>
        </w:rPr>
        <w:t xml:space="preserve">En Japón por su parte, el Banco Central proyecta que la inflación subyacente de los consumidores supere ligeramente su objetivo </w:t>
      </w:r>
      <w:r w:rsidRPr="00307AB3">
        <w:rPr>
          <w:rFonts w:ascii="Times New Roman" w:hAnsi="Times New Roman" w:cs="Times New Roman"/>
          <w:sz w:val="22"/>
          <w:szCs w:val="22"/>
        </w:rPr>
        <w:t>del 2% en el 2022, que finaliza en marzo de 2023, frente a la actual previsión del 1.9% publicada en abril. El banco confirmó su previsión de crecimiento económico para este año fiscal al 2.9%, reflejando sobre todo el impacto en la producción de las interrupciones de la oferta causadas por los estrictos confinamientos por COVID-19 de China.</w:t>
      </w:r>
    </w:p>
    <w:p w14:paraId="608618CE" w14:textId="7E47F181" w:rsidR="00D26729" w:rsidRPr="00307AB3" w:rsidRDefault="00D26729" w:rsidP="00FC0ED3">
      <w:pPr>
        <w:spacing w:after="0" w:line="240" w:lineRule="auto"/>
        <w:jc w:val="both"/>
        <w:rPr>
          <w:rFonts w:ascii="Times New Roman" w:hAnsi="Times New Roman" w:cs="Times New Roman"/>
          <w:lang w:val="es-MX"/>
        </w:rPr>
      </w:pPr>
    </w:p>
    <w:p w14:paraId="6534CBB8" w14:textId="77777777" w:rsidR="00FC0ED3" w:rsidRPr="00307AB3" w:rsidRDefault="00FC0ED3" w:rsidP="00FC0ED3">
      <w:pPr>
        <w:pStyle w:val="Sinespaciado"/>
        <w:jc w:val="both"/>
        <w:rPr>
          <w:rFonts w:ascii="Times New Roman" w:hAnsi="Times New Roman" w:cs="Times New Roman"/>
          <w:lang w:val="es-MX"/>
        </w:rPr>
      </w:pPr>
      <w:r w:rsidRPr="00307AB3">
        <w:rPr>
          <w:rFonts w:ascii="Times New Roman" w:hAnsi="Times New Roman" w:cs="Times New Roman"/>
          <w:lang w:val="es-MX"/>
        </w:rPr>
        <w:t>En el ámbito interno, la Junta Monetaria decidió, por unanimidad aumentar el nivel de la tasa de interés líder de política monetaria en 25 puntos básicos de 2.00% a 2.25%.</w:t>
      </w:r>
      <w:r w:rsidRPr="00307AB3">
        <w:t xml:space="preserve">  </w:t>
      </w:r>
      <w:r w:rsidRPr="00307AB3">
        <w:rPr>
          <w:rFonts w:ascii="Times New Roman" w:hAnsi="Times New Roman" w:cs="Times New Roman"/>
          <w:lang w:val="es-MX"/>
        </w:rPr>
        <w:t xml:space="preserve">En su boletín de prensa destacó que el aumento es en base a las perspectivas de crecimiento económico a nivel mundial moderado, aunque siguen siendo positivas tanto para 2022 como para 2023, en un entorno de riesgos a la baja y elevados niveles de incertidumbre, debido principalmente a la prolongación del conflicto Rusia-Ucrania, el aumento en los niveles de inflación y el </w:t>
      </w:r>
      <w:r w:rsidRPr="00307AB3">
        <w:rPr>
          <w:rFonts w:ascii="Times New Roman" w:hAnsi="Times New Roman" w:cs="Times New Roman"/>
        </w:rPr>
        <w:t>aumento sustancial de las tasas de interés en la mayoría de economías de sus principales socios comerciales</w:t>
      </w:r>
      <w:r w:rsidRPr="00307AB3">
        <w:rPr>
          <w:rFonts w:ascii="Times New Roman" w:hAnsi="Times New Roman" w:cs="Times New Roman"/>
          <w:lang w:val="es-MX"/>
        </w:rPr>
        <w:t>.</w:t>
      </w:r>
    </w:p>
    <w:p w14:paraId="35783400" w14:textId="77777777" w:rsidR="00FC0ED3" w:rsidRPr="00307AB3" w:rsidRDefault="00FC0ED3" w:rsidP="00FC0ED3">
      <w:pPr>
        <w:pStyle w:val="Sinespaciado"/>
        <w:jc w:val="both"/>
        <w:rPr>
          <w:rFonts w:ascii="Times New Roman" w:hAnsi="Times New Roman" w:cs="Times New Roman"/>
          <w:lang w:val="es-MX"/>
        </w:rPr>
      </w:pPr>
    </w:p>
    <w:p w14:paraId="66FA9486" w14:textId="54D69605" w:rsidR="008338D5" w:rsidRPr="00307AB3" w:rsidRDefault="00FC0ED3" w:rsidP="00FC0ED3">
      <w:pPr>
        <w:pStyle w:val="Sinespaciado"/>
        <w:jc w:val="both"/>
        <w:rPr>
          <w:rFonts w:ascii="Times New Roman" w:hAnsi="Times New Roman" w:cs="Times New Roman"/>
          <w:lang w:val="es-MX"/>
        </w:rPr>
      </w:pPr>
      <w:r w:rsidRPr="00307AB3">
        <w:rPr>
          <w:rFonts w:ascii="Times New Roman" w:hAnsi="Times New Roman" w:cs="Times New Roman"/>
          <w:lang w:val="es-MX"/>
        </w:rPr>
        <w:t>A pesar de los factores externos que están afectando a las economías del mundo, el Banco de Guatemala indicó que el dinamismo que mantiene la mayoría de indicadores de corto plazo de la actividad económica, es congruente con el rango de crecimiento económico previsto para el presente año de entre 3.0% y 5.0%.  El Índice Mensual de la Actividad Económica reflejó una tasa de crecimiento de 3.8% en mayo y el Índice de Confianza de la Actividad Económica se ubicó en 64.5%, inferior en 8.68% respecto al registrado en abril de 2022 e inferior en 12.27% respecto al registrado en mayo 2021.   En el caso de las exportaciones, registraron un crecimiento de 24.8% y las importaciones de 34.7% en mayo y se espera una trayectoria acorde al compo</w:t>
      </w:r>
      <w:r w:rsidR="00806A0C">
        <w:rPr>
          <w:rFonts w:ascii="Times New Roman" w:hAnsi="Times New Roman" w:cs="Times New Roman"/>
          <w:lang w:val="es-MX"/>
        </w:rPr>
        <w:t xml:space="preserve">rtamiento histórico estacional.  </w:t>
      </w:r>
      <w:r w:rsidRPr="00307AB3">
        <w:rPr>
          <w:rFonts w:ascii="Times New Roman" w:hAnsi="Times New Roman" w:cs="Times New Roman"/>
          <w:lang w:val="es-MX"/>
        </w:rPr>
        <w:t>La inflación acumulada en junio se ubicó en 5.67%, arriba de la meta de entre 4% y 5% que la Junta Monetaria estimó par</w:t>
      </w:r>
      <w:r w:rsidR="00806A0C">
        <w:rPr>
          <w:rFonts w:ascii="Times New Roman" w:hAnsi="Times New Roman" w:cs="Times New Roman"/>
          <w:lang w:val="es-MX"/>
        </w:rPr>
        <w:t xml:space="preserve">a 2022; El ritmo inflacionario, </w:t>
      </w:r>
      <w:r w:rsidRPr="00307AB3">
        <w:rPr>
          <w:rFonts w:ascii="Times New Roman" w:hAnsi="Times New Roman" w:cs="Times New Roman"/>
          <w:lang w:val="es-MX"/>
        </w:rPr>
        <w:t>se ubicó en 7.55%, pero las autoridades prevén que al final del año la inflación cierre en la meta prevista.</w:t>
      </w:r>
    </w:p>
    <w:p w14:paraId="3AF8A945" w14:textId="40556062" w:rsidR="00004F98" w:rsidRPr="000104C5" w:rsidRDefault="00C10066" w:rsidP="00C10066">
      <w:pPr>
        <w:pStyle w:val="Sinespaciado"/>
        <w:jc w:val="both"/>
        <w:rPr>
          <w:rFonts w:ascii="Times New Roman" w:hAnsi="Times New Roman" w:cs="Times New Roman"/>
          <w:color w:val="FF0000"/>
          <w:sz w:val="14"/>
        </w:rPr>
        <w:sectPr w:rsidR="00004F98" w:rsidRPr="000104C5" w:rsidSect="00776700">
          <w:type w:val="continuous"/>
          <w:pgSz w:w="12240" w:h="15840"/>
          <w:pgMar w:top="1417" w:right="1701" w:bottom="1417" w:left="1701" w:header="708" w:footer="708" w:gutter="0"/>
          <w:cols w:num="2" w:space="708"/>
          <w:docGrid w:linePitch="360"/>
        </w:sectPr>
      </w:pPr>
      <w:r w:rsidRPr="000104C5">
        <w:rPr>
          <w:rFonts w:ascii="Times New Roman" w:hAnsi="Times New Roman" w:cs="Times New Roman"/>
          <w:color w:val="FF0000"/>
          <w:sz w:val="14"/>
        </w:rPr>
        <w:t>.</w:t>
      </w:r>
    </w:p>
    <w:p w14:paraId="70829754" w14:textId="77777777" w:rsidR="0071038C" w:rsidRPr="000104C5" w:rsidRDefault="0071038C" w:rsidP="0071038C">
      <w:pPr>
        <w:spacing w:after="0"/>
        <w:rPr>
          <w:rFonts w:ascii="Times New Roman" w:hAnsi="Times New Roman" w:cs="Times New Roman"/>
          <w:color w:val="FF0000"/>
        </w:rPr>
        <w:sectPr w:rsidR="0071038C" w:rsidRPr="000104C5" w:rsidSect="00960BE9">
          <w:type w:val="continuous"/>
          <w:pgSz w:w="12240" w:h="15840"/>
          <w:pgMar w:top="1417" w:right="1701" w:bottom="1417" w:left="1701" w:header="708" w:footer="708" w:gutter="0"/>
          <w:cols w:space="708"/>
          <w:docGrid w:linePitch="360"/>
        </w:sectPr>
      </w:pPr>
    </w:p>
    <w:p w14:paraId="7DB9CB62" w14:textId="500BBB60" w:rsidR="00E87621" w:rsidRPr="000104C5" w:rsidRDefault="00E87621" w:rsidP="00C56D80">
      <w:pPr>
        <w:spacing w:after="0"/>
        <w:rPr>
          <w:rFonts w:ascii="Times New Roman" w:hAnsi="Times New Roman" w:cs="Times New Roman"/>
          <w:color w:val="FF0000"/>
        </w:rPr>
      </w:pPr>
    </w:p>
    <w:p w14:paraId="5BBC6237" w14:textId="77777777" w:rsidR="00E87621" w:rsidRPr="000104C5" w:rsidRDefault="00E87621" w:rsidP="00C56D80">
      <w:pPr>
        <w:spacing w:after="0"/>
        <w:rPr>
          <w:rFonts w:ascii="Times New Roman" w:hAnsi="Times New Roman" w:cs="Times New Roman"/>
          <w:color w:val="FF0000"/>
        </w:rPr>
      </w:pPr>
    </w:p>
    <w:p w14:paraId="6510BC4F" w14:textId="77777777" w:rsidR="00E87621" w:rsidRPr="000104C5" w:rsidRDefault="00E87621" w:rsidP="00C56D80">
      <w:pPr>
        <w:spacing w:after="0"/>
        <w:rPr>
          <w:rFonts w:ascii="Times New Roman" w:hAnsi="Times New Roman" w:cs="Times New Roman"/>
          <w:color w:val="FF0000"/>
        </w:rPr>
        <w:sectPr w:rsidR="00E87621" w:rsidRPr="000104C5" w:rsidSect="00960BE9">
          <w:headerReference w:type="default" r:id="rId48"/>
          <w:footerReference w:type="default" r:id="rId49"/>
          <w:type w:val="continuous"/>
          <w:pgSz w:w="12240" w:h="15840"/>
          <w:pgMar w:top="1417" w:right="1701" w:bottom="1417" w:left="1701" w:header="708" w:footer="708" w:gutter="0"/>
          <w:cols w:space="708"/>
          <w:docGrid w:linePitch="360"/>
        </w:sectPr>
      </w:pPr>
    </w:p>
    <w:p w14:paraId="4E1504DB" w14:textId="4EA6BBA6" w:rsidR="00C56D80" w:rsidRPr="00806A0C"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806A0C" w:rsidSect="00960BE9">
          <w:headerReference w:type="default" r:id="rId50"/>
          <w:footerReference w:type="default" r:id="rId51"/>
          <w:type w:val="continuous"/>
          <w:pgSz w:w="12240" w:h="15840"/>
          <w:pgMar w:top="1417" w:right="1701" w:bottom="1417" w:left="1701" w:header="708" w:footer="708" w:gutter="0"/>
          <w:cols w:space="708"/>
          <w:docGrid w:linePitch="360"/>
        </w:sectPr>
      </w:pPr>
      <w:r w:rsidRPr="00806A0C">
        <w:rPr>
          <w:rFonts w:ascii="Times New Roman" w:hAnsi="Times New Roman" w:cs="Times New Roman"/>
          <w:b/>
          <w:color w:val="FFFFFF" w:themeColor="background1"/>
          <w:sz w:val="24"/>
          <w:szCs w:val="24"/>
        </w:rPr>
        <w:t>Anexo</w:t>
      </w:r>
    </w:p>
    <w:p w14:paraId="17681D74" w14:textId="77777777" w:rsidR="00C56D80" w:rsidRPr="000104C5" w:rsidRDefault="00C56D80" w:rsidP="00C56D80">
      <w:pPr>
        <w:pStyle w:val="Sinespaciado"/>
        <w:rPr>
          <w:rFonts w:ascii="Times New Roman" w:hAnsi="Times New Roman" w:cs="Times New Roman"/>
          <w:color w:val="FF0000"/>
          <w:sz w:val="18"/>
          <w:szCs w:val="18"/>
        </w:rPr>
      </w:pPr>
    </w:p>
    <w:p w14:paraId="103EA118" w14:textId="77777777" w:rsidR="0076345F" w:rsidRPr="000104C5" w:rsidRDefault="0076345F" w:rsidP="00C56D80">
      <w:pPr>
        <w:pStyle w:val="Sinespaciado"/>
        <w:rPr>
          <w:rFonts w:ascii="Times New Roman" w:hAnsi="Times New Roman" w:cs="Times New Roman"/>
          <w:color w:val="FF0000"/>
          <w:sz w:val="18"/>
          <w:szCs w:val="18"/>
        </w:rPr>
      </w:pPr>
    </w:p>
    <w:p w14:paraId="4DB6C0CD" w14:textId="2E2C135F" w:rsidR="0076345F" w:rsidRPr="000104C5" w:rsidRDefault="0076345F" w:rsidP="001042A3">
      <w:pPr>
        <w:pStyle w:val="Sinespaciado"/>
        <w:jc w:val="center"/>
        <w:rPr>
          <w:rFonts w:ascii="Times New Roman" w:hAnsi="Times New Roman" w:cs="Times New Roman"/>
          <w:color w:val="FF0000"/>
          <w:sz w:val="18"/>
          <w:szCs w:val="18"/>
        </w:rPr>
      </w:pPr>
    </w:p>
    <w:p w14:paraId="62C122F1" w14:textId="313E978B" w:rsidR="006906B8" w:rsidRPr="000104C5" w:rsidRDefault="006906B8" w:rsidP="00C56D80">
      <w:pPr>
        <w:pStyle w:val="Sinespaciado"/>
        <w:rPr>
          <w:rFonts w:ascii="Times New Roman" w:hAnsi="Times New Roman" w:cs="Times New Roman"/>
          <w:color w:val="FF0000"/>
          <w:sz w:val="18"/>
          <w:szCs w:val="18"/>
        </w:rPr>
      </w:pPr>
    </w:p>
    <w:p w14:paraId="26665510" w14:textId="60AEB4F6" w:rsidR="00467154" w:rsidRPr="000104C5" w:rsidRDefault="00806A0C" w:rsidP="00806A0C">
      <w:pPr>
        <w:pStyle w:val="Sinespaciado"/>
        <w:jc w:val="center"/>
        <w:rPr>
          <w:rFonts w:ascii="Times New Roman" w:hAnsi="Times New Roman" w:cs="Times New Roman"/>
          <w:color w:val="FF0000"/>
          <w:sz w:val="18"/>
          <w:szCs w:val="18"/>
        </w:rPr>
      </w:pPr>
      <w:r w:rsidRPr="00806A0C">
        <w:rPr>
          <w:noProof/>
          <w:lang w:eastAsia="es-GT"/>
        </w:rPr>
        <w:drawing>
          <wp:inline distT="0" distB="0" distL="0" distR="0" wp14:anchorId="77AD9C28" wp14:editId="42F7F36D">
            <wp:extent cx="5637475" cy="4542188"/>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43929" cy="4547388"/>
                    </a:xfrm>
                    <a:prstGeom prst="rect">
                      <a:avLst/>
                    </a:prstGeom>
                    <a:noFill/>
                    <a:ln>
                      <a:noFill/>
                    </a:ln>
                  </pic:spPr>
                </pic:pic>
              </a:graphicData>
            </a:graphic>
          </wp:inline>
        </w:drawing>
      </w:r>
    </w:p>
    <w:p w14:paraId="3EDA14AA" w14:textId="77777777" w:rsidR="00467154" w:rsidRPr="000104C5" w:rsidRDefault="00467154" w:rsidP="00C56D80">
      <w:pPr>
        <w:pStyle w:val="Sinespaciado"/>
        <w:rPr>
          <w:rFonts w:ascii="Times New Roman" w:hAnsi="Times New Roman" w:cs="Times New Roman"/>
          <w:color w:val="FF0000"/>
          <w:sz w:val="18"/>
          <w:szCs w:val="18"/>
        </w:rPr>
      </w:pPr>
    </w:p>
    <w:p w14:paraId="4F578D08" w14:textId="77777777" w:rsidR="00467154" w:rsidRPr="000104C5" w:rsidRDefault="00467154" w:rsidP="00C56D80">
      <w:pPr>
        <w:pStyle w:val="Sinespaciado"/>
        <w:rPr>
          <w:rFonts w:ascii="Times New Roman" w:hAnsi="Times New Roman" w:cs="Times New Roman"/>
          <w:color w:val="FF0000"/>
          <w:sz w:val="18"/>
          <w:szCs w:val="18"/>
        </w:rPr>
      </w:pPr>
    </w:p>
    <w:p w14:paraId="6CCA4C7D" w14:textId="77777777" w:rsidR="00467154" w:rsidRPr="000104C5" w:rsidRDefault="00467154" w:rsidP="00C56D80">
      <w:pPr>
        <w:pStyle w:val="Sinespaciado"/>
        <w:rPr>
          <w:rFonts w:ascii="Times New Roman" w:hAnsi="Times New Roman" w:cs="Times New Roman"/>
          <w:color w:val="FF0000"/>
          <w:sz w:val="18"/>
          <w:szCs w:val="18"/>
        </w:rPr>
      </w:pPr>
    </w:p>
    <w:p w14:paraId="27E5366C" w14:textId="77777777" w:rsidR="00467154" w:rsidRPr="000104C5" w:rsidRDefault="00467154" w:rsidP="00C56D80">
      <w:pPr>
        <w:pStyle w:val="Sinespaciado"/>
        <w:rPr>
          <w:rFonts w:ascii="Times New Roman" w:hAnsi="Times New Roman" w:cs="Times New Roman"/>
          <w:color w:val="FF0000"/>
          <w:sz w:val="18"/>
          <w:szCs w:val="18"/>
        </w:rPr>
      </w:pPr>
    </w:p>
    <w:p w14:paraId="1F658D00" w14:textId="77777777" w:rsidR="00467154" w:rsidRPr="000104C5" w:rsidRDefault="00467154" w:rsidP="00C56D80">
      <w:pPr>
        <w:pStyle w:val="Sinespaciado"/>
        <w:rPr>
          <w:rFonts w:ascii="Times New Roman" w:hAnsi="Times New Roman" w:cs="Times New Roman"/>
          <w:color w:val="FF0000"/>
          <w:sz w:val="18"/>
          <w:szCs w:val="18"/>
        </w:rPr>
      </w:pPr>
    </w:p>
    <w:p w14:paraId="15DF0295" w14:textId="2E31E40D" w:rsidR="006906B8" w:rsidRPr="000104C5" w:rsidRDefault="006906B8" w:rsidP="00C56D80">
      <w:pPr>
        <w:pStyle w:val="Sinespaciado"/>
        <w:rPr>
          <w:rFonts w:ascii="Times New Roman" w:hAnsi="Times New Roman" w:cs="Times New Roman"/>
          <w:color w:val="FF0000"/>
          <w:sz w:val="18"/>
          <w:szCs w:val="18"/>
        </w:rPr>
      </w:pPr>
    </w:p>
    <w:p w14:paraId="2772CFD8" w14:textId="77777777" w:rsidR="006906B8" w:rsidRPr="000104C5" w:rsidRDefault="006906B8" w:rsidP="00C56D80">
      <w:pPr>
        <w:pStyle w:val="Sinespaciado"/>
        <w:rPr>
          <w:rFonts w:ascii="Times New Roman" w:hAnsi="Times New Roman" w:cs="Times New Roman"/>
          <w:color w:val="FF0000"/>
          <w:sz w:val="18"/>
          <w:szCs w:val="18"/>
        </w:rPr>
      </w:pPr>
    </w:p>
    <w:p w14:paraId="7A9C5068" w14:textId="77777777" w:rsidR="006906B8" w:rsidRPr="000104C5" w:rsidRDefault="006906B8" w:rsidP="00C56D80">
      <w:pPr>
        <w:pStyle w:val="Sinespaciado"/>
        <w:rPr>
          <w:rFonts w:ascii="Times New Roman" w:hAnsi="Times New Roman" w:cs="Times New Roman"/>
          <w:color w:val="FF0000"/>
          <w:sz w:val="18"/>
          <w:szCs w:val="18"/>
        </w:rPr>
      </w:pPr>
    </w:p>
    <w:p w14:paraId="59C595CC" w14:textId="77777777" w:rsidR="006906B8" w:rsidRPr="000104C5" w:rsidRDefault="006906B8" w:rsidP="00C56D80">
      <w:pPr>
        <w:pStyle w:val="Sinespaciado"/>
        <w:rPr>
          <w:rFonts w:ascii="Times New Roman" w:hAnsi="Times New Roman" w:cs="Times New Roman"/>
          <w:color w:val="FF0000"/>
          <w:sz w:val="18"/>
          <w:szCs w:val="18"/>
        </w:rPr>
      </w:pPr>
    </w:p>
    <w:p w14:paraId="0C10A23B" w14:textId="77777777" w:rsidR="006906B8" w:rsidRPr="000104C5" w:rsidRDefault="006906B8" w:rsidP="00C56D80">
      <w:pPr>
        <w:pStyle w:val="Sinespaciado"/>
        <w:rPr>
          <w:rFonts w:ascii="Times New Roman" w:hAnsi="Times New Roman" w:cs="Times New Roman"/>
          <w:color w:val="FF0000"/>
          <w:sz w:val="18"/>
          <w:szCs w:val="18"/>
        </w:rPr>
      </w:pPr>
    </w:p>
    <w:p w14:paraId="752C7338" w14:textId="77777777" w:rsidR="006906B8" w:rsidRPr="000104C5" w:rsidRDefault="006906B8" w:rsidP="00C56D80">
      <w:pPr>
        <w:pStyle w:val="Sinespaciado"/>
        <w:rPr>
          <w:rFonts w:ascii="Times New Roman" w:hAnsi="Times New Roman" w:cs="Times New Roman"/>
          <w:color w:val="FF0000"/>
          <w:sz w:val="18"/>
          <w:szCs w:val="18"/>
        </w:rPr>
      </w:pPr>
    </w:p>
    <w:p w14:paraId="454D179D" w14:textId="77777777" w:rsidR="006906B8" w:rsidRPr="000104C5" w:rsidRDefault="006906B8" w:rsidP="00C56D80">
      <w:pPr>
        <w:pStyle w:val="Sinespaciado"/>
        <w:rPr>
          <w:rFonts w:ascii="Times New Roman" w:hAnsi="Times New Roman" w:cs="Times New Roman"/>
          <w:color w:val="FF0000"/>
          <w:sz w:val="18"/>
          <w:szCs w:val="18"/>
        </w:rPr>
      </w:pPr>
    </w:p>
    <w:p w14:paraId="398FCE02" w14:textId="77777777" w:rsidR="006906B8" w:rsidRPr="000104C5" w:rsidRDefault="006906B8" w:rsidP="00C56D80">
      <w:pPr>
        <w:pStyle w:val="Sinespaciado"/>
        <w:rPr>
          <w:rFonts w:ascii="Times New Roman" w:hAnsi="Times New Roman" w:cs="Times New Roman"/>
          <w:color w:val="FF0000"/>
          <w:sz w:val="18"/>
          <w:szCs w:val="18"/>
        </w:rPr>
      </w:pPr>
    </w:p>
    <w:p w14:paraId="5CDEF2C0" w14:textId="77777777" w:rsidR="006906B8" w:rsidRPr="000104C5" w:rsidRDefault="006906B8" w:rsidP="00C56D80">
      <w:pPr>
        <w:pStyle w:val="Sinespaciado"/>
        <w:rPr>
          <w:rFonts w:ascii="Times New Roman" w:hAnsi="Times New Roman" w:cs="Times New Roman"/>
          <w:color w:val="FF0000"/>
          <w:sz w:val="18"/>
          <w:szCs w:val="18"/>
        </w:rPr>
      </w:pPr>
    </w:p>
    <w:p w14:paraId="70138949" w14:textId="77777777" w:rsidR="006906B8" w:rsidRPr="000104C5" w:rsidRDefault="006906B8" w:rsidP="00C56D80">
      <w:pPr>
        <w:pStyle w:val="Sinespaciado"/>
        <w:rPr>
          <w:rFonts w:ascii="Times New Roman" w:hAnsi="Times New Roman" w:cs="Times New Roman"/>
          <w:color w:val="FF0000"/>
          <w:sz w:val="18"/>
          <w:szCs w:val="18"/>
        </w:rPr>
      </w:pPr>
    </w:p>
    <w:p w14:paraId="3886B80C" w14:textId="77777777" w:rsidR="006906B8" w:rsidRPr="000104C5" w:rsidRDefault="006906B8" w:rsidP="00C56D80">
      <w:pPr>
        <w:pStyle w:val="Sinespaciado"/>
        <w:rPr>
          <w:rFonts w:ascii="Times New Roman" w:hAnsi="Times New Roman" w:cs="Times New Roman"/>
          <w:color w:val="FF0000"/>
          <w:sz w:val="18"/>
          <w:szCs w:val="18"/>
        </w:rPr>
      </w:pPr>
    </w:p>
    <w:p w14:paraId="234F6806" w14:textId="77777777" w:rsidR="006906B8" w:rsidRPr="000104C5" w:rsidRDefault="006906B8" w:rsidP="00C56D80">
      <w:pPr>
        <w:pStyle w:val="Sinespaciado"/>
        <w:rPr>
          <w:rFonts w:ascii="Times New Roman" w:hAnsi="Times New Roman" w:cs="Times New Roman"/>
          <w:color w:val="FF0000"/>
          <w:sz w:val="18"/>
          <w:szCs w:val="18"/>
        </w:rPr>
      </w:pPr>
    </w:p>
    <w:p w14:paraId="3856627B" w14:textId="77777777" w:rsidR="006906B8" w:rsidRPr="000104C5" w:rsidRDefault="006906B8" w:rsidP="00C56D80">
      <w:pPr>
        <w:pStyle w:val="Sinespaciado"/>
        <w:rPr>
          <w:rFonts w:ascii="Times New Roman" w:hAnsi="Times New Roman" w:cs="Times New Roman"/>
          <w:color w:val="FF0000"/>
          <w:sz w:val="18"/>
          <w:szCs w:val="18"/>
        </w:rPr>
      </w:pPr>
    </w:p>
    <w:p w14:paraId="650CDA47" w14:textId="77777777" w:rsidR="0076345F" w:rsidRPr="000104C5" w:rsidRDefault="0076345F" w:rsidP="00C56D80">
      <w:pPr>
        <w:pStyle w:val="Sinespaciado"/>
        <w:rPr>
          <w:rFonts w:ascii="Times New Roman" w:hAnsi="Times New Roman" w:cs="Times New Roman"/>
          <w:color w:val="FF0000"/>
          <w:sz w:val="18"/>
          <w:szCs w:val="18"/>
        </w:rPr>
      </w:pPr>
    </w:p>
    <w:sectPr w:rsidR="0076345F" w:rsidRPr="000104C5"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0BAE3" w14:textId="77777777" w:rsidR="004318CE" w:rsidRDefault="004318CE" w:rsidP="008030B6">
      <w:pPr>
        <w:spacing w:after="0" w:line="240" w:lineRule="auto"/>
      </w:pPr>
      <w:r>
        <w:separator/>
      </w:r>
    </w:p>
  </w:endnote>
  <w:endnote w:type="continuationSeparator" w:id="0">
    <w:p w14:paraId="24E95983" w14:textId="77777777" w:rsidR="004318CE" w:rsidRDefault="004318CE"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29EC2DE" w14:textId="15DA442D" w:rsidR="00101EC1" w:rsidRPr="006906B8" w:rsidRDefault="00101EC1"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13E5">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4FA6AD51" w14:textId="77777777" w:rsidR="00101EC1" w:rsidRDefault="00101EC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15CD4EEF" w14:textId="383912D3" w:rsidR="00101EC1" w:rsidRPr="008030B6" w:rsidRDefault="00101EC1">
        <w:pPr>
          <w:pStyle w:val="Piedepgina"/>
          <w:jc w:val="right"/>
          <w:rPr>
            <w:rFonts w:asciiTheme="majorHAnsi" w:hAnsiTheme="majorHAnsi" w:cs="Times New Roman"/>
            <w:b/>
            <w:color w:val="5B9BD5" w:themeColor="accent1"/>
            <w:sz w:val="20"/>
          </w:rPr>
        </w:pPr>
        <w:r w:rsidRPr="00C85B13">
          <w:rPr>
            <w:lang w:val="es-ES"/>
          </w:rPr>
          <w:t xml:space="preserve">Página | </w:t>
        </w:r>
        <w:r w:rsidRPr="00C85B13">
          <w:rPr>
            <w:lang w:val="es-ES"/>
          </w:rPr>
          <w:fldChar w:fldCharType="begin"/>
        </w:r>
        <w:r w:rsidRPr="00C85B13">
          <w:rPr>
            <w:lang w:val="es-ES"/>
          </w:rPr>
          <w:instrText>PAGE   \* MERGEFORMAT</w:instrText>
        </w:r>
        <w:r w:rsidRPr="00C85B13">
          <w:rPr>
            <w:lang w:val="es-ES"/>
          </w:rPr>
          <w:fldChar w:fldCharType="separate"/>
        </w:r>
        <w:r w:rsidR="005713E5">
          <w:rPr>
            <w:noProof/>
            <w:lang w:val="es-ES"/>
          </w:rPr>
          <w:t>14</w:t>
        </w:r>
        <w:r w:rsidRPr="00C85B13">
          <w:rPr>
            <w:lang w:val="es-ES"/>
          </w:rPr>
          <w:fldChar w:fldCharType="end"/>
        </w:r>
        <w:r w:rsidRPr="008030B6">
          <w:rPr>
            <w:rFonts w:asciiTheme="majorHAnsi" w:hAnsiTheme="majorHAnsi" w:cs="Times New Roman"/>
            <w:b/>
            <w:color w:val="5B9BD5" w:themeColor="accent1"/>
            <w:sz w:val="20"/>
            <w:lang w:val="es-ES"/>
          </w:rPr>
          <w:t xml:space="preserve"> </w:t>
        </w:r>
      </w:p>
    </w:sdtContent>
  </w:sdt>
  <w:p w14:paraId="0059DCDA" w14:textId="77777777" w:rsidR="00101EC1" w:rsidRDefault="00101EC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107E57B" w14:textId="6904B34D" w:rsidR="00101EC1" w:rsidRPr="006906B8" w:rsidRDefault="00101EC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13E5">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6FB8643" w14:textId="77777777" w:rsidR="00101EC1" w:rsidRDefault="00101EC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4664C29" w14:textId="0460418E" w:rsidR="00101EC1" w:rsidRPr="006906B8" w:rsidRDefault="00101EC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13E5">
          <w:rPr>
            <w:rFonts w:asciiTheme="majorHAnsi" w:hAnsiTheme="majorHAnsi" w:cs="Arial"/>
            <w:noProof/>
            <w:color w:val="323E4F" w:themeColor="text2" w:themeShade="BF"/>
            <w:sz w:val="20"/>
            <w:szCs w:val="20"/>
            <w:lang w:val="es-MX"/>
          </w:rPr>
          <w:t>16</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3847799" w14:textId="77777777" w:rsidR="00101EC1" w:rsidRDefault="00101EC1">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530B1EE" w14:textId="72FB05C5" w:rsidR="00101EC1" w:rsidRPr="006906B8" w:rsidRDefault="00101EC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1B42">
          <w:rPr>
            <w:rFonts w:asciiTheme="majorHAnsi" w:hAnsiTheme="majorHAnsi" w:cs="Arial"/>
            <w:noProof/>
            <w:color w:val="323E4F" w:themeColor="text2" w:themeShade="BF"/>
            <w:sz w:val="20"/>
            <w:szCs w:val="20"/>
            <w:lang w:val="es-MX"/>
          </w:rPr>
          <w:t>17</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826DC29" w14:textId="77777777" w:rsidR="00101EC1" w:rsidRDefault="00101E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01EC1" w:rsidRPr="008030B6" w:rsidRDefault="00101EC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01EC1" w:rsidRDefault="00101E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4C8A235D" w:rsidR="00101EC1" w:rsidRPr="006906B8" w:rsidRDefault="00101EC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13E5">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77777777" w:rsidR="00101EC1" w:rsidRDefault="00101EC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94629527"/>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85F74ED" w14:textId="18844D9C" w:rsidR="00101EC1" w:rsidRPr="006906B8" w:rsidRDefault="00101EC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13E5">
          <w:rPr>
            <w:rFonts w:asciiTheme="majorHAnsi" w:hAnsiTheme="majorHAnsi" w:cs="Arial"/>
            <w:noProof/>
            <w:color w:val="323E4F" w:themeColor="text2" w:themeShade="BF"/>
            <w:sz w:val="20"/>
            <w:szCs w:val="20"/>
            <w:lang w:val="es-MX"/>
          </w:rPr>
          <w:t>4</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1157891" w14:textId="77777777" w:rsidR="00101EC1" w:rsidRDefault="00101EC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32059525"/>
      <w:docPartObj>
        <w:docPartGallery w:val="Page Numbers (Bottom of Page)"/>
        <w:docPartUnique/>
      </w:docPartObj>
    </w:sdtPr>
    <w:sdtEndPr>
      <w:rPr>
        <w:rFonts w:asciiTheme="majorHAnsi" w:hAnsiTheme="majorHAnsi" w:cs="Times New Roman"/>
        <w:b/>
        <w:color w:val="5B9BD5" w:themeColor="accent1"/>
        <w:sz w:val="20"/>
      </w:rPr>
    </w:sdtEndPr>
    <w:sdtContent>
      <w:p w14:paraId="4D8BD09D" w14:textId="268C569C" w:rsidR="00101EC1" w:rsidRPr="008030B6" w:rsidRDefault="00101EC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F857CC">
          <w:rPr>
            <w:rFonts w:asciiTheme="majorHAnsi" w:hAnsiTheme="majorHAnsi" w:cs="Times New Roman"/>
            <w:b/>
            <w:noProof/>
            <w:color w:val="5B9BD5" w:themeColor="accent1"/>
            <w:sz w:val="20"/>
            <w:lang w:val="es-ES"/>
          </w:rPr>
          <w:t>5</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07CF0017" w14:textId="77777777" w:rsidR="00101EC1" w:rsidRDefault="00101EC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122C8264" w14:textId="46D2FC54" w:rsidR="00101EC1" w:rsidRPr="006906B8" w:rsidRDefault="00101EC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13E5">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092ED7A" w14:textId="77777777" w:rsidR="00101EC1" w:rsidRDefault="00101EC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015035B3" w:rsidR="00101EC1" w:rsidRPr="000D411C" w:rsidRDefault="00101EC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5713E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01EC1" w:rsidRDefault="00101EC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74220956"/>
      <w:docPartObj>
        <w:docPartGallery w:val="Page Numbers (Bottom of Page)"/>
        <w:docPartUnique/>
      </w:docPartObj>
    </w:sdtPr>
    <w:sdtEndPr>
      <w:rPr>
        <w:rFonts w:asciiTheme="majorHAnsi" w:hAnsiTheme="majorHAnsi" w:cs="Times New Roman"/>
        <w:b/>
        <w:color w:val="5B9BD5" w:themeColor="accent1"/>
        <w:sz w:val="20"/>
      </w:rPr>
    </w:sdtEndPr>
    <w:sdtContent>
      <w:p w14:paraId="010280F2" w14:textId="77777777" w:rsidR="00101EC1" w:rsidRPr="008030B6" w:rsidRDefault="00101EC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A7D31">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81965B5" w14:textId="77777777" w:rsidR="00101EC1" w:rsidRDefault="00101EC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6D6DB32B" w:rsidR="00101EC1" w:rsidRPr="006906B8" w:rsidRDefault="00101EC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13E5">
          <w:rPr>
            <w:rFonts w:asciiTheme="majorHAnsi" w:hAnsiTheme="majorHAnsi" w:cs="Arial"/>
            <w:noProof/>
            <w:color w:val="323E4F" w:themeColor="text2" w:themeShade="BF"/>
            <w:sz w:val="20"/>
            <w:szCs w:val="20"/>
            <w:lang w:val="es-MX"/>
          </w:rPr>
          <w:t>11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01EC1" w:rsidRDefault="00101E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9D327" w14:textId="77777777" w:rsidR="004318CE" w:rsidRDefault="004318CE" w:rsidP="008030B6">
      <w:pPr>
        <w:spacing w:after="0" w:line="240" w:lineRule="auto"/>
      </w:pPr>
      <w:r>
        <w:separator/>
      </w:r>
    </w:p>
  </w:footnote>
  <w:footnote w:type="continuationSeparator" w:id="0">
    <w:p w14:paraId="429427C2" w14:textId="77777777" w:rsidR="004318CE" w:rsidRDefault="004318CE"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F20A"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7F26C75F" wp14:editId="0DBB901C">
              <wp:simplePos x="0" y="0"/>
              <wp:positionH relativeFrom="column">
                <wp:posOffset>662940</wp:posOffset>
              </wp:positionH>
              <wp:positionV relativeFrom="paragraph">
                <wp:posOffset>-401955</wp:posOffset>
              </wp:positionV>
              <wp:extent cx="2600325" cy="781050"/>
              <wp:effectExtent l="0" t="0" r="9525"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bg1"/>
                      </a:solidFill>
                      <a:ln w="6350">
                        <a:noFill/>
                      </a:ln>
                    </wps:spPr>
                    <wps:txbx>
                      <w:txbxContent>
                        <w:p w14:paraId="17C85BB9"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739442"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0B8FD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B998890"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6C75F" id="_x0000_t202" coordsize="21600,21600" o:spt="202" path="m,l,21600r21600,l21600,xe">
              <v:stroke joinstyle="miter"/>
              <v:path gradientshapeok="t" o:connecttype="rect"/>
            </v:shapetype>
            <v:shape id="Cuadro de texto 224" o:spid="_x0000_s1026" type="#_x0000_t202" style="position:absolute;left:0;text-align:left;margin-left:52.2pt;margin-top:-31.65pt;width:204.7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" fillcolor="white [3212]" stroked="f" strokeweight=".5pt">
              <v:textbox>
                <w:txbxContent>
                  <w:p w14:paraId="17C85BB9"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739442"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0B8FD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B998890"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6F943ABD" wp14:editId="249E6A2F">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4E99"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0464" behindDoc="0" locked="0" layoutInCell="1" allowOverlap="1" wp14:anchorId="0FA7CA9E" wp14:editId="3314CF77">
              <wp:simplePos x="0" y="0"/>
              <wp:positionH relativeFrom="column">
                <wp:posOffset>670560</wp:posOffset>
              </wp:positionH>
              <wp:positionV relativeFrom="paragraph">
                <wp:posOffset>-397570</wp:posOffset>
              </wp:positionV>
              <wp:extent cx="2673985" cy="78105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0B209F6D" w14:textId="77777777" w:rsidR="00101EC1" w:rsidRPr="00F45C80" w:rsidRDefault="00101EC1"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D90E253" w14:textId="77777777" w:rsidR="00101EC1" w:rsidRPr="00F45C80" w:rsidRDefault="00101EC1"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A47802A" w14:textId="77777777" w:rsidR="00101EC1" w:rsidRPr="00F45C80" w:rsidRDefault="00101EC1"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0CA864" w14:textId="77777777" w:rsidR="00101EC1" w:rsidRPr="00F45C80" w:rsidRDefault="00101EC1"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A4FC10" w14:textId="77777777" w:rsidR="00101EC1" w:rsidRPr="00F45C80" w:rsidRDefault="00101EC1"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7CA9E" id="_x0000_t202" coordsize="21600,21600" o:spt="202" path="m,l,21600r21600,l21600,xe">
              <v:stroke joinstyle="miter"/>
              <v:path gradientshapeok="t" o:connecttype="rect"/>
            </v:shapetype>
            <v:shape id="Cuadro de texto 59" o:spid="_x0000_s1032" type="#_x0000_t202" style="position:absolute;left:0;text-align:left;margin-left:52.8pt;margin-top:-31.3pt;width:210.55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" fillcolor="white [3212]" stroked="f" strokeweight=".5pt">
              <v:textbox>
                <w:txbxContent>
                  <w:p w14:paraId="0B209F6D" w14:textId="77777777" w:rsidR="00101EC1" w:rsidRPr="00F45C80" w:rsidRDefault="00101EC1"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D90E253" w14:textId="77777777" w:rsidR="00101EC1" w:rsidRPr="00F45C80" w:rsidRDefault="00101EC1"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A47802A" w14:textId="77777777" w:rsidR="00101EC1" w:rsidRPr="00F45C80" w:rsidRDefault="00101EC1"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0CA864" w14:textId="77777777" w:rsidR="00101EC1" w:rsidRPr="00F45C80" w:rsidRDefault="00101EC1"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A4FC10" w14:textId="77777777" w:rsidR="00101EC1" w:rsidRPr="00F45C80" w:rsidRDefault="00101EC1"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1792" behindDoc="1" locked="0" layoutInCell="1" allowOverlap="1" wp14:anchorId="4067C752" wp14:editId="68566C61">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86410E9" w14:textId="77777777" w:rsidR="00101EC1" w:rsidRPr="008030B6" w:rsidRDefault="00101EC1">
    <w:pPr>
      <w:pStyle w:val="Encabezado"/>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DC9D"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5688AC0A" wp14:editId="543CDD90">
              <wp:simplePos x="0" y="0"/>
              <wp:positionH relativeFrom="column">
                <wp:posOffset>672465</wp:posOffset>
              </wp:positionH>
              <wp:positionV relativeFrom="paragraph">
                <wp:posOffset>-373380</wp:posOffset>
              </wp:positionV>
              <wp:extent cx="2647950" cy="78105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bg1"/>
                      </a:solidFill>
                      <a:ln w="6350">
                        <a:noFill/>
                      </a:ln>
                    </wps:spPr>
                    <wps:txbx>
                      <w:txbxContent>
                        <w:p w14:paraId="7C20C602"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92B59"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7E0A91B"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0C45E5B"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491F6"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8AC0A" id="_x0000_t202" coordsize="21600,21600" o:spt="202" path="m,l,21600r21600,l21600,xe">
              <v:stroke joinstyle="miter"/>
              <v:path gradientshapeok="t" o:connecttype="rect"/>
            </v:shapetype>
            <v:shape id="Cuadro de texto 232" o:spid="_x0000_s1033" type="#_x0000_t202" style="position:absolute;left:0;text-align:left;margin-left:52.95pt;margin-top:-29.4pt;width:208.5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" fillcolor="white [3212]" stroked="f" strokeweight=".5pt">
              <v:textbox>
                <w:txbxContent>
                  <w:p w14:paraId="7C20C602"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92B59"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7E0A91B"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0C45E5B"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491F6"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3E0CC6AA" wp14:editId="0B2E2A13">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4145C5F" w14:textId="77777777" w:rsidR="00101EC1" w:rsidRPr="008030B6" w:rsidRDefault="00101EC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3680"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0510C4DE" wp14:editId="6F5D2155">
              <wp:simplePos x="0" y="0"/>
              <wp:positionH relativeFrom="column">
                <wp:posOffset>698740</wp:posOffset>
              </wp:positionH>
              <wp:positionV relativeFrom="paragraph">
                <wp:posOffset>-337365</wp:posOffset>
              </wp:positionV>
              <wp:extent cx="2800350" cy="781050"/>
              <wp:effectExtent l="0" t="0" r="0" b="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368CC62C"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19B4C44"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DC9B514"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349B14"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2E2DCC" w14:textId="77777777" w:rsidR="00101EC1" w:rsidRPr="00F45C80" w:rsidRDefault="00101EC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0C4DE" id="_x0000_t202" coordsize="21600,21600" o:spt="202" path="m,l,21600r21600,l21600,xe">
              <v:stroke joinstyle="miter"/>
              <v:path gradientshapeok="t" o:connecttype="rect"/>
            </v:shapetype>
            <v:shape id="Cuadro de texto 246" o:spid="_x0000_s1034" type="#_x0000_t202" style="position:absolute;left:0;text-align:left;margin-left:55pt;margin-top:-26.55pt;width:220.5pt;height: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" fillcolor="white [3212]" stroked="f" strokeweight=".5pt">
              <v:textbox>
                <w:txbxContent>
                  <w:p w14:paraId="368CC62C"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19B4C44"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DC9B514"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349B14"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2E2DCC" w14:textId="77777777" w:rsidR="00101EC1" w:rsidRPr="00F45C80" w:rsidRDefault="00101EC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5888" behindDoc="1" locked="0" layoutInCell="1" allowOverlap="1" wp14:anchorId="62D4ABEB" wp14:editId="13D441E5">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2268DB1" w14:textId="77777777" w:rsidR="00101EC1" w:rsidRPr="008030B6" w:rsidRDefault="00101EC1"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2D7C4"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2272" behindDoc="0" locked="0" layoutInCell="1" allowOverlap="1" wp14:anchorId="50F0BAC4" wp14:editId="3E39E378">
              <wp:simplePos x="0" y="0"/>
              <wp:positionH relativeFrom="column">
                <wp:posOffset>681990</wp:posOffset>
              </wp:positionH>
              <wp:positionV relativeFrom="paragraph">
                <wp:posOffset>-354330</wp:posOffset>
              </wp:positionV>
              <wp:extent cx="2705100" cy="781050"/>
              <wp:effectExtent l="0" t="0" r="0" b="0"/>
              <wp:wrapSquare wrapText="bothSides"/>
              <wp:docPr id="233" name="Cuadro de texto 233"/>
              <wp:cNvGraphicFramePr/>
              <a:graphic xmlns:a="http://schemas.openxmlformats.org/drawingml/2006/main">
                <a:graphicData uri="http://schemas.microsoft.com/office/word/2010/wordprocessingShape">
                  <wps:wsp>
                    <wps:cNvSpPr txBox="1"/>
                    <wps:spPr>
                      <a:xfrm>
                        <a:off x="0" y="0"/>
                        <a:ext cx="2705100" cy="781050"/>
                      </a:xfrm>
                      <a:prstGeom prst="rect">
                        <a:avLst/>
                      </a:prstGeom>
                      <a:solidFill>
                        <a:schemeClr val="bg1"/>
                      </a:solidFill>
                      <a:ln w="6350">
                        <a:noFill/>
                      </a:ln>
                    </wps:spPr>
                    <wps:txbx>
                      <w:txbxContent>
                        <w:p w14:paraId="68BA68C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251EB89"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BC5D9C9"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40C6E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01AEE9F"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0BAC4" id="_x0000_t202" coordsize="21600,21600" o:spt="202" path="m,l,21600r21600,l21600,xe">
              <v:stroke joinstyle="miter"/>
              <v:path gradientshapeok="t" o:connecttype="rect"/>
            </v:shapetype>
            <v:shape id="Cuadro de texto 233" o:spid="_x0000_s1035" type="#_x0000_t202" style="position:absolute;left:0;text-align:left;margin-left:53.7pt;margin-top:-27.9pt;width:213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" fillcolor="white [3212]" stroked="f" strokeweight=".5pt">
              <v:textbox>
                <w:txbxContent>
                  <w:p w14:paraId="68BA68C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251EB89"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BC5D9C9"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40C6E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01AEE9F"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7936" behindDoc="1" locked="0" layoutInCell="1" allowOverlap="1" wp14:anchorId="4DD84C82" wp14:editId="7DFBEFDD">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ECC322D" w14:textId="77777777" w:rsidR="00101EC1" w:rsidRPr="008030B6" w:rsidRDefault="00101EC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E1993"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6C5C5AEC" wp14:editId="2E190560">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01EC1" w:rsidRPr="008030B6" w:rsidRDefault="00101EC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01EC1" w:rsidRPr="008030B6" w:rsidRDefault="00101EC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01EC1" w:rsidRPr="008030B6" w:rsidRDefault="00101EC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92E8"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10EFEE3F" wp14:editId="5F93AD78">
              <wp:simplePos x="0" y="0"/>
              <wp:positionH relativeFrom="column">
                <wp:posOffset>662940</wp:posOffset>
              </wp:positionH>
              <wp:positionV relativeFrom="paragraph">
                <wp:posOffset>-392430</wp:posOffset>
              </wp:positionV>
              <wp:extent cx="2657475" cy="781050"/>
              <wp:effectExtent l="0" t="0" r="9525"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657475" cy="781050"/>
                      </a:xfrm>
                      <a:prstGeom prst="rect">
                        <a:avLst/>
                      </a:prstGeom>
                      <a:solidFill>
                        <a:schemeClr val="bg1"/>
                      </a:solidFill>
                      <a:ln w="6350">
                        <a:noFill/>
                      </a:ln>
                    </wps:spPr>
                    <wps:txbx>
                      <w:txbxContent>
                        <w:p w14:paraId="1AF0BDA1"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188B710"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27" type="#_x0000_t202" style="position:absolute;left:0;text-align:left;margin-left:52.2pt;margin-top:-30.9pt;width:209.2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" fillcolor="white [3212]" stroked="f" strokeweight=".5pt">
              <v:textbox>
                <w:txbxContent>
                  <w:p w14:paraId="1AF0BDA1"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188B710"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3F72B27B" wp14:editId="2E35E304">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01EC1" w:rsidRPr="008030B6" w:rsidRDefault="00101EC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4FDB9"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3536" behindDoc="0" locked="0" layoutInCell="1" allowOverlap="1" wp14:anchorId="6452CB1F" wp14:editId="574746B7">
              <wp:simplePos x="0" y="0"/>
              <wp:positionH relativeFrom="column">
                <wp:posOffset>698740</wp:posOffset>
              </wp:positionH>
              <wp:positionV relativeFrom="paragraph">
                <wp:posOffset>-337365</wp:posOffset>
              </wp:positionV>
              <wp:extent cx="2800350" cy="78105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6C436F74"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217AE5F"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896ED2"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6D2EF3"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AF171D" w14:textId="77777777" w:rsidR="00101EC1" w:rsidRPr="00F45C80" w:rsidRDefault="00101EC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 </w:t>
                          </w:r>
                          <w:r w:rsidRPr="00F45C80">
                            <w:rPr>
                              <w:rFonts w:asciiTheme="majorHAnsi" w:hAnsiTheme="majorHAnsi" w:cs="Arial"/>
                              <w:color w:val="323E4F" w:themeColor="text2" w:themeShade="BF"/>
                              <w:sz w:val="18"/>
                              <w:szCs w:val="20"/>
                              <w:lang w:val="es-MX"/>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2CB1F" id="_x0000_t202" coordsize="21600,21600" o:spt="202" path="m,l,21600r21600,l21600,xe">
              <v:stroke joinstyle="miter"/>
              <v:path gradientshapeok="t" o:connecttype="rect"/>
            </v:shapetype>
            <v:shape id="Cuadro de texto 22" o:spid="_x0000_s1028" type="#_x0000_t202" style="position:absolute;left:0;text-align:left;margin-left:55pt;margin-top:-26.55pt;width:220.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" fillcolor="white [3212]" stroked="f" strokeweight=".5pt">
              <v:textbox>
                <w:txbxContent>
                  <w:p w14:paraId="6C436F74"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217AE5F"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896ED2"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6D2EF3"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AF171D" w14:textId="77777777" w:rsidR="00101EC1" w:rsidRPr="00F45C80" w:rsidRDefault="00101EC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 </w:t>
                    </w:r>
                    <w:r w:rsidRPr="00F45C80">
                      <w:rPr>
                        <w:rFonts w:asciiTheme="majorHAnsi" w:hAnsiTheme="majorHAnsi" w:cs="Arial"/>
                        <w:color w:val="323E4F" w:themeColor="text2" w:themeShade="BF"/>
                        <w:sz w:val="18"/>
                        <w:szCs w:val="20"/>
                        <w:lang w:val="es-MX"/>
                      </w:rPr>
                      <w:t>2022</w:t>
                    </w:r>
                  </w:p>
                </w:txbxContent>
              </v:textbox>
              <w10:wrap type="square"/>
            </v:shape>
          </w:pict>
        </mc:Fallback>
      </mc:AlternateContent>
    </w:r>
    <w:r>
      <w:rPr>
        <w:noProof/>
        <w:lang w:eastAsia="es-GT"/>
      </w:rPr>
      <w:drawing>
        <wp:anchor distT="0" distB="0" distL="114300" distR="114300" simplePos="0" relativeHeight="251712512" behindDoc="1" locked="0" layoutInCell="1" allowOverlap="1" wp14:anchorId="6470CE3E" wp14:editId="56A512B7">
          <wp:simplePos x="0" y="0"/>
          <wp:positionH relativeFrom="column">
            <wp:posOffset>-1076325</wp:posOffset>
          </wp:positionH>
          <wp:positionV relativeFrom="paragraph">
            <wp:posOffset>-734060</wp:posOffset>
          </wp:positionV>
          <wp:extent cx="3093621" cy="1283913"/>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6664D10" w14:textId="77777777" w:rsidR="00101EC1" w:rsidRPr="008030B6" w:rsidRDefault="00101EC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0E0E"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15CBC96E" wp14:editId="45FB375C">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5ABFBD1" w14:textId="77777777" w:rsidR="00101EC1" w:rsidRPr="008030B6" w:rsidRDefault="00101EC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1E83468" w14:textId="77777777" w:rsidR="00101EC1" w:rsidRPr="008030B6" w:rsidRDefault="00101EC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442F2517" w14:textId="77777777" w:rsidR="00101EC1" w:rsidRPr="008030B6" w:rsidRDefault="00101EC1">
    <w:pPr>
      <w:pStyle w:val="Encabezado"/>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048E"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51879951" wp14:editId="5A118A8C">
              <wp:simplePos x="0" y="0"/>
              <wp:positionH relativeFrom="column">
                <wp:posOffset>662940</wp:posOffset>
              </wp:positionH>
              <wp:positionV relativeFrom="paragraph">
                <wp:posOffset>-363855</wp:posOffset>
              </wp:positionV>
              <wp:extent cx="2800350" cy="78105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43B3281E"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16CCA8"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4B626FE"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B02AF9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11650F3"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79951" id="_x0000_t202" coordsize="21600,21600" o:spt="202" path="m,l,21600r21600,l21600,xe">
              <v:stroke joinstyle="miter"/>
              <v:path gradientshapeok="t" o:connecttype="rect"/>
            </v:shapetype>
            <v:shape id="Cuadro de texto 229" o:spid="_x0000_s1029" type="#_x0000_t202" style="position:absolute;left:0;text-align:left;margin-left:52.2pt;margin-top:-28.65pt;width:220.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" fillcolor="white [3212]" stroked="f" strokeweight=".5pt">
              <v:textbox>
                <w:txbxContent>
                  <w:p w14:paraId="43B3281E"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16CCA8"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4B626FE"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B02AF93"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11650F3"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6DFCF9B1" wp14:editId="1D03FD87">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F8A8923" w14:textId="77777777" w:rsidR="00101EC1" w:rsidRPr="008030B6" w:rsidRDefault="00101EC1" w:rsidP="006906B8">
    <w:pPr>
      <w:pStyle w:val="Encabezado"/>
      <w:tabs>
        <w:tab w:val="left" w:pos="1276"/>
      </w:tabs>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7A43"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3D21F232" wp14:editId="5A552CF2">
              <wp:simplePos x="0" y="0"/>
              <wp:positionH relativeFrom="column">
                <wp:posOffset>687393</wp:posOffset>
              </wp:positionH>
              <wp:positionV relativeFrom="paragraph">
                <wp:posOffset>-351910</wp:posOffset>
              </wp:positionV>
              <wp:extent cx="2800350" cy="78105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20FCC50E"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77777777" w:rsidR="00101EC1" w:rsidRPr="00F45C80" w:rsidRDefault="00101EC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1F232" id="_x0000_t202" coordsize="21600,21600" o:spt="202" path="m,l,21600r21600,l21600,xe">
              <v:stroke joinstyle="miter"/>
              <v:path gradientshapeok="t" o:connecttype="rect"/>
            </v:shapetype>
            <v:shape id="Cuadro de texto 245" o:spid="_x0000_s1030" type="#_x0000_t202" style="position:absolute;left:0;text-align:left;margin-left:54.15pt;margin-top:-27.7pt;width:220.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" fillcolor="white [3212]" stroked="f" strokeweight=".5pt">
              <v:textbox>
                <w:txbxContent>
                  <w:p w14:paraId="20FCC50E"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101EC1" w:rsidRPr="00F45C80" w:rsidRDefault="00101EC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77777777" w:rsidR="00101EC1" w:rsidRPr="00F45C80" w:rsidRDefault="00101EC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10AA3661" wp14:editId="6CF4E161">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E1A1690" w14:textId="77777777" w:rsidR="00101EC1" w:rsidRDefault="00101EC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01EC1" w:rsidRPr="002C0967" w:rsidRDefault="00101EC1" w:rsidP="002C0967">
    <w:pPr>
      <w:pStyle w:val="Encabezado"/>
      <w:tabs>
        <w:tab w:val="left" w:pos="1276"/>
      </w:tabs>
      <w:rPr>
        <w:rFonts w:asciiTheme="majorHAnsi" w:hAnsiTheme="majorHAnsi" w:cs="Arial"/>
        <w:b/>
        <w:color w:val="5B9BD5" w:themeColor="accent1"/>
        <w:sz w:val="10"/>
        <w:lang w:val="es-MX"/>
      </w:rPr>
    </w:pPr>
  </w:p>
  <w:p w14:paraId="6CA87F21" w14:textId="77777777" w:rsidR="00101EC1" w:rsidRPr="008030B6" w:rsidRDefault="00101EC1">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0641B"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3600" behindDoc="1" locked="0" layoutInCell="1" allowOverlap="1" wp14:anchorId="097744A5" wp14:editId="3F9131E7">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65D6747" w14:textId="77777777" w:rsidR="00101EC1" w:rsidRPr="008030B6" w:rsidRDefault="00101EC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84FF837" w14:textId="77777777" w:rsidR="00101EC1" w:rsidRPr="008030B6" w:rsidRDefault="00101EC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EF245A0" w14:textId="77777777" w:rsidR="00101EC1" w:rsidRPr="008030B6" w:rsidRDefault="00101EC1">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A222" w14:textId="77777777" w:rsidR="00101EC1" w:rsidRDefault="00101EC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34208B44" wp14:editId="5F8B8C3D">
              <wp:simplePos x="0" y="0"/>
              <wp:positionH relativeFrom="column">
                <wp:posOffset>679450</wp:posOffset>
              </wp:positionH>
              <wp:positionV relativeFrom="paragraph">
                <wp:posOffset>-389255</wp:posOffset>
              </wp:positionV>
              <wp:extent cx="2673985" cy="781050"/>
              <wp:effectExtent l="0" t="0" r="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22B3EC72"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82A3E8"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DD6FAF6"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B6676A1"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4E1A7FF"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08B44" id="_x0000_t202" coordsize="21600,21600" o:spt="202" path="m,l,21600r21600,l21600,xe">
              <v:stroke joinstyle="miter"/>
              <v:path gradientshapeok="t" o:connecttype="rect"/>
            </v:shapetype>
            <v:shape id="Cuadro de texto 231" o:spid="_x0000_s1031" type="#_x0000_t202" style="position:absolute;left:0;text-align:left;margin-left:53.5pt;margin-top:-30.65pt;width:210.55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" fillcolor="white [3212]" stroked="f" strokeweight=".5pt">
              <v:textbox>
                <w:txbxContent>
                  <w:p w14:paraId="22B3EC72"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82A3E8"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DD6FAF6"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B6676A1" w14:textId="77777777" w:rsidR="00101EC1" w:rsidRPr="00F45C80" w:rsidRDefault="00101EC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4E1A7FF" w14:textId="77777777" w:rsidR="00101EC1" w:rsidRPr="00F45C80" w:rsidRDefault="00101EC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078FE684" wp14:editId="368B0E13">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7AED004" w14:textId="77777777" w:rsidR="00101EC1" w:rsidRPr="008030B6" w:rsidRDefault="00101EC1"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B6"/>
    <w:rsid w:val="00000E44"/>
    <w:rsid w:val="00004F98"/>
    <w:rsid w:val="00006406"/>
    <w:rsid w:val="000075D4"/>
    <w:rsid w:val="000104C5"/>
    <w:rsid w:val="00010AD5"/>
    <w:rsid w:val="00011AE9"/>
    <w:rsid w:val="00013059"/>
    <w:rsid w:val="000150E7"/>
    <w:rsid w:val="00015E02"/>
    <w:rsid w:val="0002331B"/>
    <w:rsid w:val="00037748"/>
    <w:rsid w:val="00040839"/>
    <w:rsid w:val="00055701"/>
    <w:rsid w:val="00055C7A"/>
    <w:rsid w:val="0006294D"/>
    <w:rsid w:val="000650ED"/>
    <w:rsid w:val="00071B42"/>
    <w:rsid w:val="000908C0"/>
    <w:rsid w:val="00093D7C"/>
    <w:rsid w:val="00095D7D"/>
    <w:rsid w:val="000D411C"/>
    <w:rsid w:val="000E4207"/>
    <w:rsid w:val="000F2612"/>
    <w:rsid w:val="000F63A0"/>
    <w:rsid w:val="00101EC1"/>
    <w:rsid w:val="001042A3"/>
    <w:rsid w:val="00112F6C"/>
    <w:rsid w:val="0011435E"/>
    <w:rsid w:val="001A7D31"/>
    <w:rsid w:val="001B14A3"/>
    <w:rsid w:val="001B456C"/>
    <w:rsid w:val="001C01B8"/>
    <w:rsid w:val="001C3AFC"/>
    <w:rsid w:val="001C5B4A"/>
    <w:rsid w:val="001E5527"/>
    <w:rsid w:val="001F3983"/>
    <w:rsid w:val="002023FA"/>
    <w:rsid w:val="0021637E"/>
    <w:rsid w:val="0022064E"/>
    <w:rsid w:val="0023120C"/>
    <w:rsid w:val="00233911"/>
    <w:rsid w:val="0024077F"/>
    <w:rsid w:val="00243E44"/>
    <w:rsid w:val="00250970"/>
    <w:rsid w:val="00250C9B"/>
    <w:rsid w:val="00251076"/>
    <w:rsid w:val="00252096"/>
    <w:rsid w:val="00260D42"/>
    <w:rsid w:val="002617F1"/>
    <w:rsid w:val="00283D03"/>
    <w:rsid w:val="00285F51"/>
    <w:rsid w:val="00286DB5"/>
    <w:rsid w:val="002C0967"/>
    <w:rsid w:val="002C0D64"/>
    <w:rsid w:val="002C5760"/>
    <w:rsid w:val="00307AB3"/>
    <w:rsid w:val="00371E68"/>
    <w:rsid w:val="0037734C"/>
    <w:rsid w:val="003854FF"/>
    <w:rsid w:val="003860E1"/>
    <w:rsid w:val="0039212B"/>
    <w:rsid w:val="00395039"/>
    <w:rsid w:val="003A48F5"/>
    <w:rsid w:val="003B53FC"/>
    <w:rsid w:val="003E34CE"/>
    <w:rsid w:val="0040097F"/>
    <w:rsid w:val="004229AD"/>
    <w:rsid w:val="004318CE"/>
    <w:rsid w:val="00451C7E"/>
    <w:rsid w:val="004577E8"/>
    <w:rsid w:val="00467154"/>
    <w:rsid w:val="004747BE"/>
    <w:rsid w:val="0049255C"/>
    <w:rsid w:val="00492F01"/>
    <w:rsid w:val="004A0389"/>
    <w:rsid w:val="004A768C"/>
    <w:rsid w:val="004B0480"/>
    <w:rsid w:val="004B1AE0"/>
    <w:rsid w:val="004B368F"/>
    <w:rsid w:val="004C41E9"/>
    <w:rsid w:val="004E4CAA"/>
    <w:rsid w:val="004F07CD"/>
    <w:rsid w:val="004F6834"/>
    <w:rsid w:val="00501CF3"/>
    <w:rsid w:val="00511BE9"/>
    <w:rsid w:val="00515068"/>
    <w:rsid w:val="00515677"/>
    <w:rsid w:val="00515AED"/>
    <w:rsid w:val="005419C5"/>
    <w:rsid w:val="0055103F"/>
    <w:rsid w:val="00556819"/>
    <w:rsid w:val="00560D6F"/>
    <w:rsid w:val="00570B6A"/>
    <w:rsid w:val="005713E5"/>
    <w:rsid w:val="00572820"/>
    <w:rsid w:val="005806F0"/>
    <w:rsid w:val="00585A69"/>
    <w:rsid w:val="0058660F"/>
    <w:rsid w:val="005A2CF4"/>
    <w:rsid w:val="005A4DB0"/>
    <w:rsid w:val="005B5C01"/>
    <w:rsid w:val="005B6627"/>
    <w:rsid w:val="005E386C"/>
    <w:rsid w:val="006266DD"/>
    <w:rsid w:val="006302AC"/>
    <w:rsid w:val="00655596"/>
    <w:rsid w:val="00672F97"/>
    <w:rsid w:val="0067690E"/>
    <w:rsid w:val="006906B8"/>
    <w:rsid w:val="006A2A15"/>
    <w:rsid w:val="006B4A2A"/>
    <w:rsid w:val="006D3A8A"/>
    <w:rsid w:val="007063EC"/>
    <w:rsid w:val="0071038C"/>
    <w:rsid w:val="00711E49"/>
    <w:rsid w:val="00730CBF"/>
    <w:rsid w:val="00734E2E"/>
    <w:rsid w:val="00736DFB"/>
    <w:rsid w:val="0075021C"/>
    <w:rsid w:val="007602BA"/>
    <w:rsid w:val="0076345F"/>
    <w:rsid w:val="00767975"/>
    <w:rsid w:val="00776700"/>
    <w:rsid w:val="00795BF0"/>
    <w:rsid w:val="007B0601"/>
    <w:rsid w:val="007B344C"/>
    <w:rsid w:val="007C1DEB"/>
    <w:rsid w:val="007C36FF"/>
    <w:rsid w:val="007C49F4"/>
    <w:rsid w:val="007E74D2"/>
    <w:rsid w:val="008030B6"/>
    <w:rsid w:val="00806A0C"/>
    <w:rsid w:val="00815C32"/>
    <w:rsid w:val="00816A9D"/>
    <w:rsid w:val="0082027C"/>
    <w:rsid w:val="00821B3D"/>
    <w:rsid w:val="008338D5"/>
    <w:rsid w:val="008359E2"/>
    <w:rsid w:val="00840733"/>
    <w:rsid w:val="00841A3C"/>
    <w:rsid w:val="00854981"/>
    <w:rsid w:val="008622D3"/>
    <w:rsid w:val="00863E34"/>
    <w:rsid w:val="00871E6D"/>
    <w:rsid w:val="00872BB9"/>
    <w:rsid w:val="00874C9B"/>
    <w:rsid w:val="0089134E"/>
    <w:rsid w:val="00895F40"/>
    <w:rsid w:val="008A026E"/>
    <w:rsid w:val="008A32ED"/>
    <w:rsid w:val="008A4F88"/>
    <w:rsid w:val="008A54C8"/>
    <w:rsid w:val="008B1626"/>
    <w:rsid w:val="008B21BF"/>
    <w:rsid w:val="008B221F"/>
    <w:rsid w:val="008B2C28"/>
    <w:rsid w:val="008C2E50"/>
    <w:rsid w:val="008E00B7"/>
    <w:rsid w:val="008F6F4F"/>
    <w:rsid w:val="008F7BCD"/>
    <w:rsid w:val="009169FC"/>
    <w:rsid w:val="0094207C"/>
    <w:rsid w:val="0094241B"/>
    <w:rsid w:val="00960BE9"/>
    <w:rsid w:val="009811E3"/>
    <w:rsid w:val="00991CB3"/>
    <w:rsid w:val="00993DD2"/>
    <w:rsid w:val="0099630E"/>
    <w:rsid w:val="009A002A"/>
    <w:rsid w:val="009A198C"/>
    <w:rsid w:val="009C126C"/>
    <w:rsid w:val="009E0410"/>
    <w:rsid w:val="00A01418"/>
    <w:rsid w:val="00A02862"/>
    <w:rsid w:val="00A05516"/>
    <w:rsid w:val="00A070D9"/>
    <w:rsid w:val="00A30D0C"/>
    <w:rsid w:val="00A57E56"/>
    <w:rsid w:val="00A604D3"/>
    <w:rsid w:val="00AC3377"/>
    <w:rsid w:val="00AC3505"/>
    <w:rsid w:val="00AD7B46"/>
    <w:rsid w:val="00AD7C37"/>
    <w:rsid w:val="00AE122B"/>
    <w:rsid w:val="00AE12E5"/>
    <w:rsid w:val="00AE7265"/>
    <w:rsid w:val="00B06193"/>
    <w:rsid w:val="00B6454C"/>
    <w:rsid w:val="00B77BCA"/>
    <w:rsid w:val="00B85C6E"/>
    <w:rsid w:val="00B87B86"/>
    <w:rsid w:val="00BA23E7"/>
    <w:rsid w:val="00BA3966"/>
    <w:rsid w:val="00BE17ED"/>
    <w:rsid w:val="00BF4A4A"/>
    <w:rsid w:val="00C067A7"/>
    <w:rsid w:val="00C10066"/>
    <w:rsid w:val="00C1011D"/>
    <w:rsid w:val="00C17274"/>
    <w:rsid w:val="00C17FDF"/>
    <w:rsid w:val="00C24781"/>
    <w:rsid w:val="00C31244"/>
    <w:rsid w:val="00C44B4C"/>
    <w:rsid w:val="00C503BE"/>
    <w:rsid w:val="00C56D80"/>
    <w:rsid w:val="00C60D3A"/>
    <w:rsid w:val="00C60DF9"/>
    <w:rsid w:val="00C66E5B"/>
    <w:rsid w:val="00C74C0C"/>
    <w:rsid w:val="00C76B98"/>
    <w:rsid w:val="00C85B13"/>
    <w:rsid w:val="00CA1EC8"/>
    <w:rsid w:val="00CB4C8F"/>
    <w:rsid w:val="00CC39FE"/>
    <w:rsid w:val="00CC4364"/>
    <w:rsid w:val="00CD5A70"/>
    <w:rsid w:val="00CE01A9"/>
    <w:rsid w:val="00D04A4E"/>
    <w:rsid w:val="00D06D9C"/>
    <w:rsid w:val="00D12478"/>
    <w:rsid w:val="00D13023"/>
    <w:rsid w:val="00D22BC7"/>
    <w:rsid w:val="00D26729"/>
    <w:rsid w:val="00D42071"/>
    <w:rsid w:val="00D508C0"/>
    <w:rsid w:val="00D509EF"/>
    <w:rsid w:val="00D62B21"/>
    <w:rsid w:val="00DD0CF2"/>
    <w:rsid w:val="00DF059D"/>
    <w:rsid w:val="00DF6AE8"/>
    <w:rsid w:val="00DF7969"/>
    <w:rsid w:val="00E02DD8"/>
    <w:rsid w:val="00E07686"/>
    <w:rsid w:val="00E13AB2"/>
    <w:rsid w:val="00E161E3"/>
    <w:rsid w:val="00E21B05"/>
    <w:rsid w:val="00E34FF8"/>
    <w:rsid w:val="00E35916"/>
    <w:rsid w:val="00E46C09"/>
    <w:rsid w:val="00E564DE"/>
    <w:rsid w:val="00E73F1A"/>
    <w:rsid w:val="00E81EF7"/>
    <w:rsid w:val="00E87621"/>
    <w:rsid w:val="00EA081D"/>
    <w:rsid w:val="00EA3AF3"/>
    <w:rsid w:val="00EB56B7"/>
    <w:rsid w:val="00EE3B08"/>
    <w:rsid w:val="00EF25AE"/>
    <w:rsid w:val="00EF31E4"/>
    <w:rsid w:val="00EF7D80"/>
    <w:rsid w:val="00F01B17"/>
    <w:rsid w:val="00F0543B"/>
    <w:rsid w:val="00F0629D"/>
    <w:rsid w:val="00F23E3F"/>
    <w:rsid w:val="00F40523"/>
    <w:rsid w:val="00F45C80"/>
    <w:rsid w:val="00F466B9"/>
    <w:rsid w:val="00F46A2C"/>
    <w:rsid w:val="00F72CD5"/>
    <w:rsid w:val="00F743E8"/>
    <w:rsid w:val="00F75D29"/>
    <w:rsid w:val="00F857CC"/>
    <w:rsid w:val="00F86729"/>
    <w:rsid w:val="00F979D8"/>
    <w:rsid w:val="00FA0E54"/>
    <w:rsid w:val="00FB4B07"/>
    <w:rsid w:val="00FB4D90"/>
    <w:rsid w:val="00FB6185"/>
    <w:rsid w:val="00FC0ED3"/>
    <w:rsid w:val="00FC23EC"/>
    <w:rsid w:val="00FD6C71"/>
    <w:rsid w:val="00FE7BEC"/>
    <w:rsid w:val="00FF099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de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7.xml"/><Relationship Id="rId39" Type="http://schemas.openxmlformats.org/officeDocument/2006/relationships/chart" Target="charts/chart13.xml"/><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footer" Target="footer11.xml"/><Relationship Id="rId50"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chart" Target="charts/chart14.xml"/><Relationship Id="rId45" Type="http://schemas.openxmlformats.org/officeDocument/2006/relationships/image" Target="media/image4.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image" Target="media/image3.emf"/><Relationship Id="rId52"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chart" Target="charts/chart8.xml"/><Relationship Id="rId30" Type="http://schemas.openxmlformats.org/officeDocument/2006/relationships/image" Target="media/image2.emf"/><Relationship Id="rId35" Type="http://schemas.openxmlformats.org/officeDocument/2006/relationships/footer" Target="footer8.xml"/><Relationship Id="rId43" Type="http://schemas.openxmlformats.org/officeDocument/2006/relationships/chart" Target="charts/chart15.xml"/><Relationship Id="rId48" Type="http://schemas.openxmlformats.org/officeDocument/2006/relationships/header" Target="header12.xml"/><Relationship Id="rId8" Type="http://schemas.openxmlformats.org/officeDocument/2006/relationships/header" Target="header1.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chart" Target="charts/chart12.xml"/><Relationship Id="rId46" Type="http://schemas.openxmlformats.org/officeDocument/2006/relationships/header" Target="header11.xml"/><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eader" Target="header6.xml"/><Relationship Id="rId28" Type="http://schemas.openxmlformats.org/officeDocument/2006/relationships/chart" Target="charts/chart9.xml"/><Relationship Id="rId36" Type="http://schemas.openxmlformats.org/officeDocument/2006/relationships/header" Target="header9.xml"/><Relationship Id="rId49"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35772870550041"/>
          <c:y val="3.1824599511267988E-2"/>
          <c:w val="0.84874976167693905"/>
          <c:h val="0.85502641864090134"/>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C2D7-4B09-82F2-D683BBF9B54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2019</c:v>
                </c:pt>
                <c:pt idx="1">
                  <c:v>2020</c:v>
                </c:pt>
                <c:pt idx="2">
                  <c:v>2021</c:v>
                </c:pt>
                <c:pt idx="3">
                  <c:v>2022</c:v>
                </c:pt>
              </c:numCache>
            </c:numRef>
          </c:cat>
          <c:val>
            <c:numRef>
              <c:f>'Reporte Diario'!$M$62:$P$62</c:f>
              <c:numCache>
                <c:formatCode>_-* #,##0.0_-;\-* #,##0.0_-;_-* "-"??_-;_-@_-</c:formatCode>
                <c:ptCount val="4"/>
                <c:pt idx="0">
                  <c:v>-4447.819266479999</c:v>
                </c:pt>
                <c:pt idx="1">
                  <c:v>-9381.8726234399983</c:v>
                </c:pt>
                <c:pt idx="2">
                  <c:v>-1757.5071612000002</c:v>
                </c:pt>
                <c:pt idx="3">
                  <c:v>-1524.1460350400084</c:v>
                </c:pt>
              </c:numCache>
            </c:numRef>
          </c:val>
          <c:extLst>
            <c:ext xmlns:c16="http://schemas.microsoft.com/office/drawing/2014/chart" uri="{C3380CC4-5D6E-409C-BE32-E72D297353CC}">
              <c16:uniqueId val="{00000002-C2D7-4B09-82F2-D683BBF9B54A}"/>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1-582E-417B-85C8-7123DFD54BE6}"/>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582E-417B-85C8-7123DFD54BE6}"/>
              </c:ext>
            </c:extLst>
          </c:dPt>
          <c:dPt>
            <c:idx val="3"/>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5-582E-417B-85C8-7123DFD54BE6}"/>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582E-417B-85C8-7123DFD54BE6}"/>
              </c:ext>
            </c:extLst>
          </c:dPt>
          <c:dPt>
            <c:idx val="10"/>
            <c:invertIfNegative val="0"/>
            <c:bubble3D val="0"/>
            <c:spPr>
              <a:solidFill>
                <a:srgbClr val="C00000"/>
              </a:solidFill>
              <a:ln>
                <a:solidFill>
                  <a:schemeClr val="tx1">
                    <a:lumMod val="95000"/>
                    <a:lumOff val="5000"/>
                  </a:schemeClr>
                </a:solidFill>
              </a:ln>
              <a:effectLst/>
            </c:spPr>
            <c:extLst>
              <c:ext xmlns:c16="http://schemas.microsoft.com/office/drawing/2014/chart" uri="{C3380CC4-5D6E-409C-BE32-E72D297353CC}">
                <c16:uniqueId val="{00000009-582E-417B-85C8-7123DFD54BE6}"/>
              </c:ext>
            </c:extLst>
          </c:dPt>
          <c:dPt>
            <c:idx val="1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582E-417B-85C8-7123DFD54BE6}"/>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582E-417B-85C8-7123DFD54BE6}"/>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582E-417B-85C8-7123DFD54BE6}"/>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582E-417B-85C8-7123DFD54BE6}"/>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582E-417B-85C8-7123DFD54BE6}"/>
              </c:ext>
            </c:extLst>
          </c:dPt>
          <c:dLbls>
            <c:dLbl>
              <c:idx val="7"/>
              <c:layout>
                <c:manualLayout>
                  <c:x val="-1.0556811886403472E-2"/>
                  <c:y val="-2.5294041870238396E-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82E-417B-85C8-7123DFD54BE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Hoja1!$A$2:$A$21</c:f>
              <c:strCache>
                <c:ptCount val="20"/>
                <c:pt idx="0">
                  <c:v>Comunicaciones</c:v>
                </c:pt>
                <c:pt idx="1">
                  <c:v>Economía</c:v>
                </c:pt>
                <c:pt idx="2">
                  <c:v>Ambiente </c:v>
                </c:pt>
                <c:pt idx="3">
                  <c:v>Cultura</c:v>
                </c:pt>
                <c:pt idx="4">
                  <c:v>Desarrollo</c:v>
                </c:pt>
                <c:pt idx="5">
                  <c:v>Finanzas</c:v>
                </c:pt>
                <c:pt idx="6">
                  <c:v>Secretarías</c:v>
                </c:pt>
                <c:pt idx="7">
                  <c:v>Gobernación</c:v>
                </c:pt>
                <c:pt idx="8">
                  <c:v>Salud Pública </c:v>
                </c:pt>
                <c:pt idx="9">
                  <c:v>Agricultura</c:v>
                </c:pt>
                <c:pt idx="10">
                  <c:v>Total</c:v>
                </c:pt>
                <c:pt idx="11">
                  <c:v>Obligaciones </c:v>
                </c:pt>
                <c:pt idx="12">
                  <c:v>Trabajo </c:v>
                </c:pt>
                <c:pt idx="13">
                  <c:v>MINREX</c:v>
                </c:pt>
                <c:pt idx="14">
                  <c:v>Defensa </c:v>
                </c:pt>
                <c:pt idx="15">
                  <c:v>Educación </c:v>
                </c:pt>
                <c:pt idx="16">
                  <c:v>Presidencia</c:v>
                </c:pt>
                <c:pt idx="17">
                  <c:v>Deuda Pública</c:v>
                </c:pt>
                <c:pt idx="18">
                  <c:v>PGN</c:v>
                </c:pt>
                <c:pt idx="19">
                  <c:v>Energía</c:v>
                </c:pt>
              </c:strCache>
            </c:strRef>
          </c:cat>
          <c:val>
            <c:numRef>
              <c:f>Hoja1!$B$2:$B$21</c:f>
              <c:numCache>
                <c:formatCode>0.0</c:formatCode>
                <c:ptCount val="20"/>
                <c:pt idx="0">
                  <c:v>28.423636801065449</c:v>
                </c:pt>
                <c:pt idx="1">
                  <c:v>29.210631639332007</c:v>
                </c:pt>
                <c:pt idx="2">
                  <c:v>31.51406947178582</c:v>
                </c:pt>
                <c:pt idx="3">
                  <c:v>31.778526565095245</c:v>
                </c:pt>
                <c:pt idx="4">
                  <c:v>36.059087199206935</c:v>
                </c:pt>
                <c:pt idx="5">
                  <c:v>37.71959665595255</c:v>
                </c:pt>
                <c:pt idx="6">
                  <c:v>38.395049743988153</c:v>
                </c:pt>
                <c:pt idx="7">
                  <c:v>38.648753525857103</c:v>
                </c:pt>
                <c:pt idx="8">
                  <c:v>39.222646481470477</c:v>
                </c:pt>
                <c:pt idx="9">
                  <c:v>39.636541640917486</c:v>
                </c:pt>
                <c:pt idx="10">
                  <c:v>42.328003937974145</c:v>
                </c:pt>
                <c:pt idx="11">
                  <c:v>42.852918211392463</c:v>
                </c:pt>
                <c:pt idx="12">
                  <c:v>43.984564537893476</c:v>
                </c:pt>
                <c:pt idx="13">
                  <c:v>44.042133699000772</c:v>
                </c:pt>
                <c:pt idx="14">
                  <c:v>44.136387514163481</c:v>
                </c:pt>
                <c:pt idx="15">
                  <c:v>45.909726802947212</c:v>
                </c:pt>
                <c:pt idx="16">
                  <c:v>46.05560635121951</c:v>
                </c:pt>
                <c:pt idx="17">
                  <c:v>47.732185522400734</c:v>
                </c:pt>
                <c:pt idx="18">
                  <c:v>47.733131346666674</c:v>
                </c:pt>
                <c:pt idx="19">
                  <c:v>55.542108841064753</c:v>
                </c:pt>
              </c:numCache>
            </c:numRef>
          </c:val>
          <c:extLst>
            <c:ext xmlns:c16="http://schemas.microsoft.com/office/drawing/2014/chart" uri="{C3380CC4-5D6E-409C-BE32-E72D297353CC}">
              <c16:uniqueId val="{00000015-582E-417B-85C8-7123DFD54BE6}"/>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6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min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39340054817867E-2"/>
          <c:y val="3.3430232558139532E-2"/>
          <c:w val="0.94388122148938025"/>
          <c:h val="0.92151162790697672"/>
        </c:manualLayout>
      </c:layout>
      <c:ofPieChart>
        <c:ofPieType val="bar"/>
        <c:varyColors val="1"/>
        <c:ser>
          <c:idx val="0"/>
          <c:order val="0"/>
          <c:tx>
            <c:strRef>
              <c:f>Sheet1!$B$1</c:f>
              <c:strCache>
                <c:ptCount val="1"/>
                <c:pt idx="0">
                  <c:v>Column1</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1241-4008-A4E5-6A1D6C380745}"/>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1241-4008-A4E5-6A1D6C380745}"/>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1241-4008-A4E5-6A1D6C380745}"/>
              </c:ext>
            </c:extLst>
          </c:dPt>
          <c:dPt>
            <c:idx val="3"/>
            <c:bubble3D val="0"/>
            <c:spPr>
              <a:solidFill>
                <a:srgbClr val="FF0000"/>
              </a:solidFill>
              <a:ln w="3175">
                <a:solidFill>
                  <a:schemeClr val="tx1"/>
                </a:solidFill>
              </a:ln>
              <a:effectLst/>
            </c:spPr>
            <c:extLst>
              <c:ext xmlns:c16="http://schemas.microsoft.com/office/drawing/2014/chart" uri="{C3380CC4-5D6E-409C-BE32-E72D297353CC}">
                <c16:uniqueId val="{00000007-1241-4008-A4E5-6A1D6C380745}"/>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1241-4008-A4E5-6A1D6C380745}"/>
              </c:ext>
            </c:extLst>
          </c:dPt>
          <c:dLbls>
            <c:dLbl>
              <c:idx val="0"/>
              <c:layout>
                <c:manualLayout>
                  <c:x val="0.10032099646080825"/>
                  <c:y val="2.907410890611592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183260629006739"/>
                      <c:h val="0.46035612025769501"/>
                    </c:manualLayout>
                  </c15:layout>
                </c:ext>
                <c:ext xmlns:c16="http://schemas.microsoft.com/office/drawing/2014/chart" uri="{C3380CC4-5D6E-409C-BE32-E72D297353CC}">
                  <c16:uniqueId val="{00000001-1241-4008-A4E5-6A1D6C380745}"/>
                </c:ext>
              </c:extLst>
            </c:dLbl>
            <c:dLbl>
              <c:idx val="1"/>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41-4008-A4E5-6A1D6C380745}"/>
                </c:ext>
              </c:extLst>
            </c:dLbl>
            <c:dLbl>
              <c:idx val="2"/>
              <c:layout>
                <c:manualLayout>
                  <c:x val="-2.2547120634310955E-2"/>
                  <c:y val="-3.450280362681940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1588356333507089"/>
                      <c:h val="0.31207688345654794"/>
                    </c:manualLayout>
                  </c15:layout>
                </c:ext>
                <c:ext xmlns:c16="http://schemas.microsoft.com/office/drawing/2014/chart" uri="{C3380CC4-5D6E-409C-BE32-E72D297353CC}">
                  <c16:uniqueId val="{00000005-1241-4008-A4E5-6A1D6C380745}"/>
                </c:ext>
              </c:extLst>
            </c:dLbl>
            <c:dLbl>
              <c:idx val="3"/>
              <c:layout>
                <c:manualLayout>
                  <c:x val="-4.6128380293926672E-4"/>
                  <c:y val="4.2693271295633502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6998070363155827"/>
                      <c:h val="0.26049522533087621"/>
                    </c:manualLayout>
                  </c15:layout>
                </c:ext>
                <c:ext xmlns:c16="http://schemas.microsoft.com/office/drawing/2014/chart" uri="{C3380CC4-5D6E-409C-BE32-E72D297353CC}">
                  <c16:uniqueId val="{00000007-1241-4008-A4E5-6A1D6C380745}"/>
                </c:ext>
              </c:extLst>
            </c:dLbl>
            <c:dLbl>
              <c:idx val="4"/>
              <c:layout>
                <c:manualLayout>
                  <c:x val="-0.24835468737139565"/>
                  <c:y val="1.261517842184542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baseline="0">
                        <a:solidFill>
                          <a:schemeClr val="bg1"/>
                        </a:solidFill>
                        <a:latin typeface="Times New Roman" panose="02020603050405020304" pitchFamily="18" charset="0"/>
                        <a:cs typeface="Times New Roman" panose="02020603050405020304" pitchFamily="18" charset="0"/>
                      </a:rPr>
                      <a:t>Colocado;
</a:t>
                    </a:r>
                    <a:fld id="{62AA4768-CB93-4CB1-A2D8-F7A71AE79038}" type="VALUE">
                      <a:rPr lang="en-US" sz="800" b="1" baseline="0">
                        <a:solidFill>
                          <a:schemeClr val="bg1"/>
                        </a:solidFill>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[VALOR]</a:t>
                    </a:fld>
                    <a:endParaRPr lang="en-US" sz="800" b="1"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5065196118777838"/>
                      <c:h val="0.25749505779862619"/>
                    </c:manualLayout>
                  </c15:layout>
                  <c15:dlblFieldTable/>
                  <c15:showDataLabelsRange val="0"/>
                </c:ext>
                <c:ext xmlns:c16="http://schemas.microsoft.com/office/drawing/2014/chart" uri="{C3380CC4-5D6E-409C-BE32-E72D297353CC}">
                  <c16:uniqueId val="{00000009-1241-4008-A4E5-6A1D6C3807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11340.510200000001</c:v>
                </c:pt>
                <c:pt idx="2" formatCode="#,##0.0">
                  <c:v>6322.7127999999993</c:v>
                </c:pt>
                <c:pt idx="3" formatCode="#,##0.0">
                  <c:v>350.20699999999999</c:v>
                </c:pt>
              </c:numCache>
            </c:numRef>
          </c:val>
          <c:extLst>
            <c:ext xmlns:c16="http://schemas.microsoft.com/office/drawing/2014/chart" uri="{C3380CC4-5D6E-409C-BE32-E72D297353CC}">
              <c16:uniqueId val="{0000000A-1241-4008-A4E5-6A1D6C380745}"/>
            </c:ext>
          </c:extLst>
        </c:ser>
        <c:dLbls>
          <c:showLegendKey val="0"/>
          <c:showVal val="0"/>
          <c:showCatName val="0"/>
          <c:showSerName val="0"/>
          <c:showPercent val="0"/>
          <c:showBubbleSize val="0"/>
          <c:showLeaderLines val="1"/>
        </c:dLbls>
        <c:gapWidth val="54"/>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5240820912146"/>
          <c:y val="6.3931806073521572E-2"/>
          <c:w val="0.82699053762191144"/>
          <c:h val="0.70842398030027809"/>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Sheet1!$B$2:$B$4</c:f>
              <c:numCache>
                <c:formatCode>#,##0.0</c:formatCode>
                <c:ptCount val="3"/>
                <c:pt idx="0">
                  <c:v>1038.92</c:v>
                </c:pt>
                <c:pt idx="1">
                  <c:v>1536.99</c:v>
                </c:pt>
                <c:pt idx="2">
                  <c:v>3.86</c:v>
                </c:pt>
              </c:numCache>
            </c:numRef>
          </c:val>
          <c:extLst>
            <c:ext xmlns:c16="http://schemas.microsoft.com/office/drawing/2014/chart" uri="{C3380CC4-5D6E-409C-BE32-E72D297353CC}">
              <c16:uniqueId val="{00000000-B390-423F-8841-0C6ACDBAAE7D}"/>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1.476014760147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90-423F-8841-0C6ACDBAAE7D}"/>
                </c:ext>
              </c:extLst>
            </c:dLbl>
            <c:dLbl>
              <c:idx val="1"/>
              <c:layout>
                <c:manualLayout>
                  <c:x val="1.968019680196802E-2"/>
                  <c:y val="5.32765050612670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90-423F-8841-0C6ACDBAAE7D}"/>
                </c:ext>
              </c:extLst>
            </c:dLbl>
            <c:spPr>
              <a:noFill/>
              <a:ln>
                <a:noFill/>
              </a:ln>
              <a:effectLst/>
            </c:spPr>
            <c:txPr>
              <a:bodyPr rot="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Sheet1!$C$2:$C$4</c:f>
              <c:numCache>
                <c:formatCode>#,##0.0</c:formatCode>
                <c:ptCount val="3"/>
                <c:pt idx="0">
                  <c:v>134.41</c:v>
                </c:pt>
                <c:pt idx="1">
                  <c:v>557.98</c:v>
                </c:pt>
                <c:pt idx="2">
                  <c:v>1.1599999999999999</c:v>
                </c:pt>
              </c:numCache>
            </c:numRef>
          </c:val>
          <c:extLst>
            <c:ext xmlns:c16="http://schemas.microsoft.com/office/drawing/2014/chart" uri="{C3380CC4-5D6E-409C-BE32-E72D297353CC}">
              <c16:uniqueId val="{00000003-B390-423F-8841-0C6ACDBAAE7D}"/>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8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8462445884301359"/>
          <c:y val="0.11094769254003078"/>
          <c:w val="0.27527714017297655"/>
          <c:h val="0.191130091157358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643732264094299E-2"/>
          <c:y val="0.15177651164779135"/>
          <c:w val="0.93573950857618815"/>
          <c:h val="0.84253263998466132"/>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51-40DA-96EA-F513BF8BFC22}"/>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8E51-40DA-96EA-F513BF8BFC22}"/>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8E51-40DA-96EA-F513BF8BFC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51-40DA-96EA-F513BF8BFC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E51-40DA-96EA-F513BF8BFC22}"/>
              </c:ext>
            </c:extLst>
          </c:dPt>
          <c:dPt>
            <c:idx val="5"/>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B-8E51-40DA-96EA-F513BF8BFC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E51-40DA-96EA-F513BF8BFC2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E51-40DA-96EA-F513BF8BFC2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E51-40DA-96EA-F513BF8BFC22}"/>
              </c:ext>
            </c:extLst>
          </c:dPt>
          <c:dLbls>
            <c:dLbl>
              <c:idx val="0"/>
              <c:layout>
                <c:manualLayout>
                  <c:x val="6.3960639606396058E-2"/>
                  <c:y val="-0.15783851594821835"/>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4600246002460024"/>
                      <c:h val="0.18983050847457628"/>
                    </c:manualLayout>
                  </c15:layout>
                </c:ext>
                <c:ext xmlns:c16="http://schemas.microsoft.com/office/drawing/2014/chart" uri="{C3380CC4-5D6E-409C-BE32-E72D297353CC}">
                  <c16:uniqueId val="{00000001-8E51-40DA-96EA-F513BF8BFC22}"/>
                </c:ext>
              </c:extLst>
            </c:dLbl>
            <c:dLbl>
              <c:idx val="1"/>
              <c:layout>
                <c:manualLayout>
                  <c:x val="0.15037258719043883"/>
                  <c:y val="0.2221125370187561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51-40DA-96EA-F513BF8BFC22}"/>
                </c:ext>
              </c:extLst>
            </c:dLbl>
            <c:dLbl>
              <c:idx val="2"/>
              <c:layout>
                <c:manualLayout>
                  <c:x val="0.10824108241082406"/>
                  <c:y val="4.936093254878184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210332103321033"/>
                      <c:h val="0.20338983050847459"/>
                    </c:manualLayout>
                  </c15:layout>
                </c:ext>
                <c:ext xmlns:c16="http://schemas.microsoft.com/office/drawing/2014/chart" uri="{C3380CC4-5D6E-409C-BE32-E72D297353CC}">
                  <c16:uniqueId val="{00000005-8E51-40DA-96EA-F513BF8BFC22}"/>
                </c:ext>
              </c:extLst>
            </c:dLbl>
            <c:dLbl>
              <c:idx val="4"/>
              <c:layout>
                <c:manualLayout>
                  <c:x val="-5.9040590405904057E-2"/>
                  <c:y val="6.581112207963145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51-40DA-96EA-F513BF8BFC22}"/>
                </c:ext>
              </c:extLst>
            </c:dLbl>
            <c:dLbl>
              <c:idx val="5"/>
              <c:layout>
                <c:manualLayout>
                  <c:x val="-2.9520295202952029E-2"/>
                  <c:y val="6.0326165013322775E-17"/>
                </c:manualLayout>
              </c:layout>
              <c:showLegendKey val="0"/>
              <c:showVal val="1"/>
              <c:showCatName val="1"/>
              <c:showSerName val="0"/>
              <c:showPercent val="0"/>
              <c:showBubbleSize val="0"/>
              <c:extLst>
                <c:ext xmlns:c15="http://schemas.microsoft.com/office/drawing/2012/chart" uri="{CE6537A1-D6FC-4f65-9D91-7224C49458BB}">
                  <c15:layout>
                    <c:manualLayout>
                      <c:w val="0.24600246002460024"/>
                      <c:h val="0.20138203356367226"/>
                    </c:manualLayout>
                  </c15:layout>
                </c:ext>
                <c:ext xmlns:c16="http://schemas.microsoft.com/office/drawing/2014/chart" uri="{C3380CC4-5D6E-409C-BE32-E72D297353CC}">
                  <c16:uniqueId val="{0000000B-8E51-40DA-96EA-F513BF8BFC22}"/>
                </c:ext>
              </c:extLst>
            </c:dLbl>
            <c:dLbl>
              <c:idx val="6"/>
              <c:layout>
                <c:manualLayout>
                  <c:x val="-2.4600246002460024E-2"/>
                  <c:y val="-1.2065233002664555E-16"/>
                </c:manualLayout>
              </c:layout>
              <c:showLegendKey val="0"/>
              <c:showVal val="1"/>
              <c:showCatName val="1"/>
              <c:showSerName val="0"/>
              <c:showPercent val="0"/>
              <c:showBubbleSize val="0"/>
              <c:extLst>
                <c:ext xmlns:c15="http://schemas.microsoft.com/office/drawing/2012/chart" uri="{CE6537A1-D6FC-4f65-9D91-7224C49458BB}">
                  <c15:layout>
                    <c:manualLayout>
                      <c:w val="0.26568265682656828"/>
                      <c:h val="0.14083580125041131"/>
                    </c:manualLayout>
                  </c15:layout>
                </c:ext>
                <c:ext xmlns:c16="http://schemas.microsoft.com/office/drawing/2014/chart" uri="{C3380CC4-5D6E-409C-BE32-E72D297353CC}">
                  <c16:uniqueId val="{0000000D-8E51-40DA-96EA-F513BF8BFC22}"/>
                </c:ext>
              </c:extLst>
            </c:dLbl>
            <c:dLbl>
              <c:idx val="7"/>
              <c:layout>
                <c:manualLayout>
                  <c:x val="-3.1980319803198029E-2"/>
                  <c:y val="3.2905561039815727E-2"/>
                </c:manualLayout>
              </c:layout>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060270602706027"/>
                      <c:h val="0.14083580125041131"/>
                    </c:manualLayout>
                  </c15:layout>
                </c:ext>
                <c:ext xmlns:c16="http://schemas.microsoft.com/office/drawing/2014/chart" uri="{C3380CC4-5D6E-409C-BE32-E72D297353CC}">
                  <c16:uniqueId val="{0000000F-8E51-40DA-96EA-F513BF8BFC22}"/>
                </c:ext>
              </c:extLst>
            </c:dLbl>
            <c:dLbl>
              <c:idx val="8"/>
              <c:layout>
                <c:manualLayout>
                  <c:x val="-0.29743014595500289"/>
                  <c:y val="-4.6774322701187776E-3"/>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Primera</a:t>
                    </a:r>
                    <a:r>
                      <a:rPr lang="en-US" b="1" baseline="0"/>
                      <a:t> dosis; </a:t>
                    </a:r>
                    <a:fld id="{CEEBAB03-2990-4A3F-8E5D-AEBCBEBFF091}" type="VALUE">
                      <a:rPr lang="en-US" b="1" baseline="0"/>
                      <a:pPr>
                        <a:defRPr sz="800" b="1">
                          <a:solidFill>
                            <a:schemeClr val="tx1"/>
                          </a:solidFill>
                          <a:latin typeface="Times New Roman" panose="02020603050405020304" pitchFamily="18" charset="0"/>
                          <a:cs typeface="Times New Roman" panose="02020603050405020304" pitchFamily="18" charset="0"/>
                        </a:defRPr>
                      </a:pPr>
                      <a:t>[VALOR]</a:t>
                    </a:fld>
                    <a:endParaRPr lang="en-US" b="1"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410824108241082"/>
                      <c:h val="0.20745762711864407"/>
                    </c:manualLayout>
                  </c15:layout>
                  <c15:dlblFieldTable/>
                  <c15:showDataLabelsRange val="0"/>
                </c:ext>
                <c:ext xmlns:c16="http://schemas.microsoft.com/office/drawing/2014/chart" uri="{C3380CC4-5D6E-409C-BE32-E72D297353CC}">
                  <c16:uniqueId val="{00000011-8E51-40DA-96EA-F513BF8BFC2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2da Dosis </c:v>
                </c:pt>
                <c:pt idx="1">
                  <c:v>Dosis de Refuerzo</c:v>
                </c:pt>
                <c:pt idx="2">
                  <c:v>2da Dosis de refuerzo</c:v>
                </c:pt>
                <c:pt idx="4">
                  <c:v>Moderna</c:v>
                </c:pt>
                <c:pt idx="5">
                  <c:v>Astrazeneca</c:v>
                </c:pt>
                <c:pt idx="6">
                  <c:v>Sputnik</c:v>
                </c:pt>
                <c:pt idx="7">
                  <c:v>Pfizer</c:v>
                </c:pt>
              </c:strCache>
            </c:strRef>
          </c:cat>
          <c:val>
            <c:numRef>
              <c:f>Sheet1!$B$2:$B$9</c:f>
              <c:numCache>
                <c:formatCode>#,##0</c:formatCode>
                <c:ptCount val="8"/>
                <c:pt idx="0">
                  <c:v>6350977</c:v>
                </c:pt>
                <c:pt idx="1">
                  <c:v>3128246</c:v>
                </c:pt>
                <c:pt idx="2">
                  <c:v>196308</c:v>
                </c:pt>
                <c:pt idx="4">
                  <c:v>3534058</c:v>
                </c:pt>
                <c:pt idx="5">
                  <c:v>2033651</c:v>
                </c:pt>
                <c:pt idx="6">
                  <c:v>1572907</c:v>
                </c:pt>
                <c:pt idx="7">
                  <c:v>1171791</c:v>
                </c:pt>
              </c:numCache>
            </c:numRef>
          </c:val>
          <c:extLst>
            <c:ext xmlns:c16="http://schemas.microsoft.com/office/drawing/2014/chart" uri="{C3380CC4-5D6E-409C-BE32-E72D297353CC}">
              <c16:uniqueId val="{00000012-8E51-40DA-96EA-F513BF8BFC22}"/>
            </c:ext>
          </c:extLst>
        </c:ser>
        <c:dLbls>
          <c:showLegendKey val="0"/>
          <c:showVal val="0"/>
          <c:showCatName val="0"/>
          <c:showSerName val="0"/>
          <c:showPercent val="0"/>
          <c:showBubbleSize val="0"/>
          <c:showLeaderLines val="1"/>
        </c:dLbls>
        <c:gapWidth val="34"/>
        <c:splitType val="pos"/>
        <c:splitPos val="4"/>
        <c:secondPieSize val="8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93405390746822E-2"/>
          <c:y val="0.10941807014607603"/>
          <c:w val="0.94282050537040807"/>
          <c:h val="0.78447655115774884"/>
        </c:manualLayout>
      </c:layout>
      <c:barChart>
        <c:barDir val="col"/>
        <c:grouping val="stacked"/>
        <c:varyColors val="0"/>
        <c:ser>
          <c:idx val="0"/>
          <c:order val="0"/>
          <c:tx>
            <c:strRef>
              <c:f>Sheet1!$B$1</c:f>
              <c:strCache>
                <c:ptCount val="1"/>
                <c:pt idx="0">
                  <c:v>Primera Dosis</c:v>
                </c:pt>
              </c:strCache>
            </c:strRef>
          </c:tx>
          <c:spPr>
            <a:solidFill>
              <a:srgbClr val="2680A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Sheet1!$B$2:$B$9</c:f>
              <c:numCache>
                <c:formatCode>General</c:formatCode>
                <c:ptCount val="8"/>
                <c:pt idx="0">
                  <c:v>22.74</c:v>
                </c:pt>
                <c:pt idx="1">
                  <c:v>49.87</c:v>
                </c:pt>
                <c:pt idx="2">
                  <c:v>60.13</c:v>
                </c:pt>
                <c:pt idx="3">
                  <c:v>63.11</c:v>
                </c:pt>
                <c:pt idx="4">
                  <c:v>68.45</c:v>
                </c:pt>
                <c:pt idx="5">
                  <c:v>71.02</c:v>
                </c:pt>
                <c:pt idx="6">
                  <c:v>73.819999999999993</c:v>
                </c:pt>
                <c:pt idx="7">
                  <c:v>59.42</c:v>
                </c:pt>
              </c:numCache>
            </c:numRef>
          </c:val>
          <c:extLst>
            <c:ext xmlns:c16="http://schemas.microsoft.com/office/drawing/2014/chart" uri="{C3380CC4-5D6E-409C-BE32-E72D297353CC}">
              <c16:uniqueId val="{00000000-AEC1-48A6-90A1-49C07BA81272}"/>
            </c:ext>
          </c:extLst>
        </c:ser>
        <c:ser>
          <c:idx val="1"/>
          <c:order val="1"/>
          <c:tx>
            <c:strRef>
              <c:f>Sheet1!$C$1</c:f>
              <c:strCache>
                <c:ptCount val="1"/>
                <c:pt idx="0">
                  <c:v>Segunda Dosis</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Sheet1!$C$2:$C$9</c:f>
              <c:numCache>
                <c:formatCode>0.00</c:formatCode>
                <c:ptCount val="8"/>
                <c:pt idx="1">
                  <c:v>36.450000000000003</c:v>
                </c:pt>
                <c:pt idx="2">
                  <c:v>45.71</c:v>
                </c:pt>
                <c:pt idx="3">
                  <c:v>52.1</c:v>
                </c:pt>
                <c:pt idx="4">
                  <c:v>58.96</c:v>
                </c:pt>
                <c:pt idx="5">
                  <c:v>62.83</c:v>
                </c:pt>
                <c:pt idx="6">
                  <c:v>66.849999999999994</c:v>
                </c:pt>
                <c:pt idx="7">
                  <c:v>54.01</c:v>
                </c:pt>
              </c:numCache>
            </c:numRef>
          </c:val>
          <c:extLst>
            <c:ext xmlns:c16="http://schemas.microsoft.com/office/drawing/2014/chart" uri="{C3380CC4-5D6E-409C-BE32-E72D297353CC}">
              <c16:uniqueId val="{00000001-AEC1-48A6-90A1-49C07BA81272}"/>
            </c:ext>
          </c:extLst>
        </c:ser>
        <c:ser>
          <c:idx val="2"/>
          <c:order val="2"/>
          <c:tx>
            <c:strRef>
              <c:f>Sheet1!$D$1</c:f>
              <c:strCache>
                <c:ptCount val="1"/>
                <c:pt idx="0">
                  <c:v>Refuerzo</c:v>
                </c:pt>
              </c:strCache>
            </c:strRef>
          </c:tx>
          <c:spPr>
            <a:solidFill>
              <a:srgbClr val="60346E"/>
            </a:solidFill>
            <a:ln w="12700">
              <a:solidFill>
                <a:schemeClr val="tx1"/>
              </a:solidFill>
            </a:ln>
            <a:effectLst/>
          </c:spPr>
          <c:invertIfNegative val="0"/>
          <c:dLbls>
            <c:dLbl>
              <c:idx val="1"/>
              <c:layout>
                <c:manualLayout>
                  <c:x val="-2.1038698126633912E-17"/>
                  <c:y val="-3.229278794402588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C1-48A6-90A1-49C07BA8127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Sheet1!$D$2:$D$9</c:f>
              <c:numCache>
                <c:formatCode>General</c:formatCode>
                <c:ptCount val="8"/>
                <c:pt idx="1">
                  <c:v>6.85</c:v>
                </c:pt>
                <c:pt idx="2" formatCode="0.0">
                  <c:v>20</c:v>
                </c:pt>
                <c:pt idx="3">
                  <c:v>27.05</c:v>
                </c:pt>
                <c:pt idx="4">
                  <c:v>33.369999999999997</c:v>
                </c:pt>
                <c:pt idx="5">
                  <c:v>38.43</c:v>
                </c:pt>
                <c:pt idx="6" formatCode="0.00">
                  <c:v>44.5</c:v>
                </c:pt>
                <c:pt idx="7">
                  <c:v>37.44</c:v>
                </c:pt>
              </c:numCache>
            </c:numRef>
          </c:val>
          <c:extLst>
            <c:ext xmlns:c16="http://schemas.microsoft.com/office/drawing/2014/chart" uri="{C3380CC4-5D6E-409C-BE32-E72D297353CC}">
              <c16:uniqueId val="{00000003-AEC1-48A6-90A1-49C07BA81272}"/>
            </c:ext>
          </c:extLst>
        </c:ser>
        <c:ser>
          <c:idx val="3"/>
          <c:order val="3"/>
          <c:tx>
            <c:strRef>
              <c:f>Sheet1!$E$1</c:f>
              <c:strCache>
                <c:ptCount val="1"/>
                <c:pt idx="0">
                  <c:v>2da de Refuerzo</c:v>
                </c:pt>
              </c:strCache>
            </c:strRef>
          </c:tx>
          <c:spPr>
            <a:solidFill>
              <a:srgbClr val="FF0000"/>
            </a:solidFill>
            <a:ln>
              <a:solidFill>
                <a:schemeClr val="tx1"/>
              </a:solidFill>
            </a:ln>
            <a:effectLst/>
          </c:spPr>
          <c:invertIfNegative val="0"/>
          <c:dLbls>
            <c:dLbl>
              <c:idx val="2"/>
              <c:layout>
                <c:manualLayout>
                  <c:x val="-4.5099930006270084E-17"/>
                  <c:y val="-4.448838358872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C1-48A6-90A1-49C07BA81272}"/>
                </c:ext>
              </c:extLst>
            </c:dLbl>
            <c:dLbl>
              <c:idx val="3"/>
              <c:layout>
                <c:manualLayout>
                  <c:x val="0"/>
                  <c:y val="-5.5846422338568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C1-48A6-90A1-49C07BA81272}"/>
                </c:ext>
              </c:extLst>
            </c:dLbl>
            <c:dLbl>
              <c:idx val="4"/>
              <c:layout>
                <c:manualLayout>
                  <c:x val="-9.0199860012540169E-17"/>
                  <c:y val="-3.9545229856648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C1-48A6-90A1-49C07BA81272}"/>
                </c:ext>
              </c:extLst>
            </c:dLbl>
            <c:dLbl>
              <c:idx val="5"/>
              <c:layout>
                <c:manualLayout>
                  <c:x val="-9.0199860012540169E-17"/>
                  <c:y val="-4.9431537320810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C1-48A6-90A1-49C07BA81272}"/>
                </c:ext>
              </c:extLst>
            </c:dLbl>
            <c:dLbl>
              <c:idx val="6"/>
              <c:layout>
                <c:manualLayout>
                  <c:x val="-9.0199860012540169E-17"/>
                  <c:y val="-5.7582278654958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C1-48A6-90A1-49C07BA81272}"/>
                </c:ext>
              </c:extLst>
            </c:dLbl>
            <c:dLbl>
              <c:idx val="7"/>
              <c:layout>
                <c:manualLayout>
                  <c:x val="0"/>
                  <c:y val="-3.9545229856648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C1-48A6-90A1-49C07BA8127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Sheet1!$E$2:$E$9</c:f>
              <c:numCache>
                <c:formatCode>General</c:formatCode>
                <c:ptCount val="8"/>
                <c:pt idx="2">
                  <c:v>0.56000000000000005</c:v>
                </c:pt>
                <c:pt idx="3">
                  <c:v>1.05</c:v>
                </c:pt>
                <c:pt idx="4">
                  <c:v>1.57</c:v>
                </c:pt>
                <c:pt idx="5">
                  <c:v>3.88</c:v>
                </c:pt>
                <c:pt idx="6">
                  <c:v>6.09</c:v>
                </c:pt>
                <c:pt idx="7">
                  <c:v>6.03</c:v>
                </c:pt>
              </c:numCache>
            </c:numRef>
          </c:val>
          <c:extLst>
            <c:ext xmlns:c16="http://schemas.microsoft.com/office/drawing/2014/chart" uri="{C3380CC4-5D6E-409C-BE32-E72D297353CC}">
              <c16:uniqueId val="{0000000A-AEC1-48A6-90A1-49C07BA81272}"/>
            </c:ext>
          </c:extLst>
        </c:ser>
        <c:dLbls>
          <c:showLegendKey val="0"/>
          <c:showVal val="0"/>
          <c:showCatName val="0"/>
          <c:showSerName val="0"/>
          <c:showPercent val="0"/>
          <c:showBubbleSize val="0"/>
        </c:dLbls>
        <c:gapWidth val="55"/>
        <c:overlap val="100"/>
        <c:axId val="455930288"/>
        <c:axId val="455927008"/>
      </c:barChart>
      <c:catAx>
        <c:axId val="45593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455927008"/>
        <c:crosses val="autoZero"/>
        <c:auto val="1"/>
        <c:lblAlgn val="ctr"/>
        <c:lblOffset val="100"/>
        <c:noMultiLvlLbl val="0"/>
      </c:catAx>
      <c:valAx>
        <c:axId val="455927008"/>
        <c:scaling>
          <c:orientation val="minMax"/>
          <c:max val="200"/>
          <c:min val="0"/>
        </c:scaling>
        <c:delete val="1"/>
        <c:axPos val="l"/>
        <c:numFmt formatCode="General" sourceLinked="1"/>
        <c:majorTickMark val="out"/>
        <c:minorTickMark val="none"/>
        <c:tickLblPos val="nextTo"/>
        <c:crossAx val="455930288"/>
        <c:crosses val="autoZero"/>
        <c:crossBetween val="between"/>
      </c:valAx>
      <c:spPr>
        <a:noFill/>
        <a:ln>
          <a:noFill/>
        </a:ln>
        <a:effectLst/>
      </c:spPr>
    </c:plotArea>
    <c:legend>
      <c:legendPos val="r"/>
      <c:layout>
        <c:manualLayout>
          <c:xMode val="edge"/>
          <c:yMode val="edge"/>
          <c:x val="1.3133044716273677E-4"/>
          <c:y val="2.0448805155900016E-2"/>
          <c:w val="0.32663741755527792"/>
          <c:h val="0.292066432872361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1515820670018"/>
          <c:y val="1.8327753706884931E-2"/>
          <c:w val="0.82596430058788772"/>
          <c:h val="0.76559627738267633"/>
        </c:manualLayout>
      </c:layout>
      <c:barChart>
        <c:barDir val="col"/>
        <c:grouping val="clustered"/>
        <c:varyColors val="0"/>
        <c:ser>
          <c:idx val="0"/>
          <c:order val="0"/>
          <c:tx>
            <c:strRef>
              <c:f>Hoja1!$B$1</c:f>
              <c:strCache>
                <c:ptCount val="1"/>
                <c:pt idx="0">
                  <c:v>Presupuesto</c:v>
                </c:pt>
              </c:strCache>
            </c:strRef>
          </c:tx>
          <c:spPr>
            <a:solidFill>
              <a:schemeClr val="accent5">
                <a:lumMod val="75000"/>
              </a:schemeClr>
            </a:solidFill>
            <a:ln cap="rnd">
              <a:solidFill>
                <a:schemeClr val="tx1"/>
              </a:solidFill>
              <a:bevel/>
            </a:ln>
            <a:effectLst>
              <a:outerShdw blurRad="50800" dist="38100" dir="18900000" algn="bl" rotWithShape="0">
                <a:prstClr val="black">
                  <a:alpha val="40000"/>
                </a:prstClr>
              </a:outerShdw>
            </a:effectLst>
          </c:spPr>
          <c:invertIfNegative val="0"/>
          <c:dLbls>
            <c:dLbl>
              <c:idx val="2"/>
              <c:layout>
                <c:manualLayout>
                  <c:x val="-1.4760147601476014E-2"/>
                  <c:y val="4.964010920824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F4-4038-887C-724FFE98D7D5}"/>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Hoja1!$B$2:$B$6</c:f>
              <c:numCache>
                <c:formatCode>#,##0.00</c:formatCode>
                <c:ptCount val="5"/>
                <c:pt idx="0">
                  <c:v>3191.2</c:v>
                </c:pt>
                <c:pt idx="1">
                  <c:v>2260</c:v>
                </c:pt>
                <c:pt idx="2">
                  <c:v>263.51</c:v>
                </c:pt>
                <c:pt idx="3">
                  <c:v>90</c:v>
                </c:pt>
                <c:pt idx="4">
                  <c:v>93.08</c:v>
                </c:pt>
              </c:numCache>
            </c:numRef>
          </c:val>
          <c:extLst>
            <c:ext xmlns:c16="http://schemas.microsoft.com/office/drawing/2014/chart" uri="{C3380CC4-5D6E-409C-BE32-E72D297353CC}">
              <c16:uniqueId val="{00000001-2DF4-4038-887C-724FFE98D7D5}"/>
            </c:ext>
          </c:extLst>
        </c:ser>
        <c:ser>
          <c:idx val="1"/>
          <c:order val="1"/>
          <c:tx>
            <c:strRef>
              <c:f>Hoja1!$C$1</c:f>
              <c:strCache>
                <c:ptCount val="1"/>
                <c:pt idx="0">
                  <c:v>Devengado</c:v>
                </c:pt>
              </c:strCache>
            </c:strRef>
          </c:tx>
          <c:spPr>
            <a:solidFill>
              <a:schemeClr val="accent1">
                <a:lumMod val="60000"/>
                <a:lumOff val="40000"/>
              </a:schemeClr>
            </a:solidFill>
            <a:ln>
              <a:solidFill>
                <a:schemeClr val="tx1"/>
              </a:solidFill>
            </a:ln>
            <a:effectLst>
              <a:outerShdw blurRad="50800" dist="38100" dir="2700000" algn="tl" rotWithShape="0">
                <a:prstClr val="black">
                  <a:alpha val="40000"/>
                </a:prstClr>
              </a:outerShdw>
            </a:effectLst>
          </c:spPr>
          <c:invertIfNegative val="0"/>
          <c:dLbls>
            <c:dLbl>
              <c:idx val="1"/>
              <c:layout>
                <c:manualLayout>
                  <c:x val="3.93603936039359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F4-4038-887C-724FFE98D7D5}"/>
                </c:ext>
              </c:extLst>
            </c:dLbl>
            <c:dLbl>
              <c:idx val="2"/>
              <c:layout>
                <c:manualLayout>
                  <c:x val="1.476014760147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F4-4038-887C-724FFE98D7D5}"/>
                </c:ext>
              </c:extLst>
            </c:dLbl>
            <c:dLbl>
              <c:idx val="3"/>
              <c:layout>
                <c:manualLayout>
                  <c:x val="1.476014760147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F4-4038-887C-724FFE98D7D5}"/>
                </c:ext>
              </c:extLst>
            </c:dLbl>
            <c:dLbl>
              <c:idx val="4"/>
              <c:layout>
                <c:manualLayout>
                  <c:x val="2.95202952029518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F4-4038-887C-724FFE98D7D5}"/>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Hoja1!$C$2:$C$6</c:f>
              <c:numCache>
                <c:formatCode>#,##0.00</c:formatCode>
                <c:ptCount val="5"/>
                <c:pt idx="0">
                  <c:v>0</c:v>
                </c:pt>
                <c:pt idx="1">
                  <c:v>1196.2542880000001</c:v>
                </c:pt>
                <c:pt idx="2">
                  <c:v>217.26953904999999</c:v>
                </c:pt>
                <c:pt idx="3">
                  <c:v>90</c:v>
                </c:pt>
                <c:pt idx="4">
                  <c:v>50.75</c:v>
                </c:pt>
              </c:numCache>
            </c:numRef>
          </c:val>
          <c:extLst>
            <c:ext xmlns:c16="http://schemas.microsoft.com/office/drawing/2014/chart" uri="{C3380CC4-5D6E-409C-BE32-E72D297353CC}">
              <c16:uniqueId val="{00000006-2DF4-4038-887C-724FFE98D7D5}"/>
            </c:ext>
          </c:extLst>
        </c:ser>
        <c:dLbls>
          <c:showLegendKey val="0"/>
          <c:showVal val="0"/>
          <c:showCatName val="0"/>
          <c:showSerName val="0"/>
          <c:showPercent val="0"/>
          <c:showBubbleSize val="0"/>
        </c:dLbls>
        <c:gapWidth val="50"/>
        <c:axId val="145766399"/>
        <c:axId val="145768895"/>
      </c:barChart>
      <c:lineChart>
        <c:grouping val="standard"/>
        <c:varyColors val="0"/>
        <c:ser>
          <c:idx val="2"/>
          <c:order val="2"/>
          <c:tx>
            <c:strRef>
              <c:f>Hoja1!$D$1</c:f>
              <c:strCache>
                <c:ptCount val="1"/>
                <c:pt idx="0">
                  <c:v>% de ejecución</c:v>
                </c:pt>
              </c:strCache>
            </c:strRef>
          </c:tx>
          <c:spPr>
            <a:ln w="28575" cap="rnd">
              <a:noFill/>
              <a:round/>
            </a:ln>
            <a:effectLst/>
          </c:spPr>
          <c:marker>
            <c:symbol val="circle"/>
            <c:size val="6"/>
            <c:spPr>
              <a:solidFill>
                <a:schemeClr val="accent3"/>
              </a:solidFill>
              <a:ln w="9525">
                <a:solidFill>
                  <a:schemeClr val="tx1">
                    <a:lumMod val="95000"/>
                    <a:lumOff val="5000"/>
                  </a:schemeClr>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7-2DF4-4038-887C-724FFE98D7D5}"/>
                </c:ext>
              </c:extLst>
            </c:dLbl>
            <c:dLbl>
              <c:idx val="1"/>
              <c:layout>
                <c:manualLayout>
                  <c:x val="-2.4600246002460024E-2"/>
                  <c:y val="-3.4748076445768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F4-4038-887C-724FFE98D7D5}"/>
                </c:ext>
              </c:extLst>
            </c:dLbl>
            <c:dLbl>
              <c:idx val="2"/>
              <c:layout>
                <c:manualLayout>
                  <c:x val="-1.4760147601476105E-2"/>
                  <c:y val="-4.55029077874132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F4-4038-887C-724FFE98D7D5}"/>
                </c:ext>
              </c:extLst>
            </c:dLbl>
            <c:dLbl>
              <c:idx val="3"/>
              <c:layout>
                <c:manualLayout>
                  <c:x val="-8.3640836408364089E-2"/>
                  <c:y val="2.9784065524944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F4-4038-887C-724FFE98D7D5}"/>
                </c:ext>
              </c:extLst>
            </c:dLbl>
            <c:dLbl>
              <c:idx val="4"/>
              <c:layout>
                <c:manualLayout>
                  <c:x val="-8.3640836408364172E-2"/>
                  <c:y val="-4.4676098287416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F4-4038-887C-724FFE98D7D5}"/>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Hoja1!$D$2:$D$6</c:f>
              <c:numCache>
                <c:formatCode>0.0%</c:formatCode>
                <c:ptCount val="5"/>
                <c:pt idx="0">
                  <c:v>0</c:v>
                </c:pt>
                <c:pt idx="1">
                  <c:v>0.52931605663716819</c:v>
                </c:pt>
                <c:pt idx="2">
                  <c:v>0.8245210392394976</c:v>
                </c:pt>
                <c:pt idx="3">
                  <c:v>1</c:v>
                </c:pt>
                <c:pt idx="4">
                  <c:v>0.54522990975504948</c:v>
                </c:pt>
              </c:numCache>
            </c:numRef>
          </c:val>
          <c:smooth val="0"/>
          <c:extLst>
            <c:ext xmlns:c16="http://schemas.microsoft.com/office/drawing/2014/chart" uri="{C3380CC4-5D6E-409C-BE32-E72D297353CC}">
              <c16:uniqueId val="{0000000C-2DF4-4038-887C-724FFE98D7D5}"/>
            </c:ext>
          </c:extLst>
        </c:ser>
        <c:dLbls>
          <c:showLegendKey val="0"/>
          <c:showVal val="0"/>
          <c:showCatName val="0"/>
          <c:showSerName val="0"/>
          <c:showPercent val="0"/>
          <c:showBubbleSize val="0"/>
        </c:dLbls>
        <c:marker val="1"/>
        <c:smooth val="0"/>
        <c:axId val="292013535"/>
        <c:axId val="292006047"/>
      </c:lineChart>
      <c:catAx>
        <c:axId val="14576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8895"/>
        <c:crosses val="autoZero"/>
        <c:auto val="1"/>
        <c:lblAlgn val="ctr"/>
        <c:lblOffset val="100"/>
        <c:noMultiLvlLbl val="0"/>
      </c:catAx>
      <c:valAx>
        <c:axId val="145768895"/>
        <c:scaling>
          <c:orientation val="minMax"/>
          <c:max val="3600"/>
          <c:min val="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6399"/>
        <c:crosses val="autoZero"/>
        <c:crossBetween val="between"/>
        <c:majorUnit val="500"/>
      </c:valAx>
      <c:valAx>
        <c:axId val="292006047"/>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013535"/>
        <c:crosses val="max"/>
        <c:crossBetween val="between"/>
      </c:valAx>
      <c:catAx>
        <c:axId val="292013535"/>
        <c:scaling>
          <c:orientation val="minMax"/>
        </c:scaling>
        <c:delete val="1"/>
        <c:axPos val="b"/>
        <c:numFmt formatCode="General" sourceLinked="1"/>
        <c:majorTickMark val="out"/>
        <c:minorTickMark val="none"/>
        <c:tickLblPos val="nextTo"/>
        <c:crossAx val="2920060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7137036002285"/>
          <c:y val="5.3870671987919318E-2"/>
          <c:w val="0.8618464690465466"/>
          <c:h val="0.74618056304605762"/>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Hoja1!$B$2:$B$7</c:f>
              <c:numCache>
                <c:formatCode>#,##0.0</c:formatCode>
                <c:ptCount val="6"/>
                <c:pt idx="0">
                  <c:v>7222.419933409763</c:v>
                </c:pt>
                <c:pt idx="1">
                  <c:v>11942.68400062123</c:v>
                </c:pt>
                <c:pt idx="2">
                  <c:v>18268.211190642516</c:v>
                </c:pt>
                <c:pt idx="3">
                  <c:v>26082.361439350985</c:v>
                </c:pt>
                <c:pt idx="4">
                  <c:v>31517.076443479687</c:v>
                </c:pt>
                <c:pt idx="5">
                  <c:v>36795.248627629029</c:v>
                </c:pt>
              </c:numCache>
            </c:numRef>
          </c:val>
          <c:extLst>
            <c:ext xmlns:c16="http://schemas.microsoft.com/office/drawing/2014/chart" uri="{C3380CC4-5D6E-409C-BE32-E72D297353CC}">
              <c16:uniqueId val="{00000000-6236-4A8E-B58D-74822FFC2C82}"/>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rgbClr val="FF0000"/>
              </a:solidFill>
              <a:round/>
            </a:ln>
            <a:effectLst/>
          </c:spPr>
          <c:marker>
            <c:symbol val="circle"/>
            <c:size val="5"/>
            <c:spPr>
              <a:solidFill>
                <a:schemeClr val="bg1"/>
              </a:solidFill>
              <a:ln w="9525">
                <a:solidFill>
                  <a:schemeClr val="accent2"/>
                </a:solidFill>
              </a:ln>
              <a:effectLst/>
            </c:spPr>
          </c:marker>
          <c:dLbls>
            <c:dLbl>
              <c:idx val="0"/>
              <c:layout>
                <c:manualLayout>
                  <c:x val="-0.13019665083501056"/>
                  <c:y val="-6.28271989644582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236-4A8E-B58D-74822FFC2C82}"/>
                </c:ext>
              </c:extLst>
            </c:dLbl>
            <c:dLbl>
              <c:idx val="1"/>
              <c:layout>
                <c:manualLayout>
                  <c:x val="-0.18729704406065825"/>
                  <c:y val="-6.28271989644581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36-4A8E-B58D-74822FFC2C82}"/>
                </c:ext>
              </c:extLst>
            </c:dLbl>
            <c:dLbl>
              <c:idx val="2"/>
              <c:layout>
                <c:manualLayout>
                  <c:x val="-0.18344195027757665"/>
                  <c:y val="-5.07775309425579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36-4A8E-B58D-74822FFC2C82}"/>
                </c:ext>
              </c:extLst>
            </c:dLbl>
            <c:dLbl>
              <c:idx val="3"/>
              <c:layout>
                <c:manualLayout>
                  <c:x val="-0.18826937002172348"/>
                  <c:y val="-3.8083148206918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236-4A8E-B58D-74822FFC2C82}"/>
                </c:ext>
              </c:extLst>
            </c:dLbl>
            <c:dLbl>
              <c:idx val="4"/>
              <c:layout>
                <c:manualLayout>
                  <c:x val="-0.18826937002172348"/>
                  <c:y val="-3.80831482069184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236-4A8E-B58D-74822FFC2C82}"/>
                </c:ext>
              </c:extLst>
            </c:dLbl>
            <c:dLbl>
              <c:idx val="5"/>
              <c:layout>
                <c:manualLayout>
                  <c:x val="-7.2411296162201308E-2"/>
                  <c:y val="-5.2284003883076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236-4A8E-B58D-74822FFC2C82}"/>
                </c:ext>
              </c:extLst>
            </c:dLbl>
            <c:numFmt formatCode="#,##0.0" sourceLinked="0"/>
            <c:spPr>
              <a:noFill/>
              <a:ln>
                <a:noFill/>
              </a:ln>
              <a:effectLst/>
            </c:spPr>
            <c:txPr>
              <a:bodyPr rot="0" spcFirstLastPara="1" vertOverflow="ellipsis" vert="horz" wrap="square" anchor="ctr" anchorCtr="1"/>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Hoja1!$C$2:$C$7</c:f>
              <c:numCache>
                <c:formatCode>#,##0.0</c:formatCode>
                <c:ptCount val="6"/>
                <c:pt idx="0">
                  <c:v>7765.8525129099999</c:v>
                </c:pt>
                <c:pt idx="1">
                  <c:v>12993.50783538</c:v>
                </c:pt>
                <c:pt idx="2">
                  <c:v>20643.011118679999</c:v>
                </c:pt>
                <c:pt idx="3">
                  <c:v>29882.035334389999</c:v>
                </c:pt>
                <c:pt idx="4">
                  <c:v>36082.664144839997</c:v>
                </c:pt>
                <c:pt idx="5">
                  <c:v>42287.042708140005</c:v>
                </c:pt>
              </c:numCache>
            </c:numRef>
          </c:val>
          <c:smooth val="0"/>
          <c:extLst>
            <c:ext xmlns:c16="http://schemas.microsoft.com/office/drawing/2014/chart" uri="{C3380CC4-5D6E-409C-BE32-E72D297353CC}">
              <c16:uniqueId val="{00000007-6236-4A8E-B58D-74822FFC2C82}"/>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22647934757612215"/>
          <c:y val="0.91951561434065421"/>
          <c:w val="0.48579778641386123"/>
          <c:h val="8.048449271559839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0-CE43-4C9D-B3FC-F8E4624F6875}"/>
                </c:ext>
              </c:extLst>
            </c:dLbl>
            <c:dLbl>
              <c:idx val="1"/>
              <c:layout>
                <c:manualLayout>
                  <c:x val="-0.20949515898067012"/>
                  <c:y val="4.8076778769397172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CE43-4C9D-B3FC-F8E4624F6875}"/>
                </c:ext>
              </c:extLst>
            </c:dLbl>
            <c:dLbl>
              <c:idx val="2"/>
              <c:layout>
                <c:manualLayout>
                  <c:x val="-0.22965081607924914"/>
                  <c:y val="9.5663986792975345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CE43-4C9D-B3FC-F8E4624F6875}"/>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CE43-4C9D-B3FC-F8E4624F6875}"/>
                </c:ext>
              </c:extLst>
            </c:dLbl>
            <c:dLbl>
              <c:idx val="4"/>
              <c:layout>
                <c:manualLayout>
                  <c:x val="-0.20087248500594454"/>
                  <c:y val="1.7495685204975405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E43-4C9D-B3FC-F8E4624F6875}"/>
                </c:ext>
              </c:extLst>
            </c:dLbl>
            <c:dLbl>
              <c:idx val="5"/>
              <c:layout>
                <c:manualLayout>
                  <c:x val="-9.1559647663434163E-2"/>
                  <c:y val="9.8586920801840283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CE43-4C9D-B3FC-F8E4624F687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2771.8100614699961</c:v>
                </c:pt>
                <c:pt idx="1">
                  <c:v>524.96691498999996</c:v>
                </c:pt>
                <c:pt idx="2">
                  <c:v>14.841068149999273</c:v>
                </c:pt>
                <c:pt idx="3">
                  <c:v>203.89317789000143</c:v>
                </c:pt>
                <c:pt idx="4">
                  <c:v>2339.4683973799965</c:v>
                </c:pt>
                <c:pt idx="5">
                  <c:v>412.77997376999883</c:v>
                </c:pt>
              </c:numCache>
            </c:numRef>
          </c:val>
          <c:smooth val="1"/>
          <c:extLst>
            <c:ext xmlns:c16="http://schemas.microsoft.com/office/drawing/2014/chart" uri="{C3380CC4-5D6E-409C-BE32-E72D297353CC}">
              <c16:uniqueId val="{00000006-CE43-4C9D-B3FC-F8E4624F6875}"/>
            </c:ext>
          </c:extLst>
        </c:ser>
        <c:ser>
          <c:idx val="1"/>
          <c:order val="1"/>
          <c:tx>
            <c:strRef>
              <c:f>Hoja1!$C$1</c:f>
              <c:strCache>
                <c:ptCount val="1"/>
                <c:pt idx="0">
                  <c:v>2022-Pres</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1.2610579972727722E-2"/>
                  <c:y val="-2.0008228514649604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CE43-4C9D-B3FC-F8E4624F6875}"/>
                </c:ext>
              </c:extLst>
            </c:dLbl>
            <c:dLbl>
              <c:idx val="1"/>
              <c:layout>
                <c:manualLayout>
                  <c:x val="-5.7654280190374177E-2"/>
                  <c:y val="-9.6211001886348166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8-CE43-4C9D-B3FC-F8E4624F6875}"/>
                </c:ext>
              </c:extLst>
            </c:dLbl>
            <c:dLbl>
              <c:idx val="2"/>
              <c:layout>
                <c:manualLayout>
                  <c:x val="-6.1096740620881149E-2"/>
                  <c:y val="-0.10732984699620401"/>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CE43-4C9D-B3FC-F8E4624F6875}"/>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A-CE43-4C9D-B3FC-F8E4624F6875}"/>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CE43-4C9D-B3FC-F8E4624F6875}"/>
                </c:ext>
              </c:extLst>
            </c:dLbl>
            <c:dLbl>
              <c:idx val="5"/>
              <c:layout>
                <c:manualLayout>
                  <c:x val="-1.5626483737289712E-3"/>
                  <c:y val="-0.27118493198537497"/>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C-CE43-4C9D-B3FC-F8E4624F687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3049.5275157500037</c:v>
                </c:pt>
                <c:pt idx="1">
                  <c:v>601.26716533097908</c:v>
                </c:pt>
                <c:pt idx="2">
                  <c:v>-8.5250850000027185</c:v>
                </c:pt>
                <c:pt idx="3">
                  <c:v>83.15034267999954</c:v>
                </c:pt>
                <c:pt idx="4">
                  <c:v>1432.030786699981</c:v>
                </c:pt>
                <c:pt idx="5">
                  <c:v>334.34335504999945</c:v>
                </c:pt>
              </c:numCache>
            </c:numRef>
          </c:val>
          <c:smooth val="1"/>
          <c:extLst>
            <c:ext xmlns:c16="http://schemas.microsoft.com/office/drawing/2014/chart" uri="{C3380CC4-5D6E-409C-BE32-E72D297353CC}">
              <c16:uniqueId val="{0000000D-CE43-4C9D-B3FC-F8E4624F6875}"/>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marzo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166-49CF-BF2F-9F4FC576FA74}"/>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166-49CF-BF2F-9F4FC576FA74}"/>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166-49CF-BF2F-9F4FC576FA74}"/>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166-49CF-BF2F-9F4FC576FA7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0166-49CF-BF2F-9F4FC576FA7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0166-49CF-BF2F-9F4FC576FA74}"/>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0166-49CF-BF2F-9F4FC576FA74}"/>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0166-49CF-BF2F-9F4FC576FA74}"/>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0166-49CF-BF2F-9F4FC576FA74}"/>
              </c:ext>
            </c:extLst>
          </c:dPt>
          <c:dLbls>
            <c:dLbl>
              <c:idx val="0"/>
              <c:layout>
                <c:manualLayout>
                  <c:x val="5.7447008779075028E-2"/>
                  <c:y val="-6.9416772341659536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166-49CF-BF2F-9F4FC576FA74}"/>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166-49CF-BF2F-9F4FC576FA74}"/>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166-49CF-BF2F-9F4FC576FA74}"/>
                </c:ext>
              </c:extLst>
            </c:dLbl>
            <c:dLbl>
              <c:idx val="3"/>
              <c:layout>
                <c:manualLayout>
                  <c:x val="0"/>
                  <c:y val="-6.993344933006974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166-49CF-BF2F-9F4FC576FA74}"/>
                </c:ext>
              </c:extLst>
            </c:dLbl>
            <c:dLbl>
              <c:idx val="4"/>
              <c:layout>
                <c:manualLayout>
                  <c:x val="0"/>
                  <c:y val="-0.17712111828718038"/>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0166-49CF-BF2F-9F4FC576FA74}"/>
                </c:ext>
              </c:extLst>
            </c:dLbl>
            <c:dLbl>
              <c:idx val="5"/>
              <c:layout>
                <c:manualLayout>
                  <c:x val="0.13141243551452619"/>
                  <c:y val="-0.23295211694043863"/>
                </c:manualLayout>
              </c:layout>
              <c:showLegendKey val="0"/>
              <c:showVal val="0"/>
              <c:showCatName val="1"/>
              <c:showSerName val="0"/>
              <c:showPercent val="1"/>
              <c:showBubbleSize val="0"/>
              <c:extLst>
                <c:ext xmlns:c15="http://schemas.microsoft.com/office/drawing/2012/chart" uri="{CE6537A1-D6FC-4f65-9D91-7224C49458BB}">
                  <c15:layout>
                    <c:manualLayout>
                      <c:w val="0.23337931034482759"/>
                      <c:h val="0.17578027465667914"/>
                    </c:manualLayout>
                  </c15:layout>
                </c:ext>
                <c:ext xmlns:c16="http://schemas.microsoft.com/office/drawing/2014/chart" uri="{C3380CC4-5D6E-409C-BE32-E72D297353CC}">
                  <c16:uniqueId val="{0000000B-0166-49CF-BF2F-9F4FC576FA74}"/>
                </c:ext>
              </c:extLst>
            </c:dLbl>
            <c:dLbl>
              <c:idx val="6"/>
              <c:layout>
                <c:manualLayout>
                  <c:x val="0.16841813738799888"/>
                  <c:y val="-0.12761135195179255"/>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0166-49CF-BF2F-9F4FC576FA74}"/>
                </c:ext>
              </c:extLst>
            </c:dLbl>
            <c:dLbl>
              <c:idx val="7"/>
              <c:layout>
                <c:manualLayout>
                  <c:x val="0.32497999818988144"/>
                  <c:y val="-0.17188278431488199"/>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0166-49CF-BF2F-9F4FC576FA74}"/>
                </c:ext>
              </c:extLst>
            </c:dLbl>
            <c:dLbl>
              <c:idx val="8"/>
              <c:layout>
                <c:manualLayout>
                  <c:x val="0.35691809213503495"/>
                  <c:y val="-3.20213905846038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0166-49CF-BF2F-9F4FC576FA7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1401.9223485799994</c:v>
                </c:pt>
                <c:pt idx="1">
                  <c:v>2125.0602200899993</c:v>
                </c:pt>
                <c:pt idx="2">
                  <c:v>1513.5003080199995</c:v>
                </c:pt>
                <c:pt idx="3">
                  <c:v>22.139047650000066</c:v>
                </c:pt>
                <c:pt idx="4">
                  <c:v>331.89216969000017</c:v>
                </c:pt>
                <c:pt idx="5">
                  <c:v>305.07719126999973</c:v>
                </c:pt>
                <c:pt idx="6">
                  <c:v>127.30877290000001</c:v>
                </c:pt>
                <c:pt idx="7">
                  <c:v>100.56161502999998</c:v>
                </c:pt>
                <c:pt idx="8">
                  <c:v>260.97328403999836</c:v>
                </c:pt>
              </c:numCache>
            </c:numRef>
          </c:val>
          <c:extLst>
            <c:ext xmlns:c16="http://schemas.microsoft.com/office/drawing/2014/chart" uri="{C3380CC4-5D6E-409C-BE32-E72D297353CC}">
              <c16:uniqueId val="{00000012-0166-49CF-BF2F-9F4FC576FA7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9.29054054054054E-2"/>
          <c:w val="0.84944393037344834"/>
          <c:h val="0.77690000532028092"/>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CED1-4D2F-A6D7-B1EA1360C1F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5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7765.8525129099999</c:v>
                </c:pt>
                <c:pt idx="1">
                  <c:v>5227.6553224700001</c:v>
                </c:pt>
                <c:pt idx="2">
                  <c:v>7649.5032832999987</c:v>
                </c:pt>
                <c:pt idx="3">
                  <c:v>9239.0242157100001</c:v>
                </c:pt>
                <c:pt idx="4">
                  <c:v>6200.6288104499999</c:v>
                </c:pt>
                <c:pt idx="5">
                  <c:v>6204.378563299997</c:v>
                </c:pt>
              </c:numCache>
            </c:numRef>
          </c:val>
          <c:extLst>
            <c:ext xmlns:c16="http://schemas.microsoft.com/office/drawing/2014/chart" uri="{C3380CC4-5D6E-409C-BE32-E72D297353CC}">
              <c16:uniqueId val="{00000001-CED1-4D2F-A6D7-B1EA1360C1FA}"/>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2-CED1-4D2F-A6D7-B1EA1360C1FA}"/>
                </c:ext>
              </c:extLst>
            </c:dLbl>
            <c:dLbl>
              <c:idx val="2"/>
              <c:delete val="1"/>
              <c:extLst>
                <c:ext xmlns:c15="http://schemas.microsoft.com/office/drawing/2012/chart" uri="{CE6537A1-D6FC-4f65-9D91-7224C49458BB}"/>
                <c:ext xmlns:c16="http://schemas.microsoft.com/office/drawing/2014/chart" uri="{C3380CC4-5D6E-409C-BE32-E72D297353CC}">
                  <c16:uniqueId val="{00000003-CED1-4D2F-A6D7-B1EA1360C1FA}"/>
                </c:ext>
              </c:extLst>
            </c:dLbl>
            <c:dLbl>
              <c:idx val="3"/>
              <c:delete val="1"/>
              <c:extLst>
                <c:ext xmlns:c15="http://schemas.microsoft.com/office/drawing/2012/chart" uri="{CE6537A1-D6FC-4f65-9D91-7224C49458BB}"/>
                <c:ext xmlns:c16="http://schemas.microsoft.com/office/drawing/2014/chart" uri="{C3380CC4-5D6E-409C-BE32-E72D297353CC}">
                  <c16:uniqueId val="{00000004-CED1-4D2F-A6D7-B1EA1360C1FA}"/>
                </c:ext>
              </c:extLst>
            </c:dLbl>
            <c:dLbl>
              <c:idx val="4"/>
              <c:delete val="1"/>
              <c:extLst>
                <c:ext xmlns:c15="http://schemas.microsoft.com/office/drawing/2012/chart" uri="{CE6537A1-D6FC-4f65-9D91-7224C49458BB}"/>
                <c:ext xmlns:c16="http://schemas.microsoft.com/office/drawing/2014/chart" uri="{C3380CC4-5D6E-409C-BE32-E72D297353CC}">
                  <c16:uniqueId val="{00000005-CED1-4D2F-A6D7-B1EA1360C1FA}"/>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ED1-4D2F-A6D7-B1EA1360C1FA}"/>
                </c:ext>
              </c:extLst>
            </c:dLbl>
            <c:dLbl>
              <c:idx val="6"/>
              <c:layout>
                <c:manualLayout>
                  <c:x val="-8.3702609551944945E-2"/>
                  <c:y val="-6.10790634543603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ED1-4D2F-A6D7-B1EA1360C1FA}"/>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ED1-4D2F-A6D7-B1EA1360C1FA}"/>
                </c:ext>
              </c:extLst>
            </c:dLbl>
            <c:dLbl>
              <c:idx val="8"/>
              <c:layout>
                <c:manualLayout>
                  <c:x val="-8.8651880110259568E-2"/>
                  <c:y val="8.11405700178213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ED1-4D2F-A6D7-B1EA1360C1FA}"/>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ED1-4D2F-A6D7-B1EA1360C1FA}"/>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ED1-4D2F-A6D7-B1EA1360C1FA}"/>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ED1-4D2F-A6D7-B1EA1360C1F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5">
                  <c:v>6204.378563299997</c:v>
                </c:pt>
                <c:pt idx="6">
                  <c:v>8277.4103988824863</c:v>
                </c:pt>
                <c:pt idx="7">
                  <c:v>5148.8536301941394</c:v>
                </c:pt>
                <c:pt idx="8">
                  <c:v>4902.1436687911209</c:v>
                </c:pt>
                <c:pt idx="9">
                  <c:v>8381.4449052638374</c:v>
                </c:pt>
                <c:pt idx="10">
                  <c:v>5500.6069940438565</c:v>
                </c:pt>
                <c:pt idx="11">
                  <c:v>5672.5191807757938</c:v>
                </c:pt>
              </c:numCache>
            </c:numRef>
          </c:val>
          <c:smooth val="1"/>
          <c:extLst>
            <c:ext xmlns:c16="http://schemas.microsoft.com/office/drawing/2014/chart" uri="{C3380CC4-5D6E-409C-BE32-E72D297353CC}">
              <c16:uniqueId val="{0000000D-CED1-4D2F-A6D7-B1EA1360C1FA}"/>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59120488708799779"/>
          <c:y val="0.74998384243009864"/>
          <c:w val="0.4087951129120021"/>
          <c:h val="0.1155192594168972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062772325873062"/>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C03-4AA0-A224-6B77B5C3DDCF}"/>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C03-4AA0-A224-6B77B5C3DDCF}"/>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C03-4AA0-A224-6B77B5C3DDCF}"/>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C03-4AA0-A224-6B77B5C3DDCF}"/>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C03-4AA0-A224-6B77B5C3DDCF}"/>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C03-4AA0-A224-6B77B5C3DDCF}"/>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03-4AA0-A224-6B77B5C3DDCF}"/>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03-4AA0-A224-6B77B5C3DDCF}"/>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03-4AA0-A224-6B77B5C3DDCF}"/>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03-4AA0-A224-6B77B5C3DDCF}"/>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03-4AA0-A224-6B77B5C3DDCF}"/>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pt idx="2">
                  <c:v>19.685141533238919</c:v>
                </c:pt>
                <c:pt idx="3">
                  <c:v>12.472865890464078</c:v>
                </c:pt>
                <c:pt idx="4">
                  <c:v>14.566464186412389</c:v>
                </c:pt>
                <c:pt idx="5">
                  <c:v>15.508254865892113</c:v>
                </c:pt>
              </c:numCache>
            </c:numRef>
          </c:val>
          <c:extLst>
            <c:ext xmlns:c16="http://schemas.microsoft.com/office/drawing/2014/chart" uri="{C3380CC4-5D6E-409C-BE32-E72D297353CC}">
              <c16:uniqueId val="{0000000B-FC03-4AA0-A224-6B77B5C3DDCF}"/>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6.1729026855394921E-2"/>
                  <c:y val="-7.32016722665367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C03-4AA0-A224-6B77B5C3DDCF}"/>
                </c:ext>
              </c:extLst>
            </c:dLbl>
            <c:dLbl>
              <c:idx val="3"/>
              <c:layout>
                <c:manualLayout>
                  <c:x val="-6.4623532102800293E-2"/>
                  <c:y val="-6.2051860781246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C03-4AA0-A224-6B77B5C3DDCF}"/>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C03-4AA0-A224-6B77B5C3DDCF}"/>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C03-4AA0-A224-6B77B5C3DDCF}"/>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C03-4AA0-A224-6B77B5C3DDCF}"/>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C03-4AA0-A224-6B77B5C3DDC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2-FC03-4AA0-A224-6B77B5C3DDCF}"/>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4"/>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1369901633537494"/>
          <c:y val="0.14206788228015424"/>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5668859293822837"/>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1"/>
              <c:layout>
                <c:manualLayout>
                  <c:x val="-1.4067995310668316E-2"/>
                  <c:y val="-4.047046699238143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F52-4D5C-A37E-F5E6BD0C731D}"/>
                </c:ext>
              </c:extLst>
            </c:dLbl>
            <c:dLbl>
              <c:idx val="2"/>
              <c:layout>
                <c:manualLayout>
                  <c:x val="-3.9985742522924955E-3"/>
                  <c:y val="3.17949281553673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F52-4D5C-A37E-F5E6BD0C731D}"/>
                </c:ext>
              </c:extLst>
            </c:dLbl>
            <c:dLbl>
              <c:idx val="3"/>
              <c:layout>
                <c:manualLayout>
                  <c:x val="-3.7146354029999151E-3"/>
                  <c:y val="7.5023774202137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F52-4D5C-A37E-F5E6BD0C731D}"/>
                </c:ext>
              </c:extLst>
            </c:dLbl>
            <c:dLbl>
              <c:idx val="4"/>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F52-4D5C-A37E-F5E6BD0C731D}"/>
                </c:ext>
              </c:extLst>
            </c:dLbl>
            <c:dLbl>
              <c:idx val="5"/>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F52-4D5C-A37E-F5E6BD0C731D}"/>
                </c:ext>
              </c:extLst>
            </c:dLbl>
            <c:dLbl>
              <c:idx val="6"/>
              <c:layout>
                <c:manualLayout>
                  <c:x val="9.0199860012540169E-17"/>
                  <c:y val="1.08666123336049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F52-4D5C-A37E-F5E6BD0C731D}"/>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52-4D5C-A37E-F5E6BD0C731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Bienes y servicios </c:v>
                </c:pt>
                <c:pt idx="2">
                  <c:v>Intereses </c:v>
                </c:pt>
                <c:pt idx="3">
                  <c:v>Inversión Real Directa</c:v>
                </c:pt>
                <c:pt idx="4">
                  <c:v>Remuneraciones </c:v>
                </c:pt>
                <c:pt idx="5">
                  <c:v>Trans. De Capital</c:v>
                </c:pt>
                <c:pt idx="6">
                  <c:v>Trans. Corrientes</c:v>
                </c:pt>
              </c:strCache>
            </c:strRef>
          </c:cat>
          <c:val>
            <c:numRef>
              <c:f>Sheet1!$B$2:$B$8</c:f>
              <c:numCache>
                <c:formatCode>#,##0.0</c:formatCode>
                <c:ptCount val="7"/>
                <c:pt idx="0">
                  <c:v>84.189032709999992</c:v>
                </c:pt>
                <c:pt idx="1">
                  <c:v>2118.6106271399985</c:v>
                </c:pt>
                <c:pt idx="2">
                  <c:v>755.01611075000073</c:v>
                </c:pt>
                <c:pt idx="3">
                  <c:v>83.036969320000026</c:v>
                </c:pt>
                <c:pt idx="4">
                  <c:v>532.52413086999695</c:v>
                </c:pt>
                <c:pt idx="5">
                  <c:v>264.44268970999929</c:v>
                </c:pt>
                <c:pt idx="6">
                  <c:v>-2269.7991439499992</c:v>
                </c:pt>
              </c:numCache>
            </c:numRef>
          </c:val>
          <c:extLst>
            <c:ext xmlns:c16="http://schemas.microsoft.com/office/drawing/2014/chart" uri="{C3380CC4-5D6E-409C-BE32-E72D297353CC}">
              <c16:uniqueId val="{00000007-7F52-4D5C-A37E-F5E6BD0C731D}"/>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F52-4D5C-A37E-F5E6BD0C731D}"/>
                </c:ext>
              </c:extLst>
            </c:dLbl>
            <c:dLbl>
              <c:idx val="3"/>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F52-4D5C-A37E-F5E6BD0C731D}"/>
                </c:ext>
              </c:extLst>
            </c:dLbl>
            <c:dLbl>
              <c:idx val="4"/>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F52-4D5C-A37E-F5E6BD0C731D}"/>
                </c:ext>
              </c:extLst>
            </c:dLbl>
            <c:dLbl>
              <c:idx val="5"/>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F52-4D5C-A37E-F5E6BD0C731D}"/>
                </c:ext>
              </c:extLst>
            </c:dLbl>
            <c:dLbl>
              <c:idx val="6"/>
              <c:layout>
                <c:manualLayout>
                  <c:x val="-1.6765543253359661E-16"/>
                  <c:y val="-5.5518724274729054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F52-4D5C-A37E-F5E6BD0C731D}"/>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52-4D5C-A37E-F5E6BD0C731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Bienes y servicios </c:v>
                </c:pt>
                <c:pt idx="2">
                  <c:v>Intereses </c:v>
                </c:pt>
                <c:pt idx="3">
                  <c:v>Inversión Real Directa</c:v>
                </c:pt>
                <c:pt idx="4">
                  <c:v>Remuneraciones </c:v>
                </c:pt>
                <c:pt idx="5">
                  <c:v>Trans. De Capital</c:v>
                </c:pt>
                <c:pt idx="6">
                  <c:v>Trans. Corrientes</c:v>
                </c:pt>
              </c:strCache>
            </c:strRef>
          </c:cat>
          <c:val>
            <c:numRef>
              <c:f>Sheet1!$C$2:$C$8</c:f>
              <c:numCache>
                <c:formatCode>#,##0.0</c:formatCode>
                <c:ptCount val="7"/>
                <c:pt idx="0">
                  <c:v>95.37083094000036</c:v>
                </c:pt>
                <c:pt idx="1">
                  <c:v>257.92954898000153</c:v>
                </c:pt>
                <c:pt idx="2">
                  <c:v>303.49999330999981</c:v>
                </c:pt>
                <c:pt idx="3">
                  <c:v>318.54907362000017</c:v>
                </c:pt>
                <c:pt idx="4">
                  <c:v>669.96359711000332</c:v>
                </c:pt>
                <c:pt idx="5">
                  <c:v>1049.75234542</c:v>
                </c:pt>
                <c:pt idx="6">
                  <c:v>3442.8700973000005</c:v>
                </c:pt>
              </c:numCache>
            </c:numRef>
          </c:val>
          <c:extLst>
            <c:ext xmlns:c16="http://schemas.microsoft.com/office/drawing/2014/chart" uri="{C3380CC4-5D6E-409C-BE32-E72D297353CC}">
              <c16:uniqueId val="{0000000E-7F52-4D5C-A37E-F5E6BD0C731D}"/>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3700"/>
          <c:min val="-2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78372019341203747"/>
          <c:y val="0.29746017790099516"/>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146213430638255E-2"/>
          <c:y val="4.5483174019693165E-2"/>
          <c:w val="0.87037698121307294"/>
          <c:h val="0.75423602553659574"/>
        </c:manualLayout>
      </c:layout>
      <c:barChart>
        <c:barDir val="col"/>
        <c:grouping val="clustered"/>
        <c:varyColors val="0"/>
        <c:ser>
          <c:idx val="1"/>
          <c:order val="1"/>
          <c:tx>
            <c:strRef>
              <c:f>Sheet1!$C$1</c:f>
              <c:strCache>
                <c:ptCount val="1"/>
                <c:pt idx="0">
                  <c:v>2022</c:v>
                </c:pt>
              </c:strCache>
            </c:strRef>
          </c:tx>
          <c:spPr>
            <a:solidFill>
              <a:srgbClr val="31859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31859C"/>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9.0397193863427816</c:v>
                </c:pt>
                <c:pt idx="1">
                  <c:v>15.744528364482392</c:v>
                </c:pt>
                <c:pt idx="2">
                  <c:v>18.138352996504921</c:v>
                </c:pt>
                <c:pt idx="3">
                  <c:v>14.951290811092406</c:v>
                </c:pt>
                <c:pt idx="4">
                  <c:v>16.626980580658056</c:v>
                </c:pt>
                <c:pt idx="5">
                  <c:v>17.353788259949596</c:v>
                </c:pt>
              </c:numCache>
            </c:numRef>
          </c:val>
          <c:extLst>
            <c:ext xmlns:c16="http://schemas.microsoft.com/office/drawing/2014/chart" uri="{C3380CC4-5D6E-409C-BE32-E72D297353CC}">
              <c16:uniqueId val="{00000000-B3EB-4A61-B312-31C1BFCE9550}"/>
            </c:ext>
          </c:extLst>
        </c:ser>
        <c:dLbls>
          <c:showLegendKey val="0"/>
          <c:showVal val="0"/>
          <c:showCatName val="0"/>
          <c:showSerName val="0"/>
          <c:showPercent val="0"/>
          <c:showBubbleSize val="0"/>
        </c:dLbls>
        <c:gapWidth val="37"/>
        <c:axId val="386382944"/>
        <c:axId val="386383928"/>
      </c:barChart>
      <c:lineChart>
        <c:grouping val="standard"/>
        <c:varyColors val="0"/>
        <c:ser>
          <c:idx val="0"/>
          <c:order val="0"/>
          <c:tx>
            <c:strRef>
              <c:f>Sheet1!$B$1</c:f>
              <c:strCache>
                <c:ptCount val="1"/>
                <c:pt idx="0">
                  <c:v>2021</c:v>
                </c:pt>
              </c:strCache>
            </c:strRef>
          </c:tx>
          <c:spPr>
            <a:ln w="22225" cap="rnd">
              <a:solidFill>
                <a:schemeClr val="accent4">
                  <a:lumMod val="50000"/>
                </a:schemeClr>
              </a:solidFill>
              <a:prstDash val="sysDash"/>
              <a:round/>
            </a:ln>
            <a:effectLst/>
          </c:spPr>
          <c:marker>
            <c:symbol val="triangle"/>
            <c:size val="5"/>
            <c:spPr>
              <a:solidFill>
                <a:srgbClr val="FFC000"/>
              </a:solidFill>
              <a:ln w="9525">
                <a:solidFill>
                  <a:schemeClr val="accent4">
                    <a:lumMod val="50000"/>
                  </a:schemeClr>
                </a:solid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1-B3EB-4A61-B312-31C1BFCE9550}"/>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2-B3EB-4A61-B312-31C1BFCE9550}"/>
                </c:ext>
              </c:extLst>
            </c:dLbl>
            <c:dLbl>
              <c:idx val="2"/>
              <c:layout>
                <c:manualLayout>
                  <c:x val="-6.4562410329985692E-2"/>
                  <c:y val="-0.1096374889478337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3EB-4A61-B312-31C1BFCE9550}"/>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4-B3EB-4A61-B312-31C1BFCE9550}"/>
                </c:ext>
              </c:extLst>
            </c:dLbl>
            <c:dLbl>
              <c:idx val="4"/>
              <c:layout>
                <c:manualLayout>
                  <c:x val="-6.4562410329985651E-2"/>
                  <c:y val="-5.658709106984968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3EB-4A61-B312-31C1BFCE9550}"/>
                </c:ext>
              </c:extLst>
            </c:dLbl>
            <c:dLbl>
              <c:idx val="5"/>
              <c:layout>
                <c:manualLayout>
                  <c:x val="-6.4562410329985651E-2"/>
                  <c:y val="5.54081933392278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3EB-4A61-B312-31C1BFCE9550}"/>
                </c:ext>
              </c:extLst>
            </c:dLbl>
            <c:dLbl>
              <c:idx val="8"/>
              <c:layout>
                <c:manualLayout>
                  <c:x val="-5.499760879961741E-2"/>
                  <c:y val="-5.06926024167403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3EB-4A61-B312-31C1BFCE9550}"/>
                </c:ext>
              </c:extLst>
            </c:dLbl>
            <c:dLbl>
              <c:idx val="9"/>
              <c:layout>
                <c:manualLayout>
                  <c:x val="-5.9780009564801527E-2"/>
                  <c:y val="5.54081933392278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3EB-4A61-B312-31C1BFCE9550}"/>
                </c:ext>
              </c:extLst>
            </c:dLbl>
            <c:dLbl>
              <c:idx val="10"/>
              <c:layout>
                <c:manualLayout>
                  <c:x val="-3.5868005738880916E-2"/>
                  <c:y val="-6.24815797229590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3EB-4A61-B312-31C1BFCE9550}"/>
                </c:ext>
              </c:extLst>
            </c:dLbl>
            <c:dLbl>
              <c:idx val="11"/>
              <c:layout>
                <c:manualLayout>
                  <c:x val="-2.191845818411884E-2"/>
                  <c:y val="5.54081933392278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3EB-4A61-B312-31C1BFCE955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pt idx="10">
                  <c:v>9.8016820115595777</c:v>
                </c:pt>
                <c:pt idx="11">
                  <c:v>8.547459675941866</c:v>
                </c:pt>
              </c:numCache>
            </c:numRef>
          </c:val>
          <c:smooth val="0"/>
          <c:extLst>
            <c:ext xmlns:c16="http://schemas.microsoft.com/office/drawing/2014/chart" uri="{C3380CC4-5D6E-409C-BE32-E72D297353CC}">
              <c16:uniqueId val="{0000000B-B3EB-4A61-B312-31C1BFCE9550}"/>
            </c:ext>
          </c:extLst>
        </c:ser>
        <c:dLbls>
          <c:showLegendKey val="0"/>
          <c:showVal val="0"/>
          <c:showCatName val="0"/>
          <c:showSerName val="0"/>
          <c:showPercent val="0"/>
          <c:showBubbleSize val="0"/>
        </c:dLbls>
        <c:marker val="1"/>
        <c:smooth val="0"/>
        <c:axId val="386382944"/>
        <c:axId val="386383928"/>
      </c:lineChart>
      <c:catAx>
        <c:axId val="3863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3928"/>
        <c:crosses val="autoZero"/>
        <c:auto val="1"/>
        <c:lblAlgn val="ctr"/>
        <c:lblOffset val="100"/>
        <c:noMultiLvlLbl val="0"/>
      </c:catAx>
      <c:valAx>
        <c:axId val="3863839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2944"/>
        <c:crosses val="autoZero"/>
        <c:crossBetween val="between"/>
      </c:valAx>
      <c:spPr>
        <a:noFill/>
        <a:ln>
          <a:noFill/>
        </a:ln>
        <a:effectLst/>
      </c:spPr>
    </c:plotArea>
    <c:legend>
      <c:legendPos val="b"/>
      <c:layout>
        <c:manualLayout>
          <c:xMode val="edge"/>
          <c:yMode val="edge"/>
          <c:x val="0.5175349391289189"/>
          <c:y val="0.12039126552479908"/>
          <c:w val="0.43477859743859132"/>
          <c:h val="0.13477957165168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6FFF-41EB-9D0E-9716DDFB84DE}"/>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6FFF-41EB-9D0E-9716DDFB84DE}"/>
              </c:ext>
            </c:extLst>
          </c:dPt>
          <c:dLbls>
            <c:dLbl>
              <c:idx val="0"/>
              <c:layout>
                <c:manualLayout>
                  <c:x val="0"/>
                  <c:y val="1.75089534421010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FFF-41EB-9D0E-9716DDFB84DE}"/>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FFF-41EB-9D0E-9716DDFB84DE}"/>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FFF-41EB-9D0E-9716DDFB84DE}"/>
                </c:ext>
              </c:extLst>
            </c:dLbl>
            <c:dLbl>
              <c:idx val="3"/>
              <c:layout>
                <c:manualLayout>
                  <c:x val="4.6007900889521915E-3"/>
                  <c:y val="4.692837176894537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FFF-41EB-9D0E-9716DDFB84DE}"/>
                </c:ext>
              </c:extLst>
            </c:dLbl>
            <c:dLbl>
              <c:idx val="4"/>
              <c:layout>
                <c:manualLayout>
                  <c:x val="9.0578663772474256E-17"/>
                  <c:y val="-9.051514800204291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FFF-41EB-9D0E-9716DDFB84DE}"/>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FFF-41EB-9D0E-9716DDFB84DE}"/>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6FFF-41EB-9D0E-9716DDFB84D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39.600445723889734</c:v>
                </c:pt>
                <c:pt idx="1">
                  <c:v>42.079032637881717</c:v>
                </c:pt>
                <c:pt idx="2">
                  <c:v>42.937539584606547</c:v>
                </c:pt>
                <c:pt idx="3">
                  <c:v>38.322154863107819</c:v>
                </c:pt>
                <c:pt idx="4">
                  <c:v>38.511874745748429</c:v>
                </c:pt>
                <c:pt idx="5">
                  <c:v>42.328003937974145</c:v>
                </c:pt>
              </c:numCache>
            </c:numRef>
          </c:val>
          <c:extLst>
            <c:ext xmlns:c16="http://schemas.microsoft.com/office/drawing/2014/chart" uri="{C3380CC4-5D6E-409C-BE32-E72D297353CC}">
              <c16:uniqueId val="{00000009-6FFF-41EB-9D0E-9716DDFB84DE}"/>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2.5370164327285085E-2"/>
                  <c:y val="-9.59122327798297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6FFF-41EB-9D0E-9716DDFB84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40.290209511046854</c:v>
                </c:pt>
                <c:pt idx="1">
                  <c:v>40.290209511046854</c:v>
                </c:pt>
                <c:pt idx="2">
                  <c:v>40.290209511046854</c:v>
                </c:pt>
                <c:pt idx="3">
                  <c:v>40.290209511046854</c:v>
                </c:pt>
                <c:pt idx="4">
                  <c:v>40.290209511046854</c:v>
                </c:pt>
              </c:numCache>
            </c:numRef>
          </c:val>
          <c:smooth val="0"/>
          <c:extLst>
            <c:ext xmlns:c16="http://schemas.microsoft.com/office/drawing/2014/chart" uri="{C3380CC4-5D6E-409C-BE32-E72D297353CC}">
              <c16:uniqueId val="{0000000B-6FFF-41EB-9D0E-9716DDFB84DE}"/>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44"/>
          <c:min val="3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9CFFC-5A9C-4390-B320-998DF45D5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6718</Words>
  <Characters>36951</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René Augusto Castro González</cp:lastModifiedBy>
  <cp:revision>2</cp:revision>
  <cp:lastPrinted>2022-07-08T22:37:00Z</cp:lastPrinted>
  <dcterms:created xsi:type="dcterms:W3CDTF">2022-07-20T20:51:00Z</dcterms:created>
  <dcterms:modified xsi:type="dcterms:W3CDTF">2022-07-20T20:51:00Z</dcterms:modified>
</cp:coreProperties>
</file>