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charts/chart8.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charts/chart9.xml" ContentType="application/vnd.openxmlformats-officedocument.drawingml.chart+xml"/>
  <Override PartName="/word/theme/themeOverride2.xml" ContentType="application/vnd.openxmlformats-officedocument.themeOverrid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651" w:rsidRPr="004A5011" w:rsidRDefault="00413452" w:rsidP="00474998">
      <w:pPr>
        <w:pBdr>
          <w:top w:val="single" w:sz="4" w:space="1" w:color="auto"/>
          <w:left w:val="single" w:sz="4" w:space="1" w:color="auto"/>
          <w:bottom w:val="single" w:sz="4" w:space="1" w:color="auto"/>
          <w:right w:val="single" w:sz="4" w:space="4" w:color="auto"/>
        </w:pBdr>
        <w:shd w:val="clear" w:color="auto" w:fill="B8CCE4" w:themeFill="accent1" w:themeFillTint="66"/>
        <w:spacing w:after="0" w:line="240" w:lineRule="auto"/>
        <w:ind w:left="284" w:right="332"/>
        <w:jc w:val="center"/>
        <w:rPr>
          <w:rFonts w:ascii="Times New Roman" w:hAnsi="Times New Roman" w:cs="Times New Roman"/>
          <w:b/>
          <w:lang w:val="es-MX"/>
        </w:rPr>
        <w:sectPr w:rsidR="007D4651" w:rsidRPr="004A5011" w:rsidSect="00754057">
          <w:headerReference w:type="default" r:id="rId8"/>
          <w:footerReference w:type="default" r:id="rId9"/>
          <w:pgSz w:w="12240" w:h="15840" w:code="1"/>
          <w:pgMar w:top="1418" w:right="1418" w:bottom="1418" w:left="1418" w:header="709" w:footer="709" w:gutter="0"/>
          <w:cols w:space="708"/>
          <w:docGrid w:linePitch="360"/>
        </w:sectPr>
      </w:pPr>
      <w:r w:rsidRPr="004A5011">
        <w:rPr>
          <w:rFonts w:ascii="Times New Roman" w:hAnsi="Times New Roman" w:cs="Times New Roman"/>
          <w:b/>
          <w:lang w:val="es-MX"/>
        </w:rPr>
        <w:t>Déficit fiscal a jul</w:t>
      </w:r>
      <w:r w:rsidR="002C4CB2" w:rsidRPr="004A5011">
        <w:rPr>
          <w:rFonts w:ascii="Times New Roman" w:hAnsi="Times New Roman" w:cs="Times New Roman"/>
          <w:b/>
          <w:lang w:val="es-MX"/>
        </w:rPr>
        <w:t xml:space="preserve">io se </w:t>
      </w:r>
      <w:r w:rsidRPr="004A5011">
        <w:rPr>
          <w:rFonts w:ascii="Times New Roman" w:hAnsi="Times New Roman" w:cs="Times New Roman"/>
          <w:b/>
          <w:lang w:val="es-MX"/>
        </w:rPr>
        <w:t>mantiene en un nivel</w:t>
      </w:r>
      <w:r w:rsidR="002C4CB2" w:rsidRPr="004A5011">
        <w:rPr>
          <w:rFonts w:ascii="Times New Roman" w:hAnsi="Times New Roman" w:cs="Times New Roman"/>
          <w:b/>
          <w:lang w:val="es-MX"/>
        </w:rPr>
        <w:t xml:space="preserve"> moderado</w:t>
      </w:r>
    </w:p>
    <w:p w:rsidR="007D4651" w:rsidRPr="0015544F" w:rsidRDefault="007D4651" w:rsidP="007D4651">
      <w:pPr>
        <w:pStyle w:val="Sinespaciado"/>
        <w:rPr>
          <w:rFonts w:ascii="Times New Roman" w:hAnsi="Times New Roman" w:cs="Times New Roman"/>
          <w:b/>
          <w:color w:val="FF0000"/>
          <w:sz w:val="6"/>
          <w:lang w:val="es-MX"/>
        </w:rPr>
      </w:pPr>
    </w:p>
    <w:p w:rsidR="007D4651" w:rsidRPr="0015544F" w:rsidRDefault="007D4651" w:rsidP="007D4651">
      <w:pPr>
        <w:pStyle w:val="Sinespaciado"/>
        <w:jc w:val="center"/>
        <w:rPr>
          <w:rFonts w:ascii="Times New Roman" w:hAnsi="Times New Roman" w:cs="Times New Roman"/>
          <w:b/>
          <w:color w:val="FF0000"/>
          <w:sz w:val="12"/>
          <w:lang w:val="es-MX"/>
        </w:rPr>
      </w:pPr>
    </w:p>
    <w:p w:rsidR="009C4027" w:rsidRPr="0015544F" w:rsidRDefault="009C4027" w:rsidP="007D4651">
      <w:pPr>
        <w:pStyle w:val="Sinespaciado"/>
        <w:jc w:val="center"/>
        <w:rPr>
          <w:rFonts w:ascii="Times New Roman" w:hAnsi="Times New Roman" w:cs="Times New Roman"/>
          <w:b/>
          <w:color w:val="FF0000"/>
          <w:lang w:val="es-MX"/>
        </w:rPr>
        <w:sectPr w:rsidR="009C4027" w:rsidRPr="0015544F" w:rsidSect="004E358C">
          <w:type w:val="continuous"/>
          <w:pgSz w:w="12240" w:h="15840"/>
          <w:pgMar w:top="1417" w:right="1701" w:bottom="1417" w:left="1701" w:header="708" w:footer="708" w:gutter="0"/>
          <w:cols w:space="708"/>
          <w:docGrid w:linePitch="360"/>
        </w:sectPr>
      </w:pPr>
    </w:p>
    <w:p w:rsidR="002A1EA0" w:rsidRPr="00C77E67" w:rsidRDefault="002A1EA0" w:rsidP="002A1EA0">
      <w:pPr>
        <w:pStyle w:val="Sinespaciado"/>
        <w:ind w:left="284"/>
        <w:jc w:val="both"/>
        <w:rPr>
          <w:rFonts w:ascii="Times New Roman" w:hAnsi="Times New Roman" w:cs="Times New Roman"/>
          <w:lang w:val="es-MX"/>
        </w:rPr>
      </w:pPr>
      <w:r w:rsidRPr="00C77E67">
        <w:rPr>
          <w:rFonts w:ascii="Times New Roman" w:hAnsi="Times New Roman" w:cs="Times New Roman"/>
          <w:lang w:val="es-MX"/>
        </w:rPr>
        <w:lastRenderedPageBreak/>
        <w:t>El resultado presupuestario del gobierno central muestra un d</w:t>
      </w:r>
      <w:r>
        <w:rPr>
          <w:rFonts w:ascii="Times New Roman" w:hAnsi="Times New Roman" w:cs="Times New Roman"/>
          <w:lang w:val="es-MX"/>
        </w:rPr>
        <w:t>éficit fiscal que se sitúa al 31 de jul</w:t>
      </w:r>
      <w:r w:rsidRPr="00C77E67">
        <w:rPr>
          <w:rFonts w:ascii="Times New Roman" w:hAnsi="Times New Roman" w:cs="Times New Roman"/>
          <w:lang w:val="es-MX"/>
        </w:rPr>
        <w:t>io de 2021 en Q</w:t>
      </w:r>
      <w:r>
        <w:rPr>
          <w:rFonts w:ascii="Times New Roman" w:hAnsi="Times New Roman" w:cs="Times New Roman"/>
          <w:lang w:val="es-MX"/>
        </w:rPr>
        <w:t xml:space="preserve"> 1,309.2</w:t>
      </w:r>
      <w:r w:rsidRPr="00C77E67">
        <w:rPr>
          <w:rFonts w:ascii="Times New Roman" w:hAnsi="Times New Roman" w:cs="Times New Roman"/>
          <w:lang w:val="es-MX"/>
        </w:rPr>
        <w:t xml:space="preserve"> millones. En los años anteriores (2018-2020) a ju</w:t>
      </w:r>
      <w:r>
        <w:rPr>
          <w:rFonts w:ascii="Times New Roman" w:hAnsi="Times New Roman" w:cs="Times New Roman"/>
          <w:lang w:val="es-MX"/>
        </w:rPr>
        <w:t>l</w:t>
      </w:r>
      <w:r w:rsidRPr="00C77E67">
        <w:rPr>
          <w:rFonts w:ascii="Times New Roman" w:hAnsi="Times New Roman" w:cs="Times New Roman"/>
          <w:lang w:val="es-MX"/>
        </w:rPr>
        <w:t>io también se reportaba déficit fiscal, resalta en particular el amplio déficit observado en 2020,</w:t>
      </w:r>
      <w:r>
        <w:rPr>
          <w:rFonts w:ascii="Times New Roman" w:hAnsi="Times New Roman" w:cs="Times New Roman"/>
          <w:lang w:val="es-MX"/>
        </w:rPr>
        <w:t xml:space="preserve"> el cual responde a la ejecución acelerada que se estaba dando por </w:t>
      </w:r>
      <w:r w:rsidRPr="00C77E67">
        <w:rPr>
          <w:rFonts w:ascii="Times New Roman" w:hAnsi="Times New Roman" w:cs="Times New Roman"/>
          <w:lang w:val="es-MX"/>
        </w:rPr>
        <w:t>los programas de emergencia derivados del COVID-19</w:t>
      </w:r>
      <w:r>
        <w:rPr>
          <w:rFonts w:ascii="Times New Roman" w:hAnsi="Times New Roman" w:cs="Times New Roman"/>
          <w:lang w:val="es-MX"/>
        </w:rPr>
        <w:t xml:space="preserve"> que hasta esa fecha alcanzaban un nivel de Q4,935.3 millones</w:t>
      </w:r>
      <w:r w:rsidRPr="00C77E67">
        <w:rPr>
          <w:rFonts w:ascii="Times New Roman" w:hAnsi="Times New Roman" w:cs="Times New Roman"/>
          <w:lang w:val="es-MX"/>
        </w:rPr>
        <w:t>.</w:t>
      </w:r>
    </w:p>
    <w:p w:rsidR="002A1EA0" w:rsidRDefault="002A1EA0" w:rsidP="002A1EA0">
      <w:pPr>
        <w:pStyle w:val="Sinespaciado"/>
        <w:ind w:left="284"/>
        <w:jc w:val="both"/>
        <w:rPr>
          <w:rFonts w:ascii="Times New Roman" w:hAnsi="Times New Roman" w:cs="Times New Roman"/>
          <w:lang w:val="es-MX"/>
        </w:rPr>
      </w:pPr>
    </w:p>
    <w:p w:rsidR="002A1EA0" w:rsidRPr="00C77E67" w:rsidRDefault="002A1EA0" w:rsidP="002A1EA0">
      <w:pPr>
        <w:pStyle w:val="Sinespaciado"/>
        <w:ind w:left="284"/>
        <w:jc w:val="both"/>
        <w:rPr>
          <w:rFonts w:ascii="Times New Roman" w:hAnsi="Times New Roman" w:cs="Times New Roman"/>
          <w:lang w:val="es-MX"/>
        </w:rPr>
      </w:pPr>
      <w:r w:rsidRPr="00C77E67">
        <w:rPr>
          <w:rFonts w:ascii="Times New Roman" w:hAnsi="Times New Roman" w:cs="Times New Roman"/>
          <w:lang w:val="es-MX"/>
        </w:rPr>
        <w:lastRenderedPageBreak/>
        <w:t>Dado el buen desempeño de la recaudación tributaria</w:t>
      </w:r>
      <w:r>
        <w:rPr>
          <w:rFonts w:ascii="Times New Roman" w:hAnsi="Times New Roman" w:cs="Times New Roman"/>
          <w:lang w:val="es-MX"/>
        </w:rPr>
        <w:t xml:space="preserve"> en este año, se reporta una brecha positiva respecto a la meta p</w:t>
      </w:r>
      <w:r w:rsidRPr="00C77E67">
        <w:rPr>
          <w:rFonts w:ascii="Times New Roman" w:hAnsi="Times New Roman" w:cs="Times New Roman"/>
          <w:lang w:val="es-MX"/>
        </w:rPr>
        <w:t>o</w:t>
      </w:r>
      <w:r>
        <w:rPr>
          <w:rFonts w:ascii="Times New Roman" w:hAnsi="Times New Roman" w:cs="Times New Roman"/>
          <w:lang w:val="es-MX"/>
        </w:rPr>
        <w:t xml:space="preserve">r séptimo </w:t>
      </w:r>
      <w:r w:rsidRPr="00C77E67">
        <w:rPr>
          <w:rFonts w:ascii="Times New Roman" w:hAnsi="Times New Roman" w:cs="Times New Roman"/>
          <w:lang w:val="es-MX"/>
        </w:rPr>
        <w:t>mes c</w:t>
      </w:r>
      <w:bookmarkStart w:id="0" w:name="_GoBack"/>
      <w:bookmarkEnd w:id="0"/>
      <w:r w:rsidRPr="00C77E67">
        <w:rPr>
          <w:rFonts w:ascii="Times New Roman" w:hAnsi="Times New Roman" w:cs="Times New Roman"/>
          <w:lang w:val="es-MX"/>
        </w:rPr>
        <w:t>onsecutivo.</w:t>
      </w:r>
    </w:p>
    <w:p w:rsidR="002A1EA0" w:rsidRPr="00C77E67" w:rsidRDefault="002A1EA0" w:rsidP="002A1EA0">
      <w:pPr>
        <w:pStyle w:val="Sinespaciado"/>
        <w:ind w:left="284"/>
        <w:jc w:val="both"/>
        <w:rPr>
          <w:rFonts w:ascii="Times New Roman" w:hAnsi="Times New Roman" w:cs="Times New Roman"/>
          <w:lang w:val="es-MX"/>
        </w:rPr>
      </w:pPr>
    </w:p>
    <w:p w:rsidR="002A1EA0" w:rsidRPr="00125848" w:rsidRDefault="002A1EA0" w:rsidP="002A1EA0">
      <w:pPr>
        <w:pStyle w:val="Sinespaciado"/>
        <w:ind w:left="284"/>
        <w:jc w:val="both"/>
        <w:rPr>
          <w:rFonts w:ascii="Times New Roman" w:hAnsi="Times New Roman" w:cs="Times New Roman"/>
          <w:lang w:val="es-MX"/>
        </w:rPr>
      </w:pPr>
      <w:r w:rsidRPr="00125848">
        <w:rPr>
          <w:rFonts w:ascii="Times New Roman" w:hAnsi="Times New Roman" w:cs="Times New Roman"/>
          <w:lang w:val="es-MX"/>
        </w:rPr>
        <w:t>Es importante considerar que el déficit fiscal podría continuar ampliándose, pero de una forma más moderada que lo previsto inicialmente,</w:t>
      </w:r>
      <w:r>
        <w:rPr>
          <w:rFonts w:ascii="Times New Roman" w:hAnsi="Times New Roman" w:cs="Times New Roman"/>
          <w:lang w:val="es-MX"/>
        </w:rPr>
        <w:t xml:space="preserve"> dado el buen </w:t>
      </w:r>
      <w:r w:rsidRPr="00125848">
        <w:rPr>
          <w:rFonts w:ascii="Times New Roman" w:hAnsi="Times New Roman" w:cs="Times New Roman"/>
          <w:lang w:val="es-MX"/>
        </w:rPr>
        <w:t>desempeño de la recaudación tributaria</w:t>
      </w:r>
      <w:r>
        <w:rPr>
          <w:rFonts w:ascii="Times New Roman" w:hAnsi="Times New Roman" w:cs="Times New Roman"/>
          <w:lang w:val="es-MX"/>
        </w:rPr>
        <w:t>,</w:t>
      </w:r>
      <w:r w:rsidRPr="00125848">
        <w:rPr>
          <w:rFonts w:ascii="Times New Roman" w:hAnsi="Times New Roman" w:cs="Times New Roman"/>
          <w:lang w:val="es-MX"/>
        </w:rPr>
        <w:t xml:space="preserve"> </w:t>
      </w:r>
      <w:r>
        <w:rPr>
          <w:rFonts w:ascii="Times New Roman" w:hAnsi="Times New Roman" w:cs="Times New Roman"/>
          <w:lang w:val="es-MX"/>
        </w:rPr>
        <w:t>mientras que la ejecución del gasto público, como es costumbre, se espera tenga un repunte en el último trimestre del año</w:t>
      </w:r>
      <w:r w:rsidRPr="00125848">
        <w:rPr>
          <w:rFonts w:ascii="Times New Roman" w:hAnsi="Times New Roman" w:cs="Times New Roman"/>
          <w:lang w:val="es-MX"/>
        </w:rPr>
        <w:t xml:space="preserve">. </w:t>
      </w:r>
    </w:p>
    <w:p w:rsidR="00E37543" w:rsidRPr="002A1EA0" w:rsidRDefault="00E37543" w:rsidP="00E829E3">
      <w:pPr>
        <w:pStyle w:val="Sinespaciado"/>
        <w:rPr>
          <w:rFonts w:ascii="Times New Roman" w:hAnsi="Times New Roman" w:cs="Times New Roman"/>
          <w:b/>
          <w:color w:val="FF0000"/>
          <w:sz w:val="18"/>
          <w:lang w:val="es-MX"/>
        </w:rPr>
        <w:sectPr w:rsidR="00E37543" w:rsidRPr="002A1EA0" w:rsidSect="00474998">
          <w:type w:val="continuous"/>
          <w:pgSz w:w="12240" w:h="15840" w:code="1"/>
          <w:pgMar w:top="1418" w:right="1750" w:bottom="1418" w:left="1418" w:header="709" w:footer="709" w:gutter="0"/>
          <w:cols w:num="2" w:space="518"/>
          <w:docGrid w:linePitch="360"/>
        </w:sectPr>
      </w:pPr>
    </w:p>
    <w:p w:rsidR="00E829E3" w:rsidRPr="002A1EA0" w:rsidRDefault="00E829E3" w:rsidP="000704F4">
      <w:pPr>
        <w:pStyle w:val="Sinespaciado"/>
        <w:rPr>
          <w:rFonts w:ascii="Times New Roman" w:hAnsi="Times New Roman" w:cs="Times New Roman"/>
          <w:b/>
          <w:sz w:val="18"/>
          <w:lang w:val="es-MX"/>
        </w:rPr>
      </w:pPr>
    </w:p>
    <w:p w:rsidR="006F5EA0" w:rsidRPr="002A1EA0" w:rsidRDefault="00950874" w:rsidP="006F5EA0">
      <w:pPr>
        <w:pStyle w:val="Sinespaciado"/>
        <w:jc w:val="center"/>
        <w:rPr>
          <w:rFonts w:ascii="Times New Roman" w:hAnsi="Times New Roman" w:cs="Times New Roman"/>
          <w:b/>
          <w:sz w:val="24"/>
          <w:lang w:val="es-MX"/>
        </w:rPr>
      </w:pPr>
      <w:r w:rsidRPr="002A1EA0">
        <w:rPr>
          <w:rFonts w:ascii="Times New Roman" w:hAnsi="Times New Roman" w:cs="Times New Roman"/>
          <w:b/>
          <w:sz w:val="24"/>
          <w:lang w:val="es-MX"/>
        </w:rPr>
        <w:t>Resultado Presupuestario</w:t>
      </w:r>
    </w:p>
    <w:p w:rsidR="00E829E3" w:rsidRPr="002A1EA0" w:rsidRDefault="00E829E3" w:rsidP="006F5EA0">
      <w:pPr>
        <w:pStyle w:val="Sinespaciado"/>
        <w:jc w:val="center"/>
        <w:rPr>
          <w:rFonts w:ascii="Times New Roman" w:hAnsi="Times New Roman" w:cs="Times New Roman"/>
          <w:sz w:val="20"/>
          <w:lang w:val="es-MX"/>
        </w:rPr>
      </w:pPr>
      <w:r w:rsidRPr="002A1EA0">
        <w:rPr>
          <w:rFonts w:ascii="Times New Roman" w:hAnsi="Times New Roman" w:cs="Times New Roman"/>
          <w:sz w:val="20"/>
          <w:lang w:val="es-MX"/>
        </w:rPr>
        <w:t>Cifras en millones de quetzales</w:t>
      </w:r>
      <w:r w:rsidR="006F5EA0" w:rsidRPr="002A1EA0">
        <w:rPr>
          <w:rFonts w:ascii="Times New Roman" w:hAnsi="Times New Roman" w:cs="Times New Roman"/>
          <w:sz w:val="20"/>
          <w:lang w:val="es-MX"/>
        </w:rPr>
        <w:t xml:space="preserve">      </w:t>
      </w:r>
    </w:p>
    <w:p w:rsidR="004C2A11" w:rsidRPr="002A1EA0" w:rsidRDefault="00322CA5" w:rsidP="004C2A11">
      <w:pPr>
        <w:pStyle w:val="Sinespaciado"/>
        <w:jc w:val="center"/>
        <w:rPr>
          <w:rFonts w:ascii="Times New Roman" w:hAnsi="Times New Roman" w:cs="Times New Roman"/>
          <w:b/>
          <w:lang w:val="es-MX"/>
        </w:rPr>
      </w:pPr>
      <w:r w:rsidRPr="002A1EA0">
        <w:rPr>
          <w:noProof/>
          <w:lang w:eastAsia="es-GT"/>
        </w:rPr>
        <w:drawing>
          <wp:anchor distT="0" distB="0" distL="114300" distR="114300" simplePos="0" relativeHeight="251853824" behindDoc="0" locked="0" layoutInCell="1" allowOverlap="1" wp14:anchorId="1C9E4B01" wp14:editId="7FB02473">
            <wp:simplePos x="0" y="0"/>
            <wp:positionH relativeFrom="column">
              <wp:posOffset>5715</wp:posOffset>
            </wp:positionH>
            <wp:positionV relativeFrom="paragraph">
              <wp:posOffset>148590</wp:posOffset>
            </wp:positionV>
            <wp:extent cx="5969635" cy="1902460"/>
            <wp:effectExtent l="0" t="0" r="0" b="2540"/>
            <wp:wrapSquare wrapText="bothSides"/>
            <wp:docPr id="22" name="Chart 2">
              <a:extLst xmlns:a="http://schemas.openxmlformats.org/drawingml/2006/main">
                <a:ext uri="{FF2B5EF4-FFF2-40B4-BE49-F238E27FC236}">
                  <a16:creationId xmlns:a16="http://schemas.microsoft.com/office/drawing/2014/main" id="{00000000-0008-0000-0E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E829E3" w:rsidRPr="002A1EA0">
        <w:rPr>
          <w:rFonts w:ascii="Times New Roman" w:hAnsi="Times New Roman" w:cs="Times New Roman"/>
          <w:sz w:val="20"/>
          <w:lang w:val="es-MX"/>
        </w:rPr>
        <w:t xml:space="preserve">     </w:t>
      </w:r>
      <w:r w:rsidR="006F5EA0" w:rsidRPr="002A1EA0">
        <w:rPr>
          <w:rFonts w:ascii="Times New Roman" w:hAnsi="Times New Roman" w:cs="Times New Roman"/>
          <w:sz w:val="20"/>
          <w:lang w:val="es-MX"/>
        </w:rPr>
        <w:t xml:space="preserve"> </w:t>
      </w:r>
      <w:r w:rsidR="00413452" w:rsidRPr="002A1EA0">
        <w:rPr>
          <w:rFonts w:ascii="Times New Roman" w:hAnsi="Times New Roman" w:cs="Times New Roman"/>
          <w:sz w:val="20"/>
          <w:lang w:val="es-MX"/>
        </w:rPr>
        <w:t>Al 31</w:t>
      </w:r>
      <w:r w:rsidR="004C2A11" w:rsidRPr="002A1EA0">
        <w:rPr>
          <w:rFonts w:ascii="Times New Roman" w:hAnsi="Times New Roman" w:cs="Times New Roman"/>
          <w:sz w:val="20"/>
          <w:lang w:val="es-MX"/>
        </w:rPr>
        <w:t xml:space="preserve"> </w:t>
      </w:r>
      <w:r w:rsidR="006F5EA0" w:rsidRPr="002A1EA0">
        <w:rPr>
          <w:rFonts w:ascii="Times New Roman" w:hAnsi="Times New Roman" w:cs="Times New Roman"/>
          <w:sz w:val="20"/>
          <w:lang w:val="es-MX"/>
        </w:rPr>
        <w:t xml:space="preserve">de </w:t>
      </w:r>
      <w:r w:rsidR="00413452" w:rsidRPr="002A1EA0">
        <w:rPr>
          <w:rFonts w:ascii="Times New Roman" w:hAnsi="Times New Roman" w:cs="Times New Roman"/>
          <w:sz w:val="20"/>
          <w:lang w:val="es-MX"/>
        </w:rPr>
        <w:t>jul</w:t>
      </w:r>
      <w:r w:rsidR="008E3A30" w:rsidRPr="002A1EA0">
        <w:rPr>
          <w:rFonts w:ascii="Times New Roman" w:hAnsi="Times New Roman" w:cs="Times New Roman"/>
          <w:sz w:val="20"/>
          <w:lang w:val="es-MX"/>
        </w:rPr>
        <w:t>io</w:t>
      </w:r>
      <w:r w:rsidR="006F5EA0" w:rsidRPr="002A1EA0">
        <w:rPr>
          <w:rFonts w:ascii="Times New Roman" w:hAnsi="Times New Roman" w:cs="Times New Roman"/>
          <w:sz w:val="20"/>
          <w:lang w:val="es-MX"/>
        </w:rPr>
        <w:t xml:space="preserve"> de cada año</w:t>
      </w:r>
      <w:r w:rsidR="00F27024" w:rsidRPr="002A1EA0">
        <w:rPr>
          <w:rFonts w:ascii="Times New Roman" w:hAnsi="Times New Roman" w:cs="Times New Roman"/>
          <w:b/>
          <w:lang w:val="es-MX"/>
        </w:rPr>
        <w:tab/>
      </w:r>
    </w:p>
    <w:p w:rsidR="00E4153A" w:rsidRPr="002A1EA0" w:rsidRDefault="007F443F" w:rsidP="00E4153A">
      <w:pPr>
        <w:pStyle w:val="Sinespaciado"/>
        <w:rPr>
          <w:rFonts w:ascii="Times New Roman" w:hAnsi="Times New Roman" w:cs="Times New Roman"/>
          <w:sz w:val="16"/>
        </w:rPr>
      </w:pPr>
      <w:r w:rsidRPr="002A1EA0">
        <w:rPr>
          <w:rFonts w:ascii="Times New Roman" w:hAnsi="Times New Roman" w:cs="Times New Roman"/>
          <w:sz w:val="16"/>
        </w:rPr>
        <w:t xml:space="preserve"> </w:t>
      </w:r>
      <w:r w:rsidR="004C2A11" w:rsidRPr="002A1EA0">
        <w:rPr>
          <w:rFonts w:ascii="Times New Roman" w:hAnsi="Times New Roman" w:cs="Times New Roman"/>
          <w:sz w:val="16"/>
        </w:rPr>
        <w:t xml:space="preserve">                </w:t>
      </w:r>
      <w:r w:rsidR="00157C3A" w:rsidRPr="002A1EA0">
        <w:rPr>
          <w:rFonts w:ascii="Times New Roman" w:hAnsi="Times New Roman" w:cs="Times New Roman"/>
          <w:sz w:val="16"/>
        </w:rPr>
        <w:t>F</w:t>
      </w:r>
      <w:r w:rsidR="007D4651" w:rsidRPr="002A1EA0">
        <w:rPr>
          <w:rFonts w:ascii="Times New Roman" w:hAnsi="Times New Roman" w:cs="Times New Roman"/>
          <w:sz w:val="16"/>
        </w:rPr>
        <w:t>uente: Dirección de Análisis y Política fiscal</w:t>
      </w:r>
    </w:p>
    <w:p w:rsidR="00E4153A" w:rsidRPr="0015544F" w:rsidRDefault="00E4153A" w:rsidP="00E4153A">
      <w:pPr>
        <w:pStyle w:val="Sinespaciado"/>
        <w:rPr>
          <w:rFonts w:ascii="Times New Roman" w:hAnsi="Times New Roman" w:cs="Times New Roman"/>
          <w:color w:val="FF0000"/>
          <w:sz w:val="6"/>
        </w:rPr>
      </w:pPr>
    </w:p>
    <w:p w:rsidR="00506BDB" w:rsidRPr="0015544F" w:rsidRDefault="00506BDB" w:rsidP="007D4651">
      <w:pPr>
        <w:spacing w:after="0" w:line="240" w:lineRule="auto"/>
        <w:rPr>
          <w:rFonts w:ascii="Times New Roman" w:hAnsi="Times New Roman" w:cs="Times New Roman"/>
          <w:color w:val="FF0000"/>
          <w:sz w:val="14"/>
          <w:lang w:val="es-MX"/>
        </w:rPr>
      </w:pPr>
    </w:p>
    <w:p w:rsidR="00F54627" w:rsidRPr="0015544F" w:rsidRDefault="00F54627" w:rsidP="007D4651">
      <w:pPr>
        <w:spacing w:after="0" w:line="240" w:lineRule="auto"/>
        <w:rPr>
          <w:rFonts w:ascii="Times New Roman" w:hAnsi="Times New Roman" w:cs="Times New Roman"/>
          <w:color w:val="FF0000"/>
          <w:sz w:val="24"/>
          <w:szCs w:val="24"/>
          <w:lang w:val="es-MX"/>
        </w:rPr>
        <w:sectPr w:rsidR="00F54627" w:rsidRPr="0015544F" w:rsidSect="007D4651">
          <w:type w:val="continuous"/>
          <w:pgSz w:w="12240" w:h="15840" w:code="1"/>
          <w:pgMar w:top="1418" w:right="1418" w:bottom="1418" w:left="1418" w:header="709" w:footer="709" w:gutter="0"/>
          <w:cols w:space="708"/>
          <w:docGrid w:linePitch="360"/>
        </w:sectPr>
      </w:pPr>
    </w:p>
    <w:p w:rsidR="00E16925" w:rsidRPr="00322CA5" w:rsidRDefault="00EA145C" w:rsidP="00474998">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pPr>
      <w:r w:rsidRPr="00322CA5">
        <w:rPr>
          <w:rFonts w:ascii="Times New Roman" w:hAnsi="Times New Roman" w:cs="Times New Roman"/>
          <w:b/>
          <w:lang w:val="es-MX"/>
        </w:rPr>
        <w:lastRenderedPageBreak/>
        <w:t>La recaudación tributaria de jul</w:t>
      </w:r>
      <w:r w:rsidR="00E52D3C" w:rsidRPr="00322CA5">
        <w:rPr>
          <w:rFonts w:ascii="Times New Roman" w:hAnsi="Times New Roman" w:cs="Times New Roman"/>
          <w:b/>
          <w:lang w:val="es-MX"/>
        </w:rPr>
        <w:t>io mantiene el impulso positivo respecto a la meta de presupuesto</w:t>
      </w:r>
    </w:p>
    <w:p w:rsidR="00E16925" w:rsidRPr="0015544F" w:rsidRDefault="00E16925" w:rsidP="00E16925">
      <w:pPr>
        <w:pStyle w:val="Sinespaciado"/>
        <w:jc w:val="center"/>
        <w:rPr>
          <w:rFonts w:ascii="Times New Roman" w:hAnsi="Times New Roman" w:cs="Times New Roman"/>
          <w:b/>
          <w:color w:val="FF0000"/>
          <w:sz w:val="18"/>
          <w:lang w:val="es-MX"/>
        </w:rPr>
      </w:pPr>
    </w:p>
    <w:p w:rsidR="00343A5D" w:rsidRPr="0015544F" w:rsidRDefault="00343A5D" w:rsidP="00F25E21">
      <w:pPr>
        <w:pStyle w:val="Sinespaciado"/>
        <w:rPr>
          <w:rFonts w:ascii="Times New Roman" w:hAnsi="Times New Roman" w:cs="Times New Roman"/>
          <w:b/>
          <w:color w:val="FF0000"/>
          <w:sz w:val="20"/>
          <w:lang w:val="es-MX"/>
        </w:rPr>
        <w:sectPr w:rsidR="00343A5D" w:rsidRPr="0015544F" w:rsidSect="004E358C">
          <w:headerReference w:type="default" r:id="rId11"/>
          <w:footerReference w:type="default" r:id="rId12"/>
          <w:type w:val="continuous"/>
          <w:pgSz w:w="12240" w:h="15840"/>
          <w:pgMar w:top="1417" w:right="1701" w:bottom="1417" w:left="1701" w:header="708" w:footer="708" w:gutter="0"/>
          <w:cols w:space="708"/>
          <w:docGrid w:linePitch="360"/>
        </w:sectPr>
      </w:pPr>
    </w:p>
    <w:p w:rsidR="00322CA5" w:rsidRDefault="00322CA5" w:rsidP="00322CA5">
      <w:pPr>
        <w:spacing w:after="0" w:line="240" w:lineRule="auto"/>
        <w:jc w:val="both"/>
        <w:rPr>
          <w:rFonts w:ascii="Times New Roman" w:hAnsi="Times New Roman" w:cs="Times New Roman"/>
        </w:rPr>
      </w:pPr>
      <w:r>
        <w:rPr>
          <w:rFonts w:ascii="Times New Roman" w:hAnsi="Times New Roman" w:cs="Times New Roman"/>
        </w:rPr>
        <w:lastRenderedPageBreak/>
        <w:t>En julio se recaudaron</w:t>
      </w:r>
      <w:r w:rsidRPr="008F124E">
        <w:rPr>
          <w:rFonts w:ascii="Times New Roman" w:hAnsi="Times New Roman" w:cs="Times New Roman"/>
        </w:rPr>
        <w:t xml:space="preserve"> Q8,9</w:t>
      </w:r>
      <w:r>
        <w:rPr>
          <w:rFonts w:ascii="Times New Roman" w:hAnsi="Times New Roman" w:cs="Times New Roman"/>
        </w:rPr>
        <w:t>07.0</w:t>
      </w:r>
      <w:r w:rsidRPr="008F124E">
        <w:rPr>
          <w:rFonts w:ascii="Times New Roman" w:hAnsi="Times New Roman" w:cs="Times New Roman"/>
        </w:rPr>
        <w:t xml:space="preserve"> millones, monto superior a lo establecido en la meta de presupuesto </w:t>
      </w:r>
      <w:r>
        <w:rPr>
          <w:rFonts w:ascii="Times New Roman" w:hAnsi="Times New Roman" w:cs="Times New Roman"/>
        </w:rPr>
        <w:t>fijada en Q6,847.0 millones. I</w:t>
      </w:r>
      <w:r w:rsidRPr="008F124E">
        <w:rPr>
          <w:rFonts w:ascii="Times New Roman" w:hAnsi="Times New Roman" w:cs="Times New Roman"/>
        </w:rPr>
        <w:t>mpuestos que contribuyeron en mayor cuantía para generar la brecha mensual positiva son</w:t>
      </w:r>
      <w:r>
        <w:rPr>
          <w:rFonts w:ascii="Times New Roman" w:hAnsi="Times New Roman" w:cs="Times New Roman"/>
        </w:rPr>
        <w:t>:</w:t>
      </w:r>
      <w:r w:rsidRPr="008F124E">
        <w:rPr>
          <w:rFonts w:ascii="Times New Roman" w:hAnsi="Times New Roman" w:cs="Times New Roman"/>
        </w:rPr>
        <w:t xml:space="preserve"> el ISR</w:t>
      </w:r>
      <w:r>
        <w:rPr>
          <w:rFonts w:ascii="Times New Roman" w:hAnsi="Times New Roman" w:cs="Times New Roman"/>
        </w:rPr>
        <w:t>,</w:t>
      </w:r>
      <w:r w:rsidRPr="008F124E">
        <w:rPr>
          <w:rFonts w:ascii="Times New Roman" w:hAnsi="Times New Roman" w:cs="Times New Roman"/>
        </w:rPr>
        <w:t xml:space="preserve"> el cual </w:t>
      </w:r>
      <w:r>
        <w:rPr>
          <w:rFonts w:ascii="Times New Roman" w:hAnsi="Times New Roman" w:cs="Times New Roman"/>
        </w:rPr>
        <w:t>incluye</w:t>
      </w:r>
      <w:r w:rsidRPr="008F124E">
        <w:rPr>
          <w:rFonts w:ascii="Times New Roman" w:hAnsi="Times New Roman" w:cs="Times New Roman"/>
        </w:rPr>
        <w:t xml:space="preserve"> el segundo pago trimestral</w:t>
      </w:r>
      <w:r>
        <w:rPr>
          <w:rFonts w:ascii="Times New Roman" w:hAnsi="Times New Roman" w:cs="Times New Roman"/>
        </w:rPr>
        <w:t>;</w:t>
      </w:r>
      <w:r w:rsidRPr="008F124E">
        <w:rPr>
          <w:rFonts w:ascii="Times New Roman" w:hAnsi="Times New Roman" w:cs="Times New Roman"/>
        </w:rPr>
        <w:t xml:space="preserve"> el IVA</w:t>
      </w:r>
      <w:r>
        <w:rPr>
          <w:rFonts w:ascii="Times New Roman" w:hAnsi="Times New Roman" w:cs="Times New Roman"/>
        </w:rPr>
        <w:t xml:space="preserve"> y los derivados del petróleo.  I</w:t>
      </w:r>
      <w:r w:rsidRPr="008F124E">
        <w:rPr>
          <w:rFonts w:ascii="Times New Roman" w:hAnsi="Times New Roman" w:cs="Times New Roman"/>
        </w:rPr>
        <w:t>mpuestos que no alcanzaron la meta mensual son</w:t>
      </w:r>
      <w:r>
        <w:rPr>
          <w:rFonts w:ascii="Times New Roman" w:hAnsi="Times New Roman" w:cs="Times New Roman"/>
        </w:rPr>
        <w:t>:</w:t>
      </w:r>
      <w:r w:rsidRPr="008F124E">
        <w:rPr>
          <w:rFonts w:ascii="Times New Roman" w:hAnsi="Times New Roman" w:cs="Times New Roman"/>
        </w:rPr>
        <w:t xml:space="preserve"> el de timbres, circulación de vehículos, tabacos y los no administrados por </w:t>
      </w:r>
      <w:r>
        <w:rPr>
          <w:rFonts w:ascii="Times New Roman" w:hAnsi="Times New Roman" w:cs="Times New Roman"/>
        </w:rPr>
        <w:lastRenderedPageBreak/>
        <w:t xml:space="preserve">la </w:t>
      </w:r>
      <w:r w:rsidRPr="008F124E">
        <w:rPr>
          <w:rFonts w:ascii="Times New Roman" w:hAnsi="Times New Roman" w:cs="Times New Roman"/>
        </w:rPr>
        <w:t xml:space="preserve">SAT (regalías e hidrocarburos compartibles y salidas del país) los cuales en conjunto dejaron de percibir </w:t>
      </w:r>
      <w:r>
        <w:rPr>
          <w:rFonts w:ascii="Times New Roman" w:hAnsi="Times New Roman" w:cs="Times New Roman"/>
        </w:rPr>
        <w:t xml:space="preserve">en el mes Q54.3 </w:t>
      </w:r>
      <w:r w:rsidRPr="008F124E">
        <w:rPr>
          <w:rFonts w:ascii="Times New Roman" w:hAnsi="Times New Roman" w:cs="Times New Roman"/>
        </w:rPr>
        <w:t>millones respecto a la meta de presupuesto</w:t>
      </w:r>
      <w:r>
        <w:rPr>
          <w:rFonts w:ascii="Times New Roman" w:hAnsi="Times New Roman" w:cs="Times New Roman"/>
        </w:rPr>
        <w:t>.</w:t>
      </w:r>
    </w:p>
    <w:p w:rsidR="00322CA5" w:rsidRPr="008F124E" w:rsidRDefault="00322CA5" w:rsidP="00322CA5">
      <w:pPr>
        <w:spacing w:after="0" w:line="240" w:lineRule="auto"/>
        <w:jc w:val="both"/>
        <w:rPr>
          <w:rFonts w:ascii="Times New Roman" w:hAnsi="Times New Roman" w:cs="Times New Roman"/>
        </w:rPr>
      </w:pPr>
      <w:r w:rsidRPr="008F124E">
        <w:rPr>
          <w:rFonts w:ascii="Times New Roman" w:hAnsi="Times New Roman" w:cs="Times New Roman"/>
        </w:rPr>
        <w:t xml:space="preserve"> </w:t>
      </w:r>
    </w:p>
    <w:p w:rsidR="00322CA5" w:rsidRDefault="00322CA5" w:rsidP="00322CA5">
      <w:pPr>
        <w:spacing w:after="0" w:line="240" w:lineRule="auto"/>
        <w:jc w:val="both"/>
        <w:rPr>
          <w:rFonts w:ascii="Times New Roman" w:hAnsi="Times New Roman" w:cs="Times New Roman"/>
        </w:rPr>
      </w:pPr>
      <w:r>
        <w:rPr>
          <w:rFonts w:ascii="Times New Roman" w:hAnsi="Times New Roman" w:cs="Times New Roman"/>
        </w:rPr>
        <w:t>L</w:t>
      </w:r>
      <w:r w:rsidRPr="008F124E">
        <w:rPr>
          <w:rFonts w:ascii="Times New Roman" w:hAnsi="Times New Roman" w:cs="Times New Roman"/>
        </w:rPr>
        <w:t xml:space="preserve">a recaudación tributaria </w:t>
      </w:r>
      <w:r>
        <w:rPr>
          <w:rFonts w:ascii="Times New Roman" w:hAnsi="Times New Roman" w:cs="Times New Roman"/>
        </w:rPr>
        <w:t xml:space="preserve">acumulada al 31 de julio, </w:t>
      </w:r>
      <w:r w:rsidRPr="008F124E">
        <w:rPr>
          <w:rFonts w:ascii="Times New Roman" w:hAnsi="Times New Roman" w:cs="Times New Roman"/>
        </w:rPr>
        <w:t>genera una brecha positiva de Q7,4</w:t>
      </w:r>
      <w:r>
        <w:rPr>
          <w:rFonts w:ascii="Times New Roman" w:hAnsi="Times New Roman" w:cs="Times New Roman"/>
        </w:rPr>
        <w:t xml:space="preserve">08.8 </w:t>
      </w:r>
      <w:r w:rsidRPr="008F124E">
        <w:rPr>
          <w:rFonts w:ascii="Times New Roman" w:hAnsi="Times New Roman" w:cs="Times New Roman"/>
        </w:rPr>
        <w:t>millones re</w:t>
      </w:r>
      <w:r>
        <w:rPr>
          <w:rFonts w:ascii="Times New Roman" w:hAnsi="Times New Roman" w:cs="Times New Roman"/>
        </w:rPr>
        <w:t>specto a la meta de presupuesto.  A</w:t>
      </w:r>
      <w:r w:rsidRPr="008F124E">
        <w:rPr>
          <w:rFonts w:ascii="Times New Roman" w:hAnsi="Times New Roman" w:cs="Times New Roman"/>
        </w:rPr>
        <w:t xml:space="preserve">spectos importantes que generan resultados positivos son la liquidación del pago trimestral </w:t>
      </w:r>
      <w:r w:rsidRPr="008F124E">
        <w:rPr>
          <w:rFonts w:ascii="Times New Roman" w:hAnsi="Times New Roman" w:cs="Times New Roman"/>
        </w:rPr>
        <w:lastRenderedPageBreak/>
        <w:t>del ISR</w:t>
      </w:r>
      <w:r>
        <w:rPr>
          <w:rFonts w:ascii="Times New Roman" w:hAnsi="Times New Roman" w:cs="Times New Roman"/>
        </w:rPr>
        <w:t xml:space="preserve"> y del ISO;</w:t>
      </w:r>
      <w:r w:rsidRPr="008F124E">
        <w:rPr>
          <w:rFonts w:ascii="Times New Roman" w:hAnsi="Times New Roman" w:cs="Times New Roman"/>
        </w:rPr>
        <w:t xml:space="preserve"> el </w:t>
      </w:r>
      <w:r>
        <w:rPr>
          <w:rFonts w:ascii="Times New Roman" w:hAnsi="Times New Roman" w:cs="Times New Roman"/>
        </w:rPr>
        <w:t>vencimiento anual</w:t>
      </w:r>
      <w:r w:rsidRPr="008F124E">
        <w:rPr>
          <w:rFonts w:ascii="Times New Roman" w:hAnsi="Times New Roman" w:cs="Times New Roman"/>
        </w:rPr>
        <w:t xml:space="preserve"> del impue</w:t>
      </w:r>
      <w:r>
        <w:rPr>
          <w:rFonts w:ascii="Times New Roman" w:hAnsi="Times New Roman" w:cs="Times New Roman"/>
        </w:rPr>
        <w:t>sto de circulación de vehículos;</w:t>
      </w:r>
      <w:r w:rsidRPr="008F124E">
        <w:rPr>
          <w:rFonts w:ascii="Times New Roman" w:hAnsi="Times New Roman" w:cs="Times New Roman"/>
        </w:rPr>
        <w:t xml:space="preserve"> la recuperación de los impuestos</w:t>
      </w:r>
      <w:r>
        <w:rPr>
          <w:rFonts w:ascii="Times New Roman" w:hAnsi="Times New Roman" w:cs="Times New Roman"/>
        </w:rPr>
        <w:t xml:space="preserve"> asociados al comercio exterior;</w:t>
      </w:r>
      <w:r w:rsidRPr="008F124E">
        <w:rPr>
          <w:rFonts w:ascii="Times New Roman" w:hAnsi="Times New Roman" w:cs="Times New Roman"/>
        </w:rPr>
        <w:t xml:space="preserve"> el consumo interno</w:t>
      </w:r>
      <w:r>
        <w:rPr>
          <w:rFonts w:ascii="Times New Roman" w:hAnsi="Times New Roman" w:cs="Times New Roman"/>
        </w:rPr>
        <w:t>, a través del IVA;</w:t>
      </w:r>
      <w:r w:rsidRPr="008F124E">
        <w:rPr>
          <w:rFonts w:ascii="Times New Roman" w:hAnsi="Times New Roman" w:cs="Times New Roman"/>
        </w:rPr>
        <w:t xml:space="preserve"> y</w:t>
      </w:r>
      <w:r>
        <w:rPr>
          <w:rFonts w:ascii="Times New Roman" w:hAnsi="Times New Roman" w:cs="Times New Roman"/>
        </w:rPr>
        <w:t>,</w:t>
      </w:r>
      <w:r w:rsidRPr="008F124E">
        <w:rPr>
          <w:rFonts w:ascii="Times New Roman" w:hAnsi="Times New Roman" w:cs="Times New Roman"/>
        </w:rPr>
        <w:t xml:space="preserve"> el impuesto a la distribución de derivados del petróleo.</w:t>
      </w:r>
    </w:p>
    <w:p w:rsidR="00322CA5" w:rsidRPr="002A7979" w:rsidRDefault="00322CA5" w:rsidP="00322CA5">
      <w:pPr>
        <w:spacing w:after="0" w:line="240" w:lineRule="auto"/>
        <w:jc w:val="both"/>
        <w:rPr>
          <w:rFonts w:ascii="Times New Roman" w:hAnsi="Times New Roman" w:cs="Times New Roman"/>
          <w:color w:val="FF0000"/>
        </w:rPr>
      </w:pPr>
    </w:p>
    <w:p w:rsidR="00322CA5" w:rsidRPr="00EA145C" w:rsidRDefault="00322CA5" w:rsidP="00322CA5">
      <w:pPr>
        <w:spacing w:after="0" w:line="240" w:lineRule="auto"/>
        <w:jc w:val="center"/>
        <w:rPr>
          <w:rFonts w:ascii="Times New Roman" w:hAnsi="Times New Roman" w:cs="Times New Roman"/>
          <w:b/>
        </w:rPr>
      </w:pPr>
      <w:r w:rsidRPr="00EA145C">
        <w:rPr>
          <w:rFonts w:ascii="Times New Roman" w:hAnsi="Times New Roman" w:cs="Times New Roman"/>
          <w:b/>
        </w:rPr>
        <w:t>Variación de la recaudación tributaria neta de julio</w:t>
      </w:r>
    </w:p>
    <w:p w:rsidR="00322CA5" w:rsidRPr="00EA145C" w:rsidRDefault="00322CA5" w:rsidP="00322CA5">
      <w:pPr>
        <w:spacing w:after="0" w:line="240" w:lineRule="auto"/>
        <w:jc w:val="center"/>
        <w:rPr>
          <w:rFonts w:ascii="Times New Roman" w:hAnsi="Times New Roman" w:cs="Times New Roman"/>
          <w:sz w:val="20"/>
        </w:rPr>
      </w:pPr>
      <w:r w:rsidRPr="00EA145C">
        <w:rPr>
          <w:rFonts w:ascii="Times New Roman" w:hAnsi="Times New Roman" w:cs="Times New Roman"/>
          <w:sz w:val="20"/>
        </w:rPr>
        <w:t>Millones de quetzales</w:t>
      </w:r>
    </w:p>
    <w:p w:rsidR="00322CA5" w:rsidRPr="00EA145C" w:rsidRDefault="00322CA5" w:rsidP="00322CA5">
      <w:pPr>
        <w:spacing w:after="0" w:line="240" w:lineRule="auto"/>
        <w:jc w:val="center"/>
        <w:rPr>
          <w:rFonts w:ascii="Times New Roman" w:hAnsi="Times New Roman" w:cs="Times New Roman"/>
          <w:sz w:val="20"/>
        </w:rPr>
      </w:pPr>
      <w:r w:rsidRPr="00EA145C">
        <w:rPr>
          <w:rFonts w:ascii="Times New Roman" w:hAnsi="Times New Roman" w:cs="Times New Roman"/>
          <w:noProof/>
          <w:lang w:eastAsia="es-GT"/>
        </w:rPr>
        <w:drawing>
          <wp:inline distT="0" distB="0" distL="0" distR="0" wp14:anchorId="154478AB" wp14:editId="7ED5FE7A">
            <wp:extent cx="2734945" cy="1944130"/>
            <wp:effectExtent l="0" t="0" r="8255" b="0"/>
            <wp:docPr id="241" name="Gráfico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22CA5" w:rsidRPr="00EA145C" w:rsidRDefault="00322CA5" w:rsidP="00322CA5">
      <w:pPr>
        <w:spacing w:after="0" w:line="240" w:lineRule="auto"/>
        <w:jc w:val="both"/>
        <w:rPr>
          <w:rFonts w:ascii="Times New Roman" w:hAnsi="Times New Roman" w:cs="Times New Roman"/>
        </w:rPr>
      </w:pPr>
      <w:r w:rsidRPr="00EA145C">
        <w:rPr>
          <w:rFonts w:ascii="Times New Roman" w:hAnsi="Times New Roman" w:cs="Times New Roman"/>
          <w:sz w:val="16"/>
        </w:rPr>
        <w:t>Fuente: Ministerio de Finanzas Públicas.</w:t>
      </w:r>
    </w:p>
    <w:p w:rsidR="00322CA5" w:rsidRPr="002A7979" w:rsidRDefault="00322CA5" w:rsidP="00322CA5">
      <w:pPr>
        <w:spacing w:after="0" w:line="240" w:lineRule="auto"/>
        <w:jc w:val="both"/>
        <w:rPr>
          <w:rFonts w:ascii="Times New Roman" w:hAnsi="Times New Roman" w:cs="Times New Roman"/>
          <w:i/>
          <w:color w:val="FF0000"/>
          <w:sz w:val="14"/>
        </w:rPr>
      </w:pPr>
    </w:p>
    <w:p w:rsidR="00322CA5" w:rsidRDefault="00322CA5" w:rsidP="00322CA5">
      <w:pPr>
        <w:spacing w:after="0" w:line="240" w:lineRule="auto"/>
        <w:jc w:val="both"/>
        <w:rPr>
          <w:rFonts w:ascii="Times New Roman" w:hAnsi="Times New Roman" w:cs="Times New Roman"/>
        </w:rPr>
      </w:pPr>
      <w:r w:rsidRPr="008F124E">
        <w:rPr>
          <w:rFonts w:ascii="Times New Roman" w:hAnsi="Times New Roman" w:cs="Times New Roman"/>
        </w:rPr>
        <w:t>Con relación a la recaudación acumulada</w:t>
      </w:r>
      <w:r>
        <w:rPr>
          <w:rFonts w:ascii="Times New Roman" w:hAnsi="Times New Roman" w:cs="Times New Roman"/>
        </w:rPr>
        <w:t>, observada a julio</w:t>
      </w:r>
      <w:r w:rsidRPr="008F124E">
        <w:rPr>
          <w:rFonts w:ascii="Times New Roman" w:hAnsi="Times New Roman" w:cs="Times New Roman"/>
        </w:rPr>
        <w:t xml:space="preserve"> de 2020</w:t>
      </w:r>
      <w:r>
        <w:rPr>
          <w:rFonts w:ascii="Times New Roman" w:hAnsi="Times New Roman" w:cs="Times New Roman"/>
        </w:rPr>
        <w:t>, en el presente año</w:t>
      </w:r>
      <w:r w:rsidRPr="008F124E">
        <w:rPr>
          <w:rFonts w:ascii="Times New Roman" w:hAnsi="Times New Roman" w:cs="Times New Roman"/>
        </w:rPr>
        <w:t xml:space="preserve"> se observa un crecimiento de 29.8% (Q10,3</w:t>
      </w:r>
      <w:r>
        <w:rPr>
          <w:rFonts w:ascii="Times New Roman" w:hAnsi="Times New Roman" w:cs="Times New Roman"/>
        </w:rPr>
        <w:t xml:space="preserve">06.9 </w:t>
      </w:r>
      <w:r w:rsidRPr="008F124E">
        <w:rPr>
          <w:rFonts w:ascii="Times New Roman" w:hAnsi="Times New Roman" w:cs="Times New Roman"/>
        </w:rPr>
        <w:t>millones)</w:t>
      </w:r>
      <w:r>
        <w:rPr>
          <w:rFonts w:ascii="Times New Roman" w:hAnsi="Times New Roman" w:cs="Times New Roman"/>
        </w:rPr>
        <w:t>,</w:t>
      </w:r>
      <w:r w:rsidRPr="008F124E">
        <w:rPr>
          <w:rFonts w:ascii="Times New Roman" w:hAnsi="Times New Roman" w:cs="Times New Roman"/>
        </w:rPr>
        <w:t xml:space="preserve"> de los cuales</w:t>
      </w:r>
      <w:r>
        <w:rPr>
          <w:rFonts w:ascii="Times New Roman" w:hAnsi="Times New Roman" w:cs="Times New Roman"/>
        </w:rPr>
        <w:t>,</w:t>
      </w:r>
      <w:r w:rsidRPr="008F124E">
        <w:rPr>
          <w:rFonts w:ascii="Times New Roman" w:hAnsi="Times New Roman" w:cs="Times New Roman"/>
        </w:rPr>
        <w:t xml:space="preserve"> el 80% de esa brecha se explica por la recuperación de impuestos como el ISR, ISO y el IVA</w:t>
      </w:r>
      <w:r>
        <w:rPr>
          <w:rFonts w:ascii="Times New Roman" w:hAnsi="Times New Roman" w:cs="Times New Roman"/>
        </w:rPr>
        <w:t>.</w:t>
      </w:r>
    </w:p>
    <w:p w:rsidR="00322CA5" w:rsidRPr="002A7979" w:rsidRDefault="00322CA5" w:rsidP="00322CA5">
      <w:pPr>
        <w:spacing w:after="0" w:line="240" w:lineRule="auto"/>
        <w:jc w:val="both"/>
        <w:rPr>
          <w:rFonts w:ascii="Times New Roman" w:hAnsi="Times New Roman" w:cs="Times New Roman"/>
          <w:color w:val="FF0000"/>
          <w:sz w:val="18"/>
        </w:rPr>
      </w:pPr>
    </w:p>
    <w:p w:rsidR="00322CA5" w:rsidRPr="00EA145C" w:rsidRDefault="00322CA5" w:rsidP="00322CA5">
      <w:pPr>
        <w:spacing w:after="0" w:line="240" w:lineRule="auto"/>
        <w:jc w:val="center"/>
        <w:rPr>
          <w:rFonts w:ascii="Times New Roman" w:hAnsi="Times New Roman" w:cs="Times New Roman"/>
          <w:b/>
        </w:rPr>
      </w:pPr>
      <w:r w:rsidRPr="00EA145C">
        <w:rPr>
          <w:rFonts w:ascii="Times New Roman" w:hAnsi="Times New Roman" w:cs="Times New Roman"/>
          <w:b/>
        </w:rPr>
        <w:t>Variación interanual acumulada de la recaudación tributaria a julio de cada año 2012-2021</w:t>
      </w:r>
    </w:p>
    <w:p w:rsidR="00322CA5" w:rsidRPr="00EA145C" w:rsidRDefault="00322CA5" w:rsidP="00322CA5">
      <w:pPr>
        <w:spacing w:after="0" w:line="240" w:lineRule="auto"/>
        <w:jc w:val="center"/>
        <w:rPr>
          <w:rFonts w:ascii="Times New Roman" w:hAnsi="Times New Roman" w:cs="Times New Roman"/>
          <w:sz w:val="20"/>
        </w:rPr>
      </w:pPr>
      <w:r w:rsidRPr="00EA145C">
        <w:rPr>
          <w:rFonts w:ascii="Times New Roman" w:hAnsi="Times New Roman" w:cs="Times New Roman"/>
          <w:sz w:val="20"/>
        </w:rPr>
        <w:t>Porcentajes</w:t>
      </w:r>
    </w:p>
    <w:p w:rsidR="00322CA5" w:rsidRPr="00EA145C" w:rsidRDefault="00322CA5" w:rsidP="00322CA5">
      <w:pPr>
        <w:spacing w:after="0" w:line="240" w:lineRule="auto"/>
        <w:jc w:val="both"/>
        <w:rPr>
          <w:rFonts w:ascii="Times New Roman" w:hAnsi="Times New Roman" w:cs="Times New Roman"/>
        </w:rPr>
      </w:pPr>
      <w:r w:rsidRPr="00EA145C">
        <w:rPr>
          <w:rFonts w:ascii="Times New Roman" w:hAnsi="Times New Roman" w:cs="Times New Roman"/>
          <w:noProof/>
          <w:lang w:eastAsia="es-GT"/>
        </w:rPr>
        <w:drawing>
          <wp:inline distT="0" distB="0" distL="0" distR="0" wp14:anchorId="72907DA9" wp14:editId="2C31B99A">
            <wp:extent cx="2577465" cy="1713470"/>
            <wp:effectExtent l="0" t="0" r="0" b="127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22CA5" w:rsidRDefault="00322CA5" w:rsidP="00322CA5">
      <w:pPr>
        <w:spacing w:after="0" w:line="240" w:lineRule="auto"/>
        <w:jc w:val="both"/>
        <w:rPr>
          <w:rFonts w:ascii="Times New Roman" w:hAnsi="Times New Roman" w:cs="Times New Roman"/>
          <w:sz w:val="16"/>
        </w:rPr>
      </w:pPr>
      <w:r w:rsidRPr="00EA145C">
        <w:rPr>
          <w:rFonts w:ascii="Times New Roman" w:hAnsi="Times New Roman" w:cs="Times New Roman"/>
          <w:sz w:val="16"/>
        </w:rPr>
        <w:t>Fuente: Ministerio de Finanzas Públicas.</w:t>
      </w:r>
    </w:p>
    <w:p w:rsidR="00322CA5" w:rsidRPr="008F124E" w:rsidRDefault="00322CA5" w:rsidP="00322CA5">
      <w:pPr>
        <w:spacing w:after="0" w:line="240" w:lineRule="auto"/>
        <w:jc w:val="both"/>
        <w:rPr>
          <w:rFonts w:ascii="Times New Roman" w:hAnsi="Times New Roman" w:cs="Times New Roman"/>
        </w:rPr>
      </w:pPr>
      <w:r w:rsidRPr="008F124E">
        <w:rPr>
          <w:rFonts w:ascii="Times New Roman" w:hAnsi="Times New Roman" w:cs="Times New Roman"/>
        </w:rPr>
        <w:lastRenderedPageBreak/>
        <w:t xml:space="preserve">En la comparación interanual acumulada destaca </w:t>
      </w:r>
      <w:r>
        <w:rPr>
          <w:rFonts w:ascii="Times New Roman" w:hAnsi="Times New Roman" w:cs="Times New Roman"/>
        </w:rPr>
        <w:t xml:space="preserve">también </w:t>
      </w:r>
      <w:r w:rsidRPr="008F124E">
        <w:rPr>
          <w:rFonts w:ascii="Times New Roman" w:hAnsi="Times New Roman" w:cs="Times New Roman"/>
        </w:rPr>
        <w:t>la recuperación de la recaudación asociada al comercio internacional</w:t>
      </w:r>
      <w:r>
        <w:rPr>
          <w:rFonts w:ascii="Times New Roman" w:hAnsi="Times New Roman" w:cs="Times New Roman"/>
        </w:rPr>
        <w:t>,</w:t>
      </w:r>
      <w:r w:rsidRPr="008F124E">
        <w:rPr>
          <w:rFonts w:ascii="Times New Roman" w:hAnsi="Times New Roman" w:cs="Times New Roman"/>
        </w:rPr>
        <w:t xml:space="preserve"> la cual al 31 de julio crece en 43.9% (Q3,846.5 millones) </w:t>
      </w:r>
      <w:r>
        <w:rPr>
          <w:rFonts w:ascii="Times New Roman" w:hAnsi="Times New Roman" w:cs="Times New Roman"/>
        </w:rPr>
        <w:t>respecto a lo observado en 2020.</w:t>
      </w:r>
      <w:r w:rsidRPr="008F124E">
        <w:rPr>
          <w:rFonts w:ascii="Times New Roman" w:hAnsi="Times New Roman" w:cs="Times New Roman"/>
        </w:rPr>
        <w:t xml:space="preserve"> </w:t>
      </w:r>
      <w:r>
        <w:rPr>
          <w:rFonts w:ascii="Times New Roman" w:hAnsi="Times New Roman" w:cs="Times New Roman"/>
        </w:rPr>
        <w:t xml:space="preserve"> E</w:t>
      </w:r>
      <w:r w:rsidRPr="008F124E">
        <w:rPr>
          <w:rFonts w:ascii="Times New Roman" w:hAnsi="Times New Roman" w:cs="Times New Roman"/>
        </w:rPr>
        <w:t xml:space="preserve">l IVA de importaciones supera lo observado en </w:t>
      </w:r>
      <w:r>
        <w:rPr>
          <w:rFonts w:ascii="Times New Roman" w:hAnsi="Times New Roman" w:cs="Times New Roman"/>
        </w:rPr>
        <w:t>2020 en</w:t>
      </w:r>
      <w:r w:rsidRPr="008F124E">
        <w:rPr>
          <w:rFonts w:ascii="Times New Roman" w:hAnsi="Times New Roman" w:cs="Times New Roman"/>
        </w:rPr>
        <w:t xml:space="preserve"> Q3,266.7 millones y los derechos </w:t>
      </w:r>
      <w:r>
        <w:rPr>
          <w:rFonts w:ascii="Times New Roman" w:hAnsi="Times New Roman" w:cs="Times New Roman"/>
        </w:rPr>
        <w:t>arancelarios en Q579.8 millones.  E</w:t>
      </w:r>
      <w:r w:rsidRPr="008F124E">
        <w:rPr>
          <w:rFonts w:ascii="Times New Roman" w:hAnsi="Times New Roman" w:cs="Times New Roman"/>
        </w:rPr>
        <w:t>ste crecimiento en las cifras de comercio para el ejercicio 2021 se ve influenciado primero</w:t>
      </w:r>
      <w:r>
        <w:rPr>
          <w:rFonts w:ascii="Times New Roman" w:hAnsi="Times New Roman" w:cs="Times New Roman"/>
        </w:rPr>
        <w:t>,</w:t>
      </w:r>
      <w:r w:rsidRPr="008F124E">
        <w:rPr>
          <w:rFonts w:ascii="Times New Roman" w:hAnsi="Times New Roman" w:cs="Times New Roman"/>
        </w:rPr>
        <w:t xml:space="preserve"> por el efecto de la pandemia del virus SARS-COV2 en 2020, año en el cual se contrajeron las negociaciones comerciales producto de las medidas adoptadas por los gobiernos, segundo</w:t>
      </w:r>
      <w:r>
        <w:rPr>
          <w:rFonts w:ascii="Times New Roman" w:hAnsi="Times New Roman" w:cs="Times New Roman"/>
        </w:rPr>
        <w:t>,</w:t>
      </w:r>
      <w:r w:rsidRPr="008F124E">
        <w:rPr>
          <w:rFonts w:ascii="Times New Roman" w:hAnsi="Times New Roman" w:cs="Times New Roman"/>
        </w:rPr>
        <w:t xml:space="preserve"> por el esfue</w:t>
      </w:r>
      <w:r>
        <w:rPr>
          <w:rFonts w:ascii="Times New Roman" w:hAnsi="Times New Roman" w:cs="Times New Roman"/>
        </w:rPr>
        <w:t>rzo y trabajo realizado por la Superintendencia de Administración T</w:t>
      </w:r>
      <w:r w:rsidRPr="008F124E">
        <w:rPr>
          <w:rFonts w:ascii="Times New Roman" w:hAnsi="Times New Roman" w:cs="Times New Roman"/>
        </w:rPr>
        <w:t>ributaria en el ramo de aduanas</w:t>
      </w:r>
      <w:r>
        <w:rPr>
          <w:rFonts w:ascii="Times New Roman" w:hAnsi="Times New Roman" w:cs="Times New Roman"/>
        </w:rPr>
        <w:t>,</w:t>
      </w:r>
      <w:r w:rsidRPr="008F124E">
        <w:rPr>
          <w:rFonts w:ascii="Times New Roman" w:hAnsi="Times New Roman" w:cs="Times New Roman"/>
        </w:rPr>
        <w:t xml:space="preserve"> en </w:t>
      </w:r>
      <w:r>
        <w:rPr>
          <w:rFonts w:ascii="Times New Roman" w:hAnsi="Times New Roman" w:cs="Times New Roman"/>
        </w:rPr>
        <w:t>donde ha</w:t>
      </w:r>
      <w:r w:rsidRPr="008F124E">
        <w:rPr>
          <w:rFonts w:ascii="Times New Roman" w:hAnsi="Times New Roman" w:cs="Times New Roman"/>
        </w:rPr>
        <w:t xml:space="preserve"> implementado acciones para combatir la defraudación y el contrabando tales como la realización de ajustes a través de rectificaciones, mayor eficiencia en atención de expedientes de solicitudes de franquicias, medidas de control en materia de riesgo, mejoras en tiempos de despacho y gestión, mayor simplificación y automatización en la transmisión de decl</w:t>
      </w:r>
      <w:r>
        <w:rPr>
          <w:rFonts w:ascii="Times New Roman" w:hAnsi="Times New Roman" w:cs="Times New Roman"/>
        </w:rPr>
        <w:t>araciones y controles aduaneros, así como incrementar la percepción de riesgo a través del establecimiento de Puestos de Control Interinstitucional en rutas identificadas.</w:t>
      </w:r>
    </w:p>
    <w:p w:rsidR="00322CA5" w:rsidRPr="00AB38CA" w:rsidRDefault="00322CA5" w:rsidP="00322CA5">
      <w:pPr>
        <w:spacing w:after="0" w:line="240" w:lineRule="auto"/>
        <w:jc w:val="both"/>
        <w:rPr>
          <w:rFonts w:ascii="Times New Roman" w:hAnsi="Times New Roman" w:cs="Times New Roman"/>
          <w:sz w:val="14"/>
        </w:rPr>
      </w:pPr>
    </w:p>
    <w:p w:rsidR="00322CA5" w:rsidRPr="00AB38CA" w:rsidRDefault="00322CA5" w:rsidP="00322CA5">
      <w:pPr>
        <w:spacing w:after="0" w:line="240" w:lineRule="auto"/>
        <w:jc w:val="both"/>
        <w:rPr>
          <w:rFonts w:ascii="Times New Roman" w:hAnsi="Times New Roman" w:cs="Times New Roman"/>
          <w:b/>
        </w:rPr>
      </w:pPr>
      <w:r>
        <w:rPr>
          <w:rFonts w:ascii="Times New Roman" w:hAnsi="Times New Roman" w:cs="Times New Roman"/>
          <w:b/>
        </w:rPr>
        <w:t>El Impuesto Sobre la R</w:t>
      </w:r>
      <w:r w:rsidRPr="00AB38CA">
        <w:rPr>
          <w:rFonts w:ascii="Times New Roman" w:hAnsi="Times New Roman" w:cs="Times New Roman"/>
          <w:b/>
        </w:rPr>
        <w:t>enta y el ISO</w:t>
      </w:r>
    </w:p>
    <w:p w:rsidR="00322CA5" w:rsidRPr="00AB38CA" w:rsidRDefault="00322CA5" w:rsidP="00322CA5">
      <w:pPr>
        <w:spacing w:after="0" w:line="240" w:lineRule="auto"/>
        <w:jc w:val="both"/>
        <w:rPr>
          <w:rFonts w:ascii="Times New Roman" w:hAnsi="Times New Roman" w:cs="Times New Roman"/>
          <w:b/>
          <w:sz w:val="14"/>
        </w:rPr>
      </w:pPr>
    </w:p>
    <w:p w:rsidR="00322CA5" w:rsidRPr="00AB38CA" w:rsidRDefault="00322CA5" w:rsidP="00322CA5">
      <w:pPr>
        <w:spacing w:after="0" w:line="240" w:lineRule="auto"/>
        <w:jc w:val="both"/>
        <w:rPr>
          <w:rFonts w:ascii="Times New Roman" w:hAnsi="Times New Roman" w:cs="Times New Roman"/>
        </w:rPr>
      </w:pPr>
      <w:r w:rsidRPr="00AB38CA">
        <w:rPr>
          <w:rFonts w:ascii="Times New Roman" w:hAnsi="Times New Roman" w:cs="Times New Roman"/>
        </w:rPr>
        <w:t>En julio estos impuestos tienen la segunda liquidación trimestral del año, para 2021 superan la meta de presupuesto en Q1,</w:t>
      </w:r>
      <w:r>
        <w:rPr>
          <w:rFonts w:ascii="Times New Roman" w:hAnsi="Times New Roman" w:cs="Times New Roman"/>
        </w:rPr>
        <w:t xml:space="preserve">194.8 </w:t>
      </w:r>
      <w:r w:rsidRPr="00AB38CA">
        <w:rPr>
          <w:rFonts w:ascii="Times New Roman" w:hAnsi="Times New Roman" w:cs="Times New Roman"/>
        </w:rPr>
        <w:t>millones</w:t>
      </w:r>
      <w:r>
        <w:rPr>
          <w:rFonts w:ascii="Times New Roman" w:hAnsi="Times New Roman" w:cs="Times New Roman"/>
        </w:rPr>
        <w:t>.  F</w:t>
      </w:r>
      <w:r w:rsidRPr="00AB38CA">
        <w:rPr>
          <w:rFonts w:ascii="Times New Roman" w:hAnsi="Times New Roman" w:cs="Times New Roman"/>
        </w:rPr>
        <w:t>actores que afectan este desempeño pueden ser recaudación extraordinaria y mejora en la percepción de riesgo.</w:t>
      </w:r>
    </w:p>
    <w:p w:rsidR="00322CA5" w:rsidRPr="00AB38CA" w:rsidRDefault="00322CA5" w:rsidP="00322CA5">
      <w:pPr>
        <w:spacing w:after="0" w:line="240" w:lineRule="auto"/>
        <w:jc w:val="both"/>
        <w:rPr>
          <w:rFonts w:ascii="Times New Roman" w:hAnsi="Times New Roman" w:cs="Times New Roman"/>
        </w:rPr>
      </w:pPr>
    </w:p>
    <w:p w:rsidR="00322CA5" w:rsidRDefault="00322CA5" w:rsidP="00322CA5">
      <w:pPr>
        <w:spacing w:after="0" w:line="240" w:lineRule="auto"/>
        <w:jc w:val="both"/>
        <w:rPr>
          <w:rFonts w:ascii="Times New Roman" w:hAnsi="Times New Roman" w:cs="Times New Roman"/>
        </w:rPr>
      </w:pPr>
      <w:r w:rsidRPr="00AB38CA">
        <w:rPr>
          <w:rFonts w:ascii="Times New Roman" w:hAnsi="Times New Roman" w:cs="Times New Roman"/>
        </w:rPr>
        <w:t>De manera acumula estos dos impuestos generan una brecha positiva de Q3,</w:t>
      </w:r>
      <w:r>
        <w:rPr>
          <w:rFonts w:ascii="Times New Roman" w:hAnsi="Times New Roman" w:cs="Times New Roman"/>
        </w:rPr>
        <w:t>290.6</w:t>
      </w:r>
      <w:r w:rsidRPr="00AB38CA">
        <w:rPr>
          <w:rFonts w:ascii="Times New Roman" w:hAnsi="Times New Roman" w:cs="Times New Roman"/>
        </w:rPr>
        <w:t xml:space="preserve"> millones respecto a la meta de presupuesto y con relación al año 2020 Q3,3</w:t>
      </w:r>
      <w:r>
        <w:rPr>
          <w:rFonts w:ascii="Times New Roman" w:hAnsi="Times New Roman" w:cs="Times New Roman"/>
        </w:rPr>
        <w:t xml:space="preserve">28.8 </w:t>
      </w:r>
      <w:r w:rsidRPr="00AB38CA">
        <w:rPr>
          <w:rFonts w:ascii="Times New Roman" w:hAnsi="Times New Roman" w:cs="Times New Roman"/>
        </w:rPr>
        <w:t>millones.</w:t>
      </w:r>
    </w:p>
    <w:p w:rsidR="00322CA5" w:rsidRPr="00AB38CA" w:rsidRDefault="00322CA5" w:rsidP="00322CA5">
      <w:pPr>
        <w:spacing w:after="0" w:line="240" w:lineRule="auto"/>
        <w:jc w:val="both"/>
        <w:rPr>
          <w:rFonts w:ascii="Times New Roman" w:hAnsi="Times New Roman" w:cs="Times New Roman"/>
          <w:b/>
        </w:rPr>
      </w:pPr>
      <w:r w:rsidRPr="00AB38CA">
        <w:rPr>
          <w:rFonts w:ascii="Times New Roman" w:hAnsi="Times New Roman" w:cs="Times New Roman"/>
          <w:b/>
        </w:rPr>
        <w:lastRenderedPageBreak/>
        <w:t>El Impuesto al Valor Agregado</w:t>
      </w:r>
    </w:p>
    <w:p w:rsidR="00322CA5" w:rsidRPr="00AB38CA" w:rsidRDefault="00322CA5" w:rsidP="00322CA5">
      <w:pPr>
        <w:spacing w:after="0" w:line="240" w:lineRule="auto"/>
        <w:jc w:val="both"/>
        <w:rPr>
          <w:rFonts w:ascii="Times New Roman" w:hAnsi="Times New Roman" w:cs="Times New Roman"/>
          <w:sz w:val="18"/>
        </w:rPr>
      </w:pPr>
    </w:p>
    <w:p w:rsidR="00322CA5" w:rsidRPr="00AB38CA" w:rsidRDefault="00322CA5" w:rsidP="00322CA5">
      <w:pPr>
        <w:spacing w:after="0" w:line="240" w:lineRule="auto"/>
        <w:jc w:val="both"/>
        <w:rPr>
          <w:rFonts w:ascii="Times New Roman" w:hAnsi="Times New Roman" w:cs="Times New Roman"/>
        </w:rPr>
      </w:pPr>
      <w:r w:rsidRPr="00AB38CA">
        <w:rPr>
          <w:rFonts w:ascii="Times New Roman" w:hAnsi="Times New Roman" w:cs="Times New Roman"/>
        </w:rPr>
        <w:t>Este impuesto recobró su dinámica esto influenciado principalmente por un aumento en el consumo el cual puede haberse dinamizado por mayor disponibilidad de recursos ante una recuperación en las remesas familiares las cuales crecen en 39.6%, en 2020 crecían en 1.4%.</w:t>
      </w:r>
    </w:p>
    <w:p w:rsidR="00322CA5" w:rsidRPr="00AB38CA" w:rsidRDefault="00322CA5" w:rsidP="00322CA5">
      <w:pPr>
        <w:spacing w:after="0" w:line="240" w:lineRule="auto"/>
        <w:jc w:val="both"/>
        <w:rPr>
          <w:rFonts w:ascii="Times New Roman" w:hAnsi="Times New Roman" w:cs="Times New Roman"/>
        </w:rPr>
      </w:pPr>
    </w:p>
    <w:p w:rsidR="00322CA5" w:rsidRPr="00AB38CA" w:rsidRDefault="00322CA5" w:rsidP="00322CA5">
      <w:pPr>
        <w:spacing w:after="0" w:line="240" w:lineRule="auto"/>
        <w:jc w:val="both"/>
        <w:rPr>
          <w:rFonts w:ascii="Times New Roman" w:hAnsi="Times New Roman" w:cs="Times New Roman"/>
        </w:rPr>
      </w:pPr>
      <w:r w:rsidRPr="00AB38CA">
        <w:rPr>
          <w:rFonts w:ascii="Times New Roman" w:hAnsi="Times New Roman" w:cs="Times New Roman"/>
        </w:rPr>
        <w:t>El IVA total genera una brecha mensual de Q673</w:t>
      </w:r>
      <w:r>
        <w:rPr>
          <w:rFonts w:ascii="Times New Roman" w:hAnsi="Times New Roman" w:cs="Times New Roman"/>
        </w:rPr>
        <w:t>.2</w:t>
      </w:r>
      <w:r w:rsidRPr="00AB38CA">
        <w:rPr>
          <w:rFonts w:ascii="Times New Roman" w:hAnsi="Times New Roman" w:cs="Times New Roman"/>
        </w:rPr>
        <w:t xml:space="preserve"> millones respecto a la meta de presupuesto, el impuesto al valor agregado asociado al consumo interno superó la meta de presupuesto en Q160.</w:t>
      </w:r>
      <w:r>
        <w:rPr>
          <w:rFonts w:ascii="Times New Roman" w:hAnsi="Times New Roman" w:cs="Times New Roman"/>
        </w:rPr>
        <w:t>4</w:t>
      </w:r>
      <w:r w:rsidRPr="00AB38CA">
        <w:rPr>
          <w:rFonts w:ascii="Times New Roman" w:hAnsi="Times New Roman" w:cs="Times New Roman"/>
        </w:rPr>
        <w:t xml:space="preserve"> millones.</w:t>
      </w:r>
    </w:p>
    <w:p w:rsidR="00322CA5" w:rsidRPr="00AB38CA" w:rsidRDefault="00322CA5" w:rsidP="00322CA5">
      <w:pPr>
        <w:spacing w:after="0" w:line="240" w:lineRule="auto"/>
        <w:jc w:val="both"/>
        <w:rPr>
          <w:rFonts w:ascii="Times New Roman" w:hAnsi="Times New Roman" w:cs="Times New Roman"/>
        </w:rPr>
      </w:pPr>
    </w:p>
    <w:p w:rsidR="00322CA5" w:rsidRPr="00AB38CA" w:rsidRDefault="00322CA5" w:rsidP="00322CA5">
      <w:pPr>
        <w:spacing w:after="0" w:line="240" w:lineRule="auto"/>
        <w:jc w:val="both"/>
        <w:rPr>
          <w:rFonts w:ascii="Times New Roman" w:hAnsi="Times New Roman" w:cs="Times New Roman"/>
        </w:rPr>
      </w:pPr>
      <w:r w:rsidRPr="00AB38CA">
        <w:rPr>
          <w:rFonts w:ascii="Times New Roman" w:hAnsi="Times New Roman" w:cs="Times New Roman"/>
        </w:rPr>
        <w:t>De manera acumulada</w:t>
      </w:r>
      <w:r>
        <w:rPr>
          <w:rFonts w:ascii="Times New Roman" w:hAnsi="Times New Roman" w:cs="Times New Roman"/>
        </w:rPr>
        <w:t>,</w:t>
      </w:r>
      <w:r w:rsidRPr="00AB38CA">
        <w:rPr>
          <w:rFonts w:ascii="Times New Roman" w:hAnsi="Times New Roman" w:cs="Times New Roman"/>
        </w:rPr>
        <w:t xml:space="preserve"> el IVA total genera brecha positiva de Q3,032.</w:t>
      </w:r>
      <w:r>
        <w:rPr>
          <w:rFonts w:ascii="Times New Roman" w:hAnsi="Times New Roman" w:cs="Times New Roman"/>
        </w:rPr>
        <w:t>2</w:t>
      </w:r>
      <w:r w:rsidRPr="00AB38CA">
        <w:rPr>
          <w:rFonts w:ascii="Times New Roman" w:hAnsi="Times New Roman" w:cs="Times New Roman"/>
        </w:rPr>
        <w:t xml:space="preserve"> millones respecto a la meta de presupuesto y de Q4,879.</w:t>
      </w:r>
      <w:r>
        <w:rPr>
          <w:rFonts w:ascii="Times New Roman" w:hAnsi="Times New Roman" w:cs="Times New Roman"/>
        </w:rPr>
        <w:t>5</w:t>
      </w:r>
      <w:r w:rsidRPr="00AB38CA">
        <w:rPr>
          <w:rFonts w:ascii="Times New Roman" w:hAnsi="Times New Roman" w:cs="Times New Roman"/>
        </w:rPr>
        <w:t xml:space="preserve"> millones respecto a 2020.</w:t>
      </w:r>
    </w:p>
    <w:p w:rsidR="00322CA5" w:rsidRPr="00AB38CA" w:rsidRDefault="00322CA5" w:rsidP="00322CA5">
      <w:pPr>
        <w:spacing w:after="0" w:line="240" w:lineRule="auto"/>
        <w:jc w:val="both"/>
        <w:rPr>
          <w:rFonts w:ascii="Times New Roman" w:hAnsi="Times New Roman" w:cs="Times New Roman"/>
        </w:rPr>
      </w:pPr>
    </w:p>
    <w:p w:rsidR="00322CA5" w:rsidRPr="00AB38CA" w:rsidRDefault="00322CA5" w:rsidP="00322CA5">
      <w:pPr>
        <w:spacing w:after="0" w:line="240" w:lineRule="auto"/>
        <w:jc w:val="both"/>
        <w:rPr>
          <w:rFonts w:ascii="Times New Roman" w:hAnsi="Times New Roman" w:cs="Times New Roman"/>
          <w:b/>
          <w:bCs/>
        </w:rPr>
      </w:pPr>
      <w:r w:rsidRPr="00AB38CA">
        <w:rPr>
          <w:rFonts w:ascii="Times New Roman" w:hAnsi="Times New Roman" w:cs="Times New Roman"/>
          <w:b/>
          <w:bCs/>
        </w:rPr>
        <w:t>Los demás impuestos</w:t>
      </w:r>
    </w:p>
    <w:p w:rsidR="00322CA5" w:rsidRPr="00AB38CA" w:rsidRDefault="00322CA5" w:rsidP="00322CA5">
      <w:pPr>
        <w:spacing w:after="0" w:line="240" w:lineRule="auto"/>
        <w:jc w:val="both"/>
        <w:rPr>
          <w:rFonts w:ascii="Times New Roman" w:hAnsi="Times New Roman" w:cs="Times New Roman"/>
          <w:b/>
          <w:bCs/>
        </w:rPr>
      </w:pPr>
    </w:p>
    <w:p w:rsidR="00322CA5" w:rsidRPr="00AB38CA" w:rsidRDefault="00322CA5" w:rsidP="00322CA5">
      <w:pPr>
        <w:spacing w:after="0" w:line="240" w:lineRule="auto"/>
        <w:jc w:val="both"/>
        <w:rPr>
          <w:rFonts w:ascii="Times New Roman" w:hAnsi="Times New Roman" w:cs="Times New Roman"/>
        </w:rPr>
      </w:pPr>
      <w:r>
        <w:rPr>
          <w:rFonts w:ascii="Times New Roman" w:hAnsi="Times New Roman" w:cs="Times New Roman"/>
        </w:rPr>
        <w:t>En la recaudación mensual d</w:t>
      </w:r>
      <w:r w:rsidRPr="00AB38CA">
        <w:rPr>
          <w:rFonts w:ascii="Times New Roman" w:hAnsi="Times New Roman" w:cs="Times New Roman"/>
        </w:rPr>
        <w:t>e los demás impuestos, destaca el impuesto de circulación de vehículos que tiene vencimien</w:t>
      </w:r>
      <w:r>
        <w:rPr>
          <w:rFonts w:ascii="Times New Roman" w:hAnsi="Times New Roman" w:cs="Times New Roman"/>
        </w:rPr>
        <w:t>to anual en julio y que no logró</w:t>
      </w:r>
      <w:r w:rsidRPr="00AB38CA">
        <w:rPr>
          <w:rFonts w:ascii="Times New Roman" w:hAnsi="Times New Roman" w:cs="Times New Roman"/>
        </w:rPr>
        <w:t xml:space="preserve"> superar la meta programada en</w:t>
      </w:r>
      <w:r>
        <w:rPr>
          <w:rFonts w:ascii="Times New Roman" w:hAnsi="Times New Roman" w:cs="Times New Roman"/>
        </w:rPr>
        <w:t xml:space="preserve"> el</w:t>
      </w:r>
      <w:r w:rsidRPr="00AB38CA">
        <w:rPr>
          <w:rFonts w:ascii="Times New Roman" w:hAnsi="Times New Roman" w:cs="Times New Roman"/>
        </w:rPr>
        <w:t xml:space="preserve"> presupuesto</w:t>
      </w:r>
      <w:r>
        <w:rPr>
          <w:rFonts w:ascii="Times New Roman" w:hAnsi="Times New Roman" w:cs="Times New Roman"/>
        </w:rPr>
        <w:t>,</w:t>
      </w:r>
      <w:r w:rsidRPr="00AB38CA">
        <w:rPr>
          <w:rFonts w:ascii="Times New Roman" w:hAnsi="Times New Roman" w:cs="Times New Roman"/>
        </w:rPr>
        <w:t xml:space="preserve"> dejando de percibir Q23.3 millones,</w:t>
      </w:r>
      <w:r>
        <w:rPr>
          <w:rFonts w:ascii="Times New Roman" w:hAnsi="Times New Roman" w:cs="Times New Roman"/>
        </w:rPr>
        <w:t xml:space="preserve"> aunque de forma </w:t>
      </w:r>
      <w:r>
        <w:rPr>
          <w:rFonts w:ascii="Times New Roman" w:hAnsi="Times New Roman" w:cs="Times New Roman"/>
        </w:rPr>
        <w:lastRenderedPageBreak/>
        <w:t>acumulada si se superó la meta.  Debe tenerse en cuenta que la SAT implementó un programa de cambio de placas de cartón a metálicas, teniendo los contribuyentes interesados que realizar el pago del impuesto de circulación, con lo cual se anticiparon algunos montos respecto a la liquidación habitual que sugiere la estacionalidad de dicho impuesto.  A</w:t>
      </w:r>
      <w:r w:rsidRPr="00AB38CA">
        <w:rPr>
          <w:rFonts w:ascii="Times New Roman" w:hAnsi="Times New Roman" w:cs="Times New Roman"/>
        </w:rPr>
        <w:t xml:space="preserve">unado a </w:t>
      </w:r>
      <w:r>
        <w:rPr>
          <w:rFonts w:ascii="Times New Roman" w:hAnsi="Times New Roman" w:cs="Times New Roman"/>
        </w:rPr>
        <w:t>lo anterior,</w:t>
      </w:r>
      <w:r w:rsidRPr="00AB38CA">
        <w:rPr>
          <w:rFonts w:ascii="Times New Roman" w:hAnsi="Times New Roman" w:cs="Times New Roman"/>
        </w:rPr>
        <w:t xml:space="preserve"> también los impuestos no administrados por </w:t>
      </w:r>
      <w:r>
        <w:rPr>
          <w:rFonts w:ascii="Times New Roman" w:hAnsi="Times New Roman" w:cs="Times New Roman"/>
        </w:rPr>
        <w:t xml:space="preserve">la </w:t>
      </w:r>
      <w:r w:rsidRPr="00AB38CA">
        <w:rPr>
          <w:rFonts w:ascii="Times New Roman" w:hAnsi="Times New Roman" w:cs="Times New Roman"/>
        </w:rPr>
        <w:t xml:space="preserve">SAT </w:t>
      </w:r>
      <w:r>
        <w:rPr>
          <w:rFonts w:ascii="Times New Roman" w:hAnsi="Times New Roman" w:cs="Times New Roman"/>
        </w:rPr>
        <w:t xml:space="preserve">no </w:t>
      </w:r>
      <w:r w:rsidRPr="00AB38CA">
        <w:rPr>
          <w:rFonts w:ascii="Times New Roman" w:hAnsi="Times New Roman" w:cs="Times New Roman"/>
        </w:rPr>
        <w:t>logran alcanzar la meta de presupuesto</w:t>
      </w:r>
      <w:r>
        <w:rPr>
          <w:rFonts w:ascii="Times New Roman" w:hAnsi="Times New Roman" w:cs="Times New Roman"/>
        </w:rPr>
        <w:t>, tanto mensual, como acumulada</w:t>
      </w:r>
      <w:r w:rsidRPr="00AB38CA">
        <w:rPr>
          <w:rFonts w:ascii="Times New Roman" w:hAnsi="Times New Roman" w:cs="Times New Roman"/>
        </w:rPr>
        <w:t>.</w:t>
      </w:r>
    </w:p>
    <w:p w:rsidR="00322CA5" w:rsidRPr="00AB38CA" w:rsidRDefault="00322CA5" w:rsidP="00322CA5">
      <w:pPr>
        <w:spacing w:after="0" w:line="240" w:lineRule="auto"/>
        <w:jc w:val="both"/>
        <w:rPr>
          <w:rFonts w:ascii="Times New Roman" w:hAnsi="Times New Roman" w:cs="Times New Roman"/>
        </w:rPr>
      </w:pPr>
    </w:p>
    <w:p w:rsidR="00322CA5" w:rsidRDefault="00322CA5" w:rsidP="00322CA5">
      <w:pPr>
        <w:spacing w:after="0" w:line="240" w:lineRule="auto"/>
        <w:jc w:val="both"/>
        <w:rPr>
          <w:rFonts w:ascii="Times New Roman" w:hAnsi="Times New Roman" w:cs="Times New Roman"/>
        </w:rPr>
      </w:pPr>
      <w:r w:rsidRPr="00AB38CA">
        <w:rPr>
          <w:rFonts w:ascii="Times New Roman" w:hAnsi="Times New Roman" w:cs="Times New Roman"/>
        </w:rPr>
        <w:t>De manera acumulada el impuesto a los tabacos genera brecha negativa de Q</w:t>
      </w:r>
      <w:r>
        <w:rPr>
          <w:rFonts w:ascii="Times New Roman" w:hAnsi="Times New Roman" w:cs="Times New Roman"/>
        </w:rPr>
        <w:t>2.3</w:t>
      </w:r>
      <w:r w:rsidRPr="00AB38CA">
        <w:rPr>
          <w:rFonts w:ascii="Times New Roman" w:hAnsi="Times New Roman" w:cs="Times New Roman"/>
        </w:rPr>
        <w:t xml:space="preserve"> millones y los impuestos no administrados por SAT generan brecha negativa de Q1</w:t>
      </w:r>
      <w:r>
        <w:rPr>
          <w:rFonts w:ascii="Times New Roman" w:hAnsi="Times New Roman" w:cs="Times New Roman"/>
        </w:rPr>
        <w:t>50.2</w:t>
      </w:r>
      <w:r w:rsidRPr="00AB38CA">
        <w:rPr>
          <w:rFonts w:ascii="Times New Roman" w:hAnsi="Times New Roman" w:cs="Times New Roman"/>
        </w:rPr>
        <w:t xml:space="preserve"> millones respecto a la meta de presupuesto.</w:t>
      </w:r>
    </w:p>
    <w:p w:rsidR="00322CA5" w:rsidRPr="00AB38CA" w:rsidRDefault="00322CA5" w:rsidP="00322CA5">
      <w:pPr>
        <w:spacing w:after="0" w:line="240" w:lineRule="auto"/>
        <w:jc w:val="both"/>
        <w:rPr>
          <w:rFonts w:ascii="Times New Roman" w:hAnsi="Times New Roman" w:cs="Times New Roman"/>
          <w:noProof/>
        </w:rPr>
      </w:pPr>
      <w:r w:rsidRPr="00AB38CA">
        <w:rPr>
          <w:rFonts w:ascii="Times New Roman" w:hAnsi="Times New Roman" w:cs="Times New Roman"/>
          <w:noProof/>
        </w:rPr>
        <w:t xml:space="preserve"> </w:t>
      </w:r>
    </w:p>
    <w:p w:rsidR="004552E3" w:rsidRPr="0015544F" w:rsidRDefault="00322CA5" w:rsidP="00322CA5">
      <w:pPr>
        <w:spacing w:after="0" w:line="240" w:lineRule="auto"/>
        <w:jc w:val="both"/>
        <w:rPr>
          <w:rFonts w:ascii="Times New Roman" w:hAnsi="Times New Roman" w:cs="Times New Roman"/>
          <w:noProof/>
          <w:color w:val="FF0000"/>
        </w:rPr>
      </w:pPr>
      <w:r w:rsidRPr="00AB38CA">
        <w:rPr>
          <w:rFonts w:ascii="Times New Roman" w:hAnsi="Times New Roman" w:cs="Times New Roman"/>
          <w:noProof/>
        </w:rPr>
        <w:t xml:space="preserve">Aspectos importantes a destacar </w:t>
      </w:r>
      <w:r>
        <w:rPr>
          <w:rFonts w:ascii="Times New Roman" w:hAnsi="Times New Roman" w:cs="Times New Roman"/>
          <w:noProof/>
        </w:rPr>
        <w:t xml:space="preserve">sobre los </w:t>
      </w:r>
      <w:r w:rsidRPr="00AB38CA">
        <w:rPr>
          <w:rFonts w:ascii="Times New Roman" w:hAnsi="Times New Roman" w:cs="Times New Roman"/>
          <w:noProof/>
        </w:rPr>
        <w:t>resultados son</w:t>
      </w:r>
      <w:r>
        <w:rPr>
          <w:rFonts w:ascii="Times New Roman" w:hAnsi="Times New Roman" w:cs="Times New Roman"/>
          <w:noProof/>
        </w:rPr>
        <w:t>: aumento en número de contribuyentes en e</w:t>
      </w:r>
      <w:r w:rsidRPr="00AB38CA">
        <w:rPr>
          <w:rFonts w:ascii="Times New Roman" w:hAnsi="Times New Roman" w:cs="Times New Roman"/>
          <w:noProof/>
        </w:rPr>
        <w:t xml:space="preserve">l </w:t>
      </w:r>
      <w:r>
        <w:rPr>
          <w:rFonts w:ascii="Times New Roman" w:hAnsi="Times New Roman" w:cs="Times New Roman"/>
          <w:noProof/>
        </w:rPr>
        <w:t>RTU (afiliaciones al IVA e ISR);</w:t>
      </w:r>
      <w:r w:rsidRPr="00AB38CA">
        <w:rPr>
          <w:rFonts w:ascii="Times New Roman" w:hAnsi="Times New Roman" w:cs="Times New Roman"/>
          <w:noProof/>
        </w:rPr>
        <w:t xml:space="preserve">  aumento de emisores de docu</w:t>
      </w:r>
      <w:r>
        <w:rPr>
          <w:rFonts w:ascii="Times New Roman" w:hAnsi="Times New Roman" w:cs="Times New Roman"/>
          <w:noProof/>
        </w:rPr>
        <w:t>mentos tributarios electronicos;</w:t>
      </w:r>
      <w:r w:rsidRPr="00AB38CA">
        <w:rPr>
          <w:rFonts w:ascii="Times New Roman" w:hAnsi="Times New Roman" w:cs="Times New Roman"/>
          <w:noProof/>
        </w:rPr>
        <w:t xml:space="preserve"> recuperaciones por cum</w:t>
      </w:r>
      <w:r>
        <w:rPr>
          <w:rFonts w:ascii="Times New Roman" w:hAnsi="Times New Roman" w:cs="Times New Roman"/>
          <w:noProof/>
        </w:rPr>
        <w:t>plimiento de control tributario;</w:t>
      </w:r>
      <w:r w:rsidRPr="00AB38CA">
        <w:rPr>
          <w:rFonts w:ascii="Times New Roman" w:hAnsi="Times New Roman" w:cs="Times New Roman"/>
          <w:noProof/>
        </w:rPr>
        <w:t xml:space="preserve"> mejoras al sistema de facilidades de pago y a avances en </w:t>
      </w:r>
      <w:r>
        <w:rPr>
          <w:rFonts w:ascii="Times New Roman" w:hAnsi="Times New Roman" w:cs="Times New Roman"/>
          <w:noProof/>
        </w:rPr>
        <w:t>la gobernanza de datos,</w:t>
      </w:r>
      <w:r w:rsidRPr="00AB38CA">
        <w:rPr>
          <w:rFonts w:ascii="Times New Roman" w:hAnsi="Times New Roman" w:cs="Times New Roman"/>
          <w:noProof/>
        </w:rPr>
        <w:t xml:space="preserve"> entre otras.</w:t>
      </w:r>
      <w:r w:rsidR="00AB38CA" w:rsidRPr="0015544F">
        <w:rPr>
          <w:rFonts w:ascii="Times New Roman" w:hAnsi="Times New Roman" w:cs="Times New Roman"/>
          <w:noProof/>
          <w:color w:val="FF0000"/>
        </w:rPr>
        <w:t xml:space="preserve"> </w:t>
      </w:r>
    </w:p>
    <w:p w:rsidR="004552E3" w:rsidRPr="0015544F" w:rsidRDefault="004552E3" w:rsidP="004552E3">
      <w:pPr>
        <w:spacing w:after="0" w:line="240" w:lineRule="auto"/>
        <w:jc w:val="both"/>
        <w:rPr>
          <w:rFonts w:ascii="Times New Roman" w:hAnsi="Times New Roman" w:cs="Times New Roman"/>
          <w:noProof/>
          <w:color w:val="FF0000"/>
        </w:rPr>
      </w:pPr>
    </w:p>
    <w:p w:rsidR="004552E3" w:rsidRPr="0015544F" w:rsidRDefault="004552E3" w:rsidP="004552E3">
      <w:pPr>
        <w:spacing w:after="0" w:line="240" w:lineRule="auto"/>
        <w:jc w:val="both"/>
        <w:rPr>
          <w:rFonts w:ascii="Times New Roman" w:hAnsi="Times New Roman" w:cs="Times New Roman"/>
          <w:noProof/>
          <w:color w:val="FF0000"/>
          <w:sz w:val="8"/>
        </w:rPr>
        <w:sectPr w:rsidR="004552E3" w:rsidRPr="0015544F" w:rsidSect="00A36C8F">
          <w:type w:val="continuous"/>
          <w:pgSz w:w="12240" w:h="15840"/>
          <w:pgMar w:top="1417" w:right="1701" w:bottom="1417" w:left="1701" w:header="720" w:footer="720" w:gutter="0"/>
          <w:cols w:num="2" w:space="720"/>
          <w:docGrid w:linePitch="360"/>
        </w:sectPr>
      </w:pPr>
    </w:p>
    <w:p w:rsidR="004552E3" w:rsidRPr="0015544F" w:rsidRDefault="004552E3" w:rsidP="00EF5550">
      <w:pPr>
        <w:spacing w:after="0" w:line="240" w:lineRule="auto"/>
        <w:jc w:val="both"/>
        <w:rPr>
          <w:rFonts w:ascii="Times New Roman" w:hAnsi="Times New Roman" w:cs="Times New Roman"/>
          <w:noProof/>
          <w:color w:val="FF0000"/>
          <w:sz w:val="24"/>
        </w:rPr>
        <w:sectPr w:rsidR="004552E3" w:rsidRPr="0015544F" w:rsidSect="00A36C8F">
          <w:type w:val="continuous"/>
          <w:pgSz w:w="12240" w:h="15840"/>
          <w:pgMar w:top="1417" w:right="1701" w:bottom="1417" w:left="1701" w:header="720" w:footer="720" w:gutter="0"/>
          <w:cols w:num="2" w:space="720"/>
          <w:docGrid w:linePitch="360"/>
        </w:sectPr>
      </w:pPr>
    </w:p>
    <w:p w:rsidR="00FA3B81" w:rsidRPr="004A5011" w:rsidRDefault="00A21CA3"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A3B81" w:rsidRPr="004A5011" w:rsidSect="00FA3B81">
          <w:headerReference w:type="default" r:id="rId15"/>
          <w:footerReference w:type="default" r:id="rId16"/>
          <w:type w:val="continuous"/>
          <w:pgSz w:w="12240" w:h="15840" w:code="1"/>
          <w:pgMar w:top="1418" w:right="1418" w:bottom="1418" w:left="1418" w:header="709" w:footer="709" w:gutter="0"/>
          <w:cols w:space="708"/>
          <w:docGrid w:linePitch="360"/>
        </w:sectPr>
      </w:pPr>
      <w:r w:rsidRPr="004A5011">
        <w:rPr>
          <w:rFonts w:ascii="Times New Roman" w:hAnsi="Times New Roman" w:cs="Times New Roman"/>
          <w:b/>
          <w:lang w:val="es-MX"/>
        </w:rPr>
        <w:lastRenderedPageBreak/>
        <w:t xml:space="preserve">Se observa una </w:t>
      </w:r>
      <w:r w:rsidR="0021435D" w:rsidRPr="004A5011">
        <w:rPr>
          <w:rFonts w:ascii="Times New Roman" w:hAnsi="Times New Roman" w:cs="Times New Roman"/>
          <w:b/>
          <w:lang w:val="es-MX"/>
        </w:rPr>
        <w:t xml:space="preserve">pequeña </w:t>
      </w:r>
      <w:r w:rsidRPr="004A5011">
        <w:rPr>
          <w:rFonts w:ascii="Times New Roman" w:hAnsi="Times New Roman" w:cs="Times New Roman"/>
          <w:b/>
          <w:lang w:val="es-MX"/>
        </w:rPr>
        <w:t xml:space="preserve">aceleración en </w:t>
      </w:r>
      <w:r w:rsidR="002C4CB2" w:rsidRPr="004A5011">
        <w:rPr>
          <w:rFonts w:ascii="Times New Roman" w:hAnsi="Times New Roman" w:cs="Times New Roman"/>
          <w:b/>
          <w:lang w:val="es-MX"/>
        </w:rPr>
        <w:t>la ejecución</w:t>
      </w:r>
      <w:r w:rsidRPr="004A5011">
        <w:rPr>
          <w:rFonts w:ascii="Times New Roman" w:hAnsi="Times New Roman" w:cs="Times New Roman"/>
          <w:b/>
          <w:lang w:val="es-MX"/>
        </w:rPr>
        <w:t xml:space="preserve"> </w:t>
      </w:r>
      <w:r w:rsidR="00E06DEC" w:rsidRPr="004A5011">
        <w:rPr>
          <w:rFonts w:ascii="Times New Roman" w:hAnsi="Times New Roman" w:cs="Times New Roman"/>
          <w:b/>
          <w:lang w:val="es-MX"/>
        </w:rPr>
        <w:t>de</w:t>
      </w:r>
      <w:r w:rsidRPr="004A5011">
        <w:rPr>
          <w:rFonts w:ascii="Times New Roman" w:hAnsi="Times New Roman" w:cs="Times New Roman"/>
          <w:b/>
          <w:lang w:val="es-MX"/>
        </w:rPr>
        <w:t>l</w:t>
      </w:r>
      <w:r w:rsidR="00924740" w:rsidRPr="004A5011">
        <w:rPr>
          <w:rFonts w:ascii="Times New Roman" w:hAnsi="Times New Roman" w:cs="Times New Roman"/>
          <w:b/>
          <w:lang w:val="es-MX"/>
        </w:rPr>
        <w:t xml:space="preserve"> </w:t>
      </w:r>
      <w:r w:rsidR="00E37543" w:rsidRPr="004A5011">
        <w:rPr>
          <w:rFonts w:ascii="Times New Roman" w:hAnsi="Times New Roman" w:cs="Times New Roman"/>
          <w:b/>
          <w:lang w:val="es-MX"/>
        </w:rPr>
        <w:t xml:space="preserve">gasto </w:t>
      </w:r>
      <w:r w:rsidR="0041262B" w:rsidRPr="004A5011">
        <w:rPr>
          <w:rFonts w:ascii="Times New Roman" w:hAnsi="Times New Roman" w:cs="Times New Roman"/>
          <w:b/>
          <w:lang w:val="es-MX"/>
        </w:rPr>
        <w:t>público</w:t>
      </w:r>
    </w:p>
    <w:p w:rsidR="00FA3B81" w:rsidRPr="0015544F" w:rsidRDefault="00FA3B81" w:rsidP="00FA3B81">
      <w:pPr>
        <w:pStyle w:val="Sinespaciado"/>
        <w:rPr>
          <w:rFonts w:ascii="Times New Roman" w:hAnsi="Times New Roman" w:cs="Times New Roman"/>
          <w:b/>
          <w:color w:val="FF0000"/>
          <w:sz w:val="18"/>
          <w:lang w:val="es-MX"/>
        </w:rPr>
      </w:pPr>
    </w:p>
    <w:p w:rsidR="00FA3B81" w:rsidRPr="0015544F" w:rsidRDefault="00FA3B81" w:rsidP="0041262B">
      <w:pPr>
        <w:pStyle w:val="Sinespaciado"/>
        <w:rPr>
          <w:rFonts w:ascii="Times New Roman" w:hAnsi="Times New Roman" w:cs="Times New Roman"/>
          <w:b/>
          <w:color w:val="FF0000"/>
          <w:sz w:val="24"/>
          <w:lang w:val="es-MX"/>
        </w:rPr>
        <w:sectPr w:rsidR="00FA3B81" w:rsidRPr="0015544F" w:rsidSect="004E358C">
          <w:type w:val="continuous"/>
          <w:pgSz w:w="12240" w:h="15840"/>
          <w:pgMar w:top="1417" w:right="1701" w:bottom="1417" w:left="1701" w:header="708" w:footer="708" w:gutter="0"/>
          <w:cols w:space="708"/>
          <w:docGrid w:linePitch="360"/>
        </w:sectPr>
      </w:pPr>
    </w:p>
    <w:p w:rsidR="00E92310" w:rsidRDefault="00E92310" w:rsidP="00E92310">
      <w:pPr>
        <w:pStyle w:val="Sinespaciado"/>
        <w:jc w:val="both"/>
        <w:rPr>
          <w:rFonts w:ascii="Times New Roman" w:hAnsi="Times New Roman" w:cs="Times New Roman"/>
          <w:lang w:val="es-MX"/>
        </w:rPr>
      </w:pPr>
      <w:r w:rsidRPr="001E2D24">
        <w:rPr>
          <w:rFonts w:ascii="Times New Roman" w:hAnsi="Times New Roman" w:cs="Times New Roman"/>
          <w:lang w:val="es-MX"/>
        </w:rPr>
        <w:lastRenderedPageBreak/>
        <w:t xml:space="preserve">La ejecución del gasto público </w:t>
      </w:r>
      <w:r>
        <w:rPr>
          <w:rFonts w:ascii="Times New Roman" w:hAnsi="Times New Roman" w:cs="Times New Roman"/>
          <w:lang w:val="es-MX"/>
        </w:rPr>
        <w:t xml:space="preserve">a julio </w:t>
      </w:r>
      <w:r w:rsidRPr="001E2D24">
        <w:rPr>
          <w:rFonts w:ascii="Times New Roman" w:hAnsi="Times New Roman" w:cs="Times New Roman"/>
          <w:lang w:val="es-MX"/>
        </w:rPr>
        <w:t>sin incluir las amortizaciones de</w:t>
      </w:r>
      <w:r>
        <w:rPr>
          <w:rFonts w:ascii="Times New Roman" w:hAnsi="Times New Roman" w:cs="Times New Roman"/>
          <w:lang w:val="es-MX"/>
        </w:rPr>
        <w:t xml:space="preserve"> la deuda pública se ubicó en Q48</w:t>
      </w:r>
      <w:r w:rsidRPr="001E2D24">
        <w:rPr>
          <w:rFonts w:ascii="Times New Roman" w:hAnsi="Times New Roman" w:cs="Times New Roman"/>
          <w:lang w:val="es-MX"/>
        </w:rPr>
        <w:t>,</w:t>
      </w:r>
      <w:r>
        <w:rPr>
          <w:rFonts w:ascii="Times New Roman" w:hAnsi="Times New Roman" w:cs="Times New Roman"/>
          <w:lang w:val="es-MX"/>
        </w:rPr>
        <w:t>596.3 millones</w:t>
      </w:r>
      <w:r w:rsidRPr="001E2D24">
        <w:rPr>
          <w:rFonts w:ascii="Times New Roman" w:hAnsi="Times New Roman" w:cs="Times New Roman"/>
          <w:lang w:val="es-MX"/>
        </w:rPr>
        <w:t xml:space="preserve"> con un crecimiento interanual</w:t>
      </w:r>
      <w:r>
        <w:rPr>
          <w:rFonts w:ascii="Times New Roman" w:hAnsi="Times New Roman" w:cs="Times New Roman"/>
          <w:lang w:val="es-MX"/>
        </w:rPr>
        <w:t xml:space="preserve"> de 1.5% (equivalente a Q717.8 millones), mostrando una aceleración respecto al dinamismo observado en el mes previo. Asimismo, el crecimiento observado es menor al reportado en 2020, cuando el gasto estaba creciendo en 10.2%, dado que a julio de ese año se encontraban en ejecución varias actividades relacionadas a la atención de la pandemia COVID-19, mientras que para este año la mayor parte de dichas actividades ya no </w:t>
      </w:r>
      <w:r>
        <w:rPr>
          <w:rFonts w:ascii="Times New Roman" w:hAnsi="Times New Roman" w:cs="Times New Roman"/>
          <w:lang w:val="es-MX"/>
        </w:rPr>
        <w:lastRenderedPageBreak/>
        <w:t xml:space="preserve">se encuentran vigentes dado que cumplieron los objetivos correspondientes en 2020, salvo las actividades relacionadas a la atención de la salud y la vacunación asociadas a la pandemia que aún se ejecutan en este año. </w:t>
      </w:r>
    </w:p>
    <w:p w:rsidR="00E92310" w:rsidRDefault="00E92310" w:rsidP="00E92310">
      <w:pPr>
        <w:pStyle w:val="Sinespaciado"/>
        <w:jc w:val="both"/>
        <w:rPr>
          <w:rFonts w:ascii="Times New Roman" w:hAnsi="Times New Roman" w:cs="Times New Roman"/>
          <w:lang w:val="es-MX"/>
        </w:rPr>
      </w:pPr>
    </w:p>
    <w:p w:rsidR="00E92310" w:rsidRPr="00474998" w:rsidRDefault="00E92310" w:rsidP="00E92310">
      <w:pPr>
        <w:pStyle w:val="Sinespaciado"/>
        <w:jc w:val="both"/>
        <w:rPr>
          <w:rFonts w:ascii="Times New Roman" w:hAnsi="Times New Roman" w:cs="Times New Roman"/>
          <w:lang w:val="es-MX"/>
        </w:rPr>
      </w:pPr>
      <w:r>
        <w:rPr>
          <w:rFonts w:ascii="Times New Roman" w:hAnsi="Times New Roman" w:cs="Times New Roman"/>
          <w:lang w:val="es-MX"/>
        </w:rPr>
        <w:t xml:space="preserve">Para finales del año, se espera que la variación interanual del gasto público sea negativa, ya que la ejecución del gasto relacionada al COVID-19 que se dio durante el año 2020 y que impulsó significativamente el gasto público, no es equiparable a la observada durante 2021, además en el primer trimestre del </w:t>
      </w:r>
      <w:r>
        <w:rPr>
          <w:rFonts w:ascii="Times New Roman" w:hAnsi="Times New Roman" w:cs="Times New Roman"/>
          <w:lang w:val="es-MX"/>
        </w:rPr>
        <w:lastRenderedPageBreak/>
        <w:t xml:space="preserve">año el Ejecutivo anunció un presupuesto operativo de </w:t>
      </w:r>
      <w:bookmarkStart w:id="1" w:name="OLE_LINK1"/>
      <w:r w:rsidRPr="00474998">
        <w:rPr>
          <w:rFonts w:ascii="Times New Roman" w:hAnsi="Times New Roman" w:cs="Times New Roman"/>
          <w:lang w:val="es-MX"/>
        </w:rPr>
        <w:t xml:space="preserve">Q94,354.0 </w:t>
      </w:r>
      <w:bookmarkEnd w:id="1"/>
      <w:r w:rsidRPr="00474998">
        <w:rPr>
          <w:rFonts w:ascii="Times New Roman" w:hAnsi="Times New Roman" w:cs="Times New Roman"/>
          <w:lang w:val="es-MX"/>
        </w:rPr>
        <w:t>millones,</w:t>
      </w:r>
      <w:r>
        <w:rPr>
          <w:rFonts w:ascii="Times New Roman" w:hAnsi="Times New Roman" w:cs="Times New Roman"/>
          <w:lang w:val="es-MX"/>
        </w:rPr>
        <w:t xml:space="preserve"> es decir, las entidades tendrán que sujetarse a este techo presupuestario, siendo menor a la ejecución observada en 2020, por lo tanto la </w:t>
      </w:r>
      <w:r w:rsidRPr="00474998">
        <w:rPr>
          <w:rFonts w:ascii="Times New Roman" w:hAnsi="Times New Roman" w:cs="Times New Roman"/>
          <w:lang w:val="es-MX"/>
        </w:rPr>
        <w:t>ejecución quedaría por debajo de lo</w:t>
      </w:r>
      <w:r>
        <w:rPr>
          <w:rFonts w:ascii="Times New Roman" w:hAnsi="Times New Roman" w:cs="Times New Roman"/>
          <w:lang w:val="es-MX"/>
        </w:rPr>
        <w:t xml:space="preserve"> observado en el año previo.</w:t>
      </w:r>
    </w:p>
    <w:p w:rsidR="00E92310" w:rsidRPr="00474998" w:rsidRDefault="00E92310" w:rsidP="00E92310">
      <w:pPr>
        <w:pStyle w:val="Sinespaciado"/>
        <w:jc w:val="both"/>
        <w:rPr>
          <w:rFonts w:ascii="Times New Roman" w:hAnsi="Times New Roman" w:cs="Times New Roman"/>
          <w:lang w:val="es-MX"/>
        </w:rPr>
      </w:pPr>
    </w:p>
    <w:p w:rsidR="00E92310" w:rsidRPr="00474998" w:rsidRDefault="00E92310" w:rsidP="00E92310">
      <w:pPr>
        <w:pStyle w:val="Sinespaciado"/>
        <w:jc w:val="center"/>
        <w:rPr>
          <w:rFonts w:ascii="Times New Roman" w:hAnsi="Times New Roman" w:cs="Times New Roman"/>
          <w:b/>
          <w:lang w:val="es-MX"/>
        </w:rPr>
      </w:pPr>
      <w:r w:rsidRPr="00474998">
        <w:rPr>
          <w:rFonts w:ascii="Times New Roman" w:hAnsi="Times New Roman" w:cs="Times New Roman"/>
          <w:b/>
          <w:lang w:val="es-MX"/>
        </w:rPr>
        <w:t>Ritmo de Ejecución del Gasto</w:t>
      </w:r>
    </w:p>
    <w:p w:rsidR="00E92310" w:rsidRPr="00474998" w:rsidRDefault="00E92310" w:rsidP="00E92310">
      <w:pPr>
        <w:pStyle w:val="Sinespaciado"/>
        <w:jc w:val="center"/>
        <w:rPr>
          <w:rFonts w:ascii="Times New Roman" w:hAnsi="Times New Roman" w:cs="Times New Roman"/>
          <w:sz w:val="18"/>
          <w:lang w:val="es-MX"/>
        </w:rPr>
      </w:pPr>
      <w:r w:rsidRPr="00474998">
        <w:rPr>
          <w:rFonts w:ascii="Times New Roman" w:hAnsi="Times New Roman" w:cs="Times New Roman"/>
          <w:noProof/>
          <w:sz w:val="18"/>
          <w:lang w:eastAsia="es-GT"/>
        </w:rPr>
        <w:drawing>
          <wp:anchor distT="0" distB="0" distL="114300" distR="114300" simplePos="0" relativeHeight="251855872" behindDoc="0" locked="0" layoutInCell="1" allowOverlap="1" wp14:anchorId="51585B7E" wp14:editId="45BACFDB">
            <wp:simplePos x="0" y="0"/>
            <wp:positionH relativeFrom="column">
              <wp:posOffset>-1270</wp:posOffset>
            </wp:positionH>
            <wp:positionV relativeFrom="paragraph">
              <wp:posOffset>132080</wp:posOffset>
            </wp:positionV>
            <wp:extent cx="2700020" cy="2223770"/>
            <wp:effectExtent l="0" t="0" r="5080" b="5080"/>
            <wp:wrapSquare wrapText="bothSides"/>
            <wp:docPr id="23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474998">
        <w:rPr>
          <w:rFonts w:ascii="Times New Roman" w:hAnsi="Times New Roman" w:cs="Times New Roman"/>
          <w:sz w:val="18"/>
          <w:lang w:val="es-MX"/>
        </w:rPr>
        <w:t>Variación Interanual</w:t>
      </w:r>
      <w:r>
        <w:rPr>
          <w:rFonts w:ascii="Times New Roman" w:hAnsi="Times New Roman" w:cs="Times New Roman"/>
          <w:sz w:val="18"/>
          <w:lang w:val="es-MX"/>
        </w:rPr>
        <w:t xml:space="preserve"> (%)</w:t>
      </w:r>
      <w:r w:rsidRPr="00474998">
        <w:rPr>
          <w:rFonts w:ascii="Times New Roman" w:hAnsi="Times New Roman" w:cs="Times New Roman"/>
          <w:sz w:val="18"/>
          <w:lang w:val="es-MX"/>
        </w:rPr>
        <w:t>*</w:t>
      </w:r>
    </w:p>
    <w:p w:rsidR="00E92310" w:rsidRPr="00474998" w:rsidRDefault="00E92310" w:rsidP="00E92310">
      <w:pPr>
        <w:pStyle w:val="Sinespaciado"/>
        <w:rPr>
          <w:rFonts w:ascii="Times New Roman" w:hAnsi="Times New Roman" w:cs="Times New Roman"/>
          <w:sz w:val="16"/>
          <w:lang w:val="es-MX"/>
        </w:rPr>
      </w:pPr>
      <w:r w:rsidRPr="00474998">
        <w:rPr>
          <w:rFonts w:ascii="Times New Roman" w:hAnsi="Times New Roman" w:cs="Times New Roman"/>
          <w:sz w:val="16"/>
          <w:lang w:val="es-MX"/>
        </w:rPr>
        <w:t>*No incluye amortizaciones de la deuda pública</w:t>
      </w:r>
    </w:p>
    <w:p w:rsidR="00E92310" w:rsidRPr="00474998" w:rsidRDefault="00E92310" w:rsidP="00E92310">
      <w:pPr>
        <w:spacing w:after="0" w:line="240" w:lineRule="auto"/>
        <w:jc w:val="both"/>
        <w:rPr>
          <w:rFonts w:ascii="Times New Roman" w:hAnsi="Times New Roman" w:cs="Times New Roman"/>
          <w:sz w:val="16"/>
        </w:rPr>
      </w:pPr>
      <w:r w:rsidRPr="00474998">
        <w:rPr>
          <w:rFonts w:ascii="Times New Roman" w:hAnsi="Times New Roman" w:cs="Times New Roman"/>
          <w:sz w:val="16"/>
        </w:rPr>
        <w:t>Fuente: Dirección de Análisis y Política Fiscal</w:t>
      </w:r>
    </w:p>
    <w:p w:rsidR="00E92310" w:rsidRPr="002C4CB2" w:rsidRDefault="00E92310" w:rsidP="00E92310">
      <w:pPr>
        <w:pStyle w:val="Sinespaciado"/>
        <w:jc w:val="both"/>
        <w:rPr>
          <w:rFonts w:ascii="Times New Roman" w:hAnsi="Times New Roman" w:cs="Times New Roman"/>
          <w:color w:val="FF0000"/>
          <w:lang w:val="es-MX"/>
        </w:rPr>
      </w:pPr>
    </w:p>
    <w:p w:rsidR="00E92310" w:rsidRDefault="00E92310" w:rsidP="00E92310">
      <w:pPr>
        <w:pStyle w:val="Sinespaciado"/>
        <w:jc w:val="both"/>
        <w:rPr>
          <w:rFonts w:ascii="Times New Roman" w:hAnsi="Times New Roman" w:cs="Times New Roman"/>
          <w:lang w:val="es-MX"/>
        </w:rPr>
      </w:pPr>
      <w:r>
        <w:rPr>
          <w:rFonts w:ascii="Times New Roman" w:hAnsi="Times New Roman" w:cs="Times New Roman"/>
          <w:lang w:val="es-MX"/>
        </w:rPr>
        <w:t xml:space="preserve">A nivel de rubro de cuenta económica, el mayor crecimiento absoluto se reporta en los bienes y servicios con una ejecución mayor en Q2,348.6 millones (equivalente a un crecimiento interanual de 59.6%), explicado principalmente por un aumento de Q1,172.5 millones en el Ministerio de Salud Pública y Asistencia Social destinado principalmente en los productos medicinales y farmacéuticos por Q652.2 millones, siendo este renglón donde se registra la compra de la vacuna contra el COVID-19. Asimismo, los servicios médico-sanitarios reportan un aumento de Q225.6 millones, además de las retribuciones por servicios profesionales y técnicos incluye pruebas de laboratorio, que contiene las asociadas al COVID-19. Otros renglones que reportan un crecimiento interanual importante son los otros estudios o servicios y los útiles </w:t>
      </w:r>
      <w:r>
        <w:rPr>
          <w:rFonts w:ascii="Times New Roman" w:hAnsi="Times New Roman" w:cs="Times New Roman"/>
          <w:lang w:val="es-MX"/>
        </w:rPr>
        <w:lastRenderedPageBreak/>
        <w:t xml:space="preserve">menores, suministros e instrumental médico quirúrgicos de laboratorio y cuidados de la salud, con Q85.9 y Q80.5 millones, respectivamente.  </w:t>
      </w:r>
    </w:p>
    <w:p w:rsidR="00E92310" w:rsidRDefault="00E92310" w:rsidP="00E92310">
      <w:pPr>
        <w:pStyle w:val="Sinespaciado"/>
        <w:jc w:val="both"/>
        <w:rPr>
          <w:rFonts w:ascii="Times New Roman" w:hAnsi="Times New Roman" w:cs="Times New Roman"/>
          <w:lang w:val="es-MX"/>
        </w:rPr>
      </w:pPr>
    </w:p>
    <w:p w:rsidR="00E92310" w:rsidRDefault="00E92310" w:rsidP="00E92310">
      <w:pPr>
        <w:pStyle w:val="Sinespaciado"/>
        <w:jc w:val="both"/>
        <w:rPr>
          <w:rFonts w:ascii="Times New Roman" w:hAnsi="Times New Roman" w:cs="Times New Roman"/>
          <w:lang w:val="es-MX"/>
        </w:rPr>
      </w:pPr>
      <w:r>
        <w:rPr>
          <w:rFonts w:ascii="Times New Roman" w:hAnsi="Times New Roman" w:cs="Times New Roman"/>
          <w:lang w:val="es-MX"/>
        </w:rPr>
        <w:t xml:space="preserve">Por su parte, en el Ministerio de Comunicaciones, Infraestructura y Vivienda se reporta un crecimiento absoluto en el rubro de bienes y servicios por Q665.8 millones </w:t>
      </w:r>
      <w:r w:rsidRPr="00BC1A2D">
        <w:rPr>
          <w:rFonts w:ascii="Times New Roman" w:hAnsi="Times New Roman" w:cs="Times New Roman"/>
          <w:lang w:val="es-MX"/>
        </w:rPr>
        <w:t xml:space="preserve">(equivalente a </w:t>
      </w:r>
      <w:r>
        <w:rPr>
          <w:rFonts w:ascii="Times New Roman" w:hAnsi="Times New Roman" w:cs="Times New Roman"/>
          <w:lang w:val="es-MX"/>
        </w:rPr>
        <w:t>112.9</w:t>
      </w:r>
      <w:r w:rsidRPr="00BC1A2D">
        <w:rPr>
          <w:rFonts w:ascii="Times New Roman" w:hAnsi="Times New Roman" w:cs="Times New Roman"/>
          <w:lang w:val="es-MX"/>
        </w:rPr>
        <w:t>%</w:t>
      </w:r>
      <w:r>
        <w:rPr>
          <w:rFonts w:ascii="Times New Roman" w:hAnsi="Times New Roman" w:cs="Times New Roman"/>
          <w:lang w:val="es-MX"/>
        </w:rPr>
        <w:t xml:space="preserve">) como resultado de una mayor ejecución en el mantenimiento y reparación de edificios (Q114.8 millones) y mantenimiento y reparación de infraestructura vial (Q496.1 millones). </w:t>
      </w:r>
    </w:p>
    <w:p w:rsidR="00E92310" w:rsidRDefault="00E92310" w:rsidP="00E92310">
      <w:pPr>
        <w:pStyle w:val="Sinespaciado"/>
        <w:jc w:val="both"/>
        <w:rPr>
          <w:rFonts w:ascii="Times New Roman" w:hAnsi="Times New Roman" w:cs="Times New Roman"/>
          <w:lang w:val="es-MX"/>
        </w:rPr>
      </w:pPr>
    </w:p>
    <w:p w:rsidR="00E92310" w:rsidRDefault="00E92310" w:rsidP="00E92310">
      <w:pPr>
        <w:pStyle w:val="Sinespaciado"/>
        <w:jc w:val="both"/>
        <w:rPr>
          <w:rFonts w:ascii="Times New Roman" w:hAnsi="Times New Roman" w:cs="Times New Roman"/>
          <w:lang w:val="es-MX"/>
        </w:rPr>
      </w:pPr>
      <w:r>
        <w:rPr>
          <w:rFonts w:ascii="Times New Roman" w:hAnsi="Times New Roman" w:cs="Times New Roman"/>
          <w:lang w:val="es-MX"/>
        </w:rPr>
        <w:t xml:space="preserve">Asimismo, en el Ministerio de Agricultura, Ganadería y Alimentación, se reporta un aumento de Q143.7 millones y en Desarrollo Social el aumento es de Q127.5 millones, que responden a alimentos para personas en su gran mayoría, corresponde a las bolsas de alimentos entregadas a familias en atención a la emergencia del COVID-19, durante 2020 se entregó un anticipo al Programa Mundial de Alimentos (PMA) el cual está siendo regularizado, quedando aun un saldo pendiente de regularizar. </w:t>
      </w:r>
    </w:p>
    <w:p w:rsidR="00E92310" w:rsidRPr="008B062E" w:rsidRDefault="00E92310" w:rsidP="00E92310">
      <w:pPr>
        <w:pStyle w:val="Sinespaciado"/>
        <w:jc w:val="both"/>
        <w:rPr>
          <w:rFonts w:ascii="Times New Roman" w:hAnsi="Times New Roman" w:cs="Times New Roman"/>
          <w:sz w:val="18"/>
          <w:lang w:val="es-MX"/>
        </w:rPr>
      </w:pPr>
    </w:p>
    <w:p w:rsidR="00E92310" w:rsidRDefault="00E92310" w:rsidP="00E92310">
      <w:pPr>
        <w:pStyle w:val="Sinespaciado"/>
        <w:jc w:val="both"/>
        <w:rPr>
          <w:rFonts w:ascii="Times New Roman" w:hAnsi="Times New Roman" w:cs="Times New Roman"/>
          <w:lang w:val="es-MX"/>
        </w:rPr>
      </w:pPr>
      <w:r>
        <w:rPr>
          <w:rFonts w:ascii="Times New Roman" w:hAnsi="Times New Roman" w:cs="Times New Roman"/>
          <w:lang w:val="es-MX"/>
        </w:rPr>
        <w:t>Por su parte, el Ministerio de Gobernación reporta un aumento de Q100.3 millones en los bienes y servicios que corresponde en su mayoría a primas y gastos de seguros de fianzas, alimento para personas y prendas de vestir, mientras que el rubro de combustibles y lubricantes reportan una ejecución menor en Q55.0 millones. En las Obligaciones del Estado a cargo del Tesoro, también se reporta un aumento de Q74.5 millones, el cual se explica casi en su totalidad por las comisiones que recibe la Superintendencia de Administración Tributaria (SAT) por la recaudación obtenida, la cual está percibiendo una mayor cantidad de recursos en este año.</w:t>
      </w:r>
    </w:p>
    <w:p w:rsidR="00E92310" w:rsidRPr="008B062E" w:rsidRDefault="00E92310" w:rsidP="00E92310">
      <w:pPr>
        <w:pStyle w:val="Sinespaciado"/>
        <w:jc w:val="both"/>
        <w:rPr>
          <w:rFonts w:ascii="Times New Roman" w:hAnsi="Times New Roman" w:cs="Times New Roman"/>
          <w:sz w:val="18"/>
          <w:lang w:val="es-MX"/>
        </w:rPr>
      </w:pPr>
    </w:p>
    <w:p w:rsidR="00E92310" w:rsidRDefault="00E92310" w:rsidP="00E92310">
      <w:pPr>
        <w:pStyle w:val="Sinespaciado"/>
        <w:jc w:val="both"/>
        <w:rPr>
          <w:rFonts w:ascii="Times New Roman" w:hAnsi="Times New Roman" w:cs="Times New Roman"/>
          <w:lang w:val="es-MX"/>
        </w:rPr>
      </w:pPr>
      <w:r>
        <w:rPr>
          <w:rFonts w:ascii="Times New Roman" w:hAnsi="Times New Roman" w:cs="Times New Roman"/>
          <w:lang w:val="es-MX"/>
        </w:rPr>
        <w:t xml:space="preserve">En lo que respecta a los intereses de la deuda interna y externa se dio un aumento de Q895.8 </w:t>
      </w:r>
      <w:r>
        <w:rPr>
          <w:rFonts w:ascii="Times New Roman" w:hAnsi="Times New Roman" w:cs="Times New Roman"/>
          <w:lang w:val="es-MX"/>
        </w:rPr>
        <w:lastRenderedPageBreak/>
        <w:t xml:space="preserve">millones (equivalente a un crecimiento de 17.1%). En la deuda interna se encuentra concentrado la mayor parte de dicho incremento con Q746.2 millones, resalta en este caso particular, la disminución de la tasa cupón en las operaciones de colocación de bonos en el mercado doméstico, aprovechando el exceso de liquidez que hay en el sistema. Asimismo, en la deuda externa, los intereses de préstamos con organismos internacionales reportan una menor ejecución por Q124.4 millones. Por su parte, los intereses de bonos externos correspondiente a la colocación de Eurobonos, reportan una ejecución </w:t>
      </w:r>
      <w:r w:rsidRPr="007E138A">
        <w:rPr>
          <w:rFonts w:ascii="Times New Roman" w:hAnsi="Times New Roman" w:cs="Times New Roman"/>
          <w:lang w:val="es-MX"/>
        </w:rPr>
        <w:t xml:space="preserve">mayor </w:t>
      </w:r>
      <w:r>
        <w:rPr>
          <w:rFonts w:ascii="Times New Roman" w:hAnsi="Times New Roman" w:cs="Times New Roman"/>
          <w:lang w:val="es-MX"/>
        </w:rPr>
        <w:t>en Q274.1 millones, producto de la colocación de dichos títulos en 2020.</w:t>
      </w:r>
    </w:p>
    <w:p w:rsidR="00E92310" w:rsidRPr="008B062E" w:rsidRDefault="00E92310" w:rsidP="00E92310">
      <w:pPr>
        <w:pStyle w:val="Sinespaciado"/>
        <w:jc w:val="both"/>
        <w:rPr>
          <w:rFonts w:ascii="Times New Roman" w:hAnsi="Times New Roman" w:cs="Times New Roman"/>
          <w:sz w:val="18"/>
          <w:lang w:val="es-MX"/>
        </w:rPr>
      </w:pPr>
    </w:p>
    <w:p w:rsidR="00E92310" w:rsidRDefault="00E92310" w:rsidP="00E92310">
      <w:pPr>
        <w:pStyle w:val="Sinespaciado"/>
        <w:jc w:val="both"/>
        <w:rPr>
          <w:rFonts w:ascii="Times New Roman" w:hAnsi="Times New Roman" w:cs="Times New Roman"/>
          <w:lang w:val="es-MX"/>
        </w:rPr>
      </w:pPr>
      <w:r w:rsidRPr="00DE41EC">
        <w:rPr>
          <w:rFonts w:ascii="Times New Roman" w:hAnsi="Times New Roman" w:cs="Times New Roman"/>
          <w:lang w:val="es-MX"/>
        </w:rPr>
        <w:t xml:space="preserve">En el rubro de las remuneraciones se </w:t>
      </w:r>
      <w:r>
        <w:rPr>
          <w:rFonts w:ascii="Times New Roman" w:hAnsi="Times New Roman" w:cs="Times New Roman"/>
          <w:lang w:val="es-MX"/>
        </w:rPr>
        <w:t>reporta un crecimiento de 3.7%, siendo equivalente a</w:t>
      </w:r>
      <w:r w:rsidRPr="00DE41EC">
        <w:rPr>
          <w:rFonts w:ascii="Times New Roman" w:hAnsi="Times New Roman" w:cs="Times New Roman"/>
          <w:lang w:val="es-MX"/>
        </w:rPr>
        <w:t xml:space="preserve"> </w:t>
      </w:r>
      <w:r>
        <w:rPr>
          <w:rFonts w:ascii="Times New Roman" w:hAnsi="Times New Roman" w:cs="Times New Roman"/>
          <w:lang w:val="es-MX"/>
        </w:rPr>
        <w:t xml:space="preserve">una mayor </w:t>
      </w:r>
      <w:r w:rsidRPr="00DE41EC">
        <w:rPr>
          <w:rFonts w:ascii="Times New Roman" w:hAnsi="Times New Roman" w:cs="Times New Roman"/>
          <w:lang w:val="es-MX"/>
        </w:rPr>
        <w:t xml:space="preserve">ejecución </w:t>
      </w:r>
      <w:r>
        <w:rPr>
          <w:rFonts w:ascii="Times New Roman" w:hAnsi="Times New Roman" w:cs="Times New Roman"/>
          <w:lang w:val="es-MX"/>
        </w:rPr>
        <w:t>en Q579</w:t>
      </w:r>
      <w:r w:rsidRPr="00DE41EC">
        <w:rPr>
          <w:rFonts w:ascii="Times New Roman" w:hAnsi="Times New Roman" w:cs="Times New Roman"/>
          <w:lang w:val="es-MX"/>
        </w:rPr>
        <w:t>.</w:t>
      </w:r>
      <w:r>
        <w:rPr>
          <w:rFonts w:ascii="Times New Roman" w:hAnsi="Times New Roman" w:cs="Times New Roman"/>
          <w:lang w:val="es-MX"/>
        </w:rPr>
        <w:t>1</w:t>
      </w:r>
      <w:r w:rsidRPr="00DE41EC">
        <w:rPr>
          <w:rFonts w:ascii="Times New Roman" w:hAnsi="Times New Roman" w:cs="Times New Roman"/>
          <w:lang w:val="es-MX"/>
        </w:rPr>
        <w:t xml:space="preserve"> millones a la reportada en 2020. El Ministerio de Educación reporta el mayor </w:t>
      </w:r>
      <w:r>
        <w:rPr>
          <w:rFonts w:ascii="Times New Roman" w:hAnsi="Times New Roman" w:cs="Times New Roman"/>
          <w:lang w:val="es-MX"/>
        </w:rPr>
        <w:t>aumento absoluto, siendo de Q305.3</w:t>
      </w:r>
      <w:r w:rsidRPr="00DE41EC">
        <w:rPr>
          <w:rFonts w:ascii="Times New Roman" w:hAnsi="Times New Roman" w:cs="Times New Roman"/>
          <w:lang w:val="es-MX"/>
        </w:rPr>
        <w:t xml:space="preserve"> millones (equivalente a </w:t>
      </w:r>
      <w:r>
        <w:rPr>
          <w:rFonts w:ascii="Times New Roman" w:hAnsi="Times New Roman" w:cs="Times New Roman"/>
          <w:lang w:val="es-MX"/>
        </w:rPr>
        <w:t>4</w:t>
      </w:r>
      <w:r w:rsidRPr="00DE41EC">
        <w:rPr>
          <w:rFonts w:ascii="Times New Roman" w:hAnsi="Times New Roman" w:cs="Times New Roman"/>
          <w:lang w:val="es-MX"/>
        </w:rPr>
        <w:t>.</w:t>
      </w:r>
      <w:r>
        <w:rPr>
          <w:rFonts w:ascii="Times New Roman" w:hAnsi="Times New Roman" w:cs="Times New Roman"/>
          <w:lang w:val="es-MX"/>
        </w:rPr>
        <w:t>0</w:t>
      </w:r>
      <w:r w:rsidRPr="00DE41EC">
        <w:rPr>
          <w:rFonts w:ascii="Times New Roman" w:hAnsi="Times New Roman" w:cs="Times New Roman"/>
          <w:lang w:val="es-MX"/>
        </w:rPr>
        <w:t>%), esto se debe principalmente al crecimiento del renglón 017 “derechos escalafonarios” en Q1</w:t>
      </w:r>
      <w:r>
        <w:rPr>
          <w:rFonts w:ascii="Times New Roman" w:hAnsi="Times New Roman" w:cs="Times New Roman"/>
          <w:lang w:val="es-MX"/>
        </w:rPr>
        <w:t>76</w:t>
      </w:r>
      <w:r w:rsidRPr="00DE41EC">
        <w:rPr>
          <w:rFonts w:ascii="Times New Roman" w:hAnsi="Times New Roman" w:cs="Times New Roman"/>
          <w:lang w:val="es-MX"/>
        </w:rPr>
        <w:t>.</w:t>
      </w:r>
      <w:r>
        <w:rPr>
          <w:rFonts w:ascii="Times New Roman" w:hAnsi="Times New Roman" w:cs="Times New Roman"/>
          <w:lang w:val="es-MX"/>
        </w:rPr>
        <w:t>8</w:t>
      </w:r>
      <w:r w:rsidRPr="00DE41EC">
        <w:rPr>
          <w:rFonts w:ascii="Times New Roman" w:hAnsi="Times New Roman" w:cs="Times New Roman"/>
          <w:lang w:val="es-MX"/>
        </w:rPr>
        <w:t xml:space="preserve"> millones y el renglón 011 “personal permanente” en Q</w:t>
      </w:r>
      <w:r>
        <w:rPr>
          <w:rFonts w:ascii="Times New Roman" w:hAnsi="Times New Roman" w:cs="Times New Roman"/>
          <w:lang w:val="es-MX"/>
        </w:rPr>
        <w:t xml:space="preserve">94.0 millones, debido esto último al aumento de personal que ha contratado este ministerio en lo que va del año. </w:t>
      </w:r>
    </w:p>
    <w:p w:rsidR="00E92310" w:rsidRPr="008B062E" w:rsidRDefault="00E92310" w:rsidP="00E92310">
      <w:pPr>
        <w:pStyle w:val="Sinespaciado"/>
        <w:jc w:val="both"/>
        <w:rPr>
          <w:rFonts w:ascii="Times New Roman" w:hAnsi="Times New Roman" w:cs="Times New Roman"/>
          <w:sz w:val="18"/>
          <w:lang w:val="es-MX"/>
        </w:rPr>
      </w:pPr>
    </w:p>
    <w:p w:rsidR="00E92310" w:rsidRDefault="00E92310" w:rsidP="00E92310">
      <w:pPr>
        <w:pStyle w:val="Sinespaciado"/>
        <w:jc w:val="both"/>
        <w:rPr>
          <w:rFonts w:ascii="Times New Roman" w:hAnsi="Times New Roman" w:cs="Times New Roman"/>
          <w:lang w:val="es-MX"/>
        </w:rPr>
      </w:pPr>
      <w:r w:rsidRPr="00DE41EC">
        <w:rPr>
          <w:rFonts w:ascii="Times New Roman" w:hAnsi="Times New Roman" w:cs="Times New Roman"/>
          <w:lang w:val="es-MX"/>
        </w:rPr>
        <w:t>Otra entidad con aumento importante es el Ministerio de Salud Pú</w:t>
      </w:r>
      <w:r>
        <w:rPr>
          <w:rFonts w:ascii="Times New Roman" w:hAnsi="Times New Roman" w:cs="Times New Roman"/>
          <w:lang w:val="es-MX"/>
        </w:rPr>
        <w:t>blica y Asistencia Social con Q2</w:t>
      </w:r>
      <w:r w:rsidRPr="00DE41EC">
        <w:rPr>
          <w:rFonts w:ascii="Times New Roman" w:hAnsi="Times New Roman" w:cs="Times New Roman"/>
          <w:lang w:val="es-MX"/>
        </w:rPr>
        <w:t>8</w:t>
      </w:r>
      <w:r>
        <w:rPr>
          <w:rFonts w:ascii="Times New Roman" w:hAnsi="Times New Roman" w:cs="Times New Roman"/>
          <w:lang w:val="es-MX"/>
        </w:rPr>
        <w:t>8</w:t>
      </w:r>
      <w:r w:rsidRPr="00DE41EC">
        <w:rPr>
          <w:rFonts w:ascii="Times New Roman" w:hAnsi="Times New Roman" w:cs="Times New Roman"/>
          <w:lang w:val="es-MX"/>
        </w:rPr>
        <w:t>.</w:t>
      </w:r>
      <w:r>
        <w:rPr>
          <w:rFonts w:ascii="Times New Roman" w:hAnsi="Times New Roman" w:cs="Times New Roman"/>
          <w:lang w:val="es-MX"/>
        </w:rPr>
        <w:t>5</w:t>
      </w:r>
      <w:r w:rsidRPr="00DE41EC">
        <w:rPr>
          <w:rFonts w:ascii="Times New Roman" w:hAnsi="Times New Roman" w:cs="Times New Roman"/>
          <w:lang w:val="es-MX"/>
        </w:rPr>
        <w:t xml:space="preserve"> millones, estando concentrado el aumento en el complemento por antigüedad al perso</w:t>
      </w:r>
      <w:r>
        <w:rPr>
          <w:rFonts w:ascii="Times New Roman" w:hAnsi="Times New Roman" w:cs="Times New Roman"/>
          <w:lang w:val="es-MX"/>
        </w:rPr>
        <w:t>nal permanente</w:t>
      </w:r>
      <w:r w:rsidRPr="00DE41EC">
        <w:rPr>
          <w:rFonts w:ascii="Times New Roman" w:hAnsi="Times New Roman" w:cs="Times New Roman"/>
          <w:lang w:val="es-MX"/>
        </w:rPr>
        <w:t xml:space="preserve">. </w:t>
      </w:r>
    </w:p>
    <w:p w:rsidR="00E92310" w:rsidRPr="008B062E" w:rsidRDefault="00E92310" w:rsidP="00E92310">
      <w:pPr>
        <w:pStyle w:val="Sinespaciado"/>
        <w:jc w:val="both"/>
        <w:rPr>
          <w:rFonts w:ascii="Times New Roman" w:hAnsi="Times New Roman" w:cs="Times New Roman"/>
          <w:sz w:val="18"/>
          <w:lang w:val="es-MX"/>
        </w:rPr>
      </w:pPr>
    </w:p>
    <w:p w:rsidR="00E92310" w:rsidRDefault="00E92310" w:rsidP="00E92310">
      <w:pPr>
        <w:pStyle w:val="Sinespaciado"/>
        <w:jc w:val="both"/>
        <w:rPr>
          <w:rFonts w:ascii="Times New Roman" w:hAnsi="Times New Roman" w:cs="Times New Roman"/>
          <w:lang w:val="es-MX"/>
        </w:rPr>
      </w:pPr>
      <w:r w:rsidRPr="00DE41EC">
        <w:rPr>
          <w:rFonts w:ascii="Times New Roman" w:hAnsi="Times New Roman" w:cs="Times New Roman"/>
          <w:lang w:val="es-MX"/>
        </w:rPr>
        <w:t>Por su parte,</w:t>
      </w:r>
      <w:r>
        <w:rPr>
          <w:rFonts w:ascii="Times New Roman" w:hAnsi="Times New Roman" w:cs="Times New Roman"/>
          <w:lang w:val="es-MX"/>
        </w:rPr>
        <w:t xml:space="preserve"> el Ministerio de Gobernación reporta una caída de Q55.5 millones, explicado por una menor ejecución en los complementos específicos al personal permanente, remuneraciones de personal temporal y personal permanente, mientras </w:t>
      </w:r>
      <w:r w:rsidRPr="00DE41EC">
        <w:rPr>
          <w:rFonts w:ascii="Times New Roman" w:hAnsi="Times New Roman" w:cs="Times New Roman"/>
          <w:lang w:val="es-MX"/>
        </w:rPr>
        <w:t>las secretarias y otras dependenci</w:t>
      </w:r>
      <w:r>
        <w:rPr>
          <w:rFonts w:ascii="Times New Roman" w:hAnsi="Times New Roman" w:cs="Times New Roman"/>
          <w:lang w:val="es-MX"/>
        </w:rPr>
        <w:t>as del ejecutivo reportan una disminución</w:t>
      </w:r>
      <w:r w:rsidRPr="00DE41EC">
        <w:rPr>
          <w:rFonts w:ascii="Times New Roman" w:hAnsi="Times New Roman" w:cs="Times New Roman"/>
          <w:lang w:val="es-MX"/>
        </w:rPr>
        <w:t xml:space="preserve"> de </w:t>
      </w:r>
      <w:r>
        <w:rPr>
          <w:rFonts w:ascii="Times New Roman" w:hAnsi="Times New Roman" w:cs="Times New Roman"/>
          <w:lang w:val="es-MX"/>
        </w:rPr>
        <w:t>Q36</w:t>
      </w:r>
      <w:r w:rsidRPr="00DE41EC">
        <w:rPr>
          <w:rFonts w:ascii="Times New Roman" w:hAnsi="Times New Roman" w:cs="Times New Roman"/>
          <w:lang w:val="es-MX"/>
        </w:rPr>
        <w:t>.</w:t>
      </w:r>
      <w:r>
        <w:rPr>
          <w:rFonts w:ascii="Times New Roman" w:hAnsi="Times New Roman" w:cs="Times New Roman"/>
          <w:lang w:val="es-MX"/>
        </w:rPr>
        <w:t>7</w:t>
      </w:r>
      <w:r w:rsidRPr="00DE41EC">
        <w:rPr>
          <w:rFonts w:ascii="Times New Roman" w:hAnsi="Times New Roman" w:cs="Times New Roman"/>
          <w:lang w:val="es-MX"/>
        </w:rPr>
        <w:t xml:space="preserve"> millones, como resultado especialmente de una menor ejecución del renglón 029 “otras </w:t>
      </w:r>
      <w:r w:rsidRPr="00DE41EC">
        <w:rPr>
          <w:rFonts w:ascii="Times New Roman" w:hAnsi="Times New Roman" w:cs="Times New Roman"/>
          <w:lang w:val="es-MX"/>
        </w:rPr>
        <w:lastRenderedPageBreak/>
        <w:t xml:space="preserve">remuneraciones del personal temporal”, con una variación interanual negativa de </w:t>
      </w:r>
      <w:r>
        <w:rPr>
          <w:rFonts w:ascii="Times New Roman" w:hAnsi="Times New Roman" w:cs="Times New Roman"/>
          <w:lang w:val="es-MX"/>
        </w:rPr>
        <w:t>22.7</w:t>
      </w:r>
      <w:r w:rsidRPr="00DE41EC">
        <w:rPr>
          <w:rFonts w:ascii="Times New Roman" w:hAnsi="Times New Roman" w:cs="Times New Roman"/>
          <w:lang w:val="es-MX"/>
        </w:rPr>
        <w:t>%.</w:t>
      </w:r>
      <w:r>
        <w:rPr>
          <w:rFonts w:ascii="Times New Roman" w:hAnsi="Times New Roman" w:cs="Times New Roman"/>
          <w:lang w:val="es-MX"/>
        </w:rPr>
        <w:t xml:space="preserve"> </w:t>
      </w:r>
    </w:p>
    <w:p w:rsidR="00E92310" w:rsidRDefault="00E92310" w:rsidP="00E92310">
      <w:pPr>
        <w:pStyle w:val="Sinespaciado"/>
        <w:jc w:val="both"/>
        <w:rPr>
          <w:rFonts w:ascii="Times New Roman" w:hAnsi="Times New Roman" w:cs="Times New Roman"/>
          <w:lang w:val="es-MX"/>
        </w:rPr>
      </w:pPr>
    </w:p>
    <w:p w:rsidR="00E92310" w:rsidRDefault="00E92310" w:rsidP="00E92310">
      <w:pPr>
        <w:pStyle w:val="Sinespaciado"/>
        <w:jc w:val="both"/>
        <w:rPr>
          <w:rFonts w:ascii="Times New Roman" w:hAnsi="Times New Roman" w:cs="Times New Roman"/>
          <w:lang w:val="es-MX"/>
        </w:rPr>
      </w:pPr>
      <w:r>
        <w:rPr>
          <w:rFonts w:ascii="Times New Roman" w:hAnsi="Times New Roman" w:cs="Times New Roman"/>
          <w:lang w:val="es-MX"/>
        </w:rPr>
        <w:t xml:space="preserve">Durante el mes de julio se dio la bonificación anual correspondiente al Bono 14, por ese concepto se han ejecutado Q1,452.1 millones. </w:t>
      </w:r>
    </w:p>
    <w:p w:rsidR="00E92310" w:rsidRPr="008B062E" w:rsidRDefault="00E92310" w:rsidP="00E92310">
      <w:pPr>
        <w:pStyle w:val="Sinespaciado"/>
        <w:jc w:val="both"/>
        <w:rPr>
          <w:rFonts w:ascii="Times New Roman" w:hAnsi="Times New Roman" w:cs="Times New Roman"/>
          <w:sz w:val="18"/>
          <w:lang w:val="es-MX"/>
        </w:rPr>
      </w:pPr>
    </w:p>
    <w:p w:rsidR="00E92310" w:rsidRDefault="00E92310" w:rsidP="00E92310">
      <w:pPr>
        <w:pStyle w:val="Sinespaciado"/>
        <w:jc w:val="both"/>
        <w:rPr>
          <w:rFonts w:ascii="Times New Roman" w:hAnsi="Times New Roman" w:cs="Times New Roman"/>
          <w:lang w:val="es-MX"/>
        </w:rPr>
      </w:pPr>
      <w:r w:rsidRPr="002B0411">
        <w:rPr>
          <w:rFonts w:ascii="Times New Roman" w:hAnsi="Times New Roman" w:cs="Times New Roman"/>
          <w:lang w:val="es-MX"/>
        </w:rPr>
        <w:t xml:space="preserve">En el caso de las transferencias de capital, </w:t>
      </w:r>
      <w:r>
        <w:rPr>
          <w:rFonts w:ascii="Times New Roman" w:hAnsi="Times New Roman" w:cs="Times New Roman"/>
          <w:lang w:val="es-MX"/>
        </w:rPr>
        <w:t>el crecimiento interanual fue de 7</w:t>
      </w:r>
      <w:r w:rsidRPr="008A4CFA">
        <w:rPr>
          <w:rFonts w:ascii="Times New Roman" w:hAnsi="Times New Roman" w:cs="Times New Roman"/>
          <w:lang w:val="es-MX"/>
        </w:rPr>
        <w:t>.</w:t>
      </w:r>
      <w:r>
        <w:rPr>
          <w:rFonts w:ascii="Times New Roman" w:hAnsi="Times New Roman" w:cs="Times New Roman"/>
          <w:lang w:val="es-MX"/>
        </w:rPr>
        <w:t>9</w:t>
      </w:r>
      <w:r w:rsidRPr="008A4CFA">
        <w:rPr>
          <w:rFonts w:ascii="Times New Roman" w:hAnsi="Times New Roman" w:cs="Times New Roman"/>
          <w:lang w:val="es-MX"/>
        </w:rPr>
        <w:t>% (equivalente a Q</w:t>
      </w:r>
      <w:r>
        <w:rPr>
          <w:rFonts w:ascii="Times New Roman" w:hAnsi="Times New Roman" w:cs="Times New Roman"/>
          <w:lang w:val="es-MX"/>
        </w:rPr>
        <w:t>439.2</w:t>
      </w:r>
      <w:r w:rsidRPr="008A4CFA">
        <w:rPr>
          <w:rFonts w:ascii="Times New Roman" w:hAnsi="Times New Roman" w:cs="Times New Roman"/>
          <w:lang w:val="es-MX"/>
        </w:rPr>
        <w:t xml:space="preserve"> millones), </w:t>
      </w:r>
      <w:r>
        <w:rPr>
          <w:rFonts w:ascii="Times New Roman" w:hAnsi="Times New Roman" w:cs="Times New Roman"/>
          <w:lang w:val="es-MX"/>
        </w:rPr>
        <w:t xml:space="preserve">siendo el crecimiento </w:t>
      </w:r>
      <w:r w:rsidRPr="008A4CFA">
        <w:rPr>
          <w:rFonts w:ascii="Times New Roman" w:hAnsi="Times New Roman" w:cs="Times New Roman"/>
          <w:lang w:val="es-MX"/>
        </w:rPr>
        <w:t>explicad</w:t>
      </w:r>
      <w:r>
        <w:rPr>
          <w:rFonts w:ascii="Times New Roman" w:hAnsi="Times New Roman" w:cs="Times New Roman"/>
          <w:lang w:val="es-MX"/>
        </w:rPr>
        <w:t xml:space="preserve">o por las transferencias al sector público que están aumentando en Q396.1 millones, como resultado de un mayor traslado de recursos para los Consejos de Desarrollo Urbano y Rural </w:t>
      </w:r>
      <w:r w:rsidRPr="00A93F27">
        <w:rPr>
          <w:rFonts w:ascii="Times New Roman" w:hAnsi="Times New Roman" w:cs="Times New Roman"/>
          <w:lang w:val="es-MX"/>
        </w:rPr>
        <w:t>(Q</w:t>
      </w:r>
      <w:r>
        <w:rPr>
          <w:rFonts w:ascii="Times New Roman" w:hAnsi="Times New Roman" w:cs="Times New Roman"/>
          <w:lang w:val="es-MX"/>
        </w:rPr>
        <w:t>461</w:t>
      </w:r>
      <w:r w:rsidRPr="00A93F27">
        <w:rPr>
          <w:rFonts w:ascii="Times New Roman" w:hAnsi="Times New Roman" w:cs="Times New Roman"/>
          <w:lang w:val="es-MX"/>
        </w:rPr>
        <w:t>.</w:t>
      </w:r>
      <w:r>
        <w:rPr>
          <w:rFonts w:ascii="Times New Roman" w:hAnsi="Times New Roman" w:cs="Times New Roman"/>
          <w:lang w:val="es-MX"/>
        </w:rPr>
        <w:t>5 millones). Por su parte, las transferencias a las municipalidades y a la Universidad de San Carlos son menores en Q32</w:t>
      </w:r>
      <w:r w:rsidRPr="00A93F27">
        <w:rPr>
          <w:rFonts w:ascii="Times New Roman" w:hAnsi="Times New Roman" w:cs="Times New Roman"/>
          <w:lang w:val="es-MX"/>
        </w:rPr>
        <w:t>.</w:t>
      </w:r>
      <w:r>
        <w:rPr>
          <w:rFonts w:ascii="Times New Roman" w:hAnsi="Times New Roman" w:cs="Times New Roman"/>
          <w:lang w:val="es-MX"/>
        </w:rPr>
        <w:t>7</w:t>
      </w:r>
      <w:r w:rsidRPr="00A93F27">
        <w:rPr>
          <w:rFonts w:ascii="Times New Roman" w:hAnsi="Times New Roman" w:cs="Times New Roman"/>
          <w:lang w:val="es-MX"/>
        </w:rPr>
        <w:t xml:space="preserve"> millones</w:t>
      </w:r>
      <w:r>
        <w:rPr>
          <w:rFonts w:ascii="Times New Roman" w:hAnsi="Times New Roman" w:cs="Times New Roman"/>
          <w:lang w:val="es-MX"/>
        </w:rPr>
        <w:t xml:space="preserve"> y Q41.5 millones, respectivamente. </w:t>
      </w:r>
    </w:p>
    <w:p w:rsidR="00E92310" w:rsidRPr="008B062E" w:rsidRDefault="00E92310" w:rsidP="00E92310">
      <w:pPr>
        <w:pStyle w:val="Sinespaciado"/>
        <w:jc w:val="both"/>
        <w:rPr>
          <w:rFonts w:ascii="Times New Roman" w:hAnsi="Times New Roman" w:cs="Times New Roman"/>
          <w:sz w:val="18"/>
          <w:lang w:val="es-MX"/>
        </w:rPr>
      </w:pPr>
    </w:p>
    <w:p w:rsidR="00E92310" w:rsidRDefault="00E92310" w:rsidP="00E92310">
      <w:pPr>
        <w:pStyle w:val="Sinespaciado"/>
        <w:jc w:val="both"/>
        <w:rPr>
          <w:rFonts w:ascii="Times New Roman" w:hAnsi="Times New Roman" w:cs="Times New Roman"/>
          <w:lang w:val="es-MX"/>
        </w:rPr>
      </w:pPr>
      <w:r>
        <w:rPr>
          <w:rFonts w:ascii="Times New Roman" w:hAnsi="Times New Roman" w:cs="Times New Roman"/>
          <w:lang w:val="es-MX"/>
        </w:rPr>
        <w:t xml:space="preserve">En las transferencias de capital al sector privado y externo dan cuenta de un aumento de Q43.0 millones, explicado por una mayor transferencia a personas individuales y unidades familiares en el Ministerio de Comunicaciones y en las Obligaciones del Estado. Adicionalmente, las transferencias a instituciones sin fines de lucro se encuentran creciendo en Q13 millones. </w:t>
      </w:r>
    </w:p>
    <w:p w:rsidR="00E92310" w:rsidRDefault="00E92310" w:rsidP="00E92310">
      <w:pPr>
        <w:pStyle w:val="Sinespaciado"/>
        <w:jc w:val="both"/>
        <w:rPr>
          <w:rFonts w:ascii="Times New Roman" w:hAnsi="Times New Roman" w:cs="Times New Roman"/>
          <w:lang w:val="es-MX"/>
        </w:rPr>
      </w:pPr>
    </w:p>
    <w:p w:rsidR="00E92310" w:rsidRDefault="00E92310" w:rsidP="00E92310">
      <w:pPr>
        <w:pStyle w:val="Sinespaciado"/>
        <w:jc w:val="both"/>
        <w:rPr>
          <w:rFonts w:ascii="Times New Roman" w:hAnsi="Times New Roman" w:cs="Times New Roman"/>
          <w:lang w:val="es-MX"/>
        </w:rPr>
      </w:pPr>
      <w:r>
        <w:rPr>
          <w:rFonts w:ascii="Times New Roman" w:hAnsi="Times New Roman" w:cs="Times New Roman"/>
          <w:lang w:val="es-MX"/>
        </w:rPr>
        <w:t xml:space="preserve">Respecto al rubro de la inversión real directa, este reporta una mayor ejecución en Q226.1 millones respecto a lo reportado en 2020 (equivalente a 15.4%). Las entidades que suman a este aumento son: el Ministerio de Comunicaciones con Q153.3 millones por las construcciones de infraestructura vial y edificios del Estado, por su parte, el </w:t>
      </w:r>
      <w:r w:rsidRPr="00AB1007">
        <w:rPr>
          <w:rFonts w:ascii="Times New Roman" w:hAnsi="Times New Roman" w:cs="Times New Roman"/>
          <w:lang w:val="es-MX"/>
        </w:rPr>
        <w:t>Ministerio de Salud Pública y Asistencia Social</w:t>
      </w:r>
      <w:r>
        <w:rPr>
          <w:rFonts w:ascii="Times New Roman" w:hAnsi="Times New Roman" w:cs="Times New Roman"/>
          <w:lang w:val="es-MX"/>
        </w:rPr>
        <w:t xml:space="preserve"> con Q24.5 millones explicado en su mayoría por el mobiliario y equipo médico-sanitario y de laboratorio, el Ministerio de Desarrollo Social con Q17.5 millones </w:t>
      </w:r>
      <w:r w:rsidRPr="00AB1007">
        <w:rPr>
          <w:rFonts w:ascii="Times New Roman" w:hAnsi="Times New Roman" w:cs="Times New Roman"/>
          <w:lang w:val="es-MX"/>
        </w:rPr>
        <w:t>explicado en su mayoría por el</w:t>
      </w:r>
      <w:r>
        <w:rPr>
          <w:rFonts w:ascii="Times New Roman" w:hAnsi="Times New Roman" w:cs="Times New Roman"/>
          <w:lang w:val="es-MX"/>
        </w:rPr>
        <w:t xml:space="preserve"> equipo educacional, cultural y recreativo y el Ministerio de Educación con Q11 millones. </w:t>
      </w:r>
    </w:p>
    <w:p w:rsidR="00E92310" w:rsidRDefault="00E92310" w:rsidP="00E92310">
      <w:pPr>
        <w:pStyle w:val="Sinespaciado"/>
        <w:jc w:val="both"/>
        <w:rPr>
          <w:rFonts w:ascii="Times New Roman" w:hAnsi="Times New Roman" w:cs="Times New Roman"/>
          <w:lang w:val="es-MX"/>
        </w:rPr>
      </w:pPr>
      <w:r>
        <w:rPr>
          <w:rFonts w:ascii="Times New Roman" w:hAnsi="Times New Roman" w:cs="Times New Roman"/>
          <w:lang w:val="es-MX"/>
        </w:rPr>
        <w:lastRenderedPageBreak/>
        <w:t>En cuanto a las prestaciones a la seguridad social, estás reportan un crecimiento interanual de 3.2%, equivalente a Q100.8 millones.</w:t>
      </w:r>
    </w:p>
    <w:p w:rsidR="00E92310" w:rsidRPr="008B062E" w:rsidRDefault="00E92310" w:rsidP="00E92310">
      <w:pPr>
        <w:pStyle w:val="Sinespaciado"/>
        <w:jc w:val="both"/>
        <w:rPr>
          <w:rFonts w:ascii="Times New Roman" w:hAnsi="Times New Roman" w:cs="Times New Roman"/>
          <w:sz w:val="16"/>
          <w:lang w:val="es-MX"/>
        </w:rPr>
      </w:pPr>
    </w:p>
    <w:p w:rsidR="00E92310" w:rsidRPr="009F5523" w:rsidRDefault="00E92310" w:rsidP="00E92310">
      <w:pPr>
        <w:pStyle w:val="Sinespaciado"/>
        <w:jc w:val="both"/>
        <w:rPr>
          <w:rFonts w:ascii="Times New Roman" w:hAnsi="Times New Roman" w:cs="Times New Roman"/>
          <w:lang w:val="es-MX"/>
        </w:rPr>
      </w:pPr>
      <w:r>
        <w:rPr>
          <w:rFonts w:ascii="Times New Roman" w:hAnsi="Times New Roman" w:cs="Times New Roman"/>
          <w:lang w:val="es-MX"/>
        </w:rPr>
        <w:t xml:space="preserve">Respecto a la </w:t>
      </w:r>
      <w:r w:rsidRPr="009F5523">
        <w:rPr>
          <w:rFonts w:ascii="Times New Roman" w:hAnsi="Times New Roman" w:cs="Times New Roman"/>
          <w:lang w:val="es-MX"/>
        </w:rPr>
        <w:t>inversión financiera</w:t>
      </w:r>
      <w:r>
        <w:rPr>
          <w:rFonts w:ascii="Times New Roman" w:hAnsi="Times New Roman" w:cs="Times New Roman"/>
          <w:lang w:val="es-MX"/>
        </w:rPr>
        <w:t xml:space="preserve"> esta</w:t>
      </w:r>
      <w:r w:rsidRPr="009F5523">
        <w:rPr>
          <w:rFonts w:ascii="Times New Roman" w:hAnsi="Times New Roman" w:cs="Times New Roman"/>
          <w:lang w:val="es-MX"/>
        </w:rPr>
        <w:t xml:space="preserve"> reportará una importante contracción durante el resto del año, a julio de 2020 se habían ejecutado Q1,450.0 millones por concepto del Fondo para Capital de Trabajo y Fondo de Protección de Capitales, que correspondía a préstamos en condiciones blandas, dichas actividades han finalizado y no se encuentran vigentes para 2021. </w:t>
      </w:r>
      <w:r>
        <w:rPr>
          <w:rFonts w:ascii="Times New Roman" w:hAnsi="Times New Roman" w:cs="Times New Roman"/>
          <w:lang w:val="es-MX"/>
        </w:rPr>
        <w:t>E</w:t>
      </w:r>
      <w:r w:rsidRPr="009F5523">
        <w:rPr>
          <w:rFonts w:ascii="Times New Roman" w:hAnsi="Times New Roman" w:cs="Times New Roman"/>
          <w:lang w:val="es-MX"/>
        </w:rPr>
        <w:t>n 2021 por este concepto únicamente se han ejecutado Q6 millones.</w:t>
      </w:r>
    </w:p>
    <w:p w:rsidR="00E92310" w:rsidRPr="008B062E" w:rsidRDefault="00E92310" w:rsidP="00E92310">
      <w:pPr>
        <w:pStyle w:val="Sinespaciado"/>
        <w:jc w:val="both"/>
        <w:rPr>
          <w:rFonts w:ascii="Times New Roman" w:hAnsi="Times New Roman" w:cs="Times New Roman"/>
          <w:sz w:val="18"/>
          <w:lang w:val="es-MX"/>
        </w:rPr>
      </w:pPr>
    </w:p>
    <w:p w:rsidR="00E92310" w:rsidRDefault="00E92310" w:rsidP="00E92310">
      <w:pPr>
        <w:pStyle w:val="Sinespaciado"/>
        <w:jc w:val="both"/>
        <w:rPr>
          <w:rFonts w:ascii="Times New Roman" w:hAnsi="Times New Roman" w:cs="Times New Roman"/>
          <w:lang w:val="es-MX"/>
        </w:rPr>
      </w:pPr>
      <w:r>
        <w:rPr>
          <w:rFonts w:ascii="Times New Roman" w:hAnsi="Times New Roman" w:cs="Times New Roman"/>
          <w:lang w:val="es-MX"/>
        </w:rPr>
        <w:t xml:space="preserve">En cuanto a las transferencias corrientes, reportan una variación interanual negativa de 22.1% (equivalente a Q2,462.4 millones). La caída se debe a las transferencias al sector privado las cuales se contrajeron un 53.1% (equivalente a Q2,923.5 millones), explicado por el Ministerio de Desarrollo Social y el Ministerio de Economía, derivado que a julio de 2020 se habían ejecutado Q2,091.6 millones por concepto de Bono Familia y Q807.1 millones por Fondo de Protección de Empleo. </w:t>
      </w:r>
    </w:p>
    <w:p w:rsidR="00E92310" w:rsidRDefault="00E92310" w:rsidP="00E92310">
      <w:pPr>
        <w:pStyle w:val="Sinespaciado"/>
        <w:jc w:val="both"/>
        <w:rPr>
          <w:rFonts w:ascii="Times New Roman" w:hAnsi="Times New Roman" w:cs="Times New Roman"/>
          <w:lang w:val="es-MX"/>
        </w:rPr>
      </w:pPr>
    </w:p>
    <w:p w:rsidR="00E92310" w:rsidRDefault="00E92310" w:rsidP="00E92310">
      <w:pPr>
        <w:pStyle w:val="Sinespaciado"/>
        <w:jc w:val="both"/>
        <w:rPr>
          <w:rFonts w:ascii="Times New Roman" w:hAnsi="Times New Roman" w:cs="Times New Roman"/>
          <w:lang w:val="es-MX"/>
        </w:rPr>
      </w:pPr>
      <w:r>
        <w:rPr>
          <w:rFonts w:ascii="Times New Roman" w:hAnsi="Times New Roman" w:cs="Times New Roman"/>
          <w:lang w:val="es-MX"/>
        </w:rPr>
        <w:t>Por su parte, también se observa un mayor dinamismo en las transferencias al sector privado por parte del Ministerio de Salud Pública y Asistencia Social, de las cuales Q79.4 millones se destinan a instituciones de salud pública y asistencia social y en el Ministerio de Educación explicado en Q27.8 millones por becas de estudio en el interior.</w:t>
      </w:r>
    </w:p>
    <w:p w:rsidR="00E92310" w:rsidRPr="002C4CB2" w:rsidRDefault="00E92310" w:rsidP="00E92310">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En cuanto a las transferencias corrientes </w:t>
      </w:r>
      <w:r w:rsidRPr="00584C93">
        <w:rPr>
          <w:rFonts w:ascii="Times New Roman" w:hAnsi="Times New Roman" w:cs="Times New Roman"/>
          <w:lang w:val="es-MX"/>
        </w:rPr>
        <w:t>al sector público</w:t>
      </w:r>
      <w:r>
        <w:rPr>
          <w:rFonts w:ascii="Times New Roman" w:hAnsi="Times New Roman" w:cs="Times New Roman"/>
          <w:lang w:val="es-MX"/>
        </w:rPr>
        <w:t>, estas</w:t>
      </w:r>
      <w:r w:rsidRPr="00584C93">
        <w:rPr>
          <w:rFonts w:ascii="Times New Roman" w:hAnsi="Times New Roman" w:cs="Times New Roman"/>
          <w:lang w:val="es-MX"/>
        </w:rPr>
        <w:t xml:space="preserve"> reportan un</w:t>
      </w:r>
      <w:r>
        <w:rPr>
          <w:rFonts w:ascii="Times New Roman" w:hAnsi="Times New Roman" w:cs="Times New Roman"/>
          <w:lang w:val="es-MX"/>
        </w:rPr>
        <w:t xml:space="preserve"> aumento de </w:t>
      </w:r>
      <w:r w:rsidRPr="00584C93">
        <w:rPr>
          <w:rFonts w:ascii="Times New Roman" w:hAnsi="Times New Roman" w:cs="Times New Roman"/>
          <w:lang w:val="es-MX"/>
        </w:rPr>
        <w:t>Q</w:t>
      </w:r>
      <w:r>
        <w:rPr>
          <w:rFonts w:ascii="Times New Roman" w:hAnsi="Times New Roman" w:cs="Times New Roman"/>
          <w:lang w:val="es-MX"/>
        </w:rPr>
        <w:t>421</w:t>
      </w:r>
      <w:r w:rsidRPr="00584C93">
        <w:rPr>
          <w:rFonts w:ascii="Times New Roman" w:hAnsi="Times New Roman" w:cs="Times New Roman"/>
          <w:lang w:val="es-MX"/>
        </w:rPr>
        <w:t>.</w:t>
      </w:r>
      <w:r>
        <w:rPr>
          <w:rFonts w:ascii="Times New Roman" w:hAnsi="Times New Roman" w:cs="Times New Roman"/>
          <w:lang w:val="es-MX"/>
        </w:rPr>
        <w:t>8</w:t>
      </w:r>
      <w:r w:rsidRPr="00584C93">
        <w:rPr>
          <w:rFonts w:ascii="Times New Roman" w:hAnsi="Times New Roman" w:cs="Times New Roman"/>
          <w:lang w:val="es-MX"/>
        </w:rPr>
        <w:t xml:space="preserve"> millones,</w:t>
      </w:r>
      <w:r>
        <w:rPr>
          <w:rFonts w:ascii="Times New Roman" w:hAnsi="Times New Roman" w:cs="Times New Roman"/>
          <w:lang w:val="es-MX"/>
        </w:rPr>
        <w:t xml:space="preserve"> </w:t>
      </w:r>
      <w:r w:rsidRPr="00584C93">
        <w:rPr>
          <w:rFonts w:ascii="Times New Roman" w:hAnsi="Times New Roman" w:cs="Times New Roman"/>
          <w:lang w:val="es-MX"/>
        </w:rPr>
        <w:t xml:space="preserve">como resultado de </w:t>
      </w:r>
      <w:r>
        <w:rPr>
          <w:rFonts w:ascii="Times New Roman" w:hAnsi="Times New Roman" w:cs="Times New Roman"/>
          <w:lang w:val="es-MX"/>
        </w:rPr>
        <w:t xml:space="preserve">la transferencia realizada por </w:t>
      </w:r>
      <w:r w:rsidRPr="00584C93">
        <w:rPr>
          <w:rFonts w:ascii="Times New Roman" w:hAnsi="Times New Roman" w:cs="Times New Roman"/>
          <w:lang w:val="es-MX"/>
        </w:rPr>
        <w:t>el Ministerio de Gobernación hacia el Instituto Guatemalteco de Migración por Q191.9 millones</w:t>
      </w:r>
      <w:r>
        <w:rPr>
          <w:rFonts w:ascii="Times New Roman" w:hAnsi="Times New Roman" w:cs="Times New Roman"/>
          <w:lang w:val="es-MX"/>
        </w:rPr>
        <w:t xml:space="preserve"> y la transferencia que se realiza a favor del Ministerio Público por Q163.7 millones,</w:t>
      </w:r>
      <w:r w:rsidRPr="00584C93">
        <w:rPr>
          <w:rFonts w:ascii="Times New Roman" w:hAnsi="Times New Roman" w:cs="Times New Roman"/>
          <w:lang w:val="es-MX"/>
        </w:rPr>
        <w:t xml:space="preserve"> </w:t>
      </w:r>
      <w:r>
        <w:rPr>
          <w:rFonts w:ascii="Times New Roman" w:hAnsi="Times New Roman" w:cs="Times New Roman"/>
          <w:lang w:val="es-MX"/>
        </w:rPr>
        <w:t xml:space="preserve">lo que </w:t>
      </w:r>
      <w:r w:rsidRPr="00584C93">
        <w:rPr>
          <w:rFonts w:ascii="Times New Roman" w:hAnsi="Times New Roman" w:cs="Times New Roman"/>
          <w:lang w:val="es-MX"/>
        </w:rPr>
        <w:t>compensa en alguna medida la caída</w:t>
      </w:r>
      <w:r>
        <w:rPr>
          <w:rFonts w:ascii="Times New Roman" w:hAnsi="Times New Roman" w:cs="Times New Roman"/>
          <w:lang w:val="es-MX"/>
        </w:rPr>
        <w:t xml:space="preserve"> neta reporta</w:t>
      </w:r>
      <w:r w:rsidRPr="00584C93">
        <w:rPr>
          <w:rFonts w:ascii="Times New Roman" w:hAnsi="Times New Roman" w:cs="Times New Roman"/>
          <w:lang w:val="es-MX"/>
        </w:rPr>
        <w:t xml:space="preserve">da en las transferencias </w:t>
      </w:r>
      <w:r>
        <w:rPr>
          <w:rFonts w:ascii="Times New Roman" w:hAnsi="Times New Roman" w:cs="Times New Roman"/>
          <w:lang w:val="es-MX"/>
        </w:rPr>
        <w:t>corrientes</w:t>
      </w:r>
      <w:r w:rsidRPr="00584C93">
        <w:rPr>
          <w:rFonts w:ascii="Times New Roman" w:hAnsi="Times New Roman" w:cs="Times New Roman"/>
          <w:lang w:val="es-MX"/>
        </w:rPr>
        <w:t>.</w:t>
      </w:r>
      <w:r w:rsidRPr="002C4CB2">
        <w:rPr>
          <w:rFonts w:ascii="Times New Roman" w:hAnsi="Times New Roman" w:cs="Times New Roman"/>
          <w:color w:val="FF0000"/>
          <w:lang w:val="es-MX"/>
        </w:rPr>
        <w:t xml:space="preserve"> </w:t>
      </w:r>
    </w:p>
    <w:p w:rsidR="00E92310" w:rsidRPr="008B062E" w:rsidRDefault="00E92310" w:rsidP="00E92310">
      <w:pPr>
        <w:pStyle w:val="Sinespaciado"/>
        <w:jc w:val="both"/>
        <w:rPr>
          <w:rFonts w:ascii="Times New Roman" w:hAnsi="Times New Roman" w:cs="Times New Roman"/>
          <w:color w:val="FF0000"/>
          <w:sz w:val="18"/>
          <w:lang w:val="es-MX"/>
        </w:rPr>
      </w:pPr>
    </w:p>
    <w:p w:rsidR="00E92310" w:rsidRPr="002C4CB2" w:rsidRDefault="00E92310" w:rsidP="00E92310">
      <w:pPr>
        <w:pStyle w:val="Sinespaciado"/>
        <w:jc w:val="center"/>
      </w:pPr>
      <w:r w:rsidRPr="002C4CB2">
        <w:rPr>
          <w:rFonts w:ascii="Times New Roman" w:hAnsi="Times New Roman" w:cs="Times New Roman"/>
          <w:b/>
          <w:lang w:val="es-MX"/>
        </w:rPr>
        <w:lastRenderedPageBreak/>
        <w:t>Ejecución por rubro de Cuenta Económica</w:t>
      </w:r>
    </w:p>
    <w:p w:rsidR="00E92310" w:rsidRPr="002C4CB2" w:rsidRDefault="00E92310" w:rsidP="00E92310">
      <w:pPr>
        <w:pStyle w:val="Sinespaciado"/>
        <w:jc w:val="center"/>
        <w:rPr>
          <w:rFonts w:ascii="Times New Roman" w:hAnsi="Times New Roman" w:cs="Times New Roman"/>
          <w:sz w:val="18"/>
          <w:lang w:val="es-MX"/>
        </w:rPr>
      </w:pPr>
      <w:r w:rsidRPr="002C4CB2">
        <w:rPr>
          <w:rFonts w:ascii="Times New Roman" w:hAnsi="Times New Roman" w:cs="Times New Roman"/>
          <w:sz w:val="18"/>
          <w:szCs w:val="18"/>
          <w:lang w:val="es-MX"/>
        </w:rPr>
        <w:t>2021 – 2020</w:t>
      </w:r>
    </w:p>
    <w:p w:rsidR="00E92310" w:rsidRPr="002C4CB2" w:rsidRDefault="00E92310" w:rsidP="00E92310">
      <w:pPr>
        <w:pStyle w:val="Sinespaciado"/>
        <w:jc w:val="center"/>
        <w:rPr>
          <w:rFonts w:ascii="Times New Roman" w:hAnsi="Times New Roman" w:cs="Times New Roman"/>
          <w:sz w:val="18"/>
          <w:lang w:val="es-MX"/>
        </w:rPr>
      </w:pPr>
      <w:r w:rsidRPr="002C4CB2">
        <w:rPr>
          <w:rFonts w:ascii="Times New Roman" w:hAnsi="Times New Roman" w:cs="Times New Roman"/>
          <w:noProof/>
          <w:sz w:val="18"/>
          <w:lang w:eastAsia="es-GT"/>
        </w:rPr>
        <w:drawing>
          <wp:anchor distT="0" distB="0" distL="114300" distR="114300" simplePos="0" relativeHeight="251856896" behindDoc="0" locked="0" layoutInCell="1" allowOverlap="1" wp14:anchorId="2AC4F1A8" wp14:editId="60777F7D">
            <wp:simplePos x="0" y="0"/>
            <wp:positionH relativeFrom="column">
              <wp:posOffset>-161925</wp:posOffset>
            </wp:positionH>
            <wp:positionV relativeFrom="paragraph">
              <wp:posOffset>173990</wp:posOffset>
            </wp:positionV>
            <wp:extent cx="2708275" cy="3187700"/>
            <wp:effectExtent l="0" t="0" r="0" b="0"/>
            <wp:wrapSquare wrapText="bothSides"/>
            <wp:docPr id="24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2C4CB2">
        <w:rPr>
          <w:rFonts w:ascii="Times New Roman" w:hAnsi="Times New Roman" w:cs="Times New Roman"/>
          <w:sz w:val="18"/>
          <w:lang w:val="es-MX"/>
        </w:rPr>
        <w:t>Variación absoluta interanual</w:t>
      </w:r>
    </w:p>
    <w:p w:rsidR="00E92310" w:rsidRPr="002C4CB2" w:rsidRDefault="00E92310" w:rsidP="00E92310">
      <w:pPr>
        <w:spacing w:after="0" w:line="240" w:lineRule="auto"/>
        <w:jc w:val="both"/>
        <w:rPr>
          <w:rFonts w:ascii="Times New Roman" w:hAnsi="Times New Roman" w:cs="Times New Roman"/>
          <w:sz w:val="16"/>
        </w:rPr>
      </w:pPr>
      <w:r w:rsidRPr="002C4CB2">
        <w:rPr>
          <w:rFonts w:ascii="Times New Roman" w:hAnsi="Times New Roman" w:cs="Times New Roman"/>
          <w:sz w:val="16"/>
        </w:rPr>
        <w:t>Fuente: Dirección de Análisis y Política Fiscal</w:t>
      </w:r>
    </w:p>
    <w:p w:rsidR="00E92310" w:rsidRPr="008B062E" w:rsidRDefault="00E92310" w:rsidP="00E92310">
      <w:pPr>
        <w:pStyle w:val="Sinespaciado"/>
        <w:jc w:val="both"/>
        <w:rPr>
          <w:rFonts w:ascii="Times New Roman" w:hAnsi="Times New Roman" w:cs="Times New Roman"/>
          <w:color w:val="FF0000"/>
          <w:sz w:val="18"/>
          <w:lang w:val="es-MX"/>
        </w:rPr>
      </w:pPr>
    </w:p>
    <w:p w:rsidR="00E92310" w:rsidRPr="008E3A30" w:rsidRDefault="00E92310" w:rsidP="00E92310">
      <w:pPr>
        <w:pStyle w:val="Sinespaciado"/>
        <w:jc w:val="both"/>
        <w:rPr>
          <w:rFonts w:ascii="Times New Roman" w:hAnsi="Times New Roman" w:cs="Times New Roman"/>
          <w:lang w:val="es-MX"/>
        </w:rPr>
      </w:pPr>
      <w:r w:rsidRPr="008E3A30">
        <w:rPr>
          <w:rFonts w:ascii="Times New Roman" w:hAnsi="Times New Roman" w:cs="Times New Roman"/>
          <w:lang w:val="es-MX"/>
        </w:rPr>
        <w:t xml:space="preserve">En cuanto al gasto total, el cual incluye amortizaciones de </w:t>
      </w:r>
      <w:r>
        <w:rPr>
          <w:rFonts w:ascii="Times New Roman" w:hAnsi="Times New Roman" w:cs="Times New Roman"/>
          <w:lang w:val="es-MX"/>
        </w:rPr>
        <w:t>la deuda pública, se situó en Q50</w:t>
      </w:r>
      <w:r w:rsidRPr="008E3A30">
        <w:rPr>
          <w:rFonts w:ascii="Times New Roman" w:hAnsi="Times New Roman" w:cs="Times New Roman"/>
          <w:lang w:val="es-MX"/>
        </w:rPr>
        <w:t>,</w:t>
      </w:r>
      <w:r>
        <w:rPr>
          <w:rFonts w:ascii="Times New Roman" w:hAnsi="Times New Roman" w:cs="Times New Roman"/>
          <w:lang w:val="es-MX"/>
        </w:rPr>
        <w:t>306</w:t>
      </w:r>
      <w:r w:rsidRPr="008E3A30">
        <w:rPr>
          <w:rFonts w:ascii="Times New Roman" w:hAnsi="Times New Roman" w:cs="Times New Roman"/>
          <w:lang w:val="es-MX"/>
        </w:rPr>
        <w:t>.</w:t>
      </w:r>
      <w:r>
        <w:rPr>
          <w:rFonts w:ascii="Times New Roman" w:hAnsi="Times New Roman" w:cs="Times New Roman"/>
          <w:lang w:val="es-MX"/>
        </w:rPr>
        <w:t>3</w:t>
      </w:r>
      <w:r w:rsidRPr="008E3A30">
        <w:rPr>
          <w:rFonts w:ascii="Times New Roman" w:hAnsi="Times New Roman" w:cs="Times New Roman"/>
          <w:lang w:val="es-MX"/>
        </w:rPr>
        <w:t xml:space="preserve"> millones,</w:t>
      </w:r>
      <w:r>
        <w:rPr>
          <w:rFonts w:ascii="Times New Roman" w:hAnsi="Times New Roman" w:cs="Times New Roman"/>
          <w:lang w:val="es-MX"/>
        </w:rPr>
        <w:t xml:space="preserve"> con un grado de ejecución de 46</w:t>
      </w:r>
      <w:r w:rsidRPr="008E3A30">
        <w:rPr>
          <w:rFonts w:ascii="Times New Roman" w:hAnsi="Times New Roman" w:cs="Times New Roman"/>
          <w:lang w:val="es-MX"/>
        </w:rPr>
        <w:t>.</w:t>
      </w:r>
      <w:r>
        <w:rPr>
          <w:rFonts w:ascii="Times New Roman" w:hAnsi="Times New Roman" w:cs="Times New Roman"/>
          <w:lang w:val="es-MX"/>
        </w:rPr>
        <w:t>8</w:t>
      </w:r>
      <w:r w:rsidRPr="008E3A30">
        <w:rPr>
          <w:rFonts w:ascii="Times New Roman" w:hAnsi="Times New Roman" w:cs="Times New Roman"/>
          <w:lang w:val="es-MX"/>
        </w:rPr>
        <w:t>%</w:t>
      </w:r>
      <w:r>
        <w:rPr>
          <w:rFonts w:ascii="Times New Roman" w:hAnsi="Times New Roman" w:cs="Times New Roman"/>
          <w:lang w:val="es-MX"/>
        </w:rPr>
        <w:t xml:space="preserve"> y una variación interanual de 1</w:t>
      </w:r>
      <w:r w:rsidRPr="008E3A30">
        <w:rPr>
          <w:rFonts w:ascii="Times New Roman" w:hAnsi="Times New Roman" w:cs="Times New Roman"/>
          <w:lang w:val="es-MX"/>
        </w:rPr>
        <w:t>.</w:t>
      </w:r>
      <w:r>
        <w:rPr>
          <w:rFonts w:ascii="Times New Roman" w:hAnsi="Times New Roman" w:cs="Times New Roman"/>
          <w:lang w:val="es-MX"/>
        </w:rPr>
        <w:t>2</w:t>
      </w:r>
      <w:r w:rsidRPr="008E3A30">
        <w:rPr>
          <w:rFonts w:ascii="Times New Roman" w:hAnsi="Times New Roman" w:cs="Times New Roman"/>
          <w:lang w:val="es-MX"/>
        </w:rPr>
        <w:t>%. Este grado de ejecución se encuentra por abajo de la ejecución promedio de los últimos 5 años (4</w:t>
      </w:r>
      <w:r>
        <w:rPr>
          <w:rFonts w:ascii="Times New Roman" w:hAnsi="Times New Roman" w:cs="Times New Roman"/>
          <w:lang w:val="es-MX"/>
        </w:rPr>
        <w:t>9.2</w:t>
      </w:r>
      <w:r w:rsidRPr="008E3A30">
        <w:rPr>
          <w:rFonts w:ascii="Times New Roman" w:hAnsi="Times New Roman" w:cs="Times New Roman"/>
          <w:lang w:val="es-MX"/>
        </w:rPr>
        <w:t xml:space="preserve">%) y es inferior a la reportada en cada uno de los años previos, a excepción del 2020, cuando el grado de ejecución fue de </w:t>
      </w:r>
      <w:r>
        <w:rPr>
          <w:rFonts w:ascii="Times New Roman" w:hAnsi="Times New Roman" w:cs="Times New Roman"/>
          <w:lang w:val="es-MX"/>
        </w:rPr>
        <w:t>46</w:t>
      </w:r>
      <w:r w:rsidRPr="008E3A30">
        <w:rPr>
          <w:rFonts w:ascii="Times New Roman" w:hAnsi="Times New Roman" w:cs="Times New Roman"/>
          <w:lang w:val="es-MX"/>
        </w:rPr>
        <w:t>.</w:t>
      </w:r>
      <w:r>
        <w:rPr>
          <w:rFonts w:ascii="Times New Roman" w:hAnsi="Times New Roman" w:cs="Times New Roman"/>
          <w:lang w:val="es-MX"/>
        </w:rPr>
        <w:t>1</w:t>
      </w:r>
      <w:r w:rsidRPr="008E3A30">
        <w:rPr>
          <w:rFonts w:ascii="Times New Roman" w:hAnsi="Times New Roman" w:cs="Times New Roman"/>
          <w:lang w:val="es-MX"/>
        </w:rPr>
        <w:t xml:space="preserve">%, derivado que se tenía un presupuesto alto por las ampliaciones presupuestarias </w:t>
      </w:r>
      <w:r>
        <w:rPr>
          <w:rFonts w:ascii="Times New Roman" w:hAnsi="Times New Roman" w:cs="Times New Roman"/>
          <w:lang w:val="es-MX"/>
        </w:rPr>
        <w:t>que respondían a las necesidades del COVID-19</w:t>
      </w:r>
      <w:r w:rsidRPr="008E3A30">
        <w:rPr>
          <w:rFonts w:ascii="Times New Roman" w:hAnsi="Times New Roman" w:cs="Times New Roman"/>
          <w:lang w:val="es-MX"/>
        </w:rPr>
        <w:t xml:space="preserve">. </w:t>
      </w:r>
    </w:p>
    <w:p w:rsidR="00E92310" w:rsidRPr="008E3A30" w:rsidRDefault="00E92310" w:rsidP="00E92310">
      <w:pPr>
        <w:pStyle w:val="Sinespaciado"/>
        <w:jc w:val="both"/>
        <w:rPr>
          <w:rFonts w:ascii="Times New Roman" w:hAnsi="Times New Roman" w:cs="Times New Roman"/>
          <w:lang w:val="es-MX"/>
        </w:rPr>
      </w:pPr>
    </w:p>
    <w:p w:rsidR="00E92310" w:rsidRDefault="00E92310" w:rsidP="00E92310">
      <w:pPr>
        <w:pStyle w:val="Sinespaciado"/>
        <w:jc w:val="both"/>
        <w:rPr>
          <w:rFonts w:ascii="Times New Roman" w:hAnsi="Times New Roman" w:cs="Times New Roman"/>
          <w:color w:val="FF0000"/>
          <w:lang w:val="es-MX"/>
        </w:rPr>
      </w:pPr>
      <w:r w:rsidRPr="008E3A30">
        <w:rPr>
          <w:rFonts w:ascii="Times New Roman" w:hAnsi="Times New Roman" w:cs="Times New Roman"/>
          <w:lang w:val="es-MX"/>
        </w:rPr>
        <w:t>En 2021 el gra</w:t>
      </w:r>
      <w:r>
        <w:rPr>
          <w:rFonts w:ascii="Times New Roman" w:hAnsi="Times New Roman" w:cs="Times New Roman"/>
          <w:lang w:val="es-MX"/>
        </w:rPr>
        <w:t xml:space="preserve">do de ejecución se percibe bajo, aunque hay que tomar en consideración la no aprobación del presupuesto y el </w:t>
      </w:r>
      <w:r w:rsidRPr="008E3A30">
        <w:rPr>
          <w:rFonts w:ascii="Times New Roman" w:hAnsi="Times New Roman" w:cs="Times New Roman"/>
          <w:lang w:val="es-MX"/>
        </w:rPr>
        <w:t>efecto de contar con un presupuesto vigente de Q107,521.5 millones.</w:t>
      </w:r>
      <w:r>
        <w:rPr>
          <w:rFonts w:ascii="Times New Roman" w:hAnsi="Times New Roman" w:cs="Times New Roman"/>
          <w:lang w:val="es-MX"/>
        </w:rPr>
        <w:t xml:space="preserve"> </w:t>
      </w:r>
      <w:r w:rsidRPr="008E3A30">
        <w:rPr>
          <w:rFonts w:ascii="Times New Roman" w:hAnsi="Times New Roman" w:cs="Times New Roman"/>
          <w:lang w:val="es-MX"/>
        </w:rPr>
        <w:t xml:space="preserve">Tomando en consideración el presupuesto operativo anunciado por el Ejecutivo (Q94,354.0 millones) una ejecución más realista podría </w:t>
      </w:r>
      <w:r w:rsidRPr="008E3A30">
        <w:rPr>
          <w:rFonts w:ascii="Times New Roman" w:hAnsi="Times New Roman" w:cs="Times New Roman"/>
          <w:lang w:val="es-MX"/>
        </w:rPr>
        <w:lastRenderedPageBreak/>
        <w:t xml:space="preserve">ubicarse en </w:t>
      </w:r>
      <w:r>
        <w:rPr>
          <w:rFonts w:ascii="Times New Roman" w:hAnsi="Times New Roman" w:cs="Times New Roman"/>
          <w:lang w:val="es-MX"/>
        </w:rPr>
        <w:t>53</w:t>
      </w:r>
      <w:r w:rsidRPr="008E3A30">
        <w:rPr>
          <w:rFonts w:ascii="Times New Roman" w:hAnsi="Times New Roman" w:cs="Times New Roman"/>
          <w:lang w:val="es-MX"/>
        </w:rPr>
        <w:t>.</w:t>
      </w:r>
      <w:r>
        <w:rPr>
          <w:rFonts w:ascii="Times New Roman" w:hAnsi="Times New Roman" w:cs="Times New Roman"/>
          <w:lang w:val="es-MX"/>
        </w:rPr>
        <w:t>3</w:t>
      </w:r>
      <w:r w:rsidRPr="008E3A30">
        <w:rPr>
          <w:rFonts w:ascii="Times New Roman" w:hAnsi="Times New Roman" w:cs="Times New Roman"/>
          <w:lang w:val="es-MX"/>
        </w:rPr>
        <w:t>%, siendo superior al promedio de los últimos 5 años y a cada uno de los años anteriores.</w:t>
      </w:r>
      <w:r w:rsidRPr="002C4CB2">
        <w:rPr>
          <w:rFonts w:ascii="Times New Roman" w:hAnsi="Times New Roman" w:cs="Times New Roman"/>
          <w:color w:val="FF0000"/>
          <w:lang w:val="es-MX"/>
        </w:rPr>
        <w:t xml:space="preserve"> </w:t>
      </w:r>
    </w:p>
    <w:p w:rsidR="00E92310" w:rsidRPr="008B062E" w:rsidRDefault="00E92310" w:rsidP="00E92310">
      <w:pPr>
        <w:pStyle w:val="Sinespaciado"/>
        <w:jc w:val="both"/>
        <w:rPr>
          <w:rFonts w:ascii="Times New Roman" w:hAnsi="Times New Roman" w:cs="Times New Roman"/>
          <w:color w:val="FF0000"/>
          <w:lang w:val="es-MX"/>
        </w:rPr>
      </w:pPr>
    </w:p>
    <w:p w:rsidR="00E92310" w:rsidRPr="002C4CB2" w:rsidRDefault="00E92310" w:rsidP="00E92310">
      <w:pPr>
        <w:spacing w:after="0" w:line="240" w:lineRule="auto"/>
        <w:jc w:val="center"/>
        <w:rPr>
          <w:rFonts w:ascii="Times New Roman" w:hAnsi="Times New Roman" w:cs="Times New Roman"/>
          <w:b/>
          <w:lang w:val="es-MX"/>
        </w:rPr>
      </w:pPr>
      <w:r w:rsidRPr="002C4CB2">
        <w:rPr>
          <w:rFonts w:ascii="Times New Roman" w:hAnsi="Times New Roman" w:cs="Times New Roman"/>
          <w:b/>
          <w:lang w:val="es-MX"/>
        </w:rPr>
        <w:t>Grado de Ejecución de los últimos 5 años</w:t>
      </w:r>
    </w:p>
    <w:p w:rsidR="00E92310" w:rsidRPr="002C4CB2" w:rsidRDefault="00E92310" w:rsidP="00E92310">
      <w:pPr>
        <w:pStyle w:val="Sinespaciado"/>
        <w:jc w:val="center"/>
        <w:rPr>
          <w:rFonts w:ascii="Times New Roman" w:hAnsi="Times New Roman" w:cs="Times New Roman"/>
          <w:sz w:val="18"/>
          <w:szCs w:val="18"/>
          <w:lang w:val="es-MX"/>
        </w:rPr>
      </w:pPr>
      <w:r>
        <w:rPr>
          <w:rFonts w:ascii="Times New Roman" w:hAnsi="Times New Roman" w:cs="Times New Roman"/>
          <w:sz w:val="18"/>
          <w:szCs w:val="18"/>
          <w:lang w:val="es-MX"/>
        </w:rPr>
        <w:t>Al 31</w:t>
      </w:r>
      <w:r w:rsidRPr="002C4CB2">
        <w:rPr>
          <w:rFonts w:ascii="Times New Roman" w:hAnsi="Times New Roman" w:cs="Times New Roman"/>
          <w:sz w:val="18"/>
          <w:szCs w:val="18"/>
          <w:lang w:val="es-MX"/>
        </w:rPr>
        <w:t xml:space="preserve"> de </w:t>
      </w:r>
      <w:r>
        <w:rPr>
          <w:rFonts w:ascii="Times New Roman" w:hAnsi="Times New Roman" w:cs="Times New Roman"/>
          <w:sz w:val="18"/>
          <w:szCs w:val="18"/>
          <w:lang w:val="es-MX"/>
        </w:rPr>
        <w:t>jul</w:t>
      </w:r>
      <w:r w:rsidRPr="002C4CB2">
        <w:rPr>
          <w:rFonts w:ascii="Times New Roman" w:hAnsi="Times New Roman" w:cs="Times New Roman"/>
          <w:sz w:val="18"/>
          <w:szCs w:val="18"/>
          <w:lang w:val="es-MX"/>
        </w:rPr>
        <w:t>io de cada año</w:t>
      </w:r>
    </w:p>
    <w:p w:rsidR="00E92310" w:rsidRPr="002C4CB2" w:rsidRDefault="00E92310" w:rsidP="00E92310">
      <w:pPr>
        <w:pStyle w:val="Sinespaciado"/>
        <w:jc w:val="center"/>
        <w:rPr>
          <w:rFonts w:ascii="Times New Roman" w:hAnsi="Times New Roman" w:cs="Times New Roman"/>
          <w:sz w:val="18"/>
          <w:szCs w:val="18"/>
          <w:lang w:val="es-MX"/>
        </w:rPr>
      </w:pPr>
      <w:r w:rsidRPr="002C4CB2">
        <w:rPr>
          <w:rFonts w:ascii="Times New Roman" w:hAnsi="Times New Roman" w:cs="Times New Roman"/>
          <w:noProof/>
          <w:sz w:val="18"/>
          <w:szCs w:val="18"/>
          <w:lang w:eastAsia="es-GT"/>
        </w:rPr>
        <w:drawing>
          <wp:anchor distT="0" distB="0" distL="114300" distR="114300" simplePos="0" relativeHeight="251857920" behindDoc="0" locked="0" layoutInCell="1" allowOverlap="1" wp14:anchorId="6362C6DC" wp14:editId="5F73C7B4">
            <wp:simplePos x="0" y="0"/>
            <wp:positionH relativeFrom="column">
              <wp:posOffset>-149860</wp:posOffset>
            </wp:positionH>
            <wp:positionV relativeFrom="paragraph">
              <wp:posOffset>173990</wp:posOffset>
            </wp:positionV>
            <wp:extent cx="2816860" cy="1869440"/>
            <wp:effectExtent l="0" t="0" r="2540" b="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2C4CB2">
        <w:rPr>
          <w:rFonts w:ascii="Times New Roman" w:hAnsi="Times New Roman" w:cs="Times New Roman"/>
          <w:sz w:val="18"/>
          <w:szCs w:val="18"/>
          <w:lang w:val="es-MX"/>
        </w:rPr>
        <w:t>Cifras en porcentajes</w:t>
      </w:r>
    </w:p>
    <w:p w:rsidR="00E92310" w:rsidRPr="002C4CB2" w:rsidRDefault="00E92310" w:rsidP="00E92310">
      <w:pPr>
        <w:spacing w:after="0" w:line="240" w:lineRule="auto"/>
        <w:jc w:val="both"/>
        <w:rPr>
          <w:rFonts w:ascii="Times New Roman" w:hAnsi="Times New Roman" w:cs="Times New Roman"/>
          <w:b/>
          <w:i/>
          <w:sz w:val="16"/>
        </w:rPr>
      </w:pPr>
      <w:r w:rsidRPr="002C4CB2">
        <w:rPr>
          <w:rFonts w:ascii="Times New Roman" w:hAnsi="Times New Roman" w:cs="Times New Roman"/>
          <w:b/>
          <w:i/>
          <w:sz w:val="16"/>
        </w:rPr>
        <w:t>*Con presupuesto 2021 ajustado Q94,354.0 millones</w:t>
      </w:r>
    </w:p>
    <w:p w:rsidR="00E92310" w:rsidRPr="002C4CB2" w:rsidRDefault="00E92310" w:rsidP="00E92310">
      <w:pPr>
        <w:spacing w:after="0" w:line="240" w:lineRule="auto"/>
        <w:jc w:val="both"/>
        <w:rPr>
          <w:rFonts w:ascii="Times New Roman" w:hAnsi="Times New Roman" w:cs="Times New Roman"/>
          <w:sz w:val="16"/>
        </w:rPr>
      </w:pPr>
      <w:r w:rsidRPr="002C4CB2">
        <w:rPr>
          <w:rFonts w:ascii="Times New Roman" w:hAnsi="Times New Roman" w:cs="Times New Roman"/>
          <w:sz w:val="16"/>
        </w:rPr>
        <w:t>Fuente: Dirección de Análisis y Política Fiscal</w:t>
      </w:r>
    </w:p>
    <w:p w:rsidR="00E92310" w:rsidRPr="002C4CB2" w:rsidRDefault="00E92310" w:rsidP="00E92310">
      <w:pPr>
        <w:pStyle w:val="Sinespaciado"/>
        <w:jc w:val="both"/>
        <w:rPr>
          <w:rFonts w:ascii="Times New Roman" w:hAnsi="Times New Roman" w:cs="Times New Roman"/>
          <w:color w:val="FF0000"/>
        </w:rPr>
      </w:pPr>
    </w:p>
    <w:p w:rsidR="00E92310" w:rsidRDefault="00E92310" w:rsidP="00E92310">
      <w:pPr>
        <w:pStyle w:val="Sinespaciado"/>
        <w:jc w:val="both"/>
        <w:rPr>
          <w:rFonts w:ascii="Times New Roman" w:hAnsi="Times New Roman" w:cs="Times New Roman"/>
        </w:rPr>
      </w:pPr>
      <w:r>
        <w:rPr>
          <w:rFonts w:ascii="Times New Roman" w:hAnsi="Times New Roman" w:cs="Times New Roman"/>
        </w:rPr>
        <w:t xml:space="preserve">A nivel del gasto público por entidades, muestran el mayor nivel de ejecución Educación (57.4%), la PGN (56.4%), Gobernación (55.9%), Salud Pública (54.4%), </w:t>
      </w:r>
      <w:r w:rsidRPr="004523BC">
        <w:rPr>
          <w:rFonts w:ascii="Times New Roman" w:hAnsi="Times New Roman" w:cs="Times New Roman"/>
        </w:rPr>
        <w:t xml:space="preserve">Deuda Pública </w:t>
      </w:r>
      <w:r>
        <w:rPr>
          <w:rFonts w:ascii="Times New Roman" w:hAnsi="Times New Roman" w:cs="Times New Roman"/>
        </w:rPr>
        <w:t>(53.6%), MINREX (51.9</w:t>
      </w:r>
      <w:r>
        <w:rPr>
          <w:rFonts w:ascii="Times New Roman" w:hAnsi="Times New Roman" w:cs="Times New Roman"/>
        </w:rPr>
        <w:br/>
        <w:t>%), Trabajo (51.1%), Defensa (48.8%), Ambiente (48.4%), Finanzas (48.1%), Comunicaciones (47.9%) todas estas entidades se encuentran por arriba de la ejecución institucional total.  Por su parte, el resto de las entidades se encuentran por debajo de la ejecución total, resalta el caso de dos entidades, siendo las Obligaciones del Estado (36.9%) y Economía (37.7%).</w:t>
      </w:r>
    </w:p>
    <w:p w:rsidR="00E92310" w:rsidRDefault="00E92310" w:rsidP="00E92310">
      <w:pPr>
        <w:pStyle w:val="Sinespaciado"/>
        <w:jc w:val="both"/>
        <w:rPr>
          <w:rFonts w:ascii="Times New Roman" w:hAnsi="Times New Roman" w:cs="Times New Roman"/>
        </w:rPr>
      </w:pPr>
    </w:p>
    <w:p w:rsidR="00E92310" w:rsidRDefault="00E92310" w:rsidP="00E92310">
      <w:pPr>
        <w:pStyle w:val="Sinespaciado"/>
        <w:jc w:val="both"/>
        <w:rPr>
          <w:rFonts w:ascii="Times New Roman" w:hAnsi="Times New Roman" w:cs="Times New Roman"/>
        </w:rPr>
      </w:pPr>
      <w:r>
        <w:rPr>
          <w:rFonts w:ascii="Times New Roman" w:hAnsi="Times New Roman" w:cs="Times New Roman"/>
        </w:rPr>
        <w:t xml:space="preserve">En el caso de las Obligaciones del Estado, la baja ejecución se debe a que en junio por medio del Acuerdo Gubernativo de Presupuesto 03-2021, se le establecieron las </w:t>
      </w:r>
      <w:r w:rsidRPr="00F73F9D">
        <w:rPr>
          <w:rFonts w:ascii="Times New Roman" w:hAnsi="Times New Roman" w:cs="Times New Roman"/>
        </w:rPr>
        <w:t>asignaciones inmovilizadas, es decir, que no cuentan con respaldo financiero,</w:t>
      </w:r>
      <w:r>
        <w:rPr>
          <w:rFonts w:ascii="Times New Roman" w:hAnsi="Times New Roman" w:cs="Times New Roman"/>
        </w:rPr>
        <w:t xml:space="preserve"> como parte del</w:t>
      </w:r>
      <w:r w:rsidRPr="00F47B9F">
        <w:rPr>
          <w:rFonts w:ascii="Times New Roman" w:hAnsi="Times New Roman" w:cs="Times New Roman"/>
        </w:rPr>
        <w:t xml:space="preserve"> reordenamiento del Presupuesto de Egresos del Estado</w:t>
      </w:r>
      <w:r>
        <w:rPr>
          <w:rFonts w:ascii="Times New Roman" w:hAnsi="Times New Roman" w:cs="Times New Roman"/>
        </w:rPr>
        <w:t xml:space="preserve">. Por ello, el presupuesto de esta entidad </w:t>
      </w:r>
      <w:r>
        <w:rPr>
          <w:rFonts w:ascii="Times New Roman" w:hAnsi="Times New Roman" w:cs="Times New Roman"/>
        </w:rPr>
        <w:lastRenderedPageBreak/>
        <w:t xml:space="preserve">se inflo virtualmente y su grado de ejecución disminuyó. </w:t>
      </w:r>
    </w:p>
    <w:p w:rsidR="00E92310" w:rsidRDefault="00E92310" w:rsidP="00E92310">
      <w:pPr>
        <w:pStyle w:val="Sinespaciado"/>
        <w:jc w:val="both"/>
        <w:rPr>
          <w:rFonts w:ascii="Times New Roman" w:hAnsi="Times New Roman" w:cs="Times New Roman"/>
        </w:rPr>
      </w:pPr>
    </w:p>
    <w:p w:rsidR="00E92310" w:rsidRDefault="00E92310" w:rsidP="00E92310">
      <w:pPr>
        <w:pStyle w:val="Sinespaciado"/>
        <w:jc w:val="both"/>
        <w:rPr>
          <w:rFonts w:ascii="Times New Roman" w:hAnsi="Times New Roman" w:cs="Times New Roman"/>
        </w:rPr>
      </w:pPr>
      <w:r>
        <w:rPr>
          <w:rFonts w:ascii="Times New Roman" w:hAnsi="Times New Roman" w:cs="Times New Roman"/>
        </w:rPr>
        <w:t xml:space="preserve">En el caso del Ministerio de Economía, su presupuesto fue modificado por medio de este reordenamiento, por lo cual la baja ejecución no responde a los programas asignados en 2020 para la atención del COVID-19, sino a una baja capacidad de ejecución del Ministerio, los programas Gestión de la Integración Económica y Comercio Exterior (27.0%) y Desarrollo de la Micro, Pequeña y Mediana Empresa (29.0%) reportan la menor ejecución. </w:t>
      </w:r>
    </w:p>
    <w:p w:rsidR="00E92310" w:rsidRPr="002C4CB2" w:rsidRDefault="00E92310" w:rsidP="00E92310">
      <w:pPr>
        <w:pStyle w:val="Sinespaciado"/>
        <w:jc w:val="both"/>
        <w:rPr>
          <w:rFonts w:ascii="Times New Roman" w:hAnsi="Times New Roman" w:cs="Times New Roman"/>
          <w:color w:val="FF0000"/>
        </w:rPr>
      </w:pPr>
    </w:p>
    <w:p w:rsidR="00E92310" w:rsidRPr="002C4CB2" w:rsidRDefault="00E92310" w:rsidP="00E92310">
      <w:pPr>
        <w:spacing w:after="0" w:line="240" w:lineRule="auto"/>
        <w:jc w:val="center"/>
        <w:rPr>
          <w:rFonts w:ascii="Times New Roman" w:hAnsi="Times New Roman" w:cs="Times New Roman"/>
          <w:b/>
          <w:lang w:val="es-MX"/>
        </w:rPr>
      </w:pPr>
      <w:r w:rsidRPr="002C4CB2">
        <w:rPr>
          <w:rFonts w:ascii="Times New Roman" w:hAnsi="Times New Roman" w:cs="Times New Roman"/>
          <w:b/>
          <w:lang w:val="es-MX"/>
        </w:rPr>
        <w:t>Grado de Ejecución por Entidad</w:t>
      </w:r>
    </w:p>
    <w:p w:rsidR="00E92310" w:rsidRPr="002C4CB2" w:rsidRDefault="00E92310" w:rsidP="00E92310">
      <w:pPr>
        <w:spacing w:after="0" w:line="240" w:lineRule="auto"/>
        <w:jc w:val="center"/>
        <w:rPr>
          <w:rFonts w:ascii="Times New Roman" w:hAnsi="Times New Roman" w:cs="Times New Roman"/>
          <w:sz w:val="18"/>
          <w:szCs w:val="18"/>
          <w:lang w:val="es-MX"/>
        </w:rPr>
      </w:pPr>
      <w:r w:rsidRPr="002C4CB2">
        <w:rPr>
          <w:rFonts w:ascii="Times New Roman" w:hAnsi="Times New Roman" w:cs="Times New Roman"/>
          <w:sz w:val="18"/>
          <w:szCs w:val="18"/>
          <w:lang w:val="es-MX"/>
        </w:rPr>
        <w:t>Al 3</w:t>
      </w:r>
      <w:r>
        <w:rPr>
          <w:rFonts w:ascii="Times New Roman" w:hAnsi="Times New Roman" w:cs="Times New Roman"/>
          <w:sz w:val="18"/>
          <w:szCs w:val="18"/>
          <w:lang w:val="es-MX"/>
        </w:rPr>
        <w:t>1</w:t>
      </w:r>
      <w:r w:rsidRPr="002C4CB2">
        <w:rPr>
          <w:rFonts w:ascii="Times New Roman" w:hAnsi="Times New Roman" w:cs="Times New Roman"/>
          <w:sz w:val="18"/>
          <w:szCs w:val="18"/>
          <w:lang w:val="es-MX"/>
        </w:rPr>
        <w:t xml:space="preserve"> de </w:t>
      </w:r>
      <w:r>
        <w:rPr>
          <w:rFonts w:ascii="Times New Roman" w:hAnsi="Times New Roman" w:cs="Times New Roman"/>
          <w:sz w:val="18"/>
          <w:szCs w:val="18"/>
          <w:lang w:val="es-MX"/>
        </w:rPr>
        <w:t>jul</w:t>
      </w:r>
      <w:r w:rsidRPr="002C4CB2">
        <w:rPr>
          <w:rFonts w:ascii="Times New Roman" w:hAnsi="Times New Roman" w:cs="Times New Roman"/>
          <w:sz w:val="18"/>
          <w:szCs w:val="18"/>
          <w:lang w:val="es-MX"/>
        </w:rPr>
        <w:t>io del 2021</w:t>
      </w:r>
    </w:p>
    <w:p w:rsidR="00E92310" w:rsidRPr="002C4CB2" w:rsidRDefault="00E92310" w:rsidP="00E92310">
      <w:pPr>
        <w:spacing w:after="0" w:line="240" w:lineRule="auto"/>
        <w:jc w:val="center"/>
        <w:rPr>
          <w:rFonts w:ascii="Times New Roman" w:hAnsi="Times New Roman" w:cs="Times New Roman"/>
          <w:sz w:val="18"/>
          <w:szCs w:val="18"/>
          <w:lang w:val="es-MX"/>
        </w:rPr>
      </w:pPr>
      <w:r w:rsidRPr="002C4CB2">
        <w:rPr>
          <w:rFonts w:ascii="Times New Roman" w:hAnsi="Times New Roman" w:cs="Times New Roman"/>
          <w:noProof/>
          <w:sz w:val="18"/>
          <w:szCs w:val="18"/>
          <w:lang w:eastAsia="es-GT"/>
        </w:rPr>
        <w:drawing>
          <wp:anchor distT="0" distB="0" distL="114300" distR="114300" simplePos="0" relativeHeight="251858944" behindDoc="0" locked="0" layoutInCell="1" allowOverlap="1" wp14:anchorId="77C11FCD" wp14:editId="46EDEC64">
            <wp:simplePos x="0" y="0"/>
            <wp:positionH relativeFrom="column">
              <wp:posOffset>52705</wp:posOffset>
            </wp:positionH>
            <wp:positionV relativeFrom="paragraph">
              <wp:posOffset>157480</wp:posOffset>
            </wp:positionV>
            <wp:extent cx="2553335" cy="3484245"/>
            <wp:effectExtent l="0" t="0" r="0" b="1905"/>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rFonts w:ascii="Times New Roman" w:hAnsi="Times New Roman" w:cs="Times New Roman"/>
          <w:sz w:val="18"/>
          <w:szCs w:val="18"/>
          <w:lang w:val="es-MX"/>
        </w:rPr>
        <w:t>En porcentaje</w:t>
      </w:r>
      <w:r w:rsidRPr="002C4CB2">
        <w:rPr>
          <w:rFonts w:ascii="Times New Roman" w:hAnsi="Times New Roman" w:cs="Times New Roman"/>
          <w:sz w:val="18"/>
          <w:szCs w:val="18"/>
          <w:lang w:val="es-MX"/>
        </w:rPr>
        <w:t>s</w:t>
      </w:r>
    </w:p>
    <w:p w:rsidR="00E92310" w:rsidRPr="002C4CB2" w:rsidRDefault="00E92310" w:rsidP="00E92310">
      <w:pPr>
        <w:spacing w:after="0" w:line="240" w:lineRule="auto"/>
        <w:jc w:val="both"/>
        <w:rPr>
          <w:rFonts w:ascii="Times New Roman" w:hAnsi="Times New Roman" w:cs="Times New Roman"/>
          <w:sz w:val="16"/>
        </w:rPr>
      </w:pPr>
      <w:r w:rsidRPr="002C4CB2">
        <w:rPr>
          <w:rFonts w:ascii="Times New Roman" w:hAnsi="Times New Roman" w:cs="Times New Roman"/>
          <w:sz w:val="16"/>
        </w:rPr>
        <w:t>Fuente: Dirección de Análisis y Política Fiscal</w:t>
      </w:r>
    </w:p>
    <w:p w:rsidR="00E92310" w:rsidRPr="008B062E" w:rsidRDefault="00E92310" w:rsidP="00E92310">
      <w:pPr>
        <w:pStyle w:val="Sinespaciado"/>
        <w:jc w:val="both"/>
        <w:rPr>
          <w:rFonts w:ascii="Times New Roman" w:hAnsi="Times New Roman" w:cs="Times New Roman"/>
          <w:sz w:val="18"/>
          <w:lang w:val="es-MX"/>
        </w:rPr>
      </w:pPr>
    </w:p>
    <w:p w:rsidR="00E92310" w:rsidRDefault="00E92310" w:rsidP="00E92310">
      <w:pPr>
        <w:pStyle w:val="Sinespaciado"/>
        <w:jc w:val="both"/>
        <w:rPr>
          <w:rFonts w:ascii="Times New Roman" w:hAnsi="Times New Roman" w:cs="Times New Roman"/>
          <w:lang w:val="es-MX"/>
        </w:rPr>
      </w:pPr>
      <w:r>
        <w:rPr>
          <w:rFonts w:ascii="Times New Roman" w:hAnsi="Times New Roman" w:cs="Times New Roman"/>
          <w:lang w:val="es-MX"/>
        </w:rPr>
        <w:t xml:space="preserve">De </w:t>
      </w:r>
      <w:r w:rsidRPr="00C74885">
        <w:rPr>
          <w:rFonts w:ascii="Times New Roman" w:hAnsi="Times New Roman" w:cs="Times New Roman"/>
          <w:lang w:val="es-MX"/>
        </w:rPr>
        <w:t>l</w:t>
      </w:r>
      <w:r>
        <w:rPr>
          <w:rFonts w:ascii="Times New Roman" w:hAnsi="Times New Roman" w:cs="Times New Roman"/>
          <w:lang w:val="es-MX"/>
        </w:rPr>
        <w:t>a ejecución del</w:t>
      </w:r>
      <w:r w:rsidRPr="00C74885">
        <w:rPr>
          <w:rFonts w:ascii="Times New Roman" w:hAnsi="Times New Roman" w:cs="Times New Roman"/>
          <w:lang w:val="es-MX"/>
        </w:rPr>
        <w:t xml:space="preserve"> gasto social, </w:t>
      </w:r>
      <w:r>
        <w:rPr>
          <w:rFonts w:ascii="Times New Roman" w:hAnsi="Times New Roman" w:cs="Times New Roman"/>
          <w:lang w:val="es-MX"/>
        </w:rPr>
        <w:t>este reporta un mayor dinamismo respecto al año previo, con un crecimiento interanual de 10.3</w:t>
      </w:r>
      <w:r w:rsidRPr="00321A9C">
        <w:rPr>
          <w:rFonts w:ascii="Times New Roman" w:hAnsi="Times New Roman" w:cs="Times New Roman"/>
          <w:lang w:val="es-MX"/>
        </w:rPr>
        <w:t>%</w:t>
      </w:r>
      <w:r>
        <w:rPr>
          <w:rFonts w:ascii="Times New Roman" w:hAnsi="Times New Roman" w:cs="Times New Roman"/>
          <w:lang w:val="es-MX"/>
        </w:rPr>
        <w:t>, equivalente a Q2,373.7 millones</w:t>
      </w:r>
      <w:r w:rsidRPr="00321A9C">
        <w:rPr>
          <w:rFonts w:ascii="Times New Roman" w:hAnsi="Times New Roman" w:cs="Times New Roman"/>
          <w:lang w:val="es-MX"/>
        </w:rPr>
        <w:t xml:space="preserve">. </w:t>
      </w:r>
    </w:p>
    <w:p w:rsidR="00E92310" w:rsidRPr="008B062E" w:rsidRDefault="00E92310" w:rsidP="00E92310">
      <w:pPr>
        <w:pStyle w:val="Sinespaciado"/>
        <w:jc w:val="both"/>
        <w:rPr>
          <w:rFonts w:ascii="Times New Roman" w:hAnsi="Times New Roman" w:cs="Times New Roman"/>
          <w:sz w:val="18"/>
          <w:lang w:val="es-MX"/>
        </w:rPr>
      </w:pPr>
    </w:p>
    <w:p w:rsidR="00E92310" w:rsidRDefault="00E92310" w:rsidP="00E92310">
      <w:pPr>
        <w:pStyle w:val="Sinespaciado"/>
        <w:jc w:val="both"/>
        <w:rPr>
          <w:rFonts w:ascii="Times New Roman" w:hAnsi="Times New Roman" w:cs="Times New Roman"/>
          <w:lang w:val="es-MX"/>
        </w:rPr>
      </w:pPr>
      <w:r>
        <w:rPr>
          <w:rFonts w:ascii="Times New Roman" w:hAnsi="Times New Roman" w:cs="Times New Roman"/>
          <w:lang w:val="es-MX"/>
        </w:rPr>
        <w:lastRenderedPageBreak/>
        <w:t xml:space="preserve">Todas las finalidades del gasto social se encuentran creciendo, en términos absolutos resalta el sector de Salud y Asistencia Social con un aumento importante de Q1,538.3 millones (equivalente a 27.8%), asociado a la compra de las vacunas para hacer frente a la pandemia. Le sigue el sector de Educación con un aumento de Q508.9 millones (equivalente a 4.2%) y Seguridad Interna con un aumento de Q239.9 millones (equivalente a 8.0%). </w:t>
      </w:r>
    </w:p>
    <w:p w:rsidR="00E92310" w:rsidRDefault="00E92310" w:rsidP="00E92310">
      <w:pPr>
        <w:pStyle w:val="Sinespaciado"/>
        <w:jc w:val="both"/>
        <w:rPr>
          <w:rFonts w:ascii="Times New Roman" w:hAnsi="Times New Roman" w:cs="Times New Roman"/>
          <w:lang w:val="es-MX"/>
        </w:rPr>
      </w:pPr>
    </w:p>
    <w:p w:rsidR="00E92310" w:rsidRPr="00322CA5" w:rsidRDefault="00E92310" w:rsidP="00322CA5">
      <w:pPr>
        <w:pStyle w:val="Sinespaciado"/>
        <w:jc w:val="both"/>
        <w:rPr>
          <w:rFonts w:ascii="Times New Roman" w:hAnsi="Times New Roman" w:cs="Times New Roman"/>
          <w:lang w:val="es-MX"/>
        </w:rPr>
      </w:pPr>
      <w:r>
        <w:rPr>
          <w:rFonts w:ascii="Times New Roman" w:hAnsi="Times New Roman" w:cs="Times New Roman"/>
          <w:lang w:val="es-MX"/>
        </w:rPr>
        <w:t xml:space="preserve">Por su parte, los aportes hacia el Ministerio Público reportan un aumento de Q48.7 millones (equivalente a 5.3%) y el Organismo Judicial y Corte de Constitucionalidad reportan un aumento de Q21.7 millones (equivalente a </w:t>
      </w:r>
      <w:r>
        <w:rPr>
          <w:rFonts w:ascii="Times New Roman" w:hAnsi="Times New Roman" w:cs="Times New Roman"/>
          <w:lang w:val="es-MX"/>
        </w:rPr>
        <w:lastRenderedPageBreak/>
        <w:t>1.5%), esto es relevante dado que hasta junio este aporte reportaba un crecimiento negativo.</w:t>
      </w:r>
    </w:p>
    <w:p w:rsidR="00E92310" w:rsidRPr="002C4CB2" w:rsidRDefault="00E92310" w:rsidP="00E92310">
      <w:pPr>
        <w:pStyle w:val="Sinespaciado"/>
        <w:rPr>
          <w:rFonts w:ascii="Times New Roman" w:hAnsi="Times New Roman" w:cs="Times New Roman"/>
          <w:b/>
          <w:lang w:val="es-MX"/>
        </w:rPr>
      </w:pPr>
      <w:r w:rsidRPr="002C4CB2">
        <w:rPr>
          <w:rFonts w:ascii="Times New Roman" w:hAnsi="Times New Roman" w:cs="Times New Roman"/>
          <w:b/>
          <w:lang w:val="es-MX"/>
        </w:rPr>
        <w:t xml:space="preserve">Ejecución y crecimiento del Gasto Social </w:t>
      </w:r>
    </w:p>
    <w:p w:rsidR="00E92310" w:rsidRPr="002C4CB2" w:rsidRDefault="00E92310" w:rsidP="00E92310">
      <w:pPr>
        <w:pStyle w:val="Sinespaciado"/>
        <w:jc w:val="center"/>
        <w:rPr>
          <w:rFonts w:ascii="Times New Roman" w:hAnsi="Times New Roman" w:cs="Times New Roman"/>
          <w:sz w:val="18"/>
          <w:szCs w:val="18"/>
          <w:lang w:val="es-MX"/>
        </w:rPr>
      </w:pPr>
      <w:r w:rsidRPr="002C4CB2">
        <w:rPr>
          <w:rFonts w:ascii="Times New Roman" w:hAnsi="Times New Roman" w:cs="Times New Roman"/>
          <w:sz w:val="18"/>
          <w:szCs w:val="18"/>
          <w:lang w:val="es-MX"/>
        </w:rPr>
        <w:t>Al 3</w:t>
      </w:r>
      <w:r>
        <w:rPr>
          <w:rFonts w:ascii="Times New Roman" w:hAnsi="Times New Roman" w:cs="Times New Roman"/>
          <w:sz w:val="18"/>
          <w:szCs w:val="18"/>
          <w:lang w:val="es-MX"/>
        </w:rPr>
        <w:t>1</w:t>
      </w:r>
      <w:r w:rsidRPr="002C4CB2">
        <w:rPr>
          <w:rFonts w:ascii="Times New Roman" w:hAnsi="Times New Roman" w:cs="Times New Roman"/>
          <w:sz w:val="18"/>
          <w:szCs w:val="18"/>
          <w:lang w:val="es-MX"/>
        </w:rPr>
        <w:t xml:space="preserve"> de </w:t>
      </w:r>
      <w:r>
        <w:rPr>
          <w:rFonts w:ascii="Times New Roman" w:hAnsi="Times New Roman" w:cs="Times New Roman"/>
          <w:sz w:val="18"/>
          <w:szCs w:val="18"/>
          <w:lang w:val="es-MX"/>
        </w:rPr>
        <w:t>jul</w:t>
      </w:r>
      <w:r w:rsidRPr="002C4CB2">
        <w:rPr>
          <w:rFonts w:ascii="Times New Roman" w:hAnsi="Times New Roman" w:cs="Times New Roman"/>
          <w:sz w:val="18"/>
          <w:szCs w:val="18"/>
          <w:lang w:val="es-MX"/>
        </w:rPr>
        <w:t>io 2021</w:t>
      </w:r>
    </w:p>
    <w:p w:rsidR="00E92310" w:rsidRDefault="00322CA5" w:rsidP="00E92310">
      <w:pPr>
        <w:pStyle w:val="Sinespaciado"/>
        <w:jc w:val="center"/>
        <w:rPr>
          <w:rFonts w:ascii="Times New Roman" w:hAnsi="Times New Roman" w:cs="Times New Roman"/>
          <w:sz w:val="18"/>
          <w:szCs w:val="18"/>
          <w:lang w:val="es-MX"/>
        </w:rPr>
      </w:pPr>
      <w:r w:rsidRPr="00D7336C">
        <w:rPr>
          <w:noProof/>
          <w:lang w:eastAsia="es-GT"/>
        </w:rPr>
        <w:drawing>
          <wp:anchor distT="0" distB="0" distL="114300" distR="114300" simplePos="0" relativeHeight="251859968" behindDoc="0" locked="0" layoutInCell="1" allowOverlap="1" wp14:anchorId="29E98427" wp14:editId="7E7F99B7">
            <wp:simplePos x="0" y="0"/>
            <wp:positionH relativeFrom="column">
              <wp:posOffset>-87630</wp:posOffset>
            </wp:positionH>
            <wp:positionV relativeFrom="paragraph">
              <wp:posOffset>149225</wp:posOffset>
            </wp:positionV>
            <wp:extent cx="2693670" cy="160591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3670"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2310" w:rsidRPr="002C4CB2">
        <w:rPr>
          <w:rFonts w:ascii="Times New Roman" w:hAnsi="Times New Roman" w:cs="Times New Roman"/>
          <w:sz w:val="18"/>
          <w:szCs w:val="18"/>
          <w:lang w:val="es-MX"/>
        </w:rPr>
        <w:t>Cifras en porcentajes y en millones de quetzales</w:t>
      </w:r>
    </w:p>
    <w:p w:rsidR="006F10D1" w:rsidRPr="00322CA5" w:rsidRDefault="00E92310" w:rsidP="004552E3">
      <w:pPr>
        <w:pStyle w:val="Sinespaciado"/>
        <w:spacing w:after="240"/>
        <w:rPr>
          <w:rFonts w:ascii="Times New Roman" w:hAnsi="Times New Roman" w:cs="Times New Roman"/>
          <w:sz w:val="10"/>
        </w:rPr>
      </w:pPr>
      <w:r w:rsidRPr="002C4CB2">
        <w:rPr>
          <w:rFonts w:ascii="Times New Roman" w:hAnsi="Times New Roman" w:cs="Times New Roman"/>
          <w:sz w:val="16"/>
        </w:rPr>
        <w:t>Fuente: Dirección de Análisis y Política Fiscal</w:t>
      </w:r>
    </w:p>
    <w:p w:rsidR="006F10D1" w:rsidRPr="0015544F" w:rsidRDefault="006F10D1" w:rsidP="00BA782D">
      <w:pPr>
        <w:pStyle w:val="Sinespaciado"/>
        <w:jc w:val="both"/>
        <w:rPr>
          <w:rFonts w:ascii="Times New Roman" w:hAnsi="Times New Roman" w:cs="Times New Roman"/>
          <w:color w:val="FF0000"/>
          <w:sz w:val="16"/>
        </w:rPr>
        <w:sectPr w:rsidR="006F10D1" w:rsidRPr="0015544F" w:rsidSect="00474998">
          <w:headerReference w:type="default" r:id="rId22"/>
          <w:footerReference w:type="default" r:id="rId23"/>
          <w:type w:val="continuous"/>
          <w:pgSz w:w="12240" w:h="15840" w:code="1"/>
          <w:pgMar w:top="1418" w:right="1608" w:bottom="1418" w:left="1701" w:header="709" w:footer="709" w:gutter="0"/>
          <w:cols w:num="2" w:space="708"/>
          <w:docGrid w:linePitch="360"/>
        </w:sectPr>
      </w:pPr>
    </w:p>
    <w:p w:rsidR="00BA782D" w:rsidRPr="0015544F" w:rsidRDefault="00BA782D" w:rsidP="00216605">
      <w:pPr>
        <w:pStyle w:val="Sinespaciado"/>
        <w:jc w:val="both"/>
        <w:rPr>
          <w:rFonts w:ascii="Times New Roman" w:hAnsi="Times New Roman" w:cs="Times New Roman"/>
          <w:color w:val="FF0000"/>
          <w:sz w:val="2"/>
          <w:lang w:val="es-MX"/>
        </w:rPr>
      </w:pPr>
    </w:p>
    <w:p w:rsidR="00216605" w:rsidRPr="004A5011" w:rsidRDefault="00541A32" w:rsidP="00216605">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216605" w:rsidRPr="004A5011" w:rsidSect="00FA3B81">
          <w:type w:val="continuous"/>
          <w:pgSz w:w="12240" w:h="15840" w:code="1"/>
          <w:pgMar w:top="1418" w:right="1418" w:bottom="1418" w:left="1418" w:header="709" w:footer="709" w:gutter="0"/>
          <w:cols w:space="708"/>
          <w:docGrid w:linePitch="360"/>
        </w:sectPr>
      </w:pPr>
      <w:r w:rsidRPr="004A5011">
        <w:rPr>
          <w:rFonts w:ascii="Times New Roman" w:hAnsi="Times New Roman" w:cs="Times New Roman"/>
          <w:b/>
          <w:lang w:val="es-MX"/>
        </w:rPr>
        <w:t>Las colocaciones en dólares superan los Q700 millones</w:t>
      </w:r>
    </w:p>
    <w:p w:rsidR="00216605" w:rsidRPr="0015544F" w:rsidRDefault="00216605" w:rsidP="00216605">
      <w:pPr>
        <w:pStyle w:val="Sinespaciado"/>
        <w:rPr>
          <w:rFonts w:ascii="Times New Roman" w:hAnsi="Times New Roman" w:cs="Times New Roman"/>
          <w:b/>
          <w:color w:val="FF0000"/>
          <w:sz w:val="18"/>
          <w:lang w:val="es-MX"/>
        </w:rPr>
      </w:pPr>
    </w:p>
    <w:p w:rsidR="00216605" w:rsidRPr="0015544F" w:rsidRDefault="00216605" w:rsidP="00216605">
      <w:pPr>
        <w:pStyle w:val="Sinespaciado"/>
        <w:rPr>
          <w:rFonts w:ascii="Times New Roman" w:hAnsi="Times New Roman" w:cs="Times New Roman"/>
          <w:b/>
          <w:color w:val="FF0000"/>
          <w:lang w:val="es-MX"/>
        </w:rPr>
        <w:sectPr w:rsidR="00216605" w:rsidRPr="0015544F" w:rsidSect="004E358C">
          <w:type w:val="continuous"/>
          <w:pgSz w:w="12240" w:h="15840"/>
          <w:pgMar w:top="1417" w:right="1701" w:bottom="1417" w:left="1701" w:header="708" w:footer="708" w:gutter="0"/>
          <w:cols w:space="708"/>
          <w:docGrid w:linePitch="360"/>
        </w:sectPr>
      </w:pPr>
    </w:p>
    <w:p w:rsidR="00E92310" w:rsidRPr="00A36C8F" w:rsidRDefault="00E92310" w:rsidP="00E92310">
      <w:pPr>
        <w:pStyle w:val="Sinespaciado"/>
        <w:ind w:right="237"/>
        <w:jc w:val="both"/>
        <w:rPr>
          <w:rFonts w:ascii="Times New Roman" w:hAnsi="Times New Roman" w:cs="Times New Roman"/>
        </w:rPr>
      </w:pPr>
      <w:r w:rsidRPr="00A36C8F">
        <w:rPr>
          <w:rFonts w:ascii="Times New Roman" w:hAnsi="Times New Roman" w:cs="Times New Roman"/>
        </w:rPr>
        <w:lastRenderedPageBreak/>
        <w:t xml:space="preserve">Respecto al financiamiento del gasto público, los desembolsos de préstamos </w:t>
      </w:r>
      <w:r>
        <w:rPr>
          <w:rFonts w:ascii="Times New Roman" w:hAnsi="Times New Roman" w:cs="Times New Roman"/>
        </w:rPr>
        <w:t xml:space="preserve">se mantienen en el mismo nivel de junio con </w:t>
      </w:r>
      <w:r w:rsidRPr="00A36C8F">
        <w:rPr>
          <w:rFonts w:ascii="Times New Roman" w:hAnsi="Times New Roman" w:cs="Times New Roman"/>
        </w:rPr>
        <w:t xml:space="preserve">un </w:t>
      </w:r>
      <w:r>
        <w:rPr>
          <w:rFonts w:ascii="Times New Roman" w:hAnsi="Times New Roman" w:cs="Times New Roman"/>
        </w:rPr>
        <w:t xml:space="preserve">monto </w:t>
      </w:r>
      <w:r w:rsidRPr="00A36C8F">
        <w:rPr>
          <w:rFonts w:ascii="Times New Roman" w:hAnsi="Times New Roman" w:cs="Times New Roman"/>
        </w:rPr>
        <w:t>de Q2</w:t>
      </w:r>
      <w:r>
        <w:rPr>
          <w:rFonts w:ascii="Times New Roman" w:hAnsi="Times New Roman" w:cs="Times New Roman"/>
        </w:rPr>
        <w:t>82</w:t>
      </w:r>
      <w:r w:rsidRPr="00A36C8F">
        <w:rPr>
          <w:rFonts w:ascii="Times New Roman" w:hAnsi="Times New Roman" w:cs="Times New Roman"/>
        </w:rPr>
        <w:t>.</w:t>
      </w:r>
      <w:r>
        <w:rPr>
          <w:rFonts w:ascii="Times New Roman" w:hAnsi="Times New Roman" w:cs="Times New Roman"/>
        </w:rPr>
        <w:t>4</w:t>
      </w:r>
      <w:r w:rsidRPr="00A36C8F">
        <w:rPr>
          <w:rFonts w:ascii="Times New Roman" w:hAnsi="Times New Roman" w:cs="Times New Roman"/>
        </w:rPr>
        <w:t xml:space="preserve"> millones, mientras las amortizaciones alcanzaron los Q1,</w:t>
      </w:r>
      <w:r>
        <w:rPr>
          <w:rFonts w:ascii="Times New Roman" w:hAnsi="Times New Roman" w:cs="Times New Roman"/>
        </w:rPr>
        <w:t>710.0</w:t>
      </w:r>
      <w:r w:rsidRPr="00A36C8F">
        <w:rPr>
          <w:rFonts w:ascii="Times New Roman" w:hAnsi="Times New Roman" w:cs="Times New Roman"/>
        </w:rPr>
        <w:t xml:space="preserve"> millones y de esa cuenta, el financiamiento externo neto es negativo en Q1,</w:t>
      </w:r>
      <w:r>
        <w:rPr>
          <w:rFonts w:ascii="Times New Roman" w:hAnsi="Times New Roman" w:cs="Times New Roman"/>
        </w:rPr>
        <w:t>427</w:t>
      </w:r>
      <w:r w:rsidRPr="00A36C8F">
        <w:rPr>
          <w:rFonts w:ascii="Times New Roman" w:hAnsi="Times New Roman" w:cs="Times New Roman"/>
        </w:rPr>
        <w:t>.</w:t>
      </w:r>
      <w:r>
        <w:rPr>
          <w:rFonts w:ascii="Times New Roman" w:hAnsi="Times New Roman" w:cs="Times New Roman"/>
        </w:rPr>
        <w:t>7</w:t>
      </w:r>
      <w:r w:rsidRPr="00A36C8F">
        <w:rPr>
          <w:rFonts w:ascii="Times New Roman" w:hAnsi="Times New Roman" w:cs="Times New Roman"/>
        </w:rPr>
        <w:t xml:space="preserve"> millones.</w:t>
      </w:r>
      <w:r>
        <w:rPr>
          <w:rFonts w:ascii="Times New Roman" w:hAnsi="Times New Roman" w:cs="Times New Roman"/>
        </w:rPr>
        <w:t xml:space="preserve"> Los desembolsos recibidos durante el año corresponden a cuatro préstamos, siendo estos el “Programa de inversión y modernización para el sector justicia” con el BCIE por Q215.1 millones, “Programa de mejoramiento de carreteras en Zona Paz” con la Agencia Japonesa de Cooperación Internacional por Q52.9 millones, “Crecer Sano: Proyecto de nutrición y salud en Guatemala” con BIRF por Q11.6 millones y “Proyecto de Educación Rural V (Proeduc V) con KFW por Q2.8 millones.  </w:t>
      </w:r>
    </w:p>
    <w:p w:rsidR="00E92310" w:rsidRPr="00322CA5" w:rsidRDefault="00E92310" w:rsidP="00E92310">
      <w:pPr>
        <w:pStyle w:val="Sinespaciado"/>
        <w:ind w:right="237"/>
        <w:jc w:val="both"/>
        <w:rPr>
          <w:rFonts w:ascii="Times New Roman" w:hAnsi="Times New Roman" w:cs="Times New Roman"/>
          <w:color w:val="FF0000"/>
          <w:sz w:val="20"/>
        </w:rPr>
      </w:pPr>
    </w:p>
    <w:p w:rsidR="00541A32" w:rsidRPr="0015544F" w:rsidRDefault="00E92310" w:rsidP="00E92310">
      <w:pPr>
        <w:pStyle w:val="Sinespaciado"/>
        <w:ind w:right="237"/>
        <w:jc w:val="both"/>
        <w:rPr>
          <w:rFonts w:ascii="Times New Roman" w:hAnsi="Times New Roman" w:cs="Times New Roman"/>
          <w:color w:val="FF0000"/>
        </w:rPr>
      </w:pPr>
      <w:r w:rsidRPr="00A36C8F">
        <w:rPr>
          <w:rFonts w:ascii="Times New Roman" w:hAnsi="Times New Roman" w:cs="Times New Roman"/>
        </w:rPr>
        <w:t>En cuanto al financiamiento interno, s</w:t>
      </w:r>
      <w:r>
        <w:rPr>
          <w:rFonts w:ascii="Times New Roman" w:hAnsi="Times New Roman" w:cs="Times New Roman"/>
        </w:rPr>
        <w:t>e han colocado hasta la fecha Q14,135.4</w:t>
      </w:r>
      <w:r w:rsidRPr="00A36C8F">
        <w:rPr>
          <w:rFonts w:ascii="Times New Roman" w:hAnsi="Times New Roman" w:cs="Times New Roman"/>
        </w:rPr>
        <w:t xml:space="preserve"> </w:t>
      </w:r>
      <w:r>
        <w:rPr>
          <w:rFonts w:ascii="Times New Roman" w:hAnsi="Times New Roman" w:cs="Times New Roman"/>
        </w:rPr>
        <w:t>millones, correspondiente al 58</w:t>
      </w:r>
      <w:r w:rsidRPr="00A36C8F">
        <w:rPr>
          <w:rFonts w:ascii="Times New Roman" w:hAnsi="Times New Roman" w:cs="Times New Roman"/>
        </w:rPr>
        <w:t>% del total autorizado, quedando pendientes de colocar el 4</w:t>
      </w:r>
      <w:r>
        <w:rPr>
          <w:rFonts w:ascii="Times New Roman" w:hAnsi="Times New Roman" w:cs="Times New Roman"/>
        </w:rPr>
        <w:t>2</w:t>
      </w:r>
      <w:r w:rsidRPr="00A36C8F">
        <w:rPr>
          <w:rFonts w:ascii="Times New Roman" w:hAnsi="Times New Roman" w:cs="Times New Roman"/>
        </w:rPr>
        <w:t>% del total autorizado en el Decreto 25-2018</w:t>
      </w:r>
      <w:r>
        <w:rPr>
          <w:rFonts w:ascii="Times New Roman" w:hAnsi="Times New Roman" w:cs="Times New Roman"/>
        </w:rPr>
        <w:t xml:space="preserve">. Del total colocado un 5.2% corresponde a </w:t>
      </w:r>
      <w:r>
        <w:rPr>
          <w:rFonts w:ascii="Times New Roman" w:hAnsi="Times New Roman" w:cs="Times New Roman"/>
        </w:rPr>
        <w:lastRenderedPageBreak/>
        <w:t>colocaciones en dólares en el mercado interno por US$95.9 millones, equivalente a Q740.4 millones.</w:t>
      </w:r>
    </w:p>
    <w:p w:rsidR="004552E3" w:rsidRPr="00E92310" w:rsidRDefault="004552E3" w:rsidP="00541A32">
      <w:pPr>
        <w:pStyle w:val="Sinespaciado"/>
        <w:ind w:right="237"/>
        <w:jc w:val="both"/>
        <w:rPr>
          <w:rFonts w:ascii="Times New Roman" w:hAnsi="Times New Roman" w:cs="Times New Roman"/>
          <w:sz w:val="16"/>
        </w:rPr>
      </w:pPr>
    </w:p>
    <w:p w:rsidR="00541A32" w:rsidRPr="00E92310" w:rsidRDefault="00541A32" w:rsidP="00541A32">
      <w:pPr>
        <w:spacing w:after="0" w:line="240" w:lineRule="auto"/>
        <w:ind w:right="237"/>
        <w:jc w:val="center"/>
        <w:rPr>
          <w:rFonts w:ascii="Times New Roman" w:hAnsi="Times New Roman" w:cs="Times New Roman"/>
          <w:b/>
        </w:rPr>
      </w:pPr>
      <w:r w:rsidRPr="00E92310">
        <w:rPr>
          <w:rFonts w:ascii="Times New Roman" w:hAnsi="Times New Roman" w:cs="Times New Roman"/>
          <w:b/>
        </w:rPr>
        <w:t>Colocación de Bonos del Tesoro</w:t>
      </w:r>
    </w:p>
    <w:p w:rsidR="00541A32" w:rsidRPr="00E92310" w:rsidRDefault="00541A32" w:rsidP="00541A32">
      <w:pPr>
        <w:pStyle w:val="Sinespaciado"/>
        <w:ind w:right="237"/>
        <w:jc w:val="center"/>
        <w:rPr>
          <w:rFonts w:ascii="Times New Roman" w:hAnsi="Times New Roman" w:cs="Times New Roman"/>
          <w:sz w:val="18"/>
        </w:rPr>
      </w:pPr>
      <w:r w:rsidRPr="00E92310">
        <w:rPr>
          <w:rFonts w:ascii="Times New Roman" w:hAnsi="Times New Roman" w:cs="Times New Roman"/>
          <w:sz w:val="18"/>
        </w:rPr>
        <w:t>A julio 2021</w:t>
      </w:r>
    </w:p>
    <w:p w:rsidR="00541A32" w:rsidRPr="00E92310" w:rsidRDefault="00322CA5" w:rsidP="00541A32">
      <w:pPr>
        <w:pStyle w:val="Sinespaciado"/>
        <w:ind w:right="237"/>
        <w:jc w:val="center"/>
        <w:rPr>
          <w:rFonts w:ascii="Times New Roman" w:hAnsi="Times New Roman" w:cs="Times New Roman"/>
          <w:sz w:val="18"/>
        </w:rPr>
      </w:pPr>
      <w:r w:rsidRPr="00E92310">
        <w:rPr>
          <w:noProof/>
          <w:lang w:eastAsia="es-GT"/>
        </w:rPr>
        <w:drawing>
          <wp:anchor distT="0" distB="0" distL="114300" distR="114300" simplePos="0" relativeHeight="251862016" behindDoc="0" locked="0" layoutInCell="1" allowOverlap="1" wp14:anchorId="60D11AB3" wp14:editId="50FA4035">
            <wp:simplePos x="0" y="0"/>
            <wp:positionH relativeFrom="column">
              <wp:posOffset>-205740</wp:posOffset>
            </wp:positionH>
            <wp:positionV relativeFrom="paragraph">
              <wp:posOffset>159385</wp:posOffset>
            </wp:positionV>
            <wp:extent cx="2907030" cy="1754505"/>
            <wp:effectExtent l="0" t="0" r="7620" b="0"/>
            <wp:wrapSquare wrapText="bothSides"/>
            <wp:docPr id="1" name="Chart 1">
              <a:extLst xmlns:a="http://schemas.openxmlformats.org/drawingml/2006/main">
                <a:ext uri="{FF2B5EF4-FFF2-40B4-BE49-F238E27FC236}">
                  <a16:creationId xmlns:a16="http://schemas.microsoft.com/office/drawing/2014/main" id="{00000000-0008-0000-1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541A32" w:rsidRPr="00E92310">
        <w:rPr>
          <w:rFonts w:ascii="Times New Roman" w:hAnsi="Times New Roman" w:cs="Times New Roman"/>
          <w:sz w:val="18"/>
        </w:rPr>
        <w:t>Millones de quetzales y porcentajes</w:t>
      </w:r>
    </w:p>
    <w:p w:rsidR="002C4CB2" w:rsidRDefault="00541A32" w:rsidP="00322CA5">
      <w:pPr>
        <w:pStyle w:val="Sinespaciado"/>
        <w:spacing w:after="240"/>
        <w:ind w:right="237"/>
        <w:rPr>
          <w:rFonts w:ascii="Times New Roman" w:hAnsi="Times New Roman" w:cs="Times New Roman"/>
          <w:sz w:val="16"/>
        </w:rPr>
      </w:pPr>
      <w:r w:rsidRPr="00E92310">
        <w:rPr>
          <w:rFonts w:ascii="Times New Roman" w:hAnsi="Times New Roman" w:cs="Times New Roman"/>
          <w:sz w:val="16"/>
        </w:rPr>
        <w:t>Fuente: Dirección de Análisis y Política Fiscal</w:t>
      </w:r>
    </w:p>
    <w:p w:rsidR="00322CA5" w:rsidRDefault="00322CA5" w:rsidP="00322CA5">
      <w:pPr>
        <w:pStyle w:val="Sinespaciado"/>
        <w:spacing w:after="240"/>
        <w:ind w:right="237"/>
        <w:rPr>
          <w:rFonts w:ascii="Times New Roman" w:hAnsi="Times New Roman" w:cs="Times New Roman"/>
          <w:sz w:val="16"/>
        </w:rPr>
      </w:pPr>
    </w:p>
    <w:p w:rsidR="00322CA5" w:rsidRDefault="00322CA5" w:rsidP="00322CA5">
      <w:pPr>
        <w:pStyle w:val="Sinespaciado"/>
        <w:spacing w:after="240"/>
        <w:ind w:right="237"/>
        <w:rPr>
          <w:rFonts w:ascii="Times New Roman" w:hAnsi="Times New Roman" w:cs="Times New Roman"/>
          <w:sz w:val="16"/>
        </w:rPr>
      </w:pPr>
    </w:p>
    <w:p w:rsidR="00322CA5" w:rsidRDefault="00322CA5" w:rsidP="00322CA5">
      <w:pPr>
        <w:pStyle w:val="Sinespaciado"/>
        <w:spacing w:after="240"/>
        <w:ind w:right="237"/>
        <w:rPr>
          <w:rFonts w:ascii="Times New Roman" w:hAnsi="Times New Roman" w:cs="Times New Roman"/>
          <w:sz w:val="16"/>
        </w:rPr>
      </w:pPr>
    </w:p>
    <w:p w:rsidR="00322CA5" w:rsidRDefault="00322CA5" w:rsidP="00322CA5">
      <w:pPr>
        <w:pStyle w:val="Sinespaciado"/>
        <w:spacing w:after="240"/>
        <w:ind w:right="237"/>
        <w:rPr>
          <w:rFonts w:ascii="Times New Roman" w:hAnsi="Times New Roman" w:cs="Times New Roman"/>
          <w:sz w:val="16"/>
        </w:rPr>
      </w:pPr>
    </w:p>
    <w:p w:rsidR="00322CA5" w:rsidRDefault="00322CA5" w:rsidP="00322CA5">
      <w:pPr>
        <w:pStyle w:val="Sinespaciado"/>
        <w:spacing w:after="240"/>
        <w:ind w:right="237"/>
        <w:rPr>
          <w:rFonts w:ascii="Times New Roman" w:hAnsi="Times New Roman" w:cs="Times New Roman"/>
          <w:sz w:val="16"/>
        </w:rPr>
      </w:pPr>
    </w:p>
    <w:p w:rsidR="00322CA5" w:rsidRPr="00322CA5" w:rsidRDefault="00322CA5" w:rsidP="00322CA5">
      <w:pPr>
        <w:pStyle w:val="Sinespaciado"/>
        <w:spacing w:after="240"/>
        <w:ind w:right="237"/>
        <w:rPr>
          <w:rFonts w:ascii="Times New Roman" w:hAnsi="Times New Roman" w:cs="Times New Roman"/>
          <w:sz w:val="16"/>
        </w:rPr>
        <w:sectPr w:rsidR="00322CA5" w:rsidRPr="00322CA5" w:rsidSect="00040C99">
          <w:headerReference w:type="default" r:id="rId25"/>
          <w:footerReference w:type="default" r:id="rId26"/>
          <w:type w:val="continuous"/>
          <w:pgSz w:w="12240" w:h="15840" w:code="1"/>
          <w:pgMar w:top="1418" w:right="1418" w:bottom="1418" w:left="1701" w:header="709" w:footer="709" w:gutter="0"/>
          <w:cols w:num="2" w:space="708"/>
          <w:docGrid w:linePitch="360"/>
        </w:sectPr>
      </w:pPr>
    </w:p>
    <w:p w:rsidR="001E4CD2" w:rsidRPr="0015544F" w:rsidRDefault="001E4CD2" w:rsidP="00BC7539">
      <w:pPr>
        <w:pStyle w:val="Sinespaciado"/>
        <w:jc w:val="both"/>
        <w:rPr>
          <w:rFonts w:ascii="Times New Roman" w:hAnsi="Times New Roman" w:cs="Times New Roman"/>
          <w:color w:val="FF0000"/>
          <w:sz w:val="8"/>
        </w:rPr>
      </w:pPr>
    </w:p>
    <w:p w:rsidR="008B062E" w:rsidRPr="0015544F" w:rsidRDefault="008B062E" w:rsidP="00A21CA3">
      <w:pPr>
        <w:pStyle w:val="Sinespaciado"/>
        <w:rPr>
          <w:rFonts w:ascii="Times New Roman" w:hAnsi="Times New Roman" w:cs="Times New Roman"/>
          <w:color w:val="FF0000"/>
          <w:sz w:val="28"/>
        </w:rPr>
        <w:sectPr w:rsidR="008B062E" w:rsidRPr="0015544F" w:rsidSect="008E66C1">
          <w:type w:val="continuous"/>
          <w:pgSz w:w="12240" w:h="15840"/>
          <w:pgMar w:top="1417" w:right="1467" w:bottom="1417" w:left="1701" w:header="708" w:footer="708" w:gutter="0"/>
          <w:cols w:num="2" w:space="708"/>
          <w:docGrid w:linePitch="360"/>
        </w:sectPr>
      </w:pPr>
    </w:p>
    <w:p w:rsidR="000B20DC" w:rsidRPr="004A5011" w:rsidRDefault="00AB39D4" w:rsidP="000B20DC">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0B20DC" w:rsidRPr="004A5011" w:rsidSect="00FA3B81">
          <w:type w:val="continuous"/>
          <w:pgSz w:w="12240" w:h="15840" w:code="1"/>
          <w:pgMar w:top="1418" w:right="1418" w:bottom="1418" w:left="1418" w:header="709" w:footer="709" w:gutter="0"/>
          <w:cols w:space="708"/>
          <w:docGrid w:linePitch="360"/>
        </w:sectPr>
      </w:pPr>
      <w:r w:rsidRPr="004A5011">
        <w:rPr>
          <w:rFonts w:ascii="Times New Roman" w:hAnsi="Times New Roman" w:cs="Times New Roman"/>
          <w:b/>
        </w:rPr>
        <w:lastRenderedPageBreak/>
        <w:t>Ejecución de gastos relacionados a la atención por desastres naturales y calamidades públicas</w:t>
      </w:r>
      <w:r w:rsidR="000B20DC" w:rsidRPr="004A5011">
        <w:rPr>
          <w:rFonts w:ascii="Times New Roman" w:hAnsi="Times New Roman" w:cs="Times New Roman"/>
          <w:b/>
        </w:rPr>
        <w:t xml:space="preserve"> </w:t>
      </w:r>
    </w:p>
    <w:p w:rsidR="000B20DC" w:rsidRPr="0015544F" w:rsidRDefault="000B20DC" w:rsidP="000B20DC">
      <w:pPr>
        <w:pStyle w:val="Sinespaciado"/>
        <w:rPr>
          <w:rFonts w:ascii="Times New Roman" w:hAnsi="Times New Roman" w:cs="Times New Roman"/>
          <w:b/>
          <w:color w:val="FF0000"/>
          <w:sz w:val="20"/>
          <w:lang w:val="es-MX"/>
        </w:rPr>
      </w:pPr>
    </w:p>
    <w:p w:rsidR="000B20DC" w:rsidRPr="0015544F" w:rsidRDefault="000B20DC" w:rsidP="000B20DC">
      <w:pPr>
        <w:pStyle w:val="Sinespaciado"/>
        <w:rPr>
          <w:rFonts w:ascii="Times New Roman" w:hAnsi="Times New Roman" w:cs="Times New Roman"/>
          <w:b/>
          <w:color w:val="FF0000"/>
          <w:sz w:val="18"/>
          <w:lang w:val="es-MX"/>
        </w:rPr>
        <w:sectPr w:rsidR="000B20DC" w:rsidRPr="0015544F" w:rsidSect="004E358C">
          <w:type w:val="continuous"/>
          <w:pgSz w:w="12240" w:h="15840"/>
          <w:pgMar w:top="1417" w:right="1701" w:bottom="1417" w:left="1701" w:header="708" w:footer="708" w:gutter="0"/>
          <w:cols w:space="708"/>
          <w:docGrid w:linePitch="360"/>
        </w:sectPr>
      </w:pPr>
    </w:p>
    <w:p w:rsidR="004A5011" w:rsidRDefault="004A5011" w:rsidP="004A5011">
      <w:pPr>
        <w:spacing w:after="0" w:line="240" w:lineRule="auto"/>
        <w:ind w:right="213"/>
        <w:jc w:val="both"/>
        <w:rPr>
          <w:rFonts w:ascii="Times New Roman" w:hAnsi="Times New Roman" w:cs="Times New Roman"/>
        </w:rPr>
      </w:pPr>
      <w:r w:rsidRPr="008F16DC">
        <w:rPr>
          <w:rFonts w:ascii="Times New Roman" w:hAnsi="Times New Roman" w:cs="Times New Roman"/>
          <w:b/>
        </w:rPr>
        <w:lastRenderedPageBreak/>
        <w:t>En el seguimiento de la ejecución del gasto relacionado a la pandemia COVID-19</w:t>
      </w:r>
      <w:r>
        <w:rPr>
          <w:rFonts w:ascii="Times New Roman" w:hAnsi="Times New Roman" w:cs="Times New Roman"/>
        </w:rPr>
        <w:t xml:space="preserve">, durante el año se han dado gastos importantes a nivel de tres ministerios, siendo el caso de Ministerio de Salud Pública y Asistencia Social por Q1,104.7 millones, Ministerio de Desarrollo Social por Q102.9 millones y Ministerio de Agricultura, Ganadería y Alimentación por Q100.8 millones que totalizan intervenciones por Q1,308.3 millones. </w:t>
      </w:r>
    </w:p>
    <w:p w:rsidR="004A5011" w:rsidRDefault="004A5011" w:rsidP="004A5011">
      <w:pPr>
        <w:spacing w:after="0" w:line="240" w:lineRule="auto"/>
        <w:ind w:right="213"/>
        <w:jc w:val="both"/>
        <w:rPr>
          <w:rFonts w:ascii="Times New Roman" w:hAnsi="Times New Roman" w:cs="Times New Roman"/>
        </w:rPr>
      </w:pPr>
    </w:p>
    <w:p w:rsidR="004A5011" w:rsidRDefault="004A5011" w:rsidP="004A5011">
      <w:pPr>
        <w:spacing w:after="0" w:line="240" w:lineRule="auto"/>
        <w:ind w:right="213"/>
        <w:jc w:val="both"/>
        <w:rPr>
          <w:rFonts w:ascii="Times New Roman" w:hAnsi="Times New Roman" w:cs="Times New Roman"/>
        </w:rPr>
      </w:pPr>
      <w:r>
        <w:rPr>
          <w:rFonts w:ascii="Times New Roman" w:hAnsi="Times New Roman" w:cs="Times New Roman"/>
        </w:rPr>
        <w:t xml:space="preserve">Dentro de los gastos, resalta la ejecución del relacionada al esquema de vacunación contra el COVID-19, con una ejecución de Q641.5 millones, así mismo existen otras intervenciones importantes por parte del Ministerio de Salud Pública, tal es el caso de Q412.2 millones por intervenciones diversas para la atención de la emergencia y Q20.9 millones de laboratorios beneficiados con materiales y equipo de atención de la emergencia COVID-19.  </w:t>
      </w:r>
    </w:p>
    <w:p w:rsidR="004A5011" w:rsidRDefault="004A5011" w:rsidP="004A5011">
      <w:pPr>
        <w:spacing w:after="0" w:line="240" w:lineRule="auto"/>
        <w:ind w:right="213"/>
        <w:jc w:val="both"/>
        <w:rPr>
          <w:rFonts w:ascii="Times New Roman" w:hAnsi="Times New Roman" w:cs="Times New Roman"/>
        </w:rPr>
      </w:pPr>
    </w:p>
    <w:p w:rsidR="00322CA5" w:rsidRDefault="004A5011" w:rsidP="004A5011">
      <w:pPr>
        <w:pStyle w:val="Sinespaciado"/>
        <w:ind w:right="213"/>
        <w:jc w:val="both"/>
        <w:rPr>
          <w:rFonts w:ascii="Times New Roman" w:hAnsi="Times New Roman" w:cs="Times New Roman"/>
          <w:color w:val="FF0000"/>
        </w:rPr>
      </w:pPr>
      <w:r>
        <w:rPr>
          <w:rFonts w:ascii="Times New Roman" w:hAnsi="Times New Roman" w:cs="Times New Roman"/>
        </w:rPr>
        <w:t xml:space="preserve">En el caso del Ministerio de </w:t>
      </w:r>
      <w:r w:rsidRPr="00C54AF7">
        <w:rPr>
          <w:rFonts w:ascii="Times New Roman" w:hAnsi="Times New Roman" w:cs="Times New Roman"/>
        </w:rPr>
        <w:t>De</w:t>
      </w:r>
      <w:r>
        <w:rPr>
          <w:rFonts w:ascii="Times New Roman" w:hAnsi="Times New Roman" w:cs="Times New Roman"/>
        </w:rPr>
        <w:t>sarrollo Social y Ministerio de Agricultura, Ganadería y Alimentación la ejecución corresponde a la regularización del anticipo dado en 2020 al Programa Mundial de Alimentos, que consiste</w:t>
      </w:r>
      <w:r w:rsidRPr="00C54AF7">
        <w:rPr>
          <w:rFonts w:ascii="Times New Roman" w:hAnsi="Times New Roman" w:cs="Times New Roman"/>
        </w:rPr>
        <w:t xml:space="preserve"> en cupones ca</w:t>
      </w:r>
      <w:r>
        <w:rPr>
          <w:rFonts w:ascii="Times New Roman" w:hAnsi="Times New Roman" w:cs="Times New Roman"/>
        </w:rPr>
        <w:t>njeables y entregas en especie de la actividad dotación alimentaria. Adicionalmente, Desarrollo Social reporta una ejecución pequeña en otras intervenciones realizadas para la atención de la emergencia COVID-19.</w:t>
      </w:r>
      <w:r w:rsidRPr="0036168D">
        <w:rPr>
          <w:rFonts w:ascii="Times New Roman" w:hAnsi="Times New Roman" w:cs="Times New Roman"/>
          <w:color w:val="FF0000"/>
        </w:rPr>
        <w:t xml:space="preserve"> </w:t>
      </w:r>
    </w:p>
    <w:p w:rsidR="00322CA5" w:rsidRDefault="00322CA5" w:rsidP="004A5011">
      <w:pPr>
        <w:pStyle w:val="Sinespaciado"/>
        <w:ind w:right="213"/>
        <w:jc w:val="both"/>
        <w:rPr>
          <w:rFonts w:ascii="Times New Roman" w:hAnsi="Times New Roman" w:cs="Times New Roman"/>
          <w:color w:val="FF0000"/>
        </w:rPr>
      </w:pPr>
    </w:p>
    <w:p w:rsidR="004A5011" w:rsidRPr="00474998" w:rsidRDefault="004A5011" w:rsidP="004A5011">
      <w:pPr>
        <w:pStyle w:val="Sinespaciado"/>
        <w:ind w:right="213"/>
        <w:jc w:val="center"/>
        <w:rPr>
          <w:rFonts w:ascii="Times New Roman" w:hAnsi="Times New Roman" w:cs="Times New Roman"/>
          <w:b/>
        </w:rPr>
      </w:pPr>
      <w:r w:rsidRPr="00474998">
        <w:rPr>
          <w:rFonts w:ascii="Times New Roman" w:hAnsi="Times New Roman" w:cs="Times New Roman"/>
          <w:b/>
        </w:rPr>
        <w:t>Ejecución acumulada de los programas en atención al COVID-19</w:t>
      </w:r>
    </w:p>
    <w:p w:rsidR="004A5011" w:rsidRPr="00474998" w:rsidRDefault="004A5011" w:rsidP="004A5011">
      <w:pPr>
        <w:pStyle w:val="Sinespaciado"/>
        <w:ind w:right="213"/>
        <w:jc w:val="center"/>
        <w:rPr>
          <w:rFonts w:ascii="Times New Roman" w:hAnsi="Times New Roman" w:cs="Times New Roman"/>
          <w:sz w:val="18"/>
        </w:rPr>
      </w:pPr>
      <w:r w:rsidRPr="00474998">
        <w:rPr>
          <w:rFonts w:ascii="Times New Roman" w:hAnsi="Times New Roman" w:cs="Times New Roman"/>
          <w:noProof/>
          <w:lang w:eastAsia="es-GT"/>
        </w:rPr>
        <w:drawing>
          <wp:anchor distT="0" distB="0" distL="114300" distR="114300" simplePos="0" relativeHeight="251864064" behindDoc="0" locked="0" layoutInCell="1" allowOverlap="1" wp14:anchorId="62C7442C" wp14:editId="118F2860">
            <wp:simplePos x="0" y="0"/>
            <wp:positionH relativeFrom="column">
              <wp:posOffset>-116205</wp:posOffset>
            </wp:positionH>
            <wp:positionV relativeFrom="paragraph">
              <wp:posOffset>149860</wp:posOffset>
            </wp:positionV>
            <wp:extent cx="2785745" cy="1844675"/>
            <wp:effectExtent l="0" t="0" r="0" b="3175"/>
            <wp:wrapSquare wrapText="bothSides"/>
            <wp:docPr id="25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474998">
        <w:rPr>
          <w:rFonts w:ascii="Times New Roman" w:hAnsi="Times New Roman" w:cs="Times New Roman"/>
          <w:sz w:val="18"/>
        </w:rPr>
        <w:t>Millones de quetzales y porcentajes</w:t>
      </w:r>
    </w:p>
    <w:p w:rsidR="004A5011" w:rsidRPr="00474998" w:rsidRDefault="004A5011" w:rsidP="004A5011">
      <w:pPr>
        <w:pStyle w:val="Sinespaciado"/>
        <w:ind w:right="213"/>
        <w:rPr>
          <w:rFonts w:ascii="Times New Roman" w:hAnsi="Times New Roman" w:cs="Times New Roman"/>
          <w:sz w:val="16"/>
        </w:rPr>
      </w:pPr>
      <w:r w:rsidRPr="00474998">
        <w:rPr>
          <w:rFonts w:ascii="Times New Roman" w:hAnsi="Times New Roman" w:cs="Times New Roman"/>
          <w:sz w:val="16"/>
        </w:rPr>
        <w:t>Fuente: Dirección de Análisis y Política Fiscal</w:t>
      </w:r>
    </w:p>
    <w:p w:rsidR="004A5011" w:rsidRPr="002C4CB2" w:rsidRDefault="004A5011" w:rsidP="004A5011">
      <w:pPr>
        <w:pStyle w:val="Sinespaciado"/>
        <w:ind w:right="213"/>
        <w:jc w:val="both"/>
        <w:rPr>
          <w:rFonts w:ascii="Times New Roman" w:hAnsi="Times New Roman" w:cs="Times New Roman"/>
          <w:color w:val="FF0000"/>
        </w:rPr>
      </w:pPr>
    </w:p>
    <w:p w:rsidR="004552E3" w:rsidRPr="00322CA5" w:rsidRDefault="004A5011" w:rsidP="00322CA5">
      <w:pPr>
        <w:pStyle w:val="Sinespaciado"/>
        <w:ind w:right="213"/>
        <w:jc w:val="both"/>
        <w:rPr>
          <w:rFonts w:ascii="Times New Roman" w:hAnsi="Times New Roman" w:cs="Times New Roman"/>
          <w:color w:val="FF0000"/>
          <w:sz w:val="16"/>
        </w:rPr>
      </w:pPr>
      <w:r w:rsidRPr="008F16DC">
        <w:rPr>
          <w:rFonts w:ascii="Times New Roman" w:hAnsi="Times New Roman" w:cs="Times New Roman"/>
          <w:b/>
        </w:rPr>
        <w:t>Respecto al subprograma 11, relacionado al Estado de Calamidad Pública por la Depresión Tropical ETA (DG 20-2020 y 21-2020)</w:t>
      </w:r>
      <w:r>
        <w:rPr>
          <w:rFonts w:ascii="Times New Roman" w:hAnsi="Times New Roman" w:cs="Times New Roman"/>
        </w:rPr>
        <w:t xml:space="preserve"> reporta una ejecución de Q132</w:t>
      </w:r>
      <w:r w:rsidRPr="004C71BC">
        <w:rPr>
          <w:rFonts w:ascii="Times New Roman" w:hAnsi="Times New Roman" w:cs="Times New Roman"/>
        </w:rPr>
        <w:t>.</w:t>
      </w:r>
      <w:r>
        <w:rPr>
          <w:rFonts w:ascii="Times New Roman" w:hAnsi="Times New Roman" w:cs="Times New Roman"/>
        </w:rPr>
        <w:t>9</w:t>
      </w:r>
      <w:r w:rsidRPr="004C71BC">
        <w:rPr>
          <w:rFonts w:ascii="Times New Roman" w:hAnsi="Times New Roman" w:cs="Times New Roman"/>
        </w:rPr>
        <w:t xml:space="preserve"> millones, de los cuales Q</w:t>
      </w:r>
      <w:r>
        <w:rPr>
          <w:rFonts w:ascii="Times New Roman" w:hAnsi="Times New Roman" w:cs="Times New Roman"/>
        </w:rPr>
        <w:t>131</w:t>
      </w:r>
      <w:r w:rsidRPr="004C71BC">
        <w:rPr>
          <w:rFonts w:ascii="Times New Roman" w:hAnsi="Times New Roman" w:cs="Times New Roman"/>
        </w:rPr>
        <w:t>.</w:t>
      </w:r>
      <w:r>
        <w:rPr>
          <w:rFonts w:ascii="Times New Roman" w:hAnsi="Times New Roman" w:cs="Times New Roman"/>
        </w:rPr>
        <w:t>3</w:t>
      </w:r>
      <w:r w:rsidRPr="004C71BC">
        <w:rPr>
          <w:rFonts w:ascii="Times New Roman" w:hAnsi="Times New Roman" w:cs="Times New Roman"/>
        </w:rPr>
        <w:t xml:space="preserve"> millones corresponden al Ministerio de Comunicaciones, Infraestructura y Vivienda para el mantenimiento y reparación </w:t>
      </w:r>
      <w:r>
        <w:rPr>
          <w:rFonts w:ascii="Times New Roman" w:hAnsi="Times New Roman" w:cs="Times New Roman"/>
        </w:rPr>
        <w:t>de infraestructura</w:t>
      </w:r>
      <w:r w:rsidRPr="004C71BC">
        <w:rPr>
          <w:rFonts w:ascii="Times New Roman" w:hAnsi="Times New Roman" w:cs="Times New Roman"/>
        </w:rPr>
        <w:t>, lo cual incluye gastos de mantenimiento y repar</w:t>
      </w:r>
      <w:r>
        <w:rPr>
          <w:rFonts w:ascii="Times New Roman" w:hAnsi="Times New Roman" w:cs="Times New Roman"/>
        </w:rPr>
        <w:t>ación de carreteras y puentes y arrendamiento de maquinaria y equipo de construcción. Adicionalmente, el Ministerio de Desarrollo Social reporta una ejecución de Q1.7 millones por materiales de construcción y enseres y mantenimiento y rep</w:t>
      </w:r>
      <w:r>
        <w:rPr>
          <w:rFonts w:ascii="Times New Roman" w:hAnsi="Times New Roman" w:cs="Times New Roman"/>
        </w:rPr>
        <w:t>aración de bienes nacionales</w:t>
      </w:r>
      <w:r w:rsidR="00474998" w:rsidRPr="0015544F">
        <w:rPr>
          <w:rFonts w:ascii="Times New Roman" w:hAnsi="Times New Roman" w:cs="Times New Roman"/>
          <w:color w:val="FF0000"/>
        </w:rPr>
        <w:t xml:space="preserve">  </w:t>
      </w:r>
    </w:p>
    <w:p w:rsidR="004552E3" w:rsidRPr="0015544F" w:rsidRDefault="004552E3" w:rsidP="00E06DEC">
      <w:pPr>
        <w:pStyle w:val="Sinespaciado"/>
        <w:jc w:val="both"/>
        <w:rPr>
          <w:rFonts w:ascii="Times New Roman" w:hAnsi="Times New Roman" w:cs="Times New Roman"/>
          <w:color w:val="FF0000"/>
          <w:sz w:val="16"/>
        </w:rPr>
      </w:pPr>
    </w:p>
    <w:p w:rsidR="004C71BC" w:rsidRPr="0015544F" w:rsidRDefault="004C71BC" w:rsidP="004456FD">
      <w:pPr>
        <w:pStyle w:val="Sinespaciado"/>
        <w:rPr>
          <w:rFonts w:ascii="Times New Roman" w:hAnsi="Times New Roman" w:cs="Times New Roman"/>
          <w:color w:val="FF0000"/>
          <w:sz w:val="16"/>
        </w:rPr>
        <w:sectPr w:rsidR="004C71BC" w:rsidRPr="0015544F" w:rsidSect="008E66C1">
          <w:type w:val="continuous"/>
          <w:pgSz w:w="12240" w:h="15840"/>
          <w:pgMar w:top="1417" w:right="1467" w:bottom="1417" w:left="1701" w:header="708" w:footer="708" w:gutter="0"/>
          <w:cols w:num="2" w:space="708"/>
          <w:docGrid w:linePitch="360"/>
        </w:sectPr>
      </w:pPr>
    </w:p>
    <w:p w:rsidR="009B76D6" w:rsidRPr="0015544F" w:rsidRDefault="009B76D6" w:rsidP="00D4202F">
      <w:pPr>
        <w:spacing w:after="0"/>
        <w:rPr>
          <w:rFonts w:ascii="Times New Roman" w:hAnsi="Times New Roman" w:cs="Times New Roman"/>
          <w:color w:val="FF0000"/>
          <w:sz w:val="10"/>
          <w:lang w:val="es-MX"/>
        </w:rPr>
        <w:sectPr w:rsidR="009B76D6" w:rsidRPr="0015544F" w:rsidSect="004E358C">
          <w:type w:val="continuous"/>
          <w:pgSz w:w="12240" w:h="15840"/>
          <w:pgMar w:top="1417" w:right="1701" w:bottom="1417" w:left="1701" w:header="708" w:footer="708" w:gutter="0"/>
          <w:cols w:num="2" w:space="708"/>
          <w:docGrid w:linePitch="360"/>
        </w:sectPr>
      </w:pPr>
    </w:p>
    <w:p w:rsidR="00494D1D" w:rsidRPr="00397A6E" w:rsidRDefault="0042387A" w:rsidP="00BB4C28">
      <w:pPr>
        <w:pBdr>
          <w:top w:val="single" w:sz="4" w:space="0"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494D1D" w:rsidRPr="00397A6E" w:rsidSect="00FA3B81">
          <w:headerReference w:type="default" r:id="rId28"/>
          <w:footerReference w:type="default" r:id="rId29"/>
          <w:type w:val="continuous"/>
          <w:pgSz w:w="12240" w:h="15840" w:code="1"/>
          <w:pgMar w:top="1418" w:right="1418" w:bottom="1418" w:left="1418" w:header="709" w:footer="709" w:gutter="0"/>
          <w:cols w:space="708"/>
          <w:docGrid w:linePitch="360"/>
        </w:sectPr>
      </w:pPr>
      <w:r w:rsidRPr="00397A6E">
        <w:rPr>
          <w:rFonts w:ascii="Times New Roman" w:hAnsi="Times New Roman" w:cs="Times New Roman"/>
          <w:b/>
          <w:lang w:val="es-MX"/>
        </w:rPr>
        <w:lastRenderedPageBreak/>
        <w:t>Ambientes macroeconómicos (externo e interno)</w:t>
      </w:r>
    </w:p>
    <w:p w:rsidR="00494D1D" w:rsidRPr="00397A6E" w:rsidRDefault="00494D1D" w:rsidP="00BD6CCD">
      <w:pPr>
        <w:pStyle w:val="Sinespaciado"/>
        <w:jc w:val="both"/>
        <w:rPr>
          <w:rFonts w:ascii="Times New Roman" w:hAnsi="Times New Roman" w:cs="Times New Roman"/>
          <w:b/>
          <w:sz w:val="28"/>
          <w:lang w:val="es-MX"/>
        </w:rPr>
        <w:sectPr w:rsidR="00494D1D" w:rsidRPr="00397A6E" w:rsidSect="004E358C">
          <w:type w:val="continuous"/>
          <w:pgSz w:w="12240" w:h="15840"/>
          <w:pgMar w:top="1417" w:right="1701" w:bottom="1417" w:left="1701" w:header="708" w:footer="708" w:gutter="0"/>
          <w:cols w:space="708"/>
          <w:docGrid w:linePitch="360"/>
        </w:sectPr>
      </w:pPr>
    </w:p>
    <w:p w:rsidR="006F10D1" w:rsidRPr="00397A6E" w:rsidRDefault="00AC33CD" w:rsidP="00AC33CD">
      <w:pPr>
        <w:pStyle w:val="Textodeglobo"/>
        <w:jc w:val="both"/>
        <w:rPr>
          <w:rFonts w:ascii="Times New Roman" w:hAnsi="Times New Roman" w:cs="Times New Roman"/>
          <w:sz w:val="22"/>
          <w:szCs w:val="22"/>
        </w:rPr>
      </w:pPr>
      <w:r w:rsidRPr="00397A6E">
        <w:rPr>
          <w:rFonts w:ascii="Times New Roman" w:hAnsi="Times New Roman" w:cs="Times New Roman"/>
          <w:sz w:val="22"/>
          <w:szCs w:val="22"/>
        </w:rPr>
        <w:lastRenderedPageBreak/>
        <w:t xml:space="preserve">En el ámbito económico externo, en julio el Fondo Monetario Internacional actualizó sus perspectivas económicas mundiales, las cuales sitúan el crecimiento económico mundial en 6.0% para 2021 y 4.9% para 2022.  No </w:t>
      </w:r>
      <w:r w:rsidRPr="00397A6E">
        <w:rPr>
          <w:rFonts w:ascii="Times New Roman" w:hAnsi="Times New Roman" w:cs="Times New Roman"/>
          <w:sz w:val="22"/>
          <w:szCs w:val="22"/>
        </w:rPr>
        <w:lastRenderedPageBreak/>
        <w:t xml:space="preserve">obstante, el FMI informó sobre el crecimiento de la desigualdad entre los países ricos y los de ingresos medios y bajos, producto de las diferentes capacidades para contrarrestar los </w:t>
      </w:r>
      <w:r w:rsidRPr="00397A6E">
        <w:rPr>
          <w:rFonts w:ascii="Times New Roman" w:hAnsi="Times New Roman" w:cs="Times New Roman"/>
          <w:sz w:val="22"/>
          <w:szCs w:val="22"/>
        </w:rPr>
        <w:lastRenderedPageBreak/>
        <w:t>efectos de la pandemia, principalmente el acceso a las vacunas.</w:t>
      </w:r>
    </w:p>
    <w:p w:rsidR="00AC33CD" w:rsidRPr="00397A6E" w:rsidRDefault="00AC33CD" w:rsidP="00AC33CD">
      <w:pPr>
        <w:pStyle w:val="Textodeglobo"/>
        <w:jc w:val="both"/>
        <w:rPr>
          <w:rFonts w:ascii="Times New Roman" w:hAnsi="Times New Roman" w:cs="Times New Roman"/>
          <w:sz w:val="22"/>
          <w:szCs w:val="22"/>
        </w:rPr>
      </w:pPr>
    </w:p>
    <w:p w:rsidR="00AC33CD" w:rsidRDefault="00AC33CD" w:rsidP="00AC33CD">
      <w:pPr>
        <w:pStyle w:val="Textodeglobo"/>
        <w:jc w:val="both"/>
        <w:rPr>
          <w:rFonts w:ascii="Times New Roman" w:hAnsi="Times New Roman" w:cs="Times New Roman"/>
          <w:sz w:val="22"/>
          <w:szCs w:val="22"/>
        </w:rPr>
      </w:pPr>
      <w:r w:rsidRPr="00397A6E">
        <w:rPr>
          <w:rFonts w:ascii="Times New Roman" w:hAnsi="Times New Roman" w:cs="Times New Roman"/>
          <w:sz w:val="22"/>
          <w:szCs w:val="22"/>
        </w:rPr>
        <w:t>El FMI también resaltó cómo la respuesta fiscal a la crisis desatada por el Covid-19 es también muy desigual, con un estímulo fiscal de entre el 4% y el 25% del PIB en los países desarrollados, de entre el 1 y el 14% en las principales economías emergentes y aún más bajo en los países más pobres.</w:t>
      </w:r>
    </w:p>
    <w:p w:rsidR="00322CA5" w:rsidRPr="00397A6E" w:rsidRDefault="00322CA5" w:rsidP="00AC33CD">
      <w:pPr>
        <w:pStyle w:val="Textodeglobo"/>
        <w:jc w:val="both"/>
        <w:rPr>
          <w:rFonts w:ascii="Times New Roman" w:hAnsi="Times New Roman" w:cs="Times New Roman"/>
          <w:sz w:val="22"/>
          <w:szCs w:val="22"/>
        </w:rPr>
      </w:pPr>
    </w:p>
    <w:p w:rsidR="00F4723C" w:rsidRPr="00397A6E" w:rsidRDefault="00F4723C" w:rsidP="00474998">
      <w:pPr>
        <w:pStyle w:val="Textodeglobo"/>
        <w:jc w:val="center"/>
        <w:rPr>
          <w:rFonts w:ascii="Times New Roman" w:hAnsi="Times New Roman" w:cs="Times New Roman"/>
          <w:b/>
          <w:sz w:val="22"/>
          <w:szCs w:val="22"/>
        </w:rPr>
      </w:pPr>
      <w:r w:rsidRPr="00397A6E">
        <w:rPr>
          <w:rFonts w:ascii="Times New Roman" w:hAnsi="Times New Roman" w:cs="Times New Roman"/>
          <w:b/>
          <w:sz w:val="22"/>
          <w:szCs w:val="22"/>
        </w:rPr>
        <w:t>Perspectivas económi</w:t>
      </w:r>
      <w:r w:rsidR="00ED100E" w:rsidRPr="00397A6E">
        <w:rPr>
          <w:rFonts w:ascii="Times New Roman" w:hAnsi="Times New Roman" w:cs="Times New Roman"/>
          <w:b/>
          <w:sz w:val="22"/>
          <w:szCs w:val="22"/>
        </w:rPr>
        <w:t>cas mundiales, actualización jul</w:t>
      </w:r>
      <w:r w:rsidRPr="00397A6E">
        <w:rPr>
          <w:rFonts w:ascii="Times New Roman" w:hAnsi="Times New Roman" w:cs="Times New Roman"/>
          <w:b/>
          <w:sz w:val="22"/>
          <w:szCs w:val="22"/>
        </w:rPr>
        <w:t>io 2021</w:t>
      </w:r>
    </w:p>
    <w:p w:rsidR="00ED100E" w:rsidRPr="00397A6E" w:rsidRDefault="00ED100E" w:rsidP="00474998">
      <w:pPr>
        <w:pStyle w:val="Textodeglobo"/>
        <w:jc w:val="center"/>
        <w:rPr>
          <w:rFonts w:ascii="Times New Roman" w:hAnsi="Times New Roman" w:cs="Times New Roman"/>
          <w:b/>
          <w:sz w:val="22"/>
          <w:szCs w:val="22"/>
        </w:rPr>
      </w:pPr>
      <w:r w:rsidRPr="00397A6E">
        <w:rPr>
          <w:noProof/>
          <w:lang w:eastAsia="es-GT"/>
        </w:rPr>
        <w:drawing>
          <wp:inline distT="0" distB="0" distL="0" distR="0" wp14:anchorId="473A2655" wp14:editId="1CDD73A2">
            <wp:extent cx="2580005" cy="2940685"/>
            <wp:effectExtent l="19050" t="19050" r="10795" b="12065"/>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6279" cy="2947836"/>
                    </a:xfrm>
                    <a:prstGeom prst="rect">
                      <a:avLst/>
                    </a:prstGeom>
                    <a:noFill/>
                    <a:ln w="12700">
                      <a:solidFill>
                        <a:schemeClr val="tx1"/>
                      </a:solidFill>
                    </a:ln>
                  </pic:spPr>
                </pic:pic>
              </a:graphicData>
            </a:graphic>
          </wp:inline>
        </w:drawing>
      </w:r>
    </w:p>
    <w:p w:rsidR="0025608A" w:rsidRPr="00397A6E" w:rsidRDefault="00F4723C" w:rsidP="00474998">
      <w:pPr>
        <w:pStyle w:val="Textodeglobo"/>
        <w:jc w:val="both"/>
        <w:rPr>
          <w:rFonts w:ascii="Times New Roman" w:hAnsi="Times New Roman" w:cs="Times New Roman"/>
          <w:szCs w:val="22"/>
        </w:rPr>
      </w:pPr>
      <w:r w:rsidRPr="00397A6E">
        <w:rPr>
          <w:rFonts w:ascii="Times New Roman" w:hAnsi="Times New Roman" w:cs="Times New Roman"/>
          <w:szCs w:val="22"/>
        </w:rPr>
        <w:t xml:space="preserve">Fuente: </w:t>
      </w:r>
      <w:r w:rsidR="00ED100E" w:rsidRPr="00397A6E">
        <w:rPr>
          <w:rFonts w:ascii="Times New Roman" w:hAnsi="Times New Roman" w:cs="Times New Roman"/>
          <w:szCs w:val="22"/>
        </w:rPr>
        <w:t>FMI, perspectivas de la economía mundial, julio 2021.</w:t>
      </w:r>
    </w:p>
    <w:p w:rsidR="00AC33CD" w:rsidRPr="00397A6E" w:rsidRDefault="00AC33CD" w:rsidP="0068170A">
      <w:pPr>
        <w:pStyle w:val="Textodeglobo"/>
        <w:jc w:val="both"/>
        <w:rPr>
          <w:rFonts w:ascii="Times New Roman" w:hAnsi="Times New Roman" w:cs="Times New Roman"/>
          <w:sz w:val="22"/>
          <w:szCs w:val="22"/>
        </w:rPr>
      </w:pPr>
    </w:p>
    <w:p w:rsidR="00AC33CD" w:rsidRPr="00397A6E" w:rsidRDefault="00AC33CD" w:rsidP="00AC33CD">
      <w:pPr>
        <w:pStyle w:val="Textodeglobo"/>
        <w:jc w:val="both"/>
        <w:rPr>
          <w:rFonts w:ascii="Times New Roman" w:hAnsi="Times New Roman" w:cs="Times New Roman"/>
          <w:sz w:val="22"/>
          <w:szCs w:val="22"/>
        </w:rPr>
      </w:pPr>
      <w:r w:rsidRPr="00397A6E">
        <w:rPr>
          <w:rFonts w:ascii="Times New Roman" w:hAnsi="Times New Roman" w:cs="Times New Roman"/>
          <w:sz w:val="22"/>
          <w:szCs w:val="22"/>
        </w:rPr>
        <w:t xml:space="preserve">El FMI prevé que la inflación regrese a los rangos que se registraban antes de la pandemia en la mayoría de los países en 2022 una vez que estas perturbaciones vayan quedando reflejadas en los precios, pero persiste una gran incertidumbre. También se prevé que la inflación sea elevada en algunas economías emergentes y en desarrollo, debido en parte al alto nivel de los precios de los alimentos. Los bancos centrales deberían en general examinar detenidamente las presiones transitorias sobre la inflación y evitar un endurecimiento de las </w:t>
      </w:r>
      <w:r w:rsidRPr="00397A6E">
        <w:rPr>
          <w:rFonts w:ascii="Times New Roman" w:hAnsi="Times New Roman" w:cs="Times New Roman"/>
          <w:sz w:val="22"/>
          <w:szCs w:val="22"/>
        </w:rPr>
        <w:lastRenderedPageBreak/>
        <w:t>políticas hasta que se tenga una idea más clara de la dinámica subyacente de los precios. Una comunicación clara por parte de los bancos centrales sobre las perspectivas de la política monetaria será fundamental para conformar las expectativas de inflación y salvaguardarse de un endurecimiento prematuro de las condiciones financieras. No obstante, existe el riesgo de que las presiones transitorias se vuelvan más persistentes y los bancos centrales posiblemente necesiten tomar medidas preventivas.</w:t>
      </w:r>
    </w:p>
    <w:p w:rsidR="00AC33CD" w:rsidRPr="00397A6E" w:rsidRDefault="00AC33CD" w:rsidP="00AC33CD">
      <w:pPr>
        <w:pStyle w:val="Textodeglobo"/>
        <w:jc w:val="both"/>
        <w:rPr>
          <w:rFonts w:ascii="Times New Roman" w:hAnsi="Times New Roman" w:cs="Times New Roman"/>
          <w:sz w:val="22"/>
          <w:szCs w:val="22"/>
        </w:rPr>
      </w:pPr>
    </w:p>
    <w:p w:rsidR="00AC33CD" w:rsidRPr="00397A6E" w:rsidRDefault="00AC33CD" w:rsidP="00AC33CD">
      <w:pPr>
        <w:pStyle w:val="Textodeglobo"/>
        <w:jc w:val="both"/>
        <w:rPr>
          <w:rFonts w:ascii="Times New Roman" w:hAnsi="Times New Roman" w:cs="Times New Roman"/>
          <w:sz w:val="22"/>
          <w:szCs w:val="22"/>
        </w:rPr>
      </w:pPr>
      <w:r w:rsidRPr="00397A6E">
        <w:rPr>
          <w:rFonts w:ascii="Times New Roman" w:hAnsi="Times New Roman" w:cs="Times New Roman"/>
          <w:sz w:val="22"/>
          <w:szCs w:val="22"/>
        </w:rPr>
        <w:t xml:space="preserve">Ante el lento avance que presenta el ritmo de vacunación en las economías emergentes y en desarrollo, el FMI estima que éstas en conjunto alcanzarán una expansión de 6.3% cifra inferior a 6.7% que proyectaron en sus estimados de abril. </w:t>
      </w:r>
    </w:p>
    <w:p w:rsidR="00AC33CD" w:rsidRPr="00397A6E" w:rsidRDefault="00AC33CD" w:rsidP="00AC33CD">
      <w:pPr>
        <w:pStyle w:val="Textodeglobo"/>
        <w:jc w:val="both"/>
        <w:rPr>
          <w:rFonts w:ascii="Times New Roman" w:hAnsi="Times New Roman" w:cs="Times New Roman"/>
          <w:sz w:val="22"/>
          <w:szCs w:val="22"/>
        </w:rPr>
      </w:pPr>
    </w:p>
    <w:p w:rsidR="00ED100E" w:rsidRPr="00397A6E" w:rsidRDefault="00AC33CD" w:rsidP="00AC33CD">
      <w:pPr>
        <w:pStyle w:val="Textodeglobo"/>
        <w:jc w:val="both"/>
        <w:rPr>
          <w:rFonts w:ascii="Times New Roman" w:hAnsi="Times New Roman" w:cs="Times New Roman"/>
          <w:sz w:val="22"/>
          <w:szCs w:val="22"/>
        </w:rPr>
      </w:pPr>
      <w:r w:rsidRPr="00397A6E">
        <w:rPr>
          <w:rFonts w:ascii="Times New Roman" w:hAnsi="Times New Roman" w:cs="Times New Roman"/>
          <w:sz w:val="22"/>
          <w:szCs w:val="22"/>
        </w:rPr>
        <w:t>Al hacer un acercamiento al desempeño de los llamados BRIC, acrónimo de Brasil, Rusia, India y China, las economías emergentes más próximas a subir al estatus de las avanzadas, se puede ver que India registrará el mayor dinamismo con un repunte del PIB de 9.5% que es inferior en 3 puntos porcentuales al pronóstico de abril.</w:t>
      </w:r>
    </w:p>
    <w:p w:rsidR="00E0599F" w:rsidRPr="00397A6E" w:rsidRDefault="00E0599F" w:rsidP="0068170A">
      <w:pPr>
        <w:pStyle w:val="Textodeglobo"/>
        <w:jc w:val="both"/>
        <w:rPr>
          <w:rFonts w:ascii="Times New Roman" w:hAnsi="Times New Roman" w:cs="Times New Roman"/>
          <w:sz w:val="22"/>
          <w:szCs w:val="22"/>
        </w:rPr>
      </w:pPr>
    </w:p>
    <w:p w:rsidR="00AC33CD" w:rsidRPr="00397A6E" w:rsidRDefault="00AC33CD" w:rsidP="00AC33CD">
      <w:pPr>
        <w:pStyle w:val="Textodeglobo"/>
        <w:jc w:val="both"/>
        <w:rPr>
          <w:rFonts w:ascii="Times New Roman" w:hAnsi="Times New Roman" w:cs="Times New Roman"/>
          <w:sz w:val="22"/>
          <w:szCs w:val="22"/>
        </w:rPr>
      </w:pPr>
      <w:r w:rsidRPr="00397A6E">
        <w:rPr>
          <w:rFonts w:ascii="Times New Roman" w:hAnsi="Times New Roman" w:cs="Times New Roman"/>
          <w:sz w:val="22"/>
          <w:szCs w:val="22"/>
        </w:rPr>
        <w:t>La segunda economía del mundo, China, tendrá un avance de 8.1% en el PIB</w:t>
      </w:r>
      <w:r w:rsidR="00183309" w:rsidRPr="00397A6E">
        <w:rPr>
          <w:rFonts w:ascii="Times New Roman" w:hAnsi="Times New Roman" w:cs="Times New Roman"/>
          <w:sz w:val="22"/>
          <w:szCs w:val="22"/>
        </w:rPr>
        <w:t>,</w:t>
      </w:r>
      <w:r w:rsidRPr="00397A6E">
        <w:rPr>
          <w:rFonts w:ascii="Times New Roman" w:hAnsi="Times New Roman" w:cs="Times New Roman"/>
          <w:sz w:val="22"/>
          <w:szCs w:val="22"/>
        </w:rPr>
        <w:t xml:space="preserve"> también inf</w:t>
      </w:r>
      <w:r w:rsidR="00183309" w:rsidRPr="00397A6E">
        <w:rPr>
          <w:rFonts w:ascii="Times New Roman" w:hAnsi="Times New Roman" w:cs="Times New Roman"/>
          <w:sz w:val="22"/>
          <w:szCs w:val="22"/>
        </w:rPr>
        <w:t>erior a 8.4% estimado en abril,</w:t>
      </w:r>
      <w:r w:rsidRPr="00397A6E">
        <w:rPr>
          <w:rFonts w:ascii="Times New Roman" w:hAnsi="Times New Roman" w:cs="Times New Roman"/>
          <w:sz w:val="22"/>
          <w:szCs w:val="22"/>
        </w:rPr>
        <w:t xml:space="preserve"> lo que supone una desaceleración respecto del crecimiento interanual récord de 18.3% registrado en el primer trimestre del año.  Dicha desaceleración se atribuye a la lucha que tiene contra el brote más grave desde la emergencia del año anterior, y las medidas implementadas por el gobernante, tales como cierres de ciudades, cancelación de vuelos y pruebas masivas ordenadas en algunas áreas.</w:t>
      </w:r>
    </w:p>
    <w:p w:rsidR="00AC33CD" w:rsidRPr="00397A6E" w:rsidRDefault="00AC33CD" w:rsidP="00AC33CD">
      <w:pPr>
        <w:pStyle w:val="Textodeglobo"/>
        <w:jc w:val="both"/>
        <w:rPr>
          <w:rFonts w:ascii="Times New Roman" w:hAnsi="Times New Roman" w:cs="Times New Roman"/>
          <w:sz w:val="22"/>
          <w:szCs w:val="22"/>
        </w:rPr>
      </w:pPr>
    </w:p>
    <w:p w:rsidR="00AC33CD" w:rsidRPr="00397A6E" w:rsidRDefault="00AC33CD" w:rsidP="00AC33CD">
      <w:pPr>
        <w:pStyle w:val="Textodeglobo"/>
        <w:jc w:val="both"/>
        <w:rPr>
          <w:rFonts w:ascii="Times New Roman" w:hAnsi="Times New Roman" w:cs="Times New Roman"/>
          <w:sz w:val="22"/>
          <w:szCs w:val="22"/>
        </w:rPr>
      </w:pPr>
      <w:r w:rsidRPr="00397A6E">
        <w:rPr>
          <w:rFonts w:ascii="Times New Roman" w:hAnsi="Times New Roman" w:cs="Times New Roman"/>
          <w:sz w:val="22"/>
          <w:szCs w:val="22"/>
        </w:rPr>
        <w:t>Para Rusia, anticipan un desempeño de 4.4%, tasa que está seis décimas arriba de la previsión de hace tres meses.</w:t>
      </w:r>
    </w:p>
    <w:p w:rsidR="00AC33CD" w:rsidRPr="00397A6E" w:rsidRDefault="00AC33CD" w:rsidP="00AC33CD">
      <w:pPr>
        <w:pStyle w:val="Textodeglobo"/>
        <w:jc w:val="both"/>
        <w:rPr>
          <w:rFonts w:ascii="Times New Roman" w:hAnsi="Times New Roman" w:cs="Times New Roman"/>
          <w:sz w:val="22"/>
          <w:szCs w:val="22"/>
        </w:rPr>
      </w:pPr>
      <w:r w:rsidRPr="00397A6E">
        <w:rPr>
          <w:rFonts w:ascii="Times New Roman" w:hAnsi="Times New Roman" w:cs="Times New Roman"/>
          <w:sz w:val="22"/>
          <w:szCs w:val="22"/>
        </w:rPr>
        <w:lastRenderedPageBreak/>
        <w:t>En Estados Unidos, el PIB correspondiente al segundo trimestre muestra un crecimiento de 6.5% a tasa anualizada, impulsado por los estímulos fiscales, la postura monetaria ampliamente flexible, la reapertura económica y el avance de la campaña de vacunación contra el Covid-19.  Por su parte, el Comité Federal de Mercado Abierto de la Fed de Estados Unidos decidió por unanimidad en julio mantener las tasas de interés en un rango de entre 0% y 0.25%; también reiteró que el incremento de la inflación registrado se debe en gran parte a factores transitorios, mientras que las condiciones financieras siguen reflejando las medidas implementadas en apoyo de la economía y el flujo de crédito a los hogares y empresas estadounidenses.</w:t>
      </w:r>
    </w:p>
    <w:p w:rsidR="00AC33CD" w:rsidRPr="00397A6E" w:rsidRDefault="00AC33CD" w:rsidP="00AC33CD">
      <w:pPr>
        <w:pStyle w:val="Textodeglobo"/>
        <w:jc w:val="both"/>
        <w:rPr>
          <w:rFonts w:ascii="Times New Roman" w:hAnsi="Times New Roman" w:cs="Times New Roman"/>
          <w:sz w:val="22"/>
          <w:szCs w:val="22"/>
        </w:rPr>
      </w:pPr>
    </w:p>
    <w:p w:rsidR="00AC33CD" w:rsidRPr="00397A6E" w:rsidRDefault="00AC33CD" w:rsidP="00AC33CD">
      <w:pPr>
        <w:pStyle w:val="Textodeglobo"/>
        <w:jc w:val="both"/>
        <w:rPr>
          <w:rFonts w:ascii="Times New Roman" w:hAnsi="Times New Roman" w:cs="Times New Roman"/>
          <w:sz w:val="22"/>
          <w:szCs w:val="22"/>
        </w:rPr>
      </w:pPr>
      <w:r w:rsidRPr="00397A6E">
        <w:rPr>
          <w:rFonts w:ascii="Times New Roman" w:hAnsi="Times New Roman" w:cs="Times New Roman"/>
          <w:sz w:val="22"/>
          <w:szCs w:val="22"/>
        </w:rPr>
        <w:t>En la zona euro, el PIB aumentó 2% en el segundo trimestre del año con respecto al anterior trimestre, y en términos anualizados, su PIB se disparó un 13.7%.  En el conjunto de la Unión Europea, el alza fue de 1.9%. Entre las grandes economías, España fue la que más creció (+2.8%), seguida de Italia (+2.7%), Alemania (+1.5%) y Francia (+0.9%).</w:t>
      </w:r>
    </w:p>
    <w:p w:rsidR="00183309" w:rsidRPr="00397A6E" w:rsidRDefault="00183309" w:rsidP="00AC33CD">
      <w:pPr>
        <w:spacing w:after="0" w:line="240" w:lineRule="auto"/>
        <w:jc w:val="both"/>
        <w:rPr>
          <w:rFonts w:ascii="Times New Roman" w:hAnsi="Times New Roman" w:cs="Times New Roman"/>
        </w:rPr>
      </w:pPr>
    </w:p>
    <w:p w:rsidR="00AC33CD" w:rsidRPr="00397A6E" w:rsidRDefault="00AC33CD" w:rsidP="00AC33CD">
      <w:pPr>
        <w:spacing w:after="0" w:line="240" w:lineRule="auto"/>
        <w:jc w:val="both"/>
        <w:rPr>
          <w:rFonts w:ascii="Times New Roman" w:hAnsi="Times New Roman" w:cs="Times New Roman"/>
        </w:rPr>
      </w:pPr>
      <w:r w:rsidRPr="00397A6E">
        <w:rPr>
          <w:rFonts w:ascii="Times New Roman" w:hAnsi="Times New Roman" w:cs="Times New Roman"/>
        </w:rPr>
        <w:t>En Japón, el banco central recortó 2 décimas su proyección de crecimiento del PIB para este año, ubicando en 3.8%, frente al 4% estimado en trimestre anterior, mientras que ha revisado sus perspectivas de inflación hasta el 0.6%, desde el 0.1%.</w:t>
      </w:r>
    </w:p>
    <w:p w:rsidR="00AC33CD" w:rsidRPr="00397A6E" w:rsidRDefault="00AC33CD" w:rsidP="00AC33CD">
      <w:pPr>
        <w:spacing w:after="0" w:line="240" w:lineRule="auto"/>
        <w:jc w:val="both"/>
        <w:rPr>
          <w:rFonts w:ascii="Times New Roman" w:hAnsi="Times New Roman" w:cs="Times New Roman"/>
        </w:rPr>
      </w:pPr>
    </w:p>
    <w:p w:rsidR="00AC33CD" w:rsidRPr="00397A6E" w:rsidRDefault="00AC33CD" w:rsidP="00AC33CD">
      <w:pPr>
        <w:spacing w:after="0" w:line="240" w:lineRule="auto"/>
        <w:jc w:val="both"/>
        <w:rPr>
          <w:rFonts w:ascii="Times New Roman" w:hAnsi="Times New Roman" w:cs="Times New Roman"/>
        </w:rPr>
      </w:pPr>
      <w:r w:rsidRPr="00397A6E">
        <w:rPr>
          <w:rFonts w:ascii="Times New Roman" w:hAnsi="Times New Roman" w:cs="Times New Roman"/>
        </w:rPr>
        <w:t xml:space="preserve">La previsión de crecimiento económico para América Latina de acuerdo al FMI en el presente año se ubica en 5.8%, un crecimiento 1.2 puntos porcentuales superior con respecto a su revisión pasada.  La recuperación del comercio de bienes debe ampliarse luego de estar inicialmente enfocado en compras relacionadas con la pandemia, bienes duraderos y equipos médicos, señaló el Fondo.  </w:t>
      </w:r>
      <w:r w:rsidRPr="00397A6E">
        <w:rPr>
          <w:rFonts w:ascii="Times New Roman" w:hAnsi="Times New Roman" w:cs="Times New Roman"/>
        </w:rPr>
        <w:lastRenderedPageBreak/>
        <w:t>Dicho aumento se explica, en parte, gracias a la mejora en las previsiones de las dos economías más grandes de la región: México y Brasil.  En Brasil y México el fondo prevé un crecimiento del 5.3% y del 6.3%, respectivamente, diferente del 3.7% y el 5.0% que tenía previsto anteriormente.</w:t>
      </w:r>
    </w:p>
    <w:p w:rsidR="00AC33CD" w:rsidRPr="00397A6E" w:rsidRDefault="00AC33CD" w:rsidP="00AC33CD">
      <w:pPr>
        <w:spacing w:after="0" w:line="240" w:lineRule="auto"/>
        <w:jc w:val="both"/>
        <w:rPr>
          <w:rFonts w:ascii="Times New Roman" w:hAnsi="Times New Roman" w:cs="Times New Roman"/>
        </w:rPr>
      </w:pPr>
    </w:p>
    <w:p w:rsidR="00AC33CD" w:rsidRPr="00397A6E" w:rsidRDefault="00AC33CD" w:rsidP="00AC33CD">
      <w:pPr>
        <w:spacing w:after="0" w:line="240" w:lineRule="auto"/>
        <w:jc w:val="both"/>
        <w:rPr>
          <w:rFonts w:ascii="Times New Roman" w:hAnsi="Times New Roman" w:cs="Times New Roman"/>
        </w:rPr>
      </w:pPr>
      <w:r w:rsidRPr="00397A6E">
        <w:rPr>
          <w:rFonts w:ascii="Times New Roman" w:hAnsi="Times New Roman" w:cs="Times New Roman"/>
        </w:rPr>
        <w:t xml:space="preserve">En lo que respecta a Guatemala, Esther Pérez Ruiz, jefa de la misión del FMI para Guatemala, confirmó durante una presentación del Artículo IV en un foro con la Fundación para el Desarrollo (Fundesa) que la economía estaría creciendo arriba del 4.5%, y reiteró que Guatemala es uno de los países que ha mostrado resiliencia ante los efectos de la pandemia.  En relación a Centroamérica, Guatemala experimentó una de las menores caídas en la actividad productiva, cuando se estuvo en los momentos más duros de la crisis, y a la vez está mostrando una mayor velocidad de recuperación económica.  La recuperación se debe a una especialización productiva sobre todo de productos agrícolas, que fueron demandados durante la pandemia, así como a la resistencia y fortalezas de las empresas que han coadyuvado apoyar el ingreso de las familias, así como los apoyos de las políticas fiscal, monetaria y financiera.  </w:t>
      </w:r>
    </w:p>
    <w:p w:rsidR="00E50D06" w:rsidRPr="00397A6E" w:rsidRDefault="00E50D06" w:rsidP="00474998">
      <w:pPr>
        <w:pStyle w:val="Sinespaciado"/>
        <w:jc w:val="both"/>
        <w:rPr>
          <w:rFonts w:ascii="Times New Roman" w:eastAsia="Times New Roman" w:hAnsi="Times New Roman" w:cs="Times New Roman"/>
          <w:sz w:val="18"/>
          <w:lang w:val="es-MX"/>
        </w:rPr>
      </w:pPr>
    </w:p>
    <w:p w:rsidR="00AC33CD" w:rsidRPr="00397A6E" w:rsidRDefault="00397A6E" w:rsidP="00AC33CD">
      <w:pPr>
        <w:pStyle w:val="Sinespaciado"/>
        <w:jc w:val="both"/>
        <w:rPr>
          <w:rFonts w:ascii="Times New Roman" w:eastAsia="Times New Roman" w:hAnsi="Times New Roman" w:cs="Times New Roman"/>
          <w:lang w:val="es-MX"/>
        </w:rPr>
      </w:pPr>
      <w:r w:rsidRPr="00397A6E">
        <w:rPr>
          <w:rFonts w:ascii="Times New Roman" w:eastAsia="Times New Roman" w:hAnsi="Times New Roman" w:cs="Times New Roman"/>
          <w:lang w:val="es-MX"/>
        </w:rPr>
        <w:t>L</w:t>
      </w:r>
      <w:r w:rsidR="00AC33CD" w:rsidRPr="00397A6E">
        <w:rPr>
          <w:rFonts w:ascii="Times New Roman" w:eastAsia="Times New Roman" w:hAnsi="Times New Roman" w:cs="Times New Roman"/>
          <w:lang w:val="es-MX"/>
        </w:rPr>
        <w:t xml:space="preserve">a percepción sobre la situación económica </w:t>
      </w:r>
      <w:r w:rsidRPr="00397A6E">
        <w:rPr>
          <w:rFonts w:ascii="Times New Roman" w:eastAsia="Times New Roman" w:hAnsi="Times New Roman" w:cs="Times New Roman"/>
          <w:lang w:val="es-MX"/>
        </w:rPr>
        <w:t>en Guatemala</w:t>
      </w:r>
      <w:r w:rsidR="00AC33CD" w:rsidRPr="00397A6E">
        <w:rPr>
          <w:rFonts w:ascii="Times New Roman" w:eastAsia="Times New Roman" w:hAnsi="Times New Roman" w:cs="Times New Roman"/>
          <w:lang w:val="es-MX"/>
        </w:rPr>
        <w:t xml:space="preserve"> y el ambiente para los negocios, medida a través del nivel del Índice de Confianza de la Actividad Económica, se situó en 70.36 puntos, inferior en 7.51% con respecto al registrado en junio 2021, y aumentó 81.90% respeto al registrado en julio de 2020.   Así mismo, se espera un ritmo inflacionario de 4.58% para julio, 4.57% para agosto y 4.48% para septiembre 2021; en un horizonte de 12 y 24 meses se esperaría un ritmo de 4.30% y 4.12% respectivamente.</w:t>
      </w:r>
    </w:p>
    <w:p w:rsidR="00B807A2" w:rsidRPr="0015544F" w:rsidRDefault="00B807A2" w:rsidP="00474998">
      <w:pPr>
        <w:pStyle w:val="Sinespaciado"/>
        <w:jc w:val="both"/>
        <w:rPr>
          <w:rFonts w:ascii="Times New Roman" w:hAnsi="Times New Roman" w:cs="Times New Roman"/>
          <w:color w:val="FF0000"/>
          <w:sz w:val="16"/>
        </w:rPr>
        <w:sectPr w:rsidR="00B807A2" w:rsidRPr="0015544F" w:rsidSect="00474998">
          <w:headerReference w:type="default" r:id="rId31"/>
          <w:footerReference w:type="default" r:id="rId32"/>
          <w:type w:val="continuous"/>
          <w:pgSz w:w="12240" w:h="15840" w:code="1"/>
          <w:pgMar w:top="1418" w:right="1608" w:bottom="1418" w:left="1701" w:header="709" w:footer="709" w:gutter="0"/>
          <w:cols w:num="2" w:space="802"/>
          <w:docGrid w:linePitch="360"/>
        </w:sectPr>
      </w:pPr>
    </w:p>
    <w:p w:rsidR="00E50D06" w:rsidRPr="0015544F" w:rsidRDefault="00E50D06" w:rsidP="00F062BF">
      <w:pPr>
        <w:spacing w:after="0" w:line="240" w:lineRule="auto"/>
        <w:rPr>
          <w:rFonts w:ascii="Times New Roman" w:hAnsi="Times New Roman" w:cs="Times New Roman"/>
          <w:noProof/>
          <w:color w:val="FF0000"/>
          <w:sz w:val="16"/>
          <w:lang w:val="es-MX" w:eastAsia="es-GT"/>
        </w:rPr>
        <w:sectPr w:rsidR="00E50D06" w:rsidRPr="0015544F" w:rsidSect="00474998">
          <w:headerReference w:type="default" r:id="rId33"/>
          <w:footerReference w:type="default" r:id="rId34"/>
          <w:type w:val="continuous"/>
          <w:pgSz w:w="12240" w:h="15840" w:code="1"/>
          <w:pgMar w:top="1418" w:right="1608" w:bottom="1418" w:left="1418" w:header="709" w:footer="709" w:gutter="0"/>
          <w:cols w:num="2" w:space="708"/>
          <w:docGrid w:linePitch="360"/>
        </w:sectPr>
      </w:pPr>
    </w:p>
    <w:p w:rsidR="008B062E" w:rsidRPr="0015544F" w:rsidRDefault="008B062E" w:rsidP="00AD5816">
      <w:pPr>
        <w:spacing w:after="0" w:line="240" w:lineRule="auto"/>
        <w:rPr>
          <w:rFonts w:ascii="Times New Roman" w:hAnsi="Times New Roman" w:cs="Times New Roman"/>
          <w:noProof/>
          <w:color w:val="FF0000"/>
          <w:sz w:val="16"/>
          <w:lang w:eastAsia="es-GT"/>
        </w:rPr>
        <w:sectPr w:rsidR="008B062E" w:rsidRPr="0015544F" w:rsidSect="00FA3B81">
          <w:headerReference w:type="default" r:id="rId35"/>
          <w:footerReference w:type="default" r:id="rId36"/>
          <w:type w:val="continuous"/>
          <w:pgSz w:w="12240" w:h="15840" w:code="1"/>
          <w:pgMar w:top="1418" w:right="1418" w:bottom="1418" w:left="1418" w:header="709" w:footer="709" w:gutter="0"/>
          <w:cols w:space="708"/>
          <w:docGrid w:linePitch="360"/>
        </w:sectPr>
      </w:pPr>
    </w:p>
    <w:p w:rsidR="004A5011" w:rsidRPr="0015544F" w:rsidRDefault="004A5011" w:rsidP="00AB38CA">
      <w:pPr>
        <w:spacing w:after="0" w:line="240" w:lineRule="auto"/>
        <w:rPr>
          <w:noProof/>
          <w:color w:val="FF0000"/>
          <w:lang w:eastAsia="es-GT"/>
        </w:rPr>
      </w:pPr>
    </w:p>
    <w:p w:rsidR="00751CCA" w:rsidRPr="0015544F" w:rsidRDefault="00751CCA" w:rsidP="00AD5816">
      <w:pPr>
        <w:spacing w:after="0" w:line="240" w:lineRule="auto"/>
        <w:rPr>
          <w:rFonts w:ascii="Times New Roman" w:hAnsi="Times New Roman" w:cs="Times New Roman"/>
          <w:noProof/>
          <w:color w:val="FF0000"/>
          <w:sz w:val="16"/>
          <w:lang w:eastAsia="es-GT"/>
        </w:rPr>
      </w:pPr>
    </w:p>
    <w:p w:rsidR="00322CA5" w:rsidRDefault="001F5581" w:rsidP="001F5581">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pPr>
      <w:r w:rsidRPr="00322CA5">
        <w:rPr>
          <w:rFonts w:ascii="Times New Roman" w:hAnsi="Times New Roman" w:cs="Times New Roman"/>
          <w:b/>
          <w:lang w:val="es-MX"/>
        </w:rPr>
        <w:t>Anexo</w:t>
      </w:r>
    </w:p>
    <w:p w:rsidR="00322CA5" w:rsidRDefault="00322CA5" w:rsidP="00322CA5">
      <w:pPr>
        <w:rPr>
          <w:rFonts w:ascii="Times New Roman" w:hAnsi="Times New Roman" w:cs="Times New Roman"/>
          <w:lang w:val="es-MX"/>
        </w:rPr>
      </w:pPr>
    </w:p>
    <w:p w:rsidR="00AA559F" w:rsidRPr="0015544F" w:rsidRDefault="00322CA5" w:rsidP="0013312C">
      <w:pPr>
        <w:rPr>
          <w:noProof/>
          <w:color w:val="FF0000"/>
          <w:lang w:eastAsia="es-GT"/>
        </w:rPr>
      </w:pPr>
      <w:r w:rsidRPr="004A5011">
        <w:drawing>
          <wp:inline distT="0" distB="0" distL="0" distR="0" wp14:anchorId="0F57855F" wp14:editId="2BA43BD2">
            <wp:extent cx="5971540" cy="4773930"/>
            <wp:effectExtent l="0" t="0" r="0" b="762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1540" cy="4773930"/>
                    </a:xfrm>
                    <a:prstGeom prst="rect">
                      <a:avLst/>
                    </a:prstGeom>
                    <a:noFill/>
                    <a:ln>
                      <a:noFill/>
                    </a:ln>
                  </pic:spPr>
                </pic:pic>
              </a:graphicData>
            </a:graphic>
          </wp:inline>
        </w:drawing>
      </w:r>
    </w:p>
    <w:sectPr w:rsidR="00AA559F" w:rsidRPr="0015544F" w:rsidSect="00AB38CA">
      <w:headerReference w:type="default" r:id="rId38"/>
      <w:footerReference w:type="default" r:id="rId39"/>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D0F" w:rsidRDefault="00045D0F" w:rsidP="007D4651">
      <w:pPr>
        <w:spacing w:after="0" w:line="240" w:lineRule="auto"/>
      </w:pPr>
      <w:r>
        <w:separator/>
      </w:r>
    </w:p>
  </w:endnote>
  <w:endnote w:type="continuationSeparator" w:id="0">
    <w:p w:rsidR="00045D0F" w:rsidRDefault="00045D0F"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606041391"/>
      <w:docPartObj>
        <w:docPartGallery w:val="Page Numbers (Bottom of Page)"/>
        <w:docPartUnique/>
      </w:docPartObj>
    </w:sdtPr>
    <w:sdtEndPr/>
    <w:sdtContent>
      <w:p w:rsidR="008B062E" w:rsidRDefault="008B062E">
        <w:pPr>
          <w:pStyle w:val="Piedepgina"/>
          <w:jc w:val="right"/>
          <w:rPr>
            <w:lang w:val="es-ES"/>
          </w:rPr>
        </w:pPr>
      </w:p>
      <w:p w:rsidR="008B062E" w:rsidRDefault="008B062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3360" behindDoc="0" locked="0" layoutInCell="1" allowOverlap="1" wp14:anchorId="1CFB14D6" wp14:editId="675B1DBF">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48AE77"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8B062E" w:rsidRDefault="008B062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D761B" w:rsidRPr="00DD761B">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rsidR="008B062E" w:rsidRDefault="008B062E" w:rsidP="007D4651">
    <w:pPr>
      <w:pStyle w:val="Piedepgina"/>
      <w:tabs>
        <w:tab w:val="clear" w:pos="4419"/>
        <w:tab w:val="clear" w:pos="8838"/>
        <w:tab w:val="left" w:pos="5777"/>
      </w:tabs>
    </w:pPr>
  </w:p>
  <w:p w:rsidR="008B062E" w:rsidRDefault="008B062E"/>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2115244771"/>
      <w:docPartObj>
        <w:docPartGallery w:val="Page Numbers (Bottom of Page)"/>
        <w:docPartUnique/>
      </w:docPartObj>
    </w:sdtPr>
    <w:sdtEndPr/>
    <w:sdtContent>
      <w:p w:rsidR="008B062E" w:rsidRDefault="008B062E">
        <w:pPr>
          <w:pStyle w:val="Piedepgina"/>
          <w:jc w:val="right"/>
          <w:rPr>
            <w:lang w:val="es-ES"/>
          </w:rPr>
        </w:pPr>
      </w:p>
      <w:p w:rsidR="008B062E" w:rsidRDefault="008B062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83840" behindDoc="0" locked="0" layoutInCell="1" allowOverlap="1" wp14:anchorId="3BF344B5" wp14:editId="7E9F9636">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3A2FEC"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8B062E" w:rsidRDefault="008B062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D761B" w:rsidRPr="00DD761B">
          <w:rPr>
            <w:rFonts w:ascii="Times New Roman" w:hAnsi="Times New Roman" w:cs="Times New Roman"/>
            <w:b/>
            <w:noProof/>
            <w:color w:val="1F497D" w:themeColor="text2"/>
            <w:lang w:val="es-ES"/>
          </w:rPr>
          <w:t>12</w:t>
        </w:r>
        <w:r w:rsidRPr="007D4651">
          <w:rPr>
            <w:rFonts w:ascii="Times New Roman" w:hAnsi="Times New Roman" w:cs="Times New Roman"/>
            <w:b/>
            <w:color w:val="1F497D" w:themeColor="text2"/>
          </w:rPr>
          <w:fldChar w:fldCharType="end"/>
        </w:r>
        <w:r>
          <w:rPr>
            <w:lang w:val="es-ES"/>
          </w:rPr>
          <w:t xml:space="preserve"> </w:t>
        </w:r>
      </w:p>
    </w:sdtContent>
  </w:sdt>
  <w:p w:rsidR="008B062E" w:rsidRDefault="008B062E" w:rsidP="007D4651">
    <w:pPr>
      <w:pStyle w:val="Piedepgina"/>
      <w:tabs>
        <w:tab w:val="clear" w:pos="4419"/>
        <w:tab w:val="clear" w:pos="8838"/>
        <w:tab w:val="left" w:pos="5777"/>
      </w:tabs>
    </w:pPr>
  </w:p>
  <w:p w:rsidR="008B062E" w:rsidRDefault="008B062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85034144"/>
      <w:docPartObj>
        <w:docPartGallery w:val="Page Numbers (Bottom of Page)"/>
        <w:docPartUnique/>
      </w:docPartObj>
    </w:sdtPr>
    <w:sdtEndPr/>
    <w:sdtContent>
      <w:p w:rsidR="008B062E" w:rsidRDefault="008B062E">
        <w:pPr>
          <w:pStyle w:val="Piedepgina"/>
          <w:jc w:val="right"/>
          <w:rPr>
            <w:lang w:val="es-ES"/>
          </w:rPr>
        </w:pPr>
      </w:p>
      <w:p w:rsidR="008B062E" w:rsidRDefault="008B062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7456" behindDoc="0" locked="0" layoutInCell="1" allowOverlap="1" wp14:anchorId="60EC3A36" wp14:editId="61821909">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1D3D7C"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8B062E" w:rsidRDefault="008B062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D761B" w:rsidRPr="00DD761B">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rsidR="008B062E" w:rsidRDefault="008B062E" w:rsidP="007D4651">
    <w:pPr>
      <w:pStyle w:val="Piedepgina"/>
      <w:tabs>
        <w:tab w:val="clear" w:pos="4419"/>
        <w:tab w:val="clear" w:pos="8838"/>
        <w:tab w:val="left" w:pos="5777"/>
      </w:tabs>
    </w:pPr>
  </w:p>
  <w:p w:rsidR="008B062E" w:rsidRDefault="008B062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57080796"/>
      <w:docPartObj>
        <w:docPartGallery w:val="Page Numbers (Bottom of Page)"/>
        <w:docPartUnique/>
      </w:docPartObj>
    </w:sdtPr>
    <w:sdtEndPr/>
    <w:sdtContent>
      <w:p w:rsidR="008B062E" w:rsidRDefault="008B062E">
        <w:pPr>
          <w:pStyle w:val="Piedepgina"/>
          <w:jc w:val="right"/>
          <w:rPr>
            <w:lang w:val="es-ES"/>
          </w:rPr>
        </w:pPr>
      </w:p>
      <w:p w:rsidR="008B062E" w:rsidRDefault="008B062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1552" behindDoc="0" locked="0" layoutInCell="1" allowOverlap="1" wp14:anchorId="61CE1ADB" wp14:editId="3AE92EC8">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5413E9"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8B062E" w:rsidRDefault="008B062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4552E3" w:rsidRPr="004552E3">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8B062E" w:rsidRDefault="008B062E" w:rsidP="007D4651">
    <w:pPr>
      <w:pStyle w:val="Piedepgina"/>
      <w:tabs>
        <w:tab w:val="clear" w:pos="4419"/>
        <w:tab w:val="clear" w:pos="8838"/>
        <w:tab w:val="left" w:pos="5777"/>
      </w:tabs>
    </w:pPr>
  </w:p>
  <w:p w:rsidR="008B062E" w:rsidRDefault="008B062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906532020"/>
      <w:docPartObj>
        <w:docPartGallery w:val="Page Numbers (Bottom of Page)"/>
        <w:docPartUnique/>
      </w:docPartObj>
    </w:sdtPr>
    <w:sdtEndPr/>
    <w:sdtContent>
      <w:p w:rsidR="008B062E" w:rsidRDefault="008B062E">
        <w:pPr>
          <w:pStyle w:val="Piedepgina"/>
          <w:jc w:val="right"/>
          <w:rPr>
            <w:lang w:val="es-ES"/>
          </w:rPr>
        </w:pPr>
      </w:p>
      <w:p w:rsidR="008B062E" w:rsidRDefault="008B062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8896" behindDoc="0" locked="0" layoutInCell="1" allowOverlap="1" wp14:anchorId="16C3B6BB" wp14:editId="6D45EB30">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F92A91"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8B062E" w:rsidRDefault="008B062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D761B" w:rsidRPr="00DD761B">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rsidR="008B062E" w:rsidRDefault="008B062E" w:rsidP="007D4651">
    <w:pPr>
      <w:pStyle w:val="Piedepgina"/>
      <w:tabs>
        <w:tab w:val="clear" w:pos="4419"/>
        <w:tab w:val="clear" w:pos="8838"/>
        <w:tab w:val="left" w:pos="5777"/>
      </w:tabs>
    </w:pPr>
  </w:p>
  <w:p w:rsidR="008B062E" w:rsidRDefault="008B062E"/>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198588034"/>
      <w:docPartObj>
        <w:docPartGallery w:val="Page Numbers (Bottom of Page)"/>
        <w:docPartUnique/>
      </w:docPartObj>
    </w:sdtPr>
    <w:sdtEndPr/>
    <w:sdtContent>
      <w:p w:rsidR="008B062E" w:rsidRDefault="008B062E">
        <w:pPr>
          <w:pStyle w:val="Piedepgina"/>
          <w:jc w:val="right"/>
          <w:rPr>
            <w:lang w:val="es-ES"/>
          </w:rPr>
        </w:pPr>
      </w:p>
      <w:p w:rsidR="008B062E" w:rsidRDefault="008B062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5648" behindDoc="0" locked="0" layoutInCell="1" allowOverlap="1" wp14:anchorId="13A11CEC" wp14:editId="26DF3904">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22DF1A"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8B062E" w:rsidRDefault="008B062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D761B" w:rsidRPr="00DD761B">
          <w:rPr>
            <w:rFonts w:ascii="Times New Roman" w:hAnsi="Times New Roman" w:cs="Times New Roman"/>
            <w:b/>
            <w:noProof/>
            <w:color w:val="1F497D" w:themeColor="text2"/>
            <w:lang w:val="es-ES"/>
          </w:rPr>
          <w:t>9</w:t>
        </w:r>
        <w:r w:rsidRPr="007D4651">
          <w:rPr>
            <w:rFonts w:ascii="Times New Roman" w:hAnsi="Times New Roman" w:cs="Times New Roman"/>
            <w:b/>
            <w:color w:val="1F497D" w:themeColor="text2"/>
          </w:rPr>
          <w:fldChar w:fldCharType="end"/>
        </w:r>
        <w:r>
          <w:rPr>
            <w:lang w:val="es-ES"/>
          </w:rPr>
          <w:t xml:space="preserve"> </w:t>
        </w:r>
      </w:p>
    </w:sdtContent>
  </w:sdt>
  <w:p w:rsidR="008B062E" w:rsidRDefault="008B062E" w:rsidP="007D4651">
    <w:pPr>
      <w:pStyle w:val="Piedepgina"/>
      <w:tabs>
        <w:tab w:val="clear" w:pos="4419"/>
        <w:tab w:val="clear" w:pos="8838"/>
        <w:tab w:val="left" w:pos="5777"/>
      </w:tabs>
    </w:pPr>
  </w:p>
  <w:p w:rsidR="008B062E" w:rsidRDefault="008B062E"/>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67338240"/>
      <w:docPartObj>
        <w:docPartGallery w:val="Page Numbers (Bottom of Page)"/>
        <w:docPartUnique/>
      </w:docPartObj>
    </w:sdtPr>
    <w:sdtEndPr/>
    <w:sdtContent>
      <w:p w:rsidR="008B062E" w:rsidRDefault="008B062E">
        <w:pPr>
          <w:pStyle w:val="Piedepgina"/>
          <w:jc w:val="right"/>
          <w:rPr>
            <w:lang w:val="es-ES"/>
          </w:rPr>
        </w:pPr>
      </w:p>
      <w:p w:rsidR="008B062E" w:rsidRDefault="008B062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9744" behindDoc="0" locked="0" layoutInCell="1" allowOverlap="1" wp14:anchorId="4550A53C" wp14:editId="41DFD9DF">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E24CAD"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8B062E" w:rsidRDefault="008B062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22CA5" w:rsidRPr="00322CA5">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rsidR="008B062E" w:rsidRDefault="008B062E" w:rsidP="007D4651">
    <w:pPr>
      <w:pStyle w:val="Piedepgina"/>
      <w:tabs>
        <w:tab w:val="clear" w:pos="4419"/>
        <w:tab w:val="clear" w:pos="8838"/>
        <w:tab w:val="left" w:pos="5777"/>
      </w:tabs>
    </w:pPr>
  </w:p>
  <w:p w:rsidR="008B062E" w:rsidRDefault="008B062E"/>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419791277"/>
      <w:docPartObj>
        <w:docPartGallery w:val="Page Numbers (Bottom of Page)"/>
        <w:docPartUnique/>
      </w:docPartObj>
    </w:sdtPr>
    <w:sdtEndPr/>
    <w:sdtContent>
      <w:p w:rsidR="008B062E" w:rsidRDefault="008B062E">
        <w:pPr>
          <w:pStyle w:val="Piedepgina"/>
          <w:jc w:val="right"/>
          <w:rPr>
            <w:lang w:val="es-ES"/>
          </w:rPr>
        </w:pPr>
      </w:p>
      <w:p w:rsidR="008B062E" w:rsidRDefault="008B062E" w:rsidP="00AF4290">
        <w:pPr>
          <w:pStyle w:val="Piedepgina"/>
          <w:tabs>
            <w:tab w:val="left" w:pos="2694"/>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4800" behindDoc="0" locked="0" layoutInCell="1" allowOverlap="1" wp14:anchorId="01A80B0A" wp14:editId="26BC351C">
                  <wp:simplePos x="0" y="0"/>
                  <wp:positionH relativeFrom="column">
                    <wp:posOffset>1776669</wp:posOffset>
                  </wp:positionH>
                  <wp:positionV relativeFrom="paragraph">
                    <wp:posOffset>70516</wp:posOffset>
                  </wp:positionV>
                  <wp:extent cx="5155565" cy="45719"/>
                  <wp:effectExtent l="38100" t="38100" r="64135" b="88265"/>
                  <wp:wrapNone/>
                  <wp:docPr id="7" name="24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C88D4" id="24 Rectángulo" o:spid="_x0000_s1026" style="position:absolute;margin-left:139.9pt;margin-top:5.55pt;width:405.95pt;height:3.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NYPQMAAKYHAAAOAAAAZHJzL2Uyb0RvYy54bWysVdtO2zAYvp+0d7B8P3KgoVCRogrENIkB&#10;okxcu45z0Bzbs52m3dvsWfZi+22nobAKoWk3yW/7+w/+/oPPLzYtR2umTSNFjpOjGCMmqCwaUeX4&#10;2+P1p1OMjCWiIFwKluMtM/hi/vHDea9mLJW15AXTCIwIM+tVjmtr1SyKDK1ZS8yRVEzAYSl1Syws&#10;dRUVmvRgveVRGscnUS91obSkzBjYvQqHeO7tlyWj9q4sDbOI5xhis/6r/XflvtH8nMwqTVTd0CEM&#10;8g9RtKQR4HQ0dUUsQZ1u/jLVNlRLI0t7RGUbybJsKPN3gNsk8avbLGuimL8LkGPUSJP5f2bp7fpe&#10;o6bI8RQjQVpIUTpBD8Db71+i6rh0DPXKzAC4VPd6WBkQ3XU3pW7dHy6CNp7V7cgq21hEYTNLsiw7&#10;yTCicDbJpsmZsxk9Kytt7GcmW+SEHGtw7rkk6xtjA3QHGSgurhvOvWwAEgSkJPBynGZx6rV9CbFL&#10;rtGaQPIJpUzYZHBdmX2laXoWx4eUVlWwxbv2qyyCIYACOIQ1+vD3eWk0nTicczOiggFnNKi/VDgI&#10;fivszEdywMNbSolTeqcryFG1I5g3AhHX1NBFhhLOoGRGNjUZM8KFC0hIl6Fwy7DDfDMO2ZKdZXpZ&#10;Fz1a8U4/ELCVxacQFioaVwLHpxCmW0CnptMQMSK8ghFjOUZa2qfG1r49XEDOo6uQMdkrTuh3v024&#10;qkng3eVjl7gB7dM2BuNXe3FGru5DpXvJbjlzrrh4YCX0DNT2m6XmM1OTggX/IV2HCscbdOgSSBtt&#10;J4eK52VqB7xTDXGPyu/I8KjhPUthR+W2EVIf8s7HBioDHijbo8aJK1lsYaJAikKpKHrdQGpuiLH3&#10;RMNshbzCe2Hv4FNy2edYDhJGtdQ/D+07PIw8OMWoh1mdY/OjI5phxL8IaPqzZDIBs9YvYMKksND7&#10;J6v9E9G1lxImQgKFrKgXHd7ynVhq2T7Bs7JwXuGICAq+c0yt3i0ubXhD4GGibLHwMBjoitgbsVTU&#10;GXesujJ73DwRrYbZZmEo3srdXCezVyMuYJ2mkIvOyrLx8++Z14FveAx8sQ4Pl3tt9tce9fy8zv8A&#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CTfsNYPQMAAKY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8B062E" w:rsidRDefault="008B062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D761B" w:rsidRPr="00DD761B">
          <w:rPr>
            <w:rFonts w:ascii="Times New Roman" w:hAnsi="Times New Roman" w:cs="Times New Roman"/>
            <w:b/>
            <w:noProof/>
            <w:color w:val="1F497D" w:themeColor="text2"/>
            <w:lang w:val="es-ES"/>
          </w:rPr>
          <w:t>11</w:t>
        </w:r>
        <w:r w:rsidRPr="007D4651">
          <w:rPr>
            <w:rFonts w:ascii="Times New Roman" w:hAnsi="Times New Roman" w:cs="Times New Roman"/>
            <w:b/>
            <w:color w:val="1F497D" w:themeColor="text2"/>
          </w:rPr>
          <w:fldChar w:fldCharType="end"/>
        </w:r>
        <w:r>
          <w:rPr>
            <w:lang w:val="es-ES"/>
          </w:rPr>
          <w:t xml:space="preserve"> </w:t>
        </w:r>
      </w:p>
    </w:sdtContent>
  </w:sdt>
  <w:p w:rsidR="008B062E" w:rsidRDefault="008B062E" w:rsidP="007D4651">
    <w:pPr>
      <w:pStyle w:val="Piedepgina"/>
      <w:tabs>
        <w:tab w:val="clear" w:pos="4419"/>
        <w:tab w:val="clear" w:pos="8838"/>
        <w:tab w:val="left" w:pos="5777"/>
      </w:tabs>
    </w:pPr>
  </w:p>
  <w:p w:rsidR="008B062E" w:rsidRDefault="008B062E"/>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121371858"/>
      <w:docPartObj>
        <w:docPartGallery w:val="Page Numbers (Bottom of Page)"/>
        <w:docPartUnique/>
      </w:docPartObj>
    </w:sdtPr>
    <w:sdtEndPr/>
    <w:sdtContent>
      <w:p w:rsidR="008B062E" w:rsidRDefault="008B062E">
        <w:pPr>
          <w:pStyle w:val="Piedepgina"/>
          <w:jc w:val="right"/>
          <w:rPr>
            <w:lang w:val="es-ES"/>
          </w:rPr>
        </w:pPr>
      </w:p>
      <w:p w:rsidR="008B062E" w:rsidRDefault="008B062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7088" behindDoc="0" locked="0" layoutInCell="1" allowOverlap="1" wp14:anchorId="23A60460" wp14:editId="3302A15B">
                  <wp:simplePos x="0" y="0"/>
                  <wp:positionH relativeFrom="column">
                    <wp:posOffset>1776669</wp:posOffset>
                  </wp:positionH>
                  <wp:positionV relativeFrom="paragraph">
                    <wp:posOffset>70516</wp:posOffset>
                  </wp:positionV>
                  <wp:extent cx="5155565" cy="45719"/>
                  <wp:effectExtent l="38100" t="38100" r="64135" b="88265"/>
                  <wp:wrapNone/>
                  <wp:docPr id="21"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4A17FD" id="39 Rectángulo" o:spid="_x0000_s1026" style="position:absolute;margin-left:139.9pt;margin-top:5.55pt;width:405.95pt;height:3.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bPPgMAAKcHAAAOAAAAZHJzL2Uyb0RvYy54bWysVdtO2zAYvp+0d7B8P3KgAVqRogrENIkB&#10;okxcu45z0Bzbs52m3dvsWfZi+22nobAKoWk3yW/7+w/+/oPPLzYtR2umTSNFjpOjGCMmqCwaUeX4&#10;2+P1pzOMjCWiIFwKluMtM/hi/vHDea9mLJW15AXTCIwIM+tVjmtr1SyKDK1ZS8yRVEzAYSl1Syws&#10;dRUVmvRgveVRGscnUS91obSkzBjYvQqHeO7tlyWj9q4sDbOI5xhis/6r/XflvtH8nMwqTVTd0CEM&#10;8g9RtKQR4HQ0dUUsQZ1u/jLVNlRLI0t7RGUbybJsKPN3gNsk8avbLGuimL8LkGPUSJP5f2bp7fpe&#10;o6bIcZpgJEgLOTqeogcg7vcvUXVcOop6ZWaAXKp7PawMiO6+m1K37g83QRtP63aklW0sorCZJVmW&#10;nWQYUTibZKfJ1NmMnpWVNvYzky1yQo41OPdkkvWNsQG6gwwcF9cN5142AAkCUhKIOU6zOPXavobY&#10;JddoTSD7hFImbDK4rsy+0mk6jeNDSqsq2OJd+1UWwRBAARzCGn34+7w0mk4czrkZUcGAMxrUXyoc&#10;BL8VduYjOeDhLaXEKb3TFeSo2hHMG4GI62poI0MJZ1AzI5uajBnhwgUkpMtQuGXYYb4bh2zJzjK9&#10;rIserXinHwjYyuIzCAsVjSuB4zMI0y2gVdPTEDEivIIZYzlGWtqnxta+P1xAzqOrkDHZK07od79N&#10;uKpJ4N3lY5e4Ae3TNgbjV3txRq7uQ6V7yW45c664eGAlNA3U9pul5jNTk4IF/yFdhwrHG3ToEkgb&#10;bSeHiudlage8Uw1xj8rvyPCo4T1LYUflthFSH/LOxwYqAx4o26PGiStZbGGkQIpCqSh63UBqboix&#10;90TDcIW8woNh7+BTctnnWA4SRrXUPw/tOzzMPDjFqIdhnWPzoyOaYcS/CGj6aTKZgFnrFzBhUljo&#10;/ZPV/ono2ksJEwEGnlHUiw5v+U4stWyf4F1ZOK9wRAQF3zmmVu8WlzY8IvAyUbZYeBhMdEXsjVgq&#10;6ow7Vl2ZPW6eiFbDbLMwFG/lbrCT2asRF7BOU8hFZ2XZ+Pn3zOvAN7wGvliHl8s9N/trj3p+X+d/&#10;AA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Tl8mz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8B062E" w:rsidRDefault="008B062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Pr="008B062E">
          <w:rPr>
            <w:rFonts w:ascii="Times New Roman" w:hAnsi="Times New Roman" w:cs="Times New Roman"/>
            <w:b/>
            <w:noProof/>
            <w:color w:val="1F497D" w:themeColor="text2"/>
            <w:lang w:val="es-ES"/>
          </w:rPr>
          <w:t>14</w:t>
        </w:r>
        <w:r w:rsidRPr="007D4651">
          <w:rPr>
            <w:rFonts w:ascii="Times New Roman" w:hAnsi="Times New Roman" w:cs="Times New Roman"/>
            <w:b/>
            <w:color w:val="1F497D" w:themeColor="text2"/>
          </w:rPr>
          <w:fldChar w:fldCharType="end"/>
        </w:r>
        <w:r>
          <w:rPr>
            <w:lang w:val="es-ES"/>
          </w:rPr>
          <w:t xml:space="preserve"> </w:t>
        </w:r>
      </w:p>
    </w:sdtContent>
  </w:sdt>
  <w:p w:rsidR="008B062E" w:rsidRDefault="008B062E" w:rsidP="007D4651">
    <w:pPr>
      <w:pStyle w:val="Piedepgina"/>
      <w:tabs>
        <w:tab w:val="clear" w:pos="4419"/>
        <w:tab w:val="clear" w:pos="8838"/>
        <w:tab w:val="left" w:pos="5777"/>
      </w:tabs>
    </w:pPr>
  </w:p>
  <w:p w:rsidR="008B062E" w:rsidRDefault="008B062E"/>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232729793"/>
      <w:docPartObj>
        <w:docPartGallery w:val="Page Numbers (Bottom of Page)"/>
        <w:docPartUnique/>
      </w:docPartObj>
    </w:sdtPr>
    <w:sdtEndPr/>
    <w:sdtContent>
      <w:p w:rsidR="008B062E" w:rsidRDefault="008B062E">
        <w:pPr>
          <w:pStyle w:val="Piedepgina"/>
          <w:jc w:val="right"/>
          <w:rPr>
            <w:lang w:val="es-ES"/>
          </w:rPr>
        </w:pPr>
      </w:p>
      <w:p w:rsidR="008B062E" w:rsidRDefault="008B062E"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0944" behindDoc="0" locked="0" layoutInCell="1" allowOverlap="1" wp14:anchorId="2A213E79" wp14:editId="58668458">
                  <wp:simplePos x="0" y="0"/>
                  <wp:positionH relativeFrom="column">
                    <wp:posOffset>1759602</wp:posOffset>
                  </wp:positionH>
                  <wp:positionV relativeFrom="paragraph">
                    <wp:posOffset>70485</wp:posOffset>
                  </wp:positionV>
                  <wp:extent cx="5155565" cy="45719"/>
                  <wp:effectExtent l="38100" t="38100" r="64135" b="88265"/>
                  <wp:wrapNone/>
                  <wp:docPr id="48"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08844B" id="26 Rectángulo" o:spid="_x0000_s1026" style="position:absolute;margin-left:138.55pt;margin-top:5.55pt;width:405.95pt;height:3.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W6PgMAAKcHAAAOAAAAZHJzL2Uyb0RvYy54bWysVdlO3DAUfa/Uf7D8XrIwYRmRQSMQVSUK&#10;iKHi+Y7jTKI6tmt7Fvo3/Zb+WK/tTBjoCKGqL4mXcxefc319dr7pBFlxY1slS5odpJRwyVTVykVJ&#10;vz1cfTqhxDqQFQgleUmfuKXnk48fztZ6zHPVKFFxQ9CJtOO1LmnjnB4niWUN78AeKM0lbtbKdOBw&#10;ahZJZWCN3juR5Gl6lKyVqbRRjFuLq5dxk06C/7rmzN3WteWOiJJibi58TfjO/TeZnMF4YUA3LevT&#10;gH/IooNWYtDB1SU4IEvT/uWqa5lRVtXugKkuUXXdMh7OgKfJ0lenmTWgeTgLkmP1QJP9f27ZzerO&#10;kLYq6QiVktChRvkRuUfifv+Si6VQnqK1tmNEzvSd6WcWh/68m9p0/o8nIZtA69NAK984wnCxyIqi&#10;OCooYbg3Ko6zU+8zeTbWxrrPXHXED0pqMHggE1bX1kXoFtJzXF21QoSxRUgcEK2QmMO8SPNgHWqI&#10;XwhDVoDqA2NcuqwPvbC7Rsf5aZruM5ovoi+x7L6qKjpCKIJjWkOMcJ6XTvORx/kwAyo68E6j+UuD&#10;veC30i5CJnsivGWUeaN3hkKNFluCRSsJ+FuN18gyEBxrZmDTwKCIkD4hqbxC8ZRxhYfb2Kullo6b&#10;WVOtyVwszT2gryI9wbRI1foSODzBNP0Er2p+HDMmIBbYY5ygxCj32Lom3A+fkI/oK2QQey6AfQ/L&#10;IHQDkXevx1a4Hh1kG5IJs508E1/3sdLDyD0J7kMJec9rvDRY22+WWlCmgYrH+FGufYUTHHp0jaQN&#10;vrN9xfNS2h7vTWPeg/E7FB4sQmQl3WDctVKZfdHFcIHqiEfKdqjxw7mqnrCloESxVDS7alGaa7Du&#10;Dgw2V9QVHwx3i59aqHVJVT+ipFHm5751j8eeh7uUrLFZl9T+WILhlIgvEi/9aTYaoVsXJthhcpyY&#10;3Z357o5cdhcKO0KGhaxZGHq8E9thbVT3iO/K1EfFLZAMY5eUObOdXLj4iODLxPh0GmDY0TW4aznT&#10;zDv3rPoye9g8gtF9b3PYFG/UtrHD+FWLi1hvKdV06VTdhv73zGvPN74GoVj7l8s/N7vzgHp+Xy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HYBxbo+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8B062E" w:rsidRDefault="008B062E">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13312C" w:rsidRPr="0013312C">
          <w:rPr>
            <w:rFonts w:ascii="Times New Roman" w:hAnsi="Times New Roman" w:cs="Times New Roman"/>
            <w:b/>
            <w:noProof/>
            <w:color w:val="1F497D" w:themeColor="text2"/>
            <w:lang w:val="es-ES"/>
          </w:rPr>
          <w:t>12</w:t>
        </w:r>
        <w:r w:rsidRPr="007D4651">
          <w:rPr>
            <w:rFonts w:ascii="Times New Roman" w:hAnsi="Times New Roman" w:cs="Times New Roman"/>
            <w:b/>
            <w:color w:val="1F497D" w:themeColor="text2"/>
          </w:rPr>
          <w:fldChar w:fldCharType="end"/>
        </w:r>
        <w:r>
          <w:rPr>
            <w:lang w:val="es-ES"/>
          </w:rPr>
          <w:t xml:space="preserve"> </w:t>
        </w:r>
      </w:p>
    </w:sdtContent>
  </w:sdt>
  <w:p w:rsidR="008B062E" w:rsidRDefault="008B062E" w:rsidP="007D4651">
    <w:pPr>
      <w:pStyle w:val="Piedepgina"/>
      <w:tabs>
        <w:tab w:val="clear" w:pos="4419"/>
        <w:tab w:val="clear" w:pos="8838"/>
        <w:tab w:val="left" w:pos="5777"/>
      </w:tabs>
    </w:pPr>
  </w:p>
  <w:p w:rsidR="008B062E" w:rsidRDefault="008B062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D0F" w:rsidRDefault="00045D0F" w:rsidP="007D4651">
      <w:pPr>
        <w:spacing w:after="0" w:line="240" w:lineRule="auto"/>
      </w:pPr>
      <w:r>
        <w:separator/>
      </w:r>
    </w:p>
  </w:footnote>
  <w:footnote w:type="continuationSeparator" w:id="0">
    <w:p w:rsidR="00045D0F" w:rsidRDefault="00045D0F" w:rsidP="007D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62E" w:rsidRPr="002E105E" w:rsidRDefault="008B062E"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05696" behindDoc="1" locked="1" layoutInCell="1" allowOverlap="1" wp14:anchorId="1F6B27CC" wp14:editId="6CE278D3">
          <wp:simplePos x="0" y="0"/>
          <wp:positionH relativeFrom="column">
            <wp:posOffset>-46990</wp:posOffset>
          </wp:positionH>
          <wp:positionV relativeFrom="page">
            <wp:posOffset>217805</wp:posOffset>
          </wp:positionV>
          <wp:extent cx="1282700" cy="1022985"/>
          <wp:effectExtent l="0" t="0" r="0" b="5715"/>
          <wp:wrapNone/>
          <wp:docPr id="2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62E" w:rsidRPr="002E105E" w:rsidRDefault="00B24905"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Jul</w:t>
    </w:r>
    <w:r w:rsidR="008B062E">
      <w:rPr>
        <w:rFonts w:ascii="Times New Roman" w:hAnsi="Times New Roman" w:cs="Times New Roman"/>
        <w:color w:val="1F497D" w:themeColor="text2"/>
        <w:sz w:val="20"/>
        <w:lang w:val="es-MX"/>
      </w:rPr>
      <w:t>io</w:t>
    </w:r>
    <w:r w:rsidR="008B062E" w:rsidRPr="002E105E">
      <w:rPr>
        <w:rFonts w:ascii="Times New Roman" w:hAnsi="Times New Roman" w:cs="Times New Roman"/>
        <w:color w:val="1F497D" w:themeColor="text2"/>
        <w:sz w:val="20"/>
        <w:lang w:val="es-MX"/>
      </w:rPr>
      <w:t xml:space="preserve"> 2021</w:t>
    </w:r>
  </w:p>
  <w:p w:rsidR="008B062E" w:rsidRDefault="008B062E"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04672" behindDoc="0" locked="0" layoutInCell="1" allowOverlap="1" wp14:anchorId="47422DF0" wp14:editId="50E9309F">
              <wp:simplePos x="0" y="0"/>
              <wp:positionH relativeFrom="column">
                <wp:posOffset>1352514</wp:posOffset>
              </wp:positionH>
              <wp:positionV relativeFrom="paragraph">
                <wp:posOffset>12472</wp:posOffset>
              </wp:positionV>
              <wp:extent cx="4744528" cy="45719"/>
              <wp:effectExtent l="38100" t="38100" r="56515" b="88265"/>
              <wp:wrapNone/>
              <wp:docPr id="18"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54779" id="11 Rectángulo" o:spid="_x0000_s1026" style="position:absolute;margin-left:106.5pt;margin-top:1pt;width:373.6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JEPAMAAKcHAAAOAAAAZHJzL2Uyb0RvYy54bWysVdtOGzEQfa/Uf7D8XvZCUiBigyIQVSVa&#10;EKHi2fF6L6rXdm3n1r/pt/THOmNvlkAjhKq+7I7tM9czHp9fbDpJVsK6VquCZkcpJUJxXbaqLui3&#10;h+sPp5Q4z1TJpFaioFvh6MX0/bvztZmIXDdalsISMKLcZG0K2nhvJknieCM65o60EQoOK2075mFp&#10;66S0bA3WO5nkafoxWWtbGqu5cA52r+IhnQb7VSW4v60qJzyRBYXYfPja8F3gN5mes0ltmWla3ofB&#10;/iGKjrUKnA6mrphnZGnbv0x1Lbfa6cofcd0luqpaLkIOkE2Wvshm3jAjQi5QHGeGMrn/Z5Z/Xd1Z&#10;0pbAHTClWAccZRm5h8L9/qXqpdRYorVxE0DOzZ3tVw5EzHdT2Q7/kAnZhLJuh7KKjSccNkcno9E4&#10;B/Mczkbjk+wMbSZPysY6/0nojqBQUAvOQzHZ6sb5CN1B+hqX162UQXYAiQIxGgpznI/TPGiHHhKX&#10;0pIVA/YZ50L5rHddu32lk/wsTQ8pLepoSy67L7qMhgAK4BjW4CPk89xoPkIcuhlQ0QAajerPFQ6C&#10;Xwt7HCI54OE1pQyV3ugKOKp3BZatIgxvNVwjx5kU2DO7PCwbGJEKA1IaGYpZxh0RbmPPll56YedN&#10;uSYLubT3DGyN01MIi5QttsDxKYSJC7iq+UmMmDBZw4zxkhKr/WPrm3A/MCD0iB0ykL2QjH8P20ya&#10;hsW6Ix874np0oG0IJqz24kyw72OnB8lvpUBXUt2LCi4N9ParrRaYaVgpov9I16HGCQYRXUHRBtvZ&#10;oeZ5Tm2PR9UY96D8BoYHjeBZKz8od63S9pB3OVygKuKhZHulQXGhyy2MFKAotorh1y1Qc8Ocv2MW&#10;hivwCg+Gv4VPJfW6oLqXKGm0/XloH/Ew8+CUkjUM64K6H0tmBSXys4JLf5aNRmDWhwVMmBwWdv9k&#10;sX+ilt2lhomQQSMbHkTEe7kTK6u7R3hXZugVjpji4Lug3Nvd4tLHRwReJi5mswCDiW6Yv1Fzw9E4&#10;VhXb7GHzyKzpZ5uHofhV7wY7m7wYcRGLmkrPll5XbZh/T3Xt6w2vQWjW/uXC52Z/HVBP7+v0DwAA&#10;AP//AwBQSwMEFAAGAAgAAAAhAGqtYlHdAAAABwEAAA8AAABkcnMvZG93bnJldi54bWxMj8FOwzAM&#10;hu9IvENkpF0QS1qkCUrTaUJCOwwh2PYAWeO11RKnNOlWeHrMCU7+rd/+/blcTt6JMw6xC6QhmysQ&#10;SHWwHTUa9ruXuwcQMRmyxgVCDV8YYVldX5WmsOFCH3jepkZwCMXCaGhT6gspY92iN3EeeiT2jmHw&#10;JnE7NNIO5sLh3slcqYX0piO+0Joen1usT9vRM8abk+vVOvv+VJv4emreR9Udb7We3UyrJxAJp/Q3&#10;DL/4vAMVMx3CSDYKpyHP7vmXxIIL+48LlYM4sMhBVqX8z1/9AAAA//8DAFBLAQItABQABgAIAAAA&#10;IQC2gziS/gAAAOEBAAATAAAAAAAAAAAAAAAAAAAAAABbQ29udGVudF9UeXBlc10ueG1sUEsBAi0A&#10;FAAGAAgAAAAhADj9If/WAAAAlAEAAAsAAAAAAAAAAAAAAAAALwEAAF9yZWxzLy5yZWxzUEsBAi0A&#10;FAAGAAgAAAAhALIbkkQ8AwAApwcAAA4AAAAAAAAAAAAAAAAALgIAAGRycy9lMm9Eb2MueG1sUEsB&#10;Ai0AFAAGAAgAAAAhAGqtYlHdAAAABwEAAA8AAAAAAAAAAAAAAAAAlgUAAGRycy9kb3ducmV2Lnht&#10;bFBLBQYAAAAABAAEAPMAAACg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8B062E" w:rsidRPr="0073581B" w:rsidRDefault="008B062E"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8B062E" w:rsidRPr="00E16925" w:rsidRDefault="008B062E" w:rsidP="00E16925">
    <w:pPr>
      <w:pStyle w:val="Encabezado"/>
      <w:rPr>
        <w:rFonts w:ascii="Times New Roman" w:hAnsi="Times New Roman" w:cs="Times New Roman"/>
        <w:lang w:val="es-MX"/>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62E" w:rsidRPr="002E105E" w:rsidRDefault="008B062E"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24128" behindDoc="1" locked="1" layoutInCell="1" allowOverlap="1" wp14:anchorId="258965BF" wp14:editId="231108F6">
          <wp:simplePos x="0" y="0"/>
          <wp:positionH relativeFrom="column">
            <wp:posOffset>-46990</wp:posOffset>
          </wp:positionH>
          <wp:positionV relativeFrom="page">
            <wp:posOffset>217805</wp:posOffset>
          </wp:positionV>
          <wp:extent cx="1282700" cy="1022985"/>
          <wp:effectExtent l="0" t="0" r="0" b="5715"/>
          <wp:wrapNone/>
          <wp:docPr id="2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62E" w:rsidRPr="002E105E" w:rsidRDefault="00B24905"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Jul</w:t>
    </w:r>
    <w:r w:rsidR="008B062E">
      <w:rPr>
        <w:rFonts w:ascii="Times New Roman" w:hAnsi="Times New Roman" w:cs="Times New Roman"/>
        <w:color w:val="1F497D" w:themeColor="text2"/>
        <w:sz w:val="20"/>
        <w:lang w:val="es-MX"/>
      </w:rPr>
      <w:t>io</w:t>
    </w:r>
    <w:r w:rsidR="008B062E" w:rsidRPr="002E105E">
      <w:rPr>
        <w:rFonts w:ascii="Times New Roman" w:hAnsi="Times New Roman" w:cs="Times New Roman"/>
        <w:color w:val="1F497D" w:themeColor="text2"/>
        <w:sz w:val="20"/>
        <w:lang w:val="es-MX"/>
      </w:rPr>
      <w:t xml:space="preserve"> 2021</w:t>
    </w:r>
  </w:p>
  <w:p w:rsidR="008B062E" w:rsidRDefault="008B062E"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23104" behindDoc="0" locked="0" layoutInCell="1" allowOverlap="1" wp14:anchorId="5F917E29" wp14:editId="6BA1DEF5">
              <wp:simplePos x="0" y="0"/>
              <wp:positionH relativeFrom="column">
                <wp:posOffset>1352514</wp:posOffset>
              </wp:positionH>
              <wp:positionV relativeFrom="paragraph">
                <wp:posOffset>12472</wp:posOffset>
              </wp:positionV>
              <wp:extent cx="4744528" cy="45719"/>
              <wp:effectExtent l="38100" t="38100" r="56515" b="88265"/>
              <wp:wrapNone/>
              <wp:docPr id="35"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E2E6E" id="11 Rectángulo" o:spid="_x0000_s1026" style="position:absolute;margin-left:106.5pt;margin-top:1pt;width:373.6pt;height:3.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HkPgMAAKcHAAAOAAAAZHJzL2Uyb0RvYy54bWysVd1O2zAUvp+0d7B8P9KEdkBFiioQ0yQ2&#10;EGXi+tRxfjTH9my3afc2e5a92I7tNBRWITTtJjm2v/Pj7/z4/GLTCrLmxjZK5jQ9GlHCJVNFI6uc&#10;fnu4/nBKiXUgCxBK8pxuuaUXs/fvzjs95ZmqlSi4IWhE2mmnc1o7p6dJYlnNW7BHSnOJh6UyLThc&#10;miopDHRovRVJNhp9TDplCm0U49bi7lU8pLNgvyw5c7dlabkjIqcYmwtfE75L/01m5zCtDOi6YX0Y&#10;8A9RtNBIdDqYugIHZGWav0y1DTPKqtIdMdUmqiwbxsMd8Dbp6MVtFjVoHu6C5Fg90GT/n1n2dX1n&#10;SFPk9HhCiYQWc5Sm5B6J+/1LViuhPEWdtlNELvSd6VcWRX/fTWla/8ebkE2gdTvQyjeOMNwcn4zH&#10;kwwLgeHZeHKSnnmbyZOyNtZ94qolXsipQeeBTFjfWBehO0jPcXHdCBFki5AoEK2QmONsMsqCdqgh&#10;fikMWQNmHxjj0qW968ruK51kZ6PRIaVlFW2JVftFFdEQQhEcwxp8hPs8N5qNPc67GVDRgDca1Z8r&#10;HAS/FvYkRHLAw2tKqVd6oyvMUbUjWDSSgO9qbCPLQHCsmYFNA0NGhPQBSeUzFG8Zd3joxj5bauW4&#10;WdRFR5ZiZe4BbU1GpxgWKRpfAsenGKZfYKtmJzFiAqLCGeMEJUa5x8bVoT98QN6jr5Ah2UsB7HvY&#10;BqFriLz7fOwS16ND2oZgwmovzsTXfaz0ILmt4N6VkPe8xKbB2n611EJmaih49B/TdahwgkGPLpG0&#10;wXZ6qHiep7bHe9UY96D8hgwPGsGzkm5QbhupzCHvYmigMuKRsj1qvLhUxRZHCqYolopm1w2m5gas&#10;uwODwxXzig+Gu8VPKVSXU9VLlNTK/Dy07/E48/CUkg6HdU7tjxUYTon4LLHpz9LxGM26sMAJk+HC&#10;7J8s90/kqr1UOBFSLGTNgujxTuzE0qj2Ed+VufeKRyAZ+s4pc2a3uHTxEcGXifH5PMBwomtwN3Kh&#10;mTfuWfVl9rB5BKP72eZwKH5Vu8EO0xcjLmK9plTzlVNlE+bfE6893/gahGLtXy7/3OyvA+rpfZ39&#10;AQAA//8DAFBLAwQUAAYACAAAACEAaq1iUd0AAAAHAQAADwAAAGRycy9kb3ducmV2LnhtbEyPwU7D&#10;MAyG70i8Q2SkXRBLWqQJStNpQkI7DCHY9gBZ47XVEqc06VZ4eswJTv6t3/79uVxO3okzDrELpCGb&#10;KxBIdbAdNRr2u5e7BxAxGbLGBUINXxhhWV1flaaw4UIfeN6mRnAIxcJoaFPqCylj3aI3cR56JPaO&#10;YfAmcTs00g7mwuHeyVyphfSmI77Qmh6fW6xP29EzxpuT69U6+/5Um/h6at5H1R1vtZ7dTKsnEAmn&#10;9DcMv/i8AxUzHcJINgqnIc/u+ZfEggv7jwuVgziwyEFWpfzPX/0AAAD//wMAUEsBAi0AFAAGAAgA&#10;AAAhALaDOJL+AAAA4QEAABMAAAAAAAAAAAAAAAAAAAAAAFtDb250ZW50X1R5cGVzXS54bWxQSwEC&#10;LQAUAAYACAAAACEAOP0h/9YAAACUAQAACwAAAAAAAAAAAAAAAAAvAQAAX3JlbHMvLnJlbHNQSwEC&#10;LQAUAAYACAAAACEApEPB5D4DAACnBwAADgAAAAAAAAAAAAAAAAAuAgAAZHJzL2Uyb0RvYy54bWxQ&#10;SwECLQAUAAYACAAAACEAaq1iUd0AAAAHAQAADwAAAAAAAAAAAAAAAACY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8B062E" w:rsidRPr="0073581B" w:rsidRDefault="008B062E"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8B062E" w:rsidRPr="00E16925" w:rsidRDefault="008B062E"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62E" w:rsidRPr="002E105E" w:rsidRDefault="008B062E"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773952" behindDoc="1" locked="1" layoutInCell="1" allowOverlap="1" wp14:anchorId="2D911795" wp14:editId="324277E3">
          <wp:simplePos x="0" y="0"/>
          <wp:positionH relativeFrom="column">
            <wp:posOffset>-46990</wp:posOffset>
          </wp:positionH>
          <wp:positionV relativeFrom="page">
            <wp:posOffset>217805</wp:posOffset>
          </wp:positionV>
          <wp:extent cx="1282700" cy="1022985"/>
          <wp:effectExtent l="0" t="0" r="0" b="5715"/>
          <wp:wrapNone/>
          <wp:docPr id="2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62E" w:rsidRPr="002E105E" w:rsidRDefault="00B24905"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Jul</w:t>
    </w:r>
    <w:r w:rsidR="008B062E">
      <w:rPr>
        <w:rFonts w:ascii="Times New Roman" w:hAnsi="Times New Roman" w:cs="Times New Roman"/>
        <w:color w:val="1F497D" w:themeColor="text2"/>
        <w:sz w:val="20"/>
        <w:lang w:val="es-MX"/>
      </w:rPr>
      <w:t>io</w:t>
    </w:r>
    <w:r w:rsidR="008B062E" w:rsidRPr="002E105E">
      <w:rPr>
        <w:rFonts w:ascii="Times New Roman" w:hAnsi="Times New Roman" w:cs="Times New Roman"/>
        <w:color w:val="1F497D" w:themeColor="text2"/>
        <w:sz w:val="20"/>
        <w:lang w:val="es-MX"/>
      </w:rPr>
      <w:t xml:space="preserve"> 2021</w:t>
    </w:r>
  </w:p>
  <w:p w:rsidR="008B062E" w:rsidRDefault="008B062E"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71904" behindDoc="0" locked="0" layoutInCell="1" allowOverlap="1" wp14:anchorId="3AFE0141" wp14:editId="3D82E086">
              <wp:simplePos x="0" y="0"/>
              <wp:positionH relativeFrom="column">
                <wp:posOffset>1352514</wp:posOffset>
              </wp:positionH>
              <wp:positionV relativeFrom="paragraph">
                <wp:posOffset>12472</wp:posOffset>
              </wp:positionV>
              <wp:extent cx="4744528" cy="45719"/>
              <wp:effectExtent l="38100" t="38100" r="56515" b="88265"/>
              <wp:wrapNone/>
              <wp:docPr id="17"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7EF83" id="11 Rectángulo" o:spid="_x0000_s1026" style="position:absolute;margin-left:106.5pt;margin-top:1pt;width:373.6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SQPQMAAKcHAAAOAAAAZHJzL2Uyb0RvYy54bWysVdtOGzEQfa/Uf7D8XvZC0kDEBkUgqkq0&#10;IELFs+P1XlSv7drOhf5Nv6U/1hl7swQaIVT1ZXdsn7me8fjsfNtJshbWtVoVNDtKKRGK67JVdUG/&#10;3V99OKHEeaZKJrUSBX0Ujp7P3r8725ipyHWjZSksASPKTTemoI33ZpokjjeiY+5IG6HgsNK2Yx6W&#10;tk5KyzZgvZNJnqYfk422pbGaC+dg9zIe0lmwX1WC+5uqcsITWVCIzYevDd8lfpPZGZvWlpmm5X0Y&#10;7B+i6FirwOlg6pJ5Rla2/ctU13Krna78Edddoquq5SLkANlk6YtsFg0zIuQCxXFmKJP7f2b51/Wt&#10;JW0J3E0oUawDjrKM3EHhfv9S9UpqLNHGuCkgF+bW9isHIua7rWyHf8iEbENZH4eyiq0nHDZHk9Fo&#10;nEMjcDgbjSfZKdpMnpSNdf6T0B1BoaAWnIdisvW18xG6g/Q1Lq9aKYPsABIFYjQU5jgfp3nQDj0k&#10;LqQlawbsM86F8lnvunb7SpP8NE0PKS3raEuuui+6jIYACuAY1uAj5PPcaD5CHLoZUNEAGo3qzxUO&#10;gl8LexwiOeDhNaUMld7oCjiqdwWWrSIMbzVcI8eZFNgzuzwsGxiRCgNSGhmKWcYdEW5jz5ZeeWEX&#10;TbkhS7mydwxsjdMTCIuULbbA8QmEiQu4qvkkRkyYrGHGeEmJ1f6h9U24HxgQesQOGcheSsa/h20m&#10;TcNi3ZGPHXE9OtA2BBNWe3Em2Pex04PkH6VAV1LdiQouDfT2q60WmGlYKaL/SNehxgkGEV1B0Qbb&#10;2aHmeU5tj0fVGPeg/AaGB43gWSs/KHet0vaQdzlcoCrioWR7pUFxqctHGClAUWwVw69aoOaaOX/L&#10;LAxX4BUeDH8Dn0rqTUF1L1HSaPvz0D7iYebBKSUbGNYFdT9WzApK5GcFl/40G43ArA8LmDA5LOz+&#10;yXL/RK26Cw0TIYNGNjyIiPdyJ1ZWdw/wrszRKxwxxcF3Qbm3u8WFj48IvExczOcBBhPdMH+tFoaj&#10;cawqttn99oFZ0882D0Pxq94NdjZ9MeIiFjWVnq+8rtow/57q2tcbXoPQrP3Lhc/N/jqgnt7X2R8A&#10;AAD//wMAUEsDBBQABgAIAAAAIQBqrWJR3QAAAAcBAAAPAAAAZHJzL2Rvd25yZXYueG1sTI/BTsMw&#10;DIbvSLxDZKRdEEtapAlK02lCQjsMIdj2AFnjtdUSpzTpVnh6zAlO/q3f/v25XE7eiTMOsQukIZsr&#10;EEh1sB01Gva7l7sHEDEZssYFQg1fGGFZXV+VprDhQh943qZGcAjFwmhoU+oLKWPdojdxHnok9o5h&#10;8CZxOzTSDubC4d7JXKmF9KYjvtCaHp9brE/b0TPGm5Pr1Tr7/lSb+Hpq3kfVHW+1nt1MqycQCaf0&#10;Nwy/+LwDFTMdwkg2Cqchz+75l8SCC/uPC5WDOLDIQVal/M9f/QAAAP//AwBQSwECLQAUAAYACAAA&#10;ACEAtoM4kv4AAADhAQAAEwAAAAAAAAAAAAAAAAAAAAAAW0NvbnRlbnRfVHlwZXNdLnhtbFBLAQIt&#10;ABQABgAIAAAAIQA4/SH/1gAAAJQBAAALAAAAAAAAAAAAAAAAAC8BAABfcmVscy8ucmVsc1BLAQIt&#10;ABQABgAIAAAAIQB4xDSQPQMAAKcHAAAOAAAAAAAAAAAAAAAAAC4CAABkcnMvZTJvRG9jLnhtbFBL&#10;AQItABQABgAIAAAAIQBqrWJR3QAAAAcBAAAPAAAAAAAAAAAAAAAAAJcFAABkcnMvZG93bnJldi54&#10;bWxQSwUGAAAAAAQABADzAAAAoQ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8B062E" w:rsidRPr="0073581B" w:rsidRDefault="008B062E"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8B062E" w:rsidRPr="00E16925" w:rsidRDefault="008B062E"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62E" w:rsidRPr="002E105E" w:rsidRDefault="008B062E" w:rsidP="002E105E">
    <w:pPr>
      <w:pStyle w:val="Encabezado"/>
      <w:jc w:val="center"/>
      <w:rPr>
        <w:rFonts w:ascii="Times New Roman" w:hAnsi="Times New Roman" w:cs="Times New Roman"/>
        <w:b/>
        <w:color w:val="1F497D" w:themeColor="text2"/>
        <w:lang w:val="es-MX"/>
      </w:rPr>
    </w:pPr>
    <w:r w:rsidRPr="002E105E">
      <w:rPr>
        <w:noProof/>
        <w:sz w:val="20"/>
        <w:lang w:eastAsia="es-GT"/>
      </w:rPr>
      <w:drawing>
        <wp:anchor distT="0" distB="0" distL="114300" distR="114300" simplePos="0" relativeHeight="251777024" behindDoc="0" locked="0" layoutInCell="1" allowOverlap="1" wp14:anchorId="57074BEE" wp14:editId="4DF8C53F">
          <wp:simplePos x="0" y="0"/>
          <wp:positionH relativeFrom="column">
            <wp:posOffset>-548640</wp:posOffset>
          </wp:positionH>
          <wp:positionV relativeFrom="paragraph">
            <wp:posOffset>-8587</wp:posOffset>
          </wp:positionV>
          <wp:extent cx="1598212" cy="723976"/>
          <wp:effectExtent l="0" t="0" r="2540" b="0"/>
          <wp:wrapNone/>
          <wp:docPr id="242" name="Imagen 242"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778048" behindDoc="1" locked="1" layoutInCell="1" allowOverlap="1" wp14:anchorId="5BB3EF48" wp14:editId="20EF7E7E">
          <wp:simplePos x="0" y="0"/>
          <wp:positionH relativeFrom="column">
            <wp:posOffset>5207000</wp:posOffset>
          </wp:positionH>
          <wp:positionV relativeFrom="page">
            <wp:posOffset>166370</wp:posOffset>
          </wp:positionV>
          <wp:extent cx="1282700" cy="1022985"/>
          <wp:effectExtent l="0" t="0" r="0" b="5715"/>
          <wp:wrapNone/>
          <wp:docPr id="2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62E" w:rsidRPr="002E105E" w:rsidRDefault="008B062E" w:rsidP="002E105E">
    <w:pPr>
      <w:pStyle w:val="Encabezado"/>
      <w:jc w:val="center"/>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Mayo</w:t>
    </w:r>
    <w:r w:rsidRPr="002E105E">
      <w:rPr>
        <w:rFonts w:ascii="Times New Roman" w:hAnsi="Times New Roman" w:cs="Times New Roman"/>
        <w:color w:val="1F497D" w:themeColor="text2"/>
        <w:sz w:val="20"/>
        <w:lang w:val="es-MX"/>
      </w:rPr>
      <w:t xml:space="preserve"> 2021</w:t>
    </w:r>
  </w:p>
  <w:p w:rsidR="008B062E" w:rsidRDefault="008B062E" w:rsidP="002E105E">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76000" behindDoc="0" locked="0" layoutInCell="1" allowOverlap="1" wp14:anchorId="1ED45961" wp14:editId="53759B27">
              <wp:simplePos x="0" y="0"/>
              <wp:positionH relativeFrom="column">
                <wp:posOffset>1214617</wp:posOffset>
              </wp:positionH>
              <wp:positionV relativeFrom="paragraph">
                <wp:posOffset>14357</wp:posOffset>
              </wp:positionV>
              <wp:extent cx="3991555" cy="45719"/>
              <wp:effectExtent l="38100" t="38100" r="66675" b="88265"/>
              <wp:wrapNone/>
              <wp:docPr id="236" name="11 Rectángulo"/>
              <wp:cNvGraphicFramePr/>
              <a:graphic xmlns:a="http://schemas.openxmlformats.org/drawingml/2006/main">
                <a:graphicData uri="http://schemas.microsoft.com/office/word/2010/wordprocessingShape">
                  <wps:wsp>
                    <wps:cNvSpPr/>
                    <wps:spPr>
                      <a:xfrm>
                        <a:off x="0" y="0"/>
                        <a:ext cx="399155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E741E" id="11 Rectángulo" o:spid="_x0000_s1026" style="position:absolute;margin-left:95.65pt;margin-top:1.15pt;width:314.3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5BRPwMAAKgHAAAOAAAAZHJzL2Uyb0RvYy54bWysVdtOGzEQfa/Uf7D8XvaSBEjEBkUgqkoU&#10;EKHieeL1Zlf12q7tXOjf9Fv6Yx3bmyXQCKGqL7tj+8zFZy4+O9+2gqy5sY2SBc2OUkq4ZKps5LKg&#10;3x6uPp1SYh3IEoSSvKBP3NLz6ccPZxs94bmqlSi5IWhE2slGF7R2Tk+SxLKat2CPlOYSDytlWnC4&#10;NMukNLBB661I8jQ9TjbKlNooxq3F3ct4SKfBflVx5m6rynJHREExNhe+JnwX/ptMz2CyNKDrhnVh&#10;wD9E0UIj0Wlv6hIckJVp/jLVNswoqyp3xFSbqKpqGA93wNtk6avbzGvQPNwFybG6p8n+P7PsZn1n&#10;SFMWNB8cUyKhxSRlGblH5n7/ksuVUJ6jjbYThM71nelWFkV/4W1lWv/Hq5Bt4PWp55VvHWG4ORiP&#10;s9FoRAnDs+HoJBt7m8mzsjbWfeaqJV4oqEHngU1YX1sXoTtIR3J51QgRZIuQKBCtkJlBPkrzoB2K&#10;iF8IQ9aA6QfGuHRZ53pp95VO8nGaHlJaLKMtsWq/qjIaQiiCY1i9j3Cfl0bzocd5Nz0qGvBGo/pL&#10;hYPgt8IehUgOeHhLKfNK73SFOVruCBaNJODbGvvIMhAci6Zn00CfESF9QFL5DMVbxh0e2rHLllo5&#10;buZ1uSELsTL3gLZG6SmGRcrGl8DgFMP0C+zV/CRGTEAsccg4QYlR7rFxdWgQH5D36CukT/ZCAPse&#10;tkHoGiLvPh+7xHXokLY+mLDaizPxdR8rPUjuSXDvSsh7XmHXYG2/WWohMzWUPPqP6TpUOMGgR1dI&#10;Wm87O1Q8L1Pb4b1qjLtXfkeGe43gWUnXK7eNVOaQd9E3UBXxSNkeNV5cqPIJZwqmKJaKZlcNpuYa&#10;rLsDg9MV84ovhrvFTyXUpqCqkyiplfl5aN/jcejhKSUbnNYFtT9WYDgl4ovEph9nwyGadWGBEybH&#10;hdk/WeyfyFV7oXAiZFjImgXR453YiZVR7SM+LDPvFY9AMvRdUObMbnHh4iuCTxPjs1mA4UjX4K7l&#10;XDNv3LPqy+xh+whGd7PN4VC8UbvJDpNXIy5ivaZUs5VTVRPm3zOvHd/4HIRi7Z4u/97srwPq+YGd&#10;/gEAAP//AwBQSwMEFAAGAAgAAAAhAIHiFv/dAAAABwEAAA8AAABkcnMvZG93bnJldi54bWxMjk1O&#10;wzAQhfdI3MGaSmwQtVMEatI4VYWEugAhKBzAjadJVHscYqcNnJ5hBavR0/uZr1xP3okTDrELpCGb&#10;KxBIdbAdNRo+3h9vliBiMmSNC4QavjDCurq8KE1hw5ne8LRLjeARioXR0KbUF1LGukVv4jz0SOwd&#10;wuBNYjk00g7mzOPeyYVS99KbjvhDa3p8aLE+7kbPGC9Objfb7PtTPcXnY/M6qu5wrfXVbNqsQCSc&#10;0l8YfvG5AxUz7cNINgrHOs9uOaphwYf9ZZbnIPYa8juQVSn/81c/AAAA//8DAFBLAQItABQABgAI&#10;AAAAIQC2gziS/gAAAOEBAAATAAAAAAAAAAAAAAAAAAAAAABbQ29udGVudF9UeXBlc10ueG1sUEsB&#10;Ai0AFAAGAAgAAAAhADj9If/WAAAAlAEAAAsAAAAAAAAAAAAAAAAALwEAAF9yZWxzLy5yZWxzUEsB&#10;Ai0AFAAGAAgAAAAhACKrkFE/AwAAqAcAAA4AAAAAAAAAAAAAAAAALgIAAGRycy9lMm9Eb2MueG1s&#10;UEsBAi0AFAAGAAgAAAAhAIHiFv/dAAAABwEAAA8AAAAAAAAAAAAAAAAAmQ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8B062E" w:rsidRPr="0073581B" w:rsidRDefault="008B062E" w:rsidP="002E105E">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8B062E" w:rsidRPr="00E16925" w:rsidRDefault="008B062E" w:rsidP="00E16925">
    <w:pPr>
      <w:pStyle w:val="Encabezado"/>
      <w:rPr>
        <w:rFonts w:ascii="Times New Roman" w:hAnsi="Times New Roman" w:cs="Times New Roman"/>
        <w:lang w:val="es-MX"/>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62E" w:rsidRPr="002E105E" w:rsidRDefault="008B062E"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08768" behindDoc="1" locked="1" layoutInCell="1" allowOverlap="1" wp14:anchorId="1EB485BA" wp14:editId="0E7AE699">
          <wp:simplePos x="0" y="0"/>
          <wp:positionH relativeFrom="column">
            <wp:posOffset>-46990</wp:posOffset>
          </wp:positionH>
          <wp:positionV relativeFrom="page">
            <wp:posOffset>217805</wp:posOffset>
          </wp:positionV>
          <wp:extent cx="1282700" cy="1022985"/>
          <wp:effectExtent l="0" t="0" r="0" b="5715"/>
          <wp:wrapNone/>
          <wp:docPr id="2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62E" w:rsidRPr="002E105E" w:rsidRDefault="00B24905"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Jul</w:t>
    </w:r>
    <w:r w:rsidR="008B062E">
      <w:rPr>
        <w:rFonts w:ascii="Times New Roman" w:hAnsi="Times New Roman" w:cs="Times New Roman"/>
        <w:color w:val="1F497D" w:themeColor="text2"/>
        <w:sz w:val="20"/>
        <w:lang w:val="es-MX"/>
      </w:rPr>
      <w:t>io</w:t>
    </w:r>
    <w:r w:rsidR="008B062E" w:rsidRPr="002E105E">
      <w:rPr>
        <w:rFonts w:ascii="Times New Roman" w:hAnsi="Times New Roman" w:cs="Times New Roman"/>
        <w:color w:val="1F497D" w:themeColor="text2"/>
        <w:sz w:val="20"/>
        <w:lang w:val="es-MX"/>
      </w:rPr>
      <w:t xml:space="preserve"> 2021</w:t>
    </w:r>
  </w:p>
  <w:p w:rsidR="008B062E" w:rsidRDefault="008B062E"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07744" behindDoc="0" locked="0" layoutInCell="1" allowOverlap="1" wp14:anchorId="1BED2DA3" wp14:editId="74FC8693">
              <wp:simplePos x="0" y="0"/>
              <wp:positionH relativeFrom="column">
                <wp:posOffset>1352514</wp:posOffset>
              </wp:positionH>
              <wp:positionV relativeFrom="paragraph">
                <wp:posOffset>12472</wp:posOffset>
              </wp:positionV>
              <wp:extent cx="4744528" cy="45719"/>
              <wp:effectExtent l="38100" t="38100" r="56515" b="88265"/>
              <wp:wrapNone/>
              <wp:docPr id="24"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E9D67" id="11 Rectángulo" o:spid="_x0000_s1026" style="position:absolute;margin-left:106.5pt;margin-top:1pt;width:373.6pt;height: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vePgMAAKcHAAAOAAAAZHJzL2Uyb0RvYy54bWysVd1O2zAUvp+0d7B8P9KEdEBFiioQ0yQ2&#10;EGXi2nWcJppje7bTn73NnmUvtnPsNBRWITTtJjm2v/Pj7/z4/GLTSrIS1jVaFTQ9GlEiFNdlo5YF&#10;/fZw/eGUEueZKpnUShR0Kxy9mL5/d742E5HpWstSWAJGlJusTUFr780kSRyvRcvckTZCwWGlbcs8&#10;LO0yKS1bg/VWJtlo9DFZa1saq7lwDnav4iGdBvtVJbi/rSonPJEFhdh8+NrwXeA3mZ6zydIyUze8&#10;D4P9QxQtaxQ4HUxdMc9IZ5u/TLUNt9rpyh9x3Sa6qhouwh3gNunoxW3mNTMi3AXIcWagyf0/s/zr&#10;6s6SpixollOiWAs5SlNyD8T9/qWWndRI0dq4CSDn5s72Kwci3ndT2Rb/cBOyCbRuB1rFxhMOm/lJ&#10;no8zKAQOZ/n4JD1Dm8mTsrHOfxK6JSgU1ILzQCZb3TgfoTtIz3F53UgZZAeQKBCjgZjjbDzKgnao&#10;IXEpLVkxyD7jXCif9q6Xbl/pJDsbjQ4pLZbRluzaL7qMhgAK4BjW4CPc57nRLEccuhlQ0QAajerP&#10;FQ6CXwt7HCI54OE1pRSV3ugKcrTcESwbRRh2NbSR40wKqJmBTcuGjEiFASmNGYq3jDsidGOfLd15&#10;Yed1uSYL2dl7BrbGo1MIi5QNlsDxKYSJC2jV7CRGTJhcwozxkhKr/WPj69AfGBB6xAoZkr2QjH8P&#10;20yamkXeMR+7xPXokLYhmLDaizPBuo+VHiS/lQJdSXUvKmgaqO1XSy1kpmaliP5jug4VTjCI6ApI&#10;G2ynh4rneWp7PKrGuAflN2R40AietfKDctsobQ95l0MDVREPlO1Rg+JCl1sYKZCiWCqGXzeQmhvm&#10;/B2zMFwhr/Bg+Fv4VFKvC6p7iZJa25+H9hEPMw9OKVnDsC6o+9ExKyiRnxU0/Vma52DWhwVMmAwW&#10;dv9ksX+iuvZSw0RIoZANDyLivdyJldXtI7wrM/QKR0xx8F1Q7u1ucenjIwIvExezWYDBRDfM36i5&#10;4WgcWcUye9g8Mmv62eZhKH7Vu8HOJi9GXMSiptKzzuuqCfPvideeb3gNQrH2Lxc+N/vrgHp6X6d/&#10;AAAA//8DAFBLAwQUAAYACAAAACEAaq1iUd0AAAAHAQAADwAAAGRycy9kb3ducmV2LnhtbEyPwU7D&#10;MAyG70i8Q2SkXRBLWqQJStNpQkI7DCHY9gBZ47XVEqc06VZ4eswJTv6t3/79uVxO3okzDrELpCGb&#10;KxBIdbAdNRr2u5e7BxAxGbLGBUINXxhhWV1flaaw4UIfeN6mRnAIxcJoaFPqCylj3aI3cR56JPaO&#10;YfAmcTs00g7mwuHeyVyphfSmI77Qmh6fW6xP29EzxpuT69U6+/5Um/h6at5H1R1vtZ7dTKsnEAmn&#10;9DcMv/i8AxUzHcJINgqnIc/u+ZfEggv7jwuVgziwyEFWpfzPX/0AAAD//wMAUEsBAi0AFAAGAAgA&#10;AAAhALaDOJL+AAAA4QEAABMAAAAAAAAAAAAAAAAAAAAAAFtDb250ZW50X1R5cGVzXS54bWxQSwEC&#10;LQAUAAYACAAAACEAOP0h/9YAAACUAQAACwAAAAAAAAAAAAAAAAAvAQAAX3JlbHMvLnJlbHNQSwEC&#10;LQAUAAYACAAAACEASoC73j4DAACnBwAADgAAAAAAAAAAAAAAAAAuAgAAZHJzL2Uyb0RvYy54bWxQ&#10;SwECLQAUAAYACAAAACEAaq1iUd0AAAAHAQAADwAAAAAAAAAAAAAAAACY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8B062E" w:rsidRPr="0073581B" w:rsidRDefault="008B062E"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8B062E" w:rsidRPr="00E16925" w:rsidRDefault="008B062E"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62E" w:rsidRPr="002E105E" w:rsidRDefault="008B062E"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11840" behindDoc="1" locked="1" layoutInCell="1" allowOverlap="1" wp14:anchorId="2E5C86AD" wp14:editId="2EA7669A">
          <wp:simplePos x="0" y="0"/>
          <wp:positionH relativeFrom="column">
            <wp:posOffset>-46990</wp:posOffset>
          </wp:positionH>
          <wp:positionV relativeFrom="page">
            <wp:posOffset>217805</wp:posOffset>
          </wp:positionV>
          <wp:extent cx="1282700" cy="1022985"/>
          <wp:effectExtent l="0" t="0" r="0" b="5715"/>
          <wp:wrapNone/>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62E" w:rsidRPr="002E105E" w:rsidRDefault="00B24905"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Jul</w:t>
    </w:r>
    <w:r w:rsidR="008B062E">
      <w:rPr>
        <w:rFonts w:ascii="Times New Roman" w:hAnsi="Times New Roman" w:cs="Times New Roman"/>
        <w:color w:val="1F497D" w:themeColor="text2"/>
        <w:sz w:val="20"/>
        <w:lang w:val="es-MX"/>
      </w:rPr>
      <w:t>io</w:t>
    </w:r>
    <w:r w:rsidR="008B062E" w:rsidRPr="002E105E">
      <w:rPr>
        <w:rFonts w:ascii="Times New Roman" w:hAnsi="Times New Roman" w:cs="Times New Roman"/>
        <w:color w:val="1F497D" w:themeColor="text2"/>
        <w:sz w:val="20"/>
        <w:lang w:val="es-MX"/>
      </w:rPr>
      <w:t xml:space="preserve"> 2021</w:t>
    </w:r>
  </w:p>
  <w:p w:rsidR="008B062E" w:rsidRDefault="008B062E"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10816" behindDoc="0" locked="0" layoutInCell="1" allowOverlap="1" wp14:anchorId="6717EDEC" wp14:editId="1C0F579F">
              <wp:simplePos x="0" y="0"/>
              <wp:positionH relativeFrom="column">
                <wp:posOffset>1352514</wp:posOffset>
              </wp:positionH>
              <wp:positionV relativeFrom="paragraph">
                <wp:posOffset>12472</wp:posOffset>
              </wp:positionV>
              <wp:extent cx="4744528" cy="45719"/>
              <wp:effectExtent l="38100" t="38100" r="56515" b="88265"/>
              <wp:wrapNone/>
              <wp:docPr id="27"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A4B6E" id="11 Rectángulo" o:spid="_x0000_s1026" style="position:absolute;margin-left:106.5pt;margin-top:1pt;width:373.6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U+PQMAAKcHAAAOAAAAZHJzL2Uyb0RvYy54bWysVdlOGzEUfa/Uf7D8XmYhaSBigiIQVSVa&#10;EKHi+cbjWVSP7drOQv+m39If67U9GQKNEKr6MnNtn7v43MVn59tOkDU3tlWyoNlRSgmXTJWtrAv6&#10;7f7qwwkl1oEsQSjJC/rILT2fvX93ttFTnqtGiZIbgkaknW50QRvn9DRJLGt4B/ZIaS7xsFKmA4dL&#10;UyelgQ1a70SSp+nHZKNMqY1i3FrcvYyHdBbsVxVn7qaqLHdEFBRjc+Frwnfpv8nsDKa1Ad20rA8D&#10;/iGKDlqJTgdTl+CArEz7l6muZUZZVbkjprpEVVXLeLgD3iZLX9xm0YDm4S5IjtUDTfb/mWVf17eG&#10;tGVB8wklEjrMUZaROyTu9y9Zr4TyFG20nSJyoW9Nv7Io+vtuK9P5P96EbAOtjwOtfOsIw83RZDQa&#10;51gIDM9G40l26m0mT8raWPeJq454oaAGnQcyYX1tXYTuID3H5VUrRJAtQqJAtEJijvNxmgftUEP8&#10;QhiyBsw+MMaly3rXtd1XmuSnaXpIaVlHW2LVfVFlNIRQBMewBh/hPs+N5iOP824GVDTgjUb15woH&#10;wa+FPQ6RHPDwmlLmld7oCnNU7wgWrSTguxrbyDIQHGtmYNPAkBEhfUBS+QzFW8YdHrqxz5ZaOW4W&#10;TbkhS7Eyd4C2xukJhkXK1pfA8QmG6RfYqvkkRkxA1DhjnKDEKPfQuib0hw/Ie/QVMiR7KYB9D9sg&#10;dAORd5+PXeJ6dEjbEExY7cWZ+LqPlR4k9yi4dyXkHa+wabC2Xy21kJkGSh79x3QdKpxg0KMrJG2w&#10;nR0qnuep7fFeNcY9KL8hw4NG8KykG5S7VipzyLsYGqiKeKRsjxovLlX5iCMFUxRLRbOrFlNzDdbd&#10;gsHhinnFB8Pd4KcSalNQ1UuUNMr8PLTv8Tjz8JSSDQ7rgtofKzCcEvFZYtOfZqMRmnVhgRMmx4XZ&#10;P1nun8hVd6FwImRYyJoF0eOd2ImVUd0Dvitz7xWPQDL0XVDmzG5x4eIjgi8T4/N5gOFE1+Cu5UIz&#10;b9yz6svsfvsARvezzeFQ/Kp2gx2mL0ZcxHpNqeYrp6o2zL8nXnu+8TUIxdq/XP652V8H1NP7OvsD&#10;AAD//wMAUEsDBBQABgAIAAAAIQBqrWJR3QAAAAcBAAAPAAAAZHJzL2Rvd25yZXYueG1sTI/BTsMw&#10;DIbvSLxDZKRdEEtapAlK02lCQjsMIdj2AFnjtdUSpzTpVnh6zAlO/q3f/v25XE7eiTMOsQukIZsr&#10;EEh1sB01Gva7l7sHEDEZssYFQg1fGGFZXV+VprDhQh943qZGcAjFwmhoU+oLKWPdojdxHnok9o5h&#10;8CZxOzTSDubC4d7JXKmF9KYjvtCaHp9brE/b0TPGm5Pr1Tr7/lSb+Hpq3kfVHW+1nt1MqycQCaf0&#10;Nwy/+LwDFTMdwkg2Cqchz+75l8SCC/uPC5WDOLDIQVal/M9f/QAAAP//AwBQSwECLQAUAAYACAAA&#10;ACEAtoM4kv4AAADhAQAAEwAAAAAAAAAAAAAAAAAAAAAAW0NvbnRlbnRfVHlwZXNdLnhtbFBLAQIt&#10;ABQABgAIAAAAIQA4/SH/1gAAAJQBAAALAAAAAAAAAAAAAAAAAC8BAABfcmVscy8ucmVsc1BLAQIt&#10;ABQABgAIAAAAIQCiEAU+PQMAAKcHAAAOAAAAAAAAAAAAAAAAAC4CAABkcnMvZTJvRG9jLnhtbFBL&#10;AQItABQABgAIAAAAIQBqrWJR3QAAAAcBAAAPAAAAAAAAAAAAAAAAAJcFAABkcnMvZG93bnJldi54&#10;bWxQSwUGAAAAAAQABADzAAAAoQ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8B062E" w:rsidRPr="0073581B" w:rsidRDefault="008B062E"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8B062E" w:rsidRPr="00E16925" w:rsidRDefault="008B062E"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62E" w:rsidRPr="002E105E" w:rsidRDefault="008B062E"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14912" behindDoc="1" locked="1" layoutInCell="1" allowOverlap="1" wp14:anchorId="5C9B1988" wp14:editId="452F5065">
          <wp:simplePos x="0" y="0"/>
          <wp:positionH relativeFrom="column">
            <wp:posOffset>-46990</wp:posOffset>
          </wp:positionH>
          <wp:positionV relativeFrom="page">
            <wp:posOffset>217805</wp:posOffset>
          </wp:positionV>
          <wp:extent cx="1282700" cy="1022985"/>
          <wp:effectExtent l="0" t="0" r="0" b="5715"/>
          <wp:wrapNone/>
          <wp:docPr id="2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62E" w:rsidRPr="002E105E" w:rsidRDefault="008B062E"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Junio</w:t>
    </w:r>
    <w:r w:rsidRPr="002E105E">
      <w:rPr>
        <w:rFonts w:ascii="Times New Roman" w:hAnsi="Times New Roman" w:cs="Times New Roman"/>
        <w:color w:val="1F497D" w:themeColor="text2"/>
        <w:sz w:val="20"/>
        <w:lang w:val="es-MX"/>
      </w:rPr>
      <w:t xml:space="preserve"> 2021</w:t>
    </w:r>
  </w:p>
  <w:p w:rsidR="008B062E" w:rsidRDefault="008B062E"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13888" behindDoc="0" locked="0" layoutInCell="1" allowOverlap="1" wp14:anchorId="432C124D" wp14:editId="0CC6E520">
              <wp:simplePos x="0" y="0"/>
              <wp:positionH relativeFrom="column">
                <wp:posOffset>1352514</wp:posOffset>
              </wp:positionH>
              <wp:positionV relativeFrom="paragraph">
                <wp:posOffset>12472</wp:posOffset>
              </wp:positionV>
              <wp:extent cx="4744528" cy="45719"/>
              <wp:effectExtent l="38100" t="38100" r="56515" b="88265"/>
              <wp:wrapNone/>
              <wp:docPr id="29"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CA931" id="11 Rectángulo" o:spid="_x0000_s1026" style="position:absolute;margin-left:106.5pt;margin-top:1pt;width:373.6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YDPgMAAKcHAAAOAAAAZHJzL2Uyb0RvYy54bWysVclu2zAQvRfoPxC8N1pi17EROTASpCiQ&#10;NkGcIucxRVlCKZIl6a1/02/pj3VIyoqTGkFQ9CINyTcL3yw8v9i2gqy5sY2SBc1OUkq4ZKps5LKg&#10;3x6uP5xRYh3IEoSSvKA7bunF9P27842e8FzVSpTcEDQi7WSjC1o7pydJYlnNW7AnSnOJh5UyLThc&#10;mmVSGtig9VYkeZp+TDbKlNooxq3F3at4SKfBflVx5m6rynJHREExNhe+JnwX/ptMz2GyNKDrhnVh&#10;wD9E0UIj0Wlv6gockJVp/jLVNswoqyp3wlSbqKpqGA93wNtk6YvbzGvQPNwFybG6p8n+P7Ps6/rO&#10;kKYsaD6mREKLOcoyco/E/f4llyuhPEUbbSeInOs7060siv6+28q0/o83IdtA666nlW8dYbg5GA0G&#10;wxwLgeHZYDjKxt5m8qSsjXWfuGqJFwpq0HkgE9Y31kXoHtJxXF43QgTZIiQKRCsk5jQfpnnQDjXE&#10;L4Uha8DsA2NcuqxzvbSHSqN8nKbHlBbLaEus2i+qjIYQiuAYVu8j3Oe50Xzgcd5Nj4oGvNGo/lzh&#10;KPi1sIchkiMeXlPKvNIbXWGOlnuCRSMJ+K7GNrIMBMea6dk00GdESB+QVD5D8ZZxh4du7LKlVo6b&#10;eV1uyEKszD2grWF6hmGRsvElcHqGYfoFtmo+ihETEEucMU5QYpR7bFwd+sMH5D36CumTvRDAvodt&#10;ELqGyLvPxz5xHTqkrQ8mrA7iTHzdx0oPktsJ7l0Jec8rbBqs7VdLLWSmhpJH/zFdxwonGPToCknr&#10;bWfHiud5aju8V41x98pvyHCvETwr6XrltpHKHPMu+gaqIh4pO6DGiwtV7nCkYIpiqWh23WBqbsC6&#10;OzA4XDGv+GC4W/xUQm0KqjqJklqZn8f2PR5nHp5SssFhXVD7YwWGUyI+S2z6cTYYoFkXFjhhclyY&#10;w5PF4YlctZcKJ0KGhaxZED3eib1YGdU+4rsy817xCCRD3wVlzuwXly4+IvgyMT6bBRhOdA3uRs41&#10;88Y9q77MHraPYHQ32xwOxa9qP9hh8mLERazXlGq2cqpqwvx74rXjG1+DUKzdy+Wfm8N1QD29r9M/&#10;AAAA//8DAFBLAwQUAAYACAAAACEAaq1iUd0AAAAHAQAADwAAAGRycy9kb3ducmV2LnhtbEyPwU7D&#10;MAyG70i8Q2SkXRBLWqQJStNpQkI7DCHY9gBZ47XVEqc06VZ4eswJTv6t3/79uVxO3okzDrELpCGb&#10;KxBIdbAdNRr2u5e7BxAxGbLGBUINXxhhWV1flaaw4UIfeN6mRnAIxcJoaFPqCylj3aI3cR56JPaO&#10;YfAmcTs00g7mwuHeyVyphfSmI77Qmh6fW6xP29EzxpuT69U6+/5Um/h6at5H1R1vtZ7dTKsnEAmn&#10;9DcMv/i8AxUzHcJINgqnIc/u+ZfEggv7jwuVgziwyEFWpfzPX/0AAAD//wMAUEsBAi0AFAAGAAgA&#10;AAAhALaDOJL+AAAA4QEAABMAAAAAAAAAAAAAAAAAAAAAAFtDb250ZW50X1R5cGVzXS54bWxQSwEC&#10;LQAUAAYACAAAACEAOP0h/9YAAACUAQAACwAAAAAAAAAAAAAAAAAvAQAAX3JlbHMvLnJlbHNQSwEC&#10;LQAUAAYACAAAACEAD73mAz4DAACnBwAADgAAAAAAAAAAAAAAAAAuAgAAZHJzL2Uyb0RvYy54bWxQ&#10;SwECLQAUAAYACAAAACEAaq1iUd0AAAAHAQAADwAAAAAAAAAAAAAAAACY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8B062E" w:rsidRPr="0073581B" w:rsidRDefault="008B062E"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8B062E" w:rsidRPr="007452E2" w:rsidRDefault="008B062E"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61B" w:rsidRPr="002E105E" w:rsidRDefault="00DD761B" w:rsidP="00DD761B">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30272" behindDoc="1" locked="1" layoutInCell="1" allowOverlap="1" wp14:anchorId="56DF3A7E" wp14:editId="4CD3E66A">
          <wp:simplePos x="0" y="0"/>
          <wp:positionH relativeFrom="column">
            <wp:posOffset>-46990</wp:posOffset>
          </wp:positionH>
          <wp:positionV relativeFrom="page">
            <wp:posOffset>217805</wp:posOffset>
          </wp:positionV>
          <wp:extent cx="1282700" cy="1022985"/>
          <wp:effectExtent l="0" t="0" r="0" b="5715"/>
          <wp:wrapNone/>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761B" w:rsidRPr="002E105E" w:rsidRDefault="00DD761B" w:rsidP="00DD761B">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Julio</w:t>
    </w:r>
    <w:r w:rsidRPr="002E105E">
      <w:rPr>
        <w:rFonts w:ascii="Times New Roman" w:hAnsi="Times New Roman" w:cs="Times New Roman"/>
        <w:color w:val="1F497D" w:themeColor="text2"/>
        <w:sz w:val="20"/>
        <w:lang w:val="es-MX"/>
      </w:rPr>
      <w:t xml:space="preserve"> 2021</w:t>
    </w:r>
  </w:p>
  <w:p w:rsidR="00DD761B" w:rsidRDefault="00DD761B" w:rsidP="00DD761B">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29248" behindDoc="0" locked="0" layoutInCell="1" allowOverlap="1" wp14:anchorId="783B46E6" wp14:editId="151BCFF5">
              <wp:simplePos x="0" y="0"/>
              <wp:positionH relativeFrom="column">
                <wp:posOffset>1352514</wp:posOffset>
              </wp:positionH>
              <wp:positionV relativeFrom="paragraph">
                <wp:posOffset>12472</wp:posOffset>
              </wp:positionV>
              <wp:extent cx="4744528" cy="45719"/>
              <wp:effectExtent l="38100" t="38100" r="56515" b="88265"/>
              <wp:wrapNone/>
              <wp:docPr id="254"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67F7B" id="11 Rectángulo" o:spid="_x0000_s1026" style="position:absolute;margin-left:106.5pt;margin-top:1pt;width:373.6pt;height:3.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4VPwMAAKgHAAAOAAAAZHJzL2Uyb0RvYy54bWysVd1O2zAUvp+0d7B8P9KEdEBFiioQ0yQ2&#10;EGXi2nWcJppje7bTn73NnmUvtnPsNBRWITTtJjm2v/Pj7/z4/GLTSrIS1jVaFTQ9GlEiFNdlo5YF&#10;/fZw/eGUEueZKpnUShR0Kxy9mL5/d742E5HpWstSWAJGlJusTUFr780kSRyvRcvckTZCwWGlbcs8&#10;LO0yKS1bg/VWJtlo9DFZa1saq7lwDnav4iGdBvtVJbi/rSonPJEFhdh8+NrwXeA3mZ6zydIyUze8&#10;D4P9QxQtaxQ4HUxdMc9IZ5u/TLUNt9rpyh9x3Sa6qhouwh3gNunoxW3mNTMi3AXIcWagyf0/s/zr&#10;6s6SpixoNs4pUayFJKUpuQfmfv9Sy05q5Ght3ASgc3Nn+5UDES+8qWyLf7gK2QRetwOvYuMJh838&#10;JM/HGVQCh7N8fJKeoc3kSdlY5z8J3RIUCmrBeWCTrW6cj9AdpCe5vG6kDLIDSBSI0cDMcTYeZUE7&#10;FJG4lJasGKSfcS6UT3vXS7evdJKdjUaHlBbLaEt27RddRkMABXAMa/AR7vPcaJYjDt0MqGgAjUb1&#10;5woHwa+FPQ6RHPDwmlKKSm90BTla7giWjSIM2xr6yHEmBRTNwKZlQ0akwoCUxgzFW8YdEdqxz5bu&#10;vLDzulyThezsPQNb49EphEXKBkvg+BTCxAX0anYSIyZMLmHIeEmJ1f6x8XVoEAwIPWKFDMleSMa/&#10;h20mTc0i75iPXeJ6dEjbEExY7cWZYN3HSg+S30qBrqS6FxV0DdT2q6UWMlOzUkT/MV2HCicYRHQF&#10;pA2200PF8zy1PR5VY9yD8hsyPGgEz1r5QbltlLaHvMuhgaqIB8r2qEFxocstzBRIUSwVw68bSM0N&#10;c/6OWZiukFd4MfwtfCqp1wXVvURJre3PQ/uIh6EHp5SsYVoX1P3omBWUyM8Kmv4szXMw68MCJkwG&#10;C7t/stg/UV17qWEipFDIhgcR8V7uxMrq9hEelhl6hSOmOPguKPd2t7j08RWBp4mL2SzAYKQb5m/U&#10;3HA0jqximT1sHpk1/WzzMBS/6t1kZ5MXIy5iUVPpWed11YT598Rrzzc8B6FY+6cL35v9dUA9PbDT&#10;PwAAAP//AwBQSwMEFAAGAAgAAAAhAGqtYlHdAAAABwEAAA8AAABkcnMvZG93bnJldi54bWxMj8FO&#10;wzAMhu9IvENkpF0QS1qkCUrTaUJCOwwh2PYAWeO11RKnNOlWeHrMCU7+rd/+/blcTt6JMw6xC6Qh&#10;mysQSHWwHTUa9ruXuwcQMRmyxgVCDV8YYVldX5WmsOFCH3jepkZwCMXCaGhT6gspY92iN3EeeiT2&#10;jmHwJnE7NNIO5sLh3slcqYX0piO+0Joen1usT9vRM8abk+vVOvv+VJv4emreR9Udb7We3UyrJxAJ&#10;p/Q3DL/4vAMVMx3CSDYKpyHP7vmXxIIL+48LlYM4sMhBVqX8z1/9AAAA//8DAFBLAQItABQABgAI&#10;AAAAIQC2gziS/gAAAOEBAAATAAAAAAAAAAAAAAAAAAAAAABbQ29udGVudF9UeXBlc10ueG1sUEsB&#10;Ai0AFAAGAAgAAAAhADj9If/WAAAAlAEAAAsAAAAAAAAAAAAAAAAALwEAAF9yZWxzLy5yZWxzUEsB&#10;Ai0AFAAGAAgAAAAhACyAfhU/AwAAqAcAAA4AAAAAAAAAAAAAAAAALgIAAGRycy9lMm9Eb2MueG1s&#10;UEsBAi0AFAAGAAgAAAAhAGqtYlHdAAAABwEAAA8AAAAAAAAAAAAAAAAAmQ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DD761B" w:rsidRPr="0073581B" w:rsidRDefault="00DD761B" w:rsidP="00DD761B">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8B062E" w:rsidRPr="00E16925" w:rsidRDefault="008B062E"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62E" w:rsidRPr="002E105E" w:rsidRDefault="008B062E" w:rsidP="00C77E67">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27200" behindDoc="1" locked="1" layoutInCell="1" allowOverlap="1" wp14:anchorId="1D4E28AD" wp14:editId="5A7B27FC">
          <wp:simplePos x="0" y="0"/>
          <wp:positionH relativeFrom="column">
            <wp:posOffset>-46990</wp:posOffset>
          </wp:positionH>
          <wp:positionV relativeFrom="page">
            <wp:posOffset>217805</wp:posOffset>
          </wp:positionV>
          <wp:extent cx="1282700" cy="1022985"/>
          <wp:effectExtent l="0" t="0" r="0" b="5715"/>
          <wp:wrapNone/>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62E" w:rsidRPr="002E105E" w:rsidRDefault="008B062E" w:rsidP="00C77E67">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Junio</w:t>
    </w:r>
    <w:r w:rsidRPr="002E105E">
      <w:rPr>
        <w:rFonts w:ascii="Times New Roman" w:hAnsi="Times New Roman" w:cs="Times New Roman"/>
        <w:color w:val="1F497D" w:themeColor="text2"/>
        <w:sz w:val="20"/>
        <w:lang w:val="es-MX"/>
      </w:rPr>
      <w:t xml:space="preserve"> 2021</w:t>
    </w:r>
  </w:p>
  <w:p w:rsidR="008B062E" w:rsidRDefault="008B062E" w:rsidP="00C77E67">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26176" behindDoc="0" locked="0" layoutInCell="1" allowOverlap="1" wp14:anchorId="41B9DA68" wp14:editId="11FCA080">
              <wp:simplePos x="0" y="0"/>
              <wp:positionH relativeFrom="column">
                <wp:posOffset>1352514</wp:posOffset>
              </wp:positionH>
              <wp:positionV relativeFrom="paragraph">
                <wp:posOffset>12472</wp:posOffset>
              </wp:positionV>
              <wp:extent cx="4744528" cy="45719"/>
              <wp:effectExtent l="38100" t="38100" r="56515" b="88265"/>
              <wp:wrapNone/>
              <wp:docPr id="6"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5B540" id="11 Rectángulo" o:spid="_x0000_s1026" style="position:absolute;margin-left:106.5pt;margin-top:1pt;width:373.6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qAPQMAAKYHAAAOAAAAZHJzL2Uyb0RvYy54bWysVdtOGzEQfa/Uf7D8XvZCQiBigyIQVSUK&#10;iFDxPPF6s6t6bdd2bv2bfkt/rGN7swQaIVT1ZXdsn7n4zMXnF5tWkBU3tlGyoNlRSgmXTJWNXBT0&#10;2+P1p1NKrANZglCSF3TLLb2YfPxwvtZjnqtaiZIbgkakHa91QWvn9DhJLKt5C/ZIaS7xsFKmBYdL&#10;s0hKA2u03ookT9OTZK1MqY1i3FrcvYqHdBLsVxVn7q6qLHdEFBRjc+Frwnfuv8nkHMYLA7puWBcG&#10;/EMULTQSnfamrsABWZrmL1Ntw4yyqnJHTLWJqqqG8XAHvE2WvrrNrAbNw12QHKt7muz/M8tuV/eG&#10;NGVBTyiR0GKKsow8IG+/f8nFUijP0FrbMQJn+t50K4uiv+6mMq3/40XIJrC67VnlG0cYbg5Gg8Ew&#10;xzpgeDYYjrIzbzN5VtbGus9ctcQLBTXoPHAJqxvrInQH6SgurxshgmwREgWiFfJynA/TPGiHEuKX&#10;wpAVYPKBMS5d1rle2H2lUX6WpoeU5otoSyzbr6qMhhCK4BhW7yPc56XRfOBx3k2Piga80aj+UuEg&#10;+K2whyGSAx7eUsq80jtdYY4WO4JFIwn4psYusgwEx5Lp2TTQZ0RIH5BUPkPxlnGHh2bssqWWjptZ&#10;Xa7JXCzNA6CtYXqKYZGy8SVwfIph+gV2aj6KERMQCxwxTlBilHtqXB3awwfkPfoK6ZM9F8C+h20Q&#10;uobIu8/HLnEdOqStDyas9uJMfN3HSg+S2wruXQn5wCvsGaztN0stZKaGkkf/MV2HCicY9OgKSett&#10;Z4eK52VqO7xXjXH3yu/IcK8RPCvpeuW2kcoc8i76BqoiHinbo8aLc1VucaJgimKpaHbdYGpuwLp7&#10;MDhbMa/4Xrg7/FRCrQuqOomSWpmfh/Y9HkcenlKyxlldUPtjCYZTIr5IbPqzbDBAsy4scMLkuDD7&#10;J/P9E7lsLxVOhAwLWbMgerwTO7Eyqn3CZ2XqveIRSIa+C8qc2S0uXXxD8GFifDoNMBzoGtyNnGnm&#10;jXtWfZk9bp7A6G62ORyKt2o312H8asRFrNeUarp0qmrC/HvmteMbH4NQrN3D5V+b/XVAPT+vkz8A&#10;AAD//wMAUEsDBBQABgAIAAAAIQBqrWJR3QAAAAcBAAAPAAAAZHJzL2Rvd25yZXYueG1sTI/BTsMw&#10;DIbvSLxDZKRdEEtapAlK02lCQjsMIdj2AFnjtdUSpzTpVnh6zAlO/q3f/v25XE7eiTMOsQukIZsr&#10;EEh1sB01Gva7l7sHEDEZssYFQg1fGGFZXV+VprDhQh943qZGcAjFwmhoU+oLKWPdojdxHnok9o5h&#10;8CZxOzTSDubC4d7JXKmF9KYjvtCaHp9brE/b0TPGm5Pr1Tr7/lSb+Hpq3kfVHW+1nt1MqycQCaf0&#10;Nwy/+LwDFTMdwkg2Cqchz+75l8SCC/uPC5WDOLDIQVal/M9f/QAAAP//AwBQSwECLQAUAAYACAAA&#10;ACEAtoM4kv4AAADhAQAAEwAAAAAAAAAAAAAAAAAAAAAAW0NvbnRlbnRfVHlwZXNdLnhtbFBLAQIt&#10;ABQABgAIAAAAIQA4/SH/1gAAAJQBAAALAAAAAAAAAAAAAAAAAC8BAABfcmVscy8ucmVsc1BLAQIt&#10;ABQABgAIAAAAIQCD3bqAPQMAAKYHAAAOAAAAAAAAAAAAAAAAAC4CAABkcnMvZTJvRG9jLnhtbFBL&#10;AQItABQABgAIAAAAIQBqrWJR3QAAAAcBAAAPAAAAAAAAAAAAAAAAAJcFAABkcnMvZG93bnJldi54&#10;bWxQSwUGAAAAAAQABADzAAAAoQ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8B062E" w:rsidRPr="0073581B" w:rsidRDefault="008B062E" w:rsidP="00C77E67">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8B062E" w:rsidRPr="00E16925" w:rsidRDefault="008B062E" w:rsidP="00E16925">
    <w:pPr>
      <w:pStyle w:val="Encabezado"/>
      <w:rPr>
        <w:rFonts w:ascii="Times New Roman" w:hAnsi="Times New Roman" w:cs="Times New Roman"/>
        <w:lang w:val="es-MX"/>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62E" w:rsidRPr="002E105E" w:rsidRDefault="008B062E" w:rsidP="00234F86">
    <w:pPr>
      <w:pStyle w:val="Encabezado"/>
      <w:jc w:val="right"/>
      <w:rPr>
        <w:rFonts w:ascii="Times New Roman" w:hAnsi="Times New Roman" w:cs="Times New Roman"/>
        <w:b/>
        <w:color w:val="1F497D" w:themeColor="text2"/>
        <w:lang w:val="es-MX"/>
      </w:rPr>
    </w:pPr>
    <w:r w:rsidRPr="002E105E">
      <w:rPr>
        <w:rFonts w:ascii="Times New Roman" w:hAnsi="Times New Roman" w:cs="Times New Roman"/>
        <w:b/>
        <w:color w:val="1F497D" w:themeColor="text2"/>
        <w:lang w:val="es-MX"/>
      </w:rPr>
      <w:t>Informe de las Finanzas Públicas</w:t>
    </w:r>
    <w:r w:rsidRPr="002E105E">
      <w:rPr>
        <w:noProof/>
        <w:sz w:val="20"/>
        <w:lang w:eastAsia="es-GT"/>
      </w:rPr>
      <w:drawing>
        <wp:anchor distT="0" distB="0" distL="114300" distR="114300" simplePos="0" relativeHeight="251821056" behindDoc="1" locked="1" layoutInCell="1" allowOverlap="1" wp14:anchorId="06F4E8AB" wp14:editId="7C8E9BF8">
          <wp:simplePos x="0" y="0"/>
          <wp:positionH relativeFrom="column">
            <wp:posOffset>-46990</wp:posOffset>
          </wp:positionH>
          <wp:positionV relativeFrom="page">
            <wp:posOffset>217805</wp:posOffset>
          </wp:positionV>
          <wp:extent cx="1282700" cy="1022985"/>
          <wp:effectExtent l="0" t="0" r="0" b="5715"/>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282700"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62E" w:rsidRPr="002E105E" w:rsidRDefault="00B24905" w:rsidP="00234F86">
    <w:pPr>
      <w:pStyle w:val="Encabezado"/>
      <w:jc w:val="right"/>
      <w:rPr>
        <w:rFonts w:ascii="Times New Roman" w:hAnsi="Times New Roman" w:cs="Times New Roman"/>
        <w:color w:val="1F497D" w:themeColor="text2"/>
        <w:sz w:val="20"/>
        <w:lang w:val="es-MX"/>
      </w:rPr>
    </w:pPr>
    <w:r>
      <w:rPr>
        <w:rFonts w:ascii="Times New Roman" w:hAnsi="Times New Roman" w:cs="Times New Roman"/>
        <w:color w:val="1F497D" w:themeColor="text2"/>
        <w:sz w:val="20"/>
        <w:lang w:val="es-MX"/>
      </w:rPr>
      <w:t>Jul</w:t>
    </w:r>
    <w:r w:rsidR="008B062E">
      <w:rPr>
        <w:rFonts w:ascii="Times New Roman" w:hAnsi="Times New Roman" w:cs="Times New Roman"/>
        <w:color w:val="1F497D" w:themeColor="text2"/>
        <w:sz w:val="20"/>
        <w:lang w:val="es-MX"/>
      </w:rPr>
      <w:t>io</w:t>
    </w:r>
    <w:r w:rsidR="008B062E" w:rsidRPr="002E105E">
      <w:rPr>
        <w:rFonts w:ascii="Times New Roman" w:hAnsi="Times New Roman" w:cs="Times New Roman"/>
        <w:color w:val="1F497D" w:themeColor="text2"/>
        <w:sz w:val="20"/>
        <w:lang w:val="es-MX"/>
      </w:rPr>
      <w:t xml:space="preserve"> 2021</w:t>
    </w:r>
  </w:p>
  <w:p w:rsidR="008B062E" w:rsidRDefault="008B062E" w:rsidP="00234F86">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820032" behindDoc="0" locked="0" layoutInCell="1" allowOverlap="1" wp14:anchorId="06026D9C" wp14:editId="2633BE88">
              <wp:simplePos x="0" y="0"/>
              <wp:positionH relativeFrom="column">
                <wp:posOffset>1352514</wp:posOffset>
              </wp:positionH>
              <wp:positionV relativeFrom="paragraph">
                <wp:posOffset>12472</wp:posOffset>
              </wp:positionV>
              <wp:extent cx="4744528" cy="45719"/>
              <wp:effectExtent l="38100" t="38100" r="56515" b="88265"/>
              <wp:wrapNone/>
              <wp:docPr id="234" name="11 Rectángulo"/>
              <wp:cNvGraphicFramePr/>
              <a:graphic xmlns:a="http://schemas.openxmlformats.org/drawingml/2006/main">
                <a:graphicData uri="http://schemas.microsoft.com/office/word/2010/wordprocessingShape">
                  <wps:wsp>
                    <wps:cNvSpPr/>
                    <wps:spPr>
                      <a:xfrm>
                        <a:off x="0" y="0"/>
                        <a:ext cx="4744528"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E89CE" id="11 Rectángulo" o:spid="_x0000_s1026" style="position:absolute;margin-left:106.5pt;margin-top:1pt;width:373.6pt;height:3.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ySPgMAAKgHAAAOAAAAZHJzL2Uyb0RvYy54bWysVdtO3DAQfa/Uf7D8XrIJ2QIrsmgFoqpE&#10;C2KpeJ51nIvq2K7tvfVv+i39sY7tbFjoCqGqL8nYPnPxmYvPLzadICtubKtkQdOjESVcMlW2si7o&#10;t4frD6eUWAeyBKEkL+iWW3oxff/ufK0nPFONEiU3BI1IO1nrgjbO6UmSWNbwDuyR0lziYaVMBw6X&#10;pk5KA2u03okkG40+JmtlSm0U49bi7lU8pNNgv6o4c7dVZbkjoqAYmwtfE74L/02m5zCpDeimZX0Y&#10;8A9RdNBKdDqYugIHZGnav0x1LTPKqsodMdUlqqpaxsMd8Dbp6MVt5g1oHu6C5Fg90GT/n1n2dXVn&#10;SFsWNDvOKZHQYZLSlNwjc79/yXoplOdore0EoXN9Z/qVRdFfeFOZzv/xKmQTeN0OvPKNIww385M8&#10;H2dYCQzP8vFJeuZtJk/K2lj3iauOeKGgBp0HNmF1Y12E7iA9yeV1K0SQLUKiQLRCZo6z8SgL2qGI&#10;+KUwZAWYfmCMS5f2rmu7r3SSnY1Gh5QWdbQllt0XVUZDCEVwDGvwEe7z3GiWe5x3M6CiAW80qj9X&#10;OAh+LexxiOSAh9eUUq/0RleYo3pHsGglAd/W2EeWgeBYNAObBoaMCOkDkspnKN4y7vDQjn221NJx&#10;M2/KNVmIpbkHtDUenWJYpGx9CRyfYph+gb2ancSICYgah4wTlBjlHlvXhAbxAXmPvkKGZC8EsO9h&#10;G4RuIPLu87FLXI8OaRuCCau9OBNf97HSg+S2gntXQt7zCrsGa/vVUguZaaDk0X9M16HCCQY9ukLS&#10;BtvpoeJ5ntoe71Vj3IPyGzI8aATPSrpBuWulMoe8i6GBqohHyvao8eJClVucKZiiWCqaXbeYmhuw&#10;7g4MTlfMK74Y7hY/lVDrgqpeoqRR5uehfY/HoYenlKxxWhfU/liC4ZSIzxKb/izNczTrwgInTIYL&#10;s3+y2D+Ry+5S4URIsZA1C6LHO7ETK6O6R3xYZt4rHoFk6LugzJnd4tLFVwSfJsZnswDDka7B3ci5&#10;Zt64Z9WX2cPmEYzuZ5vDofhV7SY7TF6MuIj1mlLNlk5VbZh/T7z2fONzEIq1f7r8e7O/DqinB3b6&#10;BwAA//8DAFBLAwQUAAYACAAAACEAaq1iUd0AAAAHAQAADwAAAGRycy9kb3ducmV2LnhtbEyPwU7D&#10;MAyG70i8Q2SkXRBLWqQJStNpQkI7DCHY9gBZ47XVEqc06VZ4eswJTv6t3/79uVxO3okzDrELpCGb&#10;KxBIdbAdNRr2u5e7BxAxGbLGBUINXxhhWV1flaaw4UIfeN6mRnAIxcJoaFPqCylj3aI3cR56JPaO&#10;YfAmcTs00g7mwuHeyVyphfSmI77Qmh6fW6xP29EzxpuT69U6+/5Um/h6at5H1R1vtZ7dTKsnEAmn&#10;9DcMv/i8AxUzHcJINgqnIc/u+ZfEggv7jwuVgziwyEFWpfzPX/0AAAD//wMAUEsBAi0AFAAGAAgA&#10;AAAhALaDOJL+AAAA4QEAABMAAAAAAAAAAAAAAAAAAAAAAFtDb250ZW50X1R5cGVzXS54bWxQSwEC&#10;LQAUAAYACAAAACEAOP0h/9YAAACUAQAACwAAAAAAAAAAAAAAAAAvAQAAX3JlbHMvLnJlbHNQSwEC&#10;LQAUAAYACAAAACEA2S9skj4DAACoBwAADgAAAAAAAAAAAAAAAAAuAgAAZHJzL2Uyb0RvYy54bWxQ&#10;SwECLQAUAAYACAAAACEAaq1iUd0AAAAHAQAADwAAAAAAAAAAAAAAAACY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8B062E" w:rsidRPr="0073581B" w:rsidRDefault="008B062E" w:rsidP="00234F86">
    <w:pPr>
      <w:pStyle w:val="Encabezado"/>
      <w:jc w:val="center"/>
      <w:rPr>
        <w:rFonts w:ascii="Times New Roman" w:hAnsi="Times New Roman" w:cs="Times New Roman"/>
        <w:b/>
        <w:lang w:val="es-MX"/>
      </w:rPr>
    </w:pPr>
    <w:r w:rsidRPr="0073581B">
      <w:rPr>
        <w:rFonts w:ascii="Times New Roman" w:hAnsi="Times New Roman" w:cs="Times New Roman"/>
        <w:b/>
        <w:color w:val="4F81BD" w:themeColor="accent1"/>
        <w:lang w:val="es-MX"/>
      </w:rPr>
      <w:t>Dirección de Análisis y Política Fiscal</w:t>
    </w:r>
  </w:p>
  <w:p w:rsidR="008B062E" w:rsidRPr="007452E2" w:rsidRDefault="008B062E"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E370CD0"/>
    <w:multiLevelType w:val="hybridMultilevel"/>
    <w:tmpl w:val="6AFCB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0">
    <w:nsid w:val="284F18C2"/>
    <w:multiLevelType w:val="hybridMultilevel"/>
    <w:tmpl w:val="60180018"/>
    <w:lvl w:ilvl="0" w:tplc="8DF2F090">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2FF1852"/>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34920911"/>
    <w:multiLevelType w:val="hybridMultilevel"/>
    <w:tmpl w:val="1104419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7515E66"/>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3AF330C7"/>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3FF856EE"/>
    <w:multiLevelType w:val="hybridMultilevel"/>
    <w:tmpl w:val="778483F6"/>
    <w:lvl w:ilvl="0" w:tplc="100A000F">
      <w:start w:val="1"/>
      <w:numFmt w:val="decimal"/>
      <w:lvlText w:val="%1."/>
      <w:lvlJc w:val="left"/>
      <w:pPr>
        <w:ind w:left="720" w:hanging="360"/>
      </w:pPr>
    </w:lvl>
    <w:lvl w:ilvl="1" w:tplc="0F9AD968">
      <w:start w:val="1"/>
      <w:numFmt w:val="lowerLetter"/>
      <w:lvlText w:val="%2."/>
      <w:lvlJc w:val="left"/>
      <w:pPr>
        <w:ind w:left="1440" w:hanging="360"/>
      </w:pPr>
      <w:rPr>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69506CB3"/>
    <w:multiLevelType w:val="hybridMultilevel"/>
    <w:tmpl w:val="E098E3D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6DAE7A0A"/>
    <w:multiLevelType w:val="hybridMultilevel"/>
    <w:tmpl w:val="F59ACDD0"/>
    <w:lvl w:ilvl="0" w:tplc="527E0502">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8"/>
  </w:num>
  <w:num w:numId="4">
    <w:abstractNumId w:val="1"/>
  </w:num>
  <w:num w:numId="5">
    <w:abstractNumId w:val="17"/>
  </w:num>
  <w:num w:numId="6">
    <w:abstractNumId w:val="21"/>
  </w:num>
  <w:num w:numId="7">
    <w:abstractNumId w:val="20"/>
  </w:num>
  <w:num w:numId="8">
    <w:abstractNumId w:val="3"/>
  </w:num>
  <w:num w:numId="9">
    <w:abstractNumId w:val="11"/>
  </w:num>
  <w:num w:numId="10">
    <w:abstractNumId w:val="6"/>
  </w:num>
  <w:num w:numId="11">
    <w:abstractNumId w:val="9"/>
  </w:num>
  <w:num w:numId="12">
    <w:abstractNumId w:val="7"/>
  </w:num>
  <w:num w:numId="13">
    <w:abstractNumId w:val="0"/>
  </w:num>
  <w:num w:numId="14">
    <w:abstractNumId w:val="2"/>
  </w:num>
  <w:num w:numId="15">
    <w:abstractNumId w:val="5"/>
  </w:num>
  <w:num w:numId="16">
    <w:abstractNumId w:val="19"/>
  </w:num>
  <w:num w:numId="17">
    <w:abstractNumId w:val="12"/>
  </w:num>
  <w:num w:numId="18">
    <w:abstractNumId w:val="18"/>
  </w:num>
  <w:num w:numId="19">
    <w:abstractNumId w:val="13"/>
  </w:num>
  <w:num w:numId="20">
    <w:abstractNumId w:val="14"/>
  </w:num>
  <w:num w:numId="21">
    <w:abstractNumId w:val="1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51"/>
    <w:rsid w:val="0000354D"/>
    <w:rsid w:val="000053A7"/>
    <w:rsid w:val="00006489"/>
    <w:rsid w:val="000064C3"/>
    <w:rsid w:val="000067B1"/>
    <w:rsid w:val="00010575"/>
    <w:rsid w:val="00013A7F"/>
    <w:rsid w:val="00013C63"/>
    <w:rsid w:val="0001606E"/>
    <w:rsid w:val="0001624A"/>
    <w:rsid w:val="00020E23"/>
    <w:rsid w:val="00022E98"/>
    <w:rsid w:val="00025121"/>
    <w:rsid w:val="00025788"/>
    <w:rsid w:val="00025D1E"/>
    <w:rsid w:val="0002628B"/>
    <w:rsid w:val="0002658D"/>
    <w:rsid w:val="00035835"/>
    <w:rsid w:val="000378CF"/>
    <w:rsid w:val="00040C99"/>
    <w:rsid w:val="00042B27"/>
    <w:rsid w:val="00045D0F"/>
    <w:rsid w:val="00045D14"/>
    <w:rsid w:val="00051776"/>
    <w:rsid w:val="00051A92"/>
    <w:rsid w:val="000530BD"/>
    <w:rsid w:val="00053517"/>
    <w:rsid w:val="0006261A"/>
    <w:rsid w:val="00063120"/>
    <w:rsid w:val="0006646A"/>
    <w:rsid w:val="00067F82"/>
    <w:rsid w:val="000704F4"/>
    <w:rsid w:val="000723B2"/>
    <w:rsid w:val="00072EEB"/>
    <w:rsid w:val="00074BC6"/>
    <w:rsid w:val="00076AB4"/>
    <w:rsid w:val="00076AD2"/>
    <w:rsid w:val="00076BF9"/>
    <w:rsid w:val="000802A8"/>
    <w:rsid w:val="00080B88"/>
    <w:rsid w:val="00080BD8"/>
    <w:rsid w:val="0008320B"/>
    <w:rsid w:val="0008348D"/>
    <w:rsid w:val="00084499"/>
    <w:rsid w:val="00087ADE"/>
    <w:rsid w:val="00091917"/>
    <w:rsid w:val="000A0A4F"/>
    <w:rsid w:val="000A6E8E"/>
    <w:rsid w:val="000B0279"/>
    <w:rsid w:val="000B20DC"/>
    <w:rsid w:val="000B568D"/>
    <w:rsid w:val="000B56CE"/>
    <w:rsid w:val="000B6744"/>
    <w:rsid w:val="000C1547"/>
    <w:rsid w:val="000C1FF2"/>
    <w:rsid w:val="000C21E1"/>
    <w:rsid w:val="000C2C25"/>
    <w:rsid w:val="000C4EC0"/>
    <w:rsid w:val="000C65AB"/>
    <w:rsid w:val="000D016D"/>
    <w:rsid w:val="000D2E0C"/>
    <w:rsid w:val="000D2FA4"/>
    <w:rsid w:val="000D489E"/>
    <w:rsid w:val="000E164F"/>
    <w:rsid w:val="000E43A8"/>
    <w:rsid w:val="000E5E43"/>
    <w:rsid w:val="000F1314"/>
    <w:rsid w:val="000F3B7F"/>
    <w:rsid w:val="000F4520"/>
    <w:rsid w:val="000F509C"/>
    <w:rsid w:val="000F5A9A"/>
    <w:rsid w:val="000F5F87"/>
    <w:rsid w:val="000F6E9F"/>
    <w:rsid w:val="000F7F65"/>
    <w:rsid w:val="00102939"/>
    <w:rsid w:val="00103DA9"/>
    <w:rsid w:val="001045CE"/>
    <w:rsid w:val="00106793"/>
    <w:rsid w:val="00107309"/>
    <w:rsid w:val="00110662"/>
    <w:rsid w:val="0011194C"/>
    <w:rsid w:val="00111B77"/>
    <w:rsid w:val="001178B6"/>
    <w:rsid w:val="00120C4D"/>
    <w:rsid w:val="001259BA"/>
    <w:rsid w:val="0013022C"/>
    <w:rsid w:val="0013312C"/>
    <w:rsid w:val="001339A4"/>
    <w:rsid w:val="00133DBA"/>
    <w:rsid w:val="0013436D"/>
    <w:rsid w:val="00136D08"/>
    <w:rsid w:val="0014167F"/>
    <w:rsid w:val="00142BF3"/>
    <w:rsid w:val="00142F1A"/>
    <w:rsid w:val="00143620"/>
    <w:rsid w:val="00145313"/>
    <w:rsid w:val="001463FC"/>
    <w:rsid w:val="00150585"/>
    <w:rsid w:val="00152798"/>
    <w:rsid w:val="001549AB"/>
    <w:rsid w:val="0015544F"/>
    <w:rsid w:val="00155A02"/>
    <w:rsid w:val="00156534"/>
    <w:rsid w:val="00156DE0"/>
    <w:rsid w:val="00157402"/>
    <w:rsid w:val="00157C3A"/>
    <w:rsid w:val="00160EAC"/>
    <w:rsid w:val="00163944"/>
    <w:rsid w:val="00171909"/>
    <w:rsid w:val="001735EE"/>
    <w:rsid w:val="001741D8"/>
    <w:rsid w:val="0017454D"/>
    <w:rsid w:val="00182730"/>
    <w:rsid w:val="00183309"/>
    <w:rsid w:val="00185253"/>
    <w:rsid w:val="001913A4"/>
    <w:rsid w:val="00196A44"/>
    <w:rsid w:val="001A0C82"/>
    <w:rsid w:val="001A27B3"/>
    <w:rsid w:val="001A3185"/>
    <w:rsid w:val="001A6038"/>
    <w:rsid w:val="001A790A"/>
    <w:rsid w:val="001A79F4"/>
    <w:rsid w:val="001A7B1C"/>
    <w:rsid w:val="001B1DBB"/>
    <w:rsid w:val="001B3984"/>
    <w:rsid w:val="001B3EEE"/>
    <w:rsid w:val="001B4A4C"/>
    <w:rsid w:val="001B5046"/>
    <w:rsid w:val="001C2FF5"/>
    <w:rsid w:val="001C3649"/>
    <w:rsid w:val="001C67EF"/>
    <w:rsid w:val="001C7451"/>
    <w:rsid w:val="001D0065"/>
    <w:rsid w:val="001D1406"/>
    <w:rsid w:val="001D3345"/>
    <w:rsid w:val="001D46C3"/>
    <w:rsid w:val="001D4C8E"/>
    <w:rsid w:val="001D5A5B"/>
    <w:rsid w:val="001E05BE"/>
    <w:rsid w:val="001E0E10"/>
    <w:rsid w:val="001E0F86"/>
    <w:rsid w:val="001E3B99"/>
    <w:rsid w:val="001E4CD2"/>
    <w:rsid w:val="001E61BB"/>
    <w:rsid w:val="001F1609"/>
    <w:rsid w:val="001F2EA3"/>
    <w:rsid w:val="001F34AD"/>
    <w:rsid w:val="001F4EE1"/>
    <w:rsid w:val="001F4F78"/>
    <w:rsid w:val="001F5240"/>
    <w:rsid w:val="001F5581"/>
    <w:rsid w:val="001F7141"/>
    <w:rsid w:val="00200FB1"/>
    <w:rsid w:val="00202594"/>
    <w:rsid w:val="0020377F"/>
    <w:rsid w:val="00205BF7"/>
    <w:rsid w:val="00207693"/>
    <w:rsid w:val="002101C9"/>
    <w:rsid w:val="00212A2C"/>
    <w:rsid w:val="00213C92"/>
    <w:rsid w:val="0021435D"/>
    <w:rsid w:val="00216605"/>
    <w:rsid w:val="0021693D"/>
    <w:rsid w:val="00216B0E"/>
    <w:rsid w:val="00216DA8"/>
    <w:rsid w:val="002215C9"/>
    <w:rsid w:val="00222598"/>
    <w:rsid w:val="00226B35"/>
    <w:rsid w:val="002302ED"/>
    <w:rsid w:val="00232A32"/>
    <w:rsid w:val="002335EE"/>
    <w:rsid w:val="00234F86"/>
    <w:rsid w:val="0023642A"/>
    <w:rsid w:val="00240D86"/>
    <w:rsid w:val="00242202"/>
    <w:rsid w:val="00242A7B"/>
    <w:rsid w:val="00244AAA"/>
    <w:rsid w:val="0025116F"/>
    <w:rsid w:val="002512EC"/>
    <w:rsid w:val="00252B28"/>
    <w:rsid w:val="0025608A"/>
    <w:rsid w:val="00256F02"/>
    <w:rsid w:val="002610FC"/>
    <w:rsid w:val="00261B5A"/>
    <w:rsid w:val="00261B7A"/>
    <w:rsid w:val="00262E76"/>
    <w:rsid w:val="00263007"/>
    <w:rsid w:val="00263CC4"/>
    <w:rsid w:val="00264C3A"/>
    <w:rsid w:val="00264FC5"/>
    <w:rsid w:val="002672D5"/>
    <w:rsid w:val="00270CAB"/>
    <w:rsid w:val="002719C8"/>
    <w:rsid w:val="00271EDC"/>
    <w:rsid w:val="00273E2C"/>
    <w:rsid w:val="002752BD"/>
    <w:rsid w:val="00275B04"/>
    <w:rsid w:val="00275F3F"/>
    <w:rsid w:val="00276250"/>
    <w:rsid w:val="0027637A"/>
    <w:rsid w:val="00276A28"/>
    <w:rsid w:val="00281439"/>
    <w:rsid w:val="00281FB7"/>
    <w:rsid w:val="0028212F"/>
    <w:rsid w:val="00292AD2"/>
    <w:rsid w:val="00292AD8"/>
    <w:rsid w:val="0029321A"/>
    <w:rsid w:val="00295365"/>
    <w:rsid w:val="002955BE"/>
    <w:rsid w:val="00296D57"/>
    <w:rsid w:val="0029751C"/>
    <w:rsid w:val="002977ED"/>
    <w:rsid w:val="002A076B"/>
    <w:rsid w:val="002A1EA0"/>
    <w:rsid w:val="002A5B1B"/>
    <w:rsid w:val="002A63DE"/>
    <w:rsid w:val="002A7979"/>
    <w:rsid w:val="002B5E9D"/>
    <w:rsid w:val="002B7644"/>
    <w:rsid w:val="002B769D"/>
    <w:rsid w:val="002C0021"/>
    <w:rsid w:val="002C2547"/>
    <w:rsid w:val="002C482A"/>
    <w:rsid w:val="002C4CB2"/>
    <w:rsid w:val="002C6478"/>
    <w:rsid w:val="002C68B8"/>
    <w:rsid w:val="002C7F2B"/>
    <w:rsid w:val="002D11E8"/>
    <w:rsid w:val="002D1C01"/>
    <w:rsid w:val="002D3469"/>
    <w:rsid w:val="002D54E6"/>
    <w:rsid w:val="002E105E"/>
    <w:rsid w:val="002E3F4C"/>
    <w:rsid w:val="002F0EAF"/>
    <w:rsid w:val="002F14AA"/>
    <w:rsid w:val="002F29DE"/>
    <w:rsid w:val="002F2A42"/>
    <w:rsid w:val="002F5408"/>
    <w:rsid w:val="002F7E08"/>
    <w:rsid w:val="002F7FDC"/>
    <w:rsid w:val="0030020D"/>
    <w:rsid w:val="003004FC"/>
    <w:rsid w:val="00302D40"/>
    <w:rsid w:val="00306038"/>
    <w:rsid w:val="0030695C"/>
    <w:rsid w:val="00312262"/>
    <w:rsid w:val="00312D85"/>
    <w:rsid w:val="0031651A"/>
    <w:rsid w:val="00321745"/>
    <w:rsid w:val="0032198D"/>
    <w:rsid w:val="00322CA5"/>
    <w:rsid w:val="00322ECC"/>
    <w:rsid w:val="00326005"/>
    <w:rsid w:val="00330A9D"/>
    <w:rsid w:val="00333949"/>
    <w:rsid w:val="00334324"/>
    <w:rsid w:val="00336F5B"/>
    <w:rsid w:val="003371DC"/>
    <w:rsid w:val="00340AB7"/>
    <w:rsid w:val="00343A5D"/>
    <w:rsid w:val="00345216"/>
    <w:rsid w:val="00346F8B"/>
    <w:rsid w:val="0034700C"/>
    <w:rsid w:val="003523F0"/>
    <w:rsid w:val="0035279B"/>
    <w:rsid w:val="003531E5"/>
    <w:rsid w:val="003551C3"/>
    <w:rsid w:val="003566E1"/>
    <w:rsid w:val="0036168D"/>
    <w:rsid w:val="003649D9"/>
    <w:rsid w:val="00364DD6"/>
    <w:rsid w:val="00366770"/>
    <w:rsid w:val="00367E12"/>
    <w:rsid w:val="0037150D"/>
    <w:rsid w:val="00374D44"/>
    <w:rsid w:val="003762C5"/>
    <w:rsid w:val="00376802"/>
    <w:rsid w:val="00376FE9"/>
    <w:rsid w:val="0038008D"/>
    <w:rsid w:val="003804E5"/>
    <w:rsid w:val="00381A4F"/>
    <w:rsid w:val="003844F4"/>
    <w:rsid w:val="0038488D"/>
    <w:rsid w:val="00385BA8"/>
    <w:rsid w:val="00387AFB"/>
    <w:rsid w:val="00393E59"/>
    <w:rsid w:val="0039499F"/>
    <w:rsid w:val="0039681F"/>
    <w:rsid w:val="003968DB"/>
    <w:rsid w:val="00397A6E"/>
    <w:rsid w:val="003A1300"/>
    <w:rsid w:val="003A3726"/>
    <w:rsid w:val="003A37AC"/>
    <w:rsid w:val="003A3AB5"/>
    <w:rsid w:val="003A72C9"/>
    <w:rsid w:val="003B00D2"/>
    <w:rsid w:val="003B13B4"/>
    <w:rsid w:val="003B1A93"/>
    <w:rsid w:val="003B24E3"/>
    <w:rsid w:val="003B7D31"/>
    <w:rsid w:val="003C3922"/>
    <w:rsid w:val="003C4892"/>
    <w:rsid w:val="003C7085"/>
    <w:rsid w:val="003D05CE"/>
    <w:rsid w:val="003D15F7"/>
    <w:rsid w:val="003D2128"/>
    <w:rsid w:val="003D2C99"/>
    <w:rsid w:val="003D38A7"/>
    <w:rsid w:val="003D557F"/>
    <w:rsid w:val="003D60E4"/>
    <w:rsid w:val="003D72D3"/>
    <w:rsid w:val="003D7EBA"/>
    <w:rsid w:val="003E25F8"/>
    <w:rsid w:val="003E2823"/>
    <w:rsid w:val="003E28F4"/>
    <w:rsid w:val="003E591D"/>
    <w:rsid w:val="003E70E0"/>
    <w:rsid w:val="003F0660"/>
    <w:rsid w:val="003F1E83"/>
    <w:rsid w:val="003F32A1"/>
    <w:rsid w:val="003F4609"/>
    <w:rsid w:val="003F7076"/>
    <w:rsid w:val="0040361C"/>
    <w:rsid w:val="004053C6"/>
    <w:rsid w:val="0040580B"/>
    <w:rsid w:val="00410690"/>
    <w:rsid w:val="0041262B"/>
    <w:rsid w:val="00413452"/>
    <w:rsid w:val="00413FBE"/>
    <w:rsid w:val="00416D41"/>
    <w:rsid w:val="00421BA0"/>
    <w:rsid w:val="0042387A"/>
    <w:rsid w:val="0042628E"/>
    <w:rsid w:val="00426F4F"/>
    <w:rsid w:val="00434FC6"/>
    <w:rsid w:val="00443336"/>
    <w:rsid w:val="00443385"/>
    <w:rsid w:val="00443621"/>
    <w:rsid w:val="00443689"/>
    <w:rsid w:val="004456FD"/>
    <w:rsid w:val="00447F4F"/>
    <w:rsid w:val="00450531"/>
    <w:rsid w:val="00451504"/>
    <w:rsid w:val="00452A5A"/>
    <w:rsid w:val="004552E3"/>
    <w:rsid w:val="004575BA"/>
    <w:rsid w:val="004606FD"/>
    <w:rsid w:val="00464DB9"/>
    <w:rsid w:val="004650C5"/>
    <w:rsid w:val="00465F37"/>
    <w:rsid w:val="00471B35"/>
    <w:rsid w:val="00474998"/>
    <w:rsid w:val="00474EC2"/>
    <w:rsid w:val="00476161"/>
    <w:rsid w:val="00480824"/>
    <w:rsid w:val="004830FD"/>
    <w:rsid w:val="004835C8"/>
    <w:rsid w:val="00483632"/>
    <w:rsid w:val="0048385B"/>
    <w:rsid w:val="00484E5F"/>
    <w:rsid w:val="00487136"/>
    <w:rsid w:val="00491F92"/>
    <w:rsid w:val="00492967"/>
    <w:rsid w:val="00494116"/>
    <w:rsid w:val="00494BC6"/>
    <w:rsid w:val="00494D1D"/>
    <w:rsid w:val="00495AED"/>
    <w:rsid w:val="00495C21"/>
    <w:rsid w:val="00495F43"/>
    <w:rsid w:val="00497DD6"/>
    <w:rsid w:val="004A28E4"/>
    <w:rsid w:val="004A3D32"/>
    <w:rsid w:val="004A3DB8"/>
    <w:rsid w:val="004A5011"/>
    <w:rsid w:val="004A6705"/>
    <w:rsid w:val="004A73AA"/>
    <w:rsid w:val="004B1E1A"/>
    <w:rsid w:val="004B336D"/>
    <w:rsid w:val="004B4B9F"/>
    <w:rsid w:val="004B5B0F"/>
    <w:rsid w:val="004B799B"/>
    <w:rsid w:val="004C208F"/>
    <w:rsid w:val="004C2A11"/>
    <w:rsid w:val="004C3B4E"/>
    <w:rsid w:val="004C71BC"/>
    <w:rsid w:val="004D0A0F"/>
    <w:rsid w:val="004D1F76"/>
    <w:rsid w:val="004D401E"/>
    <w:rsid w:val="004D4775"/>
    <w:rsid w:val="004D7482"/>
    <w:rsid w:val="004E01C1"/>
    <w:rsid w:val="004E23E4"/>
    <w:rsid w:val="004E358C"/>
    <w:rsid w:val="004E4FDE"/>
    <w:rsid w:val="004E54B7"/>
    <w:rsid w:val="004E5D0E"/>
    <w:rsid w:val="004E61EC"/>
    <w:rsid w:val="004F02B2"/>
    <w:rsid w:val="004F4F4D"/>
    <w:rsid w:val="004F72F9"/>
    <w:rsid w:val="005004C9"/>
    <w:rsid w:val="005016F6"/>
    <w:rsid w:val="005016F7"/>
    <w:rsid w:val="00502FD6"/>
    <w:rsid w:val="00506BDB"/>
    <w:rsid w:val="005077A5"/>
    <w:rsid w:val="00507E67"/>
    <w:rsid w:val="005104DC"/>
    <w:rsid w:val="00511C93"/>
    <w:rsid w:val="00512601"/>
    <w:rsid w:val="0051308A"/>
    <w:rsid w:val="00513134"/>
    <w:rsid w:val="005136F3"/>
    <w:rsid w:val="00514CFD"/>
    <w:rsid w:val="00515C51"/>
    <w:rsid w:val="00515CE6"/>
    <w:rsid w:val="00517930"/>
    <w:rsid w:val="00520351"/>
    <w:rsid w:val="00520FB0"/>
    <w:rsid w:val="005226CD"/>
    <w:rsid w:val="00523738"/>
    <w:rsid w:val="00527291"/>
    <w:rsid w:val="00530EAC"/>
    <w:rsid w:val="00532025"/>
    <w:rsid w:val="0053566F"/>
    <w:rsid w:val="005364DE"/>
    <w:rsid w:val="00541A32"/>
    <w:rsid w:val="005428C6"/>
    <w:rsid w:val="00544E9A"/>
    <w:rsid w:val="00546650"/>
    <w:rsid w:val="0055248B"/>
    <w:rsid w:val="005537D0"/>
    <w:rsid w:val="005550D8"/>
    <w:rsid w:val="0055590E"/>
    <w:rsid w:val="00561402"/>
    <w:rsid w:val="00573AB0"/>
    <w:rsid w:val="005755E9"/>
    <w:rsid w:val="00575DFA"/>
    <w:rsid w:val="00580066"/>
    <w:rsid w:val="00580234"/>
    <w:rsid w:val="00580D47"/>
    <w:rsid w:val="00582F9F"/>
    <w:rsid w:val="005831AA"/>
    <w:rsid w:val="00586745"/>
    <w:rsid w:val="005879A5"/>
    <w:rsid w:val="00591D14"/>
    <w:rsid w:val="005925BD"/>
    <w:rsid w:val="00592D6E"/>
    <w:rsid w:val="0059421A"/>
    <w:rsid w:val="005948F0"/>
    <w:rsid w:val="005958E9"/>
    <w:rsid w:val="0059655C"/>
    <w:rsid w:val="00596662"/>
    <w:rsid w:val="0059700F"/>
    <w:rsid w:val="005979EB"/>
    <w:rsid w:val="005A03A9"/>
    <w:rsid w:val="005A1EFC"/>
    <w:rsid w:val="005A34F5"/>
    <w:rsid w:val="005A6ACE"/>
    <w:rsid w:val="005A6F91"/>
    <w:rsid w:val="005B0E33"/>
    <w:rsid w:val="005B0E84"/>
    <w:rsid w:val="005B1B53"/>
    <w:rsid w:val="005B44D1"/>
    <w:rsid w:val="005B4E4C"/>
    <w:rsid w:val="005B6D05"/>
    <w:rsid w:val="005C103A"/>
    <w:rsid w:val="005C275E"/>
    <w:rsid w:val="005C4C97"/>
    <w:rsid w:val="005D2336"/>
    <w:rsid w:val="005D34FC"/>
    <w:rsid w:val="005D5151"/>
    <w:rsid w:val="005D51CA"/>
    <w:rsid w:val="005D6423"/>
    <w:rsid w:val="005D7AC4"/>
    <w:rsid w:val="005E4D76"/>
    <w:rsid w:val="005E6BD0"/>
    <w:rsid w:val="005E7E89"/>
    <w:rsid w:val="005F01EF"/>
    <w:rsid w:val="005F04EC"/>
    <w:rsid w:val="005F18DE"/>
    <w:rsid w:val="005F470C"/>
    <w:rsid w:val="005F493D"/>
    <w:rsid w:val="005F591A"/>
    <w:rsid w:val="0060094A"/>
    <w:rsid w:val="0060136C"/>
    <w:rsid w:val="00601491"/>
    <w:rsid w:val="006014EC"/>
    <w:rsid w:val="00601BE6"/>
    <w:rsid w:val="00601C99"/>
    <w:rsid w:val="00603743"/>
    <w:rsid w:val="00604F51"/>
    <w:rsid w:val="006060AD"/>
    <w:rsid w:val="00606D70"/>
    <w:rsid w:val="00610F84"/>
    <w:rsid w:val="00615821"/>
    <w:rsid w:val="00620D69"/>
    <w:rsid w:val="00621070"/>
    <w:rsid w:val="0062255C"/>
    <w:rsid w:val="00622FB1"/>
    <w:rsid w:val="00623DEA"/>
    <w:rsid w:val="00623EC9"/>
    <w:rsid w:val="00624417"/>
    <w:rsid w:val="00625AA5"/>
    <w:rsid w:val="00632EE6"/>
    <w:rsid w:val="00633616"/>
    <w:rsid w:val="0063426D"/>
    <w:rsid w:val="00637772"/>
    <w:rsid w:val="00637AC9"/>
    <w:rsid w:val="00640B12"/>
    <w:rsid w:val="0064258A"/>
    <w:rsid w:val="00643685"/>
    <w:rsid w:val="00643FB6"/>
    <w:rsid w:val="006470E2"/>
    <w:rsid w:val="00651522"/>
    <w:rsid w:val="00651D53"/>
    <w:rsid w:val="006525C5"/>
    <w:rsid w:val="006530FD"/>
    <w:rsid w:val="00654855"/>
    <w:rsid w:val="006553D6"/>
    <w:rsid w:val="00656178"/>
    <w:rsid w:val="006576D5"/>
    <w:rsid w:val="00660888"/>
    <w:rsid w:val="00661E2A"/>
    <w:rsid w:val="006630B2"/>
    <w:rsid w:val="00663EB3"/>
    <w:rsid w:val="00665BB7"/>
    <w:rsid w:val="00666477"/>
    <w:rsid w:val="006668D4"/>
    <w:rsid w:val="0066791B"/>
    <w:rsid w:val="00670F33"/>
    <w:rsid w:val="0067132B"/>
    <w:rsid w:val="00674EAE"/>
    <w:rsid w:val="00676765"/>
    <w:rsid w:val="0068170A"/>
    <w:rsid w:val="006820CE"/>
    <w:rsid w:val="006830CD"/>
    <w:rsid w:val="00683AF9"/>
    <w:rsid w:val="00685A33"/>
    <w:rsid w:val="00685C3A"/>
    <w:rsid w:val="00687029"/>
    <w:rsid w:val="00690C8D"/>
    <w:rsid w:val="006968BB"/>
    <w:rsid w:val="006A1473"/>
    <w:rsid w:val="006A33A0"/>
    <w:rsid w:val="006A41F1"/>
    <w:rsid w:val="006A64D5"/>
    <w:rsid w:val="006B0D82"/>
    <w:rsid w:val="006B40EC"/>
    <w:rsid w:val="006B5C28"/>
    <w:rsid w:val="006B7BFD"/>
    <w:rsid w:val="006C0680"/>
    <w:rsid w:val="006C2F15"/>
    <w:rsid w:val="006C47AE"/>
    <w:rsid w:val="006C7015"/>
    <w:rsid w:val="006D09F5"/>
    <w:rsid w:val="006D1857"/>
    <w:rsid w:val="006D7959"/>
    <w:rsid w:val="006D7B6E"/>
    <w:rsid w:val="006D7BB6"/>
    <w:rsid w:val="006E082A"/>
    <w:rsid w:val="006E1D11"/>
    <w:rsid w:val="006E27A5"/>
    <w:rsid w:val="006E4937"/>
    <w:rsid w:val="006E63F3"/>
    <w:rsid w:val="006E6A13"/>
    <w:rsid w:val="006F10D1"/>
    <w:rsid w:val="006F157C"/>
    <w:rsid w:val="006F1B31"/>
    <w:rsid w:val="006F202E"/>
    <w:rsid w:val="006F20A4"/>
    <w:rsid w:val="006F3C0D"/>
    <w:rsid w:val="006F3FF3"/>
    <w:rsid w:val="006F410A"/>
    <w:rsid w:val="006F4891"/>
    <w:rsid w:val="006F5EA0"/>
    <w:rsid w:val="006F7575"/>
    <w:rsid w:val="007027B7"/>
    <w:rsid w:val="00706506"/>
    <w:rsid w:val="00706A33"/>
    <w:rsid w:val="00712339"/>
    <w:rsid w:val="00714E40"/>
    <w:rsid w:val="00715429"/>
    <w:rsid w:val="00715C88"/>
    <w:rsid w:val="00715D8F"/>
    <w:rsid w:val="0071791E"/>
    <w:rsid w:val="007206C9"/>
    <w:rsid w:val="00720E64"/>
    <w:rsid w:val="00723F6E"/>
    <w:rsid w:val="00725F93"/>
    <w:rsid w:val="0073367E"/>
    <w:rsid w:val="007336AF"/>
    <w:rsid w:val="0073437F"/>
    <w:rsid w:val="0073581B"/>
    <w:rsid w:val="007362C1"/>
    <w:rsid w:val="0074137E"/>
    <w:rsid w:val="007413CE"/>
    <w:rsid w:val="00741591"/>
    <w:rsid w:val="00741F6B"/>
    <w:rsid w:val="0074369F"/>
    <w:rsid w:val="0074502B"/>
    <w:rsid w:val="0074528B"/>
    <w:rsid w:val="007452E2"/>
    <w:rsid w:val="00747C79"/>
    <w:rsid w:val="00751CCA"/>
    <w:rsid w:val="00754057"/>
    <w:rsid w:val="007572E9"/>
    <w:rsid w:val="0075770C"/>
    <w:rsid w:val="00757FCC"/>
    <w:rsid w:val="0076028F"/>
    <w:rsid w:val="00762722"/>
    <w:rsid w:val="00762FE3"/>
    <w:rsid w:val="0076667B"/>
    <w:rsid w:val="00767573"/>
    <w:rsid w:val="00767B56"/>
    <w:rsid w:val="007701C9"/>
    <w:rsid w:val="007703A2"/>
    <w:rsid w:val="007706F8"/>
    <w:rsid w:val="00771670"/>
    <w:rsid w:val="00773919"/>
    <w:rsid w:val="00775116"/>
    <w:rsid w:val="00775DE3"/>
    <w:rsid w:val="00776974"/>
    <w:rsid w:val="0078135B"/>
    <w:rsid w:val="007814D6"/>
    <w:rsid w:val="007846C7"/>
    <w:rsid w:val="00784AF8"/>
    <w:rsid w:val="007859CD"/>
    <w:rsid w:val="007A05AB"/>
    <w:rsid w:val="007A1680"/>
    <w:rsid w:val="007A345B"/>
    <w:rsid w:val="007A6523"/>
    <w:rsid w:val="007A71F2"/>
    <w:rsid w:val="007A7272"/>
    <w:rsid w:val="007A7814"/>
    <w:rsid w:val="007A7FB8"/>
    <w:rsid w:val="007B26CD"/>
    <w:rsid w:val="007B3D0C"/>
    <w:rsid w:val="007B5BA5"/>
    <w:rsid w:val="007B720C"/>
    <w:rsid w:val="007C06D3"/>
    <w:rsid w:val="007C0C8C"/>
    <w:rsid w:val="007C4E46"/>
    <w:rsid w:val="007C6F35"/>
    <w:rsid w:val="007D0566"/>
    <w:rsid w:val="007D268B"/>
    <w:rsid w:val="007D38A9"/>
    <w:rsid w:val="007D4651"/>
    <w:rsid w:val="007D76FD"/>
    <w:rsid w:val="007D7CFE"/>
    <w:rsid w:val="007E314A"/>
    <w:rsid w:val="007E5841"/>
    <w:rsid w:val="007E6BCF"/>
    <w:rsid w:val="007E6F28"/>
    <w:rsid w:val="007F126E"/>
    <w:rsid w:val="007F443F"/>
    <w:rsid w:val="007F4528"/>
    <w:rsid w:val="007F525E"/>
    <w:rsid w:val="007F6F57"/>
    <w:rsid w:val="008010A6"/>
    <w:rsid w:val="00802814"/>
    <w:rsid w:val="00804E1C"/>
    <w:rsid w:val="00805711"/>
    <w:rsid w:val="00806D75"/>
    <w:rsid w:val="0081055D"/>
    <w:rsid w:val="0081058F"/>
    <w:rsid w:val="00810A4C"/>
    <w:rsid w:val="008112C9"/>
    <w:rsid w:val="00813E3C"/>
    <w:rsid w:val="0081609E"/>
    <w:rsid w:val="00822C6B"/>
    <w:rsid w:val="00823719"/>
    <w:rsid w:val="00825110"/>
    <w:rsid w:val="00826AEC"/>
    <w:rsid w:val="00826D9D"/>
    <w:rsid w:val="008274C1"/>
    <w:rsid w:val="008277A9"/>
    <w:rsid w:val="008316E1"/>
    <w:rsid w:val="00833E90"/>
    <w:rsid w:val="00835216"/>
    <w:rsid w:val="008353E7"/>
    <w:rsid w:val="00835D5C"/>
    <w:rsid w:val="00842D8F"/>
    <w:rsid w:val="00842FFE"/>
    <w:rsid w:val="008501C7"/>
    <w:rsid w:val="00851B4B"/>
    <w:rsid w:val="00855D0B"/>
    <w:rsid w:val="00857302"/>
    <w:rsid w:val="00857341"/>
    <w:rsid w:val="0085741B"/>
    <w:rsid w:val="00861640"/>
    <w:rsid w:val="008662DB"/>
    <w:rsid w:val="00867436"/>
    <w:rsid w:val="00870831"/>
    <w:rsid w:val="008718E5"/>
    <w:rsid w:val="00871B31"/>
    <w:rsid w:val="00874862"/>
    <w:rsid w:val="008801C1"/>
    <w:rsid w:val="008827D6"/>
    <w:rsid w:val="008844B1"/>
    <w:rsid w:val="00886F39"/>
    <w:rsid w:val="00891B11"/>
    <w:rsid w:val="00891F2D"/>
    <w:rsid w:val="00892181"/>
    <w:rsid w:val="00892DE1"/>
    <w:rsid w:val="0089425E"/>
    <w:rsid w:val="00894DC9"/>
    <w:rsid w:val="00895722"/>
    <w:rsid w:val="00897192"/>
    <w:rsid w:val="008A1777"/>
    <w:rsid w:val="008A2427"/>
    <w:rsid w:val="008A2503"/>
    <w:rsid w:val="008A5760"/>
    <w:rsid w:val="008B062E"/>
    <w:rsid w:val="008B110A"/>
    <w:rsid w:val="008B3C43"/>
    <w:rsid w:val="008B5573"/>
    <w:rsid w:val="008C079A"/>
    <w:rsid w:val="008C147E"/>
    <w:rsid w:val="008C24EA"/>
    <w:rsid w:val="008C2DDF"/>
    <w:rsid w:val="008C6964"/>
    <w:rsid w:val="008D3F91"/>
    <w:rsid w:val="008D5E9E"/>
    <w:rsid w:val="008D6C33"/>
    <w:rsid w:val="008E0F73"/>
    <w:rsid w:val="008E3A30"/>
    <w:rsid w:val="008E54C0"/>
    <w:rsid w:val="008E5C4F"/>
    <w:rsid w:val="008E6162"/>
    <w:rsid w:val="008E66C1"/>
    <w:rsid w:val="008E7869"/>
    <w:rsid w:val="008E7927"/>
    <w:rsid w:val="008F312E"/>
    <w:rsid w:val="008F370C"/>
    <w:rsid w:val="008F46B7"/>
    <w:rsid w:val="008F4BCE"/>
    <w:rsid w:val="008F4D62"/>
    <w:rsid w:val="008F5915"/>
    <w:rsid w:val="008F59E6"/>
    <w:rsid w:val="008F5DBB"/>
    <w:rsid w:val="0090034D"/>
    <w:rsid w:val="009060FA"/>
    <w:rsid w:val="009062A4"/>
    <w:rsid w:val="00910163"/>
    <w:rsid w:val="009121F7"/>
    <w:rsid w:val="00912A58"/>
    <w:rsid w:val="009140AB"/>
    <w:rsid w:val="00916532"/>
    <w:rsid w:val="00917786"/>
    <w:rsid w:val="0092152F"/>
    <w:rsid w:val="00924740"/>
    <w:rsid w:val="00924E88"/>
    <w:rsid w:val="00934746"/>
    <w:rsid w:val="00934D66"/>
    <w:rsid w:val="0093522C"/>
    <w:rsid w:val="00935D14"/>
    <w:rsid w:val="00936E17"/>
    <w:rsid w:val="00940C2E"/>
    <w:rsid w:val="00942163"/>
    <w:rsid w:val="0094219B"/>
    <w:rsid w:val="00943253"/>
    <w:rsid w:val="00945C92"/>
    <w:rsid w:val="00946523"/>
    <w:rsid w:val="00950874"/>
    <w:rsid w:val="00951347"/>
    <w:rsid w:val="00954FB2"/>
    <w:rsid w:val="00956270"/>
    <w:rsid w:val="009567D5"/>
    <w:rsid w:val="00956DD7"/>
    <w:rsid w:val="00963756"/>
    <w:rsid w:val="00964466"/>
    <w:rsid w:val="00964ECA"/>
    <w:rsid w:val="00965239"/>
    <w:rsid w:val="00965F44"/>
    <w:rsid w:val="00972FCF"/>
    <w:rsid w:val="009743AB"/>
    <w:rsid w:val="00975E49"/>
    <w:rsid w:val="00981FB0"/>
    <w:rsid w:val="00982379"/>
    <w:rsid w:val="00986297"/>
    <w:rsid w:val="0099341E"/>
    <w:rsid w:val="00993857"/>
    <w:rsid w:val="00994379"/>
    <w:rsid w:val="0099523B"/>
    <w:rsid w:val="00995540"/>
    <w:rsid w:val="00996BA4"/>
    <w:rsid w:val="00997A06"/>
    <w:rsid w:val="009A12F9"/>
    <w:rsid w:val="009A1EA3"/>
    <w:rsid w:val="009A1FA7"/>
    <w:rsid w:val="009A3187"/>
    <w:rsid w:val="009A47FE"/>
    <w:rsid w:val="009A5380"/>
    <w:rsid w:val="009A7441"/>
    <w:rsid w:val="009A7D66"/>
    <w:rsid w:val="009B10B6"/>
    <w:rsid w:val="009B2AD3"/>
    <w:rsid w:val="009B4C07"/>
    <w:rsid w:val="009B7148"/>
    <w:rsid w:val="009B7429"/>
    <w:rsid w:val="009B76D6"/>
    <w:rsid w:val="009C0583"/>
    <w:rsid w:val="009C0B93"/>
    <w:rsid w:val="009C361A"/>
    <w:rsid w:val="009C3938"/>
    <w:rsid w:val="009C4027"/>
    <w:rsid w:val="009C5F4E"/>
    <w:rsid w:val="009D0D94"/>
    <w:rsid w:val="009D1232"/>
    <w:rsid w:val="009D14C8"/>
    <w:rsid w:val="009D2132"/>
    <w:rsid w:val="009D25F9"/>
    <w:rsid w:val="009D2C22"/>
    <w:rsid w:val="009D38BF"/>
    <w:rsid w:val="009D4E7A"/>
    <w:rsid w:val="009D72CF"/>
    <w:rsid w:val="009E0376"/>
    <w:rsid w:val="009E5BD2"/>
    <w:rsid w:val="009E61BB"/>
    <w:rsid w:val="009F15B9"/>
    <w:rsid w:val="009F164F"/>
    <w:rsid w:val="009F1C07"/>
    <w:rsid w:val="009F1C62"/>
    <w:rsid w:val="009F2F46"/>
    <w:rsid w:val="009F36DC"/>
    <w:rsid w:val="009F530C"/>
    <w:rsid w:val="009F628A"/>
    <w:rsid w:val="00A00D30"/>
    <w:rsid w:val="00A0113A"/>
    <w:rsid w:val="00A015C5"/>
    <w:rsid w:val="00A07383"/>
    <w:rsid w:val="00A07BE4"/>
    <w:rsid w:val="00A1145F"/>
    <w:rsid w:val="00A11B04"/>
    <w:rsid w:val="00A15244"/>
    <w:rsid w:val="00A159B6"/>
    <w:rsid w:val="00A2151F"/>
    <w:rsid w:val="00A21A6A"/>
    <w:rsid w:val="00A21CA3"/>
    <w:rsid w:val="00A24C4D"/>
    <w:rsid w:val="00A25906"/>
    <w:rsid w:val="00A26C76"/>
    <w:rsid w:val="00A305E5"/>
    <w:rsid w:val="00A32AA1"/>
    <w:rsid w:val="00A34EAE"/>
    <w:rsid w:val="00A36C8F"/>
    <w:rsid w:val="00A40EAF"/>
    <w:rsid w:val="00A4399A"/>
    <w:rsid w:val="00A446DB"/>
    <w:rsid w:val="00A45BC8"/>
    <w:rsid w:val="00A46630"/>
    <w:rsid w:val="00A53877"/>
    <w:rsid w:val="00A54CC2"/>
    <w:rsid w:val="00A56612"/>
    <w:rsid w:val="00A60591"/>
    <w:rsid w:val="00A63A53"/>
    <w:rsid w:val="00A64AE4"/>
    <w:rsid w:val="00A66588"/>
    <w:rsid w:val="00A67992"/>
    <w:rsid w:val="00A706A2"/>
    <w:rsid w:val="00A710E7"/>
    <w:rsid w:val="00A7383F"/>
    <w:rsid w:val="00A73B4D"/>
    <w:rsid w:val="00A74007"/>
    <w:rsid w:val="00A74F16"/>
    <w:rsid w:val="00A75539"/>
    <w:rsid w:val="00A75E19"/>
    <w:rsid w:val="00A775C6"/>
    <w:rsid w:val="00A808B8"/>
    <w:rsid w:val="00A817F8"/>
    <w:rsid w:val="00A875EE"/>
    <w:rsid w:val="00A900E8"/>
    <w:rsid w:val="00A922E8"/>
    <w:rsid w:val="00A92B4B"/>
    <w:rsid w:val="00A92D6E"/>
    <w:rsid w:val="00A93052"/>
    <w:rsid w:val="00A970F8"/>
    <w:rsid w:val="00AA11B9"/>
    <w:rsid w:val="00AA136F"/>
    <w:rsid w:val="00AA4872"/>
    <w:rsid w:val="00AA54A5"/>
    <w:rsid w:val="00AA559F"/>
    <w:rsid w:val="00AA6C6B"/>
    <w:rsid w:val="00AA7DB0"/>
    <w:rsid w:val="00AB100D"/>
    <w:rsid w:val="00AB20BD"/>
    <w:rsid w:val="00AB2522"/>
    <w:rsid w:val="00AB38CA"/>
    <w:rsid w:val="00AB39D4"/>
    <w:rsid w:val="00AB52BE"/>
    <w:rsid w:val="00AC33CD"/>
    <w:rsid w:val="00AC4ECF"/>
    <w:rsid w:val="00AC5CAC"/>
    <w:rsid w:val="00AC614D"/>
    <w:rsid w:val="00AC7961"/>
    <w:rsid w:val="00AD02C8"/>
    <w:rsid w:val="00AD255C"/>
    <w:rsid w:val="00AD3FF3"/>
    <w:rsid w:val="00AD4251"/>
    <w:rsid w:val="00AD4EF6"/>
    <w:rsid w:val="00AD55FD"/>
    <w:rsid w:val="00AD5816"/>
    <w:rsid w:val="00AD7F64"/>
    <w:rsid w:val="00AE1096"/>
    <w:rsid w:val="00AE2039"/>
    <w:rsid w:val="00AE50A8"/>
    <w:rsid w:val="00AF067F"/>
    <w:rsid w:val="00AF073D"/>
    <w:rsid w:val="00AF4290"/>
    <w:rsid w:val="00AF644A"/>
    <w:rsid w:val="00AF6555"/>
    <w:rsid w:val="00AF68D3"/>
    <w:rsid w:val="00AF7ACE"/>
    <w:rsid w:val="00B00205"/>
    <w:rsid w:val="00B00A4F"/>
    <w:rsid w:val="00B00E20"/>
    <w:rsid w:val="00B0107A"/>
    <w:rsid w:val="00B02673"/>
    <w:rsid w:val="00B04199"/>
    <w:rsid w:val="00B04D97"/>
    <w:rsid w:val="00B05AC1"/>
    <w:rsid w:val="00B06546"/>
    <w:rsid w:val="00B11FD1"/>
    <w:rsid w:val="00B136D6"/>
    <w:rsid w:val="00B1448A"/>
    <w:rsid w:val="00B21010"/>
    <w:rsid w:val="00B21D47"/>
    <w:rsid w:val="00B24905"/>
    <w:rsid w:val="00B26014"/>
    <w:rsid w:val="00B26F2C"/>
    <w:rsid w:val="00B2709E"/>
    <w:rsid w:val="00B33CEF"/>
    <w:rsid w:val="00B35FDC"/>
    <w:rsid w:val="00B368DA"/>
    <w:rsid w:val="00B36B7C"/>
    <w:rsid w:val="00B42A82"/>
    <w:rsid w:val="00B43892"/>
    <w:rsid w:val="00B468EF"/>
    <w:rsid w:val="00B5017E"/>
    <w:rsid w:val="00B5079C"/>
    <w:rsid w:val="00B508E2"/>
    <w:rsid w:val="00B5628E"/>
    <w:rsid w:val="00B579BB"/>
    <w:rsid w:val="00B57AAB"/>
    <w:rsid w:val="00B57CED"/>
    <w:rsid w:val="00B606D0"/>
    <w:rsid w:val="00B632B3"/>
    <w:rsid w:val="00B63567"/>
    <w:rsid w:val="00B667BC"/>
    <w:rsid w:val="00B667E7"/>
    <w:rsid w:val="00B7015D"/>
    <w:rsid w:val="00B7136E"/>
    <w:rsid w:val="00B7616E"/>
    <w:rsid w:val="00B807A2"/>
    <w:rsid w:val="00B80C7C"/>
    <w:rsid w:val="00B827E1"/>
    <w:rsid w:val="00B82ABC"/>
    <w:rsid w:val="00B83CAC"/>
    <w:rsid w:val="00B84995"/>
    <w:rsid w:val="00B85950"/>
    <w:rsid w:val="00B86812"/>
    <w:rsid w:val="00B87A60"/>
    <w:rsid w:val="00B91010"/>
    <w:rsid w:val="00B917E5"/>
    <w:rsid w:val="00B926A5"/>
    <w:rsid w:val="00B9286A"/>
    <w:rsid w:val="00B93470"/>
    <w:rsid w:val="00B95BBF"/>
    <w:rsid w:val="00B96036"/>
    <w:rsid w:val="00B96AC8"/>
    <w:rsid w:val="00B97122"/>
    <w:rsid w:val="00BA12CD"/>
    <w:rsid w:val="00BA25B6"/>
    <w:rsid w:val="00BA3920"/>
    <w:rsid w:val="00BA782D"/>
    <w:rsid w:val="00BB1AAC"/>
    <w:rsid w:val="00BB4591"/>
    <w:rsid w:val="00BB4C28"/>
    <w:rsid w:val="00BB5426"/>
    <w:rsid w:val="00BC1B3C"/>
    <w:rsid w:val="00BC2768"/>
    <w:rsid w:val="00BC33C2"/>
    <w:rsid w:val="00BC4F9E"/>
    <w:rsid w:val="00BC647C"/>
    <w:rsid w:val="00BC7539"/>
    <w:rsid w:val="00BC79C1"/>
    <w:rsid w:val="00BD0FCC"/>
    <w:rsid w:val="00BD1088"/>
    <w:rsid w:val="00BD33FC"/>
    <w:rsid w:val="00BD3A7C"/>
    <w:rsid w:val="00BD4961"/>
    <w:rsid w:val="00BD6CCD"/>
    <w:rsid w:val="00BE0387"/>
    <w:rsid w:val="00BE2D99"/>
    <w:rsid w:val="00BE54D6"/>
    <w:rsid w:val="00BE58B5"/>
    <w:rsid w:val="00BE5CD0"/>
    <w:rsid w:val="00BF1481"/>
    <w:rsid w:val="00BF2610"/>
    <w:rsid w:val="00C001D0"/>
    <w:rsid w:val="00C01040"/>
    <w:rsid w:val="00C02A39"/>
    <w:rsid w:val="00C02FE1"/>
    <w:rsid w:val="00C04E3C"/>
    <w:rsid w:val="00C05425"/>
    <w:rsid w:val="00C06568"/>
    <w:rsid w:val="00C069B8"/>
    <w:rsid w:val="00C06E6C"/>
    <w:rsid w:val="00C074EF"/>
    <w:rsid w:val="00C1020B"/>
    <w:rsid w:val="00C10B42"/>
    <w:rsid w:val="00C12720"/>
    <w:rsid w:val="00C15432"/>
    <w:rsid w:val="00C15AC4"/>
    <w:rsid w:val="00C162B2"/>
    <w:rsid w:val="00C21149"/>
    <w:rsid w:val="00C2355D"/>
    <w:rsid w:val="00C2773E"/>
    <w:rsid w:val="00C3128B"/>
    <w:rsid w:val="00C33674"/>
    <w:rsid w:val="00C3385B"/>
    <w:rsid w:val="00C36B12"/>
    <w:rsid w:val="00C41470"/>
    <w:rsid w:val="00C41FF2"/>
    <w:rsid w:val="00C422C2"/>
    <w:rsid w:val="00C54747"/>
    <w:rsid w:val="00C5514E"/>
    <w:rsid w:val="00C56C98"/>
    <w:rsid w:val="00C61690"/>
    <w:rsid w:val="00C6254D"/>
    <w:rsid w:val="00C629B9"/>
    <w:rsid w:val="00C645BC"/>
    <w:rsid w:val="00C646C4"/>
    <w:rsid w:val="00C647CD"/>
    <w:rsid w:val="00C64B43"/>
    <w:rsid w:val="00C6700D"/>
    <w:rsid w:val="00C67BA2"/>
    <w:rsid w:val="00C75935"/>
    <w:rsid w:val="00C76463"/>
    <w:rsid w:val="00C77E67"/>
    <w:rsid w:val="00C813D6"/>
    <w:rsid w:val="00C84EF0"/>
    <w:rsid w:val="00C85696"/>
    <w:rsid w:val="00C8692F"/>
    <w:rsid w:val="00C9002C"/>
    <w:rsid w:val="00C91204"/>
    <w:rsid w:val="00C91553"/>
    <w:rsid w:val="00C922D7"/>
    <w:rsid w:val="00C935C2"/>
    <w:rsid w:val="00C93727"/>
    <w:rsid w:val="00C95BFB"/>
    <w:rsid w:val="00C97A4D"/>
    <w:rsid w:val="00CA1458"/>
    <w:rsid w:val="00CA19F5"/>
    <w:rsid w:val="00CA4AD0"/>
    <w:rsid w:val="00CA57D4"/>
    <w:rsid w:val="00CA6173"/>
    <w:rsid w:val="00CA628D"/>
    <w:rsid w:val="00CA65FF"/>
    <w:rsid w:val="00CB0938"/>
    <w:rsid w:val="00CB220A"/>
    <w:rsid w:val="00CB5234"/>
    <w:rsid w:val="00CC1604"/>
    <w:rsid w:val="00CC2800"/>
    <w:rsid w:val="00CC3420"/>
    <w:rsid w:val="00CC3BC7"/>
    <w:rsid w:val="00CC547C"/>
    <w:rsid w:val="00CC60FF"/>
    <w:rsid w:val="00CC741C"/>
    <w:rsid w:val="00CD5166"/>
    <w:rsid w:val="00CD58C8"/>
    <w:rsid w:val="00CD7760"/>
    <w:rsid w:val="00CE0468"/>
    <w:rsid w:val="00CE05BD"/>
    <w:rsid w:val="00CE123C"/>
    <w:rsid w:val="00CE13DA"/>
    <w:rsid w:val="00CE2620"/>
    <w:rsid w:val="00CE2837"/>
    <w:rsid w:val="00CE3C39"/>
    <w:rsid w:val="00CE75B5"/>
    <w:rsid w:val="00CE7A73"/>
    <w:rsid w:val="00CF0F94"/>
    <w:rsid w:val="00CF2D98"/>
    <w:rsid w:val="00CF436B"/>
    <w:rsid w:val="00CF5AB1"/>
    <w:rsid w:val="00CF73B4"/>
    <w:rsid w:val="00D00395"/>
    <w:rsid w:val="00D00E78"/>
    <w:rsid w:val="00D01738"/>
    <w:rsid w:val="00D04F96"/>
    <w:rsid w:val="00D101B7"/>
    <w:rsid w:val="00D1031C"/>
    <w:rsid w:val="00D1383A"/>
    <w:rsid w:val="00D22050"/>
    <w:rsid w:val="00D231C6"/>
    <w:rsid w:val="00D23424"/>
    <w:rsid w:val="00D24DA4"/>
    <w:rsid w:val="00D26F28"/>
    <w:rsid w:val="00D30D15"/>
    <w:rsid w:val="00D31977"/>
    <w:rsid w:val="00D32839"/>
    <w:rsid w:val="00D33EE3"/>
    <w:rsid w:val="00D343EC"/>
    <w:rsid w:val="00D3500F"/>
    <w:rsid w:val="00D35260"/>
    <w:rsid w:val="00D36EA4"/>
    <w:rsid w:val="00D40769"/>
    <w:rsid w:val="00D4202F"/>
    <w:rsid w:val="00D43052"/>
    <w:rsid w:val="00D436D4"/>
    <w:rsid w:val="00D44203"/>
    <w:rsid w:val="00D45810"/>
    <w:rsid w:val="00D466D2"/>
    <w:rsid w:val="00D50ABF"/>
    <w:rsid w:val="00D51EBD"/>
    <w:rsid w:val="00D532B4"/>
    <w:rsid w:val="00D55ACB"/>
    <w:rsid w:val="00D571E0"/>
    <w:rsid w:val="00D60160"/>
    <w:rsid w:val="00D616E2"/>
    <w:rsid w:val="00D61F8E"/>
    <w:rsid w:val="00D63636"/>
    <w:rsid w:val="00D63CFC"/>
    <w:rsid w:val="00D66147"/>
    <w:rsid w:val="00D66D34"/>
    <w:rsid w:val="00D716E4"/>
    <w:rsid w:val="00D73D1A"/>
    <w:rsid w:val="00D7427C"/>
    <w:rsid w:val="00D75694"/>
    <w:rsid w:val="00D75C74"/>
    <w:rsid w:val="00D75E95"/>
    <w:rsid w:val="00D770B0"/>
    <w:rsid w:val="00D858E5"/>
    <w:rsid w:val="00D918FA"/>
    <w:rsid w:val="00D92627"/>
    <w:rsid w:val="00D927DC"/>
    <w:rsid w:val="00DA13C8"/>
    <w:rsid w:val="00DA26EC"/>
    <w:rsid w:val="00DA53C7"/>
    <w:rsid w:val="00DA5809"/>
    <w:rsid w:val="00DA58BF"/>
    <w:rsid w:val="00DA7B48"/>
    <w:rsid w:val="00DA7C18"/>
    <w:rsid w:val="00DB03B7"/>
    <w:rsid w:val="00DB2350"/>
    <w:rsid w:val="00DB4551"/>
    <w:rsid w:val="00DB4688"/>
    <w:rsid w:val="00DC1048"/>
    <w:rsid w:val="00DC3E44"/>
    <w:rsid w:val="00DC44CF"/>
    <w:rsid w:val="00DC6DE1"/>
    <w:rsid w:val="00DC711C"/>
    <w:rsid w:val="00DC7AAA"/>
    <w:rsid w:val="00DD01C5"/>
    <w:rsid w:val="00DD23C0"/>
    <w:rsid w:val="00DD24D7"/>
    <w:rsid w:val="00DD4AB3"/>
    <w:rsid w:val="00DD4D5D"/>
    <w:rsid w:val="00DD517E"/>
    <w:rsid w:val="00DD761B"/>
    <w:rsid w:val="00DE17E2"/>
    <w:rsid w:val="00DE3020"/>
    <w:rsid w:val="00DE4D85"/>
    <w:rsid w:val="00DE67FE"/>
    <w:rsid w:val="00DE6D9A"/>
    <w:rsid w:val="00DE6DD3"/>
    <w:rsid w:val="00DE6FB7"/>
    <w:rsid w:val="00DF18B6"/>
    <w:rsid w:val="00DF317F"/>
    <w:rsid w:val="00DF3C7A"/>
    <w:rsid w:val="00DF42DF"/>
    <w:rsid w:val="00DF4B52"/>
    <w:rsid w:val="00DF57A6"/>
    <w:rsid w:val="00DF70C1"/>
    <w:rsid w:val="00DF71A8"/>
    <w:rsid w:val="00E027B0"/>
    <w:rsid w:val="00E02A24"/>
    <w:rsid w:val="00E0599F"/>
    <w:rsid w:val="00E06484"/>
    <w:rsid w:val="00E06DEC"/>
    <w:rsid w:val="00E0750D"/>
    <w:rsid w:val="00E11403"/>
    <w:rsid w:val="00E11DA9"/>
    <w:rsid w:val="00E1309C"/>
    <w:rsid w:val="00E16303"/>
    <w:rsid w:val="00E16925"/>
    <w:rsid w:val="00E27247"/>
    <w:rsid w:val="00E31CA5"/>
    <w:rsid w:val="00E31D49"/>
    <w:rsid w:val="00E3382E"/>
    <w:rsid w:val="00E348DD"/>
    <w:rsid w:val="00E3492D"/>
    <w:rsid w:val="00E3753A"/>
    <w:rsid w:val="00E37543"/>
    <w:rsid w:val="00E412A7"/>
    <w:rsid w:val="00E4153A"/>
    <w:rsid w:val="00E42E28"/>
    <w:rsid w:val="00E43BF3"/>
    <w:rsid w:val="00E44DE5"/>
    <w:rsid w:val="00E45C4B"/>
    <w:rsid w:val="00E47525"/>
    <w:rsid w:val="00E47720"/>
    <w:rsid w:val="00E47F91"/>
    <w:rsid w:val="00E50D06"/>
    <w:rsid w:val="00E5126C"/>
    <w:rsid w:val="00E526A4"/>
    <w:rsid w:val="00E52D3C"/>
    <w:rsid w:val="00E53B45"/>
    <w:rsid w:val="00E545F1"/>
    <w:rsid w:val="00E54BAD"/>
    <w:rsid w:val="00E551C4"/>
    <w:rsid w:val="00E56B67"/>
    <w:rsid w:val="00E570ED"/>
    <w:rsid w:val="00E60A24"/>
    <w:rsid w:val="00E6202B"/>
    <w:rsid w:val="00E627ED"/>
    <w:rsid w:val="00E63798"/>
    <w:rsid w:val="00E6619D"/>
    <w:rsid w:val="00E701B7"/>
    <w:rsid w:val="00E7442E"/>
    <w:rsid w:val="00E756CD"/>
    <w:rsid w:val="00E80EA8"/>
    <w:rsid w:val="00E82188"/>
    <w:rsid w:val="00E825A1"/>
    <w:rsid w:val="00E829E3"/>
    <w:rsid w:val="00E85293"/>
    <w:rsid w:val="00E871CE"/>
    <w:rsid w:val="00E87AC7"/>
    <w:rsid w:val="00E91D50"/>
    <w:rsid w:val="00E92310"/>
    <w:rsid w:val="00E9315E"/>
    <w:rsid w:val="00E94F03"/>
    <w:rsid w:val="00E97903"/>
    <w:rsid w:val="00EA145C"/>
    <w:rsid w:val="00EA37FC"/>
    <w:rsid w:val="00EA68DF"/>
    <w:rsid w:val="00EA7845"/>
    <w:rsid w:val="00EB0687"/>
    <w:rsid w:val="00EB0FC5"/>
    <w:rsid w:val="00EB1910"/>
    <w:rsid w:val="00EB317F"/>
    <w:rsid w:val="00EB335D"/>
    <w:rsid w:val="00EB38A7"/>
    <w:rsid w:val="00EB62F2"/>
    <w:rsid w:val="00EC5082"/>
    <w:rsid w:val="00ED100E"/>
    <w:rsid w:val="00ED2C29"/>
    <w:rsid w:val="00ED3624"/>
    <w:rsid w:val="00ED7253"/>
    <w:rsid w:val="00ED7B45"/>
    <w:rsid w:val="00EE02F0"/>
    <w:rsid w:val="00EE2F16"/>
    <w:rsid w:val="00EE68A4"/>
    <w:rsid w:val="00EE6FBD"/>
    <w:rsid w:val="00EE72DB"/>
    <w:rsid w:val="00EE73CD"/>
    <w:rsid w:val="00EF0600"/>
    <w:rsid w:val="00EF1CB1"/>
    <w:rsid w:val="00EF4692"/>
    <w:rsid w:val="00EF5550"/>
    <w:rsid w:val="00EF56F9"/>
    <w:rsid w:val="00F00537"/>
    <w:rsid w:val="00F03418"/>
    <w:rsid w:val="00F04678"/>
    <w:rsid w:val="00F062BF"/>
    <w:rsid w:val="00F06437"/>
    <w:rsid w:val="00F06559"/>
    <w:rsid w:val="00F0775B"/>
    <w:rsid w:val="00F07EED"/>
    <w:rsid w:val="00F10A29"/>
    <w:rsid w:val="00F10ACE"/>
    <w:rsid w:val="00F16658"/>
    <w:rsid w:val="00F16692"/>
    <w:rsid w:val="00F20D0D"/>
    <w:rsid w:val="00F21DB9"/>
    <w:rsid w:val="00F229CE"/>
    <w:rsid w:val="00F23065"/>
    <w:rsid w:val="00F25E21"/>
    <w:rsid w:val="00F26087"/>
    <w:rsid w:val="00F27024"/>
    <w:rsid w:val="00F27173"/>
    <w:rsid w:val="00F3088D"/>
    <w:rsid w:val="00F341FB"/>
    <w:rsid w:val="00F34933"/>
    <w:rsid w:val="00F37AD2"/>
    <w:rsid w:val="00F43CF0"/>
    <w:rsid w:val="00F454D8"/>
    <w:rsid w:val="00F45F14"/>
    <w:rsid w:val="00F4680E"/>
    <w:rsid w:val="00F46EBB"/>
    <w:rsid w:val="00F47088"/>
    <w:rsid w:val="00F4723C"/>
    <w:rsid w:val="00F51B37"/>
    <w:rsid w:val="00F541D1"/>
    <w:rsid w:val="00F54627"/>
    <w:rsid w:val="00F54C17"/>
    <w:rsid w:val="00F641E1"/>
    <w:rsid w:val="00F644EA"/>
    <w:rsid w:val="00F6521F"/>
    <w:rsid w:val="00F652E7"/>
    <w:rsid w:val="00F654C6"/>
    <w:rsid w:val="00F674C8"/>
    <w:rsid w:val="00F70176"/>
    <w:rsid w:val="00F70871"/>
    <w:rsid w:val="00F708DC"/>
    <w:rsid w:val="00F73186"/>
    <w:rsid w:val="00F75C84"/>
    <w:rsid w:val="00F75EDB"/>
    <w:rsid w:val="00F762E5"/>
    <w:rsid w:val="00F76491"/>
    <w:rsid w:val="00F8230E"/>
    <w:rsid w:val="00F84C6C"/>
    <w:rsid w:val="00F84D0A"/>
    <w:rsid w:val="00F8628C"/>
    <w:rsid w:val="00F930A8"/>
    <w:rsid w:val="00FA3B81"/>
    <w:rsid w:val="00FA5DE4"/>
    <w:rsid w:val="00FA5E7B"/>
    <w:rsid w:val="00FA7384"/>
    <w:rsid w:val="00FB2C2F"/>
    <w:rsid w:val="00FB5F5C"/>
    <w:rsid w:val="00FB6AF8"/>
    <w:rsid w:val="00FC0D3E"/>
    <w:rsid w:val="00FC319F"/>
    <w:rsid w:val="00FC3884"/>
    <w:rsid w:val="00FC4DC9"/>
    <w:rsid w:val="00FC4F6B"/>
    <w:rsid w:val="00FD36A3"/>
    <w:rsid w:val="00FD4333"/>
    <w:rsid w:val="00FD46E0"/>
    <w:rsid w:val="00FD61B9"/>
    <w:rsid w:val="00FD7FF0"/>
    <w:rsid w:val="00FE16D2"/>
    <w:rsid w:val="00FE1AFF"/>
    <w:rsid w:val="00FE2ED3"/>
    <w:rsid w:val="00FE4F72"/>
    <w:rsid w:val="00FE500D"/>
    <w:rsid w:val="00FE52A7"/>
    <w:rsid w:val="00FE56B8"/>
    <w:rsid w:val="00FE65DB"/>
    <w:rsid w:val="00FE66F6"/>
    <w:rsid w:val="00FE6FD3"/>
    <w:rsid w:val="00FF0C96"/>
    <w:rsid w:val="00FF2904"/>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ABAD2D"/>
  <w15:docId w15:val="{18D36900-51F2-4F7F-A188-A7A5369EB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 w:type="character" w:styleId="Refdecomentario">
    <w:name w:val="annotation reference"/>
    <w:basedOn w:val="Fuentedeprrafopredeter"/>
    <w:uiPriority w:val="99"/>
    <w:semiHidden/>
    <w:unhideWhenUsed/>
    <w:rsid w:val="00DE6FB7"/>
    <w:rPr>
      <w:sz w:val="16"/>
      <w:szCs w:val="16"/>
    </w:rPr>
  </w:style>
  <w:style w:type="paragraph" w:styleId="Textocomentario">
    <w:name w:val="annotation text"/>
    <w:basedOn w:val="Normal"/>
    <w:link w:val="TextocomentarioCar"/>
    <w:uiPriority w:val="99"/>
    <w:semiHidden/>
    <w:unhideWhenUsed/>
    <w:rsid w:val="00DE6F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E6FB7"/>
    <w:rPr>
      <w:sz w:val="20"/>
      <w:szCs w:val="20"/>
    </w:rPr>
  </w:style>
  <w:style w:type="paragraph" w:styleId="Asuntodelcomentario">
    <w:name w:val="annotation subject"/>
    <w:basedOn w:val="Textocomentario"/>
    <w:next w:val="Textocomentario"/>
    <w:link w:val="AsuntodelcomentarioCar"/>
    <w:uiPriority w:val="99"/>
    <w:semiHidden/>
    <w:unhideWhenUsed/>
    <w:rsid w:val="00DE6FB7"/>
    <w:rPr>
      <w:b/>
      <w:bCs/>
    </w:rPr>
  </w:style>
  <w:style w:type="character" w:customStyle="1" w:styleId="AsuntodelcomentarioCar">
    <w:name w:val="Asunto del comentario Car"/>
    <w:basedOn w:val="TextocomentarioCar"/>
    <w:link w:val="Asuntodelcomentario"/>
    <w:uiPriority w:val="99"/>
    <w:semiHidden/>
    <w:rsid w:val="00DE6F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21564">
      <w:bodyDiv w:val="1"/>
      <w:marLeft w:val="0"/>
      <w:marRight w:val="0"/>
      <w:marTop w:val="0"/>
      <w:marBottom w:val="0"/>
      <w:divBdr>
        <w:top w:val="none" w:sz="0" w:space="0" w:color="auto"/>
        <w:left w:val="none" w:sz="0" w:space="0" w:color="auto"/>
        <w:bottom w:val="none" w:sz="0" w:space="0" w:color="auto"/>
        <w:right w:val="none" w:sz="0" w:space="0" w:color="auto"/>
      </w:divBdr>
    </w:div>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17159523">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536358022">
      <w:bodyDiv w:val="1"/>
      <w:marLeft w:val="0"/>
      <w:marRight w:val="0"/>
      <w:marTop w:val="0"/>
      <w:marBottom w:val="0"/>
      <w:divBdr>
        <w:top w:val="none" w:sz="0" w:space="0" w:color="auto"/>
        <w:left w:val="none" w:sz="0" w:space="0" w:color="auto"/>
        <w:bottom w:val="none" w:sz="0" w:space="0" w:color="auto"/>
        <w:right w:val="none" w:sz="0" w:space="0" w:color="auto"/>
      </w:divBdr>
    </w:div>
    <w:div w:id="782306113">
      <w:bodyDiv w:val="1"/>
      <w:marLeft w:val="0"/>
      <w:marRight w:val="0"/>
      <w:marTop w:val="0"/>
      <w:marBottom w:val="0"/>
      <w:divBdr>
        <w:top w:val="none" w:sz="0" w:space="0" w:color="auto"/>
        <w:left w:val="none" w:sz="0" w:space="0" w:color="auto"/>
        <w:bottom w:val="none" w:sz="0" w:space="0" w:color="auto"/>
        <w:right w:val="none" w:sz="0" w:space="0" w:color="auto"/>
      </w:divBdr>
    </w:div>
    <w:div w:id="801312384">
      <w:bodyDiv w:val="1"/>
      <w:marLeft w:val="0"/>
      <w:marRight w:val="0"/>
      <w:marTop w:val="0"/>
      <w:marBottom w:val="0"/>
      <w:divBdr>
        <w:top w:val="none" w:sz="0" w:space="0" w:color="auto"/>
        <w:left w:val="none" w:sz="0" w:space="0" w:color="auto"/>
        <w:bottom w:val="none" w:sz="0" w:space="0" w:color="auto"/>
        <w:right w:val="none" w:sz="0" w:space="0" w:color="auto"/>
      </w:divBdr>
    </w:div>
    <w:div w:id="1090859446">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337146814">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790584602">
      <w:bodyDiv w:val="1"/>
      <w:marLeft w:val="0"/>
      <w:marRight w:val="0"/>
      <w:marTop w:val="0"/>
      <w:marBottom w:val="0"/>
      <w:divBdr>
        <w:top w:val="none" w:sz="0" w:space="0" w:color="auto"/>
        <w:left w:val="none" w:sz="0" w:space="0" w:color="auto"/>
        <w:bottom w:val="none" w:sz="0" w:space="0" w:color="auto"/>
        <w:right w:val="none" w:sz="0" w:space="0" w:color="auto"/>
      </w:divBdr>
    </w:div>
    <w:div w:id="1938250269">
      <w:bodyDiv w:val="1"/>
      <w:marLeft w:val="0"/>
      <w:marRight w:val="0"/>
      <w:marTop w:val="0"/>
      <w:marBottom w:val="0"/>
      <w:divBdr>
        <w:top w:val="none" w:sz="0" w:space="0" w:color="auto"/>
        <w:left w:val="none" w:sz="0" w:space="0" w:color="auto"/>
        <w:bottom w:val="none" w:sz="0" w:space="0" w:color="auto"/>
        <w:right w:val="none" w:sz="0" w:space="0" w:color="auto"/>
      </w:divBdr>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 w:id="2047025171">
      <w:bodyDiv w:val="1"/>
      <w:marLeft w:val="0"/>
      <w:marRight w:val="0"/>
      <w:marTop w:val="0"/>
      <w:marBottom w:val="0"/>
      <w:divBdr>
        <w:top w:val="none" w:sz="0" w:space="0" w:color="auto"/>
        <w:left w:val="none" w:sz="0" w:space="0" w:color="auto"/>
        <w:bottom w:val="none" w:sz="0" w:space="0" w:color="auto"/>
        <w:right w:val="none" w:sz="0" w:space="0" w:color="auto"/>
      </w:divBdr>
    </w:div>
    <w:div w:id="207234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footer" Target="footer5.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7.xml"/><Relationship Id="rId29" Type="http://schemas.openxmlformats.org/officeDocument/2006/relationships/footer" Target="foot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8.xml"/><Relationship Id="rId32" Type="http://schemas.openxmlformats.org/officeDocument/2006/relationships/footer" Target="footer7.xml"/><Relationship Id="rId37" Type="http://schemas.openxmlformats.org/officeDocument/2006/relationships/image" Target="media/image5.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footer" Target="footer9.xml"/><Relationship Id="rId10" Type="http://schemas.openxmlformats.org/officeDocument/2006/relationships/chart" Target="charts/chart1.xml"/><Relationship Id="rId19" Type="http://schemas.openxmlformats.org/officeDocument/2006/relationships/chart" Target="charts/chart6.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header" Target="header4.xml"/><Relationship Id="rId27" Type="http://schemas.openxmlformats.org/officeDocument/2006/relationships/chart" Target="charts/chart9.xml"/><Relationship Id="rId30" Type="http://schemas.openxmlformats.org/officeDocument/2006/relationships/image" Target="media/image4.emf"/><Relationship Id="rId35"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seargueta\Desktop\Informes%202021\Sitfin\Julio\Sitfin%20al%20310721%20(1608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801624387420669E-2"/>
          <c:y val="2.9572763684913218E-2"/>
          <c:w val="0.87879660984298036"/>
          <c:h val="0.84682884265635017"/>
        </c:manualLayout>
      </c:layout>
      <c:barChart>
        <c:barDir val="col"/>
        <c:grouping val="clustered"/>
        <c:varyColors val="0"/>
        <c:ser>
          <c:idx val="0"/>
          <c:order val="0"/>
          <c:tx>
            <c:strRef>
              <c:f>'Reporte Diario'!$L$62</c:f>
              <c:strCache>
                <c:ptCount val="1"/>
                <c:pt idx="0">
                  <c:v>Déficit</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A4C8-4018-8699-2228E147D88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2018</c:v>
                </c:pt>
                <c:pt idx="1">
                  <c:v>2019</c:v>
                </c:pt>
                <c:pt idx="2">
                  <c:v>2020</c:v>
                </c:pt>
                <c:pt idx="3">
                  <c:v>2021</c:v>
                </c:pt>
              </c:numCache>
            </c:numRef>
          </c:cat>
          <c:val>
            <c:numRef>
              <c:f>'Reporte Diario'!$M$62:$P$62</c:f>
              <c:numCache>
                <c:formatCode>_-* #,##0.0_-;\-* #,##0.0_-;_-* "-"??_-;_-@_-</c:formatCode>
                <c:ptCount val="4"/>
                <c:pt idx="0">
                  <c:v>-495.69224975999987</c:v>
                </c:pt>
                <c:pt idx="1">
                  <c:v>-4096.57633919</c:v>
                </c:pt>
                <c:pt idx="2">
                  <c:v>-11118.978554469999</c:v>
                </c:pt>
                <c:pt idx="3">
                  <c:v>-1309.1562362599943</c:v>
                </c:pt>
              </c:numCache>
            </c:numRef>
          </c:val>
          <c:extLst>
            <c:ext xmlns:c16="http://schemas.microsoft.com/office/drawing/2014/chart" uri="{C3380CC4-5D6E-409C-BE32-E72D297353CC}">
              <c16:uniqueId val="{00000002-A4C8-4018-8699-2228E147D88B}"/>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875302880574503E-2"/>
          <c:y val="2.7176250983067547E-2"/>
          <c:w val="0.87939954915193441"/>
          <c:h val="0.84240503330585481"/>
        </c:manualLayout>
      </c:layout>
      <c:bubbleChart>
        <c:varyColors val="0"/>
        <c:ser>
          <c:idx val="0"/>
          <c:order val="0"/>
          <c:tx>
            <c:strRef>
              <c:f>Hoja1!$B$1</c:f>
              <c:strCache>
                <c:ptCount val="1"/>
                <c:pt idx="0">
                  <c:v>2021-2020</c:v>
                </c:pt>
              </c:strCache>
            </c:strRef>
          </c:tx>
          <c:spPr>
            <a:pattFill prst="ltUpDiag">
              <a:fgClr>
                <a:schemeClr val="accent1"/>
              </a:fgClr>
              <a:bgClr>
                <a:schemeClr val="bg1"/>
              </a:bgClr>
            </a:pattFill>
            <a:ln>
              <a:noFill/>
            </a:ln>
            <a:effectLst/>
          </c:spPr>
          <c:invertIfNegative val="0"/>
          <c:dLbls>
            <c:dLbl>
              <c:idx val="0"/>
              <c:layout>
                <c:manualLayout>
                  <c:x val="-8.3377903803931019E-3"/>
                  <c:y val="-5.37778219960772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62-4953-8CD6-2F0FF108B223}"/>
                </c:ext>
              </c:extLst>
            </c:dLbl>
            <c:dLbl>
              <c:idx val="1"/>
              <c:layout>
                <c:manualLayout>
                  <c:x val="6.8605285725422934E-3"/>
                  <c:y val="-0.1438400750447710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62-4953-8CD6-2F0FF108B223}"/>
                </c:ext>
              </c:extLst>
            </c:dLbl>
            <c:dLbl>
              <c:idx val="2"/>
              <c:layout>
                <c:manualLayout>
                  <c:x val="-7.9119807238002771E-2"/>
                  <c:y val="-0.2241261358575665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62-4953-8CD6-2F0FF108B223}"/>
                </c:ext>
              </c:extLst>
            </c:dLbl>
            <c:dLbl>
              <c:idx val="3"/>
              <c:layout>
                <c:manualLayout>
                  <c:x val="9.2102233479161872E-3"/>
                  <c:y val="7.821901323706377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62-4953-8CD6-2F0FF108B223}"/>
                </c:ext>
              </c:extLst>
            </c:dLbl>
            <c:dLbl>
              <c:idx val="4"/>
              <c:layout>
                <c:manualLayout>
                  <c:x val="-3.5457909460603634E-2"/>
                  <c:y val="-0.1278565811042572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62-4953-8CD6-2F0FF108B223}"/>
                </c:ext>
              </c:extLst>
            </c:dLbl>
            <c:dLbl>
              <c:idx val="5"/>
              <c:layout>
                <c:manualLayout>
                  <c:x val="-2.161139021794507E-3"/>
                  <c:y val="-0.1641476449017879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62-4953-8CD6-2F0FF108B22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strRef>
              <c:f>Hoja1!$A$2:$A$7</c:f>
              <c:strCache>
                <c:ptCount val="6"/>
                <c:pt idx="0">
                  <c:v>IVA imp</c:v>
                </c:pt>
                <c:pt idx="1">
                  <c:v>Los demás</c:v>
                </c:pt>
                <c:pt idx="2">
                  <c:v>Petróleo</c:v>
                </c:pt>
                <c:pt idx="3">
                  <c:v>ISO</c:v>
                </c:pt>
                <c:pt idx="4">
                  <c:v>ISR</c:v>
                </c:pt>
                <c:pt idx="5">
                  <c:v>IVA dom</c:v>
                </c:pt>
              </c:strCache>
            </c:strRef>
          </c:xVal>
          <c:yVal>
            <c:numRef>
              <c:f>Hoja1!$B$2:$B$7</c:f>
              <c:numCache>
                <c:formatCode>General</c:formatCode>
                <c:ptCount val="6"/>
                <c:pt idx="0">
                  <c:v>3266.7175584799925</c:v>
                </c:pt>
                <c:pt idx="1">
                  <c:v>1594.1314763299997</c:v>
                </c:pt>
                <c:pt idx="2">
                  <c:v>504.45175894999943</c:v>
                </c:pt>
                <c:pt idx="3">
                  <c:v>332.16565248999905</c:v>
                </c:pt>
                <c:pt idx="4">
                  <c:v>2996.6322897100035</c:v>
                </c:pt>
                <c:pt idx="5">
                  <c:v>1612.8010660300033</c:v>
                </c:pt>
              </c:numCache>
            </c:numRef>
          </c:yVal>
          <c:bubbleSize>
            <c:numLit>
              <c:formatCode>General</c:formatCode>
              <c:ptCount val="6"/>
              <c:pt idx="0">
                <c:v>1</c:v>
              </c:pt>
              <c:pt idx="1">
                <c:v>1</c:v>
              </c:pt>
              <c:pt idx="2">
                <c:v>1</c:v>
              </c:pt>
              <c:pt idx="3">
                <c:v>1</c:v>
              </c:pt>
              <c:pt idx="4">
                <c:v>1</c:v>
              </c:pt>
              <c:pt idx="5">
                <c:v>1</c:v>
              </c:pt>
            </c:numLit>
          </c:bubbleSize>
          <c:bubble3D val="1"/>
          <c:extLst>
            <c:ext xmlns:c16="http://schemas.microsoft.com/office/drawing/2014/chart" uri="{C3380CC4-5D6E-409C-BE32-E72D297353CC}">
              <c16:uniqueId val="{00000006-BB62-4953-8CD6-2F0FF108B223}"/>
            </c:ext>
          </c:extLst>
        </c:ser>
        <c:ser>
          <c:idx val="1"/>
          <c:order val="1"/>
          <c:tx>
            <c:strRef>
              <c:f>Hoja1!$C$1</c:f>
              <c:strCache>
                <c:ptCount val="1"/>
                <c:pt idx="0">
                  <c:v>2021-Presupuesto</c:v>
                </c:pt>
              </c:strCache>
            </c:strRef>
          </c:tx>
          <c:spPr>
            <a:pattFill prst="ltDnDiag">
              <a:fgClr>
                <a:srgbClr val="FF0000"/>
              </a:fgClr>
              <a:bgClr>
                <a:schemeClr val="bg1"/>
              </a:bgClr>
            </a:pattFill>
            <a:ln>
              <a:solidFill>
                <a:srgbClr val="FF0000"/>
              </a:solidFill>
            </a:ln>
            <a:effectLst/>
          </c:spPr>
          <c:invertIfNegative val="0"/>
          <c:dLbls>
            <c:dLbl>
              <c:idx val="0"/>
              <c:layout>
                <c:manualLayout>
                  <c:x val="-6.7267265089446561E-3"/>
                  <c:y val="-0.1000293735846196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62-4953-8CD6-2F0FF108B223}"/>
                </c:ext>
              </c:extLst>
            </c:dLbl>
            <c:dLbl>
              <c:idx val="1"/>
              <c:layout>
                <c:manualLayout>
                  <c:x val="-0.36187040055406389"/>
                  <c:y val="-5.433544633635607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62-4953-8CD6-2F0FF108B223}"/>
                </c:ext>
              </c:extLst>
            </c:dLbl>
            <c:dLbl>
              <c:idx val="2"/>
              <c:layout>
                <c:manualLayout>
                  <c:x val="4.6051116739580095E-3"/>
                  <c:y val="-0.1323706377858002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62-4953-8CD6-2F0FF108B223}"/>
                </c:ext>
              </c:extLst>
            </c:dLbl>
            <c:dLbl>
              <c:idx val="3"/>
              <c:layout>
                <c:manualLayout>
                  <c:x val="9.5325811650933383E-3"/>
                  <c:y val="0.1255990789959918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B62-4953-8CD6-2F0FF108B223}"/>
                </c:ext>
              </c:extLst>
            </c:dLbl>
            <c:dLbl>
              <c:idx val="4"/>
              <c:layout>
                <c:manualLayout>
                  <c:x val="6.4055186006405473E-2"/>
                  <c:y val="1.635768811341330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B62-4953-8CD6-2F0FF108B223}"/>
                </c:ext>
              </c:extLst>
            </c:dLbl>
            <c:dLbl>
              <c:idx val="5"/>
              <c:layout>
                <c:manualLayout>
                  <c:x val="-4.1888385872097559E-3"/>
                  <c:y val="0.1545614334309294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B62-4953-8CD6-2F0FF108B22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strRef>
              <c:f>Hoja1!$A$2:$A$7</c:f>
              <c:strCache>
                <c:ptCount val="6"/>
                <c:pt idx="0">
                  <c:v>IVA imp</c:v>
                </c:pt>
                <c:pt idx="1">
                  <c:v>Los demás</c:v>
                </c:pt>
                <c:pt idx="2">
                  <c:v>Petróleo</c:v>
                </c:pt>
                <c:pt idx="3">
                  <c:v>ISO</c:v>
                </c:pt>
                <c:pt idx="4">
                  <c:v>ISR</c:v>
                </c:pt>
                <c:pt idx="5">
                  <c:v>IVA dom</c:v>
                </c:pt>
              </c:strCache>
            </c:strRef>
          </c:xVal>
          <c:yVal>
            <c:numRef>
              <c:f>Hoja1!$C$2:$C$7</c:f>
              <c:numCache>
                <c:formatCode>General</c:formatCode>
                <c:ptCount val="6"/>
                <c:pt idx="0">
                  <c:v>2103.9530163599884</c:v>
                </c:pt>
                <c:pt idx="1">
                  <c:v>664.34146695589266</c:v>
                </c:pt>
                <c:pt idx="2">
                  <c:v>421.64100503999657</c:v>
                </c:pt>
                <c:pt idx="3">
                  <c:v>203.24051816999963</c:v>
                </c:pt>
                <c:pt idx="4">
                  <c:v>3087.315688870005</c:v>
                </c:pt>
                <c:pt idx="5">
                  <c:v>928.2784442300017</c:v>
                </c:pt>
              </c:numCache>
            </c:numRef>
          </c:yVal>
          <c:bubbleSize>
            <c:numLit>
              <c:formatCode>General</c:formatCode>
              <c:ptCount val="6"/>
              <c:pt idx="0">
                <c:v>1</c:v>
              </c:pt>
              <c:pt idx="1">
                <c:v>1</c:v>
              </c:pt>
              <c:pt idx="2">
                <c:v>1</c:v>
              </c:pt>
              <c:pt idx="3">
                <c:v>1</c:v>
              </c:pt>
              <c:pt idx="4">
                <c:v>1</c:v>
              </c:pt>
              <c:pt idx="5">
                <c:v>1</c:v>
              </c:pt>
            </c:numLit>
          </c:bubbleSize>
          <c:bubble3D val="1"/>
          <c:extLst>
            <c:ext xmlns:c16="http://schemas.microsoft.com/office/drawing/2014/chart" uri="{C3380CC4-5D6E-409C-BE32-E72D297353CC}">
              <c16:uniqueId val="{0000000D-BB62-4953-8CD6-2F0FF108B223}"/>
            </c:ext>
          </c:extLst>
        </c:ser>
        <c:dLbls>
          <c:showLegendKey val="0"/>
          <c:showVal val="0"/>
          <c:showCatName val="0"/>
          <c:showSerName val="0"/>
          <c:showPercent val="0"/>
          <c:showBubbleSize val="0"/>
        </c:dLbls>
        <c:bubbleScale val="90"/>
        <c:showNegBubbles val="1"/>
        <c:sizeRepresents val="w"/>
        <c:axId val="717364616"/>
        <c:axId val="717367568"/>
      </c:bubbleChart>
      <c:val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crossBetween val="midCat"/>
      </c:val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mn-lt"/>
                <a:ea typeface="+mn-ea"/>
                <a:cs typeface="+mn-cs"/>
              </a:defRPr>
            </a:pPr>
            <a:endParaRPr lang="es-GT"/>
          </a:p>
        </c:txPr>
        <c:crossAx val="717364616"/>
        <c:crosses val="autoZero"/>
        <c:crossBetween val="midCat"/>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9205002233139795"/>
          <c:y val="0.92671148507158629"/>
          <c:w val="0.700067988853454"/>
          <c:h val="7.328851492841373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02855324902571"/>
          <c:y val="3.1995541841673462E-2"/>
          <c:w val="0.85833483674851063"/>
          <c:h val="0.81784501707928714"/>
        </c:manualLayout>
      </c:layout>
      <c:lineChart>
        <c:grouping val="standard"/>
        <c:varyColors val="0"/>
        <c:ser>
          <c:idx val="0"/>
          <c:order val="0"/>
          <c:tx>
            <c:strRef>
              <c:f>Hoja1!$B$1</c:f>
              <c:strCache>
                <c:ptCount val="1"/>
                <c:pt idx="0">
                  <c:v>Var </c:v>
                </c:pt>
              </c:strCache>
            </c:strRef>
          </c:tx>
          <c:spPr>
            <a:ln w="22225" cap="rnd">
              <a:solidFill>
                <a:schemeClr val="accent1"/>
              </a:solidFill>
              <a:round/>
            </a:ln>
            <a:effectLst/>
          </c:spPr>
          <c:marker>
            <c:symbol val="circle"/>
            <c:size val="5"/>
            <c:spPr>
              <a:solidFill>
                <a:schemeClr val="lt1"/>
              </a:solidFill>
              <a:ln w="15875">
                <a:solidFill>
                  <a:schemeClr val="accent1"/>
                </a:solidFill>
                <a:round/>
              </a:ln>
              <a:effectLst/>
            </c:spPr>
          </c:marker>
          <c:dLbls>
            <c:dLbl>
              <c:idx val="3"/>
              <c:layout>
                <c:manualLayout>
                  <c:x val="-7.0830447746138156E-2"/>
                  <c:y val="8.87697507048090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70-449F-94DF-4E8DD9396C80}"/>
                </c:ext>
              </c:extLst>
            </c:dLbl>
            <c:dLbl>
              <c:idx val="5"/>
              <c:layout>
                <c:manualLayout>
                  <c:x val="-5.1121159744167234E-2"/>
                  <c:y val="-9.6552710377474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70-449F-94DF-4E8DD9396C80}"/>
                </c:ext>
              </c:extLst>
            </c:dLbl>
            <c:dLbl>
              <c:idx val="6"/>
              <c:layout>
                <c:manualLayout>
                  <c:x val="-8.0685091747123627E-2"/>
                  <c:y val="8.13568522615175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70-449F-94DF-4E8DD9396C80}"/>
                </c:ext>
              </c:extLst>
            </c:dLbl>
            <c:dLbl>
              <c:idx val="8"/>
              <c:layout>
                <c:manualLayout>
                  <c:x val="-4.4916225826538867E-3"/>
                  <c:y val="-1.18606375092661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70-449F-94DF-4E8DD9396C8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Hoja1!$B$2:$B$11</c:f>
              <c:numCache>
                <c:formatCode>General</c:formatCode>
                <c:ptCount val="10"/>
                <c:pt idx="0">
                  <c:v>6.23856444126345E-2</c:v>
                </c:pt>
                <c:pt idx="1">
                  <c:v>9.8447820088387816E-2</c:v>
                </c:pt>
                <c:pt idx="2">
                  <c:v>5.0169621191741287E-2</c:v>
                </c:pt>
                <c:pt idx="3">
                  <c:v>2.435277148330095E-2</c:v>
                </c:pt>
                <c:pt idx="4">
                  <c:v>6.9339644115689492E-2</c:v>
                </c:pt>
                <c:pt idx="5">
                  <c:v>6.1343282800082388E-2</c:v>
                </c:pt>
                <c:pt idx="6">
                  <c:v>3.4246820315482207E-2</c:v>
                </c:pt>
                <c:pt idx="7">
                  <c:v>4.4113053319681628E-2</c:v>
                </c:pt>
                <c:pt idx="8">
                  <c:v>-6.6850729747290227E-2</c:v>
                </c:pt>
                <c:pt idx="9">
                  <c:v>0.29783441570792135</c:v>
                </c:pt>
              </c:numCache>
            </c:numRef>
          </c:val>
          <c:smooth val="1"/>
          <c:extLst>
            <c:ext xmlns:c16="http://schemas.microsoft.com/office/drawing/2014/chart" uri="{C3380CC4-5D6E-409C-BE32-E72D297353CC}">
              <c16:uniqueId val="{00000004-FE70-449F-94DF-4E8DD9396C80}"/>
            </c:ext>
          </c:extLst>
        </c:ser>
        <c:dLbls>
          <c:showLegendKey val="0"/>
          <c:showVal val="0"/>
          <c:showCatName val="0"/>
          <c:showSerName val="0"/>
          <c:showPercent val="0"/>
          <c:showBubbleSize val="0"/>
        </c:dLbls>
        <c:marker val="1"/>
        <c:smooth val="0"/>
        <c:axId val="472240352"/>
        <c:axId val="472234776"/>
      </c:lineChart>
      <c:catAx>
        <c:axId val="47224035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8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72234776"/>
        <c:crosses val="autoZero"/>
        <c:auto val="1"/>
        <c:lblAlgn val="ctr"/>
        <c:lblOffset val="100"/>
        <c:noMultiLvlLbl val="0"/>
      </c:catAx>
      <c:valAx>
        <c:axId val="47223477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7224035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sz="800"/>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52367019503562E-2"/>
          <c:y val="2.0471470641031241E-2"/>
          <c:w val="0.90205628106458469"/>
          <c:h val="0.7660694446465911"/>
        </c:manualLayout>
      </c:layout>
      <c:barChart>
        <c:barDir val="col"/>
        <c:grouping val="clustered"/>
        <c:varyColors val="0"/>
        <c:ser>
          <c:idx val="1"/>
          <c:order val="1"/>
          <c:tx>
            <c:strRef>
              <c:f>Sheet1!$C$1</c:f>
              <c:strCache>
                <c:ptCount val="1"/>
                <c:pt idx="0">
                  <c:v>2021</c:v>
                </c:pt>
              </c:strCache>
            </c:strRef>
          </c:tx>
          <c:spPr>
            <a:solidFill>
              <a:srgbClr val="FF7C80"/>
            </a:solidFill>
            <a:ln w="12700">
              <a:solidFill>
                <a:schemeClr val="tx1"/>
              </a:solidFill>
            </a:ln>
            <a:effectLst/>
          </c:spPr>
          <c:invertIfNegative val="0"/>
          <c:dLbls>
            <c:dLbl>
              <c:idx val="0"/>
              <c:layout>
                <c:manualLayout>
                  <c:x val="0"/>
                  <c:y val="9.20643153526971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53-4FD4-8181-78AD675150C2}"/>
                </c:ext>
              </c:extLst>
            </c:dLbl>
            <c:dLbl>
              <c:idx val="1"/>
              <c:layout>
                <c:manualLayout>
                  <c:x val="0"/>
                  <c:y val="9.72510373443982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53-4FD4-8181-78AD675150C2}"/>
                </c:ext>
              </c:extLst>
            </c:dLbl>
            <c:dLbl>
              <c:idx val="2"/>
              <c:layout>
                <c:manualLayout>
                  <c:x val="0"/>
                  <c:y val="8.0687832848694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53-4FD4-8181-78AD675150C2}"/>
                </c:ext>
              </c:extLst>
            </c:dLbl>
            <c:dLbl>
              <c:idx val="3"/>
              <c:layout>
                <c:manualLayout>
                  <c:x val="3.9468507099136252E-17"/>
                  <c:y val="1.94988074623451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53-4FD4-8181-78AD675150C2}"/>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53-4FD4-8181-78AD675150C2}"/>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53-4FD4-8181-78AD675150C2}"/>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53-4FD4-8181-78AD675150C2}"/>
                </c:ext>
              </c:extLst>
            </c:dLbl>
            <c:dLbl>
              <c:idx val="9"/>
              <c:layout>
                <c:manualLayout>
                  <c:x val="0"/>
                  <c:y val="1.68568464730290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C53-4FD4-8181-78AD675150C2}"/>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C53-4FD4-8181-78AD675150C2}"/>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3.7189413058487304</c:v>
                </c:pt>
                <c:pt idx="1">
                  <c:v>6.1267370575853732</c:v>
                </c:pt>
                <c:pt idx="2">
                  <c:v>1.9518107242856928</c:v>
                </c:pt>
                <c:pt idx="3">
                  <c:v>11.31040113518587</c:v>
                </c:pt>
                <c:pt idx="4">
                  <c:v>6.3930371872600773</c:v>
                </c:pt>
                <c:pt idx="5">
                  <c:v>0.38854905082506264</c:v>
                </c:pt>
                <c:pt idx="6">
                  <c:v>1.4992457432228861</c:v>
                </c:pt>
              </c:numCache>
            </c:numRef>
          </c:val>
          <c:extLst>
            <c:ext xmlns:c16="http://schemas.microsoft.com/office/drawing/2014/chart" uri="{C3380CC4-5D6E-409C-BE32-E72D297353CC}">
              <c16:uniqueId val="{00000009-FC53-4FD4-8181-78AD675150C2}"/>
            </c:ext>
          </c:extLst>
        </c:ser>
        <c:dLbls>
          <c:showLegendKey val="0"/>
          <c:showVal val="0"/>
          <c:showCatName val="0"/>
          <c:showSerName val="0"/>
          <c:showPercent val="0"/>
          <c:showBubbleSize val="0"/>
        </c:dLbls>
        <c:gapWidth val="62"/>
        <c:overlap val="-27"/>
        <c:axId val="287593168"/>
        <c:axId val="287595464"/>
      </c:barChart>
      <c:lineChart>
        <c:grouping val="stacked"/>
        <c:varyColors val="0"/>
        <c:ser>
          <c:idx val="0"/>
          <c:order val="0"/>
          <c:tx>
            <c:strRef>
              <c:f>Sheet1!$B$1</c:f>
              <c:strCache>
                <c:ptCount val="1"/>
                <c:pt idx="0">
                  <c:v>2020</c:v>
                </c:pt>
              </c:strCache>
            </c:strRef>
          </c:tx>
          <c:spPr>
            <a:ln w="15875" cap="rnd">
              <a:solidFill>
                <a:schemeClr val="accent1"/>
              </a:solidFill>
              <a:prstDash val="sysDash"/>
              <a:round/>
            </a:ln>
            <a:effectLst/>
          </c:spPr>
          <c:marker>
            <c:symbol val="circle"/>
            <c:size val="4"/>
            <c:spPr>
              <a:solidFill>
                <a:schemeClr val="accent1"/>
              </a:solidFill>
              <a:ln w="3175">
                <a:solidFill>
                  <a:schemeClr val="accent1"/>
                </a:solidFill>
              </a:ln>
              <a:effectLst/>
            </c:spPr>
          </c:marker>
          <c:dLbls>
            <c:dLbl>
              <c:idx val="0"/>
              <c:layout>
                <c:manualLayout>
                  <c:x val="-5.6657223796033995E-2"/>
                  <c:y val="-4.7267355982274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C53-4FD4-8181-78AD675150C2}"/>
                </c:ext>
              </c:extLst>
            </c:dLbl>
            <c:dLbl>
              <c:idx val="1"/>
              <c:layout>
                <c:manualLayout>
                  <c:x val="-6.3041624640838081E-2"/>
                  <c:y val="5.0289149540954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C53-4FD4-8181-78AD675150C2}"/>
                </c:ext>
              </c:extLst>
            </c:dLbl>
            <c:dLbl>
              <c:idx val="2"/>
              <c:layout>
                <c:manualLayout>
                  <c:x val="-5.235160997770865E-2"/>
                  <c:y val="-3.5720178390564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C53-4FD4-8181-78AD675150C2}"/>
                </c:ext>
              </c:extLst>
            </c:dLbl>
            <c:dLbl>
              <c:idx val="3"/>
              <c:layout>
                <c:manualLayout>
                  <c:x val="-6.1378673198681163E-2"/>
                  <c:y val="3.1255105041330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C53-4FD4-8181-78AD675150C2}"/>
                </c:ext>
              </c:extLst>
            </c:dLbl>
            <c:dLbl>
              <c:idx val="4"/>
              <c:layout>
                <c:manualLayout>
                  <c:x val="-1.0988023698329421E-3"/>
                  <c:y val="-1.470374424151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C53-4FD4-8181-78AD675150C2}"/>
                </c:ext>
              </c:extLst>
            </c:dLbl>
            <c:dLbl>
              <c:idx val="5"/>
              <c:layout>
                <c:manualLayout>
                  <c:x val="-6.915877711195681E-2"/>
                  <c:y val="-4.0637354200019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C53-4FD4-8181-78AD675150C2}"/>
                </c:ext>
              </c:extLst>
            </c:dLbl>
            <c:dLbl>
              <c:idx val="6"/>
              <c:layout>
                <c:manualLayout>
                  <c:x val="-7.5489811186583891E-2"/>
                  <c:y val="-4.7267381780604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C53-4FD4-8181-78AD675150C2}"/>
                </c:ext>
              </c:extLst>
            </c:dLbl>
            <c:dLbl>
              <c:idx val="7"/>
              <c:layout>
                <c:manualLayout>
                  <c:x val="-6.9990083317087975E-2"/>
                  <c:y val="-4.6545724834188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C53-4FD4-8181-78AD675150C2}"/>
                </c:ext>
              </c:extLst>
            </c:dLbl>
            <c:dLbl>
              <c:idx val="8"/>
              <c:layout>
                <c:manualLayout>
                  <c:x val="-4.9708856360662211E-2"/>
                  <c:y val="5.24540954683568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C53-4FD4-8181-78AD675150C2}"/>
                </c:ext>
              </c:extLst>
            </c:dLbl>
            <c:dLbl>
              <c:idx val="9"/>
              <c:layout>
                <c:manualLayout>
                  <c:x val="-3.2486036123848351E-2"/>
                  <c:y val="4.0637354200019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C53-4FD4-8181-78AD675150C2}"/>
                </c:ext>
              </c:extLst>
            </c:dLbl>
            <c:dLbl>
              <c:idx val="10"/>
              <c:layout>
                <c:manualLayout>
                  <c:x val="-7.0405736419653836E-2"/>
                  <c:y val="-3.6441827033031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C53-4FD4-8181-78AD675150C2}"/>
                </c:ext>
              </c:extLst>
            </c:dLbl>
            <c:dLbl>
              <c:idx val="11"/>
              <c:layout>
                <c:manualLayout>
                  <c:x val="-8.3130620513124768E-4"/>
                  <c:y val="-4.2350197667200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C53-4FD4-8181-78AD675150C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4.8191861258905817</c:v>
                </c:pt>
                <c:pt idx="1">
                  <c:v>9.5655130970186519E-2</c:v>
                </c:pt>
                <c:pt idx="2">
                  <c:v>2.3974325379896584</c:v>
                </c:pt>
                <c:pt idx="3">
                  <c:v>-1.9848700717106169</c:v>
                </c:pt>
                <c:pt idx="4">
                  <c:v>4.2224631181484256</c:v>
                </c:pt>
                <c:pt idx="5">
                  <c:v>9.0680434021580965</c:v>
                </c:pt>
                <c:pt idx="6">
                  <c:v>10.232293442045986</c:v>
                </c:pt>
                <c:pt idx="7">
                  <c:v>12.533229099769343</c:v>
                </c:pt>
                <c:pt idx="8">
                  <c:v>14.872198669992656</c:v>
                </c:pt>
                <c:pt idx="9">
                  <c:v>14.678379762438269</c:v>
                </c:pt>
                <c:pt idx="10">
                  <c:v>15.472802612662733</c:v>
                </c:pt>
                <c:pt idx="11">
                  <c:v>17.151091678742532</c:v>
                </c:pt>
              </c:numCache>
            </c:numRef>
          </c:val>
          <c:smooth val="0"/>
          <c:extLst>
            <c:ext xmlns:c16="http://schemas.microsoft.com/office/drawing/2014/chart" uri="{C3380CC4-5D6E-409C-BE32-E72D297353CC}">
              <c16:uniqueId val="{00000016-FC53-4FD4-8181-78AD675150C2}"/>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in val="-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65501181472729819"/>
          <c:y val="0.34502509568234158"/>
          <c:w val="0.25118035882908402"/>
          <c:h val="0.13928916187159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5.6323604710701483E-2"/>
          <c:w val="0.57115149606299209"/>
          <c:h val="0.78969080477843501"/>
        </c:manualLayout>
      </c:layout>
      <c:barChart>
        <c:barDir val="bar"/>
        <c:grouping val="clustered"/>
        <c:varyColors val="0"/>
        <c:ser>
          <c:idx val="0"/>
          <c:order val="0"/>
          <c:tx>
            <c:strRef>
              <c:f>Sheet1!$B$1</c:f>
              <c:strCache>
                <c:ptCount val="1"/>
                <c:pt idx="0">
                  <c:v>2020</c:v>
                </c:pt>
              </c:strCache>
            </c:strRef>
          </c:tx>
          <c:spPr>
            <a:solidFill>
              <a:schemeClr val="accent1">
                <a:lumMod val="75000"/>
              </a:schemeClr>
            </a:solidFill>
            <a:ln w="15875">
              <a:solidFill>
                <a:srgbClr val="002060"/>
              </a:solidFill>
            </a:ln>
            <a:effectLst>
              <a:outerShdw blurRad="50800" dist="38100" dir="2700000" algn="tl" rotWithShape="0">
                <a:prstClr val="black">
                  <a:alpha val="40000"/>
                </a:prstClr>
              </a:outerShdw>
            </a:effectLst>
          </c:spPr>
          <c:invertIfNegative val="0"/>
          <c:dLbls>
            <c:dLbl>
              <c:idx val="0"/>
              <c:layout>
                <c:manualLayout>
                  <c:x val="-8.5796707843951939E-3"/>
                  <c:y val="1.4680598003643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67-4124-A26C-33E09BC58FAF}"/>
                </c:ext>
              </c:extLst>
            </c:dLbl>
            <c:dLbl>
              <c:idx val="1"/>
              <c:layout>
                <c:manualLayout>
                  <c:x val="-1.2869337278786098E-2"/>
                  <c:y val="1.4340344168260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67-4124-A26C-33E09BC58FAF}"/>
                </c:ext>
              </c:extLst>
            </c:dLbl>
            <c:dLbl>
              <c:idx val="3"/>
              <c:layout>
                <c:manualLayout>
                  <c:x val="-3.9996850393700786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67-4124-A26C-33E09BC58FAF}"/>
                </c:ext>
              </c:extLst>
            </c:dLbl>
            <c:dLbl>
              <c:idx val="5"/>
              <c:layout>
                <c:manualLayout>
                  <c:x val="-1.4067995310668316E-2"/>
                  <c:y val="-4.047046699238143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67-4124-A26C-33E09BC58FAF}"/>
                </c:ext>
              </c:extLst>
            </c:dLbl>
            <c:dLbl>
              <c:idx val="6"/>
              <c:layout>
                <c:manualLayout>
                  <c:x val="-4.6893317702227429E-3"/>
                  <c:y val="1.324503311258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67-4124-A26C-33E09BC58FAF}"/>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67-4124-A26C-33E09BC58FAF}"/>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Sheet1!$A$2:$A$9</c:f>
              <c:strCache>
                <c:ptCount val="8"/>
                <c:pt idx="0">
                  <c:v>Trans. Corrientes</c:v>
                </c:pt>
                <c:pt idx="1">
                  <c:v>Inversión Financiera</c:v>
                </c:pt>
                <c:pt idx="2">
                  <c:v>Prestaciones a la S.S</c:v>
                </c:pt>
                <c:pt idx="3">
                  <c:v>Inversión Real Directa</c:v>
                </c:pt>
                <c:pt idx="4">
                  <c:v>Trans. De Capital</c:v>
                </c:pt>
                <c:pt idx="5">
                  <c:v>Remuneraciones </c:v>
                </c:pt>
                <c:pt idx="6">
                  <c:v>Intereses </c:v>
                </c:pt>
                <c:pt idx="7">
                  <c:v>Bienes y servicios </c:v>
                </c:pt>
              </c:strCache>
            </c:strRef>
          </c:cat>
          <c:val>
            <c:numRef>
              <c:f>Sheet1!$B$2:$B$9</c:f>
              <c:numCache>
                <c:formatCode>#,##0.0</c:formatCode>
                <c:ptCount val="8"/>
                <c:pt idx="0">
                  <c:v>2342.92</c:v>
                </c:pt>
                <c:pt idx="1">
                  <c:v>1446.67</c:v>
                </c:pt>
                <c:pt idx="2">
                  <c:v>38.119999999999891</c:v>
                </c:pt>
                <c:pt idx="3">
                  <c:v>-899.97000000000025</c:v>
                </c:pt>
                <c:pt idx="4">
                  <c:v>-137.18000000000029</c:v>
                </c:pt>
                <c:pt idx="5">
                  <c:v>1420.7800000000007</c:v>
                </c:pt>
                <c:pt idx="6">
                  <c:v>271.19000000000051</c:v>
                </c:pt>
                <c:pt idx="7">
                  <c:v>11.609999999999673</c:v>
                </c:pt>
              </c:numCache>
            </c:numRef>
          </c:val>
          <c:extLst>
            <c:ext xmlns:c16="http://schemas.microsoft.com/office/drawing/2014/chart" uri="{C3380CC4-5D6E-409C-BE32-E72D297353CC}">
              <c16:uniqueId val="{00000006-D567-4124-A26C-33E09BC58FAF}"/>
            </c:ext>
          </c:extLst>
        </c:ser>
        <c:ser>
          <c:idx val="1"/>
          <c:order val="1"/>
          <c:tx>
            <c:strRef>
              <c:f>Sheet1!$C$1</c:f>
              <c:strCache>
                <c:ptCount val="1"/>
                <c:pt idx="0">
                  <c:v>2021</c:v>
                </c:pt>
              </c:strCache>
            </c:strRef>
          </c:tx>
          <c:spPr>
            <a:solidFill>
              <a:srgbClr val="92D050"/>
            </a:solidFill>
            <a:ln w="15875">
              <a:solidFill>
                <a:schemeClr val="accent3">
                  <a:lumMod val="50000"/>
                </a:schemeClr>
              </a:solidFill>
            </a:ln>
            <a:effectLst>
              <a:outerShdw blurRad="50800" dist="38100" dir="2700000" algn="tl" rotWithShape="0">
                <a:prstClr val="black">
                  <a:alpha val="40000"/>
                </a:prstClr>
              </a:outerShdw>
            </a:effectLst>
          </c:spPr>
          <c:invertIfNegative val="0"/>
          <c:dLbls>
            <c:dLbl>
              <c:idx val="0"/>
              <c:layout>
                <c:manualLayout>
                  <c:x val="-8.8297901800961864E-2"/>
                  <c:y val="3.8605968955867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67-4124-A26C-33E09BC58FAF}"/>
                </c:ext>
              </c:extLst>
            </c:dLbl>
            <c:dLbl>
              <c:idx val="1"/>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67-4124-A26C-33E09BC58FAF}"/>
                </c:ext>
              </c:extLst>
            </c:dLbl>
            <c:dLbl>
              <c:idx val="2"/>
              <c:layout>
                <c:manualLayout>
                  <c:x val="-8.5801574803149611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67-4124-A26C-33E09BC58FAF}"/>
                </c:ext>
              </c:extLst>
            </c:dLbl>
            <c:dLbl>
              <c:idx val="4"/>
              <c:layout>
                <c:manualLayout>
                  <c:x val="0"/>
                  <c:y val="-9.56022944550669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567-4124-A26C-33E09BC58FAF}"/>
                </c:ext>
              </c:extLst>
            </c:dLbl>
            <c:dLbl>
              <c:idx val="6"/>
              <c:layout>
                <c:manualLayout>
                  <c:x val="0"/>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567-4124-A26C-33E09BC58FAF}"/>
                </c:ext>
              </c:extLst>
            </c:dLbl>
            <c:dLbl>
              <c:idx val="7"/>
              <c:layout>
                <c:manualLayout>
                  <c:x val="-1.4067995310668231E-2"/>
                  <c:y val="-4.01626948949263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567-4124-A26C-33E09BC58FAF}"/>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Sheet1!$A$2:$A$9</c:f>
              <c:strCache>
                <c:ptCount val="8"/>
                <c:pt idx="0">
                  <c:v>Trans. Corrientes</c:v>
                </c:pt>
                <c:pt idx="1">
                  <c:v>Inversión Financiera</c:v>
                </c:pt>
                <c:pt idx="2">
                  <c:v>Prestaciones a la S.S</c:v>
                </c:pt>
                <c:pt idx="3">
                  <c:v>Inversión Real Directa</c:v>
                </c:pt>
                <c:pt idx="4">
                  <c:v>Trans. De Capital</c:v>
                </c:pt>
                <c:pt idx="5">
                  <c:v>Remuneraciones </c:v>
                </c:pt>
                <c:pt idx="6">
                  <c:v>Intereses </c:v>
                </c:pt>
                <c:pt idx="7">
                  <c:v>Bienes y servicios </c:v>
                </c:pt>
              </c:strCache>
            </c:strRef>
          </c:cat>
          <c:val>
            <c:numRef>
              <c:f>Sheet1!$C$2:$C$9</c:f>
              <c:numCache>
                <c:formatCode>#,##0.0</c:formatCode>
                <c:ptCount val="8"/>
                <c:pt idx="0">
                  <c:v>-2462.4142432900007</c:v>
                </c:pt>
                <c:pt idx="1">
                  <c:v>-1444.03510764</c:v>
                </c:pt>
                <c:pt idx="2">
                  <c:v>100.80234740000014</c:v>
                </c:pt>
                <c:pt idx="3">
                  <c:v>226.13536233000013</c:v>
                </c:pt>
                <c:pt idx="4">
                  <c:v>439.16488145000039</c:v>
                </c:pt>
                <c:pt idx="5">
                  <c:v>579.07128775999809</c:v>
                </c:pt>
                <c:pt idx="6">
                  <c:v>895.83173573000022</c:v>
                </c:pt>
                <c:pt idx="7">
                  <c:v>2348.8159926399994</c:v>
                </c:pt>
              </c:numCache>
            </c:numRef>
          </c:val>
          <c:extLst>
            <c:ext xmlns:c16="http://schemas.microsoft.com/office/drawing/2014/chart" uri="{C3380CC4-5D6E-409C-BE32-E72D297353CC}">
              <c16:uniqueId val="{0000000D-D567-4124-A26C-33E09BC58FAF}"/>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3000"/>
          <c:min val="-30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1000"/>
        <c:minorUnit val="5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5845657669175118"/>
          <c:y val="0.92436630905007844"/>
          <c:w val="0.28308684661649763"/>
          <c:h val="7.563369094992158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2.363100771720747E-2"/>
          <c:w val="0.90489558370421086"/>
          <c:h val="0.88490914133436227"/>
        </c:manualLayout>
      </c:layout>
      <c:barChart>
        <c:barDir val="col"/>
        <c:grouping val="clustered"/>
        <c:varyColors val="0"/>
        <c:ser>
          <c:idx val="0"/>
          <c:order val="0"/>
          <c:tx>
            <c:strRef>
              <c:f>Hoja1!$B$1</c:f>
              <c:strCache>
                <c:ptCount val="1"/>
                <c:pt idx="0">
                  <c:v>% de ejecución</c:v>
                </c:pt>
              </c:strCache>
            </c:strRef>
          </c:tx>
          <c:spPr>
            <a:solidFill>
              <a:schemeClr val="tx2">
                <a:lumMod val="60000"/>
                <a:lumOff val="40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9FC4-4610-B12B-1DF9E272313F}"/>
              </c:ext>
            </c:extLst>
          </c:dPt>
          <c:dPt>
            <c:idx val="6"/>
            <c:invertIfNegative val="0"/>
            <c:bubble3D val="0"/>
            <c:spPr>
              <a:solidFill>
                <a:srgbClr val="FFC000"/>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9FC4-4610-B12B-1DF9E272313F}"/>
              </c:ext>
            </c:extLst>
          </c:dPt>
          <c:dLbls>
            <c:dLbl>
              <c:idx val="2"/>
              <c:layout>
                <c:manualLayout>
                  <c:x val="-4.2174192655966848E-17"/>
                  <c:y val="0.1716312056737588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C4-4610-B12B-1DF9E272313F}"/>
                </c:ext>
              </c:extLst>
            </c:dLbl>
            <c:dLbl>
              <c:idx val="3"/>
              <c:layout>
                <c:manualLayout>
                  <c:x val="4.6008741660914726E-3"/>
                  <c:y val="0.1602585581057686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C4-4610-B12B-1DF9E272313F}"/>
                </c:ext>
              </c:extLst>
            </c:dLbl>
            <c:dLbl>
              <c:idx val="4"/>
              <c:layout>
                <c:manualLayout>
                  <c:x val="0"/>
                  <c:y val="0.1174777873631113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FC4-4610-B12B-1DF9E272313F}"/>
                </c:ext>
              </c:extLst>
            </c:dLbl>
            <c:dLbl>
              <c:idx val="5"/>
              <c:layout>
                <c:manualLayout>
                  <c:x val="0"/>
                  <c:y val="0.1245490161601397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C4-4610-B12B-1DF9E272313F}"/>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9FC4-4610-B12B-1DF9E272313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2016</c:v>
                </c:pt>
                <c:pt idx="1">
                  <c:v>2017</c:v>
                </c:pt>
                <c:pt idx="2">
                  <c:v>2018</c:v>
                </c:pt>
                <c:pt idx="3">
                  <c:v>2019</c:v>
                </c:pt>
                <c:pt idx="4">
                  <c:v>2020</c:v>
                </c:pt>
                <c:pt idx="5">
                  <c:v>2021</c:v>
                </c:pt>
                <c:pt idx="6">
                  <c:v>Ajustado*</c:v>
                </c:pt>
              </c:strCache>
            </c:strRef>
          </c:cat>
          <c:val>
            <c:numRef>
              <c:f>Hoja1!$B$2:$B$8</c:f>
              <c:numCache>
                <c:formatCode>0.0</c:formatCode>
                <c:ptCount val="7"/>
                <c:pt idx="0">
                  <c:v>49.495963600075868</c:v>
                </c:pt>
                <c:pt idx="1">
                  <c:v>48.03915474767922</c:v>
                </c:pt>
                <c:pt idx="2">
                  <c:v>51.302324689850529</c:v>
                </c:pt>
                <c:pt idx="3">
                  <c:v>51.195977813015723</c:v>
                </c:pt>
                <c:pt idx="4">
                  <c:v>46.117546356408901</c:v>
                </c:pt>
                <c:pt idx="5">
                  <c:v>46.787202213048374</c:v>
                </c:pt>
                <c:pt idx="6">
                  <c:v>53.316536431004515</c:v>
                </c:pt>
              </c:numCache>
            </c:numRef>
          </c:val>
          <c:extLst>
            <c:ext xmlns:c16="http://schemas.microsoft.com/office/drawing/2014/chart" uri="{C3380CC4-5D6E-409C-BE32-E72D297353CC}">
              <c16:uniqueId val="{00000007-9FC4-4610-B12B-1DF9E272313F}"/>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32772588209082559"/>
                  <c:y val="-0.1008881687216750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28619165667433361"/>
                      <c:h val="0.15151902782219379"/>
                    </c:manualLayout>
                  </c15:layout>
                </c:ext>
                <c:ext xmlns:c16="http://schemas.microsoft.com/office/drawing/2014/chart" uri="{C3380CC4-5D6E-409C-BE32-E72D297353CC}">
                  <c16:uniqueId val="{00000008-9FC4-4610-B12B-1DF9E27231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2016</c:v>
                </c:pt>
                <c:pt idx="1">
                  <c:v>2017</c:v>
                </c:pt>
                <c:pt idx="2">
                  <c:v>2018</c:v>
                </c:pt>
                <c:pt idx="3">
                  <c:v>2019</c:v>
                </c:pt>
                <c:pt idx="4">
                  <c:v>2020</c:v>
                </c:pt>
                <c:pt idx="5">
                  <c:v>2021</c:v>
                </c:pt>
                <c:pt idx="6">
                  <c:v>Ajustado*</c:v>
                </c:pt>
              </c:strCache>
            </c:strRef>
          </c:cat>
          <c:val>
            <c:numRef>
              <c:f>Hoja1!$C$2:$C$8</c:f>
              <c:numCache>
                <c:formatCode>0.0</c:formatCode>
                <c:ptCount val="7"/>
                <c:pt idx="0">
                  <c:v>49.230193441406051</c:v>
                </c:pt>
                <c:pt idx="1">
                  <c:v>49.230193441406051</c:v>
                </c:pt>
                <c:pt idx="2">
                  <c:v>49.230193441406051</c:v>
                </c:pt>
                <c:pt idx="3">
                  <c:v>49.230193441406051</c:v>
                </c:pt>
                <c:pt idx="4">
                  <c:v>49.230193441406051</c:v>
                </c:pt>
              </c:numCache>
            </c:numRef>
          </c:val>
          <c:smooth val="0"/>
          <c:extLst>
            <c:ext xmlns:c16="http://schemas.microsoft.com/office/drawing/2014/chart" uri="{C3380CC4-5D6E-409C-BE32-E72D297353CC}">
              <c16:uniqueId val="{00000009-9FC4-4610-B12B-1DF9E272313F}"/>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55.5"/>
          <c:min val="30.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1.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1.8216503424876768E-2"/>
          <c:w val="0.67595450840542404"/>
          <c:h val="0.93331000291630217"/>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7"/>
            <c:invertIfNegative val="0"/>
            <c:bubble3D val="0"/>
            <c:spPr>
              <a:solidFill>
                <a:srgbClr val="FF9999">
                  <a:alpha val="75000"/>
                </a:srgbClr>
              </a:solidFill>
              <a:ln>
                <a:solidFill>
                  <a:schemeClr val="tx1">
                    <a:lumMod val="95000"/>
                    <a:lumOff val="5000"/>
                  </a:schemeClr>
                </a:solidFill>
              </a:ln>
              <a:effectLst/>
            </c:spPr>
            <c:extLst>
              <c:ext xmlns:c16="http://schemas.microsoft.com/office/drawing/2014/chart" uri="{C3380CC4-5D6E-409C-BE32-E72D297353CC}">
                <c16:uniqueId val="{00000001-1D94-499A-AA17-3118F7A71FAA}"/>
              </c:ext>
            </c:extLst>
          </c:dPt>
          <c:dPt>
            <c:idx val="8"/>
            <c:invertIfNegative val="0"/>
            <c:bubble3D val="0"/>
            <c:spPr>
              <a:solidFill>
                <a:srgbClr val="C00000">
                  <a:alpha val="75000"/>
                </a:srgbClr>
              </a:solidFill>
              <a:ln>
                <a:solidFill>
                  <a:schemeClr val="tx1">
                    <a:lumMod val="95000"/>
                    <a:lumOff val="5000"/>
                  </a:schemeClr>
                </a:solidFill>
              </a:ln>
              <a:effectLst/>
            </c:spPr>
            <c:extLst>
              <c:ext xmlns:c16="http://schemas.microsoft.com/office/drawing/2014/chart" uri="{C3380CC4-5D6E-409C-BE32-E72D297353CC}">
                <c16:uniqueId val="{00000003-1D94-499A-AA17-3118F7A71FAA}"/>
              </c:ext>
            </c:extLst>
          </c:dPt>
          <c:dPt>
            <c:idx val="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1D94-499A-AA17-3118F7A71FAA}"/>
              </c:ext>
            </c:extLst>
          </c:dPt>
          <c:dPt>
            <c:idx val="1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1D94-499A-AA17-3118F7A71FAA}"/>
              </c:ext>
            </c:extLst>
          </c:dPt>
          <c:dPt>
            <c:idx val="11"/>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9-1D94-499A-AA17-3118F7A71FAA}"/>
              </c:ext>
            </c:extLst>
          </c:dPt>
          <c:dPt>
            <c:idx val="12"/>
            <c:invertIfNegative val="0"/>
            <c:bubble3D val="0"/>
            <c:spPr>
              <a:solidFill>
                <a:srgbClr val="FF7C80">
                  <a:alpha val="75000"/>
                </a:srgbClr>
              </a:solidFill>
              <a:ln>
                <a:solidFill>
                  <a:schemeClr val="tx1">
                    <a:lumMod val="95000"/>
                    <a:lumOff val="5000"/>
                  </a:schemeClr>
                </a:solidFill>
              </a:ln>
              <a:effectLst/>
            </c:spPr>
            <c:extLst>
              <c:ext xmlns:c16="http://schemas.microsoft.com/office/drawing/2014/chart" uri="{C3380CC4-5D6E-409C-BE32-E72D297353CC}">
                <c16:uniqueId val="{0000000B-1D94-499A-AA17-3118F7A71FAA}"/>
              </c:ext>
            </c:extLst>
          </c:dPt>
          <c:dPt>
            <c:idx val="1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D-1D94-499A-AA17-3118F7A71FAA}"/>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F-1D94-499A-AA17-3118F7A71FAA}"/>
              </c:ext>
            </c:extLst>
          </c:dPt>
          <c:dLbls>
            <c:dLbl>
              <c:idx val="19"/>
              <c:layout>
                <c:manualLayout>
                  <c:x val="-1.3295143311980156E-3"/>
                  <c:y val="-4.140271352201623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D94-499A-AA17-3118F7A71FA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Hoja1!$A$2:$A$21</c:f>
              <c:strCache>
                <c:ptCount val="20"/>
                <c:pt idx="0">
                  <c:v>Obligaciones </c:v>
                </c:pt>
                <c:pt idx="1">
                  <c:v>Economía</c:v>
                </c:pt>
                <c:pt idx="2">
                  <c:v>Cultura</c:v>
                </c:pt>
                <c:pt idx="3">
                  <c:v>Secretarías</c:v>
                </c:pt>
                <c:pt idx="4">
                  <c:v>Desarrollo</c:v>
                </c:pt>
                <c:pt idx="5">
                  <c:v>Agricultura</c:v>
                </c:pt>
                <c:pt idx="6">
                  <c:v>Energía</c:v>
                </c:pt>
                <c:pt idx="7">
                  <c:v>Presidencia</c:v>
                </c:pt>
                <c:pt idx="8">
                  <c:v>Total</c:v>
                </c:pt>
                <c:pt idx="9">
                  <c:v>Comunicaciones</c:v>
                </c:pt>
                <c:pt idx="10">
                  <c:v>Finanzas</c:v>
                </c:pt>
                <c:pt idx="11">
                  <c:v>Ambiente </c:v>
                </c:pt>
                <c:pt idx="12">
                  <c:v>Defensa </c:v>
                </c:pt>
                <c:pt idx="13">
                  <c:v>Trabajo </c:v>
                </c:pt>
                <c:pt idx="14">
                  <c:v>MINREX</c:v>
                </c:pt>
                <c:pt idx="15">
                  <c:v>Deuda Pública</c:v>
                </c:pt>
                <c:pt idx="16">
                  <c:v>Salud Pública </c:v>
                </c:pt>
                <c:pt idx="17">
                  <c:v>Gobernación</c:v>
                </c:pt>
                <c:pt idx="18">
                  <c:v>PGN</c:v>
                </c:pt>
                <c:pt idx="19">
                  <c:v>Educación </c:v>
                </c:pt>
              </c:strCache>
            </c:strRef>
          </c:cat>
          <c:val>
            <c:numRef>
              <c:f>Hoja1!$B$2:$B$21</c:f>
              <c:numCache>
                <c:formatCode>0.0</c:formatCode>
                <c:ptCount val="20"/>
                <c:pt idx="0">
                  <c:v>36.865032690545313</c:v>
                </c:pt>
                <c:pt idx="1">
                  <c:v>37.745380361862175</c:v>
                </c:pt>
                <c:pt idx="2">
                  <c:v>39.256361240507601</c:v>
                </c:pt>
                <c:pt idx="3">
                  <c:v>39.941703900627552</c:v>
                </c:pt>
                <c:pt idx="4">
                  <c:v>44.052352834113343</c:v>
                </c:pt>
                <c:pt idx="5">
                  <c:v>45.614942590433294</c:v>
                </c:pt>
                <c:pt idx="6">
                  <c:v>45.840965543306353</c:v>
                </c:pt>
                <c:pt idx="7">
                  <c:v>46.53230151027703</c:v>
                </c:pt>
                <c:pt idx="8">
                  <c:v>46.787202213048374</c:v>
                </c:pt>
                <c:pt idx="9">
                  <c:v>47.852183792261911</c:v>
                </c:pt>
                <c:pt idx="10">
                  <c:v>48.121055995875082</c:v>
                </c:pt>
                <c:pt idx="11">
                  <c:v>48.396920740195959</c:v>
                </c:pt>
                <c:pt idx="12">
                  <c:v>48.836677482323402</c:v>
                </c:pt>
                <c:pt idx="13">
                  <c:v>51.12710010289323</c:v>
                </c:pt>
                <c:pt idx="14">
                  <c:v>51.941563080904466</c:v>
                </c:pt>
                <c:pt idx="15">
                  <c:v>53.636223400109508</c:v>
                </c:pt>
                <c:pt idx="16">
                  <c:v>54.405708563720943</c:v>
                </c:pt>
                <c:pt idx="17">
                  <c:v>55.922752266942666</c:v>
                </c:pt>
                <c:pt idx="18">
                  <c:v>56.358690630489235</c:v>
                </c:pt>
                <c:pt idx="19">
                  <c:v>57.396403147876818</c:v>
                </c:pt>
              </c:numCache>
            </c:numRef>
          </c:val>
          <c:extLst>
            <c:ext xmlns:c16="http://schemas.microsoft.com/office/drawing/2014/chart" uri="{C3380CC4-5D6E-409C-BE32-E72D297353CC}">
              <c16:uniqueId val="{00000011-1D94-499A-AA17-3118F7A71FAA}"/>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6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10"/>
        <c:minorUnit val="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611111111111117E-2"/>
          <c:y val="5.7870370370370371E-2"/>
          <c:w val="0.94166666666666654"/>
          <c:h val="0.8935185185185186"/>
        </c:manualLayout>
      </c:layout>
      <c:ofPieChart>
        <c:ofPieType val="bar"/>
        <c:varyColors val="1"/>
        <c:ser>
          <c:idx val="0"/>
          <c:order val="0"/>
          <c:dLbls>
            <c:dLbl>
              <c:idx val="0"/>
              <c:layout>
                <c:manualLayout>
                  <c:x val="4.5558086560364468E-2"/>
                  <c:y val="-1.524847855556517E-2"/>
                </c:manualLayout>
              </c:layout>
              <c:spPr/>
              <c:txPr>
                <a:bodyPr/>
                <a:lstStyle/>
                <a:p>
                  <a:pPr>
                    <a:defRPr sz="800" b="1">
                      <a:solidFill>
                        <a:schemeClr val="bg1"/>
                      </a:solidFill>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5301275267698597"/>
                      <c:h val="0.35813504081220615"/>
                    </c:manualLayout>
                  </c15:layout>
                </c:ext>
                <c:ext xmlns:c16="http://schemas.microsoft.com/office/drawing/2014/chart" uri="{C3380CC4-5D6E-409C-BE32-E72D297353CC}">
                  <c16:uniqueId val="{00000000-F9CA-49EF-9D3E-67E91942784A}"/>
                </c:ext>
              </c:extLst>
            </c:dLbl>
            <c:dLbl>
              <c:idx val="1"/>
              <c:delete val="1"/>
              <c:extLst>
                <c:ext xmlns:c15="http://schemas.microsoft.com/office/drawing/2012/chart" uri="{CE6537A1-D6FC-4f65-9D91-7224C49458BB}"/>
                <c:ext xmlns:c16="http://schemas.microsoft.com/office/drawing/2014/chart" uri="{C3380CC4-5D6E-409C-BE32-E72D297353CC}">
                  <c16:uniqueId val="{00000001-F9CA-49EF-9D3E-67E91942784A}"/>
                </c:ext>
              </c:extLst>
            </c:dLbl>
            <c:dLbl>
              <c:idx val="2"/>
              <c:layout>
                <c:manualLayout>
                  <c:x val="-3.0443945722343865E-2"/>
                  <c:y val="-4.8030679538718221E-3"/>
                </c:manualLayout>
              </c:layout>
              <c:spPr/>
              <c:txPr>
                <a:bodyPr/>
                <a:lstStyle/>
                <a:p>
                  <a:pPr>
                    <a:defRPr sz="800" b="1"/>
                  </a:pPr>
                  <a:endParaRPr lang="es-GT"/>
                </a:p>
              </c:txPr>
              <c:showLegendKey val="0"/>
              <c:showVal val="1"/>
              <c:showCatName val="1"/>
              <c:showSerName val="0"/>
              <c:showPercent val="1"/>
              <c:showBubbleSize val="0"/>
              <c:extLst>
                <c:ext xmlns:c15="http://schemas.microsoft.com/office/drawing/2012/chart" uri="{CE6537A1-D6FC-4f65-9D91-7224C49458BB}">
                  <c15:layout>
                    <c:manualLayout>
                      <c:w val="0.32505407780747225"/>
                      <c:h val="0.29298895330391395"/>
                    </c:manualLayout>
                  </c15:layout>
                </c:ext>
                <c:ext xmlns:c16="http://schemas.microsoft.com/office/drawing/2014/chart" uri="{C3380CC4-5D6E-409C-BE32-E72D297353CC}">
                  <c16:uniqueId val="{00000002-F9CA-49EF-9D3E-67E91942784A}"/>
                </c:ext>
              </c:extLst>
            </c:dLbl>
            <c:dLbl>
              <c:idx val="3"/>
              <c:layout>
                <c:manualLayout>
                  <c:x val="-3.0632970423116246E-2"/>
                  <c:y val="3.8655360387643854E-2"/>
                </c:manualLayout>
              </c:layout>
              <c:spPr>
                <a:noFill/>
                <a:ln>
                  <a:noFill/>
                </a:ln>
                <a:effectLst/>
              </c:spPr>
              <c:txPr>
                <a:bodyPr/>
                <a:lstStyle/>
                <a:p>
                  <a:pPr>
                    <a:defRPr sz="800" b="1"/>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5646584040320702"/>
                      <c:h val="0.19866805110899599"/>
                    </c:manualLayout>
                  </c15:layout>
                </c:ext>
                <c:ext xmlns:c16="http://schemas.microsoft.com/office/drawing/2014/chart" uri="{C3380CC4-5D6E-409C-BE32-E72D297353CC}">
                  <c16:uniqueId val="{00000003-F9CA-49EF-9D3E-67E91942784A}"/>
                </c:ext>
              </c:extLst>
            </c:dLbl>
            <c:dLbl>
              <c:idx val="4"/>
              <c:layout>
                <c:manualLayout>
                  <c:x val="-0.28369845568848312"/>
                  <c:y val="1.6508321075250142E-2"/>
                </c:manualLayout>
              </c:layout>
              <c:tx>
                <c:rich>
                  <a:bodyPr/>
                  <a:lstStyle/>
                  <a:p>
                    <a:pPr>
                      <a:defRPr sz="800" b="1"/>
                    </a:pPr>
                    <a:r>
                      <a:rPr lang="en-US" sz="800" b="1"/>
                      <a:t>Colocado</a:t>
                    </a:r>
                    <a:r>
                      <a:rPr lang="en-US" sz="800" b="1" baseline="0"/>
                      <a:t>; </a:t>
                    </a:r>
                    <a:fld id="{B1725B05-51F7-4F5A-AE6D-1738DF120E59}" type="VALUE">
                      <a:rPr lang="en-US" sz="800" b="1" baseline="0"/>
                      <a:pPr>
                        <a:defRPr sz="800" b="1"/>
                      </a:pPr>
                      <a:t>[VALOR]</a:t>
                    </a:fld>
                    <a:r>
                      <a:rPr lang="en-US" sz="800" b="1" baseline="0"/>
                      <a:t>; </a:t>
                    </a:r>
                    <a:fld id="{4BB50BCE-B587-4D53-B6A5-0BF47E776F3A}" type="PERCENTAGE">
                      <a:rPr lang="en-US" sz="800" b="1" baseline="0"/>
                      <a:pPr>
                        <a:defRPr sz="800" b="1"/>
                      </a:pPr>
                      <a:t>[PORCENTAJE]</a:t>
                    </a:fld>
                    <a:endParaRPr lang="en-US" sz="800" b="1"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5512528473804102"/>
                      <c:h val="0.32512820512820512"/>
                    </c:manualLayout>
                  </c15:layout>
                  <c15:dlblFieldTable/>
                  <c15:showDataLabelsRange val="0"/>
                </c:ext>
                <c:ext xmlns:c16="http://schemas.microsoft.com/office/drawing/2014/chart" uri="{C3380CC4-5D6E-409C-BE32-E72D297353CC}">
                  <c16:uniqueId val="{00000004-F9CA-49EF-9D3E-67E91942784A}"/>
                </c:ext>
              </c:extLst>
            </c:dLbl>
            <c:spPr>
              <a:noFill/>
              <a:ln>
                <a:noFill/>
              </a:ln>
              <a:effectLst/>
            </c:spPr>
            <c:txPr>
              <a:bodyPr wrap="square" lIns="38100" tIns="19050" rIns="38100" bIns="19050" anchor="ctr">
                <a:spAutoFit/>
              </a:bodyPr>
              <a:lstStyle/>
              <a:p>
                <a:pPr>
                  <a:defRPr sz="800"/>
                </a:pPr>
                <a:endParaRPr lang="es-GT"/>
              </a:p>
            </c:txPr>
            <c:showLegendKey val="0"/>
            <c:showVal val="1"/>
            <c:showCatName val="1"/>
            <c:showSerName val="0"/>
            <c:showPercent val="1"/>
            <c:showBubbleSize val="0"/>
            <c:showLeaderLines val="1"/>
            <c:extLst>
              <c:ext xmlns:c15="http://schemas.microsoft.com/office/drawing/2012/chart" uri="{CE6537A1-D6FC-4f65-9D91-7224C49458BB}"/>
            </c:extLst>
          </c:dLbls>
          <c:cat>
            <c:strRef>
              <c:f>'Bonos Dash'!$Q$79:$Q$82</c:f>
              <c:strCache>
                <c:ptCount val="4"/>
                <c:pt idx="0">
                  <c:v>Por Colocar</c:v>
                </c:pt>
                <c:pt idx="1">
                  <c:v>Colocado</c:v>
                </c:pt>
                <c:pt idx="2">
                  <c:v>Nuevo Endeudamiento</c:v>
                </c:pt>
                <c:pt idx="3">
                  <c:v>Roll Over</c:v>
                </c:pt>
              </c:strCache>
            </c:strRef>
          </c:cat>
          <c:val>
            <c:numRef>
              <c:f>'Bonos Dash'!$R$79:$R$82</c:f>
              <c:numCache>
                <c:formatCode>General</c:formatCode>
                <c:ptCount val="4"/>
                <c:pt idx="0" formatCode="#,##0.0">
                  <c:v>10343.051549450001</c:v>
                </c:pt>
                <c:pt idx="2" formatCode="#,##0.0">
                  <c:v>12775.65245055</c:v>
                </c:pt>
                <c:pt idx="3" formatCode="#,##0.0">
                  <c:v>1359.7660000000001</c:v>
                </c:pt>
              </c:numCache>
            </c:numRef>
          </c:val>
          <c:extLst>
            <c:ext xmlns:c16="http://schemas.microsoft.com/office/drawing/2014/chart" uri="{C3380CC4-5D6E-409C-BE32-E72D297353CC}">
              <c16:uniqueId val="{00000005-F9CA-49EF-9D3E-67E91942784A}"/>
            </c:ext>
          </c:extLst>
        </c:ser>
        <c:dLbls>
          <c:showLegendKey val="0"/>
          <c:showVal val="0"/>
          <c:showCatName val="0"/>
          <c:showSerName val="0"/>
          <c:showPercent val="0"/>
          <c:showBubbleSize val="0"/>
          <c:showLeaderLines val="1"/>
        </c:dLbls>
        <c:gapWidth val="100"/>
        <c:splitType val="pos"/>
        <c:splitPos val="2"/>
        <c:secondPieSize val="75"/>
        <c:serLines/>
      </c:ofPieChart>
    </c:plotArea>
    <c:plotVisOnly val="1"/>
    <c:dispBlanksAs val="zero"/>
    <c:showDLblsOverMax val="0"/>
  </c:chart>
  <c:spPr>
    <a:solidFill>
      <a:schemeClr val="bg1"/>
    </a:solidFill>
    <a:ln>
      <a:noFill/>
    </a:ln>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88843047973636"/>
          <c:y val="1.9759260690094382E-2"/>
          <c:w val="0.87155221493945989"/>
          <c:h val="0.88952215049835981"/>
        </c:manualLayout>
      </c:layout>
      <c:barChart>
        <c:barDir val="col"/>
        <c:grouping val="clustered"/>
        <c:varyColors val="0"/>
        <c:ser>
          <c:idx val="1"/>
          <c:order val="0"/>
          <c:tx>
            <c:strRef>
              <c:f>Sheet1!$B$1</c:f>
              <c:strCache>
                <c:ptCount val="1"/>
                <c:pt idx="0">
                  <c:v>Ejecución</c:v>
                </c:pt>
              </c:strCache>
            </c:strRef>
          </c:tx>
          <c:spPr>
            <a:solidFill>
              <a:schemeClr val="accent3"/>
            </a:solidFill>
            <a:ln>
              <a:noFill/>
            </a:ln>
            <a:effectLst/>
            <a:scene3d>
              <a:camera prst="orthographicFront"/>
              <a:lightRig rig="threePt" dir="t"/>
            </a:scene3d>
            <a:sp3d>
              <a:bevelT w="165100" prst="coolSlant"/>
            </a:sp3d>
          </c:spPr>
          <c:invertIfNegative val="0"/>
          <c:dLbls>
            <c:dLbl>
              <c:idx val="2"/>
              <c:layout>
                <c:manualLayout>
                  <c:x val="4.2598509052182388E-3"/>
                  <c:y val="7.18313926975344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2B-4A0B-A6FE-CDA6362B3878}"/>
                </c:ext>
              </c:extLst>
            </c:dLbl>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Enero</c:v>
                </c:pt>
                <c:pt idx="1">
                  <c:v>Febrero</c:v>
                </c:pt>
                <c:pt idx="2">
                  <c:v>Marzo</c:v>
                </c:pt>
                <c:pt idx="3">
                  <c:v>Abril </c:v>
                </c:pt>
                <c:pt idx="4">
                  <c:v>Mayo</c:v>
                </c:pt>
                <c:pt idx="5">
                  <c:v>Junio</c:v>
                </c:pt>
                <c:pt idx="6">
                  <c:v>Julio</c:v>
                </c:pt>
              </c:strCache>
            </c:strRef>
          </c:cat>
          <c:val>
            <c:numRef>
              <c:f>Sheet1!$B$2:$B$8</c:f>
              <c:numCache>
                <c:formatCode>#,##0.0</c:formatCode>
                <c:ptCount val="7"/>
                <c:pt idx="0">
                  <c:v>4.03</c:v>
                </c:pt>
                <c:pt idx="1">
                  <c:v>22.38</c:v>
                </c:pt>
                <c:pt idx="2">
                  <c:v>139.29</c:v>
                </c:pt>
                <c:pt idx="3">
                  <c:v>1010.3</c:v>
                </c:pt>
                <c:pt idx="4">
                  <c:v>1099.79</c:v>
                </c:pt>
                <c:pt idx="5">
                  <c:v>1218.47</c:v>
                </c:pt>
                <c:pt idx="6">
                  <c:v>1308.33</c:v>
                </c:pt>
              </c:numCache>
            </c:numRef>
          </c:val>
          <c:extLst>
            <c:ext xmlns:c16="http://schemas.microsoft.com/office/drawing/2014/chart" uri="{C3380CC4-5D6E-409C-BE32-E72D297353CC}">
              <c16:uniqueId val="{00000001-792B-4A0B-A6FE-CDA6362B3878}"/>
            </c:ext>
          </c:extLst>
        </c:ser>
        <c:dLbls>
          <c:showLegendKey val="0"/>
          <c:showVal val="0"/>
          <c:showCatName val="0"/>
          <c:showSerName val="0"/>
          <c:showPercent val="0"/>
          <c:showBubbleSize val="0"/>
        </c:dLbls>
        <c:gapWidth val="68"/>
        <c:axId val="254445056"/>
        <c:axId val="254446592"/>
      </c:barChart>
      <c:catAx>
        <c:axId val="2544450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54446592"/>
        <c:crosses val="autoZero"/>
        <c:auto val="1"/>
        <c:lblAlgn val="ctr"/>
        <c:lblOffset val="100"/>
        <c:noMultiLvlLbl val="0"/>
      </c:catAx>
      <c:valAx>
        <c:axId val="25444659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5444505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5363101976470195"/>
          <c:y val="9.8594305779345165E-2"/>
          <c:w val="0.40306809891575057"/>
          <c:h val="0.187119979934940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3AC6B-FC5A-41B1-95D4-9C66A9425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12</Pages>
  <Words>4632</Words>
  <Characters>25476</Characters>
  <Application>Microsoft Office Word</Application>
  <DocSecurity>0</DocSecurity>
  <Lines>212</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Saul Enrique De León Meneses</cp:lastModifiedBy>
  <cp:revision>10</cp:revision>
  <cp:lastPrinted>2021-08-20T15:46:00Z</cp:lastPrinted>
  <dcterms:created xsi:type="dcterms:W3CDTF">2021-08-19T19:38:00Z</dcterms:created>
  <dcterms:modified xsi:type="dcterms:W3CDTF">2021-08-20T15:47:00Z</dcterms:modified>
</cp:coreProperties>
</file>