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drawings/drawing4.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word/drawings/drawing6.xml" ContentType="application/vnd.openxmlformats-officedocument.drawingml.chartshapes+xml"/>
  <Override PartName="/word/charts/chart10.xml" ContentType="application/vnd.openxmlformats-officedocument.drawingml.chart+xml"/>
  <Override PartName="/word/drawings/drawing7.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drawings/drawing8.xml" ContentType="application/vnd.openxmlformats-officedocument.drawingml.chartshapes+xml"/>
  <Override PartName="/word/charts/chart27.xml" ContentType="application/vnd.openxmlformats-officedocument.drawingml.chart+xml"/>
  <Override PartName="/word/drawings/drawing9.xml" ContentType="application/vnd.openxmlformats-officedocument.drawingml.chartshapes+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Override1.xml" ContentType="application/vnd.openxmlformats-officedocument.themeOverride+xml"/>
  <Override PartName="/word/drawings/drawing10.xml" ContentType="application/vnd.openxmlformats-officedocument.drawingml.chartshapes+xml"/>
  <Override PartName="/word/charts/chart36.xml" ContentType="application/vnd.openxmlformats-officedocument.drawingml.chart+xml"/>
  <Override PartName="/word/theme/themeOverride2.xml" ContentType="application/vnd.openxmlformats-officedocument.themeOverride+xml"/>
  <Override PartName="/word/drawings/drawing11.xml" ContentType="application/vnd.openxmlformats-officedocument.drawingml.chartshapes+xml"/>
  <Override PartName="/word/charts/chart37.xml" ContentType="application/vnd.openxmlformats-officedocument.drawingml.chart+xml"/>
  <Override PartName="/word/theme/themeOverride3.xml" ContentType="application/vnd.openxmlformats-officedocument.themeOverride+xml"/>
  <Override PartName="/word/charts/chart38.xml" ContentType="application/vnd.openxmlformats-officedocument.drawingml.chart+xml"/>
  <Override PartName="/word/theme/themeOverride4.xml" ContentType="application/vnd.openxmlformats-officedocument.themeOverride+xml"/>
  <Override PartName="/word/drawings/drawing12.xml" ContentType="application/vnd.openxmlformats-officedocument.drawingml.chartshapes+xml"/>
  <Override PartName="/word/charts/chart39.xml" ContentType="application/vnd.openxmlformats-officedocument.drawingml.chart+xml"/>
  <Override PartName="/word/theme/themeOverride5.xml" ContentType="application/vnd.openxmlformats-officedocument.themeOverride+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theme/themeOverride6.xml" ContentType="application/vnd.openxmlformats-officedocument.themeOverride+xml"/>
  <Override PartName="/word/charts/chart47.xml" ContentType="application/vnd.openxmlformats-officedocument.drawingml.chart+xml"/>
  <Override PartName="/word/theme/themeOverride7.xml" ContentType="application/vnd.openxmlformats-officedocument.themeOverride+xml"/>
  <Override PartName="/word/charts/chart48.xml" ContentType="application/vnd.openxmlformats-officedocument.drawingml.chart+xml"/>
  <Override PartName="/word/theme/themeOverride8.xml" ContentType="application/vnd.openxmlformats-officedocument.themeOverride+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theme/themeOverride9.xml" ContentType="application/vnd.openxmlformats-officedocument.themeOverride+xml"/>
  <Override PartName="/word/charts/chart57.xml" ContentType="application/vnd.openxmlformats-officedocument.drawingml.chart+xml"/>
  <Override PartName="/word/charts/chart5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59.xml" ContentType="application/vnd.openxmlformats-officedocument.drawingml.chart+xml"/>
  <Override PartName="/word/theme/themeOverride10.xml" ContentType="application/vnd.openxmlformats-officedocument.themeOverride+xml"/>
  <Override PartName="/word/charts/chart60.xml" ContentType="application/vnd.openxmlformats-officedocument.drawingml.chart+xml"/>
  <Override PartName="/word/theme/themeOverride11.xml" ContentType="application/vnd.openxmlformats-officedocument.themeOverride+xml"/>
  <Override PartName="/word/charts/chart61.xml" ContentType="application/vnd.openxmlformats-officedocument.drawingml.chart+xml"/>
  <Override PartName="/word/charts/chart62.xml" ContentType="application/vnd.openxmlformats-officedocument.drawingml.chart+xml"/>
  <Override PartName="/word/theme/themeOverride12.xml" ContentType="application/vnd.openxmlformats-officedocument.themeOverride+xml"/>
  <Override PartName="/word/charts/chart63.xml" ContentType="application/vnd.openxmlformats-officedocument.drawingml.chart+xml"/>
  <Override PartName="/word/theme/themeOverride13.xml" ContentType="application/vnd.openxmlformats-officedocument.themeOverride+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drawings/drawing13.xml" ContentType="application/vnd.openxmlformats-officedocument.drawingml.chartshapes+xml"/>
  <Override PartName="/word/charts/chart72.xml" ContentType="application/vnd.openxmlformats-officedocument.drawingml.chart+xml"/>
  <Override PartName="/word/theme/themeOverride14.xml" ContentType="application/vnd.openxmlformats-officedocument.themeOverride+xml"/>
  <Override PartName="/word/charts/chart73.xml" ContentType="application/vnd.openxmlformats-officedocument.drawingml.chart+xml"/>
  <Override PartName="/word/theme/themeOverride15.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4.xml" ContentType="application/vnd.openxmlformats-officedocument.drawingml.chart+xml"/>
  <Override PartName="/word/theme/themeOverride16.xml" ContentType="application/vnd.openxmlformats-officedocument.themeOverride+xml"/>
  <Override PartName="/word/drawings/drawing14.xml" ContentType="application/vnd.openxmlformats-officedocument.drawingml.chartshapes+xml"/>
  <Override PartName="/word/charts/chart75.xml" ContentType="application/vnd.openxmlformats-officedocument.drawingml.chart+xml"/>
  <Override PartName="/word/drawings/drawing15.xml" ContentType="application/vnd.openxmlformats-officedocument.drawingml.chartshapes+xml"/>
  <Override PartName="/word/charts/chart76.xml" ContentType="application/vnd.openxmlformats-officedocument.drawingml.chart+xml"/>
  <Override PartName="/word/drawings/drawing16.xml" ContentType="application/vnd.openxmlformats-officedocument.drawingml.chartshapes+xml"/>
  <Override PartName="/word/charts/chart77.xml" ContentType="application/vnd.openxmlformats-officedocument.drawingml.chart+xml"/>
  <Override PartName="/word/drawings/drawing17.xml" ContentType="application/vnd.openxmlformats-officedocument.drawingml.chartshapes+xml"/>
  <Override PartName="/word/charts/chart78.xml" ContentType="application/vnd.openxmlformats-officedocument.drawingml.chart+xml"/>
  <Override PartName="/word/charts/chart79.xml" ContentType="application/vnd.openxmlformats-officedocument.drawingml.chart+xml"/>
  <Override PartName="/word/drawings/drawing18.xml" ContentType="application/vnd.openxmlformats-officedocument.drawingml.chartshapes+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05729B" w14:textId="77777777" w:rsidR="00275332" w:rsidRPr="004133EB" w:rsidRDefault="00275332" w:rsidP="00C427A3">
      <w:pPr>
        <w:shd w:val="clear" w:color="auto" w:fill="FFFFFF" w:themeFill="background1"/>
        <w:ind w:left="708" w:hanging="708"/>
        <w:jc w:val="center"/>
        <w:rPr>
          <w:rFonts w:ascii="Times New Roman" w:hAnsi="Times New Roman" w:cs="Times New Roman"/>
          <w:b/>
          <w:lang w:val="es-MX"/>
        </w:rPr>
      </w:pPr>
      <w:bookmarkStart w:id="0" w:name="_Hlk44486851"/>
      <w:bookmarkStart w:id="1" w:name="_GoBack"/>
      <w:bookmarkEnd w:id="0"/>
      <w:bookmarkEnd w:id="1"/>
    </w:p>
    <w:p w14:paraId="1A0A4F65" w14:textId="77777777" w:rsidR="00275332" w:rsidRPr="004133EB" w:rsidRDefault="00275332" w:rsidP="00C427A3">
      <w:pPr>
        <w:shd w:val="clear" w:color="auto" w:fill="FFFFFF" w:themeFill="background1"/>
        <w:ind w:left="708" w:hanging="708"/>
        <w:jc w:val="center"/>
        <w:rPr>
          <w:rFonts w:ascii="Times New Roman" w:hAnsi="Times New Roman" w:cs="Times New Roman"/>
          <w:b/>
          <w:lang w:val="es-MX"/>
        </w:rPr>
      </w:pPr>
    </w:p>
    <w:p w14:paraId="18949A2E" w14:textId="77777777" w:rsidR="00275332" w:rsidRPr="004133EB" w:rsidRDefault="008D17BF" w:rsidP="00C427A3">
      <w:pPr>
        <w:shd w:val="clear" w:color="auto" w:fill="FFFFFF" w:themeFill="background1"/>
        <w:ind w:left="708" w:hanging="708"/>
        <w:jc w:val="center"/>
        <w:rPr>
          <w:rFonts w:ascii="Times New Roman" w:hAnsi="Times New Roman" w:cs="Times New Roman"/>
          <w:b/>
          <w:lang w:val="es-MX"/>
        </w:rPr>
      </w:pPr>
      <w:r>
        <w:rPr>
          <w:noProof/>
          <w:lang w:val="es-ES" w:eastAsia="es-ES"/>
        </w:rPr>
        <w:drawing>
          <wp:inline distT="0" distB="0" distL="0" distR="0" wp14:anchorId="01867E4F" wp14:editId="1FA83DF8">
            <wp:extent cx="1885950" cy="1257300"/>
            <wp:effectExtent l="0" t="0" r="0" b="0"/>
            <wp:docPr id="82" name="Imagen 82" descr="Ministerio de Cultura y Deportes Guatemala - Detrás de cámaras de la  versión especial del Himno Nacional por el #BicentenarioGuatemala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nisterio de Cultura y Deportes Guatemala - Detrás de cámaras de la  versión especial del Himno Nacional por el #BicentenarioGuatemala | Facebook"/>
                    <pic:cNvPicPr>
                      <a:picLocks noChangeAspect="1" noChangeArrowheads="1"/>
                    </pic:cNvPicPr>
                  </pic:nvPicPr>
                  <pic:blipFill rotWithShape="1">
                    <a:blip r:embed="rId9">
                      <a:extLst>
                        <a:ext uri="{28A0092B-C50C-407E-A947-70E740481C1C}">
                          <a14:useLocalDpi xmlns:a14="http://schemas.microsoft.com/office/drawing/2010/main" val="0"/>
                        </a:ext>
                      </a:extLst>
                    </a:blip>
                    <a:srcRect l="17333" t="10714" r="16667" b="10714"/>
                    <a:stretch/>
                  </pic:blipFill>
                  <pic:spPr bwMode="auto">
                    <a:xfrm>
                      <a:off x="0" y="0"/>
                      <a:ext cx="1885950" cy="1257300"/>
                    </a:xfrm>
                    <a:prstGeom prst="rect">
                      <a:avLst/>
                    </a:prstGeom>
                    <a:noFill/>
                    <a:ln>
                      <a:noFill/>
                    </a:ln>
                    <a:extLst>
                      <a:ext uri="{53640926-AAD7-44D8-BBD7-CCE9431645EC}">
                        <a14:shadowObscured xmlns:a14="http://schemas.microsoft.com/office/drawing/2010/main"/>
                      </a:ext>
                    </a:extLst>
                  </pic:spPr>
                </pic:pic>
              </a:graphicData>
            </a:graphic>
          </wp:inline>
        </w:drawing>
      </w:r>
    </w:p>
    <w:p w14:paraId="17EB8AF0" w14:textId="77777777" w:rsidR="00275332" w:rsidRPr="004133EB" w:rsidRDefault="00275332" w:rsidP="00C427A3">
      <w:pPr>
        <w:shd w:val="clear" w:color="auto" w:fill="FFFFFF" w:themeFill="background1"/>
        <w:ind w:left="708" w:hanging="708"/>
        <w:jc w:val="center"/>
        <w:rPr>
          <w:rFonts w:ascii="Times New Roman" w:hAnsi="Times New Roman" w:cs="Times New Roman"/>
          <w:b/>
          <w:lang w:val="es-MX"/>
        </w:rPr>
      </w:pPr>
    </w:p>
    <w:p w14:paraId="423DE3D1" w14:textId="77777777" w:rsidR="00275332" w:rsidRPr="004133EB" w:rsidRDefault="00275332" w:rsidP="00C427A3">
      <w:pPr>
        <w:shd w:val="clear" w:color="auto" w:fill="FFFFFF" w:themeFill="background1"/>
        <w:ind w:left="708" w:hanging="708"/>
        <w:jc w:val="center"/>
        <w:rPr>
          <w:rFonts w:ascii="Times New Roman" w:hAnsi="Times New Roman" w:cs="Times New Roman"/>
          <w:b/>
          <w:lang w:val="es-MX"/>
        </w:rPr>
      </w:pPr>
    </w:p>
    <w:p w14:paraId="5B599F77" w14:textId="77777777" w:rsidR="00275332" w:rsidRPr="004133EB" w:rsidRDefault="00275332" w:rsidP="00C427A3">
      <w:pPr>
        <w:shd w:val="clear" w:color="auto" w:fill="FFFFFF" w:themeFill="background1"/>
        <w:ind w:left="708" w:hanging="708"/>
        <w:jc w:val="center"/>
        <w:rPr>
          <w:rFonts w:ascii="Times New Roman" w:hAnsi="Times New Roman" w:cs="Times New Roman"/>
          <w:b/>
          <w:lang w:val="es-MX"/>
        </w:rPr>
      </w:pPr>
    </w:p>
    <w:p w14:paraId="18479091" w14:textId="77777777" w:rsidR="005D6C59" w:rsidRPr="004133EB" w:rsidRDefault="005D6C59" w:rsidP="008D17BF">
      <w:pPr>
        <w:shd w:val="clear" w:color="auto" w:fill="FFFFFF" w:themeFill="background1"/>
        <w:rPr>
          <w:rFonts w:ascii="Times New Roman" w:hAnsi="Times New Roman" w:cs="Times New Roman"/>
          <w:b/>
          <w:lang w:val="es-MX"/>
        </w:rPr>
      </w:pPr>
    </w:p>
    <w:p w14:paraId="0C81D994" w14:textId="77777777" w:rsidR="00275332" w:rsidRDefault="005D6C59" w:rsidP="00C427A3">
      <w:pPr>
        <w:shd w:val="clear" w:color="auto" w:fill="FFFFFF" w:themeFill="background1"/>
        <w:ind w:left="708" w:hanging="708"/>
        <w:jc w:val="center"/>
        <w:rPr>
          <w:rFonts w:ascii="Times New Roman" w:hAnsi="Times New Roman" w:cs="Times New Roman"/>
          <w:sz w:val="56"/>
          <w:lang w:val="es-MX"/>
        </w:rPr>
      </w:pPr>
      <w:r w:rsidRPr="004133EB">
        <w:rPr>
          <w:rFonts w:ascii="Times New Roman" w:hAnsi="Times New Roman" w:cs="Times New Roman"/>
          <w:sz w:val="56"/>
          <w:lang w:val="es-MX"/>
        </w:rPr>
        <w:t>Marco Fiscal de Mediano Plazo</w:t>
      </w:r>
    </w:p>
    <w:p w14:paraId="6C84C081" w14:textId="77777777" w:rsidR="008D17BF" w:rsidRPr="008D17BF" w:rsidRDefault="008D17BF" w:rsidP="008D17BF">
      <w:pPr>
        <w:shd w:val="clear" w:color="auto" w:fill="FFFFFF" w:themeFill="background1"/>
        <w:ind w:left="708" w:hanging="708"/>
        <w:jc w:val="center"/>
        <w:rPr>
          <w:rFonts w:ascii="Times New Roman" w:hAnsi="Times New Roman" w:cs="Times New Roman"/>
          <w:sz w:val="40"/>
          <w:lang w:val="es-MX"/>
        </w:rPr>
      </w:pPr>
      <w:r w:rsidRPr="008D17BF">
        <w:rPr>
          <w:rFonts w:ascii="Times New Roman" w:hAnsi="Times New Roman" w:cs="Times New Roman"/>
          <w:sz w:val="40"/>
          <w:lang w:val="es-MX"/>
        </w:rPr>
        <w:t>Para techos presupuestarios</w:t>
      </w:r>
    </w:p>
    <w:p w14:paraId="3BDA087A" w14:textId="77777777" w:rsidR="00A91F21" w:rsidRDefault="00A91F21" w:rsidP="00C427A3">
      <w:pPr>
        <w:shd w:val="clear" w:color="auto" w:fill="FFFFFF" w:themeFill="background1"/>
        <w:ind w:left="708" w:hanging="708"/>
        <w:jc w:val="center"/>
        <w:rPr>
          <w:rFonts w:ascii="Times New Roman" w:hAnsi="Times New Roman" w:cs="Times New Roman"/>
          <w:sz w:val="56"/>
          <w:lang w:val="es-MX"/>
        </w:rPr>
      </w:pPr>
      <w:r w:rsidRPr="004133EB">
        <w:rPr>
          <w:rFonts w:ascii="Times New Roman" w:hAnsi="Times New Roman" w:cs="Times New Roman"/>
          <w:sz w:val="56"/>
          <w:lang w:val="es-MX"/>
        </w:rPr>
        <w:t>202</w:t>
      </w:r>
      <w:r w:rsidR="00B138BD">
        <w:rPr>
          <w:rFonts w:ascii="Times New Roman" w:hAnsi="Times New Roman" w:cs="Times New Roman"/>
          <w:sz w:val="56"/>
          <w:lang w:val="es-MX"/>
        </w:rPr>
        <w:t>2</w:t>
      </w:r>
      <w:r w:rsidRPr="004133EB">
        <w:rPr>
          <w:rFonts w:ascii="Times New Roman" w:hAnsi="Times New Roman" w:cs="Times New Roman"/>
          <w:sz w:val="56"/>
          <w:lang w:val="es-MX"/>
        </w:rPr>
        <w:t>-202</w:t>
      </w:r>
      <w:r w:rsidR="00B138BD">
        <w:rPr>
          <w:rFonts w:ascii="Times New Roman" w:hAnsi="Times New Roman" w:cs="Times New Roman"/>
          <w:sz w:val="56"/>
          <w:lang w:val="es-MX"/>
        </w:rPr>
        <w:t>6</w:t>
      </w:r>
    </w:p>
    <w:p w14:paraId="368414A6" w14:textId="77777777" w:rsidR="005D6C59" w:rsidRPr="004133EB" w:rsidRDefault="005D6C59" w:rsidP="00C427A3">
      <w:pPr>
        <w:shd w:val="clear" w:color="auto" w:fill="FFFFFF" w:themeFill="background1"/>
        <w:ind w:left="708" w:hanging="708"/>
        <w:jc w:val="center"/>
        <w:rPr>
          <w:rFonts w:ascii="Times New Roman" w:hAnsi="Times New Roman" w:cs="Times New Roman"/>
          <w:b/>
          <w:lang w:val="es-MX"/>
        </w:rPr>
      </w:pPr>
      <w:r w:rsidRPr="004133EB">
        <w:rPr>
          <w:rFonts w:ascii="Times New Roman" w:hAnsi="Times New Roman" w:cs="Times New Roman"/>
          <w:b/>
          <w:noProof/>
          <w:lang w:val="es-ES" w:eastAsia="es-ES"/>
        </w:rPr>
        <mc:AlternateContent>
          <mc:Choice Requires="wps">
            <w:drawing>
              <wp:anchor distT="0" distB="0" distL="114300" distR="114300" simplePos="0" relativeHeight="251670016" behindDoc="0" locked="0" layoutInCell="1" allowOverlap="1" wp14:anchorId="145E1F73" wp14:editId="28EBA099">
                <wp:simplePos x="0" y="0"/>
                <wp:positionH relativeFrom="column">
                  <wp:posOffset>327091</wp:posOffset>
                </wp:positionH>
                <wp:positionV relativeFrom="paragraph">
                  <wp:posOffset>48070</wp:posOffset>
                </wp:positionV>
                <wp:extent cx="5057775" cy="0"/>
                <wp:effectExtent l="0" t="0" r="28575" b="19050"/>
                <wp:wrapNone/>
                <wp:docPr id="55" name="Conector recto 55"/>
                <wp:cNvGraphicFramePr/>
                <a:graphic xmlns:a="http://schemas.openxmlformats.org/drawingml/2006/main">
                  <a:graphicData uri="http://schemas.microsoft.com/office/word/2010/wordprocessingShape">
                    <wps:wsp>
                      <wps:cNvCnPr/>
                      <wps:spPr>
                        <a:xfrm flipV="1">
                          <a:off x="0" y="0"/>
                          <a:ext cx="5057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FCA4D40" id="Conector recto 55" o:spid="_x0000_s1026" style="position:absolute;flip:y;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75pt,3.8pt" to="424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" strokecolor="#5b9bd5 [3204]" strokeweight=".5pt">
                <v:stroke joinstyle="miter"/>
              </v:line>
            </w:pict>
          </mc:Fallback>
        </mc:AlternateContent>
      </w:r>
    </w:p>
    <w:p w14:paraId="04190677" w14:textId="77777777" w:rsidR="00275332" w:rsidRPr="004133EB" w:rsidRDefault="005D6C59" w:rsidP="00C427A3">
      <w:pPr>
        <w:shd w:val="clear" w:color="auto" w:fill="FFFFFF" w:themeFill="background1"/>
        <w:ind w:left="708" w:hanging="708"/>
        <w:jc w:val="center"/>
        <w:rPr>
          <w:rFonts w:ascii="Times New Roman" w:hAnsi="Times New Roman" w:cs="Times New Roman"/>
          <w:sz w:val="32"/>
          <w:lang w:val="es-MX"/>
        </w:rPr>
      </w:pPr>
      <w:r w:rsidRPr="004133EB">
        <w:rPr>
          <w:rFonts w:ascii="Times New Roman" w:hAnsi="Times New Roman" w:cs="Times New Roman"/>
          <w:sz w:val="32"/>
          <w:lang w:val="es-MX"/>
        </w:rPr>
        <w:t>Ministerio de Finanzas Públicas</w:t>
      </w:r>
    </w:p>
    <w:p w14:paraId="4F19B4C2" w14:textId="77777777" w:rsidR="005D6C59" w:rsidRPr="004133EB" w:rsidRDefault="005D6C59" w:rsidP="00C427A3">
      <w:pPr>
        <w:shd w:val="clear" w:color="auto" w:fill="FFFFFF" w:themeFill="background1"/>
        <w:ind w:left="708" w:hanging="708"/>
        <w:jc w:val="center"/>
        <w:rPr>
          <w:rFonts w:ascii="Times New Roman" w:hAnsi="Times New Roman" w:cs="Times New Roman"/>
          <w:b/>
          <w:lang w:val="es-MX"/>
        </w:rPr>
      </w:pPr>
    </w:p>
    <w:p w14:paraId="283852CA" w14:textId="77777777" w:rsidR="005D6C59" w:rsidRPr="004133EB" w:rsidRDefault="005D6C59" w:rsidP="00C427A3">
      <w:pPr>
        <w:shd w:val="clear" w:color="auto" w:fill="FFFFFF" w:themeFill="background1"/>
        <w:ind w:left="708" w:hanging="708"/>
        <w:jc w:val="center"/>
        <w:rPr>
          <w:rFonts w:ascii="Times New Roman" w:hAnsi="Times New Roman" w:cs="Times New Roman"/>
          <w:b/>
          <w:lang w:val="es-MX"/>
        </w:rPr>
      </w:pPr>
    </w:p>
    <w:p w14:paraId="13CCE0D5" w14:textId="77777777" w:rsidR="005D6C59" w:rsidRPr="004133EB" w:rsidRDefault="005D6C59" w:rsidP="00C427A3">
      <w:pPr>
        <w:shd w:val="clear" w:color="auto" w:fill="FFFFFF" w:themeFill="background1"/>
        <w:ind w:left="708" w:hanging="708"/>
        <w:jc w:val="center"/>
        <w:rPr>
          <w:rFonts w:ascii="Times New Roman" w:hAnsi="Times New Roman" w:cs="Times New Roman"/>
          <w:b/>
          <w:lang w:val="es-MX"/>
        </w:rPr>
      </w:pPr>
    </w:p>
    <w:p w14:paraId="35DA0FDD" w14:textId="77777777" w:rsidR="005D6C59" w:rsidRPr="004133EB" w:rsidRDefault="005D6C59" w:rsidP="00C427A3">
      <w:pPr>
        <w:shd w:val="clear" w:color="auto" w:fill="FFFFFF" w:themeFill="background1"/>
        <w:ind w:left="708" w:hanging="708"/>
        <w:jc w:val="center"/>
        <w:rPr>
          <w:rFonts w:ascii="Times New Roman" w:hAnsi="Times New Roman" w:cs="Times New Roman"/>
          <w:b/>
          <w:lang w:val="es-MX"/>
        </w:rPr>
      </w:pPr>
    </w:p>
    <w:p w14:paraId="099F6BE1" w14:textId="77777777" w:rsidR="005D6C59" w:rsidRPr="004133EB" w:rsidRDefault="005D6C59" w:rsidP="00C427A3">
      <w:pPr>
        <w:shd w:val="clear" w:color="auto" w:fill="FFFFFF" w:themeFill="background1"/>
        <w:ind w:left="708" w:hanging="708"/>
        <w:jc w:val="center"/>
        <w:rPr>
          <w:rFonts w:ascii="Times New Roman" w:hAnsi="Times New Roman" w:cs="Times New Roman"/>
          <w:sz w:val="28"/>
          <w:lang w:val="es-MX"/>
        </w:rPr>
      </w:pPr>
      <w:r w:rsidRPr="004133EB">
        <w:rPr>
          <w:rFonts w:ascii="Times New Roman" w:hAnsi="Times New Roman" w:cs="Times New Roman"/>
          <w:sz w:val="28"/>
          <w:lang w:val="es-MX"/>
        </w:rPr>
        <w:t xml:space="preserve">Dirección de Análisis y Política Fiscal </w:t>
      </w:r>
    </w:p>
    <w:p w14:paraId="43FA3B01" w14:textId="4D4AE5D0" w:rsidR="005D6C59" w:rsidRPr="004133EB" w:rsidRDefault="00294098" w:rsidP="00C427A3">
      <w:pPr>
        <w:shd w:val="clear" w:color="auto" w:fill="FFFFFF" w:themeFill="background1"/>
        <w:ind w:left="708" w:hanging="708"/>
        <w:jc w:val="center"/>
        <w:rPr>
          <w:rFonts w:ascii="Times New Roman" w:hAnsi="Times New Roman" w:cs="Times New Roman"/>
          <w:sz w:val="28"/>
          <w:lang w:val="es-MX"/>
        </w:rPr>
      </w:pPr>
      <w:r>
        <w:rPr>
          <w:rFonts w:ascii="Times New Roman" w:hAnsi="Times New Roman" w:cs="Times New Roman"/>
          <w:sz w:val="28"/>
          <w:lang w:val="es-MX"/>
        </w:rPr>
        <w:t>Agost</w:t>
      </w:r>
      <w:r w:rsidR="009D1B8D">
        <w:rPr>
          <w:rFonts w:ascii="Times New Roman" w:hAnsi="Times New Roman" w:cs="Times New Roman"/>
          <w:sz w:val="28"/>
          <w:lang w:val="es-MX"/>
        </w:rPr>
        <w:t>o</w:t>
      </w:r>
      <w:r w:rsidR="00B138BD">
        <w:rPr>
          <w:rFonts w:ascii="Times New Roman" w:hAnsi="Times New Roman" w:cs="Times New Roman"/>
          <w:sz w:val="28"/>
          <w:lang w:val="es-MX"/>
        </w:rPr>
        <w:t xml:space="preserve"> 2021</w:t>
      </w:r>
    </w:p>
    <w:p w14:paraId="71B66BE7" w14:textId="77777777" w:rsidR="00275332" w:rsidRPr="004133EB" w:rsidRDefault="00275332" w:rsidP="00C427A3">
      <w:pPr>
        <w:shd w:val="clear" w:color="auto" w:fill="FFFFFF" w:themeFill="background1"/>
        <w:ind w:left="708" w:hanging="708"/>
        <w:jc w:val="center"/>
        <w:rPr>
          <w:rFonts w:ascii="Times New Roman" w:hAnsi="Times New Roman" w:cs="Times New Roman"/>
          <w:b/>
          <w:lang w:val="es-MX"/>
        </w:rPr>
      </w:pPr>
    </w:p>
    <w:p w14:paraId="7E567540" w14:textId="77777777" w:rsidR="00275332" w:rsidRPr="004133EB" w:rsidRDefault="00275332" w:rsidP="00C427A3">
      <w:pPr>
        <w:shd w:val="clear" w:color="auto" w:fill="FFFFFF" w:themeFill="background1"/>
        <w:ind w:left="708" w:hanging="708"/>
        <w:jc w:val="center"/>
        <w:rPr>
          <w:rFonts w:ascii="Times New Roman" w:hAnsi="Times New Roman" w:cs="Times New Roman"/>
          <w:b/>
          <w:lang w:val="es-MX"/>
        </w:rPr>
      </w:pPr>
    </w:p>
    <w:p w14:paraId="55DD0DA9" w14:textId="77777777" w:rsidR="005D6C59" w:rsidRPr="004133EB" w:rsidRDefault="005D6C59" w:rsidP="00A91F21">
      <w:pPr>
        <w:shd w:val="clear" w:color="auto" w:fill="FFFFFF" w:themeFill="background1"/>
        <w:rPr>
          <w:rFonts w:ascii="Times New Roman" w:hAnsi="Times New Roman" w:cs="Times New Roman"/>
          <w:b/>
          <w:lang w:val="es-MX"/>
        </w:rPr>
      </w:pPr>
    </w:p>
    <w:p w14:paraId="1C61FE83" w14:textId="77777777" w:rsidR="005D6C59" w:rsidRPr="004133EB" w:rsidRDefault="005D6C59" w:rsidP="00C427A3">
      <w:pPr>
        <w:shd w:val="clear" w:color="auto" w:fill="FFFFFF" w:themeFill="background1"/>
        <w:ind w:left="708" w:hanging="708"/>
        <w:jc w:val="center"/>
        <w:rPr>
          <w:rFonts w:ascii="Times New Roman" w:hAnsi="Times New Roman" w:cs="Times New Roman"/>
          <w:b/>
          <w:lang w:val="es-MX"/>
        </w:rPr>
      </w:pPr>
    </w:p>
    <w:p w14:paraId="766DB390" w14:textId="77777777" w:rsidR="00246333" w:rsidRDefault="00246333" w:rsidP="00AE5006">
      <w:pPr>
        <w:rPr>
          <w:lang w:val="es-ES"/>
        </w:rPr>
      </w:pPr>
    </w:p>
    <w:bookmarkStart w:id="2" w:name="_Hlk43280044" w:displacedByCustomXml="next"/>
    <w:bookmarkEnd w:id="2" w:displacedByCustomXml="next"/>
    <w:bookmarkStart w:id="3" w:name="_Toc49939385" w:displacedByCustomXml="next"/>
    <w:bookmarkStart w:id="4" w:name="_Toc16154966" w:displacedByCustomXml="next"/>
    <w:sdt>
      <w:sdtPr>
        <w:rPr>
          <w:rFonts w:asciiTheme="minorHAnsi" w:eastAsiaTheme="minorHAnsi" w:hAnsiTheme="minorHAnsi" w:cstheme="minorBidi"/>
          <w:color w:val="auto"/>
          <w:sz w:val="22"/>
          <w:szCs w:val="22"/>
          <w:lang w:val="es-ES" w:eastAsia="en-US"/>
        </w:rPr>
        <w:id w:val="688805991"/>
        <w:docPartObj>
          <w:docPartGallery w:val="Table of Contents"/>
          <w:docPartUnique/>
        </w:docPartObj>
      </w:sdtPr>
      <w:sdtEndPr>
        <w:rPr>
          <w:rFonts w:ascii="Times New Roman" w:hAnsi="Times New Roman" w:cs="Times New Roman"/>
          <w:b/>
          <w:bCs/>
          <w:sz w:val="16"/>
        </w:rPr>
      </w:sdtEndPr>
      <w:sdtContent>
        <w:p w14:paraId="698EA28E" w14:textId="77777777" w:rsidR="00C244F2" w:rsidRPr="00CC3F80" w:rsidRDefault="00C244F2" w:rsidP="00A7771B">
          <w:pPr>
            <w:pStyle w:val="TtulodeTDC"/>
            <w:jc w:val="center"/>
            <w:rPr>
              <w:rFonts w:ascii="Times New Roman" w:hAnsi="Times New Roman" w:cs="Times New Roman"/>
              <w:b/>
              <w:color w:val="auto"/>
            </w:rPr>
          </w:pPr>
          <w:r w:rsidRPr="00CC3F80">
            <w:rPr>
              <w:rFonts w:ascii="Times New Roman" w:hAnsi="Times New Roman" w:cs="Times New Roman"/>
              <w:b/>
              <w:color w:val="auto"/>
              <w:lang w:val="es-ES"/>
            </w:rPr>
            <w:t>Contenido</w:t>
          </w:r>
        </w:p>
        <w:p w14:paraId="635A9940" w14:textId="7633B7DE" w:rsidR="00A36CEB" w:rsidRPr="009E3499" w:rsidRDefault="00C244F2">
          <w:pPr>
            <w:pStyle w:val="TDC1"/>
            <w:rPr>
              <w:rFonts w:asciiTheme="minorHAnsi" w:eastAsiaTheme="minorEastAsia" w:hAnsiTheme="minorHAnsi" w:cstheme="minorBidi"/>
              <w:b w:val="0"/>
              <w:sz w:val="20"/>
              <w:szCs w:val="20"/>
              <w:lang w:val="es-GT" w:eastAsia="es-GT"/>
            </w:rPr>
          </w:pPr>
          <w:r w:rsidRPr="00A36CEB">
            <w:rPr>
              <w:b w:val="0"/>
              <w:sz w:val="20"/>
              <w:szCs w:val="20"/>
            </w:rPr>
            <w:fldChar w:fldCharType="begin"/>
          </w:r>
          <w:r w:rsidRPr="00A36CEB">
            <w:rPr>
              <w:b w:val="0"/>
              <w:sz w:val="20"/>
              <w:szCs w:val="20"/>
            </w:rPr>
            <w:instrText xml:space="preserve"> TOC \o "1-3" \h \z \u </w:instrText>
          </w:r>
          <w:r w:rsidRPr="00A36CEB">
            <w:rPr>
              <w:b w:val="0"/>
              <w:sz w:val="20"/>
              <w:szCs w:val="20"/>
            </w:rPr>
            <w:fldChar w:fldCharType="separate"/>
          </w:r>
          <w:hyperlink w:anchor="_Toc81571814" w:history="1">
            <w:r w:rsidR="00A36CEB" w:rsidRPr="009E3499">
              <w:rPr>
                <w:rStyle w:val="Hipervnculo"/>
                <w:b w:val="0"/>
                <w:sz w:val="20"/>
                <w:szCs w:val="20"/>
                <w:u w:val="none"/>
              </w:rPr>
              <w:t>Introducción</w:t>
            </w:r>
            <w:r w:rsidR="00A36CEB" w:rsidRPr="009E3499">
              <w:rPr>
                <w:b w:val="0"/>
                <w:webHidden/>
                <w:sz w:val="20"/>
                <w:szCs w:val="20"/>
              </w:rPr>
              <w:tab/>
            </w:r>
            <w:r w:rsidR="00A36CEB" w:rsidRPr="009E3499">
              <w:rPr>
                <w:b w:val="0"/>
                <w:webHidden/>
                <w:sz w:val="20"/>
                <w:szCs w:val="20"/>
              </w:rPr>
              <w:fldChar w:fldCharType="begin"/>
            </w:r>
            <w:r w:rsidR="00A36CEB" w:rsidRPr="009E3499">
              <w:rPr>
                <w:b w:val="0"/>
                <w:webHidden/>
                <w:sz w:val="20"/>
                <w:szCs w:val="20"/>
              </w:rPr>
              <w:instrText xml:space="preserve"> PAGEREF _Toc81571814 \h </w:instrText>
            </w:r>
            <w:r w:rsidR="00A36CEB" w:rsidRPr="009E3499">
              <w:rPr>
                <w:b w:val="0"/>
                <w:webHidden/>
                <w:sz w:val="20"/>
                <w:szCs w:val="20"/>
              </w:rPr>
            </w:r>
            <w:r w:rsidR="00A36CEB" w:rsidRPr="009E3499">
              <w:rPr>
                <w:b w:val="0"/>
                <w:webHidden/>
                <w:sz w:val="20"/>
                <w:szCs w:val="20"/>
              </w:rPr>
              <w:fldChar w:fldCharType="separate"/>
            </w:r>
            <w:r w:rsidR="00081415">
              <w:rPr>
                <w:b w:val="0"/>
                <w:webHidden/>
                <w:sz w:val="20"/>
                <w:szCs w:val="20"/>
              </w:rPr>
              <w:t>6</w:t>
            </w:r>
            <w:r w:rsidR="00A36CEB" w:rsidRPr="009E3499">
              <w:rPr>
                <w:b w:val="0"/>
                <w:webHidden/>
                <w:sz w:val="20"/>
                <w:szCs w:val="20"/>
              </w:rPr>
              <w:fldChar w:fldCharType="end"/>
            </w:r>
          </w:hyperlink>
        </w:p>
        <w:p w14:paraId="25B6209E" w14:textId="5E934253" w:rsidR="00A36CEB" w:rsidRPr="009E3499" w:rsidRDefault="006D2997">
          <w:pPr>
            <w:pStyle w:val="TDC1"/>
            <w:rPr>
              <w:rFonts w:asciiTheme="minorHAnsi" w:eastAsiaTheme="minorEastAsia" w:hAnsiTheme="minorHAnsi" w:cstheme="minorBidi"/>
              <w:b w:val="0"/>
              <w:sz w:val="20"/>
              <w:szCs w:val="20"/>
              <w:lang w:val="es-GT" w:eastAsia="es-GT"/>
            </w:rPr>
          </w:pPr>
          <w:hyperlink w:anchor="_Toc81571815" w:history="1">
            <w:r w:rsidR="00A36CEB" w:rsidRPr="009E3499">
              <w:rPr>
                <w:rStyle w:val="Hipervnculo"/>
                <w:b w:val="0"/>
                <w:sz w:val="20"/>
                <w:szCs w:val="20"/>
                <w:u w:val="none"/>
              </w:rPr>
              <w:t>I.</w:t>
            </w:r>
            <w:r w:rsidR="00A36CEB" w:rsidRPr="009E3499">
              <w:rPr>
                <w:rFonts w:asciiTheme="minorHAnsi" w:eastAsiaTheme="minorEastAsia" w:hAnsiTheme="minorHAnsi" w:cstheme="minorBidi"/>
                <w:b w:val="0"/>
                <w:sz w:val="20"/>
                <w:szCs w:val="20"/>
                <w:lang w:val="es-GT" w:eastAsia="es-GT"/>
              </w:rPr>
              <w:tab/>
            </w:r>
            <w:r w:rsidR="00A36CEB" w:rsidRPr="009E3499">
              <w:rPr>
                <w:rStyle w:val="Hipervnculo"/>
                <w:b w:val="0"/>
                <w:sz w:val="20"/>
                <w:szCs w:val="20"/>
                <w:u w:val="none"/>
              </w:rPr>
              <w:t>Entorno macroeconómico y perspectivas de mediano plazo</w:t>
            </w:r>
            <w:r w:rsidR="00A36CEB" w:rsidRPr="009E3499">
              <w:rPr>
                <w:b w:val="0"/>
                <w:webHidden/>
                <w:sz w:val="20"/>
                <w:szCs w:val="20"/>
              </w:rPr>
              <w:tab/>
            </w:r>
            <w:r w:rsidR="00A36CEB" w:rsidRPr="009E3499">
              <w:rPr>
                <w:b w:val="0"/>
                <w:webHidden/>
                <w:sz w:val="20"/>
                <w:szCs w:val="20"/>
              </w:rPr>
              <w:fldChar w:fldCharType="begin"/>
            </w:r>
            <w:r w:rsidR="00A36CEB" w:rsidRPr="009E3499">
              <w:rPr>
                <w:b w:val="0"/>
                <w:webHidden/>
                <w:sz w:val="20"/>
                <w:szCs w:val="20"/>
              </w:rPr>
              <w:instrText xml:space="preserve"> PAGEREF _Toc81571815 \h </w:instrText>
            </w:r>
            <w:r w:rsidR="00A36CEB" w:rsidRPr="009E3499">
              <w:rPr>
                <w:b w:val="0"/>
                <w:webHidden/>
                <w:sz w:val="20"/>
                <w:szCs w:val="20"/>
              </w:rPr>
            </w:r>
            <w:r w:rsidR="00A36CEB" w:rsidRPr="009E3499">
              <w:rPr>
                <w:b w:val="0"/>
                <w:webHidden/>
                <w:sz w:val="20"/>
                <w:szCs w:val="20"/>
              </w:rPr>
              <w:fldChar w:fldCharType="separate"/>
            </w:r>
            <w:r w:rsidR="00081415">
              <w:rPr>
                <w:b w:val="0"/>
                <w:webHidden/>
                <w:sz w:val="20"/>
                <w:szCs w:val="20"/>
              </w:rPr>
              <w:t>8</w:t>
            </w:r>
            <w:r w:rsidR="00A36CEB" w:rsidRPr="009E3499">
              <w:rPr>
                <w:b w:val="0"/>
                <w:webHidden/>
                <w:sz w:val="20"/>
                <w:szCs w:val="20"/>
              </w:rPr>
              <w:fldChar w:fldCharType="end"/>
            </w:r>
          </w:hyperlink>
        </w:p>
        <w:p w14:paraId="570E043F" w14:textId="6BBC5701" w:rsidR="00A36CEB" w:rsidRPr="009E3499" w:rsidRDefault="006D2997">
          <w:pPr>
            <w:pStyle w:val="TDC2"/>
            <w:rPr>
              <w:rFonts w:asciiTheme="minorHAnsi" w:eastAsiaTheme="minorEastAsia" w:hAnsiTheme="minorHAnsi" w:cstheme="minorBidi"/>
              <w:b w:val="0"/>
              <w:sz w:val="20"/>
              <w:szCs w:val="20"/>
              <w:lang w:val="es-GT" w:eastAsia="es-GT"/>
            </w:rPr>
          </w:pPr>
          <w:hyperlink w:anchor="_Toc81571816" w:history="1">
            <w:r w:rsidR="00A36CEB" w:rsidRPr="009E3499">
              <w:rPr>
                <w:rStyle w:val="Hipervnculo"/>
                <w:b w:val="0"/>
                <w:sz w:val="20"/>
                <w:szCs w:val="20"/>
                <w:u w:val="none"/>
              </w:rPr>
              <w:t>1.</w:t>
            </w:r>
            <w:r w:rsidR="00A36CEB" w:rsidRPr="009E3499">
              <w:rPr>
                <w:rFonts w:asciiTheme="minorHAnsi" w:eastAsiaTheme="minorEastAsia" w:hAnsiTheme="minorHAnsi" w:cstheme="minorBidi"/>
                <w:b w:val="0"/>
                <w:sz w:val="20"/>
                <w:szCs w:val="20"/>
                <w:lang w:val="es-GT" w:eastAsia="es-GT"/>
              </w:rPr>
              <w:tab/>
            </w:r>
            <w:r w:rsidR="00A36CEB" w:rsidRPr="009E3499">
              <w:rPr>
                <w:rStyle w:val="Hipervnculo"/>
                <w:b w:val="0"/>
                <w:sz w:val="20"/>
                <w:szCs w:val="20"/>
                <w:u w:val="none"/>
              </w:rPr>
              <w:t>Contexto macroeconómico internacional 2019-2020</w:t>
            </w:r>
            <w:r w:rsidR="00A36CEB" w:rsidRPr="009E3499">
              <w:rPr>
                <w:b w:val="0"/>
                <w:webHidden/>
                <w:sz w:val="20"/>
                <w:szCs w:val="20"/>
              </w:rPr>
              <w:tab/>
            </w:r>
            <w:r w:rsidR="00A36CEB" w:rsidRPr="009E3499">
              <w:rPr>
                <w:b w:val="0"/>
                <w:webHidden/>
                <w:sz w:val="20"/>
                <w:szCs w:val="20"/>
              </w:rPr>
              <w:fldChar w:fldCharType="begin"/>
            </w:r>
            <w:r w:rsidR="00A36CEB" w:rsidRPr="009E3499">
              <w:rPr>
                <w:b w:val="0"/>
                <w:webHidden/>
                <w:sz w:val="20"/>
                <w:szCs w:val="20"/>
              </w:rPr>
              <w:instrText xml:space="preserve"> PAGEREF _Toc81571816 \h </w:instrText>
            </w:r>
            <w:r w:rsidR="00A36CEB" w:rsidRPr="009E3499">
              <w:rPr>
                <w:b w:val="0"/>
                <w:webHidden/>
                <w:sz w:val="20"/>
                <w:szCs w:val="20"/>
              </w:rPr>
            </w:r>
            <w:r w:rsidR="00A36CEB" w:rsidRPr="009E3499">
              <w:rPr>
                <w:b w:val="0"/>
                <w:webHidden/>
                <w:sz w:val="20"/>
                <w:szCs w:val="20"/>
              </w:rPr>
              <w:fldChar w:fldCharType="separate"/>
            </w:r>
            <w:r w:rsidR="00081415">
              <w:rPr>
                <w:b w:val="0"/>
                <w:webHidden/>
                <w:sz w:val="20"/>
                <w:szCs w:val="20"/>
              </w:rPr>
              <w:t>8</w:t>
            </w:r>
            <w:r w:rsidR="00A36CEB" w:rsidRPr="009E3499">
              <w:rPr>
                <w:b w:val="0"/>
                <w:webHidden/>
                <w:sz w:val="20"/>
                <w:szCs w:val="20"/>
              </w:rPr>
              <w:fldChar w:fldCharType="end"/>
            </w:r>
          </w:hyperlink>
        </w:p>
        <w:p w14:paraId="4FC5BD3A" w14:textId="6B13B29A" w:rsidR="00A36CEB" w:rsidRPr="009E3499" w:rsidRDefault="006D2997">
          <w:pPr>
            <w:pStyle w:val="TDC3"/>
            <w:rPr>
              <w:rFonts w:eastAsiaTheme="minorEastAsia"/>
              <w:noProof/>
              <w:sz w:val="20"/>
              <w:szCs w:val="20"/>
              <w:lang w:eastAsia="es-GT"/>
            </w:rPr>
          </w:pPr>
          <w:hyperlink w:anchor="_Toc81571817" w:history="1">
            <w:r w:rsidR="00A36CEB" w:rsidRPr="009E3499">
              <w:rPr>
                <w:rStyle w:val="Hipervnculo"/>
                <w:rFonts w:ascii="Times New Roman" w:hAnsi="Times New Roman" w:cs="Times New Roman"/>
                <w:noProof/>
                <w:sz w:val="20"/>
                <w:szCs w:val="20"/>
                <w:u w:val="none"/>
                <w:lang w:val="es-MX"/>
              </w:rPr>
              <w:t>1.1.</w:t>
            </w:r>
            <w:r w:rsidR="00A36CEB" w:rsidRPr="009E3499">
              <w:rPr>
                <w:rFonts w:eastAsiaTheme="minorEastAsia"/>
                <w:noProof/>
                <w:sz w:val="20"/>
                <w:szCs w:val="20"/>
                <w:lang w:eastAsia="es-GT"/>
              </w:rPr>
              <w:t xml:space="preserve">  </w:t>
            </w:r>
            <w:r w:rsidR="00A36CEB" w:rsidRPr="009E3499">
              <w:rPr>
                <w:rStyle w:val="Hipervnculo"/>
                <w:rFonts w:ascii="Times New Roman" w:hAnsi="Times New Roman" w:cs="Times New Roman"/>
                <w:noProof/>
                <w:sz w:val="20"/>
                <w:szCs w:val="20"/>
                <w:u w:val="none"/>
                <w:lang w:val="es-MX"/>
              </w:rPr>
              <w:t>La economía mundial</w:t>
            </w:r>
            <w:r w:rsidR="00A36CEB" w:rsidRPr="009E3499">
              <w:rPr>
                <w:noProof/>
                <w:webHidden/>
                <w:sz w:val="20"/>
                <w:szCs w:val="20"/>
              </w:rPr>
              <w:tab/>
            </w:r>
            <w:r w:rsidR="00A36CEB" w:rsidRPr="009E3499">
              <w:rPr>
                <w:noProof/>
                <w:webHidden/>
                <w:sz w:val="20"/>
                <w:szCs w:val="20"/>
              </w:rPr>
              <w:fldChar w:fldCharType="begin"/>
            </w:r>
            <w:r w:rsidR="00A36CEB" w:rsidRPr="009E3499">
              <w:rPr>
                <w:noProof/>
                <w:webHidden/>
                <w:sz w:val="20"/>
                <w:szCs w:val="20"/>
              </w:rPr>
              <w:instrText xml:space="preserve"> PAGEREF _Toc81571817 \h </w:instrText>
            </w:r>
            <w:r w:rsidR="00A36CEB" w:rsidRPr="009E3499">
              <w:rPr>
                <w:noProof/>
                <w:webHidden/>
                <w:sz w:val="20"/>
                <w:szCs w:val="20"/>
              </w:rPr>
            </w:r>
            <w:r w:rsidR="00A36CEB" w:rsidRPr="009E3499">
              <w:rPr>
                <w:noProof/>
                <w:webHidden/>
                <w:sz w:val="20"/>
                <w:szCs w:val="20"/>
              </w:rPr>
              <w:fldChar w:fldCharType="separate"/>
            </w:r>
            <w:r w:rsidR="00081415">
              <w:rPr>
                <w:noProof/>
                <w:webHidden/>
                <w:sz w:val="20"/>
                <w:szCs w:val="20"/>
              </w:rPr>
              <w:t>8</w:t>
            </w:r>
            <w:r w:rsidR="00A36CEB" w:rsidRPr="009E3499">
              <w:rPr>
                <w:noProof/>
                <w:webHidden/>
                <w:sz w:val="20"/>
                <w:szCs w:val="20"/>
              </w:rPr>
              <w:fldChar w:fldCharType="end"/>
            </w:r>
          </w:hyperlink>
        </w:p>
        <w:p w14:paraId="6FF939D3" w14:textId="38BF5AE6" w:rsidR="00A36CEB" w:rsidRPr="009E3499" w:rsidRDefault="006D2997">
          <w:pPr>
            <w:pStyle w:val="TDC3"/>
            <w:rPr>
              <w:rFonts w:eastAsiaTheme="minorEastAsia"/>
              <w:noProof/>
              <w:sz w:val="20"/>
              <w:szCs w:val="20"/>
              <w:lang w:eastAsia="es-GT"/>
            </w:rPr>
          </w:pPr>
          <w:hyperlink w:anchor="_Toc81571818" w:history="1">
            <w:r w:rsidR="00A36CEB" w:rsidRPr="009E3499">
              <w:rPr>
                <w:rStyle w:val="Hipervnculo"/>
                <w:rFonts w:ascii="Times New Roman" w:hAnsi="Times New Roman" w:cs="Times New Roman"/>
                <w:noProof/>
                <w:sz w:val="20"/>
                <w:szCs w:val="20"/>
                <w:u w:val="none"/>
                <w:lang w:val="es-MX"/>
              </w:rPr>
              <w:t>1.2.</w:t>
            </w:r>
            <w:r w:rsidR="00A36CEB" w:rsidRPr="009E3499">
              <w:rPr>
                <w:rFonts w:eastAsiaTheme="minorEastAsia"/>
                <w:noProof/>
                <w:sz w:val="20"/>
                <w:szCs w:val="20"/>
                <w:lang w:eastAsia="es-GT"/>
              </w:rPr>
              <w:t xml:space="preserve">  </w:t>
            </w:r>
            <w:r w:rsidR="00A36CEB" w:rsidRPr="009E3499">
              <w:rPr>
                <w:rStyle w:val="Hipervnculo"/>
                <w:rFonts w:ascii="Times New Roman" w:hAnsi="Times New Roman" w:cs="Times New Roman"/>
                <w:noProof/>
                <w:sz w:val="20"/>
                <w:szCs w:val="20"/>
                <w:u w:val="none"/>
                <w:lang w:val="es-MX"/>
              </w:rPr>
              <w:t>Impactos Divergentes.</w:t>
            </w:r>
            <w:r w:rsidR="00A36CEB" w:rsidRPr="009E3499">
              <w:rPr>
                <w:noProof/>
                <w:webHidden/>
                <w:sz w:val="20"/>
                <w:szCs w:val="20"/>
              </w:rPr>
              <w:tab/>
            </w:r>
            <w:r w:rsidR="00A36CEB" w:rsidRPr="009E3499">
              <w:rPr>
                <w:noProof/>
                <w:webHidden/>
                <w:sz w:val="20"/>
                <w:szCs w:val="20"/>
              </w:rPr>
              <w:fldChar w:fldCharType="begin"/>
            </w:r>
            <w:r w:rsidR="00A36CEB" w:rsidRPr="009E3499">
              <w:rPr>
                <w:noProof/>
                <w:webHidden/>
                <w:sz w:val="20"/>
                <w:szCs w:val="20"/>
              </w:rPr>
              <w:instrText xml:space="preserve"> PAGEREF _Toc81571818 \h </w:instrText>
            </w:r>
            <w:r w:rsidR="00A36CEB" w:rsidRPr="009E3499">
              <w:rPr>
                <w:noProof/>
                <w:webHidden/>
                <w:sz w:val="20"/>
                <w:szCs w:val="20"/>
              </w:rPr>
            </w:r>
            <w:r w:rsidR="00A36CEB" w:rsidRPr="009E3499">
              <w:rPr>
                <w:noProof/>
                <w:webHidden/>
                <w:sz w:val="20"/>
                <w:szCs w:val="20"/>
              </w:rPr>
              <w:fldChar w:fldCharType="separate"/>
            </w:r>
            <w:r w:rsidR="00081415">
              <w:rPr>
                <w:noProof/>
                <w:webHidden/>
                <w:sz w:val="20"/>
                <w:szCs w:val="20"/>
              </w:rPr>
              <w:t>9</w:t>
            </w:r>
            <w:r w:rsidR="00A36CEB" w:rsidRPr="009E3499">
              <w:rPr>
                <w:noProof/>
                <w:webHidden/>
                <w:sz w:val="20"/>
                <w:szCs w:val="20"/>
              </w:rPr>
              <w:fldChar w:fldCharType="end"/>
            </w:r>
          </w:hyperlink>
        </w:p>
        <w:p w14:paraId="472C5919" w14:textId="7C9FF8BD" w:rsidR="00A36CEB" w:rsidRPr="009E3499" w:rsidRDefault="006D2997">
          <w:pPr>
            <w:pStyle w:val="TDC3"/>
            <w:rPr>
              <w:rFonts w:eastAsiaTheme="minorEastAsia"/>
              <w:noProof/>
              <w:sz w:val="20"/>
              <w:szCs w:val="20"/>
              <w:lang w:eastAsia="es-GT"/>
            </w:rPr>
          </w:pPr>
          <w:hyperlink w:anchor="_Toc81571819" w:history="1">
            <w:r w:rsidR="00A36CEB" w:rsidRPr="009E3499">
              <w:rPr>
                <w:rStyle w:val="Hipervnculo"/>
                <w:rFonts w:ascii="Times New Roman" w:hAnsi="Times New Roman" w:cs="Times New Roman"/>
                <w:noProof/>
                <w:sz w:val="20"/>
                <w:szCs w:val="20"/>
                <w:u w:val="none"/>
                <w:lang w:val="es-MX"/>
              </w:rPr>
              <w:t>1.3.</w:t>
            </w:r>
            <w:r w:rsidR="00A36CEB" w:rsidRPr="009E3499">
              <w:rPr>
                <w:rFonts w:eastAsiaTheme="minorEastAsia"/>
                <w:noProof/>
                <w:sz w:val="20"/>
                <w:szCs w:val="20"/>
                <w:lang w:eastAsia="es-GT"/>
              </w:rPr>
              <w:t xml:space="preserve">  </w:t>
            </w:r>
            <w:r w:rsidR="00A36CEB" w:rsidRPr="009E3499">
              <w:rPr>
                <w:rStyle w:val="Hipervnculo"/>
                <w:rFonts w:ascii="Times New Roman" w:hAnsi="Times New Roman" w:cs="Times New Roman"/>
                <w:noProof/>
                <w:sz w:val="20"/>
                <w:szCs w:val="20"/>
                <w:u w:val="none"/>
                <w:lang w:val="es-MX"/>
              </w:rPr>
              <w:t>Evolución de los principales socios comerciales de Guatemala</w:t>
            </w:r>
            <w:r w:rsidR="00A36CEB" w:rsidRPr="009E3499">
              <w:rPr>
                <w:noProof/>
                <w:webHidden/>
                <w:sz w:val="20"/>
                <w:szCs w:val="20"/>
              </w:rPr>
              <w:tab/>
            </w:r>
            <w:r w:rsidR="00A36CEB" w:rsidRPr="009E3499">
              <w:rPr>
                <w:noProof/>
                <w:webHidden/>
                <w:sz w:val="20"/>
                <w:szCs w:val="20"/>
              </w:rPr>
              <w:fldChar w:fldCharType="begin"/>
            </w:r>
            <w:r w:rsidR="00A36CEB" w:rsidRPr="009E3499">
              <w:rPr>
                <w:noProof/>
                <w:webHidden/>
                <w:sz w:val="20"/>
                <w:szCs w:val="20"/>
              </w:rPr>
              <w:instrText xml:space="preserve"> PAGEREF _Toc81571819 \h </w:instrText>
            </w:r>
            <w:r w:rsidR="00A36CEB" w:rsidRPr="009E3499">
              <w:rPr>
                <w:noProof/>
                <w:webHidden/>
                <w:sz w:val="20"/>
                <w:szCs w:val="20"/>
              </w:rPr>
            </w:r>
            <w:r w:rsidR="00A36CEB" w:rsidRPr="009E3499">
              <w:rPr>
                <w:noProof/>
                <w:webHidden/>
                <w:sz w:val="20"/>
                <w:szCs w:val="20"/>
              </w:rPr>
              <w:fldChar w:fldCharType="separate"/>
            </w:r>
            <w:r w:rsidR="00081415">
              <w:rPr>
                <w:noProof/>
                <w:webHidden/>
                <w:sz w:val="20"/>
                <w:szCs w:val="20"/>
              </w:rPr>
              <w:t>10</w:t>
            </w:r>
            <w:r w:rsidR="00A36CEB" w:rsidRPr="009E3499">
              <w:rPr>
                <w:noProof/>
                <w:webHidden/>
                <w:sz w:val="20"/>
                <w:szCs w:val="20"/>
              </w:rPr>
              <w:fldChar w:fldCharType="end"/>
            </w:r>
          </w:hyperlink>
        </w:p>
        <w:p w14:paraId="0B630142" w14:textId="144B51D9" w:rsidR="00A36CEB" w:rsidRPr="009E3499" w:rsidRDefault="00A36CEB">
          <w:pPr>
            <w:pStyle w:val="TDC3"/>
            <w:rPr>
              <w:rFonts w:eastAsiaTheme="minorEastAsia"/>
              <w:noProof/>
              <w:sz w:val="20"/>
              <w:szCs w:val="20"/>
              <w:lang w:eastAsia="es-GT"/>
            </w:rPr>
          </w:pPr>
          <w:r w:rsidRPr="009E3499">
            <w:rPr>
              <w:rStyle w:val="Hipervnculo"/>
              <w:noProof/>
              <w:sz w:val="20"/>
              <w:szCs w:val="20"/>
              <w:u w:val="none"/>
            </w:rPr>
            <w:t xml:space="preserve">      </w:t>
          </w:r>
          <w:hyperlink w:anchor="_Toc81571820" w:history="1">
            <w:r w:rsidRPr="009E3499">
              <w:rPr>
                <w:rStyle w:val="Hipervnculo"/>
                <w:rFonts w:ascii="Times New Roman" w:hAnsi="Times New Roman" w:cs="Times New Roman"/>
                <w:noProof/>
                <w:sz w:val="20"/>
                <w:szCs w:val="20"/>
                <w:u w:val="none"/>
                <w:lang w:val="es-MX"/>
              </w:rPr>
              <w:t>1.3.1.La economía de Estados Unidos de América</w:t>
            </w:r>
            <w:r w:rsidRPr="009E3499">
              <w:rPr>
                <w:noProof/>
                <w:webHidden/>
                <w:sz w:val="20"/>
                <w:szCs w:val="20"/>
              </w:rPr>
              <w:tab/>
            </w:r>
            <w:r w:rsidRPr="009E3499">
              <w:rPr>
                <w:noProof/>
                <w:webHidden/>
                <w:sz w:val="20"/>
                <w:szCs w:val="20"/>
              </w:rPr>
              <w:fldChar w:fldCharType="begin"/>
            </w:r>
            <w:r w:rsidRPr="009E3499">
              <w:rPr>
                <w:noProof/>
                <w:webHidden/>
                <w:sz w:val="20"/>
                <w:szCs w:val="20"/>
              </w:rPr>
              <w:instrText xml:space="preserve"> PAGEREF _Toc81571820 \h </w:instrText>
            </w:r>
            <w:r w:rsidRPr="009E3499">
              <w:rPr>
                <w:noProof/>
                <w:webHidden/>
                <w:sz w:val="20"/>
                <w:szCs w:val="20"/>
              </w:rPr>
            </w:r>
            <w:r w:rsidRPr="009E3499">
              <w:rPr>
                <w:noProof/>
                <w:webHidden/>
                <w:sz w:val="20"/>
                <w:szCs w:val="20"/>
              </w:rPr>
              <w:fldChar w:fldCharType="separate"/>
            </w:r>
            <w:r w:rsidR="00081415">
              <w:rPr>
                <w:noProof/>
                <w:webHidden/>
                <w:sz w:val="20"/>
                <w:szCs w:val="20"/>
              </w:rPr>
              <w:t>10</w:t>
            </w:r>
            <w:r w:rsidRPr="009E3499">
              <w:rPr>
                <w:noProof/>
                <w:webHidden/>
                <w:sz w:val="20"/>
                <w:szCs w:val="20"/>
              </w:rPr>
              <w:fldChar w:fldCharType="end"/>
            </w:r>
          </w:hyperlink>
        </w:p>
        <w:p w14:paraId="7033E70A" w14:textId="2D3251EE" w:rsidR="00A36CEB" w:rsidRPr="009E3499" w:rsidRDefault="00A36CEB">
          <w:pPr>
            <w:pStyle w:val="TDC3"/>
            <w:rPr>
              <w:rFonts w:eastAsiaTheme="minorEastAsia"/>
              <w:noProof/>
              <w:sz w:val="20"/>
              <w:szCs w:val="20"/>
              <w:lang w:eastAsia="es-GT"/>
            </w:rPr>
          </w:pPr>
          <w:r w:rsidRPr="009E3499">
            <w:rPr>
              <w:rStyle w:val="Hipervnculo"/>
              <w:noProof/>
              <w:sz w:val="20"/>
              <w:szCs w:val="20"/>
              <w:u w:val="none"/>
            </w:rPr>
            <w:t xml:space="preserve">      </w:t>
          </w:r>
          <w:hyperlink w:anchor="_Toc81571821" w:history="1">
            <w:r w:rsidRPr="009E3499">
              <w:rPr>
                <w:rStyle w:val="Hipervnculo"/>
                <w:rFonts w:ascii="Times New Roman" w:hAnsi="Times New Roman" w:cs="Times New Roman"/>
                <w:noProof/>
                <w:sz w:val="20"/>
                <w:szCs w:val="20"/>
                <w:u w:val="none"/>
                <w:lang w:val="es-MX"/>
              </w:rPr>
              <w:t>1.3.2.Centroamérica y República Dominicana</w:t>
            </w:r>
            <w:r w:rsidRPr="009E3499">
              <w:rPr>
                <w:noProof/>
                <w:webHidden/>
                <w:sz w:val="20"/>
                <w:szCs w:val="20"/>
              </w:rPr>
              <w:tab/>
            </w:r>
            <w:r w:rsidRPr="009E3499">
              <w:rPr>
                <w:noProof/>
                <w:webHidden/>
                <w:sz w:val="20"/>
                <w:szCs w:val="20"/>
              </w:rPr>
              <w:fldChar w:fldCharType="begin"/>
            </w:r>
            <w:r w:rsidRPr="009E3499">
              <w:rPr>
                <w:noProof/>
                <w:webHidden/>
                <w:sz w:val="20"/>
                <w:szCs w:val="20"/>
              </w:rPr>
              <w:instrText xml:space="preserve"> PAGEREF _Toc81571821 \h </w:instrText>
            </w:r>
            <w:r w:rsidRPr="009E3499">
              <w:rPr>
                <w:noProof/>
                <w:webHidden/>
                <w:sz w:val="20"/>
                <w:szCs w:val="20"/>
              </w:rPr>
            </w:r>
            <w:r w:rsidRPr="009E3499">
              <w:rPr>
                <w:noProof/>
                <w:webHidden/>
                <w:sz w:val="20"/>
                <w:szCs w:val="20"/>
              </w:rPr>
              <w:fldChar w:fldCharType="separate"/>
            </w:r>
            <w:r w:rsidR="00081415">
              <w:rPr>
                <w:noProof/>
                <w:webHidden/>
                <w:sz w:val="20"/>
                <w:szCs w:val="20"/>
              </w:rPr>
              <w:t>11</w:t>
            </w:r>
            <w:r w:rsidRPr="009E3499">
              <w:rPr>
                <w:noProof/>
                <w:webHidden/>
                <w:sz w:val="20"/>
                <w:szCs w:val="20"/>
              </w:rPr>
              <w:fldChar w:fldCharType="end"/>
            </w:r>
          </w:hyperlink>
        </w:p>
        <w:p w14:paraId="12334EF7" w14:textId="3C29BBFD" w:rsidR="00A36CEB" w:rsidRPr="009E3499" w:rsidRDefault="00A36CEB">
          <w:pPr>
            <w:pStyle w:val="TDC3"/>
            <w:rPr>
              <w:rFonts w:eastAsiaTheme="minorEastAsia"/>
              <w:noProof/>
              <w:sz w:val="20"/>
              <w:szCs w:val="20"/>
              <w:lang w:eastAsia="es-GT"/>
            </w:rPr>
          </w:pPr>
          <w:r w:rsidRPr="009E3499">
            <w:rPr>
              <w:rStyle w:val="Hipervnculo"/>
              <w:noProof/>
              <w:sz w:val="20"/>
              <w:szCs w:val="20"/>
              <w:u w:val="none"/>
            </w:rPr>
            <w:t xml:space="preserve">      </w:t>
          </w:r>
          <w:hyperlink w:anchor="_Toc81571822" w:history="1">
            <w:r w:rsidRPr="009E3499">
              <w:rPr>
                <w:rStyle w:val="Hipervnculo"/>
                <w:rFonts w:ascii="Times New Roman" w:hAnsi="Times New Roman" w:cs="Times New Roman"/>
                <w:noProof/>
                <w:sz w:val="20"/>
                <w:szCs w:val="20"/>
                <w:u w:val="none"/>
                <w:lang w:val="es-MX"/>
              </w:rPr>
              <w:t>1.3.3.La economía de México</w:t>
            </w:r>
            <w:r w:rsidRPr="009E3499">
              <w:rPr>
                <w:noProof/>
                <w:webHidden/>
                <w:sz w:val="20"/>
                <w:szCs w:val="20"/>
              </w:rPr>
              <w:tab/>
            </w:r>
            <w:r w:rsidRPr="009E3499">
              <w:rPr>
                <w:noProof/>
                <w:webHidden/>
                <w:sz w:val="20"/>
                <w:szCs w:val="20"/>
              </w:rPr>
              <w:fldChar w:fldCharType="begin"/>
            </w:r>
            <w:r w:rsidRPr="009E3499">
              <w:rPr>
                <w:noProof/>
                <w:webHidden/>
                <w:sz w:val="20"/>
                <w:szCs w:val="20"/>
              </w:rPr>
              <w:instrText xml:space="preserve"> PAGEREF _Toc81571822 \h </w:instrText>
            </w:r>
            <w:r w:rsidRPr="009E3499">
              <w:rPr>
                <w:noProof/>
                <w:webHidden/>
                <w:sz w:val="20"/>
                <w:szCs w:val="20"/>
              </w:rPr>
            </w:r>
            <w:r w:rsidRPr="009E3499">
              <w:rPr>
                <w:noProof/>
                <w:webHidden/>
                <w:sz w:val="20"/>
                <w:szCs w:val="20"/>
              </w:rPr>
              <w:fldChar w:fldCharType="separate"/>
            </w:r>
            <w:r w:rsidR="00081415">
              <w:rPr>
                <w:noProof/>
                <w:webHidden/>
                <w:sz w:val="20"/>
                <w:szCs w:val="20"/>
              </w:rPr>
              <w:t>12</w:t>
            </w:r>
            <w:r w:rsidRPr="009E3499">
              <w:rPr>
                <w:noProof/>
                <w:webHidden/>
                <w:sz w:val="20"/>
                <w:szCs w:val="20"/>
              </w:rPr>
              <w:fldChar w:fldCharType="end"/>
            </w:r>
          </w:hyperlink>
        </w:p>
        <w:p w14:paraId="55691599" w14:textId="1448997B" w:rsidR="00A36CEB" w:rsidRPr="009E3499" w:rsidRDefault="00A36CEB">
          <w:pPr>
            <w:pStyle w:val="TDC3"/>
            <w:rPr>
              <w:rFonts w:eastAsiaTheme="minorEastAsia"/>
              <w:noProof/>
              <w:sz w:val="20"/>
              <w:szCs w:val="20"/>
              <w:lang w:eastAsia="es-GT"/>
            </w:rPr>
          </w:pPr>
          <w:r w:rsidRPr="009E3499">
            <w:rPr>
              <w:rStyle w:val="Hipervnculo"/>
              <w:noProof/>
              <w:sz w:val="20"/>
              <w:szCs w:val="20"/>
              <w:u w:val="none"/>
            </w:rPr>
            <w:t xml:space="preserve">      </w:t>
          </w:r>
          <w:hyperlink w:anchor="_Toc81571823" w:history="1">
            <w:r w:rsidRPr="009E3499">
              <w:rPr>
                <w:rStyle w:val="Hipervnculo"/>
                <w:rFonts w:ascii="Times New Roman" w:hAnsi="Times New Roman" w:cs="Times New Roman"/>
                <w:noProof/>
                <w:sz w:val="20"/>
                <w:szCs w:val="20"/>
                <w:u w:val="none"/>
                <w:lang w:val="es-MX"/>
              </w:rPr>
              <w:t>1.3.4.La economía en la Zona del Euro</w:t>
            </w:r>
            <w:r w:rsidRPr="009E3499">
              <w:rPr>
                <w:noProof/>
                <w:webHidden/>
                <w:sz w:val="20"/>
                <w:szCs w:val="20"/>
              </w:rPr>
              <w:tab/>
            </w:r>
            <w:r w:rsidRPr="009E3499">
              <w:rPr>
                <w:noProof/>
                <w:webHidden/>
                <w:sz w:val="20"/>
                <w:szCs w:val="20"/>
              </w:rPr>
              <w:fldChar w:fldCharType="begin"/>
            </w:r>
            <w:r w:rsidRPr="009E3499">
              <w:rPr>
                <w:noProof/>
                <w:webHidden/>
                <w:sz w:val="20"/>
                <w:szCs w:val="20"/>
              </w:rPr>
              <w:instrText xml:space="preserve"> PAGEREF _Toc81571823 \h </w:instrText>
            </w:r>
            <w:r w:rsidRPr="009E3499">
              <w:rPr>
                <w:noProof/>
                <w:webHidden/>
                <w:sz w:val="20"/>
                <w:szCs w:val="20"/>
              </w:rPr>
            </w:r>
            <w:r w:rsidRPr="009E3499">
              <w:rPr>
                <w:noProof/>
                <w:webHidden/>
                <w:sz w:val="20"/>
                <w:szCs w:val="20"/>
              </w:rPr>
              <w:fldChar w:fldCharType="separate"/>
            </w:r>
            <w:r w:rsidR="00081415">
              <w:rPr>
                <w:noProof/>
                <w:webHidden/>
                <w:sz w:val="20"/>
                <w:szCs w:val="20"/>
              </w:rPr>
              <w:t>13</w:t>
            </w:r>
            <w:r w:rsidRPr="009E3499">
              <w:rPr>
                <w:noProof/>
                <w:webHidden/>
                <w:sz w:val="20"/>
                <w:szCs w:val="20"/>
              </w:rPr>
              <w:fldChar w:fldCharType="end"/>
            </w:r>
          </w:hyperlink>
        </w:p>
        <w:p w14:paraId="3B6E6D71" w14:textId="413573A3" w:rsidR="00A36CEB" w:rsidRPr="009E3499" w:rsidRDefault="006D2997">
          <w:pPr>
            <w:pStyle w:val="TDC3"/>
            <w:rPr>
              <w:rFonts w:eastAsiaTheme="minorEastAsia"/>
              <w:noProof/>
              <w:sz w:val="20"/>
              <w:szCs w:val="20"/>
              <w:lang w:eastAsia="es-GT"/>
            </w:rPr>
          </w:pPr>
          <w:hyperlink w:anchor="_Toc81571824" w:history="1">
            <w:r w:rsidR="00A36CEB" w:rsidRPr="009E3499">
              <w:rPr>
                <w:rStyle w:val="Hipervnculo"/>
                <w:rFonts w:ascii="Times New Roman" w:hAnsi="Times New Roman" w:cs="Times New Roman"/>
                <w:noProof/>
                <w:sz w:val="20"/>
                <w:szCs w:val="20"/>
                <w:u w:val="none"/>
                <w:lang w:val="es-MX"/>
              </w:rPr>
              <w:t>1.4.</w:t>
            </w:r>
            <w:r w:rsidR="00A36CEB" w:rsidRPr="009E3499">
              <w:rPr>
                <w:rFonts w:eastAsiaTheme="minorEastAsia"/>
                <w:noProof/>
                <w:sz w:val="20"/>
                <w:szCs w:val="20"/>
                <w:lang w:eastAsia="es-GT"/>
              </w:rPr>
              <w:t xml:space="preserve">  </w:t>
            </w:r>
            <w:r w:rsidR="00A36CEB" w:rsidRPr="009E3499">
              <w:rPr>
                <w:rStyle w:val="Hipervnculo"/>
                <w:rFonts w:ascii="Times New Roman" w:hAnsi="Times New Roman" w:cs="Times New Roman"/>
                <w:noProof/>
                <w:sz w:val="20"/>
                <w:szCs w:val="20"/>
                <w:u w:val="none"/>
                <w:lang w:val="es-MX"/>
              </w:rPr>
              <w:t>Comportamiento del precio del petróleo</w:t>
            </w:r>
            <w:r w:rsidR="00A36CEB" w:rsidRPr="009E3499">
              <w:rPr>
                <w:noProof/>
                <w:webHidden/>
                <w:sz w:val="20"/>
                <w:szCs w:val="20"/>
              </w:rPr>
              <w:tab/>
            </w:r>
            <w:r w:rsidR="00A36CEB" w:rsidRPr="009E3499">
              <w:rPr>
                <w:noProof/>
                <w:webHidden/>
                <w:sz w:val="20"/>
                <w:szCs w:val="20"/>
              </w:rPr>
              <w:fldChar w:fldCharType="begin"/>
            </w:r>
            <w:r w:rsidR="00A36CEB" w:rsidRPr="009E3499">
              <w:rPr>
                <w:noProof/>
                <w:webHidden/>
                <w:sz w:val="20"/>
                <w:szCs w:val="20"/>
              </w:rPr>
              <w:instrText xml:space="preserve"> PAGEREF _Toc81571824 \h </w:instrText>
            </w:r>
            <w:r w:rsidR="00A36CEB" w:rsidRPr="009E3499">
              <w:rPr>
                <w:noProof/>
                <w:webHidden/>
                <w:sz w:val="20"/>
                <w:szCs w:val="20"/>
              </w:rPr>
            </w:r>
            <w:r w:rsidR="00A36CEB" w:rsidRPr="009E3499">
              <w:rPr>
                <w:noProof/>
                <w:webHidden/>
                <w:sz w:val="20"/>
                <w:szCs w:val="20"/>
              </w:rPr>
              <w:fldChar w:fldCharType="separate"/>
            </w:r>
            <w:r w:rsidR="00081415">
              <w:rPr>
                <w:noProof/>
                <w:webHidden/>
                <w:sz w:val="20"/>
                <w:szCs w:val="20"/>
              </w:rPr>
              <w:t>14</w:t>
            </w:r>
            <w:r w:rsidR="00A36CEB" w:rsidRPr="009E3499">
              <w:rPr>
                <w:noProof/>
                <w:webHidden/>
                <w:sz w:val="20"/>
                <w:szCs w:val="20"/>
              </w:rPr>
              <w:fldChar w:fldCharType="end"/>
            </w:r>
          </w:hyperlink>
        </w:p>
        <w:p w14:paraId="1669603F" w14:textId="7452D427" w:rsidR="00A36CEB" w:rsidRPr="009E3499" w:rsidRDefault="006D2997">
          <w:pPr>
            <w:pStyle w:val="TDC2"/>
            <w:rPr>
              <w:rFonts w:asciiTheme="minorHAnsi" w:eastAsiaTheme="minorEastAsia" w:hAnsiTheme="minorHAnsi" w:cstheme="minorBidi"/>
              <w:b w:val="0"/>
              <w:sz w:val="20"/>
              <w:szCs w:val="20"/>
              <w:lang w:val="es-GT" w:eastAsia="es-GT"/>
            </w:rPr>
          </w:pPr>
          <w:hyperlink w:anchor="_Toc81571825" w:history="1">
            <w:r w:rsidR="00A36CEB" w:rsidRPr="009E3499">
              <w:rPr>
                <w:rStyle w:val="Hipervnculo"/>
                <w:b w:val="0"/>
                <w:sz w:val="20"/>
                <w:szCs w:val="20"/>
                <w:u w:val="none"/>
              </w:rPr>
              <w:t>2.</w:t>
            </w:r>
            <w:r w:rsidR="00A36CEB" w:rsidRPr="009E3499">
              <w:rPr>
                <w:rFonts w:asciiTheme="minorHAnsi" w:eastAsiaTheme="minorEastAsia" w:hAnsiTheme="minorHAnsi" w:cstheme="minorBidi"/>
                <w:b w:val="0"/>
                <w:sz w:val="20"/>
                <w:szCs w:val="20"/>
                <w:lang w:val="es-GT" w:eastAsia="es-GT"/>
              </w:rPr>
              <w:tab/>
            </w:r>
            <w:r w:rsidR="00A36CEB" w:rsidRPr="009E3499">
              <w:rPr>
                <w:rStyle w:val="Hipervnculo"/>
                <w:b w:val="0"/>
                <w:sz w:val="20"/>
                <w:szCs w:val="20"/>
                <w:u w:val="none"/>
              </w:rPr>
              <w:t>Perspectivas de la economía mundial 2021</w:t>
            </w:r>
            <w:r w:rsidR="00A36CEB" w:rsidRPr="009E3499">
              <w:rPr>
                <w:b w:val="0"/>
                <w:webHidden/>
                <w:sz w:val="20"/>
                <w:szCs w:val="20"/>
              </w:rPr>
              <w:tab/>
            </w:r>
            <w:r w:rsidR="00A36CEB" w:rsidRPr="009E3499">
              <w:rPr>
                <w:b w:val="0"/>
                <w:webHidden/>
                <w:sz w:val="20"/>
                <w:szCs w:val="20"/>
              </w:rPr>
              <w:fldChar w:fldCharType="begin"/>
            </w:r>
            <w:r w:rsidR="00A36CEB" w:rsidRPr="009E3499">
              <w:rPr>
                <w:b w:val="0"/>
                <w:webHidden/>
                <w:sz w:val="20"/>
                <w:szCs w:val="20"/>
              </w:rPr>
              <w:instrText xml:space="preserve"> PAGEREF _Toc81571825 \h </w:instrText>
            </w:r>
            <w:r w:rsidR="00A36CEB" w:rsidRPr="009E3499">
              <w:rPr>
                <w:b w:val="0"/>
                <w:webHidden/>
                <w:sz w:val="20"/>
                <w:szCs w:val="20"/>
              </w:rPr>
            </w:r>
            <w:r w:rsidR="00A36CEB" w:rsidRPr="009E3499">
              <w:rPr>
                <w:b w:val="0"/>
                <w:webHidden/>
                <w:sz w:val="20"/>
                <w:szCs w:val="20"/>
              </w:rPr>
              <w:fldChar w:fldCharType="separate"/>
            </w:r>
            <w:r w:rsidR="00081415">
              <w:rPr>
                <w:b w:val="0"/>
                <w:webHidden/>
                <w:sz w:val="20"/>
                <w:szCs w:val="20"/>
              </w:rPr>
              <w:t>14</w:t>
            </w:r>
            <w:r w:rsidR="00A36CEB" w:rsidRPr="009E3499">
              <w:rPr>
                <w:b w:val="0"/>
                <w:webHidden/>
                <w:sz w:val="20"/>
                <w:szCs w:val="20"/>
              </w:rPr>
              <w:fldChar w:fldCharType="end"/>
            </w:r>
          </w:hyperlink>
        </w:p>
        <w:p w14:paraId="639DFC58" w14:textId="65257388" w:rsidR="00A36CEB" w:rsidRPr="009E3499" w:rsidRDefault="00A36CEB">
          <w:pPr>
            <w:pStyle w:val="TDC2"/>
            <w:rPr>
              <w:rFonts w:asciiTheme="minorHAnsi" w:eastAsiaTheme="minorEastAsia" w:hAnsiTheme="minorHAnsi" w:cstheme="minorBidi"/>
              <w:b w:val="0"/>
              <w:sz w:val="20"/>
              <w:szCs w:val="20"/>
              <w:lang w:val="es-GT" w:eastAsia="es-GT"/>
            </w:rPr>
          </w:pPr>
          <w:r w:rsidRPr="009E3499">
            <w:rPr>
              <w:rStyle w:val="Hipervnculo"/>
              <w:b w:val="0"/>
              <w:sz w:val="20"/>
              <w:szCs w:val="20"/>
              <w:u w:val="none"/>
            </w:rPr>
            <w:t xml:space="preserve">  </w:t>
          </w:r>
          <w:hyperlink w:anchor="_Toc81571826" w:history="1">
            <w:r w:rsidRPr="009E3499">
              <w:rPr>
                <w:rStyle w:val="Hipervnculo"/>
                <w:b w:val="0"/>
                <w:sz w:val="20"/>
                <w:szCs w:val="20"/>
                <w:u w:val="none"/>
              </w:rPr>
              <w:t>2.1</w:t>
            </w:r>
            <w:r w:rsidRPr="009E3499">
              <w:rPr>
                <w:rFonts w:asciiTheme="minorHAnsi" w:eastAsiaTheme="minorEastAsia" w:hAnsiTheme="minorHAnsi" w:cstheme="minorBidi"/>
                <w:b w:val="0"/>
                <w:sz w:val="20"/>
                <w:szCs w:val="20"/>
                <w:lang w:val="es-GT" w:eastAsia="es-GT"/>
              </w:rPr>
              <w:t xml:space="preserve">.  </w:t>
            </w:r>
            <w:r w:rsidRPr="009E3499">
              <w:rPr>
                <w:rStyle w:val="Hipervnculo"/>
                <w:b w:val="0"/>
                <w:sz w:val="20"/>
                <w:szCs w:val="20"/>
                <w:u w:val="none"/>
              </w:rPr>
              <w:t>Una gran incertidumbre rodea el panorama mundial.</w:t>
            </w:r>
            <w:r w:rsidRPr="009E3499">
              <w:rPr>
                <w:b w:val="0"/>
                <w:webHidden/>
                <w:sz w:val="20"/>
                <w:szCs w:val="20"/>
              </w:rPr>
              <w:tab/>
            </w:r>
            <w:r w:rsidRPr="009E3499">
              <w:rPr>
                <w:b w:val="0"/>
                <w:webHidden/>
                <w:sz w:val="20"/>
                <w:szCs w:val="20"/>
              </w:rPr>
              <w:fldChar w:fldCharType="begin"/>
            </w:r>
            <w:r w:rsidRPr="009E3499">
              <w:rPr>
                <w:b w:val="0"/>
                <w:webHidden/>
                <w:sz w:val="20"/>
                <w:szCs w:val="20"/>
              </w:rPr>
              <w:instrText xml:space="preserve"> PAGEREF _Toc81571826 \h </w:instrText>
            </w:r>
            <w:r w:rsidRPr="009E3499">
              <w:rPr>
                <w:b w:val="0"/>
                <w:webHidden/>
                <w:sz w:val="20"/>
                <w:szCs w:val="20"/>
              </w:rPr>
            </w:r>
            <w:r w:rsidRPr="009E3499">
              <w:rPr>
                <w:b w:val="0"/>
                <w:webHidden/>
                <w:sz w:val="20"/>
                <w:szCs w:val="20"/>
              </w:rPr>
              <w:fldChar w:fldCharType="separate"/>
            </w:r>
            <w:r w:rsidR="00081415">
              <w:rPr>
                <w:b w:val="0"/>
                <w:webHidden/>
                <w:sz w:val="20"/>
                <w:szCs w:val="20"/>
              </w:rPr>
              <w:t>15</w:t>
            </w:r>
            <w:r w:rsidRPr="009E3499">
              <w:rPr>
                <w:b w:val="0"/>
                <w:webHidden/>
                <w:sz w:val="20"/>
                <w:szCs w:val="20"/>
              </w:rPr>
              <w:fldChar w:fldCharType="end"/>
            </w:r>
          </w:hyperlink>
        </w:p>
        <w:p w14:paraId="3EE6A34C" w14:textId="459475E4" w:rsidR="00A36CEB" w:rsidRPr="009E3499" w:rsidRDefault="00A36CEB">
          <w:pPr>
            <w:pStyle w:val="TDC2"/>
            <w:rPr>
              <w:rFonts w:asciiTheme="minorHAnsi" w:eastAsiaTheme="minorEastAsia" w:hAnsiTheme="minorHAnsi" w:cstheme="minorBidi"/>
              <w:b w:val="0"/>
              <w:sz w:val="20"/>
              <w:szCs w:val="20"/>
              <w:lang w:val="es-GT" w:eastAsia="es-GT"/>
            </w:rPr>
          </w:pPr>
          <w:r w:rsidRPr="009E3499">
            <w:rPr>
              <w:rStyle w:val="Hipervnculo"/>
              <w:b w:val="0"/>
              <w:sz w:val="20"/>
              <w:szCs w:val="20"/>
              <w:u w:val="none"/>
            </w:rPr>
            <w:t xml:space="preserve">  </w:t>
          </w:r>
          <w:hyperlink w:anchor="_Toc81571828" w:history="1">
            <w:r w:rsidRPr="009E3499">
              <w:rPr>
                <w:rStyle w:val="Hipervnculo"/>
                <w:b w:val="0"/>
                <w:sz w:val="20"/>
                <w:szCs w:val="20"/>
                <w:u w:val="none"/>
              </w:rPr>
              <w:t>2.2</w:t>
            </w:r>
            <w:r w:rsidRPr="009E3499">
              <w:rPr>
                <w:rFonts w:asciiTheme="minorHAnsi" w:eastAsiaTheme="minorEastAsia" w:hAnsiTheme="minorHAnsi" w:cstheme="minorBidi"/>
                <w:b w:val="0"/>
                <w:sz w:val="20"/>
                <w:szCs w:val="20"/>
                <w:lang w:val="es-GT" w:eastAsia="es-GT"/>
              </w:rPr>
              <w:t xml:space="preserve">.  </w:t>
            </w:r>
            <w:r w:rsidRPr="009E3499">
              <w:rPr>
                <w:rStyle w:val="Hipervnculo"/>
                <w:b w:val="0"/>
                <w:sz w:val="20"/>
                <w:szCs w:val="20"/>
                <w:u w:val="none"/>
              </w:rPr>
              <w:t>Principales socios comerciales</w:t>
            </w:r>
            <w:r w:rsidRPr="009E3499">
              <w:rPr>
                <w:b w:val="0"/>
                <w:webHidden/>
                <w:sz w:val="20"/>
                <w:szCs w:val="20"/>
              </w:rPr>
              <w:tab/>
            </w:r>
            <w:r w:rsidRPr="009E3499">
              <w:rPr>
                <w:b w:val="0"/>
                <w:webHidden/>
                <w:sz w:val="20"/>
                <w:szCs w:val="20"/>
              </w:rPr>
              <w:fldChar w:fldCharType="begin"/>
            </w:r>
            <w:r w:rsidRPr="009E3499">
              <w:rPr>
                <w:b w:val="0"/>
                <w:webHidden/>
                <w:sz w:val="20"/>
                <w:szCs w:val="20"/>
              </w:rPr>
              <w:instrText xml:space="preserve"> PAGEREF _Toc81571828 \h </w:instrText>
            </w:r>
            <w:r w:rsidRPr="009E3499">
              <w:rPr>
                <w:b w:val="0"/>
                <w:webHidden/>
                <w:sz w:val="20"/>
                <w:szCs w:val="20"/>
              </w:rPr>
            </w:r>
            <w:r w:rsidRPr="009E3499">
              <w:rPr>
                <w:b w:val="0"/>
                <w:webHidden/>
                <w:sz w:val="20"/>
                <w:szCs w:val="20"/>
              </w:rPr>
              <w:fldChar w:fldCharType="separate"/>
            </w:r>
            <w:r w:rsidR="00081415">
              <w:rPr>
                <w:b w:val="0"/>
                <w:webHidden/>
                <w:sz w:val="20"/>
                <w:szCs w:val="20"/>
              </w:rPr>
              <w:t>17</w:t>
            </w:r>
            <w:r w:rsidRPr="009E3499">
              <w:rPr>
                <w:b w:val="0"/>
                <w:webHidden/>
                <w:sz w:val="20"/>
                <w:szCs w:val="20"/>
              </w:rPr>
              <w:fldChar w:fldCharType="end"/>
            </w:r>
          </w:hyperlink>
        </w:p>
        <w:p w14:paraId="31136098" w14:textId="7C032B74" w:rsidR="00A36CEB" w:rsidRPr="009E3499" w:rsidRDefault="00A36CEB">
          <w:pPr>
            <w:pStyle w:val="TDC3"/>
            <w:rPr>
              <w:rFonts w:eastAsiaTheme="minorEastAsia"/>
              <w:noProof/>
              <w:sz w:val="20"/>
              <w:szCs w:val="20"/>
              <w:lang w:eastAsia="es-GT"/>
            </w:rPr>
          </w:pPr>
          <w:r w:rsidRPr="009E3499">
            <w:rPr>
              <w:rStyle w:val="Hipervnculo"/>
              <w:noProof/>
              <w:sz w:val="20"/>
              <w:szCs w:val="20"/>
              <w:u w:val="none"/>
            </w:rPr>
            <w:t xml:space="preserve">     </w:t>
          </w:r>
          <w:hyperlink w:anchor="_Toc81571831" w:history="1">
            <w:r w:rsidRPr="009E3499">
              <w:rPr>
                <w:rStyle w:val="Hipervnculo"/>
                <w:rFonts w:ascii="Times New Roman" w:hAnsi="Times New Roman" w:cs="Times New Roman"/>
                <w:noProof/>
                <w:sz w:val="20"/>
                <w:szCs w:val="20"/>
                <w:u w:val="none"/>
                <w:lang w:val="es-MX"/>
              </w:rPr>
              <w:t>2.2.1.</w:t>
            </w:r>
            <w:r w:rsidRPr="009E3499">
              <w:rPr>
                <w:rFonts w:eastAsiaTheme="minorEastAsia"/>
                <w:noProof/>
                <w:sz w:val="20"/>
                <w:szCs w:val="20"/>
                <w:lang w:eastAsia="es-GT"/>
              </w:rPr>
              <w:t xml:space="preserve">  </w:t>
            </w:r>
            <w:r w:rsidRPr="009E3499">
              <w:rPr>
                <w:rStyle w:val="Hipervnculo"/>
                <w:rFonts w:ascii="Times New Roman" w:hAnsi="Times New Roman" w:cs="Times New Roman"/>
                <w:noProof/>
                <w:sz w:val="20"/>
                <w:szCs w:val="20"/>
                <w:u w:val="none"/>
                <w:lang w:val="es-MX"/>
              </w:rPr>
              <w:t>Estados Unidos de América</w:t>
            </w:r>
            <w:r w:rsidRPr="009E3499">
              <w:rPr>
                <w:noProof/>
                <w:webHidden/>
                <w:sz w:val="20"/>
                <w:szCs w:val="20"/>
              </w:rPr>
              <w:tab/>
            </w:r>
            <w:r w:rsidRPr="009E3499">
              <w:rPr>
                <w:noProof/>
                <w:webHidden/>
                <w:sz w:val="20"/>
                <w:szCs w:val="20"/>
              </w:rPr>
              <w:fldChar w:fldCharType="begin"/>
            </w:r>
            <w:r w:rsidRPr="009E3499">
              <w:rPr>
                <w:noProof/>
                <w:webHidden/>
                <w:sz w:val="20"/>
                <w:szCs w:val="20"/>
              </w:rPr>
              <w:instrText xml:space="preserve"> PAGEREF _Toc81571831 \h </w:instrText>
            </w:r>
            <w:r w:rsidRPr="009E3499">
              <w:rPr>
                <w:noProof/>
                <w:webHidden/>
                <w:sz w:val="20"/>
                <w:szCs w:val="20"/>
              </w:rPr>
            </w:r>
            <w:r w:rsidRPr="009E3499">
              <w:rPr>
                <w:noProof/>
                <w:webHidden/>
                <w:sz w:val="20"/>
                <w:szCs w:val="20"/>
              </w:rPr>
              <w:fldChar w:fldCharType="separate"/>
            </w:r>
            <w:r w:rsidR="00081415">
              <w:rPr>
                <w:noProof/>
                <w:webHidden/>
                <w:sz w:val="20"/>
                <w:szCs w:val="20"/>
              </w:rPr>
              <w:t>17</w:t>
            </w:r>
            <w:r w:rsidRPr="009E3499">
              <w:rPr>
                <w:noProof/>
                <w:webHidden/>
                <w:sz w:val="20"/>
                <w:szCs w:val="20"/>
              </w:rPr>
              <w:fldChar w:fldCharType="end"/>
            </w:r>
          </w:hyperlink>
        </w:p>
        <w:p w14:paraId="4F6D73B8" w14:textId="42FF524D" w:rsidR="00A36CEB" w:rsidRPr="009E3499" w:rsidRDefault="00A36CEB">
          <w:pPr>
            <w:pStyle w:val="TDC3"/>
            <w:rPr>
              <w:rFonts w:eastAsiaTheme="minorEastAsia"/>
              <w:noProof/>
              <w:sz w:val="20"/>
              <w:szCs w:val="20"/>
              <w:lang w:eastAsia="es-GT"/>
            </w:rPr>
          </w:pPr>
          <w:r w:rsidRPr="009E3499">
            <w:rPr>
              <w:rStyle w:val="Hipervnculo"/>
              <w:noProof/>
              <w:sz w:val="20"/>
              <w:szCs w:val="20"/>
              <w:u w:val="none"/>
            </w:rPr>
            <w:t xml:space="preserve">     </w:t>
          </w:r>
          <w:hyperlink w:anchor="_Toc81571832" w:history="1">
            <w:r w:rsidRPr="009E3499">
              <w:rPr>
                <w:rStyle w:val="Hipervnculo"/>
                <w:rFonts w:ascii="Times New Roman" w:hAnsi="Times New Roman" w:cs="Times New Roman"/>
                <w:noProof/>
                <w:sz w:val="20"/>
                <w:szCs w:val="20"/>
                <w:u w:val="none"/>
              </w:rPr>
              <w:t>2.2.2.</w:t>
            </w:r>
            <w:r w:rsidRPr="009E3499">
              <w:rPr>
                <w:rFonts w:eastAsiaTheme="minorEastAsia"/>
                <w:noProof/>
                <w:sz w:val="20"/>
                <w:szCs w:val="20"/>
                <w:lang w:eastAsia="es-GT"/>
              </w:rPr>
              <w:t xml:space="preserve">  </w:t>
            </w:r>
            <w:r w:rsidRPr="009E3499">
              <w:rPr>
                <w:rStyle w:val="Hipervnculo"/>
                <w:rFonts w:ascii="Times New Roman" w:hAnsi="Times New Roman" w:cs="Times New Roman"/>
                <w:noProof/>
                <w:sz w:val="20"/>
                <w:szCs w:val="20"/>
                <w:u w:val="none"/>
              </w:rPr>
              <w:t>Centroamérica y República Dominicana</w:t>
            </w:r>
            <w:r w:rsidRPr="009E3499">
              <w:rPr>
                <w:noProof/>
                <w:webHidden/>
                <w:sz w:val="20"/>
                <w:szCs w:val="20"/>
              </w:rPr>
              <w:tab/>
            </w:r>
            <w:r w:rsidRPr="009E3499">
              <w:rPr>
                <w:noProof/>
                <w:webHidden/>
                <w:sz w:val="20"/>
                <w:szCs w:val="20"/>
              </w:rPr>
              <w:fldChar w:fldCharType="begin"/>
            </w:r>
            <w:r w:rsidRPr="009E3499">
              <w:rPr>
                <w:noProof/>
                <w:webHidden/>
                <w:sz w:val="20"/>
                <w:szCs w:val="20"/>
              </w:rPr>
              <w:instrText xml:space="preserve"> PAGEREF _Toc81571832 \h </w:instrText>
            </w:r>
            <w:r w:rsidRPr="009E3499">
              <w:rPr>
                <w:noProof/>
                <w:webHidden/>
                <w:sz w:val="20"/>
                <w:szCs w:val="20"/>
              </w:rPr>
            </w:r>
            <w:r w:rsidRPr="009E3499">
              <w:rPr>
                <w:noProof/>
                <w:webHidden/>
                <w:sz w:val="20"/>
                <w:szCs w:val="20"/>
              </w:rPr>
              <w:fldChar w:fldCharType="separate"/>
            </w:r>
            <w:r w:rsidR="00081415">
              <w:rPr>
                <w:noProof/>
                <w:webHidden/>
                <w:sz w:val="20"/>
                <w:szCs w:val="20"/>
              </w:rPr>
              <w:t>17</w:t>
            </w:r>
            <w:r w:rsidRPr="009E3499">
              <w:rPr>
                <w:noProof/>
                <w:webHidden/>
                <w:sz w:val="20"/>
                <w:szCs w:val="20"/>
              </w:rPr>
              <w:fldChar w:fldCharType="end"/>
            </w:r>
          </w:hyperlink>
        </w:p>
        <w:p w14:paraId="34FD4524" w14:textId="58E97FAD" w:rsidR="00A36CEB" w:rsidRPr="009E3499" w:rsidRDefault="00A36CEB">
          <w:pPr>
            <w:pStyle w:val="TDC3"/>
            <w:rPr>
              <w:rFonts w:eastAsiaTheme="minorEastAsia"/>
              <w:noProof/>
              <w:sz w:val="20"/>
              <w:szCs w:val="20"/>
              <w:lang w:eastAsia="es-GT"/>
            </w:rPr>
          </w:pPr>
          <w:r w:rsidRPr="009E3499">
            <w:rPr>
              <w:rStyle w:val="Hipervnculo"/>
              <w:noProof/>
              <w:sz w:val="20"/>
              <w:szCs w:val="20"/>
              <w:u w:val="none"/>
            </w:rPr>
            <w:t xml:space="preserve">     </w:t>
          </w:r>
          <w:hyperlink w:anchor="_Toc81571833" w:history="1">
            <w:r w:rsidRPr="009E3499">
              <w:rPr>
                <w:rStyle w:val="Hipervnculo"/>
                <w:rFonts w:ascii="Times New Roman" w:hAnsi="Times New Roman" w:cs="Times New Roman"/>
                <w:noProof/>
                <w:sz w:val="20"/>
                <w:szCs w:val="20"/>
                <w:u w:val="none"/>
                <w:lang w:val="es-MX" w:eastAsia="es-ES"/>
              </w:rPr>
              <w:t>2.2.3.</w:t>
            </w:r>
            <w:r w:rsidRPr="009E3499">
              <w:rPr>
                <w:rFonts w:eastAsiaTheme="minorEastAsia"/>
                <w:noProof/>
                <w:sz w:val="20"/>
                <w:szCs w:val="20"/>
                <w:lang w:eastAsia="es-GT"/>
              </w:rPr>
              <w:t xml:space="preserve">  </w:t>
            </w:r>
            <w:r w:rsidRPr="009E3499">
              <w:rPr>
                <w:rStyle w:val="Hipervnculo"/>
                <w:rFonts w:ascii="Times New Roman" w:hAnsi="Times New Roman" w:cs="Times New Roman"/>
                <w:noProof/>
                <w:sz w:val="20"/>
                <w:szCs w:val="20"/>
                <w:u w:val="none"/>
                <w:lang w:val="es-MX" w:eastAsia="es-ES"/>
              </w:rPr>
              <w:t>México</w:t>
            </w:r>
            <w:r w:rsidRPr="009E3499">
              <w:rPr>
                <w:noProof/>
                <w:webHidden/>
                <w:sz w:val="20"/>
                <w:szCs w:val="20"/>
              </w:rPr>
              <w:tab/>
            </w:r>
            <w:r w:rsidRPr="009E3499">
              <w:rPr>
                <w:noProof/>
                <w:webHidden/>
                <w:sz w:val="20"/>
                <w:szCs w:val="20"/>
              </w:rPr>
              <w:fldChar w:fldCharType="begin"/>
            </w:r>
            <w:r w:rsidRPr="009E3499">
              <w:rPr>
                <w:noProof/>
                <w:webHidden/>
                <w:sz w:val="20"/>
                <w:szCs w:val="20"/>
              </w:rPr>
              <w:instrText xml:space="preserve"> PAGEREF _Toc81571833 \h </w:instrText>
            </w:r>
            <w:r w:rsidRPr="009E3499">
              <w:rPr>
                <w:noProof/>
                <w:webHidden/>
                <w:sz w:val="20"/>
                <w:szCs w:val="20"/>
              </w:rPr>
            </w:r>
            <w:r w:rsidRPr="009E3499">
              <w:rPr>
                <w:noProof/>
                <w:webHidden/>
                <w:sz w:val="20"/>
                <w:szCs w:val="20"/>
              </w:rPr>
              <w:fldChar w:fldCharType="separate"/>
            </w:r>
            <w:r w:rsidR="00081415">
              <w:rPr>
                <w:noProof/>
                <w:webHidden/>
                <w:sz w:val="20"/>
                <w:szCs w:val="20"/>
              </w:rPr>
              <w:t>18</w:t>
            </w:r>
            <w:r w:rsidRPr="009E3499">
              <w:rPr>
                <w:noProof/>
                <w:webHidden/>
                <w:sz w:val="20"/>
                <w:szCs w:val="20"/>
              </w:rPr>
              <w:fldChar w:fldCharType="end"/>
            </w:r>
          </w:hyperlink>
        </w:p>
        <w:p w14:paraId="7352541C" w14:textId="2BBEC1DD" w:rsidR="00A36CEB" w:rsidRPr="009E3499" w:rsidRDefault="00A36CEB">
          <w:pPr>
            <w:pStyle w:val="TDC3"/>
            <w:rPr>
              <w:rFonts w:eastAsiaTheme="minorEastAsia"/>
              <w:noProof/>
              <w:sz w:val="20"/>
              <w:szCs w:val="20"/>
              <w:lang w:eastAsia="es-GT"/>
            </w:rPr>
          </w:pPr>
          <w:r w:rsidRPr="009E3499">
            <w:rPr>
              <w:rStyle w:val="Hipervnculo"/>
              <w:noProof/>
              <w:sz w:val="20"/>
              <w:szCs w:val="20"/>
              <w:u w:val="none"/>
            </w:rPr>
            <w:t xml:space="preserve">     </w:t>
          </w:r>
          <w:hyperlink w:anchor="_Toc81571834" w:history="1">
            <w:r w:rsidRPr="009E3499">
              <w:rPr>
                <w:rStyle w:val="Hipervnculo"/>
                <w:rFonts w:ascii="Times New Roman" w:hAnsi="Times New Roman" w:cs="Times New Roman"/>
                <w:noProof/>
                <w:sz w:val="20"/>
                <w:szCs w:val="20"/>
                <w:u w:val="none"/>
                <w:lang w:val="es-MX" w:eastAsia="es-ES"/>
              </w:rPr>
              <w:t>2.2.4.</w:t>
            </w:r>
            <w:r w:rsidRPr="009E3499">
              <w:rPr>
                <w:rFonts w:eastAsiaTheme="minorEastAsia"/>
                <w:noProof/>
                <w:sz w:val="20"/>
                <w:szCs w:val="20"/>
                <w:lang w:eastAsia="es-GT"/>
              </w:rPr>
              <w:t xml:space="preserve">  </w:t>
            </w:r>
            <w:r w:rsidRPr="009E3499">
              <w:rPr>
                <w:rStyle w:val="Hipervnculo"/>
                <w:rFonts w:ascii="Times New Roman" w:hAnsi="Times New Roman" w:cs="Times New Roman"/>
                <w:noProof/>
                <w:sz w:val="20"/>
                <w:szCs w:val="20"/>
                <w:u w:val="none"/>
                <w:lang w:val="es-MX" w:eastAsia="es-ES"/>
              </w:rPr>
              <w:t>Zona del Euro y la Unión Europea</w:t>
            </w:r>
            <w:r w:rsidRPr="009E3499">
              <w:rPr>
                <w:noProof/>
                <w:webHidden/>
                <w:sz w:val="20"/>
                <w:szCs w:val="20"/>
              </w:rPr>
              <w:tab/>
            </w:r>
            <w:r w:rsidRPr="009E3499">
              <w:rPr>
                <w:noProof/>
                <w:webHidden/>
                <w:sz w:val="20"/>
                <w:szCs w:val="20"/>
              </w:rPr>
              <w:fldChar w:fldCharType="begin"/>
            </w:r>
            <w:r w:rsidRPr="009E3499">
              <w:rPr>
                <w:noProof/>
                <w:webHidden/>
                <w:sz w:val="20"/>
                <w:szCs w:val="20"/>
              </w:rPr>
              <w:instrText xml:space="preserve"> PAGEREF _Toc81571834 \h </w:instrText>
            </w:r>
            <w:r w:rsidRPr="009E3499">
              <w:rPr>
                <w:noProof/>
                <w:webHidden/>
                <w:sz w:val="20"/>
                <w:szCs w:val="20"/>
              </w:rPr>
            </w:r>
            <w:r w:rsidRPr="009E3499">
              <w:rPr>
                <w:noProof/>
                <w:webHidden/>
                <w:sz w:val="20"/>
                <w:szCs w:val="20"/>
              </w:rPr>
              <w:fldChar w:fldCharType="separate"/>
            </w:r>
            <w:r w:rsidR="00081415">
              <w:rPr>
                <w:noProof/>
                <w:webHidden/>
                <w:sz w:val="20"/>
                <w:szCs w:val="20"/>
              </w:rPr>
              <w:t>18</w:t>
            </w:r>
            <w:r w:rsidRPr="009E3499">
              <w:rPr>
                <w:noProof/>
                <w:webHidden/>
                <w:sz w:val="20"/>
                <w:szCs w:val="20"/>
              </w:rPr>
              <w:fldChar w:fldCharType="end"/>
            </w:r>
          </w:hyperlink>
        </w:p>
        <w:p w14:paraId="3871B4CD" w14:textId="76030A65" w:rsidR="00A36CEB" w:rsidRPr="009E3499" w:rsidRDefault="00A36CEB">
          <w:pPr>
            <w:pStyle w:val="TDC2"/>
            <w:rPr>
              <w:rFonts w:asciiTheme="minorHAnsi" w:eastAsiaTheme="minorEastAsia" w:hAnsiTheme="minorHAnsi" w:cstheme="minorBidi"/>
              <w:b w:val="0"/>
              <w:sz w:val="20"/>
              <w:szCs w:val="20"/>
              <w:lang w:val="es-GT" w:eastAsia="es-GT"/>
            </w:rPr>
          </w:pPr>
          <w:r w:rsidRPr="009E3499">
            <w:rPr>
              <w:rStyle w:val="Hipervnculo"/>
              <w:b w:val="0"/>
              <w:sz w:val="20"/>
              <w:szCs w:val="20"/>
              <w:u w:val="none"/>
            </w:rPr>
            <w:t xml:space="preserve">  </w:t>
          </w:r>
          <w:hyperlink w:anchor="_Toc81571835" w:history="1">
            <w:r w:rsidRPr="009E3499">
              <w:rPr>
                <w:rStyle w:val="Hipervnculo"/>
                <w:b w:val="0"/>
                <w:sz w:val="20"/>
                <w:szCs w:val="20"/>
                <w:u w:val="none"/>
              </w:rPr>
              <w:t>2.3</w:t>
            </w:r>
            <w:r w:rsidRPr="009E3499">
              <w:rPr>
                <w:rFonts w:asciiTheme="minorHAnsi" w:eastAsiaTheme="minorEastAsia" w:hAnsiTheme="minorHAnsi" w:cstheme="minorBidi"/>
                <w:b w:val="0"/>
                <w:sz w:val="20"/>
                <w:szCs w:val="20"/>
                <w:lang w:val="es-GT" w:eastAsia="es-GT"/>
              </w:rPr>
              <w:t xml:space="preserve">.  </w:t>
            </w:r>
            <w:r w:rsidRPr="009E3499">
              <w:rPr>
                <w:rStyle w:val="Hipervnculo"/>
                <w:b w:val="0"/>
                <w:sz w:val="20"/>
                <w:szCs w:val="20"/>
                <w:u w:val="none"/>
              </w:rPr>
              <w:t>Precio del petróleo</w:t>
            </w:r>
            <w:r w:rsidRPr="009E3499">
              <w:rPr>
                <w:b w:val="0"/>
                <w:webHidden/>
                <w:sz w:val="20"/>
                <w:szCs w:val="20"/>
              </w:rPr>
              <w:tab/>
            </w:r>
            <w:r w:rsidRPr="009E3499">
              <w:rPr>
                <w:b w:val="0"/>
                <w:webHidden/>
                <w:sz w:val="20"/>
                <w:szCs w:val="20"/>
              </w:rPr>
              <w:fldChar w:fldCharType="begin"/>
            </w:r>
            <w:r w:rsidRPr="009E3499">
              <w:rPr>
                <w:b w:val="0"/>
                <w:webHidden/>
                <w:sz w:val="20"/>
                <w:szCs w:val="20"/>
              </w:rPr>
              <w:instrText xml:space="preserve"> PAGEREF _Toc81571835 \h </w:instrText>
            </w:r>
            <w:r w:rsidRPr="009E3499">
              <w:rPr>
                <w:b w:val="0"/>
                <w:webHidden/>
                <w:sz w:val="20"/>
                <w:szCs w:val="20"/>
              </w:rPr>
            </w:r>
            <w:r w:rsidRPr="009E3499">
              <w:rPr>
                <w:b w:val="0"/>
                <w:webHidden/>
                <w:sz w:val="20"/>
                <w:szCs w:val="20"/>
              </w:rPr>
              <w:fldChar w:fldCharType="separate"/>
            </w:r>
            <w:r w:rsidR="00081415">
              <w:rPr>
                <w:b w:val="0"/>
                <w:webHidden/>
                <w:sz w:val="20"/>
                <w:szCs w:val="20"/>
              </w:rPr>
              <w:t>19</w:t>
            </w:r>
            <w:r w:rsidRPr="009E3499">
              <w:rPr>
                <w:b w:val="0"/>
                <w:webHidden/>
                <w:sz w:val="20"/>
                <w:szCs w:val="20"/>
              </w:rPr>
              <w:fldChar w:fldCharType="end"/>
            </w:r>
          </w:hyperlink>
        </w:p>
        <w:p w14:paraId="7D31F569" w14:textId="7C07D014" w:rsidR="00A36CEB" w:rsidRPr="009E3499" w:rsidRDefault="006D2997">
          <w:pPr>
            <w:pStyle w:val="TDC2"/>
            <w:rPr>
              <w:rFonts w:asciiTheme="minorHAnsi" w:eastAsiaTheme="minorEastAsia" w:hAnsiTheme="minorHAnsi" w:cstheme="minorBidi"/>
              <w:b w:val="0"/>
              <w:sz w:val="20"/>
              <w:szCs w:val="20"/>
              <w:lang w:val="es-GT" w:eastAsia="es-GT"/>
            </w:rPr>
          </w:pPr>
          <w:hyperlink w:anchor="_Toc81571836" w:history="1">
            <w:r w:rsidR="00A36CEB" w:rsidRPr="009E3499">
              <w:rPr>
                <w:rStyle w:val="Hipervnculo"/>
                <w:b w:val="0"/>
                <w:sz w:val="20"/>
                <w:szCs w:val="20"/>
                <w:u w:val="none"/>
                <w:lang w:val="es-GT"/>
              </w:rPr>
              <w:t>3.</w:t>
            </w:r>
            <w:r w:rsidR="00A36CEB" w:rsidRPr="009E3499">
              <w:rPr>
                <w:rFonts w:asciiTheme="minorHAnsi" w:eastAsiaTheme="minorEastAsia" w:hAnsiTheme="minorHAnsi" w:cstheme="minorBidi"/>
                <w:b w:val="0"/>
                <w:sz w:val="20"/>
                <w:szCs w:val="20"/>
                <w:lang w:val="es-GT" w:eastAsia="es-GT"/>
              </w:rPr>
              <w:tab/>
            </w:r>
            <w:r w:rsidR="00A36CEB" w:rsidRPr="009E3499">
              <w:rPr>
                <w:rStyle w:val="Hipervnculo"/>
                <w:b w:val="0"/>
                <w:sz w:val="20"/>
                <w:szCs w:val="20"/>
                <w:u w:val="none"/>
                <w:lang w:val="es-GT"/>
              </w:rPr>
              <w:t>Contexto económico nacional</w:t>
            </w:r>
            <w:r w:rsidR="00A36CEB" w:rsidRPr="009E3499">
              <w:rPr>
                <w:b w:val="0"/>
                <w:webHidden/>
                <w:sz w:val="20"/>
                <w:szCs w:val="20"/>
              </w:rPr>
              <w:tab/>
            </w:r>
            <w:r w:rsidR="00A36CEB" w:rsidRPr="009E3499">
              <w:rPr>
                <w:b w:val="0"/>
                <w:webHidden/>
                <w:sz w:val="20"/>
                <w:szCs w:val="20"/>
              </w:rPr>
              <w:fldChar w:fldCharType="begin"/>
            </w:r>
            <w:r w:rsidR="00A36CEB" w:rsidRPr="009E3499">
              <w:rPr>
                <w:b w:val="0"/>
                <w:webHidden/>
                <w:sz w:val="20"/>
                <w:szCs w:val="20"/>
              </w:rPr>
              <w:instrText xml:space="preserve"> PAGEREF _Toc81571836 \h </w:instrText>
            </w:r>
            <w:r w:rsidR="00A36CEB" w:rsidRPr="009E3499">
              <w:rPr>
                <w:b w:val="0"/>
                <w:webHidden/>
                <w:sz w:val="20"/>
                <w:szCs w:val="20"/>
              </w:rPr>
            </w:r>
            <w:r w:rsidR="00A36CEB" w:rsidRPr="009E3499">
              <w:rPr>
                <w:b w:val="0"/>
                <w:webHidden/>
                <w:sz w:val="20"/>
                <w:szCs w:val="20"/>
              </w:rPr>
              <w:fldChar w:fldCharType="separate"/>
            </w:r>
            <w:r w:rsidR="00081415">
              <w:rPr>
                <w:b w:val="0"/>
                <w:webHidden/>
                <w:sz w:val="20"/>
                <w:szCs w:val="20"/>
              </w:rPr>
              <w:t>19</w:t>
            </w:r>
            <w:r w:rsidR="00A36CEB" w:rsidRPr="009E3499">
              <w:rPr>
                <w:b w:val="0"/>
                <w:webHidden/>
                <w:sz w:val="20"/>
                <w:szCs w:val="20"/>
              </w:rPr>
              <w:fldChar w:fldCharType="end"/>
            </w:r>
          </w:hyperlink>
        </w:p>
        <w:p w14:paraId="00A0AE4A" w14:textId="261EC47B" w:rsidR="00A36CEB" w:rsidRPr="009E3499" w:rsidRDefault="006D2997">
          <w:pPr>
            <w:pStyle w:val="TDC3"/>
            <w:rPr>
              <w:rFonts w:eastAsiaTheme="minorEastAsia"/>
              <w:noProof/>
              <w:sz w:val="20"/>
              <w:szCs w:val="20"/>
              <w:lang w:eastAsia="es-GT"/>
            </w:rPr>
          </w:pPr>
          <w:hyperlink w:anchor="_Toc81571838" w:history="1">
            <w:r w:rsidR="00A36CEB" w:rsidRPr="009E3499">
              <w:rPr>
                <w:rStyle w:val="Hipervnculo"/>
                <w:rFonts w:ascii="Times New Roman" w:hAnsi="Times New Roman" w:cs="Times New Roman"/>
                <w:noProof/>
                <w:sz w:val="20"/>
                <w:szCs w:val="20"/>
                <w:u w:val="none"/>
              </w:rPr>
              <w:t>3.1.</w:t>
            </w:r>
            <w:r w:rsidR="00A36CEB" w:rsidRPr="009E3499">
              <w:rPr>
                <w:rFonts w:eastAsiaTheme="minorEastAsia"/>
                <w:noProof/>
                <w:sz w:val="20"/>
                <w:szCs w:val="20"/>
                <w:lang w:eastAsia="es-GT"/>
              </w:rPr>
              <w:tab/>
            </w:r>
            <w:r w:rsidR="00A36CEB" w:rsidRPr="009E3499">
              <w:rPr>
                <w:rStyle w:val="Hipervnculo"/>
                <w:rFonts w:ascii="Times New Roman" w:hAnsi="Times New Roman" w:cs="Times New Roman"/>
                <w:noProof/>
                <w:sz w:val="20"/>
                <w:szCs w:val="20"/>
                <w:u w:val="none"/>
              </w:rPr>
              <w:t>Sector real</w:t>
            </w:r>
            <w:r w:rsidR="00A36CEB" w:rsidRPr="009E3499">
              <w:rPr>
                <w:noProof/>
                <w:webHidden/>
                <w:sz w:val="20"/>
                <w:szCs w:val="20"/>
              </w:rPr>
              <w:tab/>
            </w:r>
            <w:r w:rsidR="00A36CEB" w:rsidRPr="009E3499">
              <w:rPr>
                <w:noProof/>
                <w:webHidden/>
                <w:sz w:val="20"/>
                <w:szCs w:val="20"/>
              </w:rPr>
              <w:fldChar w:fldCharType="begin"/>
            </w:r>
            <w:r w:rsidR="00A36CEB" w:rsidRPr="009E3499">
              <w:rPr>
                <w:noProof/>
                <w:webHidden/>
                <w:sz w:val="20"/>
                <w:szCs w:val="20"/>
              </w:rPr>
              <w:instrText xml:space="preserve"> PAGEREF _Toc81571838 \h </w:instrText>
            </w:r>
            <w:r w:rsidR="00A36CEB" w:rsidRPr="009E3499">
              <w:rPr>
                <w:noProof/>
                <w:webHidden/>
                <w:sz w:val="20"/>
                <w:szCs w:val="20"/>
              </w:rPr>
            </w:r>
            <w:r w:rsidR="00A36CEB" w:rsidRPr="009E3499">
              <w:rPr>
                <w:noProof/>
                <w:webHidden/>
                <w:sz w:val="20"/>
                <w:szCs w:val="20"/>
              </w:rPr>
              <w:fldChar w:fldCharType="separate"/>
            </w:r>
            <w:r w:rsidR="00081415">
              <w:rPr>
                <w:noProof/>
                <w:webHidden/>
                <w:sz w:val="20"/>
                <w:szCs w:val="20"/>
              </w:rPr>
              <w:t>19</w:t>
            </w:r>
            <w:r w:rsidR="00A36CEB" w:rsidRPr="009E3499">
              <w:rPr>
                <w:noProof/>
                <w:webHidden/>
                <w:sz w:val="20"/>
                <w:szCs w:val="20"/>
              </w:rPr>
              <w:fldChar w:fldCharType="end"/>
            </w:r>
          </w:hyperlink>
        </w:p>
        <w:p w14:paraId="2F4B0B26" w14:textId="78C82C58" w:rsidR="00A36CEB" w:rsidRPr="009E3499" w:rsidRDefault="00A36CEB">
          <w:pPr>
            <w:pStyle w:val="TDC3"/>
            <w:rPr>
              <w:rFonts w:eastAsiaTheme="minorEastAsia"/>
              <w:noProof/>
              <w:sz w:val="20"/>
              <w:szCs w:val="20"/>
              <w:lang w:eastAsia="es-GT"/>
            </w:rPr>
          </w:pPr>
          <w:r w:rsidRPr="009E3499">
            <w:rPr>
              <w:rStyle w:val="Hipervnculo"/>
              <w:noProof/>
              <w:sz w:val="20"/>
              <w:szCs w:val="20"/>
              <w:u w:val="none"/>
            </w:rPr>
            <w:t xml:space="preserve">      </w:t>
          </w:r>
          <w:hyperlink w:anchor="_Toc81571839" w:history="1">
            <w:r w:rsidRPr="009E3499">
              <w:rPr>
                <w:rStyle w:val="Hipervnculo"/>
                <w:rFonts w:ascii="Times New Roman" w:hAnsi="Times New Roman" w:cs="Times New Roman"/>
                <w:noProof/>
                <w:sz w:val="20"/>
                <w:szCs w:val="20"/>
                <w:u w:val="none"/>
              </w:rPr>
              <w:t>3.1.1.</w:t>
            </w:r>
            <w:r w:rsidRPr="009E3499">
              <w:rPr>
                <w:rFonts w:eastAsiaTheme="minorEastAsia"/>
                <w:noProof/>
                <w:sz w:val="20"/>
                <w:szCs w:val="20"/>
                <w:lang w:eastAsia="es-GT"/>
              </w:rPr>
              <w:t xml:space="preserve">  </w:t>
            </w:r>
            <w:r w:rsidRPr="009E3499">
              <w:rPr>
                <w:rStyle w:val="Hipervnculo"/>
                <w:rFonts w:ascii="Times New Roman" w:hAnsi="Times New Roman" w:cs="Times New Roman"/>
                <w:noProof/>
                <w:sz w:val="20"/>
                <w:szCs w:val="20"/>
                <w:u w:val="none"/>
              </w:rPr>
              <w:t>Producto Interno Bruto</w:t>
            </w:r>
            <w:r w:rsidRPr="009E3499">
              <w:rPr>
                <w:noProof/>
                <w:webHidden/>
                <w:sz w:val="20"/>
                <w:szCs w:val="20"/>
              </w:rPr>
              <w:tab/>
            </w:r>
            <w:r w:rsidRPr="009E3499">
              <w:rPr>
                <w:noProof/>
                <w:webHidden/>
                <w:sz w:val="20"/>
                <w:szCs w:val="20"/>
              </w:rPr>
              <w:fldChar w:fldCharType="begin"/>
            </w:r>
            <w:r w:rsidRPr="009E3499">
              <w:rPr>
                <w:noProof/>
                <w:webHidden/>
                <w:sz w:val="20"/>
                <w:szCs w:val="20"/>
              </w:rPr>
              <w:instrText xml:space="preserve"> PAGEREF _Toc81571839 \h </w:instrText>
            </w:r>
            <w:r w:rsidRPr="009E3499">
              <w:rPr>
                <w:noProof/>
                <w:webHidden/>
                <w:sz w:val="20"/>
                <w:szCs w:val="20"/>
              </w:rPr>
            </w:r>
            <w:r w:rsidRPr="009E3499">
              <w:rPr>
                <w:noProof/>
                <w:webHidden/>
                <w:sz w:val="20"/>
                <w:szCs w:val="20"/>
              </w:rPr>
              <w:fldChar w:fldCharType="separate"/>
            </w:r>
            <w:r w:rsidR="00081415">
              <w:rPr>
                <w:noProof/>
                <w:webHidden/>
                <w:sz w:val="20"/>
                <w:szCs w:val="20"/>
              </w:rPr>
              <w:t>20</w:t>
            </w:r>
            <w:r w:rsidRPr="009E3499">
              <w:rPr>
                <w:noProof/>
                <w:webHidden/>
                <w:sz w:val="20"/>
                <w:szCs w:val="20"/>
              </w:rPr>
              <w:fldChar w:fldCharType="end"/>
            </w:r>
          </w:hyperlink>
        </w:p>
        <w:p w14:paraId="6CF78878" w14:textId="45F36176" w:rsidR="00A36CEB" w:rsidRPr="009E3499" w:rsidRDefault="00A36CEB">
          <w:pPr>
            <w:pStyle w:val="TDC3"/>
            <w:rPr>
              <w:rFonts w:eastAsiaTheme="minorEastAsia"/>
              <w:noProof/>
              <w:sz w:val="20"/>
              <w:szCs w:val="20"/>
              <w:lang w:eastAsia="es-GT"/>
            </w:rPr>
          </w:pPr>
          <w:r w:rsidRPr="009E3499">
            <w:rPr>
              <w:rStyle w:val="Hipervnculo"/>
              <w:noProof/>
              <w:sz w:val="20"/>
              <w:szCs w:val="20"/>
              <w:u w:val="none"/>
            </w:rPr>
            <w:t xml:space="preserve">      </w:t>
          </w:r>
          <w:hyperlink w:anchor="_Toc81571840" w:history="1">
            <w:r w:rsidRPr="009E3499">
              <w:rPr>
                <w:rStyle w:val="Hipervnculo"/>
                <w:rFonts w:ascii="Times New Roman" w:hAnsi="Times New Roman" w:cs="Times New Roman"/>
                <w:noProof/>
                <w:sz w:val="20"/>
                <w:szCs w:val="20"/>
                <w:u w:val="none"/>
              </w:rPr>
              <w:t>3.1.2.</w:t>
            </w:r>
            <w:r w:rsidRPr="009E3499">
              <w:rPr>
                <w:rFonts w:eastAsiaTheme="minorEastAsia"/>
                <w:noProof/>
                <w:sz w:val="20"/>
                <w:szCs w:val="20"/>
                <w:lang w:eastAsia="es-GT"/>
              </w:rPr>
              <w:t xml:space="preserve">  </w:t>
            </w:r>
            <w:r w:rsidRPr="009E3499">
              <w:rPr>
                <w:rStyle w:val="Hipervnculo"/>
                <w:rFonts w:ascii="Times New Roman" w:hAnsi="Times New Roman" w:cs="Times New Roman"/>
                <w:noProof/>
                <w:sz w:val="20"/>
                <w:szCs w:val="20"/>
                <w:u w:val="none"/>
              </w:rPr>
              <w:t>Ritmo inflacionario</w:t>
            </w:r>
            <w:r w:rsidRPr="009E3499">
              <w:rPr>
                <w:noProof/>
                <w:webHidden/>
                <w:sz w:val="20"/>
                <w:szCs w:val="20"/>
              </w:rPr>
              <w:tab/>
            </w:r>
            <w:r w:rsidRPr="009E3499">
              <w:rPr>
                <w:noProof/>
                <w:webHidden/>
                <w:sz w:val="20"/>
                <w:szCs w:val="20"/>
              </w:rPr>
              <w:fldChar w:fldCharType="begin"/>
            </w:r>
            <w:r w:rsidRPr="009E3499">
              <w:rPr>
                <w:noProof/>
                <w:webHidden/>
                <w:sz w:val="20"/>
                <w:szCs w:val="20"/>
              </w:rPr>
              <w:instrText xml:space="preserve"> PAGEREF _Toc81571840 \h </w:instrText>
            </w:r>
            <w:r w:rsidRPr="009E3499">
              <w:rPr>
                <w:noProof/>
                <w:webHidden/>
                <w:sz w:val="20"/>
                <w:szCs w:val="20"/>
              </w:rPr>
            </w:r>
            <w:r w:rsidRPr="009E3499">
              <w:rPr>
                <w:noProof/>
                <w:webHidden/>
                <w:sz w:val="20"/>
                <w:szCs w:val="20"/>
              </w:rPr>
              <w:fldChar w:fldCharType="separate"/>
            </w:r>
            <w:r w:rsidR="00081415">
              <w:rPr>
                <w:noProof/>
                <w:webHidden/>
                <w:sz w:val="20"/>
                <w:szCs w:val="20"/>
              </w:rPr>
              <w:t>23</w:t>
            </w:r>
            <w:r w:rsidRPr="009E3499">
              <w:rPr>
                <w:noProof/>
                <w:webHidden/>
                <w:sz w:val="20"/>
                <w:szCs w:val="20"/>
              </w:rPr>
              <w:fldChar w:fldCharType="end"/>
            </w:r>
          </w:hyperlink>
        </w:p>
        <w:p w14:paraId="6F3B5CDD" w14:textId="779F1CDD" w:rsidR="00A36CEB" w:rsidRPr="009E3499" w:rsidRDefault="00A36CEB">
          <w:pPr>
            <w:pStyle w:val="TDC3"/>
            <w:rPr>
              <w:rFonts w:eastAsiaTheme="minorEastAsia"/>
              <w:noProof/>
              <w:sz w:val="20"/>
              <w:szCs w:val="20"/>
              <w:lang w:eastAsia="es-GT"/>
            </w:rPr>
          </w:pPr>
          <w:r w:rsidRPr="009E3499">
            <w:rPr>
              <w:rStyle w:val="Hipervnculo"/>
              <w:noProof/>
              <w:sz w:val="20"/>
              <w:szCs w:val="20"/>
              <w:u w:val="none"/>
            </w:rPr>
            <w:t xml:space="preserve">      </w:t>
          </w:r>
          <w:hyperlink w:anchor="_Toc81571841" w:history="1">
            <w:r w:rsidRPr="009E3499">
              <w:rPr>
                <w:rStyle w:val="Hipervnculo"/>
                <w:rFonts w:ascii="Times New Roman" w:hAnsi="Times New Roman" w:cs="Times New Roman"/>
                <w:noProof/>
                <w:sz w:val="20"/>
                <w:szCs w:val="20"/>
                <w:u w:val="none"/>
              </w:rPr>
              <w:t>3.1.3.</w:t>
            </w:r>
            <w:r w:rsidRPr="009E3499">
              <w:rPr>
                <w:rFonts w:eastAsiaTheme="minorEastAsia"/>
                <w:noProof/>
                <w:sz w:val="20"/>
                <w:szCs w:val="20"/>
                <w:lang w:eastAsia="es-GT"/>
              </w:rPr>
              <w:t xml:space="preserve">  </w:t>
            </w:r>
            <w:r w:rsidRPr="009E3499">
              <w:rPr>
                <w:rStyle w:val="Hipervnculo"/>
                <w:rFonts w:ascii="Times New Roman" w:hAnsi="Times New Roman" w:cs="Times New Roman"/>
                <w:noProof/>
                <w:sz w:val="20"/>
                <w:szCs w:val="20"/>
                <w:u w:val="none"/>
              </w:rPr>
              <w:t>Desempleo</w:t>
            </w:r>
            <w:r w:rsidRPr="009E3499">
              <w:rPr>
                <w:noProof/>
                <w:webHidden/>
                <w:sz w:val="20"/>
                <w:szCs w:val="20"/>
              </w:rPr>
              <w:tab/>
            </w:r>
            <w:r w:rsidRPr="009E3499">
              <w:rPr>
                <w:noProof/>
                <w:webHidden/>
                <w:sz w:val="20"/>
                <w:szCs w:val="20"/>
              </w:rPr>
              <w:fldChar w:fldCharType="begin"/>
            </w:r>
            <w:r w:rsidRPr="009E3499">
              <w:rPr>
                <w:noProof/>
                <w:webHidden/>
                <w:sz w:val="20"/>
                <w:szCs w:val="20"/>
              </w:rPr>
              <w:instrText xml:space="preserve"> PAGEREF _Toc81571841 \h </w:instrText>
            </w:r>
            <w:r w:rsidRPr="009E3499">
              <w:rPr>
                <w:noProof/>
                <w:webHidden/>
                <w:sz w:val="20"/>
                <w:szCs w:val="20"/>
              </w:rPr>
            </w:r>
            <w:r w:rsidRPr="009E3499">
              <w:rPr>
                <w:noProof/>
                <w:webHidden/>
                <w:sz w:val="20"/>
                <w:szCs w:val="20"/>
              </w:rPr>
              <w:fldChar w:fldCharType="separate"/>
            </w:r>
            <w:r w:rsidR="00081415">
              <w:rPr>
                <w:noProof/>
                <w:webHidden/>
                <w:sz w:val="20"/>
                <w:szCs w:val="20"/>
              </w:rPr>
              <w:t>24</w:t>
            </w:r>
            <w:r w:rsidRPr="009E3499">
              <w:rPr>
                <w:noProof/>
                <w:webHidden/>
                <w:sz w:val="20"/>
                <w:szCs w:val="20"/>
              </w:rPr>
              <w:fldChar w:fldCharType="end"/>
            </w:r>
          </w:hyperlink>
        </w:p>
        <w:p w14:paraId="536676DB" w14:textId="174CF8DB" w:rsidR="00A36CEB" w:rsidRPr="009E3499" w:rsidRDefault="006D2997">
          <w:pPr>
            <w:pStyle w:val="TDC3"/>
            <w:rPr>
              <w:rFonts w:eastAsiaTheme="minorEastAsia"/>
              <w:noProof/>
              <w:sz w:val="20"/>
              <w:szCs w:val="20"/>
              <w:lang w:eastAsia="es-GT"/>
            </w:rPr>
          </w:pPr>
          <w:hyperlink w:anchor="_Toc81571842" w:history="1">
            <w:r w:rsidR="00A36CEB" w:rsidRPr="009E3499">
              <w:rPr>
                <w:rStyle w:val="Hipervnculo"/>
                <w:rFonts w:ascii="Times New Roman" w:hAnsi="Times New Roman" w:cs="Times New Roman"/>
                <w:noProof/>
                <w:sz w:val="20"/>
                <w:szCs w:val="20"/>
                <w:u w:val="none"/>
              </w:rPr>
              <w:t>3.2.</w:t>
            </w:r>
            <w:r w:rsidR="00A36CEB" w:rsidRPr="009E3499">
              <w:rPr>
                <w:rFonts w:eastAsiaTheme="minorEastAsia"/>
                <w:noProof/>
                <w:sz w:val="20"/>
                <w:szCs w:val="20"/>
                <w:lang w:eastAsia="es-GT"/>
              </w:rPr>
              <w:tab/>
            </w:r>
            <w:r w:rsidR="00A36CEB" w:rsidRPr="009E3499">
              <w:rPr>
                <w:rStyle w:val="Hipervnculo"/>
                <w:rFonts w:ascii="Times New Roman" w:hAnsi="Times New Roman" w:cs="Times New Roman"/>
                <w:noProof/>
                <w:sz w:val="20"/>
                <w:szCs w:val="20"/>
                <w:u w:val="none"/>
              </w:rPr>
              <w:t>Sector monetario 2019-2020</w:t>
            </w:r>
            <w:r w:rsidR="00A36CEB" w:rsidRPr="009E3499">
              <w:rPr>
                <w:noProof/>
                <w:webHidden/>
                <w:sz w:val="20"/>
                <w:szCs w:val="20"/>
              </w:rPr>
              <w:tab/>
            </w:r>
            <w:r w:rsidR="00A36CEB" w:rsidRPr="009E3499">
              <w:rPr>
                <w:noProof/>
                <w:webHidden/>
                <w:sz w:val="20"/>
                <w:szCs w:val="20"/>
              </w:rPr>
              <w:fldChar w:fldCharType="begin"/>
            </w:r>
            <w:r w:rsidR="00A36CEB" w:rsidRPr="009E3499">
              <w:rPr>
                <w:noProof/>
                <w:webHidden/>
                <w:sz w:val="20"/>
                <w:szCs w:val="20"/>
              </w:rPr>
              <w:instrText xml:space="preserve"> PAGEREF _Toc81571842 \h </w:instrText>
            </w:r>
            <w:r w:rsidR="00A36CEB" w:rsidRPr="009E3499">
              <w:rPr>
                <w:noProof/>
                <w:webHidden/>
                <w:sz w:val="20"/>
                <w:szCs w:val="20"/>
              </w:rPr>
            </w:r>
            <w:r w:rsidR="00A36CEB" w:rsidRPr="009E3499">
              <w:rPr>
                <w:noProof/>
                <w:webHidden/>
                <w:sz w:val="20"/>
                <w:szCs w:val="20"/>
              </w:rPr>
              <w:fldChar w:fldCharType="separate"/>
            </w:r>
            <w:r w:rsidR="00081415">
              <w:rPr>
                <w:noProof/>
                <w:webHidden/>
                <w:sz w:val="20"/>
                <w:szCs w:val="20"/>
              </w:rPr>
              <w:t>25</w:t>
            </w:r>
            <w:r w:rsidR="00A36CEB" w:rsidRPr="009E3499">
              <w:rPr>
                <w:noProof/>
                <w:webHidden/>
                <w:sz w:val="20"/>
                <w:szCs w:val="20"/>
              </w:rPr>
              <w:fldChar w:fldCharType="end"/>
            </w:r>
          </w:hyperlink>
        </w:p>
        <w:p w14:paraId="1CEA910B" w14:textId="66CD268C" w:rsidR="00A36CEB" w:rsidRPr="009E3499" w:rsidRDefault="00A36CEB">
          <w:pPr>
            <w:pStyle w:val="TDC3"/>
            <w:rPr>
              <w:rFonts w:eastAsiaTheme="minorEastAsia"/>
              <w:noProof/>
              <w:sz w:val="20"/>
              <w:szCs w:val="20"/>
              <w:lang w:eastAsia="es-GT"/>
            </w:rPr>
          </w:pPr>
          <w:r w:rsidRPr="009E3499">
            <w:rPr>
              <w:rStyle w:val="Hipervnculo"/>
              <w:noProof/>
              <w:sz w:val="20"/>
              <w:szCs w:val="20"/>
              <w:u w:val="none"/>
            </w:rPr>
            <w:t xml:space="preserve">      </w:t>
          </w:r>
          <w:hyperlink w:anchor="_Toc81571843" w:history="1">
            <w:r w:rsidRPr="009E3499">
              <w:rPr>
                <w:rStyle w:val="Hipervnculo"/>
                <w:rFonts w:ascii="Times New Roman" w:hAnsi="Times New Roman" w:cs="Times New Roman"/>
                <w:noProof/>
                <w:sz w:val="20"/>
                <w:szCs w:val="20"/>
                <w:u w:val="none"/>
              </w:rPr>
              <w:t>3.2.1.</w:t>
            </w:r>
            <w:r w:rsidRPr="009E3499">
              <w:rPr>
                <w:rFonts w:eastAsiaTheme="minorEastAsia"/>
                <w:noProof/>
                <w:sz w:val="20"/>
                <w:szCs w:val="20"/>
                <w:lang w:eastAsia="es-GT"/>
              </w:rPr>
              <w:t xml:space="preserve">  </w:t>
            </w:r>
            <w:r w:rsidRPr="009E3499">
              <w:rPr>
                <w:rStyle w:val="Hipervnculo"/>
                <w:rFonts w:ascii="Times New Roman" w:hAnsi="Times New Roman" w:cs="Times New Roman"/>
                <w:noProof/>
                <w:sz w:val="20"/>
                <w:szCs w:val="20"/>
                <w:u w:val="none"/>
              </w:rPr>
              <w:t>Emisión monetaria y los medios de pago</w:t>
            </w:r>
            <w:r w:rsidRPr="009E3499">
              <w:rPr>
                <w:noProof/>
                <w:webHidden/>
                <w:sz w:val="20"/>
                <w:szCs w:val="20"/>
              </w:rPr>
              <w:tab/>
            </w:r>
            <w:r w:rsidRPr="009E3499">
              <w:rPr>
                <w:noProof/>
                <w:webHidden/>
                <w:sz w:val="20"/>
                <w:szCs w:val="20"/>
              </w:rPr>
              <w:fldChar w:fldCharType="begin"/>
            </w:r>
            <w:r w:rsidRPr="009E3499">
              <w:rPr>
                <w:noProof/>
                <w:webHidden/>
                <w:sz w:val="20"/>
                <w:szCs w:val="20"/>
              </w:rPr>
              <w:instrText xml:space="preserve"> PAGEREF _Toc81571843 \h </w:instrText>
            </w:r>
            <w:r w:rsidRPr="009E3499">
              <w:rPr>
                <w:noProof/>
                <w:webHidden/>
                <w:sz w:val="20"/>
                <w:szCs w:val="20"/>
              </w:rPr>
            </w:r>
            <w:r w:rsidRPr="009E3499">
              <w:rPr>
                <w:noProof/>
                <w:webHidden/>
                <w:sz w:val="20"/>
                <w:szCs w:val="20"/>
              </w:rPr>
              <w:fldChar w:fldCharType="separate"/>
            </w:r>
            <w:r w:rsidR="00081415">
              <w:rPr>
                <w:noProof/>
                <w:webHidden/>
                <w:sz w:val="20"/>
                <w:szCs w:val="20"/>
              </w:rPr>
              <w:t>25</w:t>
            </w:r>
            <w:r w:rsidRPr="009E3499">
              <w:rPr>
                <w:noProof/>
                <w:webHidden/>
                <w:sz w:val="20"/>
                <w:szCs w:val="20"/>
              </w:rPr>
              <w:fldChar w:fldCharType="end"/>
            </w:r>
          </w:hyperlink>
          <w:r w:rsidRPr="009E3499">
            <w:rPr>
              <w:rStyle w:val="Hipervnculo"/>
              <w:noProof/>
              <w:sz w:val="20"/>
              <w:szCs w:val="20"/>
              <w:u w:val="none"/>
            </w:rPr>
            <w:t xml:space="preserve">  </w:t>
          </w:r>
        </w:p>
        <w:p w14:paraId="6DCB1288" w14:textId="03AE2BD2" w:rsidR="00A36CEB" w:rsidRPr="009E3499" w:rsidRDefault="00A36CEB">
          <w:pPr>
            <w:pStyle w:val="TDC3"/>
            <w:rPr>
              <w:rFonts w:eastAsiaTheme="minorEastAsia"/>
              <w:noProof/>
              <w:sz w:val="20"/>
              <w:szCs w:val="20"/>
              <w:lang w:eastAsia="es-GT"/>
            </w:rPr>
          </w:pPr>
          <w:r w:rsidRPr="009E3499">
            <w:rPr>
              <w:rStyle w:val="Hipervnculo"/>
              <w:noProof/>
              <w:sz w:val="20"/>
              <w:szCs w:val="20"/>
              <w:u w:val="none"/>
            </w:rPr>
            <w:t xml:space="preserve">      </w:t>
          </w:r>
          <w:hyperlink w:anchor="_Toc81571844" w:history="1">
            <w:r w:rsidRPr="009E3499">
              <w:rPr>
                <w:rStyle w:val="Hipervnculo"/>
                <w:rFonts w:ascii="Times New Roman" w:hAnsi="Times New Roman" w:cs="Times New Roman"/>
                <w:noProof/>
                <w:sz w:val="20"/>
                <w:szCs w:val="20"/>
                <w:u w:val="none"/>
              </w:rPr>
              <w:t>3.2.2.</w:t>
            </w:r>
            <w:r w:rsidRPr="009E3499">
              <w:rPr>
                <w:rFonts w:eastAsiaTheme="minorEastAsia"/>
                <w:noProof/>
                <w:sz w:val="20"/>
                <w:szCs w:val="20"/>
                <w:lang w:eastAsia="es-GT"/>
              </w:rPr>
              <w:t xml:space="preserve">  </w:t>
            </w:r>
            <w:r w:rsidRPr="009E3499">
              <w:rPr>
                <w:rStyle w:val="Hipervnculo"/>
                <w:rFonts w:ascii="Times New Roman" w:hAnsi="Times New Roman" w:cs="Times New Roman"/>
                <w:noProof/>
                <w:sz w:val="20"/>
                <w:szCs w:val="20"/>
                <w:u w:val="none"/>
              </w:rPr>
              <w:t>Crédito del sistema bancario al sector privado</w:t>
            </w:r>
            <w:r w:rsidRPr="009E3499">
              <w:rPr>
                <w:noProof/>
                <w:webHidden/>
                <w:sz w:val="20"/>
                <w:szCs w:val="20"/>
              </w:rPr>
              <w:tab/>
            </w:r>
            <w:r w:rsidRPr="009E3499">
              <w:rPr>
                <w:noProof/>
                <w:webHidden/>
                <w:sz w:val="20"/>
                <w:szCs w:val="20"/>
              </w:rPr>
              <w:fldChar w:fldCharType="begin"/>
            </w:r>
            <w:r w:rsidRPr="009E3499">
              <w:rPr>
                <w:noProof/>
                <w:webHidden/>
                <w:sz w:val="20"/>
                <w:szCs w:val="20"/>
              </w:rPr>
              <w:instrText xml:space="preserve"> PAGEREF _Toc81571844 \h </w:instrText>
            </w:r>
            <w:r w:rsidRPr="009E3499">
              <w:rPr>
                <w:noProof/>
                <w:webHidden/>
                <w:sz w:val="20"/>
                <w:szCs w:val="20"/>
              </w:rPr>
            </w:r>
            <w:r w:rsidRPr="009E3499">
              <w:rPr>
                <w:noProof/>
                <w:webHidden/>
                <w:sz w:val="20"/>
                <w:szCs w:val="20"/>
              </w:rPr>
              <w:fldChar w:fldCharType="separate"/>
            </w:r>
            <w:r w:rsidR="00081415">
              <w:rPr>
                <w:noProof/>
                <w:webHidden/>
                <w:sz w:val="20"/>
                <w:szCs w:val="20"/>
              </w:rPr>
              <w:t>26</w:t>
            </w:r>
            <w:r w:rsidRPr="009E3499">
              <w:rPr>
                <w:noProof/>
                <w:webHidden/>
                <w:sz w:val="20"/>
                <w:szCs w:val="20"/>
              </w:rPr>
              <w:fldChar w:fldCharType="end"/>
            </w:r>
          </w:hyperlink>
        </w:p>
        <w:p w14:paraId="2292ECCF" w14:textId="18D6FEB4" w:rsidR="00A36CEB" w:rsidRPr="009E3499" w:rsidRDefault="00A36CEB">
          <w:pPr>
            <w:pStyle w:val="TDC3"/>
            <w:rPr>
              <w:rFonts w:eastAsiaTheme="minorEastAsia"/>
              <w:noProof/>
              <w:sz w:val="20"/>
              <w:szCs w:val="20"/>
              <w:lang w:eastAsia="es-GT"/>
            </w:rPr>
          </w:pPr>
          <w:r w:rsidRPr="009E3499">
            <w:rPr>
              <w:rStyle w:val="Hipervnculo"/>
              <w:noProof/>
              <w:sz w:val="20"/>
              <w:szCs w:val="20"/>
              <w:u w:val="none"/>
            </w:rPr>
            <w:t xml:space="preserve">      </w:t>
          </w:r>
          <w:hyperlink w:anchor="_Toc81571845" w:history="1">
            <w:r w:rsidRPr="009E3499">
              <w:rPr>
                <w:rStyle w:val="Hipervnculo"/>
                <w:rFonts w:ascii="Times New Roman" w:hAnsi="Times New Roman" w:cs="Times New Roman"/>
                <w:noProof/>
                <w:sz w:val="20"/>
                <w:szCs w:val="20"/>
                <w:u w:val="none"/>
              </w:rPr>
              <w:t>3.2.3.</w:t>
            </w:r>
            <w:r w:rsidRPr="009E3499">
              <w:rPr>
                <w:rFonts w:eastAsiaTheme="minorEastAsia"/>
                <w:noProof/>
                <w:sz w:val="20"/>
                <w:szCs w:val="20"/>
                <w:lang w:eastAsia="es-GT"/>
              </w:rPr>
              <w:t xml:space="preserve">  </w:t>
            </w:r>
            <w:r w:rsidRPr="009E3499">
              <w:rPr>
                <w:rStyle w:val="Hipervnculo"/>
                <w:rFonts w:ascii="Times New Roman" w:hAnsi="Times New Roman" w:cs="Times New Roman"/>
                <w:noProof/>
                <w:sz w:val="20"/>
                <w:szCs w:val="20"/>
                <w:u w:val="none"/>
              </w:rPr>
              <w:t>Tasa de interés líder de política monetaria</w:t>
            </w:r>
            <w:r w:rsidRPr="009E3499">
              <w:rPr>
                <w:noProof/>
                <w:webHidden/>
                <w:sz w:val="20"/>
                <w:szCs w:val="20"/>
              </w:rPr>
              <w:tab/>
            </w:r>
            <w:r w:rsidRPr="009E3499">
              <w:rPr>
                <w:noProof/>
                <w:webHidden/>
                <w:sz w:val="20"/>
                <w:szCs w:val="20"/>
              </w:rPr>
              <w:fldChar w:fldCharType="begin"/>
            </w:r>
            <w:r w:rsidRPr="009E3499">
              <w:rPr>
                <w:noProof/>
                <w:webHidden/>
                <w:sz w:val="20"/>
                <w:szCs w:val="20"/>
              </w:rPr>
              <w:instrText xml:space="preserve"> PAGEREF _Toc81571845 \h </w:instrText>
            </w:r>
            <w:r w:rsidRPr="009E3499">
              <w:rPr>
                <w:noProof/>
                <w:webHidden/>
                <w:sz w:val="20"/>
                <w:szCs w:val="20"/>
              </w:rPr>
            </w:r>
            <w:r w:rsidRPr="009E3499">
              <w:rPr>
                <w:noProof/>
                <w:webHidden/>
                <w:sz w:val="20"/>
                <w:szCs w:val="20"/>
              </w:rPr>
              <w:fldChar w:fldCharType="separate"/>
            </w:r>
            <w:r w:rsidR="00081415">
              <w:rPr>
                <w:noProof/>
                <w:webHidden/>
                <w:sz w:val="20"/>
                <w:szCs w:val="20"/>
              </w:rPr>
              <w:t>27</w:t>
            </w:r>
            <w:r w:rsidRPr="009E3499">
              <w:rPr>
                <w:noProof/>
                <w:webHidden/>
                <w:sz w:val="20"/>
                <w:szCs w:val="20"/>
              </w:rPr>
              <w:fldChar w:fldCharType="end"/>
            </w:r>
          </w:hyperlink>
        </w:p>
        <w:p w14:paraId="79938F59" w14:textId="19C63110" w:rsidR="00A36CEB" w:rsidRPr="009E3499" w:rsidRDefault="006D2997">
          <w:pPr>
            <w:pStyle w:val="TDC3"/>
            <w:rPr>
              <w:rFonts w:eastAsiaTheme="minorEastAsia"/>
              <w:noProof/>
              <w:sz w:val="20"/>
              <w:szCs w:val="20"/>
              <w:lang w:eastAsia="es-GT"/>
            </w:rPr>
          </w:pPr>
          <w:hyperlink w:anchor="_Toc81571846" w:history="1">
            <w:r w:rsidR="00A36CEB" w:rsidRPr="009E3499">
              <w:rPr>
                <w:rStyle w:val="Hipervnculo"/>
                <w:rFonts w:ascii="Times New Roman" w:hAnsi="Times New Roman" w:cs="Times New Roman"/>
                <w:noProof/>
                <w:sz w:val="20"/>
                <w:szCs w:val="20"/>
                <w:u w:val="none"/>
              </w:rPr>
              <w:t>3.3.</w:t>
            </w:r>
            <w:r w:rsidR="00A36CEB" w:rsidRPr="009E3499">
              <w:rPr>
                <w:rFonts w:eastAsiaTheme="minorEastAsia"/>
                <w:noProof/>
                <w:sz w:val="20"/>
                <w:szCs w:val="20"/>
                <w:lang w:eastAsia="es-GT"/>
              </w:rPr>
              <w:tab/>
            </w:r>
            <w:r w:rsidR="00A36CEB" w:rsidRPr="009E3499">
              <w:rPr>
                <w:rStyle w:val="Hipervnculo"/>
                <w:rFonts w:ascii="Times New Roman" w:hAnsi="Times New Roman" w:cs="Times New Roman"/>
                <w:noProof/>
                <w:sz w:val="20"/>
                <w:szCs w:val="20"/>
                <w:u w:val="none"/>
              </w:rPr>
              <w:t>Sector externo 2019-2020</w:t>
            </w:r>
            <w:r w:rsidR="00A36CEB" w:rsidRPr="009E3499">
              <w:rPr>
                <w:noProof/>
                <w:webHidden/>
                <w:sz w:val="20"/>
                <w:szCs w:val="20"/>
              </w:rPr>
              <w:tab/>
            </w:r>
            <w:r w:rsidR="00A36CEB" w:rsidRPr="009E3499">
              <w:rPr>
                <w:noProof/>
                <w:webHidden/>
                <w:sz w:val="20"/>
                <w:szCs w:val="20"/>
              </w:rPr>
              <w:fldChar w:fldCharType="begin"/>
            </w:r>
            <w:r w:rsidR="00A36CEB" w:rsidRPr="009E3499">
              <w:rPr>
                <w:noProof/>
                <w:webHidden/>
                <w:sz w:val="20"/>
                <w:szCs w:val="20"/>
              </w:rPr>
              <w:instrText xml:space="preserve"> PAGEREF _Toc81571846 \h </w:instrText>
            </w:r>
            <w:r w:rsidR="00A36CEB" w:rsidRPr="009E3499">
              <w:rPr>
                <w:noProof/>
                <w:webHidden/>
                <w:sz w:val="20"/>
                <w:szCs w:val="20"/>
              </w:rPr>
            </w:r>
            <w:r w:rsidR="00A36CEB" w:rsidRPr="009E3499">
              <w:rPr>
                <w:noProof/>
                <w:webHidden/>
                <w:sz w:val="20"/>
                <w:szCs w:val="20"/>
              </w:rPr>
              <w:fldChar w:fldCharType="separate"/>
            </w:r>
            <w:r w:rsidR="00081415">
              <w:rPr>
                <w:noProof/>
                <w:webHidden/>
                <w:sz w:val="20"/>
                <w:szCs w:val="20"/>
              </w:rPr>
              <w:t>28</w:t>
            </w:r>
            <w:r w:rsidR="00A36CEB" w:rsidRPr="009E3499">
              <w:rPr>
                <w:noProof/>
                <w:webHidden/>
                <w:sz w:val="20"/>
                <w:szCs w:val="20"/>
              </w:rPr>
              <w:fldChar w:fldCharType="end"/>
            </w:r>
          </w:hyperlink>
        </w:p>
        <w:p w14:paraId="2CEF347B" w14:textId="4CDF61DD" w:rsidR="00A36CEB" w:rsidRPr="009E3499" w:rsidRDefault="00A36CEB">
          <w:pPr>
            <w:pStyle w:val="TDC3"/>
            <w:rPr>
              <w:rFonts w:eastAsiaTheme="minorEastAsia"/>
              <w:noProof/>
              <w:sz w:val="20"/>
              <w:szCs w:val="20"/>
              <w:lang w:eastAsia="es-GT"/>
            </w:rPr>
          </w:pPr>
          <w:r w:rsidRPr="009E3499">
            <w:rPr>
              <w:rStyle w:val="Hipervnculo"/>
              <w:noProof/>
              <w:sz w:val="20"/>
              <w:szCs w:val="20"/>
              <w:u w:val="none"/>
            </w:rPr>
            <w:t xml:space="preserve">      </w:t>
          </w:r>
          <w:hyperlink w:anchor="_Toc81571847" w:history="1">
            <w:r w:rsidRPr="009E3499">
              <w:rPr>
                <w:rStyle w:val="Hipervnculo"/>
                <w:rFonts w:ascii="Times New Roman" w:hAnsi="Times New Roman" w:cs="Times New Roman"/>
                <w:noProof/>
                <w:sz w:val="20"/>
                <w:szCs w:val="20"/>
                <w:u w:val="none"/>
              </w:rPr>
              <w:t>3.3.1.</w:t>
            </w:r>
            <w:r w:rsidRPr="009E3499">
              <w:rPr>
                <w:rFonts w:eastAsiaTheme="minorEastAsia"/>
                <w:noProof/>
                <w:sz w:val="20"/>
                <w:szCs w:val="20"/>
                <w:lang w:eastAsia="es-GT"/>
              </w:rPr>
              <w:t xml:space="preserve">  </w:t>
            </w:r>
            <w:r w:rsidRPr="009E3499">
              <w:rPr>
                <w:rStyle w:val="Hipervnculo"/>
                <w:rFonts w:ascii="Times New Roman" w:hAnsi="Times New Roman" w:cs="Times New Roman"/>
                <w:noProof/>
                <w:sz w:val="20"/>
                <w:szCs w:val="20"/>
                <w:u w:val="none"/>
              </w:rPr>
              <w:t>Balanza de pagos</w:t>
            </w:r>
            <w:r w:rsidRPr="009E3499">
              <w:rPr>
                <w:noProof/>
                <w:webHidden/>
                <w:sz w:val="20"/>
                <w:szCs w:val="20"/>
              </w:rPr>
              <w:tab/>
            </w:r>
            <w:r w:rsidRPr="009E3499">
              <w:rPr>
                <w:noProof/>
                <w:webHidden/>
                <w:sz w:val="20"/>
                <w:szCs w:val="20"/>
              </w:rPr>
              <w:fldChar w:fldCharType="begin"/>
            </w:r>
            <w:r w:rsidRPr="009E3499">
              <w:rPr>
                <w:noProof/>
                <w:webHidden/>
                <w:sz w:val="20"/>
                <w:szCs w:val="20"/>
              </w:rPr>
              <w:instrText xml:space="preserve"> PAGEREF _Toc81571847 \h </w:instrText>
            </w:r>
            <w:r w:rsidRPr="009E3499">
              <w:rPr>
                <w:noProof/>
                <w:webHidden/>
                <w:sz w:val="20"/>
                <w:szCs w:val="20"/>
              </w:rPr>
            </w:r>
            <w:r w:rsidRPr="009E3499">
              <w:rPr>
                <w:noProof/>
                <w:webHidden/>
                <w:sz w:val="20"/>
                <w:szCs w:val="20"/>
              </w:rPr>
              <w:fldChar w:fldCharType="separate"/>
            </w:r>
            <w:r w:rsidR="00081415">
              <w:rPr>
                <w:noProof/>
                <w:webHidden/>
                <w:sz w:val="20"/>
                <w:szCs w:val="20"/>
              </w:rPr>
              <w:t>28</w:t>
            </w:r>
            <w:r w:rsidRPr="009E3499">
              <w:rPr>
                <w:noProof/>
                <w:webHidden/>
                <w:sz w:val="20"/>
                <w:szCs w:val="20"/>
              </w:rPr>
              <w:fldChar w:fldCharType="end"/>
            </w:r>
          </w:hyperlink>
        </w:p>
        <w:p w14:paraId="6FBD22EE" w14:textId="716FAB7C" w:rsidR="00A36CEB" w:rsidRPr="009E3499" w:rsidRDefault="00A36CEB">
          <w:pPr>
            <w:pStyle w:val="TDC3"/>
            <w:rPr>
              <w:rFonts w:eastAsiaTheme="minorEastAsia"/>
              <w:noProof/>
              <w:sz w:val="20"/>
              <w:szCs w:val="20"/>
              <w:lang w:eastAsia="es-GT"/>
            </w:rPr>
          </w:pPr>
          <w:r w:rsidRPr="009E3499">
            <w:rPr>
              <w:rStyle w:val="Hipervnculo"/>
              <w:noProof/>
              <w:sz w:val="20"/>
              <w:szCs w:val="20"/>
              <w:u w:val="none"/>
            </w:rPr>
            <w:t xml:space="preserve">      </w:t>
          </w:r>
          <w:hyperlink w:anchor="_Toc81571848" w:history="1">
            <w:r w:rsidRPr="009E3499">
              <w:rPr>
                <w:rStyle w:val="Hipervnculo"/>
                <w:rFonts w:ascii="Times New Roman" w:hAnsi="Times New Roman" w:cs="Times New Roman"/>
                <w:noProof/>
                <w:sz w:val="20"/>
                <w:szCs w:val="20"/>
                <w:u w:val="none"/>
              </w:rPr>
              <w:t>3.3.2.</w:t>
            </w:r>
            <w:r w:rsidRPr="009E3499">
              <w:rPr>
                <w:rFonts w:eastAsiaTheme="minorEastAsia"/>
                <w:noProof/>
                <w:sz w:val="20"/>
                <w:szCs w:val="20"/>
                <w:lang w:eastAsia="es-GT"/>
              </w:rPr>
              <w:t xml:space="preserve">  </w:t>
            </w:r>
            <w:r w:rsidRPr="009E3499">
              <w:rPr>
                <w:rStyle w:val="Hipervnculo"/>
                <w:rFonts w:ascii="Times New Roman" w:hAnsi="Times New Roman" w:cs="Times New Roman"/>
                <w:noProof/>
                <w:sz w:val="20"/>
                <w:szCs w:val="20"/>
                <w:u w:val="none"/>
              </w:rPr>
              <w:t>Balanza comercial</w:t>
            </w:r>
            <w:r w:rsidRPr="009E3499">
              <w:rPr>
                <w:noProof/>
                <w:webHidden/>
                <w:sz w:val="20"/>
                <w:szCs w:val="20"/>
              </w:rPr>
              <w:tab/>
            </w:r>
            <w:r w:rsidRPr="009E3499">
              <w:rPr>
                <w:noProof/>
                <w:webHidden/>
                <w:sz w:val="20"/>
                <w:szCs w:val="20"/>
              </w:rPr>
              <w:fldChar w:fldCharType="begin"/>
            </w:r>
            <w:r w:rsidRPr="009E3499">
              <w:rPr>
                <w:noProof/>
                <w:webHidden/>
                <w:sz w:val="20"/>
                <w:szCs w:val="20"/>
              </w:rPr>
              <w:instrText xml:space="preserve"> PAGEREF _Toc81571848 \h </w:instrText>
            </w:r>
            <w:r w:rsidRPr="009E3499">
              <w:rPr>
                <w:noProof/>
                <w:webHidden/>
                <w:sz w:val="20"/>
                <w:szCs w:val="20"/>
              </w:rPr>
            </w:r>
            <w:r w:rsidRPr="009E3499">
              <w:rPr>
                <w:noProof/>
                <w:webHidden/>
                <w:sz w:val="20"/>
                <w:szCs w:val="20"/>
              </w:rPr>
              <w:fldChar w:fldCharType="separate"/>
            </w:r>
            <w:r w:rsidR="00081415">
              <w:rPr>
                <w:noProof/>
                <w:webHidden/>
                <w:sz w:val="20"/>
                <w:szCs w:val="20"/>
              </w:rPr>
              <w:t>29</w:t>
            </w:r>
            <w:r w:rsidRPr="009E3499">
              <w:rPr>
                <w:noProof/>
                <w:webHidden/>
                <w:sz w:val="20"/>
                <w:szCs w:val="20"/>
              </w:rPr>
              <w:fldChar w:fldCharType="end"/>
            </w:r>
          </w:hyperlink>
        </w:p>
        <w:p w14:paraId="45F1F2E8" w14:textId="3C49509E" w:rsidR="00A36CEB" w:rsidRPr="009E3499" w:rsidRDefault="00A36CEB">
          <w:pPr>
            <w:pStyle w:val="TDC3"/>
            <w:rPr>
              <w:rFonts w:eastAsiaTheme="minorEastAsia"/>
              <w:noProof/>
              <w:sz w:val="20"/>
              <w:szCs w:val="20"/>
              <w:lang w:eastAsia="es-GT"/>
            </w:rPr>
          </w:pPr>
          <w:r w:rsidRPr="009E3499">
            <w:rPr>
              <w:rStyle w:val="Hipervnculo"/>
              <w:noProof/>
              <w:sz w:val="20"/>
              <w:szCs w:val="20"/>
              <w:u w:val="none"/>
            </w:rPr>
            <w:t xml:space="preserve">      </w:t>
          </w:r>
          <w:hyperlink w:anchor="_Toc81571849" w:history="1">
            <w:r w:rsidRPr="009E3499">
              <w:rPr>
                <w:rStyle w:val="Hipervnculo"/>
                <w:rFonts w:ascii="Times New Roman" w:hAnsi="Times New Roman" w:cs="Times New Roman"/>
                <w:noProof/>
                <w:sz w:val="20"/>
                <w:szCs w:val="20"/>
                <w:u w:val="none"/>
              </w:rPr>
              <w:t>3.3.3.</w:t>
            </w:r>
            <w:r w:rsidRPr="009E3499">
              <w:rPr>
                <w:rFonts w:eastAsiaTheme="minorEastAsia"/>
                <w:noProof/>
                <w:sz w:val="20"/>
                <w:szCs w:val="20"/>
                <w:lang w:eastAsia="es-GT"/>
              </w:rPr>
              <w:t xml:space="preserve">  </w:t>
            </w:r>
            <w:r w:rsidRPr="009E3499">
              <w:rPr>
                <w:rStyle w:val="Hipervnculo"/>
                <w:rFonts w:ascii="Times New Roman" w:hAnsi="Times New Roman" w:cs="Times New Roman"/>
                <w:noProof/>
                <w:sz w:val="20"/>
                <w:szCs w:val="20"/>
                <w:u w:val="none"/>
              </w:rPr>
              <w:t>Ingreso primario y secundario</w:t>
            </w:r>
            <w:r w:rsidRPr="009E3499">
              <w:rPr>
                <w:noProof/>
                <w:webHidden/>
                <w:sz w:val="20"/>
                <w:szCs w:val="20"/>
              </w:rPr>
              <w:tab/>
            </w:r>
            <w:r w:rsidRPr="009E3499">
              <w:rPr>
                <w:noProof/>
                <w:webHidden/>
                <w:sz w:val="20"/>
                <w:szCs w:val="20"/>
              </w:rPr>
              <w:fldChar w:fldCharType="begin"/>
            </w:r>
            <w:r w:rsidRPr="009E3499">
              <w:rPr>
                <w:noProof/>
                <w:webHidden/>
                <w:sz w:val="20"/>
                <w:szCs w:val="20"/>
              </w:rPr>
              <w:instrText xml:space="preserve"> PAGEREF _Toc81571849 \h </w:instrText>
            </w:r>
            <w:r w:rsidRPr="009E3499">
              <w:rPr>
                <w:noProof/>
                <w:webHidden/>
                <w:sz w:val="20"/>
                <w:szCs w:val="20"/>
              </w:rPr>
            </w:r>
            <w:r w:rsidRPr="009E3499">
              <w:rPr>
                <w:noProof/>
                <w:webHidden/>
                <w:sz w:val="20"/>
                <w:szCs w:val="20"/>
              </w:rPr>
              <w:fldChar w:fldCharType="separate"/>
            </w:r>
            <w:r w:rsidR="00081415">
              <w:rPr>
                <w:noProof/>
                <w:webHidden/>
                <w:sz w:val="20"/>
                <w:szCs w:val="20"/>
              </w:rPr>
              <w:t>34</w:t>
            </w:r>
            <w:r w:rsidRPr="009E3499">
              <w:rPr>
                <w:noProof/>
                <w:webHidden/>
                <w:sz w:val="20"/>
                <w:szCs w:val="20"/>
              </w:rPr>
              <w:fldChar w:fldCharType="end"/>
            </w:r>
          </w:hyperlink>
        </w:p>
        <w:p w14:paraId="6E007E3A" w14:textId="0A0A6511" w:rsidR="00A36CEB" w:rsidRPr="009E3499" w:rsidRDefault="00A36CEB">
          <w:pPr>
            <w:pStyle w:val="TDC3"/>
            <w:rPr>
              <w:rFonts w:eastAsiaTheme="minorEastAsia"/>
              <w:noProof/>
              <w:sz w:val="20"/>
              <w:szCs w:val="20"/>
              <w:lang w:eastAsia="es-GT"/>
            </w:rPr>
          </w:pPr>
          <w:r w:rsidRPr="009E3499">
            <w:rPr>
              <w:rStyle w:val="Hipervnculo"/>
              <w:noProof/>
              <w:sz w:val="20"/>
              <w:szCs w:val="20"/>
              <w:u w:val="none"/>
            </w:rPr>
            <w:t xml:space="preserve">      </w:t>
          </w:r>
          <w:hyperlink w:anchor="_Toc81571850" w:history="1">
            <w:r w:rsidRPr="009E3499">
              <w:rPr>
                <w:rStyle w:val="Hipervnculo"/>
                <w:rFonts w:ascii="Times New Roman" w:hAnsi="Times New Roman" w:cs="Times New Roman"/>
                <w:noProof/>
                <w:sz w:val="20"/>
                <w:szCs w:val="20"/>
                <w:u w:val="none"/>
              </w:rPr>
              <w:t>3.3.4.</w:t>
            </w:r>
            <w:r w:rsidRPr="009E3499">
              <w:rPr>
                <w:rFonts w:eastAsiaTheme="minorEastAsia"/>
                <w:noProof/>
                <w:sz w:val="20"/>
                <w:szCs w:val="20"/>
                <w:lang w:eastAsia="es-GT"/>
              </w:rPr>
              <w:t xml:space="preserve">  </w:t>
            </w:r>
            <w:r w:rsidRPr="009E3499">
              <w:rPr>
                <w:rStyle w:val="Hipervnculo"/>
                <w:rFonts w:ascii="Times New Roman" w:hAnsi="Times New Roman" w:cs="Times New Roman"/>
                <w:noProof/>
                <w:sz w:val="20"/>
                <w:szCs w:val="20"/>
                <w:u w:val="none"/>
              </w:rPr>
              <w:t>Cuenta financiera</w:t>
            </w:r>
            <w:r w:rsidRPr="009E3499">
              <w:rPr>
                <w:noProof/>
                <w:webHidden/>
                <w:sz w:val="20"/>
                <w:szCs w:val="20"/>
              </w:rPr>
              <w:tab/>
            </w:r>
            <w:r w:rsidRPr="009E3499">
              <w:rPr>
                <w:noProof/>
                <w:webHidden/>
                <w:sz w:val="20"/>
                <w:szCs w:val="20"/>
              </w:rPr>
              <w:fldChar w:fldCharType="begin"/>
            </w:r>
            <w:r w:rsidRPr="009E3499">
              <w:rPr>
                <w:noProof/>
                <w:webHidden/>
                <w:sz w:val="20"/>
                <w:szCs w:val="20"/>
              </w:rPr>
              <w:instrText xml:space="preserve"> PAGEREF _Toc81571850 \h </w:instrText>
            </w:r>
            <w:r w:rsidRPr="009E3499">
              <w:rPr>
                <w:noProof/>
                <w:webHidden/>
                <w:sz w:val="20"/>
                <w:szCs w:val="20"/>
              </w:rPr>
            </w:r>
            <w:r w:rsidRPr="009E3499">
              <w:rPr>
                <w:noProof/>
                <w:webHidden/>
                <w:sz w:val="20"/>
                <w:szCs w:val="20"/>
              </w:rPr>
              <w:fldChar w:fldCharType="separate"/>
            </w:r>
            <w:r w:rsidR="00081415">
              <w:rPr>
                <w:noProof/>
                <w:webHidden/>
                <w:sz w:val="20"/>
                <w:szCs w:val="20"/>
              </w:rPr>
              <w:t>35</w:t>
            </w:r>
            <w:r w:rsidRPr="009E3499">
              <w:rPr>
                <w:noProof/>
                <w:webHidden/>
                <w:sz w:val="20"/>
                <w:szCs w:val="20"/>
              </w:rPr>
              <w:fldChar w:fldCharType="end"/>
            </w:r>
          </w:hyperlink>
        </w:p>
        <w:p w14:paraId="23F77002" w14:textId="1DFD5A3F" w:rsidR="00A36CEB" w:rsidRPr="009E3499" w:rsidRDefault="00A36CEB">
          <w:pPr>
            <w:pStyle w:val="TDC3"/>
            <w:rPr>
              <w:rFonts w:eastAsiaTheme="minorEastAsia"/>
              <w:noProof/>
              <w:sz w:val="20"/>
              <w:szCs w:val="20"/>
              <w:lang w:eastAsia="es-GT"/>
            </w:rPr>
          </w:pPr>
          <w:r w:rsidRPr="009E3499">
            <w:rPr>
              <w:rStyle w:val="Hipervnculo"/>
              <w:noProof/>
              <w:sz w:val="20"/>
              <w:szCs w:val="20"/>
              <w:u w:val="none"/>
            </w:rPr>
            <w:t xml:space="preserve">      </w:t>
          </w:r>
          <w:hyperlink w:anchor="_Toc81571851" w:history="1">
            <w:r w:rsidRPr="009E3499">
              <w:rPr>
                <w:rStyle w:val="Hipervnculo"/>
                <w:rFonts w:ascii="Times New Roman" w:hAnsi="Times New Roman" w:cs="Times New Roman"/>
                <w:noProof/>
                <w:sz w:val="20"/>
                <w:szCs w:val="20"/>
                <w:u w:val="none"/>
              </w:rPr>
              <w:t>3.3.5.</w:t>
            </w:r>
            <w:r w:rsidRPr="009E3499">
              <w:rPr>
                <w:rFonts w:eastAsiaTheme="minorEastAsia"/>
                <w:noProof/>
                <w:sz w:val="20"/>
                <w:szCs w:val="20"/>
                <w:lang w:eastAsia="es-GT"/>
              </w:rPr>
              <w:t xml:space="preserve">  </w:t>
            </w:r>
            <w:r w:rsidRPr="009E3499">
              <w:rPr>
                <w:rStyle w:val="Hipervnculo"/>
                <w:rFonts w:ascii="Times New Roman" w:hAnsi="Times New Roman" w:cs="Times New Roman"/>
                <w:noProof/>
                <w:sz w:val="20"/>
                <w:szCs w:val="20"/>
                <w:u w:val="none"/>
              </w:rPr>
              <w:t>Tipo de cambio</w:t>
            </w:r>
            <w:r w:rsidRPr="009E3499">
              <w:rPr>
                <w:noProof/>
                <w:webHidden/>
                <w:sz w:val="20"/>
                <w:szCs w:val="20"/>
              </w:rPr>
              <w:tab/>
            </w:r>
            <w:r w:rsidRPr="009E3499">
              <w:rPr>
                <w:noProof/>
                <w:webHidden/>
                <w:sz w:val="20"/>
                <w:szCs w:val="20"/>
              </w:rPr>
              <w:fldChar w:fldCharType="begin"/>
            </w:r>
            <w:r w:rsidRPr="009E3499">
              <w:rPr>
                <w:noProof/>
                <w:webHidden/>
                <w:sz w:val="20"/>
                <w:szCs w:val="20"/>
              </w:rPr>
              <w:instrText xml:space="preserve"> PAGEREF _Toc81571851 \h </w:instrText>
            </w:r>
            <w:r w:rsidRPr="009E3499">
              <w:rPr>
                <w:noProof/>
                <w:webHidden/>
                <w:sz w:val="20"/>
                <w:szCs w:val="20"/>
              </w:rPr>
            </w:r>
            <w:r w:rsidRPr="009E3499">
              <w:rPr>
                <w:noProof/>
                <w:webHidden/>
                <w:sz w:val="20"/>
                <w:szCs w:val="20"/>
              </w:rPr>
              <w:fldChar w:fldCharType="separate"/>
            </w:r>
            <w:r w:rsidR="00081415">
              <w:rPr>
                <w:noProof/>
                <w:webHidden/>
                <w:sz w:val="20"/>
                <w:szCs w:val="20"/>
              </w:rPr>
              <w:t>36</w:t>
            </w:r>
            <w:r w:rsidRPr="009E3499">
              <w:rPr>
                <w:noProof/>
                <w:webHidden/>
                <w:sz w:val="20"/>
                <w:szCs w:val="20"/>
              </w:rPr>
              <w:fldChar w:fldCharType="end"/>
            </w:r>
          </w:hyperlink>
        </w:p>
        <w:p w14:paraId="6690B6CB" w14:textId="7A768CF6" w:rsidR="00A36CEB" w:rsidRPr="009E3499" w:rsidRDefault="006D2997">
          <w:pPr>
            <w:pStyle w:val="TDC2"/>
            <w:rPr>
              <w:rFonts w:asciiTheme="minorHAnsi" w:eastAsiaTheme="minorEastAsia" w:hAnsiTheme="minorHAnsi" w:cstheme="minorBidi"/>
              <w:b w:val="0"/>
              <w:sz w:val="20"/>
              <w:szCs w:val="20"/>
              <w:lang w:val="es-GT" w:eastAsia="es-GT"/>
            </w:rPr>
          </w:pPr>
          <w:hyperlink w:anchor="_Toc81571852" w:history="1">
            <w:r w:rsidR="00A36CEB" w:rsidRPr="009E3499">
              <w:rPr>
                <w:rStyle w:val="Hipervnculo"/>
                <w:b w:val="0"/>
                <w:sz w:val="20"/>
                <w:szCs w:val="20"/>
                <w:u w:val="none"/>
                <w:lang w:val="es-GT"/>
              </w:rPr>
              <w:t>4.</w:t>
            </w:r>
            <w:r w:rsidR="00A36CEB" w:rsidRPr="009E3499">
              <w:rPr>
                <w:rFonts w:asciiTheme="minorHAnsi" w:eastAsiaTheme="minorEastAsia" w:hAnsiTheme="minorHAnsi" w:cstheme="minorBidi"/>
                <w:b w:val="0"/>
                <w:sz w:val="20"/>
                <w:szCs w:val="20"/>
                <w:lang w:val="es-GT" w:eastAsia="es-GT"/>
              </w:rPr>
              <w:tab/>
            </w:r>
            <w:r w:rsidR="00A36CEB" w:rsidRPr="009E3499">
              <w:rPr>
                <w:rStyle w:val="Hipervnculo"/>
                <w:b w:val="0"/>
                <w:sz w:val="20"/>
                <w:szCs w:val="20"/>
                <w:u w:val="none"/>
                <w:lang w:val="es-GT"/>
              </w:rPr>
              <w:t>Escenario macroeconómico 2021</w:t>
            </w:r>
            <w:r w:rsidR="00A36CEB" w:rsidRPr="009E3499">
              <w:rPr>
                <w:b w:val="0"/>
                <w:webHidden/>
                <w:sz w:val="20"/>
                <w:szCs w:val="20"/>
              </w:rPr>
              <w:tab/>
            </w:r>
            <w:r w:rsidR="00A36CEB" w:rsidRPr="009E3499">
              <w:rPr>
                <w:b w:val="0"/>
                <w:webHidden/>
                <w:sz w:val="20"/>
                <w:szCs w:val="20"/>
              </w:rPr>
              <w:fldChar w:fldCharType="begin"/>
            </w:r>
            <w:r w:rsidR="00A36CEB" w:rsidRPr="009E3499">
              <w:rPr>
                <w:b w:val="0"/>
                <w:webHidden/>
                <w:sz w:val="20"/>
                <w:szCs w:val="20"/>
              </w:rPr>
              <w:instrText xml:space="preserve"> PAGEREF _Toc81571852 \h </w:instrText>
            </w:r>
            <w:r w:rsidR="00A36CEB" w:rsidRPr="009E3499">
              <w:rPr>
                <w:b w:val="0"/>
                <w:webHidden/>
                <w:sz w:val="20"/>
                <w:szCs w:val="20"/>
              </w:rPr>
            </w:r>
            <w:r w:rsidR="00A36CEB" w:rsidRPr="009E3499">
              <w:rPr>
                <w:b w:val="0"/>
                <w:webHidden/>
                <w:sz w:val="20"/>
                <w:szCs w:val="20"/>
              </w:rPr>
              <w:fldChar w:fldCharType="separate"/>
            </w:r>
            <w:r w:rsidR="00081415">
              <w:rPr>
                <w:b w:val="0"/>
                <w:webHidden/>
                <w:sz w:val="20"/>
                <w:szCs w:val="20"/>
              </w:rPr>
              <w:t>37</w:t>
            </w:r>
            <w:r w:rsidR="00A36CEB" w:rsidRPr="009E3499">
              <w:rPr>
                <w:b w:val="0"/>
                <w:webHidden/>
                <w:sz w:val="20"/>
                <w:szCs w:val="20"/>
              </w:rPr>
              <w:fldChar w:fldCharType="end"/>
            </w:r>
          </w:hyperlink>
        </w:p>
        <w:p w14:paraId="58C1812E" w14:textId="0158E06B" w:rsidR="00A36CEB" w:rsidRPr="009E3499" w:rsidRDefault="00A36CEB">
          <w:pPr>
            <w:pStyle w:val="TDC2"/>
            <w:rPr>
              <w:rFonts w:asciiTheme="minorHAnsi" w:eastAsiaTheme="minorEastAsia" w:hAnsiTheme="minorHAnsi" w:cstheme="minorBidi"/>
              <w:b w:val="0"/>
              <w:sz w:val="20"/>
              <w:szCs w:val="20"/>
              <w:lang w:val="es-GT" w:eastAsia="es-GT"/>
            </w:rPr>
          </w:pPr>
          <w:r w:rsidRPr="009E3499">
            <w:rPr>
              <w:rStyle w:val="Hipervnculo"/>
              <w:b w:val="0"/>
              <w:sz w:val="20"/>
              <w:szCs w:val="20"/>
              <w:u w:val="none"/>
            </w:rPr>
            <w:t xml:space="preserve">  </w:t>
          </w:r>
          <w:hyperlink w:anchor="_Toc81571853" w:history="1">
            <w:r w:rsidRPr="009E3499">
              <w:rPr>
                <w:rStyle w:val="Hipervnculo"/>
                <w:b w:val="0"/>
                <w:sz w:val="20"/>
                <w:szCs w:val="20"/>
                <w:u w:val="none"/>
                <w:lang w:val="es-GT"/>
              </w:rPr>
              <w:t>4.1.</w:t>
            </w:r>
            <w:r w:rsidRPr="009E3499">
              <w:rPr>
                <w:rFonts w:asciiTheme="minorHAnsi" w:eastAsiaTheme="minorEastAsia" w:hAnsiTheme="minorHAnsi" w:cstheme="minorBidi"/>
                <w:b w:val="0"/>
                <w:sz w:val="20"/>
                <w:szCs w:val="20"/>
                <w:lang w:val="es-GT" w:eastAsia="es-GT"/>
              </w:rPr>
              <w:t xml:space="preserve">  </w:t>
            </w:r>
            <w:r w:rsidRPr="009E3499">
              <w:rPr>
                <w:rStyle w:val="Hipervnculo"/>
                <w:b w:val="0"/>
                <w:sz w:val="20"/>
                <w:szCs w:val="20"/>
                <w:u w:val="none"/>
                <w:lang w:val="es-GT"/>
              </w:rPr>
              <w:t>Sector real</w:t>
            </w:r>
            <w:r w:rsidRPr="009E3499">
              <w:rPr>
                <w:b w:val="0"/>
                <w:webHidden/>
                <w:sz w:val="20"/>
                <w:szCs w:val="20"/>
              </w:rPr>
              <w:tab/>
            </w:r>
            <w:r w:rsidRPr="009E3499">
              <w:rPr>
                <w:b w:val="0"/>
                <w:webHidden/>
                <w:sz w:val="20"/>
                <w:szCs w:val="20"/>
              </w:rPr>
              <w:fldChar w:fldCharType="begin"/>
            </w:r>
            <w:r w:rsidRPr="009E3499">
              <w:rPr>
                <w:b w:val="0"/>
                <w:webHidden/>
                <w:sz w:val="20"/>
                <w:szCs w:val="20"/>
              </w:rPr>
              <w:instrText xml:space="preserve"> PAGEREF _Toc81571853 \h </w:instrText>
            </w:r>
            <w:r w:rsidRPr="009E3499">
              <w:rPr>
                <w:b w:val="0"/>
                <w:webHidden/>
                <w:sz w:val="20"/>
                <w:szCs w:val="20"/>
              </w:rPr>
            </w:r>
            <w:r w:rsidRPr="009E3499">
              <w:rPr>
                <w:b w:val="0"/>
                <w:webHidden/>
                <w:sz w:val="20"/>
                <w:szCs w:val="20"/>
              </w:rPr>
              <w:fldChar w:fldCharType="separate"/>
            </w:r>
            <w:r w:rsidR="00081415">
              <w:rPr>
                <w:b w:val="0"/>
                <w:webHidden/>
                <w:sz w:val="20"/>
                <w:szCs w:val="20"/>
              </w:rPr>
              <w:t>37</w:t>
            </w:r>
            <w:r w:rsidRPr="009E3499">
              <w:rPr>
                <w:b w:val="0"/>
                <w:webHidden/>
                <w:sz w:val="20"/>
                <w:szCs w:val="20"/>
              </w:rPr>
              <w:fldChar w:fldCharType="end"/>
            </w:r>
          </w:hyperlink>
        </w:p>
        <w:p w14:paraId="1285B015" w14:textId="01C314BB" w:rsidR="00A36CEB" w:rsidRPr="009E3499" w:rsidRDefault="00A36CEB">
          <w:pPr>
            <w:pStyle w:val="TDC2"/>
            <w:tabs>
              <w:tab w:val="left" w:pos="880"/>
            </w:tabs>
            <w:rPr>
              <w:rFonts w:asciiTheme="minorHAnsi" w:eastAsiaTheme="minorEastAsia" w:hAnsiTheme="minorHAnsi" w:cstheme="minorBidi"/>
              <w:b w:val="0"/>
              <w:sz w:val="20"/>
              <w:szCs w:val="20"/>
              <w:lang w:val="es-GT" w:eastAsia="es-GT"/>
            </w:rPr>
          </w:pPr>
          <w:r w:rsidRPr="009E3499">
            <w:rPr>
              <w:rStyle w:val="Hipervnculo"/>
              <w:b w:val="0"/>
              <w:sz w:val="20"/>
              <w:szCs w:val="20"/>
              <w:u w:val="none"/>
            </w:rPr>
            <w:t xml:space="preserve">        </w:t>
          </w:r>
          <w:hyperlink w:anchor="_Toc81571858" w:history="1">
            <w:r w:rsidRPr="009E3499">
              <w:rPr>
                <w:rStyle w:val="Hipervnculo"/>
                <w:b w:val="0"/>
                <w:sz w:val="20"/>
                <w:szCs w:val="20"/>
                <w:u w:val="none"/>
                <w:lang w:val="es-GT"/>
              </w:rPr>
              <w:t>4.1.1</w:t>
            </w:r>
            <w:r w:rsidRPr="009E3499">
              <w:rPr>
                <w:rFonts w:asciiTheme="minorHAnsi" w:eastAsiaTheme="minorEastAsia" w:hAnsiTheme="minorHAnsi" w:cstheme="minorBidi"/>
                <w:b w:val="0"/>
                <w:sz w:val="20"/>
                <w:szCs w:val="20"/>
                <w:lang w:val="es-GT" w:eastAsia="es-GT"/>
              </w:rPr>
              <w:t xml:space="preserve">.  </w:t>
            </w:r>
            <w:r w:rsidRPr="009E3499">
              <w:rPr>
                <w:rStyle w:val="Hipervnculo"/>
                <w:b w:val="0"/>
                <w:sz w:val="20"/>
                <w:szCs w:val="20"/>
                <w:u w:val="none"/>
                <w:lang w:val="es-GT"/>
              </w:rPr>
              <w:t>Producto Interno Bruto</w:t>
            </w:r>
            <w:r w:rsidRPr="009E3499">
              <w:rPr>
                <w:b w:val="0"/>
                <w:webHidden/>
                <w:sz w:val="20"/>
                <w:szCs w:val="20"/>
              </w:rPr>
              <w:tab/>
            </w:r>
            <w:r w:rsidRPr="009E3499">
              <w:rPr>
                <w:b w:val="0"/>
                <w:webHidden/>
                <w:sz w:val="20"/>
                <w:szCs w:val="20"/>
              </w:rPr>
              <w:fldChar w:fldCharType="begin"/>
            </w:r>
            <w:r w:rsidRPr="009E3499">
              <w:rPr>
                <w:b w:val="0"/>
                <w:webHidden/>
                <w:sz w:val="20"/>
                <w:szCs w:val="20"/>
              </w:rPr>
              <w:instrText xml:space="preserve"> PAGEREF _Toc81571858 \h </w:instrText>
            </w:r>
            <w:r w:rsidRPr="009E3499">
              <w:rPr>
                <w:b w:val="0"/>
                <w:webHidden/>
                <w:sz w:val="20"/>
                <w:szCs w:val="20"/>
              </w:rPr>
            </w:r>
            <w:r w:rsidRPr="009E3499">
              <w:rPr>
                <w:b w:val="0"/>
                <w:webHidden/>
                <w:sz w:val="20"/>
                <w:szCs w:val="20"/>
              </w:rPr>
              <w:fldChar w:fldCharType="separate"/>
            </w:r>
            <w:r w:rsidR="00081415">
              <w:rPr>
                <w:b w:val="0"/>
                <w:webHidden/>
                <w:sz w:val="20"/>
                <w:szCs w:val="20"/>
              </w:rPr>
              <w:t>37</w:t>
            </w:r>
            <w:r w:rsidRPr="009E3499">
              <w:rPr>
                <w:b w:val="0"/>
                <w:webHidden/>
                <w:sz w:val="20"/>
                <w:szCs w:val="20"/>
              </w:rPr>
              <w:fldChar w:fldCharType="end"/>
            </w:r>
          </w:hyperlink>
        </w:p>
        <w:p w14:paraId="2DC0DE76" w14:textId="5538DA41" w:rsidR="00A36CEB" w:rsidRPr="009E3499" w:rsidRDefault="00A36CEB">
          <w:pPr>
            <w:pStyle w:val="TDC2"/>
            <w:tabs>
              <w:tab w:val="left" w:pos="880"/>
            </w:tabs>
            <w:rPr>
              <w:rFonts w:asciiTheme="minorHAnsi" w:eastAsiaTheme="minorEastAsia" w:hAnsiTheme="minorHAnsi" w:cstheme="minorBidi"/>
              <w:b w:val="0"/>
              <w:sz w:val="20"/>
              <w:szCs w:val="20"/>
              <w:lang w:val="es-GT" w:eastAsia="es-GT"/>
            </w:rPr>
          </w:pPr>
          <w:r w:rsidRPr="009E3499">
            <w:rPr>
              <w:rStyle w:val="Hipervnculo"/>
              <w:b w:val="0"/>
              <w:sz w:val="20"/>
              <w:szCs w:val="20"/>
              <w:u w:val="none"/>
            </w:rPr>
            <w:t xml:space="preserve">        </w:t>
          </w:r>
          <w:hyperlink w:anchor="_Toc81571859" w:history="1">
            <w:r w:rsidRPr="009E3499">
              <w:rPr>
                <w:rStyle w:val="Hipervnculo"/>
                <w:b w:val="0"/>
                <w:sz w:val="20"/>
                <w:szCs w:val="20"/>
                <w:u w:val="none"/>
                <w:lang w:val="es-GT"/>
              </w:rPr>
              <w:t>4.1.2</w:t>
            </w:r>
            <w:r w:rsidRPr="009E3499">
              <w:rPr>
                <w:rFonts w:asciiTheme="minorHAnsi" w:eastAsiaTheme="minorEastAsia" w:hAnsiTheme="minorHAnsi" w:cstheme="minorBidi"/>
                <w:b w:val="0"/>
                <w:sz w:val="20"/>
                <w:szCs w:val="20"/>
                <w:lang w:val="es-GT" w:eastAsia="es-GT"/>
              </w:rPr>
              <w:t xml:space="preserve">.  </w:t>
            </w:r>
            <w:r w:rsidRPr="009E3499">
              <w:rPr>
                <w:rStyle w:val="Hipervnculo"/>
                <w:b w:val="0"/>
                <w:sz w:val="20"/>
                <w:szCs w:val="20"/>
                <w:u w:val="none"/>
                <w:lang w:val="es-GT"/>
              </w:rPr>
              <w:t>Inflación</w:t>
            </w:r>
            <w:r w:rsidRPr="009E3499">
              <w:rPr>
                <w:b w:val="0"/>
                <w:webHidden/>
                <w:sz w:val="20"/>
                <w:szCs w:val="20"/>
              </w:rPr>
              <w:tab/>
            </w:r>
            <w:r w:rsidRPr="009E3499">
              <w:rPr>
                <w:b w:val="0"/>
                <w:webHidden/>
                <w:sz w:val="20"/>
                <w:szCs w:val="20"/>
              </w:rPr>
              <w:fldChar w:fldCharType="begin"/>
            </w:r>
            <w:r w:rsidRPr="009E3499">
              <w:rPr>
                <w:b w:val="0"/>
                <w:webHidden/>
                <w:sz w:val="20"/>
                <w:szCs w:val="20"/>
              </w:rPr>
              <w:instrText xml:space="preserve"> PAGEREF _Toc81571859 \h </w:instrText>
            </w:r>
            <w:r w:rsidRPr="009E3499">
              <w:rPr>
                <w:b w:val="0"/>
                <w:webHidden/>
                <w:sz w:val="20"/>
                <w:szCs w:val="20"/>
              </w:rPr>
            </w:r>
            <w:r w:rsidRPr="009E3499">
              <w:rPr>
                <w:b w:val="0"/>
                <w:webHidden/>
                <w:sz w:val="20"/>
                <w:szCs w:val="20"/>
              </w:rPr>
              <w:fldChar w:fldCharType="separate"/>
            </w:r>
            <w:r w:rsidR="00081415">
              <w:rPr>
                <w:b w:val="0"/>
                <w:webHidden/>
                <w:sz w:val="20"/>
                <w:szCs w:val="20"/>
              </w:rPr>
              <w:t>40</w:t>
            </w:r>
            <w:r w:rsidRPr="009E3499">
              <w:rPr>
                <w:b w:val="0"/>
                <w:webHidden/>
                <w:sz w:val="20"/>
                <w:szCs w:val="20"/>
              </w:rPr>
              <w:fldChar w:fldCharType="end"/>
            </w:r>
          </w:hyperlink>
        </w:p>
        <w:p w14:paraId="5B231D9F" w14:textId="5571D764" w:rsidR="00A36CEB" w:rsidRPr="009E3499" w:rsidRDefault="00A36CEB">
          <w:pPr>
            <w:pStyle w:val="TDC2"/>
            <w:rPr>
              <w:rFonts w:asciiTheme="minorHAnsi" w:eastAsiaTheme="minorEastAsia" w:hAnsiTheme="minorHAnsi" w:cstheme="minorBidi"/>
              <w:b w:val="0"/>
              <w:sz w:val="20"/>
              <w:szCs w:val="20"/>
              <w:lang w:val="es-GT" w:eastAsia="es-GT"/>
            </w:rPr>
          </w:pPr>
          <w:r w:rsidRPr="009E3499">
            <w:rPr>
              <w:rStyle w:val="Hipervnculo"/>
              <w:b w:val="0"/>
              <w:sz w:val="20"/>
              <w:szCs w:val="20"/>
              <w:u w:val="none"/>
            </w:rPr>
            <w:t xml:space="preserve">  </w:t>
          </w:r>
          <w:hyperlink w:anchor="_Toc81571860" w:history="1">
            <w:r w:rsidRPr="009E3499">
              <w:rPr>
                <w:rStyle w:val="Hipervnculo"/>
                <w:b w:val="0"/>
                <w:sz w:val="20"/>
                <w:szCs w:val="20"/>
                <w:u w:val="none"/>
                <w:lang w:val="es-GT"/>
              </w:rPr>
              <w:t>4.2</w:t>
            </w:r>
            <w:r w:rsidRPr="009E3499">
              <w:rPr>
                <w:rFonts w:asciiTheme="minorHAnsi" w:eastAsiaTheme="minorEastAsia" w:hAnsiTheme="minorHAnsi" w:cstheme="minorBidi"/>
                <w:b w:val="0"/>
                <w:sz w:val="20"/>
                <w:szCs w:val="20"/>
                <w:lang w:val="es-GT" w:eastAsia="es-GT"/>
              </w:rPr>
              <w:t xml:space="preserve">.  </w:t>
            </w:r>
            <w:r w:rsidRPr="009E3499">
              <w:rPr>
                <w:rStyle w:val="Hipervnculo"/>
                <w:b w:val="0"/>
                <w:sz w:val="20"/>
                <w:szCs w:val="20"/>
                <w:u w:val="none"/>
                <w:lang w:val="es-GT"/>
              </w:rPr>
              <w:t>Sector monetario 2021</w:t>
            </w:r>
            <w:r w:rsidRPr="009E3499">
              <w:rPr>
                <w:b w:val="0"/>
                <w:webHidden/>
                <w:sz w:val="20"/>
                <w:szCs w:val="20"/>
              </w:rPr>
              <w:tab/>
            </w:r>
            <w:r w:rsidRPr="009E3499">
              <w:rPr>
                <w:b w:val="0"/>
                <w:webHidden/>
                <w:sz w:val="20"/>
                <w:szCs w:val="20"/>
              </w:rPr>
              <w:fldChar w:fldCharType="begin"/>
            </w:r>
            <w:r w:rsidRPr="009E3499">
              <w:rPr>
                <w:b w:val="0"/>
                <w:webHidden/>
                <w:sz w:val="20"/>
                <w:szCs w:val="20"/>
              </w:rPr>
              <w:instrText xml:space="preserve"> PAGEREF _Toc81571860 \h </w:instrText>
            </w:r>
            <w:r w:rsidRPr="009E3499">
              <w:rPr>
                <w:b w:val="0"/>
                <w:webHidden/>
                <w:sz w:val="20"/>
                <w:szCs w:val="20"/>
              </w:rPr>
            </w:r>
            <w:r w:rsidRPr="009E3499">
              <w:rPr>
                <w:b w:val="0"/>
                <w:webHidden/>
                <w:sz w:val="20"/>
                <w:szCs w:val="20"/>
              </w:rPr>
              <w:fldChar w:fldCharType="separate"/>
            </w:r>
            <w:r w:rsidR="00081415">
              <w:rPr>
                <w:b w:val="0"/>
                <w:webHidden/>
                <w:sz w:val="20"/>
                <w:szCs w:val="20"/>
              </w:rPr>
              <w:t>40</w:t>
            </w:r>
            <w:r w:rsidRPr="009E3499">
              <w:rPr>
                <w:b w:val="0"/>
                <w:webHidden/>
                <w:sz w:val="20"/>
                <w:szCs w:val="20"/>
              </w:rPr>
              <w:fldChar w:fldCharType="end"/>
            </w:r>
          </w:hyperlink>
        </w:p>
        <w:p w14:paraId="6D3444E9" w14:textId="1FF44890" w:rsidR="00A36CEB" w:rsidRPr="009E3499" w:rsidRDefault="00A36CEB">
          <w:pPr>
            <w:pStyle w:val="TDC2"/>
            <w:rPr>
              <w:rFonts w:asciiTheme="minorHAnsi" w:eastAsiaTheme="minorEastAsia" w:hAnsiTheme="minorHAnsi" w:cstheme="minorBidi"/>
              <w:b w:val="0"/>
              <w:sz w:val="20"/>
              <w:szCs w:val="20"/>
              <w:lang w:val="es-GT" w:eastAsia="es-GT"/>
            </w:rPr>
          </w:pPr>
          <w:r w:rsidRPr="009E3499">
            <w:rPr>
              <w:rStyle w:val="Hipervnculo"/>
              <w:b w:val="0"/>
              <w:sz w:val="20"/>
              <w:szCs w:val="20"/>
              <w:u w:val="none"/>
            </w:rPr>
            <w:t xml:space="preserve">  </w:t>
          </w:r>
          <w:hyperlink w:anchor="_Toc81571861" w:history="1">
            <w:r w:rsidRPr="009E3499">
              <w:rPr>
                <w:rStyle w:val="Hipervnculo"/>
                <w:b w:val="0"/>
                <w:sz w:val="20"/>
                <w:szCs w:val="20"/>
                <w:u w:val="none"/>
                <w:lang w:val="es-GT"/>
              </w:rPr>
              <w:t>4.3</w:t>
            </w:r>
            <w:r w:rsidRPr="009E3499">
              <w:rPr>
                <w:rFonts w:asciiTheme="minorHAnsi" w:eastAsiaTheme="minorEastAsia" w:hAnsiTheme="minorHAnsi" w:cstheme="minorBidi"/>
                <w:b w:val="0"/>
                <w:sz w:val="20"/>
                <w:szCs w:val="20"/>
                <w:lang w:val="es-GT" w:eastAsia="es-GT"/>
              </w:rPr>
              <w:t xml:space="preserve">.  </w:t>
            </w:r>
            <w:r w:rsidRPr="009E3499">
              <w:rPr>
                <w:rStyle w:val="Hipervnculo"/>
                <w:b w:val="0"/>
                <w:sz w:val="20"/>
                <w:szCs w:val="20"/>
                <w:u w:val="none"/>
                <w:lang w:val="es-GT"/>
              </w:rPr>
              <w:t>Sector Externo 2021</w:t>
            </w:r>
            <w:r w:rsidRPr="009E3499">
              <w:rPr>
                <w:b w:val="0"/>
                <w:webHidden/>
                <w:sz w:val="20"/>
                <w:szCs w:val="20"/>
              </w:rPr>
              <w:tab/>
            </w:r>
            <w:r w:rsidRPr="009E3499">
              <w:rPr>
                <w:b w:val="0"/>
                <w:webHidden/>
                <w:sz w:val="20"/>
                <w:szCs w:val="20"/>
              </w:rPr>
              <w:fldChar w:fldCharType="begin"/>
            </w:r>
            <w:r w:rsidRPr="009E3499">
              <w:rPr>
                <w:b w:val="0"/>
                <w:webHidden/>
                <w:sz w:val="20"/>
                <w:szCs w:val="20"/>
              </w:rPr>
              <w:instrText xml:space="preserve"> PAGEREF _Toc81571861 \h </w:instrText>
            </w:r>
            <w:r w:rsidRPr="009E3499">
              <w:rPr>
                <w:b w:val="0"/>
                <w:webHidden/>
                <w:sz w:val="20"/>
                <w:szCs w:val="20"/>
              </w:rPr>
            </w:r>
            <w:r w:rsidRPr="009E3499">
              <w:rPr>
                <w:b w:val="0"/>
                <w:webHidden/>
                <w:sz w:val="20"/>
                <w:szCs w:val="20"/>
              </w:rPr>
              <w:fldChar w:fldCharType="separate"/>
            </w:r>
            <w:r w:rsidR="00081415">
              <w:rPr>
                <w:b w:val="0"/>
                <w:webHidden/>
                <w:sz w:val="20"/>
                <w:szCs w:val="20"/>
              </w:rPr>
              <w:t>41</w:t>
            </w:r>
            <w:r w:rsidRPr="009E3499">
              <w:rPr>
                <w:b w:val="0"/>
                <w:webHidden/>
                <w:sz w:val="20"/>
                <w:szCs w:val="20"/>
              </w:rPr>
              <w:fldChar w:fldCharType="end"/>
            </w:r>
          </w:hyperlink>
        </w:p>
        <w:p w14:paraId="09448AEB" w14:textId="377ECEA3" w:rsidR="00A36CEB" w:rsidRPr="009E3499" w:rsidRDefault="006D2997">
          <w:pPr>
            <w:pStyle w:val="TDC2"/>
            <w:rPr>
              <w:rFonts w:asciiTheme="minorHAnsi" w:eastAsiaTheme="minorEastAsia" w:hAnsiTheme="minorHAnsi" w:cstheme="minorBidi"/>
              <w:b w:val="0"/>
              <w:sz w:val="20"/>
              <w:szCs w:val="20"/>
              <w:lang w:val="es-GT" w:eastAsia="es-GT"/>
            </w:rPr>
          </w:pPr>
          <w:hyperlink w:anchor="_Toc81571862" w:history="1">
            <w:r w:rsidR="00A36CEB" w:rsidRPr="009E3499">
              <w:rPr>
                <w:rStyle w:val="Hipervnculo"/>
                <w:b w:val="0"/>
                <w:sz w:val="20"/>
                <w:szCs w:val="20"/>
                <w:u w:val="none"/>
                <w:lang w:val="es-GT"/>
              </w:rPr>
              <w:t>5.</w:t>
            </w:r>
            <w:r w:rsidR="00A36CEB" w:rsidRPr="009E3499">
              <w:rPr>
                <w:rFonts w:asciiTheme="minorHAnsi" w:eastAsiaTheme="minorEastAsia" w:hAnsiTheme="minorHAnsi" w:cstheme="minorBidi"/>
                <w:b w:val="0"/>
                <w:sz w:val="20"/>
                <w:szCs w:val="20"/>
                <w:lang w:val="es-GT" w:eastAsia="es-GT"/>
              </w:rPr>
              <w:tab/>
            </w:r>
            <w:r w:rsidR="00A36CEB" w:rsidRPr="009E3499">
              <w:rPr>
                <w:rStyle w:val="Hipervnculo"/>
                <w:b w:val="0"/>
                <w:sz w:val="20"/>
                <w:szCs w:val="20"/>
                <w:u w:val="none"/>
                <w:lang w:val="es-GT"/>
              </w:rPr>
              <w:t>Escenario macroeconómico de mediano plazo (2022-2026)</w:t>
            </w:r>
            <w:r w:rsidR="00A36CEB" w:rsidRPr="009E3499">
              <w:rPr>
                <w:b w:val="0"/>
                <w:webHidden/>
                <w:sz w:val="20"/>
                <w:szCs w:val="20"/>
              </w:rPr>
              <w:tab/>
            </w:r>
            <w:r w:rsidR="00A36CEB" w:rsidRPr="009E3499">
              <w:rPr>
                <w:b w:val="0"/>
                <w:webHidden/>
                <w:sz w:val="20"/>
                <w:szCs w:val="20"/>
              </w:rPr>
              <w:fldChar w:fldCharType="begin"/>
            </w:r>
            <w:r w:rsidR="00A36CEB" w:rsidRPr="009E3499">
              <w:rPr>
                <w:b w:val="0"/>
                <w:webHidden/>
                <w:sz w:val="20"/>
                <w:szCs w:val="20"/>
              </w:rPr>
              <w:instrText xml:space="preserve"> PAGEREF _Toc81571862 \h </w:instrText>
            </w:r>
            <w:r w:rsidR="00A36CEB" w:rsidRPr="009E3499">
              <w:rPr>
                <w:b w:val="0"/>
                <w:webHidden/>
                <w:sz w:val="20"/>
                <w:szCs w:val="20"/>
              </w:rPr>
            </w:r>
            <w:r w:rsidR="00A36CEB" w:rsidRPr="009E3499">
              <w:rPr>
                <w:b w:val="0"/>
                <w:webHidden/>
                <w:sz w:val="20"/>
                <w:szCs w:val="20"/>
              </w:rPr>
              <w:fldChar w:fldCharType="separate"/>
            </w:r>
            <w:r w:rsidR="00081415">
              <w:rPr>
                <w:b w:val="0"/>
                <w:webHidden/>
                <w:sz w:val="20"/>
                <w:szCs w:val="20"/>
              </w:rPr>
              <w:t>43</w:t>
            </w:r>
            <w:r w:rsidR="00A36CEB" w:rsidRPr="009E3499">
              <w:rPr>
                <w:b w:val="0"/>
                <w:webHidden/>
                <w:sz w:val="20"/>
                <w:szCs w:val="20"/>
              </w:rPr>
              <w:fldChar w:fldCharType="end"/>
            </w:r>
          </w:hyperlink>
        </w:p>
        <w:p w14:paraId="25921EFB" w14:textId="640B6545" w:rsidR="00A36CEB" w:rsidRPr="009E3499" w:rsidRDefault="00A36CEB">
          <w:pPr>
            <w:pStyle w:val="TDC2"/>
            <w:rPr>
              <w:rFonts w:asciiTheme="minorHAnsi" w:eastAsiaTheme="minorEastAsia" w:hAnsiTheme="minorHAnsi" w:cstheme="minorBidi"/>
              <w:b w:val="0"/>
              <w:sz w:val="20"/>
              <w:szCs w:val="20"/>
              <w:lang w:val="es-GT" w:eastAsia="es-GT"/>
            </w:rPr>
          </w:pPr>
          <w:r w:rsidRPr="009E3499">
            <w:rPr>
              <w:rStyle w:val="Hipervnculo"/>
              <w:b w:val="0"/>
              <w:sz w:val="20"/>
              <w:szCs w:val="20"/>
              <w:u w:val="none"/>
            </w:rPr>
            <w:t xml:space="preserve">  </w:t>
          </w:r>
          <w:hyperlink w:anchor="_Toc81571863" w:history="1">
            <w:r w:rsidRPr="009E3499">
              <w:rPr>
                <w:rStyle w:val="Hipervnculo"/>
                <w:b w:val="0"/>
                <w:sz w:val="20"/>
                <w:szCs w:val="20"/>
                <w:u w:val="none"/>
                <w:lang w:val="es-GT"/>
              </w:rPr>
              <w:t>5.1</w:t>
            </w:r>
            <w:r w:rsidRPr="009E3499">
              <w:rPr>
                <w:rFonts w:asciiTheme="minorHAnsi" w:eastAsiaTheme="minorEastAsia" w:hAnsiTheme="minorHAnsi" w:cstheme="minorBidi"/>
                <w:b w:val="0"/>
                <w:sz w:val="20"/>
                <w:szCs w:val="20"/>
                <w:lang w:val="es-GT" w:eastAsia="es-GT"/>
              </w:rPr>
              <w:t xml:space="preserve">.  </w:t>
            </w:r>
            <w:r w:rsidRPr="009E3499">
              <w:rPr>
                <w:rStyle w:val="Hipervnculo"/>
                <w:b w:val="0"/>
                <w:sz w:val="20"/>
                <w:szCs w:val="20"/>
                <w:u w:val="none"/>
                <w:lang w:val="es-GT"/>
              </w:rPr>
              <w:t>Supuestos macroeconómicos:</w:t>
            </w:r>
            <w:r w:rsidRPr="009E3499">
              <w:rPr>
                <w:b w:val="0"/>
                <w:webHidden/>
                <w:sz w:val="20"/>
                <w:szCs w:val="20"/>
              </w:rPr>
              <w:tab/>
            </w:r>
            <w:r w:rsidRPr="009E3499">
              <w:rPr>
                <w:b w:val="0"/>
                <w:webHidden/>
                <w:sz w:val="20"/>
                <w:szCs w:val="20"/>
              </w:rPr>
              <w:fldChar w:fldCharType="begin"/>
            </w:r>
            <w:r w:rsidRPr="009E3499">
              <w:rPr>
                <w:b w:val="0"/>
                <w:webHidden/>
                <w:sz w:val="20"/>
                <w:szCs w:val="20"/>
              </w:rPr>
              <w:instrText xml:space="preserve"> PAGEREF _Toc81571863 \h </w:instrText>
            </w:r>
            <w:r w:rsidRPr="009E3499">
              <w:rPr>
                <w:b w:val="0"/>
                <w:webHidden/>
                <w:sz w:val="20"/>
                <w:szCs w:val="20"/>
              </w:rPr>
            </w:r>
            <w:r w:rsidRPr="009E3499">
              <w:rPr>
                <w:b w:val="0"/>
                <w:webHidden/>
                <w:sz w:val="20"/>
                <w:szCs w:val="20"/>
              </w:rPr>
              <w:fldChar w:fldCharType="separate"/>
            </w:r>
            <w:r w:rsidR="00081415">
              <w:rPr>
                <w:b w:val="0"/>
                <w:webHidden/>
                <w:sz w:val="20"/>
                <w:szCs w:val="20"/>
              </w:rPr>
              <w:t>43</w:t>
            </w:r>
            <w:r w:rsidRPr="009E3499">
              <w:rPr>
                <w:b w:val="0"/>
                <w:webHidden/>
                <w:sz w:val="20"/>
                <w:szCs w:val="20"/>
              </w:rPr>
              <w:fldChar w:fldCharType="end"/>
            </w:r>
          </w:hyperlink>
        </w:p>
        <w:p w14:paraId="71BB5334" w14:textId="3ABFD396" w:rsidR="00A36CEB" w:rsidRPr="009E3499" w:rsidRDefault="00A36CEB">
          <w:pPr>
            <w:pStyle w:val="TDC2"/>
            <w:tabs>
              <w:tab w:val="left" w:pos="880"/>
            </w:tabs>
            <w:rPr>
              <w:rFonts w:asciiTheme="minorHAnsi" w:eastAsiaTheme="minorEastAsia" w:hAnsiTheme="minorHAnsi" w:cstheme="minorBidi"/>
              <w:b w:val="0"/>
              <w:sz w:val="20"/>
              <w:szCs w:val="20"/>
              <w:lang w:val="es-GT" w:eastAsia="es-GT"/>
            </w:rPr>
          </w:pPr>
          <w:r w:rsidRPr="009E3499">
            <w:rPr>
              <w:rStyle w:val="Hipervnculo"/>
              <w:b w:val="0"/>
              <w:sz w:val="20"/>
              <w:szCs w:val="20"/>
              <w:u w:val="none"/>
            </w:rPr>
            <w:t xml:space="preserve">        </w:t>
          </w:r>
          <w:hyperlink w:anchor="_Toc81571870" w:history="1">
            <w:r w:rsidRPr="009E3499">
              <w:rPr>
                <w:rStyle w:val="Hipervnculo"/>
                <w:b w:val="0"/>
                <w:sz w:val="20"/>
                <w:szCs w:val="20"/>
                <w:u w:val="none"/>
                <w:lang w:val="es-GT"/>
              </w:rPr>
              <w:t>5.1.1</w:t>
            </w:r>
            <w:r w:rsidRPr="009E3499">
              <w:rPr>
                <w:rFonts w:asciiTheme="minorHAnsi" w:eastAsiaTheme="minorEastAsia" w:hAnsiTheme="minorHAnsi" w:cstheme="minorBidi"/>
                <w:b w:val="0"/>
                <w:sz w:val="20"/>
                <w:szCs w:val="20"/>
                <w:lang w:val="es-GT" w:eastAsia="es-GT"/>
              </w:rPr>
              <w:t xml:space="preserve">.  </w:t>
            </w:r>
            <w:r w:rsidRPr="009E3499">
              <w:rPr>
                <w:rStyle w:val="Hipervnculo"/>
                <w:b w:val="0"/>
                <w:sz w:val="20"/>
                <w:szCs w:val="20"/>
                <w:u w:val="none"/>
                <w:lang w:val="es-GT"/>
              </w:rPr>
              <w:t>Contexto internacional</w:t>
            </w:r>
            <w:r w:rsidRPr="009E3499">
              <w:rPr>
                <w:b w:val="0"/>
                <w:webHidden/>
                <w:sz w:val="20"/>
                <w:szCs w:val="20"/>
              </w:rPr>
              <w:tab/>
            </w:r>
            <w:r w:rsidRPr="009E3499">
              <w:rPr>
                <w:b w:val="0"/>
                <w:webHidden/>
                <w:sz w:val="20"/>
                <w:szCs w:val="20"/>
              </w:rPr>
              <w:fldChar w:fldCharType="begin"/>
            </w:r>
            <w:r w:rsidRPr="009E3499">
              <w:rPr>
                <w:b w:val="0"/>
                <w:webHidden/>
                <w:sz w:val="20"/>
                <w:szCs w:val="20"/>
              </w:rPr>
              <w:instrText xml:space="preserve"> PAGEREF _Toc81571870 \h </w:instrText>
            </w:r>
            <w:r w:rsidRPr="009E3499">
              <w:rPr>
                <w:b w:val="0"/>
                <w:webHidden/>
                <w:sz w:val="20"/>
                <w:szCs w:val="20"/>
              </w:rPr>
            </w:r>
            <w:r w:rsidRPr="009E3499">
              <w:rPr>
                <w:b w:val="0"/>
                <w:webHidden/>
                <w:sz w:val="20"/>
                <w:szCs w:val="20"/>
              </w:rPr>
              <w:fldChar w:fldCharType="separate"/>
            </w:r>
            <w:r w:rsidR="00081415">
              <w:rPr>
                <w:b w:val="0"/>
                <w:webHidden/>
                <w:sz w:val="20"/>
                <w:szCs w:val="20"/>
              </w:rPr>
              <w:t>43</w:t>
            </w:r>
            <w:r w:rsidRPr="009E3499">
              <w:rPr>
                <w:b w:val="0"/>
                <w:webHidden/>
                <w:sz w:val="20"/>
                <w:szCs w:val="20"/>
              </w:rPr>
              <w:fldChar w:fldCharType="end"/>
            </w:r>
          </w:hyperlink>
        </w:p>
        <w:p w14:paraId="3A73F1CB" w14:textId="5E10687C" w:rsidR="00A36CEB" w:rsidRPr="009E3499" w:rsidRDefault="00A36CEB">
          <w:pPr>
            <w:pStyle w:val="TDC2"/>
            <w:tabs>
              <w:tab w:val="left" w:pos="1100"/>
            </w:tabs>
            <w:rPr>
              <w:rFonts w:asciiTheme="minorHAnsi" w:eastAsiaTheme="minorEastAsia" w:hAnsiTheme="minorHAnsi" w:cstheme="minorBidi"/>
              <w:b w:val="0"/>
              <w:sz w:val="20"/>
              <w:szCs w:val="20"/>
              <w:lang w:val="es-GT" w:eastAsia="es-GT"/>
            </w:rPr>
          </w:pPr>
          <w:r w:rsidRPr="009E3499">
            <w:rPr>
              <w:rStyle w:val="Hipervnculo"/>
              <w:b w:val="0"/>
              <w:sz w:val="20"/>
              <w:szCs w:val="20"/>
              <w:u w:val="none"/>
            </w:rPr>
            <w:t xml:space="preserve">            </w:t>
          </w:r>
          <w:hyperlink w:anchor="_Toc81571871" w:history="1">
            <w:r w:rsidRPr="009E3499">
              <w:rPr>
                <w:rStyle w:val="Hipervnculo"/>
                <w:b w:val="0"/>
                <w:sz w:val="20"/>
                <w:szCs w:val="20"/>
                <w:u w:val="none"/>
                <w:lang w:val="es-GT"/>
              </w:rPr>
              <w:t>5.1.1.1</w:t>
            </w:r>
            <w:r w:rsidRPr="009E3499">
              <w:rPr>
                <w:rFonts w:asciiTheme="minorHAnsi" w:eastAsiaTheme="minorEastAsia" w:hAnsiTheme="minorHAnsi" w:cstheme="minorBidi"/>
                <w:b w:val="0"/>
                <w:sz w:val="20"/>
                <w:szCs w:val="20"/>
                <w:lang w:val="es-GT" w:eastAsia="es-GT"/>
              </w:rPr>
              <w:t xml:space="preserve">.  </w:t>
            </w:r>
            <w:r w:rsidRPr="009E3499">
              <w:rPr>
                <w:rStyle w:val="Hipervnculo"/>
                <w:b w:val="0"/>
                <w:sz w:val="20"/>
                <w:szCs w:val="20"/>
                <w:u w:val="none"/>
                <w:lang w:val="es-GT"/>
              </w:rPr>
              <w:t>Inflación externa</w:t>
            </w:r>
            <w:r w:rsidRPr="009E3499">
              <w:rPr>
                <w:b w:val="0"/>
                <w:webHidden/>
                <w:sz w:val="20"/>
                <w:szCs w:val="20"/>
              </w:rPr>
              <w:tab/>
            </w:r>
            <w:r w:rsidRPr="009E3499">
              <w:rPr>
                <w:b w:val="0"/>
                <w:webHidden/>
                <w:sz w:val="20"/>
                <w:szCs w:val="20"/>
              </w:rPr>
              <w:fldChar w:fldCharType="begin"/>
            </w:r>
            <w:r w:rsidRPr="009E3499">
              <w:rPr>
                <w:b w:val="0"/>
                <w:webHidden/>
                <w:sz w:val="20"/>
                <w:szCs w:val="20"/>
              </w:rPr>
              <w:instrText xml:space="preserve"> PAGEREF _Toc81571871 \h </w:instrText>
            </w:r>
            <w:r w:rsidRPr="009E3499">
              <w:rPr>
                <w:b w:val="0"/>
                <w:webHidden/>
                <w:sz w:val="20"/>
                <w:szCs w:val="20"/>
              </w:rPr>
            </w:r>
            <w:r w:rsidRPr="009E3499">
              <w:rPr>
                <w:b w:val="0"/>
                <w:webHidden/>
                <w:sz w:val="20"/>
                <w:szCs w:val="20"/>
              </w:rPr>
              <w:fldChar w:fldCharType="separate"/>
            </w:r>
            <w:r w:rsidR="00081415">
              <w:rPr>
                <w:b w:val="0"/>
                <w:webHidden/>
                <w:sz w:val="20"/>
                <w:szCs w:val="20"/>
              </w:rPr>
              <w:t>44</w:t>
            </w:r>
            <w:r w:rsidRPr="009E3499">
              <w:rPr>
                <w:b w:val="0"/>
                <w:webHidden/>
                <w:sz w:val="20"/>
                <w:szCs w:val="20"/>
              </w:rPr>
              <w:fldChar w:fldCharType="end"/>
            </w:r>
          </w:hyperlink>
        </w:p>
        <w:p w14:paraId="0D0FD4FC" w14:textId="335D48AF" w:rsidR="00A36CEB" w:rsidRPr="009E3499" w:rsidRDefault="00A36CEB">
          <w:pPr>
            <w:pStyle w:val="TDC2"/>
            <w:tabs>
              <w:tab w:val="left" w:pos="1100"/>
            </w:tabs>
            <w:rPr>
              <w:rFonts w:asciiTheme="minorHAnsi" w:eastAsiaTheme="minorEastAsia" w:hAnsiTheme="minorHAnsi" w:cstheme="minorBidi"/>
              <w:b w:val="0"/>
              <w:sz w:val="20"/>
              <w:szCs w:val="20"/>
              <w:lang w:val="es-GT" w:eastAsia="es-GT"/>
            </w:rPr>
          </w:pPr>
          <w:r w:rsidRPr="009E3499">
            <w:rPr>
              <w:rStyle w:val="Hipervnculo"/>
              <w:b w:val="0"/>
              <w:sz w:val="20"/>
              <w:szCs w:val="20"/>
              <w:u w:val="none"/>
            </w:rPr>
            <w:t xml:space="preserve">            </w:t>
          </w:r>
          <w:hyperlink w:anchor="_Toc81571872" w:history="1">
            <w:r w:rsidRPr="009E3499">
              <w:rPr>
                <w:rStyle w:val="Hipervnculo"/>
                <w:b w:val="0"/>
                <w:sz w:val="20"/>
                <w:szCs w:val="20"/>
                <w:u w:val="none"/>
                <w:lang w:val="es-GT"/>
              </w:rPr>
              <w:t>5.1.1.2</w:t>
            </w:r>
            <w:r w:rsidRPr="009E3499">
              <w:rPr>
                <w:rFonts w:asciiTheme="minorHAnsi" w:eastAsiaTheme="minorEastAsia" w:hAnsiTheme="minorHAnsi" w:cstheme="minorBidi"/>
                <w:b w:val="0"/>
                <w:sz w:val="20"/>
                <w:szCs w:val="20"/>
                <w:lang w:val="es-GT" w:eastAsia="es-GT"/>
              </w:rPr>
              <w:t xml:space="preserve">.  </w:t>
            </w:r>
            <w:r w:rsidRPr="009E3499">
              <w:rPr>
                <w:rStyle w:val="Hipervnculo"/>
                <w:b w:val="0"/>
                <w:sz w:val="20"/>
                <w:szCs w:val="20"/>
                <w:u w:val="none"/>
                <w:lang w:val="es-GT"/>
              </w:rPr>
              <w:t>Precio de los productos de materia prima</w:t>
            </w:r>
            <w:r w:rsidRPr="009E3499">
              <w:rPr>
                <w:b w:val="0"/>
                <w:webHidden/>
                <w:sz w:val="20"/>
                <w:szCs w:val="20"/>
              </w:rPr>
              <w:tab/>
            </w:r>
            <w:r w:rsidRPr="009E3499">
              <w:rPr>
                <w:b w:val="0"/>
                <w:webHidden/>
                <w:sz w:val="20"/>
                <w:szCs w:val="20"/>
              </w:rPr>
              <w:fldChar w:fldCharType="begin"/>
            </w:r>
            <w:r w:rsidRPr="009E3499">
              <w:rPr>
                <w:b w:val="0"/>
                <w:webHidden/>
                <w:sz w:val="20"/>
                <w:szCs w:val="20"/>
              </w:rPr>
              <w:instrText xml:space="preserve"> PAGEREF _Toc81571872 \h </w:instrText>
            </w:r>
            <w:r w:rsidRPr="009E3499">
              <w:rPr>
                <w:b w:val="0"/>
                <w:webHidden/>
                <w:sz w:val="20"/>
                <w:szCs w:val="20"/>
              </w:rPr>
            </w:r>
            <w:r w:rsidRPr="009E3499">
              <w:rPr>
                <w:b w:val="0"/>
                <w:webHidden/>
                <w:sz w:val="20"/>
                <w:szCs w:val="20"/>
              </w:rPr>
              <w:fldChar w:fldCharType="separate"/>
            </w:r>
            <w:r w:rsidR="00081415">
              <w:rPr>
                <w:b w:val="0"/>
                <w:webHidden/>
                <w:sz w:val="20"/>
                <w:szCs w:val="20"/>
              </w:rPr>
              <w:t>45</w:t>
            </w:r>
            <w:r w:rsidRPr="009E3499">
              <w:rPr>
                <w:b w:val="0"/>
                <w:webHidden/>
                <w:sz w:val="20"/>
                <w:szCs w:val="20"/>
              </w:rPr>
              <w:fldChar w:fldCharType="end"/>
            </w:r>
          </w:hyperlink>
        </w:p>
        <w:p w14:paraId="336A9207" w14:textId="2EEAEA2A" w:rsidR="00A36CEB" w:rsidRPr="009E3499" w:rsidRDefault="00A36CEB">
          <w:pPr>
            <w:pStyle w:val="TDC2"/>
            <w:tabs>
              <w:tab w:val="left" w:pos="880"/>
            </w:tabs>
            <w:rPr>
              <w:rFonts w:asciiTheme="minorHAnsi" w:eastAsiaTheme="minorEastAsia" w:hAnsiTheme="minorHAnsi" w:cstheme="minorBidi"/>
              <w:b w:val="0"/>
              <w:sz w:val="20"/>
              <w:szCs w:val="20"/>
              <w:lang w:val="es-GT" w:eastAsia="es-GT"/>
            </w:rPr>
          </w:pPr>
          <w:r w:rsidRPr="009E3499">
            <w:rPr>
              <w:rStyle w:val="Hipervnculo"/>
              <w:b w:val="0"/>
              <w:sz w:val="20"/>
              <w:szCs w:val="20"/>
              <w:u w:val="none"/>
            </w:rPr>
            <w:t xml:space="preserve">        </w:t>
          </w:r>
          <w:hyperlink w:anchor="_Toc81571873" w:history="1">
            <w:r w:rsidRPr="009E3499">
              <w:rPr>
                <w:rStyle w:val="Hipervnculo"/>
                <w:b w:val="0"/>
                <w:sz w:val="20"/>
                <w:szCs w:val="20"/>
                <w:u w:val="none"/>
                <w:lang w:val="es-GT"/>
              </w:rPr>
              <w:t>5.1.2</w:t>
            </w:r>
            <w:r w:rsidRPr="009E3499">
              <w:rPr>
                <w:rFonts w:asciiTheme="minorHAnsi" w:eastAsiaTheme="minorEastAsia" w:hAnsiTheme="minorHAnsi" w:cstheme="minorBidi"/>
                <w:b w:val="0"/>
                <w:sz w:val="20"/>
                <w:szCs w:val="20"/>
                <w:lang w:val="es-GT" w:eastAsia="es-GT"/>
              </w:rPr>
              <w:t xml:space="preserve">.  </w:t>
            </w:r>
            <w:r w:rsidRPr="009E3499">
              <w:rPr>
                <w:rStyle w:val="Hipervnculo"/>
                <w:b w:val="0"/>
                <w:sz w:val="20"/>
                <w:szCs w:val="20"/>
                <w:u w:val="none"/>
                <w:lang w:val="es-GT"/>
              </w:rPr>
              <w:t>Contexto nacional</w:t>
            </w:r>
            <w:r w:rsidRPr="009E3499">
              <w:rPr>
                <w:b w:val="0"/>
                <w:webHidden/>
                <w:sz w:val="20"/>
                <w:szCs w:val="20"/>
              </w:rPr>
              <w:tab/>
            </w:r>
            <w:r w:rsidRPr="009E3499">
              <w:rPr>
                <w:b w:val="0"/>
                <w:webHidden/>
                <w:sz w:val="20"/>
                <w:szCs w:val="20"/>
              </w:rPr>
              <w:fldChar w:fldCharType="begin"/>
            </w:r>
            <w:r w:rsidRPr="009E3499">
              <w:rPr>
                <w:b w:val="0"/>
                <w:webHidden/>
                <w:sz w:val="20"/>
                <w:szCs w:val="20"/>
              </w:rPr>
              <w:instrText xml:space="preserve"> PAGEREF _Toc81571873 \h </w:instrText>
            </w:r>
            <w:r w:rsidRPr="009E3499">
              <w:rPr>
                <w:b w:val="0"/>
                <w:webHidden/>
                <w:sz w:val="20"/>
                <w:szCs w:val="20"/>
              </w:rPr>
            </w:r>
            <w:r w:rsidRPr="009E3499">
              <w:rPr>
                <w:b w:val="0"/>
                <w:webHidden/>
                <w:sz w:val="20"/>
                <w:szCs w:val="20"/>
              </w:rPr>
              <w:fldChar w:fldCharType="separate"/>
            </w:r>
            <w:r w:rsidR="00081415">
              <w:rPr>
                <w:b w:val="0"/>
                <w:webHidden/>
                <w:sz w:val="20"/>
                <w:szCs w:val="20"/>
              </w:rPr>
              <w:t>46</w:t>
            </w:r>
            <w:r w:rsidRPr="009E3499">
              <w:rPr>
                <w:b w:val="0"/>
                <w:webHidden/>
                <w:sz w:val="20"/>
                <w:szCs w:val="20"/>
              </w:rPr>
              <w:fldChar w:fldCharType="end"/>
            </w:r>
          </w:hyperlink>
        </w:p>
        <w:p w14:paraId="1A70DF27" w14:textId="228049B9" w:rsidR="00A36CEB" w:rsidRPr="009E3499" w:rsidRDefault="00A36CEB">
          <w:pPr>
            <w:pStyle w:val="TDC2"/>
            <w:tabs>
              <w:tab w:val="left" w:pos="1100"/>
            </w:tabs>
            <w:rPr>
              <w:rFonts w:asciiTheme="minorHAnsi" w:eastAsiaTheme="minorEastAsia" w:hAnsiTheme="minorHAnsi" w:cstheme="minorBidi"/>
              <w:b w:val="0"/>
              <w:sz w:val="20"/>
              <w:szCs w:val="20"/>
              <w:lang w:val="es-GT" w:eastAsia="es-GT"/>
            </w:rPr>
          </w:pPr>
          <w:r w:rsidRPr="009E3499">
            <w:rPr>
              <w:rStyle w:val="Hipervnculo"/>
              <w:b w:val="0"/>
              <w:sz w:val="20"/>
              <w:szCs w:val="20"/>
              <w:u w:val="none"/>
            </w:rPr>
            <w:t xml:space="preserve">            </w:t>
          </w:r>
          <w:hyperlink w:anchor="_Toc81571874" w:history="1">
            <w:r w:rsidRPr="009E3499">
              <w:rPr>
                <w:rStyle w:val="Hipervnculo"/>
                <w:b w:val="0"/>
                <w:sz w:val="20"/>
                <w:szCs w:val="20"/>
                <w:u w:val="none"/>
                <w:lang w:val="es-GT"/>
              </w:rPr>
              <w:t>5.1.2.1</w:t>
            </w:r>
            <w:r w:rsidRPr="009E3499">
              <w:rPr>
                <w:rFonts w:asciiTheme="minorHAnsi" w:eastAsiaTheme="minorEastAsia" w:hAnsiTheme="minorHAnsi" w:cstheme="minorBidi"/>
                <w:b w:val="0"/>
                <w:sz w:val="20"/>
                <w:szCs w:val="20"/>
                <w:lang w:val="es-GT" w:eastAsia="es-GT"/>
              </w:rPr>
              <w:t xml:space="preserve">.  </w:t>
            </w:r>
            <w:r w:rsidRPr="009E3499">
              <w:rPr>
                <w:rStyle w:val="Hipervnculo"/>
                <w:b w:val="0"/>
                <w:sz w:val="20"/>
                <w:szCs w:val="20"/>
                <w:u w:val="none"/>
                <w:lang w:val="es-GT"/>
              </w:rPr>
              <w:t>Producto Interno Bruto</w:t>
            </w:r>
            <w:r w:rsidRPr="009E3499">
              <w:rPr>
                <w:b w:val="0"/>
                <w:webHidden/>
                <w:sz w:val="20"/>
                <w:szCs w:val="20"/>
              </w:rPr>
              <w:tab/>
            </w:r>
            <w:r w:rsidRPr="009E3499">
              <w:rPr>
                <w:b w:val="0"/>
                <w:webHidden/>
                <w:sz w:val="20"/>
                <w:szCs w:val="20"/>
              </w:rPr>
              <w:fldChar w:fldCharType="begin"/>
            </w:r>
            <w:r w:rsidRPr="009E3499">
              <w:rPr>
                <w:b w:val="0"/>
                <w:webHidden/>
                <w:sz w:val="20"/>
                <w:szCs w:val="20"/>
              </w:rPr>
              <w:instrText xml:space="preserve"> PAGEREF _Toc81571874 \h </w:instrText>
            </w:r>
            <w:r w:rsidRPr="009E3499">
              <w:rPr>
                <w:b w:val="0"/>
                <w:webHidden/>
                <w:sz w:val="20"/>
                <w:szCs w:val="20"/>
              </w:rPr>
            </w:r>
            <w:r w:rsidRPr="009E3499">
              <w:rPr>
                <w:b w:val="0"/>
                <w:webHidden/>
                <w:sz w:val="20"/>
                <w:szCs w:val="20"/>
              </w:rPr>
              <w:fldChar w:fldCharType="separate"/>
            </w:r>
            <w:r w:rsidR="00081415">
              <w:rPr>
                <w:b w:val="0"/>
                <w:webHidden/>
                <w:sz w:val="20"/>
                <w:szCs w:val="20"/>
              </w:rPr>
              <w:t>46</w:t>
            </w:r>
            <w:r w:rsidRPr="009E3499">
              <w:rPr>
                <w:b w:val="0"/>
                <w:webHidden/>
                <w:sz w:val="20"/>
                <w:szCs w:val="20"/>
              </w:rPr>
              <w:fldChar w:fldCharType="end"/>
            </w:r>
          </w:hyperlink>
        </w:p>
        <w:p w14:paraId="772D8F04" w14:textId="3FE0B131" w:rsidR="00A36CEB" w:rsidRPr="009E3499" w:rsidRDefault="00A36CEB">
          <w:pPr>
            <w:pStyle w:val="TDC2"/>
            <w:tabs>
              <w:tab w:val="left" w:pos="1100"/>
            </w:tabs>
            <w:rPr>
              <w:rFonts w:asciiTheme="minorHAnsi" w:eastAsiaTheme="minorEastAsia" w:hAnsiTheme="minorHAnsi" w:cstheme="minorBidi"/>
              <w:b w:val="0"/>
              <w:sz w:val="20"/>
              <w:szCs w:val="20"/>
              <w:lang w:val="es-GT" w:eastAsia="es-GT"/>
            </w:rPr>
          </w:pPr>
          <w:r w:rsidRPr="009E3499">
            <w:rPr>
              <w:rStyle w:val="Hipervnculo"/>
              <w:b w:val="0"/>
              <w:sz w:val="20"/>
              <w:szCs w:val="20"/>
              <w:u w:val="none"/>
            </w:rPr>
            <w:t xml:space="preserve">            </w:t>
          </w:r>
          <w:hyperlink w:anchor="_Toc81571875" w:history="1">
            <w:r w:rsidRPr="009E3499">
              <w:rPr>
                <w:rStyle w:val="Hipervnculo"/>
                <w:b w:val="0"/>
                <w:sz w:val="20"/>
                <w:szCs w:val="20"/>
                <w:u w:val="none"/>
                <w:lang w:val="es-GT"/>
              </w:rPr>
              <w:t>5.1.2.2</w:t>
            </w:r>
            <w:r w:rsidRPr="009E3499">
              <w:rPr>
                <w:rFonts w:asciiTheme="minorHAnsi" w:eastAsiaTheme="minorEastAsia" w:hAnsiTheme="minorHAnsi" w:cstheme="minorBidi"/>
                <w:b w:val="0"/>
                <w:sz w:val="20"/>
                <w:szCs w:val="20"/>
                <w:lang w:val="es-GT" w:eastAsia="es-GT"/>
              </w:rPr>
              <w:t xml:space="preserve">.  </w:t>
            </w:r>
            <w:r w:rsidRPr="009E3499">
              <w:rPr>
                <w:rStyle w:val="Hipervnculo"/>
                <w:b w:val="0"/>
                <w:sz w:val="20"/>
                <w:szCs w:val="20"/>
                <w:u w:val="none"/>
                <w:lang w:val="es-GT"/>
              </w:rPr>
              <w:t>Inflación doméstica</w:t>
            </w:r>
            <w:r w:rsidRPr="009E3499">
              <w:rPr>
                <w:b w:val="0"/>
                <w:webHidden/>
                <w:sz w:val="20"/>
                <w:szCs w:val="20"/>
              </w:rPr>
              <w:tab/>
            </w:r>
            <w:r w:rsidRPr="009E3499">
              <w:rPr>
                <w:b w:val="0"/>
                <w:webHidden/>
                <w:sz w:val="20"/>
                <w:szCs w:val="20"/>
              </w:rPr>
              <w:fldChar w:fldCharType="begin"/>
            </w:r>
            <w:r w:rsidRPr="009E3499">
              <w:rPr>
                <w:b w:val="0"/>
                <w:webHidden/>
                <w:sz w:val="20"/>
                <w:szCs w:val="20"/>
              </w:rPr>
              <w:instrText xml:space="preserve"> PAGEREF _Toc81571875 \h </w:instrText>
            </w:r>
            <w:r w:rsidRPr="009E3499">
              <w:rPr>
                <w:b w:val="0"/>
                <w:webHidden/>
                <w:sz w:val="20"/>
                <w:szCs w:val="20"/>
              </w:rPr>
            </w:r>
            <w:r w:rsidRPr="009E3499">
              <w:rPr>
                <w:b w:val="0"/>
                <w:webHidden/>
                <w:sz w:val="20"/>
                <w:szCs w:val="20"/>
              </w:rPr>
              <w:fldChar w:fldCharType="separate"/>
            </w:r>
            <w:r w:rsidR="00081415">
              <w:rPr>
                <w:b w:val="0"/>
                <w:webHidden/>
                <w:sz w:val="20"/>
                <w:szCs w:val="20"/>
              </w:rPr>
              <w:t>48</w:t>
            </w:r>
            <w:r w:rsidRPr="009E3499">
              <w:rPr>
                <w:b w:val="0"/>
                <w:webHidden/>
                <w:sz w:val="20"/>
                <w:szCs w:val="20"/>
              </w:rPr>
              <w:fldChar w:fldCharType="end"/>
            </w:r>
          </w:hyperlink>
        </w:p>
        <w:p w14:paraId="29D480F8" w14:textId="073E4942" w:rsidR="00A36CEB" w:rsidRPr="009E3499" w:rsidRDefault="00A36CEB">
          <w:pPr>
            <w:pStyle w:val="TDC2"/>
            <w:tabs>
              <w:tab w:val="left" w:pos="1100"/>
            </w:tabs>
            <w:rPr>
              <w:rFonts w:asciiTheme="minorHAnsi" w:eastAsiaTheme="minorEastAsia" w:hAnsiTheme="minorHAnsi" w:cstheme="minorBidi"/>
              <w:b w:val="0"/>
              <w:sz w:val="20"/>
              <w:szCs w:val="20"/>
              <w:lang w:val="es-GT" w:eastAsia="es-GT"/>
            </w:rPr>
          </w:pPr>
          <w:r w:rsidRPr="009E3499">
            <w:rPr>
              <w:rStyle w:val="Hipervnculo"/>
              <w:b w:val="0"/>
              <w:sz w:val="20"/>
              <w:szCs w:val="20"/>
              <w:u w:val="none"/>
            </w:rPr>
            <w:lastRenderedPageBreak/>
            <w:t xml:space="preserve">              </w:t>
          </w:r>
          <w:hyperlink w:anchor="_Toc81571876" w:history="1">
            <w:r w:rsidRPr="009E3499">
              <w:rPr>
                <w:rStyle w:val="Hipervnculo"/>
                <w:b w:val="0"/>
                <w:sz w:val="20"/>
                <w:szCs w:val="20"/>
                <w:u w:val="none"/>
                <w:lang w:val="es-GT"/>
              </w:rPr>
              <w:t>5.1.2.3</w:t>
            </w:r>
            <w:r w:rsidRPr="009E3499">
              <w:rPr>
                <w:rFonts w:asciiTheme="minorHAnsi" w:eastAsiaTheme="minorEastAsia" w:hAnsiTheme="minorHAnsi" w:cstheme="minorBidi"/>
                <w:b w:val="0"/>
                <w:sz w:val="20"/>
                <w:szCs w:val="20"/>
                <w:lang w:val="es-GT" w:eastAsia="es-GT"/>
              </w:rPr>
              <w:t xml:space="preserve">.  </w:t>
            </w:r>
            <w:r w:rsidRPr="009E3499">
              <w:rPr>
                <w:rStyle w:val="Hipervnculo"/>
                <w:b w:val="0"/>
                <w:sz w:val="20"/>
                <w:szCs w:val="20"/>
                <w:u w:val="none"/>
                <w:lang w:val="es-GT"/>
              </w:rPr>
              <w:t>Sector externo</w:t>
            </w:r>
            <w:r w:rsidRPr="009E3499">
              <w:rPr>
                <w:b w:val="0"/>
                <w:webHidden/>
                <w:sz w:val="20"/>
                <w:szCs w:val="20"/>
              </w:rPr>
              <w:tab/>
            </w:r>
            <w:r w:rsidRPr="009E3499">
              <w:rPr>
                <w:b w:val="0"/>
                <w:webHidden/>
                <w:sz w:val="20"/>
                <w:szCs w:val="20"/>
              </w:rPr>
              <w:fldChar w:fldCharType="begin"/>
            </w:r>
            <w:r w:rsidRPr="009E3499">
              <w:rPr>
                <w:b w:val="0"/>
                <w:webHidden/>
                <w:sz w:val="20"/>
                <w:szCs w:val="20"/>
              </w:rPr>
              <w:instrText xml:space="preserve"> PAGEREF _Toc81571876 \h </w:instrText>
            </w:r>
            <w:r w:rsidRPr="009E3499">
              <w:rPr>
                <w:b w:val="0"/>
                <w:webHidden/>
                <w:sz w:val="20"/>
                <w:szCs w:val="20"/>
              </w:rPr>
            </w:r>
            <w:r w:rsidRPr="009E3499">
              <w:rPr>
                <w:b w:val="0"/>
                <w:webHidden/>
                <w:sz w:val="20"/>
                <w:szCs w:val="20"/>
              </w:rPr>
              <w:fldChar w:fldCharType="separate"/>
            </w:r>
            <w:r w:rsidR="00081415">
              <w:rPr>
                <w:b w:val="0"/>
                <w:webHidden/>
                <w:sz w:val="20"/>
                <w:szCs w:val="20"/>
              </w:rPr>
              <w:t>48</w:t>
            </w:r>
            <w:r w:rsidRPr="009E3499">
              <w:rPr>
                <w:b w:val="0"/>
                <w:webHidden/>
                <w:sz w:val="20"/>
                <w:szCs w:val="20"/>
              </w:rPr>
              <w:fldChar w:fldCharType="end"/>
            </w:r>
          </w:hyperlink>
        </w:p>
        <w:p w14:paraId="58646EF4" w14:textId="6F0525C2" w:rsidR="00A36CEB" w:rsidRPr="009E3499" w:rsidRDefault="00A36CEB">
          <w:pPr>
            <w:pStyle w:val="TDC2"/>
            <w:rPr>
              <w:rFonts w:asciiTheme="minorHAnsi" w:eastAsiaTheme="minorEastAsia" w:hAnsiTheme="minorHAnsi" w:cstheme="minorBidi"/>
              <w:b w:val="0"/>
              <w:sz w:val="20"/>
              <w:szCs w:val="20"/>
              <w:lang w:val="es-GT" w:eastAsia="es-GT"/>
            </w:rPr>
          </w:pPr>
          <w:r w:rsidRPr="009E3499">
            <w:rPr>
              <w:rStyle w:val="Hipervnculo"/>
              <w:b w:val="0"/>
              <w:sz w:val="20"/>
              <w:szCs w:val="20"/>
              <w:u w:val="none"/>
            </w:rPr>
            <w:t xml:space="preserve">  </w:t>
          </w:r>
          <w:hyperlink w:anchor="_Toc81571877" w:history="1">
            <w:r w:rsidRPr="009E3499">
              <w:rPr>
                <w:rStyle w:val="Hipervnculo"/>
                <w:b w:val="0"/>
                <w:sz w:val="20"/>
                <w:szCs w:val="20"/>
                <w:u w:val="none"/>
                <w:lang w:val="es-GT"/>
              </w:rPr>
              <w:t>5.2</w:t>
            </w:r>
            <w:r w:rsidRPr="009E3499">
              <w:rPr>
                <w:rFonts w:asciiTheme="minorHAnsi" w:eastAsiaTheme="minorEastAsia" w:hAnsiTheme="minorHAnsi" w:cstheme="minorBidi"/>
                <w:b w:val="0"/>
                <w:sz w:val="20"/>
                <w:szCs w:val="20"/>
                <w:lang w:val="es-GT" w:eastAsia="es-GT"/>
              </w:rPr>
              <w:t xml:space="preserve">.  </w:t>
            </w:r>
            <w:r w:rsidRPr="009E3499">
              <w:rPr>
                <w:rStyle w:val="Hipervnculo"/>
                <w:b w:val="0"/>
                <w:sz w:val="20"/>
                <w:szCs w:val="20"/>
                <w:u w:val="none"/>
                <w:lang w:val="es-GT"/>
              </w:rPr>
              <w:t>Proyecciones de mediano plazo</w:t>
            </w:r>
            <w:r w:rsidRPr="009E3499">
              <w:rPr>
                <w:b w:val="0"/>
                <w:webHidden/>
                <w:sz w:val="20"/>
                <w:szCs w:val="20"/>
              </w:rPr>
              <w:tab/>
            </w:r>
            <w:r w:rsidRPr="009E3499">
              <w:rPr>
                <w:b w:val="0"/>
                <w:webHidden/>
                <w:sz w:val="20"/>
                <w:szCs w:val="20"/>
              </w:rPr>
              <w:fldChar w:fldCharType="begin"/>
            </w:r>
            <w:r w:rsidRPr="009E3499">
              <w:rPr>
                <w:b w:val="0"/>
                <w:webHidden/>
                <w:sz w:val="20"/>
                <w:szCs w:val="20"/>
              </w:rPr>
              <w:instrText xml:space="preserve"> PAGEREF _Toc81571877 \h </w:instrText>
            </w:r>
            <w:r w:rsidRPr="009E3499">
              <w:rPr>
                <w:b w:val="0"/>
                <w:webHidden/>
                <w:sz w:val="20"/>
                <w:szCs w:val="20"/>
              </w:rPr>
            </w:r>
            <w:r w:rsidRPr="009E3499">
              <w:rPr>
                <w:b w:val="0"/>
                <w:webHidden/>
                <w:sz w:val="20"/>
                <w:szCs w:val="20"/>
              </w:rPr>
              <w:fldChar w:fldCharType="separate"/>
            </w:r>
            <w:r w:rsidR="00081415">
              <w:rPr>
                <w:b w:val="0"/>
                <w:webHidden/>
                <w:sz w:val="20"/>
                <w:szCs w:val="20"/>
              </w:rPr>
              <w:t>49</w:t>
            </w:r>
            <w:r w:rsidRPr="009E3499">
              <w:rPr>
                <w:b w:val="0"/>
                <w:webHidden/>
                <w:sz w:val="20"/>
                <w:szCs w:val="20"/>
              </w:rPr>
              <w:fldChar w:fldCharType="end"/>
            </w:r>
          </w:hyperlink>
        </w:p>
        <w:p w14:paraId="20015DB6" w14:textId="4A0F009D" w:rsidR="00A36CEB" w:rsidRPr="009E3499" w:rsidRDefault="006D2997">
          <w:pPr>
            <w:pStyle w:val="TDC1"/>
            <w:rPr>
              <w:rFonts w:asciiTheme="minorHAnsi" w:eastAsiaTheme="minorEastAsia" w:hAnsiTheme="minorHAnsi" w:cstheme="minorBidi"/>
              <w:b w:val="0"/>
              <w:sz w:val="20"/>
              <w:szCs w:val="20"/>
              <w:lang w:val="es-GT" w:eastAsia="es-GT"/>
            </w:rPr>
          </w:pPr>
          <w:hyperlink w:anchor="_Toc81571878" w:history="1">
            <w:r w:rsidR="00A36CEB" w:rsidRPr="009E3499">
              <w:rPr>
                <w:rStyle w:val="Hipervnculo"/>
                <w:b w:val="0"/>
                <w:sz w:val="20"/>
                <w:szCs w:val="20"/>
                <w:u w:val="none"/>
              </w:rPr>
              <w:t>II.</w:t>
            </w:r>
            <w:r w:rsidR="00A36CEB" w:rsidRPr="009E3499">
              <w:rPr>
                <w:rFonts w:asciiTheme="minorHAnsi" w:eastAsiaTheme="minorEastAsia" w:hAnsiTheme="minorHAnsi" w:cstheme="minorBidi"/>
                <w:b w:val="0"/>
                <w:sz w:val="20"/>
                <w:szCs w:val="20"/>
                <w:lang w:val="es-GT" w:eastAsia="es-GT"/>
              </w:rPr>
              <w:tab/>
            </w:r>
            <w:r w:rsidR="00A36CEB" w:rsidRPr="009E3499">
              <w:rPr>
                <w:rStyle w:val="Hipervnculo"/>
                <w:b w:val="0"/>
                <w:sz w:val="20"/>
                <w:szCs w:val="20"/>
                <w:u w:val="none"/>
              </w:rPr>
              <w:t>Marco Fiscal de Mediano Plazo</w:t>
            </w:r>
            <w:r w:rsidR="00A36CEB" w:rsidRPr="009E3499">
              <w:rPr>
                <w:b w:val="0"/>
                <w:webHidden/>
                <w:sz w:val="20"/>
                <w:szCs w:val="20"/>
              </w:rPr>
              <w:tab/>
            </w:r>
            <w:r w:rsidR="00A36CEB" w:rsidRPr="009E3499">
              <w:rPr>
                <w:b w:val="0"/>
                <w:webHidden/>
                <w:sz w:val="20"/>
                <w:szCs w:val="20"/>
              </w:rPr>
              <w:fldChar w:fldCharType="begin"/>
            </w:r>
            <w:r w:rsidR="00A36CEB" w:rsidRPr="009E3499">
              <w:rPr>
                <w:b w:val="0"/>
                <w:webHidden/>
                <w:sz w:val="20"/>
                <w:szCs w:val="20"/>
              </w:rPr>
              <w:instrText xml:space="preserve"> PAGEREF _Toc81571878 \h </w:instrText>
            </w:r>
            <w:r w:rsidR="00A36CEB" w:rsidRPr="009E3499">
              <w:rPr>
                <w:b w:val="0"/>
                <w:webHidden/>
                <w:sz w:val="20"/>
                <w:szCs w:val="20"/>
              </w:rPr>
            </w:r>
            <w:r w:rsidR="00A36CEB" w:rsidRPr="009E3499">
              <w:rPr>
                <w:b w:val="0"/>
                <w:webHidden/>
                <w:sz w:val="20"/>
                <w:szCs w:val="20"/>
              </w:rPr>
              <w:fldChar w:fldCharType="separate"/>
            </w:r>
            <w:r w:rsidR="00081415">
              <w:rPr>
                <w:b w:val="0"/>
                <w:webHidden/>
                <w:sz w:val="20"/>
                <w:szCs w:val="20"/>
              </w:rPr>
              <w:t>52</w:t>
            </w:r>
            <w:r w:rsidR="00A36CEB" w:rsidRPr="009E3499">
              <w:rPr>
                <w:b w:val="0"/>
                <w:webHidden/>
                <w:sz w:val="20"/>
                <w:szCs w:val="20"/>
              </w:rPr>
              <w:fldChar w:fldCharType="end"/>
            </w:r>
          </w:hyperlink>
        </w:p>
        <w:p w14:paraId="6F74C523" w14:textId="16A2E098" w:rsidR="00A36CEB" w:rsidRPr="009E3499" w:rsidRDefault="006D2997" w:rsidP="009E3499">
          <w:pPr>
            <w:pStyle w:val="TDC3"/>
            <w:ind w:left="142"/>
            <w:rPr>
              <w:rFonts w:eastAsiaTheme="minorEastAsia"/>
              <w:noProof/>
              <w:sz w:val="20"/>
              <w:szCs w:val="20"/>
              <w:lang w:eastAsia="es-GT"/>
            </w:rPr>
          </w:pPr>
          <w:hyperlink w:anchor="_Toc81571879" w:history="1">
            <w:r w:rsidR="00A36CEB" w:rsidRPr="009E3499">
              <w:rPr>
                <w:rStyle w:val="Hipervnculo"/>
                <w:rFonts w:ascii="Times New Roman" w:hAnsi="Times New Roman" w:cs="Times New Roman"/>
                <w:noProof/>
                <w:sz w:val="20"/>
                <w:szCs w:val="20"/>
                <w:u w:val="none"/>
              </w:rPr>
              <w:t>1.</w:t>
            </w:r>
            <w:r w:rsidR="009E3499" w:rsidRPr="009E3499">
              <w:rPr>
                <w:rFonts w:eastAsiaTheme="minorEastAsia"/>
                <w:noProof/>
                <w:sz w:val="20"/>
                <w:szCs w:val="20"/>
                <w:lang w:eastAsia="es-GT"/>
              </w:rPr>
              <w:t xml:space="preserve">  </w:t>
            </w:r>
            <w:r w:rsidR="00A36CEB" w:rsidRPr="009E3499">
              <w:rPr>
                <w:rStyle w:val="Hipervnculo"/>
                <w:rFonts w:ascii="Times New Roman" w:hAnsi="Times New Roman" w:cs="Times New Roman"/>
                <w:noProof/>
                <w:sz w:val="20"/>
                <w:szCs w:val="20"/>
                <w:u w:val="none"/>
              </w:rPr>
              <w:t>Ingresos fiscales</w:t>
            </w:r>
            <w:r w:rsidR="00A36CEB" w:rsidRPr="009E3499">
              <w:rPr>
                <w:noProof/>
                <w:webHidden/>
                <w:sz w:val="20"/>
                <w:szCs w:val="20"/>
              </w:rPr>
              <w:tab/>
            </w:r>
            <w:r w:rsidR="00A36CEB" w:rsidRPr="009E3499">
              <w:rPr>
                <w:noProof/>
                <w:webHidden/>
                <w:sz w:val="20"/>
                <w:szCs w:val="20"/>
              </w:rPr>
              <w:fldChar w:fldCharType="begin"/>
            </w:r>
            <w:r w:rsidR="00A36CEB" w:rsidRPr="009E3499">
              <w:rPr>
                <w:noProof/>
                <w:webHidden/>
                <w:sz w:val="20"/>
                <w:szCs w:val="20"/>
              </w:rPr>
              <w:instrText xml:space="preserve"> PAGEREF _Toc81571879 \h </w:instrText>
            </w:r>
            <w:r w:rsidR="00A36CEB" w:rsidRPr="009E3499">
              <w:rPr>
                <w:noProof/>
                <w:webHidden/>
                <w:sz w:val="20"/>
                <w:szCs w:val="20"/>
              </w:rPr>
            </w:r>
            <w:r w:rsidR="00A36CEB" w:rsidRPr="009E3499">
              <w:rPr>
                <w:noProof/>
                <w:webHidden/>
                <w:sz w:val="20"/>
                <w:szCs w:val="20"/>
              </w:rPr>
              <w:fldChar w:fldCharType="separate"/>
            </w:r>
            <w:r w:rsidR="00081415">
              <w:rPr>
                <w:noProof/>
                <w:webHidden/>
                <w:sz w:val="20"/>
                <w:szCs w:val="20"/>
              </w:rPr>
              <w:t>53</w:t>
            </w:r>
            <w:r w:rsidR="00A36CEB" w:rsidRPr="009E3499">
              <w:rPr>
                <w:noProof/>
                <w:webHidden/>
                <w:sz w:val="20"/>
                <w:szCs w:val="20"/>
              </w:rPr>
              <w:fldChar w:fldCharType="end"/>
            </w:r>
          </w:hyperlink>
        </w:p>
        <w:p w14:paraId="6DBBCE7E" w14:textId="601B13D3" w:rsidR="00A36CEB" w:rsidRPr="009E3499" w:rsidRDefault="009E3499" w:rsidP="009E3499">
          <w:pPr>
            <w:pStyle w:val="TDC3"/>
            <w:ind w:left="0"/>
            <w:rPr>
              <w:rFonts w:eastAsiaTheme="minorEastAsia"/>
              <w:noProof/>
              <w:sz w:val="20"/>
              <w:szCs w:val="20"/>
              <w:lang w:eastAsia="es-GT"/>
            </w:rPr>
          </w:pPr>
          <w:r w:rsidRPr="009E3499">
            <w:rPr>
              <w:rStyle w:val="Hipervnculo"/>
              <w:noProof/>
              <w:sz w:val="20"/>
              <w:szCs w:val="20"/>
              <w:u w:val="none"/>
            </w:rPr>
            <w:t xml:space="preserve">   </w:t>
          </w:r>
          <w:hyperlink w:anchor="_Toc81571888" w:history="1">
            <w:r w:rsidR="00A36CEB" w:rsidRPr="009E3499">
              <w:rPr>
                <w:rStyle w:val="Hipervnculo"/>
                <w:rFonts w:ascii="Times New Roman" w:hAnsi="Times New Roman" w:cs="Times New Roman"/>
                <w:noProof/>
                <w:sz w:val="20"/>
                <w:szCs w:val="20"/>
                <w:u w:val="none"/>
              </w:rPr>
              <w:t>2.</w:t>
            </w:r>
            <w:r w:rsidRPr="009E3499">
              <w:rPr>
                <w:rFonts w:eastAsiaTheme="minorEastAsia"/>
                <w:noProof/>
                <w:sz w:val="20"/>
                <w:szCs w:val="20"/>
                <w:lang w:eastAsia="es-GT"/>
              </w:rPr>
              <w:t xml:space="preserve">  </w:t>
            </w:r>
            <w:r w:rsidR="00A36CEB" w:rsidRPr="009E3499">
              <w:rPr>
                <w:rStyle w:val="Hipervnculo"/>
                <w:rFonts w:ascii="Times New Roman" w:hAnsi="Times New Roman" w:cs="Times New Roman"/>
                <w:noProof/>
                <w:sz w:val="20"/>
                <w:szCs w:val="20"/>
                <w:u w:val="none"/>
              </w:rPr>
              <w:t>Gasto público</w:t>
            </w:r>
            <w:r w:rsidR="00A36CEB" w:rsidRPr="009E3499">
              <w:rPr>
                <w:noProof/>
                <w:webHidden/>
                <w:sz w:val="20"/>
                <w:szCs w:val="20"/>
              </w:rPr>
              <w:tab/>
            </w:r>
            <w:r w:rsidR="00A36CEB" w:rsidRPr="009E3499">
              <w:rPr>
                <w:noProof/>
                <w:webHidden/>
                <w:sz w:val="20"/>
                <w:szCs w:val="20"/>
              </w:rPr>
              <w:fldChar w:fldCharType="begin"/>
            </w:r>
            <w:r w:rsidR="00A36CEB" w:rsidRPr="009E3499">
              <w:rPr>
                <w:noProof/>
                <w:webHidden/>
                <w:sz w:val="20"/>
                <w:szCs w:val="20"/>
              </w:rPr>
              <w:instrText xml:space="preserve"> PAGEREF _Toc81571888 \h </w:instrText>
            </w:r>
            <w:r w:rsidR="00A36CEB" w:rsidRPr="009E3499">
              <w:rPr>
                <w:noProof/>
                <w:webHidden/>
                <w:sz w:val="20"/>
                <w:szCs w:val="20"/>
              </w:rPr>
            </w:r>
            <w:r w:rsidR="00A36CEB" w:rsidRPr="009E3499">
              <w:rPr>
                <w:noProof/>
                <w:webHidden/>
                <w:sz w:val="20"/>
                <w:szCs w:val="20"/>
              </w:rPr>
              <w:fldChar w:fldCharType="separate"/>
            </w:r>
            <w:r w:rsidR="00081415">
              <w:rPr>
                <w:noProof/>
                <w:webHidden/>
                <w:sz w:val="20"/>
                <w:szCs w:val="20"/>
              </w:rPr>
              <w:t>57</w:t>
            </w:r>
            <w:r w:rsidR="00A36CEB" w:rsidRPr="009E3499">
              <w:rPr>
                <w:noProof/>
                <w:webHidden/>
                <w:sz w:val="20"/>
                <w:szCs w:val="20"/>
              </w:rPr>
              <w:fldChar w:fldCharType="end"/>
            </w:r>
          </w:hyperlink>
        </w:p>
        <w:p w14:paraId="58ED9E80" w14:textId="387C2711" w:rsidR="00A36CEB" w:rsidRPr="009E3499" w:rsidRDefault="006D2997">
          <w:pPr>
            <w:pStyle w:val="TDC2"/>
            <w:rPr>
              <w:rFonts w:asciiTheme="minorHAnsi" w:eastAsiaTheme="minorEastAsia" w:hAnsiTheme="minorHAnsi" w:cstheme="minorBidi"/>
              <w:b w:val="0"/>
              <w:sz w:val="20"/>
              <w:szCs w:val="20"/>
              <w:lang w:val="es-GT" w:eastAsia="es-GT"/>
            </w:rPr>
          </w:pPr>
          <w:hyperlink w:anchor="_Toc81571889" w:history="1">
            <w:r w:rsidR="00A36CEB" w:rsidRPr="009E3499">
              <w:rPr>
                <w:rStyle w:val="Hipervnculo"/>
                <w:b w:val="0"/>
                <w:bCs/>
                <w:sz w:val="20"/>
                <w:szCs w:val="20"/>
                <w:u w:val="none"/>
              </w:rPr>
              <w:t>3.</w:t>
            </w:r>
            <w:r w:rsidR="009E3499" w:rsidRPr="009E3499">
              <w:rPr>
                <w:rFonts w:asciiTheme="minorHAnsi" w:eastAsiaTheme="minorEastAsia" w:hAnsiTheme="minorHAnsi" w:cstheme="minorBidi"/>
                <w:b w:val="0"/>
                <w:sz w:val="20"/>
                <w:szCs w:val="20"/>
                <w:lang w:val="es-GT" w:eastAsia="es-GT"/>
              </w:rPr>
              <w:t xml:space="preserve">  </w:t>
            </w:r>
            <w:r w:rsidR="00A36CEB" w:rsidRPr="009E3499">
              <w:rPr>
                <w:rStyle w:val="Hipervnculo"/>
                <w:b w:val="0"/>
                <w:sz w:val="20"/>
                <w:szCs w:val="20"/>
                <w:u w:val="none"/>
              </w:rPr>
              <w:t>Déficit Fiscal y su financiamiento</w:t>
            </w:r>
            <w:r w:rsidR="00A36CEB" w:rsidRPr="009E3499">
              <w:rPr>
                <w:b w:val="0"/>
                <w:webHidden/>
                <w:sz w:val="20"/>
                <w:szCs w:val="20"/>
              </w:rPr>
              <w:tab/>
            </w:r>
            <w:r w:rsidR="00A36CEB" w:rsidRPr="009E3499">
              <w:rPr>
                <w:b w:val="0"/>
                <w:webHidden/>
                <w:sz w:val="20"/>
                <w:szCs w:val="20"/>
              </w:rPr>
              <w:fldChar w:fldCharType="begin"/>
            </w:r>
            <w:r w:rsidR="00A36CEB" w:rsidRPr="009E3499">
              <w:rPr>
                <w:b w:val="0"/>
                <w:webHidden/>
                <w:sz w:val="20"/>
                <w:szCs w:val="20"/>
              </w:rPr>
              <w:instrText xml:space="preserve"> PAGEREF _Toc81571889 \h </w:instrText>
            </w:r>
            <w:r w:rsidR="00A36CEB" w:rsidRPr="009E3499">
              <w:rPr>
                <w:b w:val="0"/>
                <w:webHidden/>
                <w:sz w:val="20"/>
                <w:szCs w:val="20"/>
              </w:rPr>
            </w:r>
            <w:r w:rsidR="00A36CEB" w:rsidRPr="009E3499">
              <w:rPr>
                <w:b w:val="0"/>
                <w:webHidden/>
                <w:sz w:val="20"/>
                <w:szCs w:val="20"/>
              </w:rPr>
              <w:fldChar w:fldCharType="separate"/>
            </w:r>
            <w:r w:rsidR="00081415">
              <w:rPr>
                <w:b w:val="0"/>
                <w:webHidden/>
                <w:sz w:val="20"/>
                <w:szCs w:val="20"/>
              </w:rPr>
              <w:t>73</w:t>
            </w:r>
            <w:r w:rsidR="00A36CEB" w:rsidRPr="009E3499">
              <w:rPr>
                <w:b w:val="0"/>
                <w:webHidden/>
                <w:sz w:val="20"/>
                <w:szCs w:val="20"/>
              </w:rPr>
              <w:fldChar w:fldCharType="end"/>
            </w:r>
          </w:hyperlink>
        </w:p>
        <w:p w14:paraId="2EE66F8A" w14:textId="537F5E97" w:rsidR="00A36CEB" w:rsidRPr="009E3499" w:rsidRDefault="009E3499" w:rsidP="009E3499">
          <w:pPr>
            <w:pStyle w:val="TDC3"/>
            <w:ind w:left="0"/>
            <w:rPr>
              <w:rFonts w:eastAsiaTheme="minorEastAsia"/>
              <w:noProof/>
              <w:sz w:val="20"/>
              <w:szCs w:val="20"/>
              <w:lang w:eastAsia="es-GT"/>
            </w:rPr>
          </w:pPr>
          <w:r w:rsidRPr="009E3499">
            <w:rPr>
              <w:rStyle w:val="Hipervnculo"/>
              <w:noProof/>
              <w:sz w:val="20"/>
              <w:szCs w:val="20"/>
              <w:u w:val="none"/>
            </w:rPr>
            <w:t xml:space="preserve">   </w:t>
          </w:r>
          <w:hyperlink w:anchor="_Toc81571890" w:history="1">
            <w:r w:rsidR="00A36CEB" w:rsidRPr="009E3499">
              <w:rPr>
                <w:rStyle w:val="Hipervnculo"/>
                <w:rFonts w:ascii="Times New Roman" w:hAnsi="Times New Roman" w:cs="Times New Roman"/>
                <w:bCs/>
                <w:noProof/>
                <w:sz w:val="20"/>
                <w:szCs w:val="20"/>
                <w:u w:val="none"/>
              </w:rPr>
              <w:t>4.</w:t>
            </w:r>
            <w:r w:rsidRPr="009E3499">
              <w:rPr>
                <w:rFonts w:eastAsiaTheme="minorEastAsia"/>
                <w:noProof/>
                <w:sz w:val="20"/>
                <w:szCs w:val="20"/>
                <w:lang w:eastAsia="es-GT"/>
              </w:rPr>
              <w:t xml:space="preserve">  </w:t>
            </w:r>
            <w:r w:rsidR="00A36CEB" w:rsidRPr="009E3499">
              <w:rPr>
                <w:rStyle w:val="Hipervnculo"/>
                <w:rFonts w:ascii="Times New Roman" w:hAnsi="Times New Roman" w:cs="Times New Roman"/>
                <w:noProof/>
                <w:sz w:val="20"/>
                <w:szCs w:val="20"/>
                <w:u w:val="none"/>
              </w:rPr>
              <w:t>Resultado del sector público no financiero consolidado</w:t>
            </w:r>
            <w:r w:rsidR="00A36CEB" w:rsidRPr="009E3499">
              <w:rPr>
                <w:noProof/>
                <w:webHidden/>
                <w:sz w:val="20"/>
                <w:szCs w:val="20"/>
              </w:rPr>
              <w:tab/>
            </w:r>
            <w:r w:rsidR="00A36CEB" w:rsidRPr="009E3499">
              <w:rPr>
                <w:noProof/>
                <w:webHidden/>
                <w:sz w:val="20"/>
                <w:szCs w:val="20"/>
              </w:rPr>
              <w:fldChar w:fldCharType="begin"/>
            </w:r>
            <w:r w:rsidR="00A36CEB" w:rsidRPr="009E3499">
              <w:rPr>
                <w:noProof/>
                <w:webHidden/>
                <w:sz w:val="20"/>
                <w:szCs w:val="20"/>
              </w:rPr>
              <w:instrText xml:space="preserve"> PAGEREF _Toc81571890 \h </w:instrText>
            </w:r>
            <w:r w:rsidR="00A36CEB" w:rsidRPr="009E3499">
              <w:rPr>
                <w:noProof/>
                <w:webHidden/>
                <w:sz w:val="20"/>
                <w:szCs w:val="20"/>
              </w:rPr>
            </w:r>
            <w:r w:rsidR="00A36CEB" w:rsidRPr="009E3499">
              <w:rPr>
                <w:noProof/>
                <w:webHidden/>
                <w:sz w:val="20"/>
                <w:szCs w:val="20"/>
              </w:rPr>
              <w:fldChar w:fldCharType="separate"/>
            </w:r>
            <w:r w:rsidR="00081415">
              <w:rPr>
                <w:noProof/>
                <w:webHidden/>
                <w:sz w:val="20"/>
                <w:szCs w:val="20"/>
              </w:rPr>
              <w:t>75</w:t>
            </w:r>
            <w:r w:rsidR="00A36CEB" w:rsidRPr="009E3499">
              <w:rPr>
                <w:noProof/>
                <w:webHidden/>
                <w:sz w:val="20"/>
                <w:szCs w:val="20"/>
              </w:rPr>
              <w:fldChar w:fldCharType="end"/>
            </w:r>
          </w:hyperlink>
        </w:p>
        <w:p w14:paraId="5951CF35" w14:textId="769E8689" w:rsidR="00A36CEB" w:rsidRPr="009E3499" w:rsidRDefault="006D2997">
          <w:pPr>
            <w:pStyle w:val="TDC2"/>
            <w:rPr>
              <w:rFonts w:asciiTheme="minorHAnsi" w:eastAsiaTheme="minorEastAsia" w:hAnsiTheme="minorHAnsi" w:cstheme="minorBidi"/>
              <w:b w:val="0"/>
              <w:sz w:val="20"/>
              <w:szCs w:val="20"/>
              <w:lang w:val="es-GT" w:eastAsia="es-GT"/>
            </w:rPr>
          </w:pPr>
          <w:hyperlink w:anchor="_Toc81571891" w:history="1">
            <w:r w:rsidR="00A36CEB" w:rsidRPr="009E3499">
              <w:rPr>
                <w:rStyle w:val="Hipervnculo"/>
                <w:b w:val="0"/>
                <w:bCs/>
                <w:sz w:val="20"/>
                <w:szCs w:val="20"/>
                <w:u w:val="none"/>
              </w:rPr>
              <w:t>5.</w:t>
            </w:r>
            <w:r w:rsidR="009E3499" w:rsidRPr="009E3499">
              <w:rPr>
                <w:rFonts w:asciiTheme="minorHAnsi" w:eastAsiaTheme="minorEastAsia" w:hAnsiTheme="minorHAnsi" w:cstheme="minorBidi"/>
                <w:b w:val="0"/>
                <w:sz w:val="20"/>
                <w:szCs w:val="20"/>
                <w:lang w:val="es-GT" w:eastAsia="es-GT"/>
              </w:rPr>
              <w:t xml:space="preserve">  </w:t>
            </w:r>
            <w:r w:rsidR="00A36CEB" w:rsidRPr="009E3499">
              <w:rPr>
                <w:rStyle w:val="Hipervnculo"/>
                <w:b w:val="0"/>
                <w:sz w:val="20"/>
                <w:szCs w:val="20"/>
                <w:u w:val="none"/>
              </w:rPr>
              <w:t>Desempeño de la política fiscal a junio de 2021 y perspectivas de cierre</w:t>
            </w:r>
            <w:r w:rsidR="00A36CEB" w:rsidRPr="009E3499">
              <w:rPr>
                <w:b w:val="0"/>
                <w:webHidden/>
                <w:sz w:val="20"/>
                <w:szCs w:val="20"/>
              </w:rPr>
              <w:tab/>
            </w:r>
            <w:r w:rsidR="00A36CEB" w:rsidRPr="009E3499">
              <w:rPr>
                <w:b w:val="0"/>
                <w:webHidden/>
                <w:sz w:val="20"/>
                <w:szCs w:val="20"/>
              </w:rPr>
              <w:fldChar w:fldCharType="begin"/>
            </w:r>
            <w:r w:rsidR="00A36CEB" w:rsidRPr="009E3499">
              <w:rPr>
                <w:b w:val="0"/>
                <w:webHidden/>
                <w:sz w:val="20"/>
                <w:szCs w:val="20"/>
              </w:rPr>
              <w:instrText xml:space="preserve"> PAGEREF _Toc81571891 \h </w:instrText>
            </w:r>
            <w:r w:rsidR="00A36CEB" w:rsidRPr="009E3499">
              <w:rPr>
                <w:b w:val="0"/>
                <w:webHidden/>
                <w:sz w:val="20"/>
                <w:szCs w:val="20"/>
              </w:rPr>
            </w:r>
            <w:r w:rsidR="00A36CEB" w:rsidRPr="009E3499">
              <w:rPr>
                <w:b w:val="0"/>
                <w:webHidden/>
                <w:sz w:val="20"/>
                <w:szCs w:val="20"/>
              </w:rPr>
              <w:fldChar w:fldCharType="separate"/>
            </w:r>
            <w:r w:rsidR="00081415">
              <w:rPr>
                <w:b w:val="0"/>
                <w:webHidden/>
                <w:sz w:val="20"/>
                <w:szCs w:val="20"/>
              </w:rPr>
              <w:t>77</w:t>
            </w:r>
            <w:r w:rsidR="00A36CEB" w:rsidRPr="009E3499">
              <w:rPr>
                <w:b w:val="0"/>
                <w:webHidden/>
                <w:sz w:val="20"/>
                <w:szCs w:val="20"/>
              </w:rPr>
              <w:fldChar w:fldCharType="end"/>
            </w:r>
          </w:hyperlink>
        </w:p>
        <w:p w14:paraId="3287086F" w14:textId="17171477" w:rsidR="00A36CEB" w:rsidRPr="009E3499" w:rsidRDefault="006D2997">
          <w:pPr>
            <w:pStyle w:val="TDC3"/>
            <w:rPr>
              <w:rFonts w:eastAsiaTheme="minorEastAsia"/>
              <w:noProof/>
              <w:sz w:val="20"/>
              <w:szCs w:val="20"/>
              <w:lang w:eastAsia="es-GT"/>
            </w:rPr>
          </w:pPr>
          <w:hyperlink w:anchor="_Toc81571896" w:history="1">
            <w:r w:rsidR="00A36CEB" w:rsidRPr="009E3499">
              <w:rPr>
                <w:rStyle w:val="Hipervnculo"/>
                <w:rFonts w:ascii="Times New Roman" w:hAnsi="Times New Roman" w:cs="Times New Roman"/>
                <w:bCs/>
                <w:noProof/>
                <w:sz w:val="20"/>
                <w:szCs w:val="20"/>
                <w:u w:val="none"/>
                <w:lang w:val="es-US"/>
              </w:rPr>
              <w:t>5.1.</w:t>
            </w:r>
            <w:r w:rsidR="009E3499" w:rsidRPr="009E3499">
              <w:rPr>
                <w:rFonts w:eastAsiaTheme="minorEastAsia"/>
                <w:noProof/>
                <w:sz w:val="20"/>
                <w:szCs w:val="20"/>
                <w:lang w:eastAsia="es-GT"/>
              </w:rPr>
              <w:t xml:space="preserve">  </w:t>
            </w:r>
            <w:r w:rsidR="00A36CEB" w:rsidRPr="009E3499">
              <w:rPr>
                <w:rStyle w:val="Hipervnculo"/>
                <w:rFonts w:ascii="Times New Roman" w:hAnsi="Times New Roman" w:cs="Times New Roman"/>
                <w:bCs/>
                <w:noProof/>
                <w:sz w:val="20"/>
                <w:szCs w:val="20"/>
                <w:u w:val="none"/>
                <w:lang w:val="es-US"/>
              </w:rPr>
              <w:t>Recaudación Tributaria</w:t>
            </w:r>
            <w:r w:rsidR="00A36CEB" w:rsidRPr="009E3499">
              <w:rPr>
                <w:noProof/>
                <w:webHidden/>
                <w:sz w:val="20"/>
                <w:szCs w:val="20"/>
              </w:rPr>
              <w:tab/>
            </w:r>
            <w:r w:rsidR="00A36CEB" w:rsidRPr="009E3499">
              <w:rPr>
                <w:noProof/>
                <w:webHidden/>
                <w:sz w:val="20"/>
                <w:szCs w:val="20"/>
              </w:rPr>
              <w:fldChar w:fldCharType="begin"/>
            </w:r>
            <w:r w:rsidR="00A36CEB" w:rsidRPr="009E3499">
              <w:rPr>
                <w:noProof/>
                <w:webHidden/>
                <w:sz w:val="20"/>
                <w:szCs w:val="20"/>
              </w:rPr>
              <w:instrText xml:space="preserve"> PAGEREF _Toc81571896 \h </w:instrText>
            </w:r>
            <w:r w:rsidR="00A36CEB" w:rsidRPr="009E3499">
              <w:rPr>
                <w:noProof/>
                <w:webHidden/>
                <w:sz w:val="20"/>
                <w:szCs w:val="20"/>
              </w:rPr>
            </w:r>
            <w:r w:rsidR="00A36CEB" w:rsidRPr="009E3499">
              <w:rPr>
                <w:noProof/>
                <w:webHidden/>
                <w:sz w:val="20"/>
                <w:szCs w:val="20"/>
              </w:rPr>
              <w:fldChar w:fldCharType="separate"/>
            </w:r>
            <w:r w:rsidR="00081415">
              <w:rPr>
                <w:noProof/>
                <w:webHidden/>
                <w:sz w:val="20"/>
                <w:szCs w:val="20"/>
              </w:rPr>
              <w:t>77</w:t>
            </w:r>
            <w:r w:rsidR="00A36CEB" w:rsidRPr="009E3499">
              <w:rPr>
                <w:noProof/>
                <w:webHidden/>
                <w:sz w:val="20"/>
                <w:szCs w:val="20"/>
              </w:rPr>
              <w:fldChar w:fldCharType="end"/>
            </w:r>
          </w:hyperlink>
        </w:p>
        <w:p w14:paraId="015B5E8C" w14:textId="13E1F279" w:rsidR="00A36CEB" w:rsidRPr="009E3499" w:rsidRDefault="006D2997">
          <w:pPr>
            <w:pStyle w:val="TDC3"/>
            <w:rPr>
              <w:rFonts w:eastAsiaTheme="minorEastAsia"/>
              <w:noProof/>
              <w:sz w:val="20"/>
              <w:szCs w:val="20"/>
              <w:lang w:eastAsia="es-GT"/>
            </w:rPr>
          </w:pPr>
          <w:hyperlink w:anchor="_Toc81571897" w:history="1">
            <w:r w:rsidR="00A36CEB" w:rsidRPr="009E3499">
              <w:rPr>
                <w:rStyle w:val="Hipervnculo"/>
                <w:rFonts w:ascii="Times New Roman" w:hAnsi="Times New Roman" w:cs="Times New Roman"/>
                <w:bCs/>
                <w:noProof/>
                <w:sz w:val="20"/>
                <w:szCs w:val="20"/>
                <w:u w:val="none"/>
                <w:lang w:val="es-US"/>
              </w:rPr>
              <w:t>5.2.</w:t>
            </w:r>
            <w:r w:rsidR="009E3499" w:rsidRPr="009E3499">
              <w:rPr>
                <w:rFonts w:eastAsiaTheme="minorEastAsia"/>
                <w:noProof/>
                <w:sz w:val="20"/>
                <w:szCs w:val="20"/>
                <w:lang w:eastAsia="es-GT"/>
              </w:rPr>
              <w:t xml:space="preserve">  </w:t>
            </w:r>
            <w:r w:rsidR="00A36CEB" w:rsidRPr="009E3499">
              <w:rPr>
                <w:rStyle w:val="Hipervnculo"/>
                <w:rFonts w:ascii="Times New Roman" w:hAnsi="Times New Roman" w:cs="Times New Roman"/>
                <w:bCs/>
                <w:noProof/>
                <w:sz w:val="20"/>
                <w:szCs w:val="20"/>
                <w:u w:val="none"/>
                <w:lang w:val="es-US"/>
              </w:rPr>
              <w:t>Desempeño del impuesto sobre la renta y el ISO</w:t>
            </w:r>
            <w:r w:rsidR="00A36CEB" w:rsidRPr="009E3499">
              <w:rPr>
                <w:noProof/>
                <w:webHidden/>
                <w:sz w:val="20"/>
                <w:szCs w:val="20"/>
              </w:rPr>
              <w:tab/>
            </w:r>
            <w:r w:rsidR="00A36CEB" w:rsidRPr="009E3499">
              <w:rPr>
                <w:noProof/>
                <w:webHidden/>
                <w:sz w:val="20"/>
                <w:szCs w:val="20"/>
              </w:rPr>
              <w:fldChar w:fldCharType="begin"/>
            </w:r>
            <w:r w:rsidR="00A36CEB" w:rsidRPr="009E3499">
              <w:rPr>
                <w:noProof/>
                <w:webHidden/>
                <w:sz w:val="20"/>
                <w:szCs w:val="20"/>
              </w:rPr>
              <w:instrText xml:space="preserve"> PAGEREF _Toc81571897 \h </w:instrText>
            </w:r>
            <w:r w:rsidR="00A36CEB" w:rsidRPr="009E3499">
              <w:rPr>
                <w:noProof/>
                <w:webHidden/>
                <w:sz w:val="20"/>
                <w:szCs w:val="20"/>
              </w:rPr>
            </w:r>
            <w:r w:rsidR="00A36CEB" w:rsidRPr="009E3499">
              <w:rPr>
                <w:noProof/>
                <w:webHidden/>
                <w:sz w:val="20"/>
                <w:szCs w:val="20"/>
              </w:rPr>
              <w:fldChar w:fldCharType="separate"/>
            </w:r>
            <w:r w:rsidR="00081415">
              <w:rPr>
                <w:noProof/>
                <w:webHidden/>
                <w:sz w:val="20"/>
                <w:szCs w:val="20"/>
              </w:rPr>
              <w:t>78</w:t>
            </w:r>
            <w:r w:rsidR="00A36CEB" w:rsidRPr="009E3499">
              <w:rPr>
                <w:noProof/>
                <w:webHidden/>
                <w:sz w:val="20"/>
                <w:szCs w:val="20"/>
              </w:rPr>
              <w:fldChar w:fldCharType="end"/>
            </w:r>
          </w:hyperlink>
        </w:p>
        <w:p w14:paraId="2946DAA1" w14:textId="04084B1A" w:rsidR="00A36CEB" w:rsidRPr="009E3499" w:rsidRDefault="006D2997">
          <w:pPr>
            <w:pStyle w:val="TDC3"/>
            <w:rPr>
              <w:rFonts w:eastAsiaTheme="minorEastAsia"/>
              <w:noProof/>
              <w:sz w:val="20"/>
              <w:szCs w:val="20"/>
              <w:lang w:eastAsia="es-GT"/>
            </w:rPr>
          </w:pPr>
          <w:hyperlink w:anchor="_Toc81571898" w:history="1">
            <w:r w:rsidR="00A36CEB" w:rsidRPr="009E3499">
              <w:rPr>
                <w:rStyle w:val="Hipervnculo"/>
                <w:rFonts w:ascii="Times New Roman" w:hAnsi="Times New Roman" w:cs="Times New Roman"/>
                <w:bCs/>
                <w:noProof/>
                <w:sz w:val="20"/>
                <w:szCs w:val="20"/>
                <w:u w:val="none"/>
                <w:lang w:val="es-US"/>
              </w:rPr>
              <w:t>5.3.</w:t>
            </w:r>
            <w:r w:rsidR="009E3499" w:rsidRPr="009E3499">
              <w:rPr>
                <w:rFonts w:eastAsiaTheme="minorEastAsia"/>
                <w:noProof/>
                <w:sz w:val="20"/>
                <w:szCs w:val="20"/>
                <w:lang w:eastAsia="es-GT"/>
              </w:rPr>
              <w:t xml:space="preserve">  </w:t>
            </w:r>
            <w:r w:rsidR="00A36CEB" w:rsidRPr="009E3499">
              <w:rPr>
                <w:rStyle w:val="Hipervnculo"/>
                <w:rFonts w:ascii="Times New Roman" w:hAnsi="Times New Roman" w:cs="Times New Roman"/>
                <w:bCs/>
                <w:noProof/>
                <w:sz w:val="20"/>
                <w:szCs w:val="20"/>
                <w:u w:val="none"/>
                <w:lang w:val="es-US"/>
              </w:rPr>
              <w:t>El Impuesto al Valor Agregado</w:t>
            </w:r>
            <w:r w:rsidR="00A36CEB" w:rsidRPr="009E3499">
              <w:rPr>
                <w:noProof/>
                <w:webHidden/>
                <w:sz w:val="20"/>
                <w:szCs w:val="20"/>
              </w:rPr>
              <w:tab/>
            </w:r>
            <w:r w:rsidR="00A36CEB" w:rsidRPr="009E3499">
              <w:rPr>
                <w:noProof/>
                <w:webHidden/>
                <w:sz w:val="20"/>
                <w:szCs w:val="20"/>
              </w:rPr>
              <w:fldChar w:fldCharType="begin"/>
            </w:r>
            <w:r w:rsidR="00A36CEB" w:rsidRPr="009E3499">
              <w:rPr>
                <w:noProof/>
                <w:webHidden/>
                <w:sz w:val="20"/>
                <w:szCs w:val="20"/>
              </w:rPr>
              <w:instrText xml:space="preserve"> PAGEREF _Toc81571898 \h </w:instrText>
            </w:r>
            <w:r w:rsidR="00A36CEB" w:rsidRPr="009E3499">
              <w:rPr>
                <w:noProof/>
                <w:webHidden/>
                <w:sz w:val="20"/>
                <w:szCs w:val="20"/>
              </w:rPr>
            </w:r>
            <w:r w:rsidR="00A36CEB" w:rsidRPr="009E3499">
              <w:rPr>
                <w:noProof/>
                <w:webHidden/>
                <w:sz w:val="20"/>
                <w:szCs w:val="20"/>
              </w:rPr>
              <w:fldChar w:fldCharType="separate"/>
            </w:r>
            <w:r w:rsidR="00081415">
              <w:rPr>
                <w:noProof/>
                <w:webHidden/>
                <w:sz w:val="20"/>
                <w:szCs w:val="20"/>
              </w:rPr>
              <w:t>78</w:t>
            </w:r>
            <w:r w:rsidR="00A36CEB" w:rsidRPr="009E3499">
              <w:rPr>
                <w:noProof/>
                <w:webHidden/>
                <w:sz w:val="20"/>
                <w:szCs w:val="20"/>
              </w:rPr>
              <w:fldChar w:fldCharType="end"/>
            </w:r>
          </w:hyperlink>
        </w:p>
        <w:p w14:paraId="1E3E2E0E" w14:textId="2644836D" w:rsidR="00A36CEB" w:rsidRPr="009E3499" w:rsidRDefault="006D2997">
          <w:pPr>
            <w:pStyle w:val="TDC3"/>
            <w:rPr>
              <w:rFonts w:eastAsiaTheme="minorEastAsia"/>
              <w:noProof/>
              <w:sz w:val="20"/>
              <w:szCs w:val="20"/>
              <w:lang w:eastAsia="es-GT"/>
            </w:rPr>
          </w:pPr>
          <w:hyperlink w:anchor="_Toc81571899" w:history="1">
            <w:r w:rsidR="00A36CEB" w:rsidRPr="009E3499">
              <w:rPr>
                <w:rStyle w:val="Hipervnculo"/>
                <w:rFonts w:ascii="Times New Roman" w:hAnsi="Times New Roman" w:cs="Times New Roman"/>
                <w:bCs/>
                <w:noProof/>
                <w:sz w:val="20"/>
                <w:szCs w:val="20"/>
                <w:u w:val="none"/>
                <w:lang w:val="es-US"/>
              </w:rPr>
              <w:t>5.4.</w:t>
            </w:r>
            <w:r w:rsidR="009E3499" w:rsidRPr="009E3499">
              <w:rPr>
                <w:rFonts w:eastAsiaTheme="minorEastAsia"/>
                <w:noProof/>
                <w:sz w:val="20"/>
                <w:szCs w:val="20"/>
                <w:lang w:eastAsia="es-GT"/>
              </w:rPr>
              <w:t xml:space="preserve">  </w:t>
            </w:r>
            <w:r w:rsidR="00A36CEB" w:rsidRPr="009E3499">
              <w:rPr>
                <w:rStyle w:val="Hipervnculo"/>
                <w:rFonts w:ascii="Times New Roman" w:hAnsi="Times New Roman" w:cs="Times New Roman"/>
                <w:bCs/>
                <w:noProof/>
                <w:sz w:val="20"/>
                <w:szCs w:val="20"/>
                <w:u w:val="none"/>
                <w:lang w:val="es-US"/>
              </w:rPr>
              <w:t>Los demás impuestos</w:t>
            </w:r>
            <w:r w:rsidR="00A36CEB" w:rsidRPr="009E3499">
              <w:rPr>
                <w:noProof/>
                <w:webHidden/>
                <w:sz w:val="20"/>
                <w:szCs w:val="20"/>
              </w:rPr>
              <w:tab/>
            </w:r>
            <w:r w:rsidR="00A36CEB" w:rsidRPr="009E3499">
              <w:rPr>
                <w:noProof/>
                <w:webHidden/>
                <w:sz w:val="20"/>
                <w:szCs w:val="20"/>
              </w:rPr>
              <w:fldChar w:fldCharType="begin"/>
            </w:r>
            <w:r w:rsidR="00A36CEB" w:rsidRPr="009E3499">
              <w:rPr>
                <w:noProof/>
                <w:webHidden/>
                <w:sz w:val="20"/>
                <w:szCs w:val="20"/>
              </w:rPr>
              <w:instrText xml:space="preserve"> PAGEREF _Toc81571899 \h </w:instrText>
            </w:r>
            <w:r w:rsidR="00A36CEB" w:rsidRPr="009E3499">
              <w:rPr>
                <w:noProof/>
                <w:webHidden/>
                <w:sz w:val="20"/>
                <w:szCs w:val="20"/>
              </w:rPr>
            </w:r>
            <w:r w:rsidR="00A36CEB" w:rsidRPr="009E3499">
              <w:rPr>
                <w:noProof/>
                <w:webHidden/>
                <w:sz w:val="20"/>
                <w:szCs w:val="20"/>
              </w:rPr>
              <w:fldChar w:fldCharType="separate"/>
            </w:r>
            <w:r w:rsidR="00081415">
              <w:rPr>
                <w:noProof/>
                <w:webHidden/>
                <w:sz w:val="20"/>
                <w:szCs w:val="20"/>
              </w:rPr>
              <w:t>79</w:t>
            </w:r>
            <w:r w:rsidR="00A36CEB" w:rsidRPr="009E3499">
              <w:rPr>
                <w:noProof/>
                <w:webHidden/>
                <w:sz w:val="20"/>
                <w:szCs w:val="20"/>
              </w:rPr>
              <w:fldChar w:fldCharType="end"/>
            </w:r>
          </w:hyperlink>
        </w:p>
        <w:p w14:paraId="52798CB7" w14:textId="2287BE29" w:rsidR="00A36CEB" w:rsidRPr="009E3499" w:rsidRDefault="006D2997">
          <w:pPr>
            <w:pStyle w:val="TDC3"/>
            <w:rPr>
              <w:rFonts w:eastAsiaTheme="minorEastAsia"/>
              <w:noProof/>
              <w:sz w:val="20"/>
              <w:szCs w:val="20"/>
              <w:lang w:eastAsia="es-GT"/>
            </w:rPr>
          </w:pPr>
          <w:hyperlink w:anchor="_Toc81571900" w:history="1">
            <w:r w:rsidR="00A36CEB" w:rsidRPr="009E3499">
              <w:rPr>
                <w:rStyle w:val="Hipervnculo"/>
                <w:rFonts w:ascii="Times New Roman" w:hAnsi="Times New Roman" w:cs="Times New Roman"/>
                <w:bCs/>
                <w:noProof/>
                <w:sz w:val="20"/>
                <w:szCs w:val="20"/>
                <w:u w:val="none"/>
                <w:lang w:val="es-US"/>
              </w:rPr>
              <w:t>5.5.</w:t>
            </w:r>
            <w:r w:rsidR="009E3499" w:rsidRPr="009E3499">
              <w:rPr>
                <w:rFonts w:eastAsiaTheme="minorEastAsia"/>
                <w:noProof/>
                <w:sz w:val="20"/>
                <w:szCs w:val="20"/>
                <w:lang w:eastAsia="es-GT"/>
              </w:rPr>
              <w:t xml:space="preserve">  </w:t>
            </w:r>
            <w:r w:rsidR="00A36CEB" w:rsidRPr="009E3499">
              <w:rPr>
                <w:rStyle w:val="Hipervnculo"/>
                <w:rFonts w:ascii="Times New Roman" w:hAnsi="Times New Roman" w:cs="Times New Roman"/>
                <w:bCs/>
                <w:noProof/>
                <w:sz w:val="20"/>
                <w:szCs w:val="20"/>
                <w:u w:val="none"/>
                <w:lang w:val="es-US"/>
              </w:rPr>
              <w:t>Ejecución de Gasto Público</w:t>
            </w:r>
            <w:r w:rsidR="00A36CEB" w:rsidRPr="009E3499">
              <w:rPr>
                <w:noProof/>
                <w:webHidden/>
                <w:sz w:val="20"/>
                <w:szCs w:val="20"/>
              </w:rPr>
              <w:tab/>
            </w:r>
            <w:r w:rsidR="00A36CEB" w:rsidRPr="009E3499">
              <w:rPr>
                <w:noProof/>
                <w:webHidden/>
                <w:sz w:val="20"/>
                <w:szCs w:val="20"/>
              </w:rPr>
              <w:fldChar w:fldCharType="begin"/>
            </w:r>
            <w:r w:rsidR="00A36CEB" w:rsidRPr="009E3499">
              <w:rPr>
                <w:noProof/>
                <w:webHidden/>
                <w:sz w:val="20"/>
                <w:szCs w:val="20"/>
              </w:rPr>
              <w:instrText xml:space="preserve"> PAGEREF _Toc81571900 \h </w:instrText>
            </w:r>
            <w:r w:rsidR="00A36CEB" w:rsidRPr="009E3499">
              <w:rPr>
                <w:noProof/>
                <w:webHidden/>
                <w:sz w:val="20"/>
                <w:szCs w:val="20"/>
              </w:rPr>
            </w:r>
            <w:r w:rsidR="00A36CEB" w:rsidRPr="009E3499">
              <w:rPr>
                <w:noProof/>
                <w:webHidden/>
                <w:sz w:val="20"/>
                <w:szCs w:val="20"/>
              </w:rPr>
              <w:fldChar w:fldCharType="separate"/>
            </w:r>
            <w:r w:rsidR="00081415">
              <w:rPr>
                <w:noProof/>
                <w:webHidden/>
                <w:sz w:val="20"/>
                <w:szCs w:val="20"/>
              </w:rPr>
              <w:t>80</w:t>
            </w:r>
            <w:r w:rsidR="00A36CEB" w:rsidRPr="009E3499">
              <w:rPr>
                <w:noProof/>
                <w:webHidden/>
                <w:sz w:val="20"/>
                <w:szCs w:val="20"/>
              </w:rPr>
              <w:fldChar w:fldCharType="end"/>
            </w:r>
          </w:hyperlink>
        </w:p>
        <w:p w14:paraId="1C181E77" w14:textId="56C04770" w:rsidR="00A36CEB" w:rsidRPr="009E3499" w:rsidRDefault="006D2997">
          <w:pPr>
            <w:pStyle w:val="TDC3"/>
            <w:rPr>
              <w:rFonts w:eastAsiaTheme="minorEastAsia"/>
              <w:noProof/>
              <w:sz w:val="20"/>
              <w:szCs w:val="20"/>
              <w:lang w:eastAsia="es-GT"/>
            </w:rPr>
          </w:pPr>
          <w:hyperlink w:anchor="_Toc81571901" w:history="1">
            <w:r w:rsidR="00A36CEB" w:rsidRPr="009E3499">
              <w:rPr>
                <w:rStyle w:val="Hipervnculo"/>
                <w:rFonts w:ascii="Times New Roman" w:hAnsi="Times New Roman" w:cs="Times New Roman"/>
                <w:bCs/>
                <w:noProof/>
                <w:sz w:val="20"/>
                <w:szCs w:val="20"/>
                <w:u w:val="none"/>
                <w:lang w:val="es-US"/>
              </w:rPr>
              <w:t>5.6.</w:t>
            </w:r>
            <w:r w:rsidR="009E3499" w:rsidRPr="009E3499">
              <w:rPr>
                <w:rFonts w:eastAsiaTheme="minorEastAsia"/>
                <w:noProof/>
                <w:sz w:val="20"/>
                <w:szCs w:val="20"/>
                <w:lang w:eastAsia="es-GT"/>
              </w:rPr>
              <w:t xml:space="preserve">  </w:t>
            </w:r>
            <w:r w:rsidR="00A36CEB" w:rsidRPr="009E3499">
              <w:rPr>
                <w:rStyle w:val="Hipervnculo"/>
                <w:rFonts w:ascii="Times New Roman" w:hAnsi="Times New Roman" w:cs="Times New Roman"/>
                <w:bCs/>
                <w:noProof/>
                <w:sz w:val="20"/>
                <w:szCs w:val="20"/>
                <w:u w:val="none"/>
                <w:lang w:val="es-US"/>
              </w:rPr>
              <w:t>Déficit fiscal y financiamiento</w:t>
            </w:r>
            <w:r w:rsidR="00A36CEB" w:rsidRPr="009E3499">
              <w:rPr>
                <w:noProof/>
                <w:webHidden/>
                <w:sz w:val="20"/>
                <w:szCs w:val="20"/>
              </w:rPr>
              <w:tab/>
            </w:r>
            <w:r w:rsidR="00A36CEB" w:rsidRPr="009E3499">
              <w:rPr>
                <w:noProof/>
                <w:webHidden/>
                <w:sz w:val="20"/>
                <w:szCs w:val="20"/>
              </w:rPr>
              <w:fldChar w:fldCharType="begin"/>
            </w:r>
            <w:r w:rsidR="00A36CEB" w:rsidRPr="009E3499">
              <w:rPr>
                <w:noProof/>
                <w:webHidden/>
                <w:sz w:val="20"/>
                <w:szCs w:val="20"/>
              </w:rPr>
              <w:instrText xml:space="preserve"> PAGEREF _Toc81571901 \h </w:instrText>
            </w:r>
            <w:r w:rsidR="00A36CEB" w:rsidRPr="009E3499">
              <w:rPr>
                <w:noProof/>
                <w:webHidden/>
                <w:sz w:val="20"/>
                <w:szCs w:val="20"/>
              </w:rPr>
            </w:r>
            <w:r w:rsidR="00A36CEB" w:rsidRPr="009E3499">
              <w:rPr>
                <w:noProof/>
                <w:webHidden/>
                <w:sz w:val="20"/>
                <w:szCs w:val="20"/>
              </w:rPr>
              <w:fldChar w:fldCharType="separate"/>
            </w:r>
            <w:r w:rsidR="00081415">
              <w:rPr>
                <w:noProof/>
                <w:webHidden/>
                <w:sz w:val="20"/>
                <w:szCs w:val="20"/>
              </w:rPr>
              <w:t>86</w:t>
            </w:r>
            <w:r w:rsidR="00A36CEB" w:rsidRPr="009E3499">
              <w:rPr>
                <w:noProof/>
                <w:webHidden/>
                <w:sz w:val="20"/>
                <w:szCs w:val="20"/>
              </w:rPr>
              <w:fldChar w:fldCharType="end"/>
            </w:r>
          </w:hyperlink>
        </w:p>
        <w:p w14:paraId="64556C15" w14:textId="644B319C" w:rsidR="00A36CEB" w:rsidRPr="009E3499" w:rsidRDefault="009E3499" w:rsidP="009E3499">
          <w:pPr>
            <w:pStyle w:val="TDC3"/>
            <w:ind w:left="0"/>
            <w:rPr>
              <w:rFonts w:eastAsiaTheme="minorEastAsia"/>
              <w:noProof/>
              <w:sz w:val="20"/>
              <w:szCs w:val="20"/>
              <w:lang w:eastAsia="es-GT"/>
            </w:rPr>
          </w:pPr>
          <w:r w:rsidRPr="009E3499">
            <w:rPr>
              <w:rStyle w:val="Hipervnculo"/>
              <w:noProof/>
              <w:sz w:val="20"/>
              <w:szCs w:val="20"/>
              <w:u w:val="none"/>
            </w:rPr>
            <w:t xml:space="preserve">  </w:t>
          </w:r>
          <w:hyperlink w:anchor="_Toc81571902" w:history="1">
            <w:r w:rsidR="00A36CEB" w:rsidRPr="009E3499">
              <w:rPr>
                <w:rStyle w:val="Hipervnculo"/>
                <w:rFonts w:ascii="Times New Roman" w:hAnsi="Times New Roman" w:cs="Times New Roman"/>
                <w:noProof/>
                <w:sz w:val="20"/>
                <w:szCs w:val="20"/>
                <w:u w:val="none"/>
              </w:rPr>
              <w:t>6.</w:t>
            </w:r>
            <w:r w:rsidRPr="009E3499">
              <w:rPr>
                <w:rFonts w:eastAsiaTheme="minorEastAsia"/>
                <w:noProof/>
                <w:sz w:val="20"/>
                <w:szCs w:val="20"/>
                <w:lang w:eastAsia="es-GT"/>
              </w:rPr>
              <w:t xml:space="preserve">  </w:t>
            </w:r>
            <w:r w:rsidR="00A36CEB" w:rsidRPr="009E3499">
              <w:rPr>
                <w:rStyle w:val="Hipervnculo"/>
                <w:rFonts w:ascii="Times New Roman" w:hAnsi="Times New Roman" w:cs="Times New Roman"/>
                <w:noProof/>
                <w:sz w:val="20"/>
                <w:szCs w:val="20"/>
                <w:u w:val="none"/>
              </w:rPr>
              <w:t>Perspectivas de cierre 2021</w:t>
            </w:r>
            <w:r w:rsidR="00A36CEB" w:rsidRPr="009E3499">
              <w:rPr>
                <w:noProof/>
                <w:webHidden/>
                <w:sz w:val="20"/>
                <w:szCs w:val="20"/>
              </w:rPr>
              <w:tab/>
            </w:r>
            <w:r w:rsidR="00A36CEB" w:rsidRPr="009E3499">
              <w:rPr>
                <w:noProof/>
                <w:webHidden/>
                <w:sz w:val="20"/>
                <w:szCs w:val="20"/>
              </w:rPr>
              <w:fldChar w:fldCharType="begin"/>
            </w:r>
            <w:r w:rsidR="00A36CEB" w:rsidRPr="009E3499">
              <w:rPr>
                <w:noProof/>
                <w:webHidden/>
                <w:sz w:val="20"/>
                <w:szCs w:val="20"/>
              </w:rPr>
              <w:instrText xml:space="preserve"> PAGEREF _Toc81571902 \h </w:instrText>
            </w:r>
            <w:r w:rsidR="00A36CEB" w:rsidRPr="009E3499">
              <w:rPr>
                <w:noProof/>
                <w:webHidden/>
                <w:sz w:val="20"/>
                <w:szCs w:val="20"/>
              </w:rPr>
            </w:r>
            <w:r w:rsidR="00A36CEB" w:rsidRPr="009E3499">
              <w:rPr>
                <w:noProof/>
                <w:webHidden/>
                <w:sz w:val="20"/>
                <w:szCs w:val="20"/>
              </w:rPr>
              <w:fldChar w:fldCharType="separate"/>
            </w:r>
            <w:r w:rsidR="00081415">
              <w:rPr>
                <w:noProof/>
                <w:webHidden/>
                <w:sz w:val="20"/>
                <w:szCs w:val="20"/>
              </w:rPr>
              <w:t>87</w:t>
            </w:r>
            <w:r w:rsidR="00A36CEB" w:rsidRPr="009E3499">
              <w:rPr>
                <w:noProof/>
                <w:webHidden/>
                <w:sz w:val="20"/>
                <w:szCs w:val="20"/>
              </w:rPr>
              <w:fldChar w:fldCharType="end"/>
            </w:r>
          </w:hyperlink>
        </w:p>
        <w:p w14:paraId="3C204BF4" w14:textId="2E1E0495" w:rsidR="00A36CEB" w:rsidRPr="009E3499" w:rsidRDefault="009E3499" w:rsidP="009E3499">
          <w:pPr>
            <w:pStyle w:val="TDC2"/>
            <w:ind w:left="0"/>
            <w:rPr>
              <w:rFonts w:asciiTheme="minorHAnsi" w:eastAsiaTheme="minorEastAsia" w:hAnsiTheme="minorHAnsi" w:cstheme="minorBidi"/>
              <w:b w:val="0"/>
              <w:sz w:val="20"/>
              <w:szCs w:val="20"/>
              <w:lang w:val="es-GT" w:eastAsia="es-GT"/>
            </w:rPr>
          </w:pPr>
          <w:r w:rsidRPr="009E3499">
            <w:rPr>
              <w:rStyle w:val="Hipervnculo"/>
              <w:b w:val="0"/>
              <w:sz w:val="20"/>
              <w:szCs w:val="20"/>
              <w:u w:val="none"/>
            </w:rPr>
            <w:t xml:space="preserve">  </w:t>
          </w:r>
          <w:hyperlink w:anchor="_Toc81571903" w:history="1">
            <w:r w:rsidR="00A36CEB" w:rsidRPr="009E3499">
              <w:rPr>
                <w:rStyle w:val="Hipervnculo"/>
                <w:b w:val="0"/>
                <w:sz w:val="20"/>
                <w:szCs w:val="20"/>
                <w:u w:val="none"/>
              </w:rPr>
              <w:t>7.</w:t>
            </w:r>
            <w:r w:rsidRPr="009E3499">
              <w:rPr>
                <w:rFonts w:asciiTheme="minorHAnsi" w:eastAsiaTheme="minorEastAsia" w:hAnsiTheme="minorHAnsi" w:cstheme="minorBidi"/>
                <w:b w:val="0"/>
                <w:sz w:val="20"/>
                <w:szCs w:val="20"/>
                <w:lang w:val="es-GT" w:eastAsia="es-GT"/>
              </w:rPr>
              <w:t xml:space="preserve">  </w:t>
            </w:r>
            <w:r w:rsidR="00A36CEB" w:rsidRPr="009E3499">
              <w:rPr>
                <w:rStyle w:val="Hipervnculo"/>
                <w:b w:val="0"/>
                <w:sz w:val="20"/>
                <w:szCs w:val="20"/>
                <w:u w:val="none"/>
              </w:rPr>
              <w:t>Escenario fiscal de mediano plazo 2022 - 2026</w:t>
            </w:r>
            <w:r w:rsidR="00A36CEB" w:rsidRPr="009E3499">
              <w:rPr>
                <w:b w:val="0"/>
                <w:webHidden/>
                <w:sz w:val="20"/>
                <w:szCs w:val="20"/>
              </w:rPr>
              <w:tab/>
            </w:r>
            <w:r w:rsidR="00A36CEB" w:rsidRPr="009E3499">
              <w:rPr>
                <w:b w:val="0"/>
                <w:webHidden/>
                <w:sz w:val="20"/>
                <w:szCs w:val="20"/>
              </w:rPr>
              <w:fldChar w:fldCharType="begin"/>
            </w:r>
            <w:r w:rsidR="00A36CEB" w:rsidRPr="009E3499">
              <w:rPr>
                <w:b w:val="0"/>
                <w:webHidden/>
                <w:sz w:val="20"/>
                <w:szCs w:val="20"/>
              </w:rPr>
              <w:instrText xml:space="preserve"> PAGEREF _Toc81571903 \h </w:instrText>
            </w:r>
            <w:r w:rsidR="00A36CEB" w:rsidRPr="009E3499">
              <w:rPr>
                <w:b w:val="0"/>
                <w:webHidden/>
                <w:sz w:val="20"/>
                <w:szCs w:val="20"/>
              </w:rPr>
            </w:r>
            <w:r w:rsidR="00A36CEB" w:rsidRPr="009E3499">
              <w:rPr>
                <w:b w:val="0"/>
                <w:webHidden/>
                <w:sz w:val="20"/>
                <w:szCs w:val="20"/>
              </w:rPr>
              <w:fldChar w:fldCharType="separate"/>
            </w:r>
            <w:r w:rsidR="00081415">
              <w:rPr>
                <w:b w:val="0"/>
                <w:webHidden/>
                <w:sz w:val="20"/>
                <w:szCs w:val="20"/>
              </w:rPr>
              <w:t>94</w:t>
            </w:r>
            <w:r w:rsidR="00A36CEB" w:rsidRPr="009E3499">
              <w:rPr>
                <w:b w:val="0"/>
                <w:webHidden/>
                <w:sz w:val="20"/>
                <w:szCs w:val="20"/>
              </w:rPr>
              <w:fldChar w:fldCharType="end"/>
            </w:r>
          </w:hyperlink>
        </w:p>
        <w:p w14:paraId="3E0E9FD0" w14:textId="0A9F7399" w:rsidR="00A36CEB" w:rsidRPr="009E3499" w:rsidRDefault="009E3499">
          <w:pPr>
            <w:pStyle w:val="TDC2"/>
            <w:tabs>
              <w:tab w:val="left" w:pos="880"/>
            </w:tabs>
            <w:rPr>
              <w:rFonts w:asciiTheme="minorHAnsi" w:eastAsiaTheme="minorEastAsia" w:hAnsiTheme="minorHAnsi" w:cstheme="minorBidi"/>
              <w:b w:val="0"/>
              <w:sz w:val="20"/>
              <w:szCs w:val="20"/>
              <w:lang w:val="es-GT" w:eastAsia="es-GT"/>
            </w:rPr>
          </w:pPr>
          <w:r w:rsidRPr="009E3499">
            <w:rPr>
              <w:rStyle w:val="Hipervnculo"/>
              <w:b w:val="0"/>
              <w:sz w:val="20"/>
              <w:szCs w:val="20"/>
              <w:u w:val="none"/>
            </w:rPr>
            <w:t xml:space="preserve">  </w:t>
          </w:r>
          <w:hyperlink w:anchor="_Toc81571904" w:history="1">
            <w:r w:rsidR="00A36CEB" w:rsidRPr="009E3499">
              <w:rPr>
                <w:rStyle w:val="Hipervnculo"/>
                <w:b w:val="0"/>
                <w:sz w:val="20"/>
                <w:szCs w:val="20"/>
                <w:u w:val="none"/>
              </w:rPr>
              <w:t>7.1.</w:t>
            </w:r>
            <w:r w:rsidRPr="009E3499">
              <w:rPr>
                <w:rFonts w:asciiTheme="minorHAnsi" w:eastAsiaTheme="minorEastAsia" w:hAnsiTheme="minorHAnsi" w:cstheme="minorBidi"/>
                <w:b w:val="0"/>
                <w:sz w:val="20"/>
                <w:szCs w:val="20"/>
                <w:lang w:val="es-GT" w:eastAsia="es-GT"/>
              </w:rPr>
              <w:t xml:space="preserve">  </w:t>
            </w:r>
            <w:r w:rsidR="00A36CEB" w:rsidRPr="009E3499">
              <w:rPr>
                <w:rStyle w:val="Hipervnculo"/>
                <w:b w:val="0"/>
                <w:sz w:val="20"/>
                <w:szCs w:val="20"/>
                <w:u w:val="none"/>
              </w:rPr>
              <w:t>Objetivos y lineamientos estratégicos de la política fiscal</w:t>
            </w:r>
            <w:r w:rsidR="00A36CEB" w:rsidRPr="009E3499">
              <w:rPr>
                <w:b w:val="0"/>
                <w:webHidden/>
                <w:sz w:val="20"/>
                <w:szCs w:val="20"/>
              </w:rPr>
              <w:tab/>
            </w:r>
            <w:r w:rsidR="00A36CEB" w:rsidRPr="009E3499">
              <w:rPr>
                <w:b w:val="0"/>
                <w:webHidden/>
                <w:sz w:val="20"/>
                <w:szCs w:val="20"/>
              </w:rPr>
              <w:fldChar w:fldCharType="begin"/>
            </w:r>
            <w:r w:rsidR="00A36CEB" w:rsidRPr="009E3499">
              <w:rPr>
                <w:b w:val="0"/>
                <w:webHidden/>
                <w:sz w:val="20"/>
                <w:szCs w:val="20"/>
              </w:rPr>
              <w:instrText xml:space="preserve"> PAGEREF _Toc81571904 \h </w:instrText>
            </w:r>
            <w:r w:rsidR="00A36CEB" w:rsidRPr="009E3499">
              <w:rPr>
                <w:b w:val="0"/>
                <w:webHidden/>
                <w:sz w:val="20"/>
                <w:szCs w:val="20"/>
              </w:rPr>
            </w:r>
            <w:r w:rsidR="00A36CEB" w:rsidRPr="009E3499">
              <w:rPr>
                <w:b w:val="0"/>
                <w:webHidden/>
                <w:sz w:val="20"/>
                <w:szCs w:val="20"/>
              </w:rPr>
              <w:fldChar w:fldCharType="separate"/>
            </w:r>
            <w:r w:rsidR="00081415">
              <w:rPr>
                <w:b w:val="0"/>
                <w:webHidden/>
                <w:sz w:val="20"/>
                <w:szCs w:val="20"/>
              </w:rPr>
              <w:t>94</w:t>
            </w:r>
            <w:r w:rsidR="00A36CEB" w:rsidRPr="009E3499">
              <w:rPr>
                <w:b w:val="0"/>
                <w:webHidden/>
                <w:sz w:val="20"/>
                <w:szCs w:val="20"/>
              </w:rPr>
              <w:fldChar w:fldCharType="end"/>
            </w:r>
          </w:hyperlink>
        </w:p>
        <w:p w14:paraId="5215D60A" w14:textId="1B38AD8F" w:rsidR="00A36CEB" w:rsidRPr="009E3499" w:rsidRDefault="009E3499">
          <w:pPr>
            <w:pStyle w:val="TDC2"/>
            <w:tabs>
              <w:tab w:val="left" w:pos="880"/>
            </w:tabs>
            <w:rPr>
              <w:rFonts w:asciiTheme="minorHAnsi" w:eastAsiaTheme="minorEastAsia" w:hAnsiTheme="minorHAnsi" w:cstheme="minorBidi"/>
              <w:b w:val="0"/>
              <w:sz w:val="20"/>
              <w:szCs w:val="20"/>
              <w:lang w:val="es-GT" w:eastAsia="es-GT"/>
            </w:rPr>
          </w:pPr>
          <w:r w:rsidRPr="009E3499">
            <w:rPr>
              <w:rStyle w:val="Hipervnculo"/>
              <w:b w:val="0"/>
              <w:sz w:val="20"/>
              <w:szCs w:val="20"/>
              <w:u w:val="none"/>
            </w:rPr>
            <w:t xml:space="preserve">  </w:t>
          </w:r>
          <w:hyperlink w:anchor="_Toc81571905" w:history="1">
            <w:r w:rsidR="00A36CEB" w:rsidRPr="009E3499">
              <w:rPr>
                <w:rStyle w:val="Hipervnculo"/>
                <w:b w:val="0"/>
                <w:sz w:val="20"/>
                <w:szCs w:val="20"/>
                <w:u w:val="none"/>
              </w:rPr>
              <w:t>7.2.</w:t>
            </w:r>
            <w:r w:rsidRPr="009E3499">
              <w:rPr>
                <w:rFonts w:asciiTheme="minorHAnsi" w:eastAsiaTheme="minorEastAsia" w:hAnsiTheme="minorHAnsi" w:cstheme="minorBidi"/>
                <w:b w:val="0"/>
                <w:sz w:val="20"/>
                <w:szCs w:val="20"/>
                <w:lang w:val="es-GT" w:eastAsia="es-GT"/>
              </w:rPr>
              <w:t xml:space="preserve">  </w:t>
            </w:r>
            <w:r w:rsidR="00A36CEB" w:rsidRPr="009E3499">
              <w:rPr>
                <w:rStyle w:val="Hipervnculo"/>
                <w:b w:val="0"/>
                <w:sz w:val="20"/>
                <w:szCs w:val="20"/>
                <w:u w:val="none"/>
              </w:rPr>
              <w:t>Estrategia fiscal de mediano plazo</w:t>
            </w:r>
            <w:r w:rsidR="00A36CEB" w:rsidRPr="009E3499">
              <w:rPr>
                <w:b w:val="0"/>
                <w:webHidden/>
                <w:sz w:val="20"/>
                <w:szCs w:val="20"/>
              </w:rPr>
              <w:tab/>
            </w:r>
            <w:r w:rsidR="00A36CEB" w:rsidRPr="009E3499">
              <w:rPr>
                <w:b w:val="0"/>
                <w:webHidden/>
                <w:sz w:val="20"/>
                <w:szCs w:val="20"/>
              </w:rPr>
              <w:fldChar w:fldCharType="begin"/>
            </w:r>
            <w:r w:rsidR="00A36CEB" w:rsidRPr="009E3499">
              <w:rPr>
                <w:b w:val="0"/>
                <w:webHidden/>
                <w:sz w:val="20"/>
                <w:szCs w:val="20"/>
              </w:rPr>
              <w:instrText xml:space="preserve"> PAGEREF _Toc81571905 \h </w:instrText>
            </w:r>
            <w:r w:rsidR="00A36CEB" w:rsidRPr="009E3499">
              <w:rPr>
                <w:b w:val="0"/>
                <w:webHidden/>
                <w:sz w:val="20"/>
                <w:szCs w:val="20"/>
              </w:rPr>
            </w:r>
            <w:r w:rsidR="00A36CEB" w:rsidRPr="009E3499">
              <w:rPr>
                <w:b w:val="0"/>
                <w:webHidden/>
                <w:sz w:val="20"/>
                <w:szCs w:val="20"/>
              </w:rPr>
              <w:fldChar w:fldCharType="separate"/>
            </w:r>
            <w:r w:rsidR="00081415">
              <w:rPr>
                <w:b w:val="0"/>
                <w:webHidden/>
                <w:sz w:val="20"/>
                <w:szCs w:val="20"/>
              </w:rPr>
              <w:t>97</w:t>
            </w:r>
            <w:r w:rsidR="00A36CEB" w:rsidRPr="009E3499">
              <w:rPr>
                <w:b w:val="0"/>
                <w:webHidden/>
                <w:sz w:val="20"/>
                <w:szCs w:val="20"/>
              </w:rPr>
              <w:fldChar w:fldCharType="end"/>
            </w:r>
          </w:hyperlink>
        </w:p>
        <w:p w14:paraId="2AC1118E" w14:textId="51687BDB" w:rsidR="00A36CEB" w:rsidRPr="009E3499" w:rsidRDefault="009E3499">
          <w:pPr>
            <w:pStyle w:val="TDC2"/>
            <w:tabs>
              <w:tab w:val="left" w:pos="880"/>
            </w:tabs>
            <w:rPr>
              <w:rFonts w:asciiTheme="minorHAnsi" w:eastAsiaTheme="minorEastAsia" w:hAnsiTheme="minorHAnsi" w:cstheme="minorBidi"/>
              <w:b w:val="0"/>
              <w:sz w:val="20"/>
              <w:szCs w:val="20"/>
              <w:lang w:val="es-GT" w:eastAsia="es-GT"/>
            </w:rPr>
          </w:pPr>
          <w:r w:rsidRPr="009E3499">
            <w:rPr>
              <w:rStyle w:val="Hipervnculo"/>
              <w:b w:val="0"/>
              <w:sz w:val="20"/>
              <w:szCs w:val="20"/>
              <w:u w:val="none"/>
            </w:rPr>
            <w:t xml:space="preserve">      </w:t>
          </w:r>
          <w:hyperlink w:anchor="_Toc81571906" w:history="1">
            <w:r w:rsidR="00A36CEB" w:rsidRPr="009E3499">
              <w:rPr>
                <w:rStyle w:val="Hipervnculo"/>
                <w:b w:val="0"/>
                <w:sz w:val="20"/>
                <w:szCs w:val="20"/>
                <w:u w:val="none"/>
              </w:rPr>
              <w:t>7.2.1.</w:t>
            </w:r>
            <w:r w:rsidRPr="009E3499">
              <w:rPr>
                <w:rFonts w:asciiTheme="minorHAnsi" w:eastAsiaTheme="minorEastAsia" w:hAnsiTheme="minorHAnsi" w:cstheme="minorBidi"/>
                <w:b w:val="0"/>
                <w:sz w:val="20"/>
                <w:szCs w:val="20"/>
                <w:lang w:val="es-GT" w:eastAsia="es-GT"/>
              </w:rPr>
              <w:t xml:space="preserve">  </w:t>
            </w:r>
            <w:r w:rsidR="00A36CEB" w:rsidRPr="009E3499">
              <w:rPr>
                <w:rStyle w:val="Hipervnculo"/>
                <w:b w:val="0"/>
                <w:sz w:val="20"/>
                <w:szCs w:val="20"/>
                <w:u w:val="none"/>
              </w:rPr>
              <w:t>Orientaciones en política tributaria y planificación de las acciones tributarias administrativas</w:t>
            </w:r>
            <w:r w:rsidR="00A36CEB" w:rsidRPr="009E3499">
              <w:rPr>
                <w:b w:val="0"/>
                <w:webHidden/>
                <w:sz w:val="20"/>
                <w:szCs w:val="20"/>
              </w:rPr>
              <w:tab/>
            </w:r>
            <w:r w:rsidR="00A36CEB" w:rsidRPr="009E3499">
              <w:rPr>
                <w:b w:val="0"/>
                <w:webHidden/>
                <w:sz w:val="20"/>
                <w:szCs w:val="20"/>
              </w:rPr>
              <w:fldChar w:fldCharType="begin"/>
            </w:r>
            <w:r w:rsidR="00A36CEB" w:rsidRPr="009E3499">
              <w:rPr>
                <w:b w:val="0"/>
                <w:webHidden/>
                <w:sz w:val="20"/>
                <w:szCs w:val="20"/>
              </w:rPr>
              <w:instrText xml:space="preserve"> PAGEREF _Toc81571906 \h </w:instrText>
            </w:r>
            <w:r w:rsidR="00A36CEB" w:rsidRPr="009E3499">
              <w:rPr>
                <w:b w:val="0"/>
                <w:webHidden/>
                <w:sz w:val="20"/>
                <w:szCs w:val="20"/>
              </w:rPr>
            </w:r>
            <w:r w:rsidR="00A36CEB" w:rsidRPr="009E3499">
              <w:rPr>
                <w:b w:val="0"/>
                <w:webHidden/>
                <w:sz w:val="20"/>
                <w:szCs w:val="20"/>
              </w:rPr>
              <w:fldChar w:fldCharType="separate"/>
            </w:r>
            <w:r w:rsidR="00081415">
              <w:rPr>
                <w:b w:val="0"/>
                <w:webHidden/>
                <w:sz w:val="20"/>
                <w:szCs w:val="20"/>
              </w:rPr>
              <w:t>97</w:t>
            </w:r>
            <w:r w:rsidR="00A36CEB" w:rsidRPr="009E3499">
              <w:rPr>
                <w:b w:val="0"/>
                <w:webHidden/>
                <w:sz w:val="20"/>
                <w:szCs w:val="20"/>
              </w:rPr>
              <w:fldChar w:fldCharType="end"/>
            </w:r>
          </w:hyperlink>
        </w:p>
        <w:p w14:paraId="4BCB38D8" w14:textId="15B603AD" w:rsidR="00A36CEB" w:rsidRPr="009E3499" w:rsidRDefault="009E3499">
          <w:pPr>
            <w:pStyle w:val="TDC3"/>
            <w:rPr>
              <w:rFonts w:eastAsiaTheme="minorEastAsia"/>
              <w:noProof/>
              <w:sz w:val="20"/>
              <w:szCs w:val="20"/>
              <w:lang w:eastAsia="es-GT"/>
            </w:rPr>
          </w:pPr>
          <w:r w:rsidRPr="009E3499">
            <w:rPr>
              <w:rStyle w:val="Hipervnculo"/>
              <w:noProof/>
              <w:sz w:val="20"/>
              <w:szCs w:val="20"/>
              <w:u w:val="none"/>
            </w:rPr>
            <w:t xml:space="preserve">    </w:t>
          </w:r>
          <w:hyperlink w:anchor="_Toc81571916" w:history="1">
            <w:r w:rsidR="00A36CEB" w:rsidRPr="009E3499">
              <w:rPr>
                <w:rStyle w:val="Hipervnculo"/>
                <w:rFonts w:ascii="Times New Roman" w:hAnsi="Times New Roman" w:cs="Times New Roman"/>
                <w:noProof/>
                <w:sz w:val="20"/>
                <w:szCs w:val="20"/>
                <w:u w:val="none"/>
              </w:rPr>
              <w:t>7.2.2.</w:t>
            </w:r>
            <w:r w:rsidRPr="009E3499">
              <w:rPr>
                <w:rFonts w:eastAsiaTheme="minorEastAsia"/>
                <w:noProof/>
                <w:sz w:val="20"/>
                <w:szCs w:val="20"/>
                <w:lang w:eastAsia="es-GT"/>
              </w:rPr>
              <w:t xml:space="preserve">  </w:t>
            </w:r>
            <w:r w:rsidR="00A36CEB" w:rsidRPr="009E3499">
              <w:rPr>
                <w:rStyle w:val="Hipervnculo"/>
                <w:rFonts w:ascii="Times New Roman" w:hAnsi="Times New Roman" w:cs="Times New Roman"/>
                <w:noProof/>
                <w:sz w:val="20"/>
                <w:szCs w:val="20"/>
                <w:u w:val="none"/>
              </w:rPr>
              <w:t>Orientaciones del gasto público</w:t>
            </w:r>
            <w:r w:rsidR="00A36CEB" w:rsidRPr="009E3499">
              <w:rPr>
                <w:noProof/>
                <w:webHidden/>
                <w:sz w:val="20"/>
                <w:szCs w:val="20"/>
              </w:rPr>
              <w:tab/>
            </w:r>
            <w:r w:rsidR="00A36CEB" w:rsidRPr="009E3499">
              <w:rPr>
                <w:noProof/>
                <w:webHidden/>
                <w:sz w:val="20"/>
                <w:szCs w:val="20"/>
              </w:rPr>
              <w:fldChar w:fldCharType="begin"/>
            </w:r>
            <w:r w:rsidR="00A36CEB" w:rsidRPr="009E3499">
              <w:rPr>
                <w:noProof/>
                <w:webHidden/>
                <w:sz w:val="20"/>
                <w:szCs w:val="20"/>
              </w:rPr>
              <w:instrText xml:space="preserve"> PAGEREF _Toc81571916 \h </w:instrText>
            </w:r>
            <w:r w:rsidR="00A36CEB" w:rsidRPr="009E3499">
              <w:rPr>
                <w:noProof/>
                <w:webHidden/>
                <w:sz w:val="20"/>
                <w:szCs w:val="20"/>
              </w:rPr>
            </w:r>
            <w:r w:rsidR="00A36CEB" w:rsidRPr="009E3499">
              <w:rPr>
                <w:noProof/>
                <w:webHidden/>
                <w:sz w:val="20"/>
                <w:szCs w:val="20"/>
              </w:rPr>
              <w:fldChar w:fldCharType="separate"/>
            </w:r>
            <w:r w:rsidR="00081415">
              <w:rPr>
                <w:noProof/>
                <w:webHidden/>
                <w:sz w:val="20"/>
                <w:szCs w:val="20"/>
              </w:rPr>
              <w:t>100</w:t>
            </w:r>
            <w:r w:rsidR="00A36CEB" w:rsidRPr="009E3499">
              <w:rPr>
                <w:noProof/>
                <w:webHidden/>
                <w:sz w:val="20"/>
                <w:szCs w:val="20"/>
              </w:rPr>
              <w:fldChar w:fldCharType="end"/>
            </w:r>
          </w:hyperlink>
        </w:p>
        <w:p w14:paraId="4E50A284" w14:textId="5FB29DC9" w:rsidR="00A36CEB" w:rsidRPr="009E3499" w:rsidRDefault="009E3499">
          <w:pPr>
            <w:pStyle w:val="TDC3"/>
            <w:rPr>
              <w:rFonts w:eastAsiaTheme="minorEastAsia"/>
              <w:noProof/>
              <w:sz w:val="20"/>
              <w:szCs w:val="20"/>
              <w:lang w:eastAsia="es-GT"/>
            </w:rPr>
          </w:pPr>
          <w:r w:rsidRPr="009E3499">
            <w:rPr>
              <w:rStyle w:val="Hipervnculo"/>
              <w:noProof/>
              <w:sz w:val="20"/>
              <w:szCs w:val="20"/>
              <w:u w:val="none"/>
            </w:rPr>
            <w:t xml:space="preserve">    </w:t>
          </w:r>
          <w:hyperlink w:anchor="_Toc81571917" w:history="1">
            <w:r w:rsidR="00A36CEB" w:rsidRPr="009E3499">
              <w:rPr>
                <w:rStyle w:val="Hipervnculo"/>
                <w:rFonts w:ascii="Times New Roman" w:hAnsi="Times New Roman" w:cs="Times New Roman"/>
                <w:noProof/>
                <w:sz w:val="20"/>
                <w:szCs w:val="20"/>
                <w:u w:val="none"/>
              </w:rPr>
              <w:t>7.2.3.</w:t>
            </w:r>
            <w:r w:rsidRPr="009E3499">
              <w:rPr>
                <w:rFonts w:eastAsiaTheme="minorEastAsia"/>
                <w:noProof/>
                <w:sz w:val="20"/>
                <w:szCs w:val="20"/>
                <w:lang w:eastAsia="es-GT"/>
              </w:rPr>
              <w:t xml:space="preserve">  </w:t>
            </w:r>
            <w:r w:rsidR="00A36CEB" w:rsidRPr="009E3499">
              <w:rPr>
                <w:rStyle w:val="Hipervnculo"/>
                <w:rFonts w:ascii="Times New Roman" w:hAnsi="Times New Roman" w:cs="Times New Roman"/>
                <w:noProof/>
                <w:sz w:val="20"/>
                <w:szCs w:val="20"/>
                <w:u w:val="none"/>
              </w:rPr>
              <w:t>Orientaciones del financiamiento público</w:t>
            </w:r>
            <w:r w:rsidR="00A36CEB" w:rsidRPr="009E3499">
              <w:rPr>
                <w:noProof/>
                <w:webHidden/>
                <w:sz w:val="20"/>
                <w:szCs w:val="20"/>
              </w:rPr>
              <w:tab/>
            </w:r>
            <w:r w:rsidR="00A36CEB" w:rsidRPr="009E3499">
              <w:rPr>
                <w:noProof/>
                <w:webHidden/>
                <w:sz w:val="20"/>
                <w:szCs w:val="20"/>
              </w:rPr>
              <w:fldChar w:fldCharType="begin"/>
            </w:r>
            <w:r w:rsidR="00A36CEB" w:rsidRPr="009E3499">
              <w:rPr>
                <w:noProof/>
                <w:webHidden/>
                <w:sz w:val="20"/>
                <w:szCs w:val="20"/>
              </w:rPr>
              <w:instrText xml:space="preserve"> PAGEREF _Toc81571917 \h </w:instrText>
            </w:r>
            <w:r w:rsidR="00A36CEB" w:rsidRPr="009E3499">
              <w:rPr>
                <w:noProof/>
                <w:webHidden/>
                <w:sz w:val="20"/>
                <w:szCs w:val="20"/>
              </w:rPr>
            </w:r>
            <w:r w:rsidR="00A36CEB" w:rsidRPr="009E3499">
              <w:rPr>
                <w:noProof/>
                <w:webHidden/>
                <w:sz w:val="20"/>
                <w:szCs w:val="20"/>
              </w:rPr>
              <w:fldChar w:fldCharType="separate"/>
            </w:r>
            <w:r w:rsidR="00081415">
              <w:rPr>
                <w:noProof/>
                <w:webHidden/>
                <w:sz w:val="20"/>
                <w:szCs w:val="20"/>
              </w:rPr>
              <w:t>109</w:t>
            </w:r>
            <w:r w:rsidR="00A36CEB" w:rsidRPr="009E3499">
              <w:rPr>
                <w:noProof/>
                <w:webHidden/>
                <w:sz w:val="20"/>
                <w:szCs w:val="20"/>
              </w:rPr>
              <w:fldChar w:fldCharType="end"/>
            </w:r>
          </w:hyperlink>
        </w:p>
        <w:p w14:paraId="067778F3" w14:textId="7FF0EFE2" w:rsidR="00A36CEB" w:rsidRPr="009E3499" w:rsidRDefault="009E3499">
          <w:pPr>
            <w:pStyle w:val="TDC3"/>
            <w:rPr>
              <w:rFonts w:eastAsiaTheme="minorEastAsia"/>
              <w:noProof/>
              <w:sz w:val="20"/>
              <w:szCs w:val="20"/>
              <w:lang w:eastAsia="es-GT"/>
            </w:rPr>
          </w:pPr>
          <w:r w:rsidRPr="009E3499">
            <w:rPr>
              <w:rStyle w:val="Hipervnculo"/>
              <w:noProof/>
              <w:sz w:val="20"/>
              <w:szCs w:val="20"/>
              <w:u w:val="none"/>
            </w:rPr>
            <w:t xml:space="preserve">    </w:t>
          </w:r>
          <w:hyperlink w:anchor="_Toc81571918" w:history="1">
            <w:r w:rsidR="00A36CEB" w:rsidRPr="009E3499">
              <w:rPr>
                <w:rStyle w:val="Hipervnculo"/>
                <w:rFonts w:ascii="Times New Roman" w:hAnsi="Times New Roman" w:cs="Times New Roman"/>
                <w:noProof/>
                <w:sz w:val="20"/>
                <w:szCs w:val="20"/>
                <w:u w:val="none"/>
              </w:rPr>
              <w:t>7.2.4.</w:t>
            </w:r>
            <w:r w:rsidRPr="009E3499">
              <w:rPr>
                <w:rFonts w:eastAsiaTheme="minorEastAsia"/>
                <w:noProof/>
                <w:sz w:val="20"/>
                <w:szCs w:val="20"/>
                <w:lang w:eastAsia="es-GT"/>
              </w:rPr>
              <w:t xml:space="preserve">  </w:t>
            </w:r>
            <w:r w:rsidR="00A36CEB" w:rsidRPr="009E3499">
              <w:rPr>
                <w:rStyle w:val="Hipervnculo"/>
                <w:rFonts w:ascii="Times New Roman" w:hAnsi="Times New Roman" w:cs="Times New Roman"/>
                <w:noProof/>
                <w:sz w:val="20"/>
                <w:szCs w:val="20"/>
                <w:u w:val="none"/>
              </w:rPr>
              <w:t>Estrategia Fiscal Ambiental</w:t>
            </w:r>
            <w:r w:rsidR="00A36CEB" w:rsidRPr="009E3499">
              <w:rPr>
                <w:noProof/>
                <w:webHidden/>
                <w:sz w:val="20"/>
                <w:szCs w:val="20"/>
              </w:rPr>
              <w:tab/>
            </w:r>
            <w:r w:rsidR="00A36CEB" w:rsidRPr="009E3499">
              <w:rPr>
                <w:noProof/>
                <w:webHidden/>
                <w:sz w:val="20"/>
                <w:szCs w:val="20"/>
              </w:rPr>
              <w:fldChar w:fldCharType="begin"/>
            </w:r>
            <w:r w:rsidR="00A36CEB" w:rsidRPr="009E3499">
              <w:rPr>
                <w:noProof/>
                <w:webHidden/>
                <w:sz w:val="20"/>
                <w:szCs w:val="20"/>
              </w:rPr>
              <w:instrText xml:space="preserve"> PAGEREF _Toc81571918 \h </w:instrText>
            </w:r>
            <w:r w:rsidR="00A36CEB" w:rsidRPr="009E3499">
              <w:rPr>
                <w:noProof/>
                <w:webHidden/>
                <w:sz w:val="20"/>
                <w:szCs w:val="20"/>
              </w:rPr>
            </w:r>
            <w:r w:rsidR="00A36CEB" w:rsidRPr="009E3499">
              <w:rPr>
                <w:noProof/>
                <w:webHidden/>
                <w:sz w:val="20"/>
                <w:szCs w:val="20"/>
              </w:rPr>
              <w:fldChar w:fldCharType="separate"/>
            </w:r>
            <w:r w:rsidR="00081415">
              <w:rPr>
                <w:noProof/>
                <w:webHidden/>
                <w:sz w:val="20"/>
                <w:szCs w:val="20"/>
              </w:rPr>
              <w:t>110</w:t>
            </w:r>
            <w:r w:rsidR="00A36CEB" w:rsidRPr="009E3499">
              <w:rPr>
                <w:noProof/>
                <w:webHidden/>
                <w:sz w:val="20"/>
                <w:szCs w:val="20"/>
              </w:rPr>
              <w:fldChar w:fldCharType="end"/>
            </w:r>
          </w:hyperlink>
        </w:p>
        <w:p w14:paraId="3067B155" w14:textId="17CB56FA" w:rsidR="00A36CEB" w:rsidRPr="009E3499" w:rsidRDefault="006D2997">
          <w:pPr>
            <w:pStyle w:val="TDC2"/>
            <w:rPr>
              <w:rFonts w:asciiTheme="minorHAnsi" w:eastAsiaTheme="minorEastAsia" w:hAnsiTheme="minorHAnsi" w:cstheme="minorBidi"/>
              <w:b w:val="0"/>
              <w:sz w:val="20"/>
              <w:szCs w:val="20"/>
              <w:lang w:val="es-GT" w:eastAsia="es-GT"/>
            </w:rPr>
          </w:pPr>
          <w:hyperlink w:anchor="_Toc81571919" w:history="1">
            <w:r w:rsidR="00A36CEB" w:rsidRPr="009E3499">
              <w:rPr>
                <w:rStyle w:val="Hipervnculo"/>
                <w:b w:val="0"/>
                <w:sz w:val="20"/>
                <w:szCs w:val="20"/>
                <w:u w:val="none"/>
              </w:rPr>
              <w:t>8.</w:t>
            </w:r>
            <w:r w:rsidR="009E3499" w:rsidRPr="009E3499">
              <w:rPr>
                <w:rFonts w:asciiTheme="minorHAnsi" w:eastAsiaTheme="minorEastAsia" w:hAnsiTheme="minorHAnsi" w:cstheme="minorBidi"/>
                <w:b w:val="0"/>
                <w:sz w:val="20"/>
                <w:szCs w:val="20"/>
                <w:lang w:val="es-GT" w:eastAsia="es-GT"/>
              </w:rPr>
              <w:t xml:space="preserve">  </w:t>
            </w:r>
            <w:r w:rsidR="00A36CEB" w:rsidRPr="009E3499">
              <w:rPr>
                <w:rStyle w:val="Hipervnculo"/>
                <w:b w:val="0"/>
                <w:sz w:val="20"/>
                <w:szCs w:val="20"/>
                <w:u w:val="none"/>
              </w:rPr>
              <w:t>Ejercicio de Presupuesto Abierto</w:t>
            </w:r>
            <w:r w:rsidR="00A36CEB" w:rsidRPr="009E3499">
              <w:rPr>
                <w:b w:val="0"/>
                <w:webHidden/>
                <w:sz w:val="20"/>
                <w:szCs w:val="20"/>
              </w:rPr>
              <w:tab/>
            </w:r>
            <w:r w:rsidR="00A36CEB" w:rsidRPr="009E3499">
              <w:rPr>
                <w:b w:val="0"/>
                <w:webHidden/>
                <w:sz w:val="20"/>
                <w:szCs w:val="20"/>
              </w:rPr>
              <w:fldChar w:fldCharType="begin"/>
            </w:r>
            <w:r w:rsidR="00A36CEB" w:rsidRPr="009E3499">
              <w:rPr>
                <w:b w:val="0"/>
                <w:webHidden/>
                <w:sz w:val="20"/>
                <w:szCs w:val="20"/>
              </w:rPr>
              <w:instrText xml:space="preserve"> PAGEREF _Toc81571919 \h </w:instrText>
            </w:r>
            <w:r w:rsidR="00A36CEB" w:rsidRPr="009E3499">
              <w:rPr>
                <w:b w:val="0"/>
                <w:webHidden/>
                <w:sz w:val="20"/>
                <w:szCs w:val="20"/>
              </w:rPr>
            </w:r>
            <w:r w:rsidR="00A36CEB" w:rsidRPr="009E3499">
              <w:rPr>
                <w:b w:val="0"/>
                <w:webHidden/>
                <w:sz w:val="20"/>
                <w:szCs w:val="20"/>
              </w:rPr>
              <w:fldChar w:fldCharType="separate"/>
            </w:r>
            <w:r w:rsidR="00081415">
              <w:rPr>
                <w:b w:val="0"/>
                <w:webHidden/>
                <w:sz w:val="20"/>
                <w:szCs w:val="20"/>
              </w:rPr>
              <w:t>110</w:t>
            </w:r>
            <w:r w:rsidR="00A36CEB" w:rsidRPr="009E3499">
              <w:rPr>
                <w:b w:val="0"/>
                <w:webHidden/>
                <w:sz w:val="20"/>
                <w:szCs w:val="20"/>
              </w:rPr>
              <w:fldChar w:fldCharType="end"/>
            </w:r>
          </w:hyperlink>
        </w:p>
        <w:p w14:paraId="150AE66B" w14:textId="67360BD2" w:rsidR="00A36CEB" w:rsidRPr="009E3499" w:rsidRDefault="006D2997">
          <w:pPr>
            <w:pStyle w:val="TDC2"/>
            <w:rPr>
              <w:rFonts w:asciiTheme="minorHAnsi" w:eastAsiaTheme="minorEastAsia" w:hAnsiTheme="minorHAnsi" w:cstheme="minorBidi"/>
              <w:b w:val="0"/>
              <w:sz w:val="20"/>
              <w:szCs w:val="20"/>
              <w:lang w:val="es-GT" w:eastAsia="es-GT"/>
            </w:rPr>
          </w:pPr>
          <w:hyperlink w:anchor="_Toc81571920" w:history="1">
            <w:r w:rsidR="00A36CEB" w:rsidRPr="009E3499">
              <w:rPr>
                <w:rStyle w:val="Hipervnculo"/>
                <w:b w:val="0"/>
                <w:sz w:val="20"/>
                <w:szCs w:val="20"/>
                <w:u w:val="none"/>
              </w:rPr>
              <w:t>9.</w:t>
            </w:r>
            <w:r w:rsidR="009E3499" w:rsidRPr="009E3499">
              <w:rPr>
                <w:rFonts w:asciiTheme="minorHAnsi" w:eastAsiaTheme="minorEastAsia" w:hAnsiTheme="minorHAnsi" w:cstheme="minorBidi"/>
                <w:b w:val="0"/>
                <w:sz w:val="20"/>
                <w:szCs w:val="20"/>
                <w:lang w:val="es-GT" w:eastAsia="es-GT"/>
              </w:rPr>
              <w:t xml:space="preserve">  </w:t>
            </w:r>
            <w:r w:rsidR="00A36CEB" w:rsidRPr="009E3499">
              <w:rPr>
                <w:rStyle w:val="Hipervnculo"/>
                <w:b w:val="0"/>
                <w:sz w:val="20"/>
                <w:szCs w:val="20"/>
                <w:u w:val="none"/>
              </w:rPr>
              <w:t>Metas de política fiscal para el período 2022 -2026</w:t>
            </w:r>
            <w:r w:rsidR="00A36CEB" w:rsidRPr="009E3499">
              <w:rPr>
                <w:b w:val="0"/>
                <w:webHidden/>
                <w:sz w:val="20"/>
                <w:szCs w:val="20"/>
              </w:rPr>
              <w:tab/>
            </w:r>
            <w:r w:rsidR="00A36CEB" w:rsidRPr="009E3499">
              <w:rPr>
                <w:b w:val="0"/>
                <w:webHidden/>
                <w:sz w:val="20"/>
                <w:szCs w:val="20"/>
              </w:rPr>
              <w:fldChar w:fldCharType="begin"/>
            </w:r>
            <w:r w:rsidR="00A36CEB" w:rsidRPr="009E3499">
              <w:rPr>
                <w:b w:val="0"/>
                <w:webHidden/>
                <w:sz w:val="20"/>
                <w:szCs w:val="20"/>
              </w:rPr>
              <w:instrText xml:space="preserve"> PAGEREF _Toc81571920 \h </w:instrText>
            </w:r>
            <w:r w:rsidR="00A36CEB" w:rsidRPr="009E3499">
              <w:rPr>
                <w:b w:val="0"/>
                <w:webHidden/>
                <w:sz w:val="20"/>
                <w:szCs w:val="20"/>
              </w:rPr>
            </w:r>
            <w:r w:rsidR="00A36CEB" w:rsidRPr="009E3499">
              <w:rPr>
                <w:b w:val="0"/>
                <w:webHidden/>
                <w:sz w:val="20"/>
                <w:szCs w:val="20"/>
              </w:rPr>
              <w:fldChar w:fldCharType="separate"/>
            </w:r>
            <w:r w:rsidR="00081415">
              <w:rPr>
                <w:b w:val="0"/>
                <w:webHidden/>
                <w:sz w:val="20"/>
                <w:szCs w:val="20"/>
              </w:rPr>
              <w:t>114</w:t>
            </w:r>
            <w:r w:rsidR="00A36CEB" w:rsidRPr="009E3499">
              <w:rPr>
                <w:b w:val="0"/>
                <w:webHidden/>
                <w:sz w:val="20"/>
                <w:szCs w:val="20"/>
              </w:rPr>
              <w:fldChar w:fldCharType="end"/>
            </w:r>
          </w:hyperlink>
        </w:p>
        <w:p w14:paraId="5E3656DC" w14:textId="35B3D054" w:rsidR="00A36CEB" w:rsidRPr="009E3499" w:rsidRDefault="009E3499">
          <w:pPr>
            <w:pStyle w:val="TDC2"/>
            <w:tabs>
              <w:tab w:val="left" w:pos="880"/>
            </w:tabs>
            <w:rPr>
              <w:rFonts w:asciiTheme="minorHAnsi" w:eastAsiaTheme="minorEastAsia" w:hAnsiTheme="minorHAnsi" w:cstheme="minorBidi"/>
              <w:b w:val="0"/>
              <w:sz w:val="20"/>
              <w:szCs w:val="20"/>
              <w:lang w:val="es-GT" w:eastAsia="es-GT"/>
            </w:rPr>
          </w:pPr>
          <w:r w:rsidRPr="009E3499">
            <w:rPr>
              <w:rStyle w:val="Hipervnculo"/>
              <w:b w:val="0"/>
              <w:sz w:val="20"/>
              <w:szCs w:val="20"/>
              <w:u w:val="none"/>
            </w:rPr>
            <w:t xml:space="preserve">  </w:t>
          </w:r>
          <w:hyperlink w:anchor="_Toc81571921" w:history="1">
            <w:r w:rsidR="00A36CEB" w:rsidRPr="009E3499">
              <w:rPr>
                <w:rStyle w:val="Hipervnculo"/>
                <w:rFonts w:eastAsiaTheme="majorEastAsia"/>
                <w:b w:val="0"/>
                <w:sz w:val="20"/>
                <w:szCs w:val="20"/>
                <w:u w:val="none"/>
              </w:rPr>
              <w:t>9.1.</w:t>
            </w:r>
            <w:r w:rsidRPr="009E3499">
              <w:rPr>
                <w:rFonts w:asciiTheme="minorHAnsi" w:eastAsiaTheme="minorEastAsia" w:hAnsiTheme="minorHAnsi" w:cstheme="minorBidi"/>
                <w:b w:val="0"/>
                <w:sz w:val="20"/>
                <w:szCs w:val="20"/>
                <w:lang w:val="es-GT" w:eastAsia="es-GT"/>
              </w:rPr>
              <w:t xml:space="preserve">  </w:t>
            </w:r>
            <w:r w:rsidR="00A36CEB" w:rsidRPr="009E3499">
              <w:rPr>
                <w:rStyle w:val="Hipervnculo"/>
                <w:b w:val="0"/>
                <w:sz w:val="20"/>
                <w:szCs w:val="20"/>
                <w:u w:val="none"/>
              </w:rPr>
              <w:t>Proyecciones fiscales de mediano plazo</w:t>
            </w:r>
            <w:r w:rsidR="00A36CEB" w:rsidRPr="009E3499">
              <w:rPr>
                <w:b w:val="0"/>
                <w:webHidden/>
                <w:sz w:val="20"/>
                <w:szCs w:val="20"/>
              </w:rPr>
              <w:tab/>
            </w:r>
            <w:r w:rsidR="00A36CEB" w:rsidRPr="009E3499">
              <w:rPr>
                <w:b w:val="0"/>
                <w:webHidden/>
                <w:sz w:val="20"/>
                <w:szCs w:val="20"/>
              </w:rPr>
              <w:fldChar w:fldCharType="begin"/>
            </w:r>
            <w:r w:rsidR="00A36CEB" w:rsidRPr="009E3499">
              <w:rPr>
                <w:b w:val="0"/>
                <w:webHidden/>
                <w:sz w:val="20"/>
                <w:szCs w:val="20"/>
              </w:rPr>
              <w:instrText xml:space="preserve"> PAGEREF _Toc81571921 \h </w:instrText>
            </w:r>
            <w:r w:rsidR="00A36CEB" w:rsidRPr="009E3499">
              <w:rPr>
                <w:b w:val="0"/>
                <w:webHidden/>
                <w:sz w:val="20"/>
                <w:szCs w:val="20"/>
              </w:rPr>
            </w:r>
            <w:r w:rsidR="00A36CEB" w:rsidRPr="009E3499">
              <w:rPr>
                <w:b w:val="0"/>
                <w:webHidden/>
                <w:sz w:val="20"/>
                <w:szCs w:val="20"/>
              </w:rPr>
              <w:fldChar w:fldCharType="separate"/>
            </w:r>
            <w:r w:rsidR="00081415">
              <w:rPr>
                <w:b w:val="0"/>
                <w:webHidden/>
                <w:sz w:val="20"/>
                <w:szCs w:val="20"/>
              </w:rPr>
              <w:t>115</w:t>
            </w:r>
            <w:r w:rsidR="00A36CEB" w:rsidRPr="009E3499">
              <w:rPr>
                <w:b w:val="0"/>
                <w:webHidden/>
                <w:sz w:val="20"/>
                <w:szCs w:val="20"/>
              </w:rPr>
              <w:fldChar w:fldCharType="end"/>
            </w:r>
          </w:hyperlink>
        </w:p>
        <w:p w14:paraId="65AF1468" w14:textId="5579EBEF" w:rsidR="00A36CEB" w:rsidRPr="009E3499" w:rsidRDefault="009E3499">
          <w:pPr>
            <w:pStyle w:val="TDC3"/>
            <w:rPr>
              <w:rFonts w:eastAsiaTheme="minorEastAsia"/>
              <w:noProof/>
              <w:sz w:val="20"/>
              <w:szCs w:val="20"/>
              <w:lang w:eastAsia="es-GT"/>
            </w:rPr>
          </w:pPr>
          <w:r w:rsidRPr="009E3499">
            <w:rPr>
              <w:rStyle w:val="Hipervnculo"/>
              <w:noProof/>
              <w:sz w:val="20"/>
              <w:szCs w:val="20"/>
              <w:u w:val="none"/>
            </w:rPr>
            <w:t xml:space="preserve">     </w:t>
          </w:r>
          <w:hyperlink w:anchor="_Toc81571922" w:history="1">
            <w:r w:rsidR="00A36CEB" w:rsidRPr="009E3499">
              <w:rPr>
                <w:rStyle w:val="Hipervnculo"/>
                <w:rFonts w:ascii="Times New Roman" w:hAnsi="Times New Roman" w:cs="Times New Roman"/>
                <w:noProof/>
                <w:sz w:val="20"/>
                <w:szCs w:val="20"/>
                <w:u w:val="none"/>
              </w:rPr>
              <w:t>9.1.1.</w:t>
            </w:r>
            <w:r w:rsidRPr="009E3499">
              <w:rPr>
                <w:rFonts w:eastAsiaTheme="minorEastAsia"/>
                <w:noProof/>
                <w:sz w:val="20"/>
                <w:szCs w:val="20"/>
                <w:lang w:eastAsia="es-GT"/>
              </w:rPr>
              <w:t xml:space="preserve">  </w:t>
            </w:r>
            <w:r w:rsidR="00A36CEB" w:rsidRPr="009E3499">
              <w:rPr>
                <w:rStyle w:val="Hipervnculo"/>
                <w:rFonts w:ascii="Times New Roman" w:hAnsi="Times New Roman" w:cs="Times New Roman"/>
                <w:noProof/>
                <w:sz w:val="20"/>
                <w:szCs w:val="20"/>
                <w:u w:val="none"/>
              </w:rPr>
              <w:t>Estimación de ingresos fiscales</w:t>
            </w:r>
            <w:r w:rsidR="00A36CEB" w:rsidRPr="009E3499">
              <w:rPr>
                <w:noProof/>
                <w:webHidden/>
                <w:sz w:val="20"/>
                <w:szCs w:val="20"/>
              </w:rPr>
              <w:tab/>
            </w:r>
            <w:r w:rsidR="00A36CEB" w:rsidRPr="009E3499">
              <w:rPr>
                <w:noProof/>
                <w:webHidden/>
                <w:sz w:val="20"/>
                <w:szCs w:val="20"/>
              </w:rPr>
              <w:fldChar w:fldCharType="begin"/>
            </w:r>
            <w:r w:rsidR="00A36CEB" w:rsidRPr="009E3499">
              <w:rPr>
                <w:noProof/>
                <w:webHidden/>
                <w:sz w:val="20"/>
                <w:szCs w:val="20"/>
              </w:rPr>
              <w:instrText xml:space="preserve"> PAGEREF _Toc81571922 \h </w:instrText>
            </w:r>
            <w:r w:rsidR="00A36CEB" w:rsidRPr="009E3499">
              <w:rPr>
                <w:noProof/>
                <w:webHidden/>
                <w:sz w:val="20"/>
                <w:szCs w:val="20"/>
              </w:rPr>
            </w:r>
            <w:r w:rsidR="00A36CEB" w:rsidRPr="009E3499">
              <w:rPr>
                <w:noProof/>
                <w:webHidden/>
                <w:sz w:val="20"/>
                <w:szCs w:val="20"/>
              </w:rPr>
              <w:fldChar w:fldCharType="separate"/>
            </w:r>
            <w:r w:rsidR="00081415">
              <w:rPr>
                <w:noProof/>
                <w:webHidden/>
                <w:sz w:val="20"/>
                <w:szCs w:val="20"/>
              </w:rPr>
              <w:t>115</w:t>
            </w:r>
            <w:r w:rsidR="00A36CEB" w:rsidRPr="009E3499">
              <w:rPr>
                <w:noProof/>
                <w:webHidden/>
                <w:sz w:val="20"/>
                <w:szCs w:val="20"/>
              </w:rPr>
              <w:fldChar w:fldCharType="end"/>
            </w:r>
          </w:hyperlink>
        </w:p>
        <w:p w14:paraId="08AEB57F" w14:textId="2D36A32B" w:rsidR="00A36CEB" w:rsidRPr="009E3499" w:rsidRDefault="009E3499">
          <w:pPr>
            <w:pStyle w:val="TDC3"/>
            <w:rPr>
              <w:rFonts w:eastAsiaTheme="minorEastAsia"/>
              <w:noProof/>
              <w:sz w:val="20"/>
              <w:szCs w:val="20"/>
              <w:lang w:eastAsia="es-GT"/>
            </w:rPr>
          </w:pPr>
          <w:r w:rsidRPr="009E3499">
            <w:rPr>
              <w:rStyle w:val="Hipervnculo"/>
              <w:noProof/>
              <w:sz w:val="20"/>
              <w:szCs w:val="20"/>
              <w:u w:val="none"/>
            </w:rPr>
            <w:t xml:space="preserve">     </w:t>
          </w:r>
          <w:hyperlink w:anchor="_Toc81571923" w:history="1">
            <w:r w:rsidR="00A36CEB" w:rsidRPr="009E3499">
              <w:rPr>
                <w:rStyle w:val="Hipervnculo"/>
                <w:rFonts w:ascii="Times New Roman" w:hAnsi="Times New Roman" w:cs="Times New Roman"/>
                <w:noProof/>
                <w:sz w:val="20"/>
                <w:szCs w:val="20"/>
                <w:u w:val="none"/>
              </w:rPr>
              <w:t>9.1.2.</w:t>
            </w:r>
            <w:r w:rsidRPr="009E3499">
              <w:rPr>
                <w:rFonts w:eastAsiaTheme="minorEastAsia"/>
                <w:noProof/>
                <w:sz w:val="20"/>
                <w:szCs w:val="20"/>
                <w:lang w:eastAsia="es-GT"/>
              </w:rPr>
              <w:t xml:space="preserve">  </w:t>
            </w:r>
            <w:r w:rsidR="00A36CEB" w:rsidRPr="009E3499">
              <w:rPr>
                <w:rStyle w:val="Hipervnculo"/>
                <w:rFonts w:ascii="Times New Roman" w:hAnsi="Times New Roman" w:cs="Times New Roman"/>
                <w:noProof/>
                <w:sz w:val="20"/>
                <w:szCs w:val="20"/>
                <w:u w:val="none"/>
              </w:rPr>
              <w:t>Proyecciones de recaudación tributaria</w:t>
            </w:r>
            <w:r w:rsidR="00A36CEB" w:rsidRPr="009E3499">
              <w:rPr>
                <w:noProof/>
                <w:webHidden/>
                <w:sz w:val="20"/>
                <w:szCs w:val="20"/>
              </w:rPr>
              <w:tab/>
            </w:r>
            <w:r w:rsidR="00A36CEB" w:rsidRPr="009E3499">
              <w:rPr>
                <w:noProof/>
                <w:webHidden/>
                <w:sz w:val="20"/>
                <w:szCs w:val="20"/>
              </w:rPr>
              <w:fldChar w:fldCharType="begin"/>
            </w:r>
            <w:r w:rsidR="00A36CEB" w:rsidRPr="009E3499">
              <w:rPr>
                <w:noProof/>
                <w:webHidden/>
                <w:sz w:val="20"/>
                <w:szCs w:val="20"/>
              </w:rPr>
              <w:instrText xml:space="preserve"> PAGEREF _Toc81571923 \h </w:instrText>
            </w:r>
            <w:r w:rsidR="00A36CEB" w:rsidRPr="009E3499">
              <w:rPr>
                <w:noProof/>
                <w:webHidden/>
                <w:sz w:val="20"/>
                <w:szCs w:val="20"/>
              </w:rPr>
            </w:r>
            <w:r w:rsidR="00A36CEB" w:rsidRPr="009E3499">
              <w:rPr>
                <w:noProof/>
                <w:webHidden/>
                <w:sz w:val="20"/>
                <w:szCs w:val="20"/>
              </w:rPr>
              <w:fldChar w:fldCharType="separate"/>
            </w:r>
            <w:r w:rsidR="00081415">
              <w:rPr>
                <w:noProof/>
                <w:webHidden/>
                <w:sz w:val="20"/>
                <w:szCs w:val="20"/>
              </w:rPr>
              <w:t>116</w:t>
            </w:r>
            <w:r w:rsidR="00A36CEB" w:rsidRPr="009E3499">
              <w:rPr>
                <w:noProof/>
                <w:webHidden/>
                <w:sz w:val="20"/>
                <w:szCs w:val="20"/>
              </w:rPr>
              <w:fldChar w:fldCharType="end"/>
            </w:r>
          </w:hyperlink>
        </w:p>
        <w:p w14:paraId="31758934" w14:textId="3DFEE2E4" w:rsidR="00A36CEB" w:rsidRPr="009E3499" w:rsidRDefault="009E3499">
          <w:pPr>
            <w:pStyle w:val="TDC3"/>
            <w:rPr>
              <w:rFonts w:eastAsiaTheme="minorEastAsia"/>
              <w:noProof/>
              <w:sz w:val="20"/>
              <w:szCs w:val="20"/>
              <w:lang w:eastAsia="es-GT"/>
            </w:rPr>
          </w:pPr>
          <w:r w:rsidRPr="009E3499">
            <w:rPr>
              <w:rStyle w:val="Hipervnculo"/>
              <w:noProof/>
              <w:sz w:val="20"/>
              <w:szCs w:val="20"/>
              <w:u w:val="none"/>
            </w:rPr>
            <w:t xml:space="preserve">     </w:t>
          </w:r>
          <w:hyperlink w:anchor="_Toc81571924" w:history="1">
            <w:r w:rsidR="00A36CEB" w:rsidRPr="009E3499">
              <w:rPr>
                <w:rStyle w:val="Hipervnculo"/>
                <w:rFonts w:ascii="Times New Roman" w:hAnsi="Times New Roman" w:cs="Times New Roman"/>
                <w:noProof/>
                <w:sz w:val="20"/>
                <w:szCs w:val="20"/>
                <w:u w:val="none"/>
              </w:rPr>
              <w:t>9.1.3.</w:t>
            </w:r>
            <w:r w:rsidRPr="009E3499">
              <w:rPr>
                <w:rFonts w:eastAsiaTheme="minorEastAsia"/>
                <w:noProof/>
                <w:sz w:val="20"/>
                <w:szCs w:val="20"/>
                <w:lang w:eastAsia="es-GT"/>
              </w:rPr>
              <w:t xml:space="preserve">  </w:t>
            </w:r>
            <w:r w:rsidR="00A36CEB" w:rsidRPr="009E3499">
              <w:rPr>
                <w:rStyle w:val="Hipervnculo"/>
                <w:rFonts w:ascii="Times New Roman" w:hAnsi="Times New Roman" w:cs="Times New Roman"/>
                <w:noProof/>
                <w:sz w:val="20"/>
                <w:szCs w:val="20"/>
                <w:u w:val="none"/>
              </w:rPr>
              <w:t>Proyecciones de gasto público</w:t>
            </w:r>
            <w:r w:rsidR="00A36CEB" w:rsidRPr="009E3499">
              <w:rPr>
                <w:noProof/>
                <w:webHidden/>
                <w:sz w:val="20"/>
                <w:szCs w:val="20"/>
              </w:rPr>
              <w:tab/>
            </w:r>
            <w:r w:rsidR="00A36CEB" w:rsidRPr="009E3499">
              <w:rPr>
                <w:noProof/>
                <w:webHidden/>
                <w:sz w:val="20"/>
                <w:szCs w:val="20"/>
              </w:rPr>
              <w:fldChar w:fldCharType="begin"/>
            </w:r>
            <w:r w:rsidR="00A36CEB" w:rsidRPr="009E3499">
              <w:rPr>
                <w:noProof/>
                <w:webHidden/>
                <w:sz w:val="20"/>
                <w:szCs w:val="20"/>
              </w:rPr>
              <w:instrText xml:space="preserve"> PAGEREF _Toc81571924 \h </w:instrText>
            </w:r>
            <w:r w:rsidR="00A36CEB" w:rsidRPr="009E3499">
              <w:rPr>
                <w:noProof/>
                <w:webHidden/>
                <w:sz w:val="20"/>
                <w:szCs w:val="20"/>
              </w:rPr>
            </w:r>
            <w:r w:rsidR="00A36CEB" w:rsidRPr="009E3499">
              <w:rPr>
                <w:noProof/>
                <w:webHidden/>
                <w:sz w:val="20"/>
                <w:szCs w:val="20"/>
              </w:rPr>
              <w:fldChar w:fldCharType="separate"/>
            </w:r>
            <w:r w:rsidR="00081415">
              <w:rPr>
                <w:noProof/>
                <w:webHidden/>
                <w:sz w:val="20"/>
                <w:szCs w:val="20"/>
              </w:rPr>
              <w:t>121</w:t>
            </w:r>
            <w:r w:rsidR="00A36CEB" w:rsidRPr="009E3499">
              <w:rPr>
                <w:noProof/>
                <w:webHidden/>
                <w:sz w:val="20"/>
                <w:szCs w:val="20"/>
              </w:rPr>
              <w:fldChar w:fldCharType="end"/>
            </w:r>
          </w:hyperlink>
        </w:p>
        <w:p w14:paraId="051D4EFC" w14:textId="6AF238A4" w:rsidR="00A36CEB" w:rsidRPr="009E3499" w:rsidRDefault="009E3499">
          <w:pPr>
            <w:pStyle w:val="TDC3"/>
            <w:rPr>
              <w:rFonts w:eastAsiaTheme="minorEastAsia"/>
              <w:noProof/>
              <w:sz w:val="20"/>
              <w:szCs w:val="20"/>
              <w:lang w:eastAsia="es-GT"/>
            </w:rPr>
          </w:pPr>
          <w:r w:rsidRPr="009E3499">
            <w:rPr>
              <w:rStyle w:val="Hipervnculo"/>
              <w:noProof/>
              <w:sz w:val="20"/>
              <w:szCs w:val="20"/>
              <w:u w:val="none"/>
            </w:rPr>
            <w:t xml:space="preserve">     </w:t>
          </w:r>
          <w:hyperlink w:anchor="_Toc81571925" w:history="1">
            <w:r w:rsidR="00A36CEB" w:rsidRPr="009E3499">
              <w:rPr>
                <w:rStyle w:val="Hipervnculo"/>
                <w:rFonts w:ascii="Times New Roman" w:hAnsi="Times New Roman" w:cs="Times New Roman"/>
                <w:noProof/>
                <w:sz w:val="20"/>
                <w:szCs w:val="20"/>
                <w:u w:val="none"/>
              </w:rPr>
              <w:t>9.1.4.</w:t>
            </w:r>
            <w:r w:rsidRPr="009E3499">
              <w:rPr>
                <w:rFonts w:eastAsiaTheme="minorEastAsia"/>
                <w:noProof/>
                <w:sz w:val="20"/>
                <w:szCs w:val="20"/>
                <w:lang w:eastAsia="es-GT"/>
              </w:rPr>
              <w:t xml:space="preserve">  </w:t>
            </w:r>
            <w:r w:rsidR="00A36CEB" w:rsidRPr="009E3499">
              <w:rPr>
                <w:rStyle w:val="Hipervnculo"/>
                <w:rFonts w:ascii="Times New Roman" w:hAnsi="Times New Roman" w:cs="Times New Roman"/>
                <w:bCs/>
                <w:noProof/>
                <w:sz w:val="20"/>
                <w:szCs w:val="20"/>
                <w:u w:val="none"/>
                <w:lang w:val="es-ES"/>
              </w:rPr>
              <w:t>Proyección del financiamiento de déficit fiscal</w:t>
            </w:r>
            <w:r w:rsidR="00A36CEB" w:rsidRPr="009E3499">
              <w:rPr>
                <w:noProof/>
                <w:webHidden/>
                <w:sz w:val="20"/>
                <w:szCs w:val="20"/>
              </w:rPr>
              <w:tab/>
            </w:r>
            <w:r w:rsidR="00A36CEB" w:rsidRPr="009E3499">
              <w:rPr>
                <w:noProof/>
                <w:webHidden/>
                <w:sz w:val="20"/>
                <w:szCs w:val="20"/>
              </w:rPr>
              <w:fldChar w:fldCharType="begin"/>
            </w:r>
            <w:r w:rsidR="00A36CEB" w:rsidRPr="009E3499">
              <w:rPr>
                <w:noProof/>
                <w:webHidden/>
                <w:sz w:val="20"/>
                <w:szCs w:val="20"/>
              </w:rPr>
              <w:instrText xml:space="preserve"> PAGEREF _Toc81571925 \h </w:instrText>
            </w:r>
            <w:r w:rsidR="00A36CEB" w:rsidRPr="009E3499">
              <w:rPr>
                <w:noProof/>
                <w:webHidden/>
                <w:sz w:val="20"/>
                <w:szCs w:val="20"/>
              </w:rPr>
            </w:r>
            <w:r w:rsidR="00A36CEB" w:rsidRPr="009E3499">
              <w:rPr>
                <w:noProof/>
                <w:webHidden/>
                <w:sz w:val="20"/>
                <w:szCs w:val="20"/>
              </w:rPr>
              <w:fldChar w:fldCharType="separate"/>
            </w:r>
            <w:r w:rsidR="00081415">
              <w:rPr>
                <w:noProof/>
                <w:webHidden/>
                <w:sz w:val="20"/>
                <w:szCs w:val="20"/>
              </w:rPr>
              <w:t>124</w:t>
            </w:r>
            <w:r w:rsidR="00A36CEB" w:rsidRPr="009E3499">
              <w:rPr>
                <w:noProof/>
                <w:webHidden/>
                <w:sz w:val="20"/>
                <w:szCs w:val="20"/>
              </w:rPr>
              <w:fldChar w:fldCharType="end"/>
            </w:r>
          </w:hyperlink>
        </w:p>
        <w:p w14:paraId="506BCAC6" w14:textId="1AFBD984" w:rsidR="00A36CEB" w:rsidRPr="009E3499" w:rsidRDefault="009E3499">
          <w:pPr>
            <w:pStyle w:val="TDC2"/>
            <w:tabs>
              <w:tab w:val="left" w:pos="880"/>
            </w:tabs>
            <w:rPr>
              <w:rFonts w:asciiTheme="minorHAnsi" w:eastAsiaTheme="minorEastAsia" w:hAnsiTheme="minorHAnsi" w:cstheme="minorBidi"/>
              <w:b w:val="0"/>
              <w:sz w:val="20"/>
              <w:szCs w:val="20"/>
              <w:lang w:val="es-GT" w:eastAsia="es-GT"/>
            </w:rPr>
          </w:pPr>
          <w:r w:rsidRPr="009E3499">
            <w:rPr>
              <w:rStyle w:val="Hipervnculo"/>
              <w:b w:val="0"/>
              <w:sz w:val="20"/>
              <w:szCs w:val="20"/>
              <w:u w:val="none"/>
            </w:rPr>
            <w:t xml:space="preserve">  </w:t>
          </w:r>
          <w:hyperlink w:anchor="_Toc81571926" w:history="1">
            <w:r w:rsidR="00A36CEB" w:rsidRPr="009E3499">
              <w:rPr>
                <w:rStyle w:val="Hipervnculo"/>
                <w:b w:val="0"/>
                <w:bCs/>
                <w:sz w:val="20"/>
                <w:szCs w:val="20"/>
                <w:u w:val="none"/>
                <w:lang w:val="es-ES"/>
              </w:rPr>
              <w:t>9.2.</w:t>
            </w:r>
            <w:r w:rsidRPr="009E3499">
              <w:rPr>
                <w:rFonts w:asciiTheme="minorHAnsi" w:eastAsiaTheme="minorEastAsia" w:hAnsiTheme="minorHAnsi" w:cstheme="minorBidi"/>
                <w:b w:val="0"/>
                <w:sz w:val="20"/>
                <w:szCs w:val="20"/>
                <w:lang w:val="es-GT" w:eastAsia="es-GT"/>
              </w:rPr>
              <w:t xml:space="preserve">  </w:t>
            </w:r>
            <w:r w:rsidR="00A36CEB" w:rsidRPr="009E3499">
              <w:rPr>
                <w:rStyle w:val="Hipervnculo"/>
                <w:b w:val="0"/>
                <w:bCs/>
                <w:sz w:val="20"/>
                <w:szCs w:val="20"/>
                <w:u w:val="none"/>
                <w:lang w:val="es-ES"/>
              </w:rPr>
              <w:t>Comportamiento histórico del endeudamiento público y perspectivas</w:t>
            </w:r>
            <w:r w:rsidR="00A36CEB" w:rsidRPr="009E3499">
              <w:rPr>
                <w:b w:val="0"/>
                <w:webHidden/>
                <w:sz w:val="20"/>
                <w:szCs w:val="20"/>
              </w:rPr>
              <w:tab/>
            </w:r>
            <w:r w:rsidR="00A36CEB" w:rsidRPr="009E3499">
              <w:rPr>
                <w:b w:val="0"/>
                <w:webHidden/>
                <w:sz w:val="20"/>
                <w:szCs w:val="20"/>
              </w:rPr>
              <w:fldChar w:fldCharType="begin"/>
            </w:r>
            <w:r w:rsidR="00A36CEB" w:rsidRPr="009E3499">
              <w:rPr>
                <w:b w:val="0"/>
                <w:webHidden/>
                <w:sz w:val="20"/>
                <w:szCs w:val="20"/>
              </w:rPr>
              <w:instrText xml:space="preserve"> PAGEREF _Toc81571926 \h </w:instrText>
            </w:r>
            <w:r w:rsidR="00A36CEB" w:rsidRPr="009E3499">
              <w:rPr>
                <w:b w:val="0"/>
                <w:webHidden/>
                <w:sz w:val="20"/>
                <w:szCs w:val="20"/>
              </w:rPr>
            </w:r>
            <w:r w:rsidR="00A36CEB" w:rsidRPr="009E3499">
              <w:rPr>
                <w:b w:val="0"/>
                <w:webHidden/>
                <w:sz w:val="20"/>
                <w:szCs w:val="20"/>
              </w:rPr>
              <w:fldChar w:fldCharType="separate"/>
            </w:r>
            <w:r w:rsidR="00081415">
              <w:rPr>
                <w:b w:val="0"/>
                <w:webHidden/>
                <w:sz w:val="20"/>
                <w:szCs w:val="20"/>
              </w:rPr>
              <w:t>127</w:t>
            </w:r>
            <w:r w:rsidR="00A36CEB" w:rsidRPr="009E3499">
              <w:rPr>
                <w:b w:val="0"/>
                <w:webHidden/>
                <w:sz w:val="20"/>
                <w:szCs w:val="20"/>
              </w:rPr>
              <w:fldChar w:fldCharType="end"/>
            </w:r>
          </w:hyperlink>
        </w:p>
        <w:p w14:paraId="524EF4BB" w14:textId="4EDEF4F8" w:rsidR="00A36CEB" w:rsidRPr="009E3499" w:rsidRDefault="009E3499">
          <w:pPr>
            <w:pStyle w:val="TDC2"/>
            <w:tabs>
              <w:tab w:val="left" w:pos="880"/>
            </w:tabs>
            <w:rPr>
              <w:rFonts w:asciiTheme="minorHAnsi" w:eastAsiaTheme="minorEastAsia" w:hAnsiTheme="minorHAnsi" w:cstheme="minorBidi"/>
              <w:b w:val="0"/>
              <w:sz w:val="20"/>
              <w:szCs w:val="20"/>
              <w:lang w:val="es-GT" w:eastAsia="es-GT"/>
            </w:rPr>
          </w:pPr>
          <w:r w:rsidRPr="009E3499">
            <w:rPr>
              <w:rStyle w:val="Hipervnculo"/>
              <w:b w:val="0"/>
              <w:sz w:val="20"/>
              <w:szCs w:val="20"/>
              <w:u w:val="none"/>
            </w:rPr>
            <w:t xml:space="preserve">  </w:t>
          </w:r>
          <w:hyperlink w:anchor="_Toc81571927" w:history="1">
            <w:r w:rsidR="00A36CEB" w:rsidRPr="009E3499">
              <w:rPr>
                <w:rStyle w:val="Hipervnculo"/>
                <w:b w:val="0"/>
                <w:bCs/>
                <w:sz w:val="20"/>
                <w:szCs w:val="20"/>
                <w:u w:val="none"/>
                <w:lang w:val="es-ES"/>
              </w:rPr>
              <w:t>9.3.</w:t>
            </w:r>
            <w:r w:rsidRPr="009E3499">
              <w:rPr>
                <w:rFonts w:asciiTheme="minorHAnsi" w:eastAsiaTheme="minorEastAsia" w:hAnsiTheme="minorHAnsi" w:cstheme="minorBidi"/>
                <w:b w:val="0"/>
                <w:sz w:val="20"/>
                <w:szCs w:val="20"/>
                <w:lang w:val="es-GT" w:eastAsia="es-GT"/>
              </w:rPr>
              <w:t xml:space="preserve">  </w:t>
            </w:r>
            <w:r w:rsidR="00A36CEB" w:rsidRPr="009E3499">
              <w:rPr>
                <w:rStyle w:val="Hipervnculo"/>
                <w:b w:val="0"/>
                <w:bCs/>
                <w:sz w:val="20"/>
                <w:szCs w:val="20"/>
                <w:u w:val="none"/>
                <w:lang w:val="es-ES"/>
              </w:rPr>
              <w:t>El Ciclo económico y la orientación de la política fiscal</w:t>
            </w:r>
            <w:r w:rsidR="00A36CEB" w:rsidRPr="009E3499">
              <w:rPr>
                <w:b w:val="0"/>
                <w:webHidden/>
                <w:sz w:val="20"/>
                <w:szCs w:val="20"/>
              </w:rPr>
              <w:tab/>
            </w:r>
            <w:r w:rsidR="00A36CEB" w:rsidRPr="009E3499">
              <w:rPr>
                <w:b w:val="0"/>
                <w:webHidden/>
                <w:sz w:val="20"/>
                <w:szCs w:val="20"/>
              </w:rPr>
              <w:fldChar w:fldCharType="begin"/>
            </w:r>
            <w:r w:rsidR="00A36CEB" w:rsidRPr="009E3499">
              <w:rPr>
                <w:b w:val="0"/>
                <w:webHidden/>
                <w:sz w:val="20"/>
                <w:szCs w:val="20"/>
              </w:rPr>
              <w:instrText xml:space="preserve"> PAGEREF _Toc81571927 \h </w:instrText>
            </w:r>
            <w:r w:rsidR="00A36CEB" w:rsidRPr="009E3499">
              <w:rPr>
                <w:b w:val="0"/>
                <w:webHidden/>
                <w:sz w:val="20"/>
                <w:szCs w:val="20"/>
              </w:rPr>
            </w:r>
            <w:r w:rsidR="00A36CEB" w:rsidRPr="009E3499">
              <w:rPr>
                <w:b w:val="0"/>
                <w:webHidden/>
                <w:sz w:val="20"/>
                <w:szCs w:val="20"/>
              </w:rPr>
              <w:fldChar w:fldCharType="separate"/>
            </w:r>
            <w:r w:rsidR="00081415">
              <w:rPr>
                <w:b w:val="0"/>
                <w:webHidden/>
                <w:sz w:val="20"/>
                <w:szCs w:val="20"/>
              </w:rPr>
              <w:t>131</w:t>
            </w:r>
            <w:r w:rsidR="00A36CEB" w:rsidRPr="009E3499">
              <w:rPr>
                <w:b w:val="0"/>
                <w:webHidden/>
                <w:sz w:val="20"/>
                <w:szCs w:val="20"/>
              </w:rPr>
              <w:fldChar w:fldCharType="end"/>
            </w:r>
          </w:hyperlink>
        </w:p>
        <w:p w14:paraId="3A0F8BDE" w14:textId="7ACBBB55" w:rsidR="00A36CEB" w:rsidRPr="009E3499" w:rsidRDefault="009E3499">
          <w:pPr>
            <w:pStyle w:val="TDC2"/>
            <w:tabs>
              <w:tab w:val="left" w:pos="880"/>
            </w:tabs>
            <w:rPr>
              <w:rFonts w:asciiTheme="minorHAnsi" w:eastAsiaTheme="minorEastAsia" w:hAnsiTheme="minorHAnsi" w:cstheme="minorBidi"/>
              <w:b w:val="0"/>
              <w:sz w:val="20"/>
              <w:szCs w:val="20"/>
              <w:lang w:val="es-GT" w:eastAsia="es-GT"/>
            </w:rPr>
          </w:pPr>
          <w:r w:rsidRPr="009E3499">
            <w:rPr>
              <w:rStyle w:val="Hipervnculo"/>
              <w:b w:val="0"/>
              <w:sz w:val="20"/>
              <w:szCs w:val="20"/>
              <w:u w:val="none"/>
            </w:rPr>
            <w:t xml:space="preserve">  </w:t>
          </w:r>
          <w:hyperlink w:anchor="_Toc81571928" w:history="1">
            <w:r w:rsidR="00A36CEB" w:rsidRPr="009E3499">
              <w:rPr>
                <w:rStyle w:val="Hipervnculo"/>
                <w:b w:val="0"/>
                <w:sz w:val="20"/>
                <w:szCs w:val="20"/>
                <w:u w:val="none"/>
              </w:rPr>
              <w:t>9.4.</w:t>
            </w:r>
            <w:r w:rsidRPr="009E3499">
              <w:rPr>
                <w:rFonts w:asciiTheme="minorHAnsi" w:eastAsiaTheme="minorEastAsia" w:hAnsiTheme="minorHAnsi" w:cstheme="minorBidi"/>
                <w:b w:val="0"/>
                <w:sz w:val="20"/>
                <w:szCs w:val="20"/>
                <w:lang w:val="es-GT" w:eastAsia="es-GT"/>
              </w:rPr>
              <w:t xml:space="preserve">  </w:t>
            </w:r>
            <w:r w:rsidR="00A36CEB" w:rsidRPr="009E3499">
              <w:rPr>
                <w:rStyle w:val="Hipervnculo"/>
                <w:b w:val="0"/>
                <w:bCs/>
                <w:sz w:val="20"/>
                <w:szCs w:val="20"/>
                <w:u w:val="none"/>
                <w:lang w:val="es-ES"/>
              </w:rPr>
              <w:t>Escenarios alternativos en las proyecciones de recaudación tributaria</w:t>
            </w:r>
            <w:r w:rsidR="00A36CEB" w:rsidRPr="009E3499">
              <w:rPr>
                <w:b w:val="0"/>
                <w:webHidden/>
                <w:sz w:val="20"/>
                <w:szCs w:val="20"/>
              </w:rPr>
              <w:tab/>
            </w:r>
            <w:r w:rsidR="00A36CEB" w:rsidRPr="009E3499">
              <w:rPr>
                <w:b w:val="0"/>
                <w:webHidden/>
                <w:sz w:val="20"/>
                <w:szCs w:val="20"/>
              </w:rPr>
              <w:fldChar w:fldCharType="begin"/>
            </w:r>
            <w:r w:rsidR="00A36CEB" w:rsidRPr="009E3499">
              <w:rPr>
                <w:b w:val="0"/>
                <w:webHidden/>
                <w:sz w:val="20"/>
                <w:szCs w:val="20"/>
              </w:rPr>
              <w:instrText xml:space="preserve"> PAGEREF _Toc81571928 \h </w:instrText>
            </w:r>
            <w:r w:rsidR="00A36CEB" w:rsidRPr="009E3499">
              <w:rPr>
                <w:b w:val="0"/>
                <w:webHidden/>
                <w:sz w:val="20"/>
                <w:szCs w:val="20"/>
              </w:rPr>
            </w:r>
            <w:r w:rsidR="00A36CEB" w:rsidRPr="009E3499">
              <w:rPr>
                <w:b w:val="0"/>
                <w:webHidden/>
                <w:sz w:val="20"/>
                <w:szCs w:val="20"/>
              </w:rPr>
              <w:fldChar w:fldCharType="separate"/>
            </w:r>
            <w:r w:rsidR="00081415">
              <w:rPr>
                <w:b w:val="0"/>
                <w:webHidden/>
                <w:sz w:val="20"/>
                <w:szCs w:val="20"/>
              </w:rPr>
              <w:t>134</w:t>
            </w:r>
            <w:r w:rsidR="00A36CEB" w:rsidRPr="009E3499">
              <w:rPr>
                <w:b w:val="0"/>
                <w:webHidden/>
                <w:sz w:val="20"/>
                <w:szCs w:val="20"/>
              </w:rPr>
              <w:fldChar w:fldCharType="end"/>
            </w:r>
          </w:hyperlink>
        </w:p>
        <w:p w14:paraId="017586A3" w14:textId="1A82B5B9" w:rsidR="00A36CEB" w:rsidRPr="009E3499" w:rsidRDefault="009E3499">
          <w:pPr>
            <w:pStyle w:val="TDC2"/>
            <w:tabs>
              <w:tab w:val="left" w:pos="880"/>
            </w:tabs>
            <w:rPr>
              <w:rFonts w:asciiTheme="minorHAnsi" w:eastAsiaTheme="minorEastAsia" w:hAnsiTheme="minorHAnsi" w:cstheme="minorBidi"/>
              <w:b w:val="0"/>
              <w:sz w:val="20"/>
              <w:szCs w:val="20"/>
              <w:lang w:val="es-GT" w:eastAsia="es-GT"/>
            </w:rPr>
          </w:pPr>
          <w:r w:rsidRPr="009E3499">
            <w:rPr>
              <w:rStyle w:val="Hipervnculo"/>
              <w:b w:val="0"/>
              <w:sz w:val="20"/>
              <w:szCs w:val="20"/>
              <w:u w:val="none"/>
            </w:rPr>
            <w:t xml:space="preserve">        </w:t>
          </w:r>
          <w:hyperlink w:anchor="_Toc81571929" w:history="1">
            <w:r w:rsidRPr="009E3499">
              <w:rPr>
                <w:rStyle w:val="Hipervnculo"/>
                <w:b w:val="0"/>
                <w:bCs/>
                <w:sz w:val="20"/>
                <w:szCs w:val="20"/>
                <w:u w:val="none"/>
                <w:lang w:val="es-ES"/>
              </w:rPr>
              <w:t>9.4.1</w:t>
            </w:r>
            <w:r w:rsidRPr="009E3499">
              <w:rPr>
                <w:rFonts w:asciiTheme="minorHAnsi" w:eastAsiaTheme="minorEastAsia" w:hAnsiTheme="minorHAnsi" w:cstheme="minorBidi"/>
                <w:b w:val="0"/>
                <w:sz w:val="20"/>
                <w:szCs w:val="20"/>
                <w:lang w:val="es-GT" w:eastAsia="es-GT"/>
              </w:rPr>
              <w:t xml:space="preserve">.  </w:t>
            </w:r>
            <w:r w:rsidR="00A36CEB" w:rsidRPr="009E3499">
              <w:rPr>
                <w:rStyle w:val="Hipervnculo"/>
                <w:b w:val="0"/>
                <w:bCs/>
                <w:sz w:val="20"/>
                <w:szCs w:val="20"/>
                <w:u w:val="none"/>
                <w:lang w:val="es-ES"/>
              </w:rPr>
              <w:t>Escenario medio</w:t>
            </w:r>
            <w:r w:rsidR="00A36CEB" w:rsidRPr="009E3499">
              <w:rPr>
                <w:b w:val="0"/>
                <w:webHidden/>
                <w:sz w:val="20"/>
                <w:szCs w:val="20"/>
              </w:rPr>
              <w:tab/>
            </w:r>
            <w:r w:rsidR="00A36CEB" w:rsidRPr="009E3499">
              <w:rPr>
                <w:b w:val="0"/>
                <w:webHidden/>
                <w:sz w:val="20"/>
                <w:szCs w:val="20"/>
              </w:rPr>
              <w:fldChar w:fldCharType="begin"/>
            </w:r>
            <w:r w:rsidR="00A36CEB" w:rsidRPr="009E3499">
              <w:rPr>
                <w:b w:val="0"/>
                <w:webHidden/>
                <w:sz w:val="20"/>
                <w:szCs w:val="20"/>
              </w:rPr>
              <w:instrText xml:space="preserve"> PAGEREF _Toc81571929 \h </w:instrText>
            </w:r>
            <w:r w:rsidR="00A36CEB" w:rsidRPr="009E3499">
              <w:rPr>
                <w:b w:val="0"/>
                <w:webHidden/>
                <w:sz w:val="20"/>
                <w:szCs w:val="20"/>
              </w:rPr>
            </w:r>
            <w:r w:rsidR="00A36CEB" w:rsidRPr="009E3499">
              <w:rPr>
                <w:b w:val="0"/>
                <w:webHidden/>
                <w:sz w:val="20"/>
                <w:szCs w:val="20"/>
              </w:rPr>
              <w:fldChar w:fldCharType="separate"/>
            </w:r>
            <w:r w:rsidR="00081415">
              <w:rPr>
                <w:b w:val="0"/>
                <w:webHidden/>
                <w:sz w:val="20"/>
                <w:szCs w:val="20"/>
              </w:rPr>
              <w:t>134</w:t>
            </w:r>
            <w:r w:rsidR="00A36CEB" w:rsidRPr="009E3499">
              <w:rPr>
                <w:b w:val="0"/>
                <w:webHidden/>
                <w:sz w:val="20"/>
                <w:szCs w:val="20"/>
              </w:rPr>
              <w:fldChar w:fldCharType="end"/>
            </w:r>
          </w:hyperlink>
        </w:p>
        <w:p w14:paraId="14BADD88" w14:textId="58D6ADEE" w:rsidR="00A36CEB" w:rsidRPr="009E3499" w:rsidRDefault="009E3499">
          <w:pPr>
            <w:pStyle w:val="TDC2"/>
            <w:tabs>
              <w:tab w:val="left" w:pos="880"/>
            </w:tabs>
            <w:rPr>
              <w:rFonts w:asciiTheme="minorHAnsi" w:eastAsiaTheme="minorEastAsia" w:hAnsiTheme="minorHAnsi" w:cstheme="minorBidi"/>
              <w:b w:val="0"/>
              <w:sz w:val="20"/>
              <w:szCs w:val="20"/>
              <w:lang w:val="es-GT" w:eastAsia="es-GT"/>
            </w:rPr>
          </w:pPr>
          <w:r w:rsidRPr="009E3499">
            <w:rPr>
              <w:rStyle w:val="Hipervnculo"/>
              <w:b w:val="0"/>
              <w:sz w:val="20"/>
              <w:szCs w:val="20"/>
              <w:u w:val="none"/>
            </w:rPr>
            <w:t xml:space="preserve">        </w:t>
          </w:r>
          <w:hyperlink w:anchor="_Toc81571930" w:history="1">
            <w:r w:rsidR="00A36CEB" w:rsidRPr="009E3499">
              <w:rPr>
                <w:rStyle w:val="Hipervnculo"/>
                <w:b w:val="0"/>
                <w:bCs/>
                <w:sz w:val="20"/>
                <w:szCs w:val="20"/>
                <w:u w:val="none"/>
                <w:lang w:val="es-ES"/>
              </w:rPr>
              <w:t>9.4.2.</w:t>
            </w:r>
            <w:r w:rsidRPr="009E3499">
              <w:rPr>
                <w:rFonts w:asciiTheme="minorHAnsi" w:eastAsiaTheme="minorEastAsia" w:hAnsiTheme="minorHAnsi" w:cstheme="minorBidi"/>
                <w:b w:val="0"/>
                <w:sz w:val="20"/>
                <w:szCs w:val="20"/>
                <w:lang w:val="es-GT" w:eastAsia="es-GT"/>
              </w:rPr>
              <w:t xml:space="preserve">  </w:t>
            </w:r>
            <w:r w:rsidR="00A36CEB" w:rsidRPr="009E3499">
              <w:rPr>
                <w:rStyle w:val="Hipervnculo"/>
                <w:b w:val="0"/>
                <w:bCs/>
                <w:sz w:val="20"/>
                <w:szCs w:val="20"/>
                <w:u w:val="none"/>
                <w:lang w:val="es-ES"/>
              </w:rPr>
              <w:t>Escenario alto</w:t>
            </w:r>
            <w:r w:rsidR="00A36CEB" w:rsidRPr="009E3499">
              <w:rPr>
                <w:b w:val="0"/>
                <w:webHidden/>
                <w:sz w:val="20"/>
                <w:szCs w:val="20"/>
              </w:rPr>
              <w:tab/>
            </w:r>
            <w:r w:rsidR="00A36CEB" w:rsidRPr="009E3499">
              <w:rPr>
                <w:b w:val="0"/>
                <w:webHidden/>
                <w:sz w:val="20"/>
                <w:szCs w:val="20"/>
              </w:rPr>
              <w:fldChar w:fldCharType="begin"/>
            </w:r>
            <w:r w:rsidR="00A36CEB" w:rsidRPr="009E3499">
              <w:rPr>
                <w:b w:val="0"/>
                <w:webHidden/>
                <w:sz w:val="20"/>
                <w:szCs w:val="20"/>
              </w:rPr>
              <w:instrText xml:space="preserve"> PAGEREF _Toc81571930 \h </w:instrText>
            </w:r>
            <w:r w:rsidR="00A36CEB" w:rsidRPr="009E3499">
              <w:rPr>
                <w:b w:val="0"/>
                <w:webHidden/>
                <w:sz w:val="20"/>
                <w:szCs w:val="20"/>
              </w:rPr>
            </w:r>
            <w:r w:rsidR="00A36CEB" w:rsidRPr="009E3499">
              <w:rPr>
                <w:b w:val="0"/>
                <w:webHidden/>
                <w:sz w:val="20"/>
                <w:szCs w:val="20"/>
              </w:rPr>
              <w:fldChar w:fldCharType="separate"/>
            </w:r>
            <w:r w:rsidR="00081415">
              <w:rPr>
                <w:b w:val="0"/>
                <w:webHidden/>
                <w:sz w:val="20"/>
                <w:szCs w:val="20"/>
              </w:rPr>
              <w:t>136</w:t>
            </w:r>
            <w:r w:rsidR="00A36CEB" w:rsidRPr="009E3499">
              <w:rPr>
                <w:b w:val="0"/>
                <w:webHidden/>
                <w:sz w:val="20"/>
                <w:szCs w:val="20"/>
              </w:rPr>
              <w:fldChar w:fldCharType="end"/>
            </w:r>
          </w:hyperlink>
        </w:p>
        <w:p w14:paraId="5FD1545E" w14:textId="7FD96D2D" w:rsidR="00A36CEB" w:rsidRPr="009E3499" w:rsidRDefault="006D2997">
          <w:pPr>
            <w:pStyle w:val="TDC1"/>
            <w:tabs>
              <w:tab w:val="left" w:pos="660"/>
            </w:tabs>
            <w:rPr>
              <w:rFonts w:asciiTheme="minorHAnsi" w:eastAsiaTheme="minorEastAsia" w:hAnsiTheme="minorHAnsi" w:cstheme="minorBidi"/>
              <w:b w:val="0"/>
              <w:sz w:val="20"/>
              <w:szCs w:val="20"/>
              <w:lang w:val="es-GT" w:eastAsia="es-GT"/>
            </w:rPr>
          </w:pPr>
          <w:hyperlink w:anchor="_Toc81571931" w:history="1">
            <w:r w:rsidR="00A36CEB" w:rsidRPr="009E3499">
              <w:rPr>
                <w:rStyle w:val="Hipervnculo"/>
                <w:b w:val="0"/>
                <w:sz w:val="20"/>
                <w:szCs w:val="20"/>
                <w:u w:val="none"/>
              </w:rPr>
              <w:t>III.</w:t>
            </w:r>
            <w:r w:rsidR="00A36CEB" w:rsidRPr="009E3499">
              <w:rPr>
                <w:rFonts w:asciiTheme="minorHAnsi" w:eastAsiaTheme="minorEastAsia" w:hAnsiTheme="minorHAnsi" w:cstheme="minorBidi"/>
                <w:b w:val="0"/>
                <w:sz w:val="20"/>
                <w:szCs w:val="20"/>
                <w:lang w:val="es-GT" w:eastAsia="es-GT"/>
              </w:rPr>
              <w:tab/>
            </w:r>
            <w:r w:rsidR="00A36CEB" w:rsidRPr="009E3499">
              <w:rPr>
                <w:rStyle w:val="Hipervnculo"/>
                <w:b w:val="0"/>
                <w:sz w:val="20"/>
                <w:szCs w:val="20"/>
                <w:u w:val="none"/>
              </w:rPr>
              <w:t>Anexos</w:t>
            </w:r>
            <w:r w:rsidR="00A36CEB" w:rsidRPr="009E3499">
              <w:rPr>
                <w:b w:val="0"/>
                <w:webHidden/>
                <w:sz w:val="20"/>
                <w:szCs w:val="20"/>
              </w:rPr>
              <w:tab/>
            </w:r>
            <w:r w:rsidR="00A36CEB" w:rsidRPr="009E3499">
              <w:rPr>
                <w:b w:val="0"/>
                <w:webHidden/>
                <w:sz w:val="20"/>
                <w:szCs w:val="20"/>
              </w:rPr>
              <w:fldChar w:fldCharType="begin"/>
            </w:r>
            <w:r w:rsidR="00A36CEB" w:rsidRPr="009E3499">
              <w:rPr>
                <w:b w:val="0"/>
                <w:webHidden/>
                <w:sz w:val="20"/>
                <w:szCs w:val="20"/>
              </w:rPr>
              <w:instrText xml:space="preserve"> PAGEREF _Toc81571931 \h </w:instrText>
            </w:r>
            <w:r w:rsidR="00A36CEB" w:rsidRPr="009E3499">
              <w:rPr>
                <w:b w:val="0"/>
                <w:webHidden/>
                <w:sz w:val="20"/>
                <w:szCs w:val="20"/>
              </w:rPr>
            </w:r>
            <w:r w:rsidR="00A36CEB" w:rsidRPr="009E3499">
              <w:rPr>
                <w:b w:val="0"/>
                <w:webHidden/>
                <w:sz w:val="20"/>
                <w:szCs w:val="20"/>
              </w:rPr>
              <w:fldChar w:fldCharType="separate"/>
            </w:r>
            <w:r w:rsidR="00081415">
              <w:rPr>
                <w:b w:val="0"/>
                <w:webHidden/>
                <w:sz w:val="20"/>
                <w:szCs w:val="20"/>
              </w:rPr>
              <w:t>139</w:t>
            </w:r>
            <w:r w:rsidR="00A36CEB" w:rsidRPr="009E3499">
              <w:rPr>
                <w:b w:val="0"/>
                <w:webHidden/>
                <w:sz w:val="20"/>
                <w:szCs w:val="20"/>
              </w:rPr>
              <w:fldChar w:fldCharType="end"/>
            </w:r>
          </w:hyperlink>
        </w:p>
        <w:p w14:paraId="7C9E74B2" w14:textId="1A2488CD" w:rsidR="00A36CEB" w:rsidRPr="009E3499" w:rsidRDefault="009E3499">
          <w:pPr>
            <w:pStyle w:val="TDC1"/>
            <w:rPr>
              <w:rFonts w:asciiTheme="minorHAnsi" w:eastAsiaTheme="minorEastAsia" w:hAnsiTheme="minorHAnsi" w:cstheme="minorBidi"/>
              <w:b w:val="0"/>
              <w:sz w:val="20"/>
              <w:szCs w:val="20"/>
              <w:lang w:val="es-GT" w:eastAsia="es-GT"/>
            </w:rPr>
          </w:pPr>
          <w:r w:rsidRPr="009E3499">
            <w:rPr>
              <w:rStyle w:val="Hipervnculo"/>
              <w:b w:val="0"/>
              <w:sz w:val="20"/>
              <w:szCs w:val="20"/>
              <w:u w:val="none"/>
            </w:rPr>
            <w:t xml:space="preserve">  </w:t>
          </w:r>
          <w:hyperlink w:anchor="_Toc81571932" w:history="1">
            <w:r w:rsidR="00A36CEB" w:rsidRPr="009E3499">
              <w:rPr>
                <w:rStyle w:val="Hipervnculo"/>
                <w:b w:val="0"/>
                <w:sz w:val="20"/>
                <w:szCs w:val="20"/>
                <w:u w:val="none"/>
              </w:rPr>
              <w:t>1.</w:t>
            </w:r>
            <w:r w:rsidR="00A36CEB" w:rsidRPr="009E3499">
              <w:rPr>
                <w:rFonts w:asciiTheme="minorHAnsi" w:eastAsiaTheme="minorEastAsia" w:hAnsiTheme="minorHAnsi" w:cstheme="minorBidi"/>
                <w:b w:val="0"/>
                <w:sz w:val="20"/>
                <w:szCs w:val="20"/>
                <w:lang w:val="es-GT" w:eastAsia="es-GT"/>
              </w:rPr>
              <w:tab/>
            </w:r>
            <w:r w:rsidRPr="009E3499">
              <w:rPr>
                <w:rFonts w:asciiTheme="minorHAnsi" w:eastAsiaTheme="minorEastAsia" w:hAnsiTheme="minorHAnsi" w:cstheme="minorBidi"/>
                <w:b w:val="0"/>
                <w:sz w:val="20"/>
                <w:szCs w:val="20"/>
                <w:lang w:val="es-GT" w:eastAsia="es-GT"/>
              </w:rPr>
              <w:t xml:space="preserve"> </w:t>
            </w:r>
            <w:r w:rsidR="00A36CEB" w:rsidRPr="009E3499">
              <w:rPr>
                <w:rStyle w:val="Hipervnculo"/>
                <w:b w:val="0"/>
                <w:sz w:val="20"/>
                <w:szCs w:val="20"/>
                <w:u w:val="none"/>
              </w:rPr>
              <w:t>Estadísticas de las finanzas públicas conforme a los estándares internacionales</w:t>
            </w:r>
            <w:r w:rsidR="00A36CEB" w:rsidRPr="009E3499">
              <w:rPr>
                <w:b w:val="0"/>
                <w:webHidden/>
                <w:sz w:val="20"/>
                <w:szCs w:val="20"/>
              </w:rPr>
              <w:tab/>
            </w:r>
            <w:r w:rsidR="00A36CEB" w:rsidRPr="009E3499">
              <w:rPr>
                <w:b w:val="0"/>
                <w:webHidden/>
                <w:sz w:val="20"/>
                <w:szCs w:val="20"/>
              </w:rPr>
              <w:fldChar w:fldCharType="begin"/>
            </w:r>
            <w:r w:rsidR="00A36CEB" w:rsidRPr="009E3499">
              <w:rPr>
                <w:b w:val="0"/>
                <w:webHidden/>
                <w:sz w:val="20"/>
                <w:szCs w:val="20"/>
              </w:rPr>
              <w:instrText xml:space="preserve"> PAGEREF _Toc81571932 \h </w:instrText>
            </w:r>
            <w:r w:rsidR="00A36CEB" w:rsidRPr="009E3499">
              <w:rPr>
                <w:b w:val="0"/>
                <w:webHidden/>
                <w:sz w:val="20"/>
                <w:szCs w:val="20"/>
              </w:rPr>
            </w:r>
            <w:r w:rsidR="00A36CEB" w:rsidRPr="009E3499">
              <w:rPr>
                <w:b w:val="0"/>
                <w:webHidden/>
                <w:sz w:val="20"/>
                <w:szCs w:val="20"/>
              </w:rPr>
              <w:fldChar w:fldCharType="separate"/>
            </w:r>
            <w:r w:rsidR="00081415">
              <w:rPr>
                <w:b w:val="0"/>
                <w:webHidden/>
                <w:sz w:val="20"/>
                <w:szCs w:val="20"/>
              </w:rPr>
              <w:t>140</w:t>
            </w:r>
            <w:r w:rsidR="00A36CEB" w:rsidRPr="009E3499">
              <w:rPr>
                <w:b w:val="0"/>
                <w:webHidden/>
                <w:sz w:val="20"/>
                <w:szCs w:val="20"/>
              </w:rPr>
              <w:fldChar w:fldCharType="end"/>
            </w:r>
          </w:hyperlink>
        </w:p>
        <w:p w14:paraId="65EFD164" w14:textId="62350B5B" w:rsidR="00A36CEB" w:rsidRPr="009E3499" w:rsidRDefault="009E3499">
          <w:pPr>
            <w:pStyle w:val="TDC1"/>
            <w:rPr>
              <w:rFonts w:asciiTheme="minorHAnsi" w:eastAsiaTheme="minorEastAsia" w:hAnsiTheme="minorHAnsi" w:cstheme="minorBidi"/>
              <w:b w:val="0"/>
              <w:sz w:val="20"/>
              <w:szCs w:val="20"/>
              <w:lang w:val="es-GT" w:eastAsia="es-GT"/>
            </w:rPr>
          </w:pPr>
          <w:r w:rsidRPr="009E3499">
            <w:rPr>
              <w:rStyle w:val="Hipervnculo"/>
              <w:b w:val="0"/>
              <w:sz w:val="20"/>
              <w:szCs w:val="20"/>
              <w:u w:val="none"/>
            </w:rPr>
            <w:t xml:space="preserve">  </w:t>
          </w:r>
          <w:hyperlink w:anchor="_Toc81571933" w:history="1">
            <w:r w:rsidR="00A36CEB" w:rsidRPr="009E3499">
              <w:rPr>
                <w:rStyle w:val="Hipervnculo"/>
                <w:b w:val="0"/>
                <w:sz w:val="20"/>
                <w:szCs w:val="20"/>
                <w:u w:val="none"/>
              </w:rPr>
              <w:t>2.</w:t>
            </w:r>
            <w:r w:rsidR="00A36CEB" w:rsidRPr="009E3499">
              <w:rPr>
                <w:rFonts w:asciiTheme="minorHAnsi" w:eastAsiaTheme="minorEastAsia" w:hAnsiTheme="minorHAnsi" w:cstheme="minorBidi"/>
                <w:b w:val="0"/>
                <w:sz w:val="20"/>
                <w:szCs w:val="20"/>
                <w:lang w:val="es-GT" w:eastAsia="es-GT"/>
              </w:rPr>
              <w:tab/>
            </w:r>
            <w:r w:rsidRPr="009E3499">
              <w:rPr>
                <w:rFonts w:asciiTheme="minorHAnsi" w:eastAsiaTheme="minorEastAsia" w:hAnsiTheme="minorHAnsi" w:cstheme="minorBidi"/>
                <w:b w:val="0"/>
                <w:sz w:val="20"/>
                <w:szCs w:val="20"/>
                <w:lang w:val="es-GT" w:eastAsia="es-GT"/>
              </w:rPr>
              <w:t xml:space="preserve"> </w:t>
            </w:r>
            <w:r w:rsidR="00A36CEB" w:rsidRPr="009E3499">
              <w:rPr>
                <w:rStyle w:val="Hipervnculo"/>
                <w:b w:val="0"/>
                <w:sz w:val="20"/>
                <w:szCs w:val="20"/>
                <w:u w:val="none"/>
              </w:rPr>
              <w:t>La Estrategia Fiscal Ambiental (EFA)</w:t>
            </w:r>
            <w:r w:rsidR="00A36CEB" w:rsidRPr="009E3499">
              <w:rPr>
                <w:b w:val="0"/>
                <w:webHidden/>
                <w:sz w:val="20"/>
                <w:szCs w:val="20"/>
              </w:rPr>
              <w:tab/>
            </w:r>
            <w:r w:rsidR="00A36CEB" w:rsidRPr="009E3499">
              <w:rPr>
                <w:b w:val="0"/>
                <w:webHidden/>
                <w:sz w:val="20"/>
                <w:szCs w:val="20"/>
              </w:rPr>
              <w:fldChar w:fldCharType="begin"/>
            </w:r>
            <w:r w:rsidR="00A36CEB" w:rsidRPr="009E3499">
              <w:rPr>
                <w:b w:val="0"/>
                <w:webHidden/>
                <w:sz w:val="20"/>
                <w:szCs w:val="20"/>
              </w:rPr>
              <w:instrText xml:space="preserve"> PAGEREF _Toc81571933 \h </w:instrText>
            </w:r>
            <w:r w:rsidR="00A36CEB" w:rsidRPr="009E3499">
              <w:rPr>
                <w:b w:val="0"/>
                <w:webHidden/>
                <w:sz w:val="20"/>
                <w:szCs w:val="20"/>
              </w:rPr>
            </w:r>
            <w:r w:rsidR="00A36CEB" w:rsidRPr="009E3499">
              <w:rPr>
                <w:b w:val="0"/>
                <w:webHidden/>
                <w:sz w:val="20"/>
                <w:szCs w:val="20"/>
              </w:rPr>
              <w:fldChar w:fldCharType="separate"/>
            </w:r>
            <w:r w:rsidR="00081415">
              <w:rPr>
                <w:b w:val="0"/>
                <w:webHidden/>
                <w:sz w:val="20"/>
                <w:szCs w:val="20"/>
              </w:rPr>
              <w:t>153</w:t>
            </w:r>
            <w:r w:rsidR="00A36CEB" w:rsidRPr="009E3499">
              <w:rPr>
                <w:b w:val="0"/>
                <w:webHidden/>
                <w:sz w:val="20"/>
                <w:szCs w:val="20"/>
              </w:rPr>
              <w:fldChar w:fldCharType="end"/>
            </w:r>
          </w:hyperlink>
        </w:p>
        <w:p w14:paraId="0EDC903B" w14:textId="2FC994B4" w:rsidR="00C244F2" w:rsidRPr="00A36CEB" w:rsidRDefault="00C244F2" w:rsidP="00A7771B">
          <w:pPr>
            <w:jc w:val="center"/>
            <w:rPr>
              <w:rFonts w:ascii="Times New Roman" w:hAnsi="Times New Roman" w:cs="Times New Roman"/>
              <w:b/>
              <w:sz w:val="16"/>
            </w:rPr>
          </w:pPr>
          <w:r w:rsidRPr="00A36CEB">
            <w:rPr>
              <w:rFonts w:ascii="Times New Roman" w:hAnsi="Times New Roman" w:cs="Times New Roman"/>
              <w:bCs/>
              <w:sz w:val="20"/>
              <w:szCs w:val="20"/>
              <w:lang w:val="es-ES"/>
            </w:rPr>
            <w:fldChar w:fldCharType="end"/>
          </w:r>
        </w:p>
      </w:sdtContent>
    </w:sdt>
    <w:p w14:paraId="3E95D91D" w14:textId="77777777" w:rsidR="00AE5006" w:rsidRPr="00CC3F80" w:rsidRDefault="00CC3F80" w:rsidP="00CC3F80">
      <w:pPr>
        <w:jc w:val="center"/>
        <w:rPr>
          <w:rFonts w:ascii="Times New Roman" w:hAnsi="Times New Roman" w:cs="Times New Roman"/>
          <w:b/>
          <w:sz w:val="26"/>
          <w:szCs w:val="26"/>
        </w:rPr>
      </w:pPr>
      <w:r w:rsidRPr="00CC3F80">
        <w:rPr>
          <w:rFonts w:ascii="Times New Roman" w:hAnsi="Times New Roman" w:cs="Times New Roman"/>
          <w:b/>
          <w:sz w:val="26"/>
          <w:szCs w:val="26"/>
        </w:rPr>
        <w:t>Contenido en tablas</w:t>
      </w:r>
    </w:p>
    <w:p w14:paraId="42F4374A" w14:textId="403D26B3" w:rsidR="00081415" w:rsidRPr="00081415" w:rsidRDefault="00126D07">
      <w:pPr>
        <w:pStyle w:val="Tabladeilustraciones"/>
        <w:tabs>
          <w:tab w:val="right" w:leader="dot" w:pos="8828"/>
        </w:tabs>
        <w:rPr>
          <w:rFonts w:eastAsiaTheme="minorEastAsia"/>
          <w:noProof/>
          <w:sz w:val="20"/>
          <w:szCs w:val="20"/>
          <w:lang w:eastAsia="es-GT"/>
        </w:rPr>
      </w:pPr>
      <w:r w:rsidRPr="00081415">
        <w:rPr>
          <w:rFonts w:ascii="Times New Roman" w:hAnsi="Times New Roman" w:cs="Times New Roman"/>
          <w:sz w:val="20"/>
          <w:szCs w:val="20"/>
        </w:rPr>
        <w:fldChar w:fldCharType="begin"/>
      </w:r>
      <w:r w:rsidRPr="00081415">
        <w:rPr>
          <w:rFonts w:ascii="Times New Roman" w:hAnsi="Times New Roman" w:cs="Times New Roman"/>
          <w:sz w:val="20"/>
          <w:szCs w:val="20"/>
        </w:rPr>
        <w:instrText xml:space="preserve"> TOC \h \z \c "Tabla" </w:instrText>
      </w:r>
      <w:r w:rsidRPr="00081415">
        <w:rPr>
          <w:rFonts w:ascii="Times New Roman" w:hAnsi="Times New Roman" w:cs="Times New Roman"/>
          <w:sz w:val="20"/>
          <w:szCs w:val="20"/>
        </w:rPr>
        <w:fldChar w:fldCharType="separate"/>
      </w:r>
      <w:hyperlink w:anchor="_Toc81573023" w:history="1">
        <w:r w:rsidR="00081415" w:rsidRPr="00081415">
          <w:rPr>
            <w:rStyle w:val="Hipervnculo"/>
            <w:rFonts w:ascii="Times New Roman" w:hAnsi="Times New Roman" w:cs="Times New Roman"/>
            <w:noProof/>
            <w:sz w:val="20"/>
            <w:szCs w:val="20"/>
          </w:rPr>
          <w:t>Tabla 1</w:t>
        </w:r>
        <w:r w:rsidR="00081415">
          <w:rPr>
            <w:rStyle w:val="Hipervnculo"/>
            <w:rFonts w:ascii="Times New Roman" w:hAnsi="Times New Roman" w:cs="Times New Roman"/>
            <w:noProof/>
            <w:sz w:val="20"/>
            <w:szCs w:val="20"/>
          </w:rPr>
          <w:t>.</w:t>
        </w:r>
        <w:r w:rsidR="00081415" w:rsidRPr="00081415">
          <w:rPr>
            <w:rStyle w:val="Hipervnculo"/>
            <w:rFonts w:ascii="Times New Roman" w:hAnsi="Times New Roman" w:cs="Times New Roman"/>
            <w:noProof/>
            <w:sz w:val="20"/>
            <w:szCs w:val="20"/>
          </w:rPr>
          <w:t xml:space="preserve"> </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noProof/>
            <w:sz w:val="20"/>
            <w:szCs w:val="20"/>
          </w:rPr>
          <w:t xml:space="preserve">Panorama del crecimiento de </w:t>
        </w:r>
        <w:r w:rsidR="00081415">
          <w:rPr>
            <w:rStyle w:val="Hipervnculo"/>
            <w:rFonts w:ascii="Times New Roman" w:hAnsi="Times New Roman" w:cs="Times New Roman"/>
            <w:noProof/>
            <w:sz w:val="20"/>
            <w:szCs w:val="20"/>
          </w:rPr>
          <w:t>la economía mundial</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_Toc81573023 \h </w:instrText>
        </w:r>
        <w:r w:rsidR="00081415" w:rsidRPr="00081415">
          <w:rPr>
            <w:noProof/>
            <w:webHidden/>
            <w:sz w:val="20"/>
            <w:szCs w:val="20"/>
          </w:rPr>
        </w:r>
        <w:r w:rsidR="00081415" w:rsidRPr="00081415">
          <w:rPr>
            <w:noProof/>
            <w:webHidden/>
            <w:sz w:val="20"/>
            <w:szCs w:val="20"/>
          </w:rPr>
          <w:fldChar w:fldCharType="separate"/>
        </w:r>
        <w:r w:rsidR="00081415">
          <w:rPr>
            <w:noProof/>
            <w:webHidden/>
            <w:sz w:val="20"/>
            <w:szCs w:val="20"/>
          </w:rPr>
          <w:t>10</w:t>
        </w:r>
        <w:r w:rsidR="00081415" w:rsidRPr="00081415">
          <w:rPr>
            <w:noProof/>
            <w:webHidden/>
            <w:sz w:val="20"/>
            <w:szCs w:val="20"/>
          </w:rPr>
          <w:fldChar w:fldCharType="end"/>
        </w:r>
      </w:hyperlink>
    </w:p>
    <w:p w14:paraId="2DF9EB0D" w14:textId="0D3DB877" w:rsidR="00081415" w:rsidRPr="00081415" w:rsidRDefault="006D2997">
      <w:pPr>
        <w:pStyle w:val="Tabladeilustraciones"/>
        <w:tabs>
          <w:tab w:val="right" w:leader="dot" w:pos="8828"/>
        </w:tabs>
        <w:rPr>
          <w:rFonts w:eastAsiaTheme="minorEastAsia"/>
          <w:noProof/>
          <w:sz w:val="20"/>
          <w:szCs w:val="20"/>
          <w:lang w:eastAsia="es-GT"/>
        </w:rPr>
      </w:pPr>
      <w:hyperlink w:anchor="_Toc81573024" w:history="1">
        <w:r w:rsidR="00081415" w:rsidRPr="00081415">
          <w:rPr>
            <w:rStyle w:val="Hipervnculo"/>
            <w:rFonts w:ascii="Times New Roman" w:hAnsi="Times New Roman" w:cs="Times New Roman"/>
            <w:noProof/>
            <w:sz w:val="20"/>
            <w:szCs w:val="20"/>
          </w:rPr>
          <w:t>Tabla 2</w:t>
        </w:r>
        <w:r w:rsidR="00081415">
          <w:rPr>
            <w:rStyle w:val="Hipervnculo"/>
            <w:rFonts w:ascii="Times New Roman" w:hAnsi="Times New Roman" w:cs="Times New Roman"/>
            <w:noProof/>
            <w:sz w:val="20"/>
            <w:szCs w:val="20"/>
          </w:rPr>
          <w:t>.</w:t>
        </w:r>
        <w:r w:rsidR="00081415" w:rsidRPr="00081415">
          <w:rPr>
            <w:rStyle w:val="Hipervnculo"/>
            <w:rFonts w:ascii="Times New Roman" w:hAnsi="Times New Roman" w:cs="Times New Roman"/>
            <w:noProof/>
            <w:sz w:val="20"/>
            <w:szCs w:val="20"/>
          </w:rPr>
          <w:t xml:space="preserve"> </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noProof/>
            <w:sz w:val="20"/>
            <w:szCs w:val="20"/>
          </w:rPr>
          <w:t>Proyecciones de crecimiento económico</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_Toc81573024 \h </w:instrText>
        </w:r>
        <w:r w:rsidR="00081415" w:rsidRPr="00081415">
          <w:rPr>
            <w:noProof/>
            <w:webHidden/>
            <w:sz w:val="20"/>
            <w:szCs w:val="20"/>
          </w:rPr>
        </w:r>
        <w:r w:rsidR="00081415" w:rsidRPr="00081415">
          <w:rPr>
            <w:noProof/>
            <w:webHidden/>
            <w:sz w:val="20"/>
            <w:szCs w:val="20"/>
          </w:rPr>
          <w:fldChar w:fldCharType="separate"/>
        </w:r>
        <w:r w:rsidR="00081415">
          <w:rPr>
            <w:noProof/>
            <w:webHidden/>
            <w:sz w:val="20"/>
            <w:szCs w:val="20"/>
          </w:rPr>
          <w:t>16</w:t>
        </w:r>
        <w:r w:rsidR="00081415" w:rsidRPr="00081415">
          <w:rPr>
            <w:noProof/>
            <w:webHidden/>
            <w:sz w:val="20"/>
            <w:szCs w:val="20"/>
          </w:rPr>
          <w:fldChar w:fldCharType="end"/>
        </w:r>
      </w:hyperlink>
    </w:p>
    <w:p w14:paraId="67BB0B0A" w14:textId="4D18B0A3" w:rsidR="00081415" w:rsidRPr="00081415" w:rsidRDefault="006D2997">
      <w:pPr>
        <w:pStyle w:val="Tabladeilustraciones"/>
        <w:tabs>
          <w:tab w:val="right" w:leader="dot" w:pos="8828"/>
        </w:tabs>
        <w:rPr>
          <w:rFonts w:eastAsiaTheme="minorEastAsia"/>
          <w:noProof/>
          <w:sz w:val="20"/>
          <w:szCs w:val="20"/>
          <w:lang w:eastAsia="es-GT"/>
        </w:rPr>
      </w:pPr>
      <w:hyperlink w:anchor="_Toc81573025" w:history="1">
        <w:r w:rsidR="00081415" w:rsidRPr="00081415">
          <w:rPr>
            <w:rStyle w:val="Hipervnculo"/>
            <w:rFonts w:ascii="Times New Roman" w:hAnsi="Times New Roman" w:cs="Times New Roman"/>
            <w:noProof/>
            <w:sz w:val="20"/>
            <w:szCs w:val="20"/>
          </w:rPr>
          <w:t>Tabla 3</w:t>
        </w:r>
        <w:r w:rsidR="00081415">
          <w:rPr>
            <w:rStyle w:val="Hipervnculo"/>
            <w:rFonts w:ascii="Times New Roman" w:hAnsi="Times New Roman" w:cs="Times New Roman"/>
            <w:noProof/>
            <w:sz w:val="20"/>
            <w:szCs w:val="20"/>
          </w:rPr>
          <w:t>.</w:t>
        </w:r>
        <w:r w:rsidR="00081415" w:rsidRPr="00081415">
          <w:rPr>
            <w:rStyle w:val="Hipervnculo"/>
            <w:rFonts w:ascii="Times New Roman" w:hAnsi="Times New Roman" w:cs="Times New Roman"/>
            <w:noProof/>
            <w:sz w:val="20"/>
            <w:szCs w:val="20"/>
          </w:rPr>
          <w:t xml:space="preserve"> </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noProof/>
            <w:sz w:val="20"/>
            <w:szCs w:val="20"/>
          </w:rPr>
          <w:t>Proyecciones de crecimiento económico de Centroamericano y República Dominicana</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_Toc81573025 \h </w:instrText>
        </w:r>
        <w:r w:rsidR="00081415" w:rsidRPr="00081415">
          <w:rPr>
            <w:noProof/>
            <w:webHidden/>
            <w:sz w:val="20"/>
            <w:szCs w:val="20"/>
          </w:rPr>
        </w:r>
        <w:r w:rsidR="00081415" w:rsidRPr="00081415">
          <w:rPr>
            <w:noProof/>
            <w:webHidden/>
            <w:sz w:val="20"/>
            <w:szCs w:val="20"/>
          </w:rPr>
          <w:fldChar w:fldCharType="separate"/>
        </w:r>
        <w:r w:rsidR="00081415">
          <w:rPr>
            <w:noProof/>
            <w:webHidden/>
            <w:sz w:val="20"/>
            <w:szCs w:val="20"/>
          </w:rPr>
          <w:t>18</w:t>
        </w:r>
        <w:r w:rsidR="00081415" w:rsidRPr="00081415">
          <w:rPr>
            <w:noProof/>
            <w:webHidden/>
            <w:sz w:val="20"/>
            <w:szCs w:val="20"/>
          </w:rPr>
          <w:fldChar w:fldCharType="end"/>
        </w:r>
      </w:hyperlink>
    </w:p>
    <w:p w14:paraId="0DA37D1D" w14:textId="0E9B05EC" w:rsidR="00081415" w:rsidRPr="00081415" w:rsidRDefault="006D2997">
      <w:pPr>
        <w:pStyle w:val="Tabladeilustraciones"/>
        <w:tabs>
          <w:tab w:val="right" w:leader="dot" w:pos="8828"/>
        </w:tabs>
        <w:rPr>
          <w:rFonts w:eastAsiaTheme="minorEastAsia"/>
          <w:noProof/>
          <w:sz w:val="20"/>
          <w:szCs w:val="20"/>
          <w:lang w:eastAsia="es-GT"/>
        </w:rPr>
      </w:pPr>
      <w:hyperlink w:anchor="_Toc81573026" w:history="1">
        <w:r w:rsidR="00081415" w:rsidRPr="00081415">
          <w:rPr>
            <w:rStyle w:val="Hipervnculo"/>
            <w:rFonts w:ascii="Times New Roman" w:hAnsi="Times New Roman" w:cs="Times New Roman"/>
            <w:noProof/>
            <w:sz w:val="20"/>
            <w:szCs w:val="20"/>
          </w:rPr>
          <w:t>Tabla 4</w:t>
        </w:r>
        <w:r w:rsidR="00081415">
          <w:rPr>
            <w:rStyle w:val="Hipervnculo"/>
            <w:rFonts w:ascii="Times New Roman" w:hAnsi="Times New Roman" w:cs="Times New Roman"/>
            <w:noProof/>
            <w:sz w:val="20"/>
            <w:szCs w:val="20"/>
          </w:rPr>
          <w:t>.</w:t>
        </w:r>
        <w:r w:rsidR="00081415" w:rsidRPr="00081415">
          <w:rPr>
            <w:rStyle w:val="Hipervnculo"/>
            <w:rFonts w:ascii="Times New Roman" w:hAnsi="Times New Roman" w:cs="Times New Roman"/>
            <w:noProof/>
            <w:sz w:val="20"/>
            <w:szCs w:val="20"/>
          </w:rPr>
          <w:t xml:space="preserve"> </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noProof/>
            <w:sz w:val="20"/>
            <w:szCs w:val="20"/>
          </w:rPr>
          <w:t>Producto Interno Bruto real por el enfoque de la producción</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_Toc81573026 \h </w:instrText>
        </w:r>
        <w:r w:rsidR="00081415" w:rsidRPr="00081415">
          <w:rPr>
            <w:noProof/>
            <w:webHidden/>
            <w:sz w:val="20"/>
            <w:szCs w:val="20"/>
          </w:rPr>
        </w:r>
        <w:r w:rsidR="00081415" w:rsidRPr="00081415">
          <w:rPr>
            <w:noProof/>
            <w:webHidden/>
            <w:sz w:val="20"/>
            <w:szCs w:val="20"/>
          </w:rPr>
          <w:fldChar w:fldCharType="separate"/>
        </w:r>
        <w:r w:rsidR="00081415">
          <w:rPr>
            <w:noProof/>
            <w:webHidden/>
            <w:sz w:val="20"/>
            <w:szCs w:val="20"/>
          </w:rPr>
          <w:t>21</w:t>
        </w:r>
        <w:r w:rsidR="00081415" w:rsidRPr="00081415">
          <w:rPr>
            <w:noProof/>
            <w:webHidden/>
            <w:sz w:val="20"/>
            <w:szCs w:val="20"/>
          </w:rPr>
          <w:fldChar w:fldCharType="end"/>
        </w:r>
      </w:hyperlink>
    </w:p>
    <w:p w14:paraId="54038C63" w14:textId="4C4D2CB9" w:rsidR="00081415" w:rsidRPr="00081415" w:rsidRDefault="006D2997">
      <w:pPr>
        <w:pStyle w:val="Tabladeilustraciones"/>
        <w:tabs>
          <w:tab w:val="right" w:leader="dot" w:pos="8828"/>
        </w:tabs>
        <w:rPr>
          <w:rFonts w:eastAsiaTheme="minorEastAsia"/>
          <w:noProof/>
          <w:sz w:val="20"/>
          <w:szCs w:val="20"/>
          <w:lang w:eastAsia="es-GT"/>
        </w:rPr>
      </w:pPr>
      <w:hyperlink w:anchor="_Toc81573027" w:history="1">
        <w:r w:rsidR="00081415" w:rsidRPr="00081415">
          <w:rPr>
            <w:rStyle w:val="Hipervnculo"/>
            <w:rFonts w:ascii="Times New Roman" w:hAnsi="Times New Roman" w:cs="Times New Roman"/>
            <w:noProof/>
            <w:sz w:val="20"/>
            <w:szCs w:val="20"/>
          </w:rPr>
          <w:t>Tabla 5</w:t>
        </w:r>
        <w:r w:rsidR="00081415">
          <w:rPr>
            <w:rStyle w:val="Hipervnculo"/>
            <w:rFonts w:ascii="Times New Roman" w:hAnsi="Times New Roman" w:cs="Times New Roman"/>
            <w:noProof/>
            <w:sz w:val="20"/>
            <w:szCs w:val="20"/>
          </w:rPr>
          <w:t>.</w:t>
        </w:r>
        <w:r w:rsidR="00081415" w:rsidRPr="00081415">
          <w:rPr>
            <w:rStyle w:val="Hipervnculo"/>
            <w:rFonts w:ascii="Times New Roman" w:hAnsi="Times New Roman" w:cs="Times New Roman"/>
            <w:noProof/>
            <w:sz w:val="20"/>
            <w:szCs w:val="20"/>
          </w:rPr>
          <w:t xml:space="preserve"> </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noProof/>
            <w:sz w:val="20"/>
            <w:szCs w:val="20"/>
          </w:rPr>
          <w:t>Producto interno bruto real por enfoque del Gasto</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_Toc81573027 \h </w:instrText>
        </w:r>
        <w:r w:rsidR="00081415" w:rsidRPr="00081415">
          <w:rPr>
            <w:noProof/>
            <w:webHidden/>
            <w:sz w:val="20"/>
            <w:szCs w:val="20"/>
          </w:rPr>
        </w:r>
        <w:r w:rsidR="00081415" w:rsidRPr="00081415">
          <w:rPr>
            <w:noProof/>
            <w:webHidden/>
            <w:sz w:val="20"/>
            <w:szCs w:val="20"/>
          </w:rPr>
          <w:fldChar w:fldCharType="separate"/>
        </w:r>
        <w:r w:rsidR="00081415">
          <w:rPr>
            <w:noProof/>
            <w:webHidden/>
            <w:sz w:val="20"/>
            <w:szCs w:val="20"/>
          </w:rPr>
          <w:t>22</w:t>
        </w:r>
        <w:r w:rsidR="00081415" w:rsidRPr="00081415">
          <w:rPr>
            <w:noProof/>
            <w:webHidden/>
            <w:sz w:val="20"/>
            <w:szCs w:val="20"/>
          </w:rPr>
          <w:fldChar w:fldCharType="end"/>
        </w:r>
      </w:hyperlink>
    </w:p>
    <w:p w14:paraId="272D9D6A" w14:textId="713D7F97" w:rsidR="00081415" w:rsidRPr="00081415" w:rsidRDefault="006D2997">
      <w:pPr>
        <w:pStyle w:val="Tabladeilustraciones"/>
        <w:tabs>
          <w:tab w:val="right" w:leader="dot" w:pos="8828"/>
        </w:tabs>
        <w:rPr>
          <w:rFonts w:eastAsiaTheme="minorEastAsia"/>
          <w:noProof/>
          <w:sz w:val="20"/>
          <w:szCs w:val="20"/>
          <w:lang w:eastAsia="es-GT"/>
        </w:rPr>
      </w:pPr>
      <w:hyperlink w:anchor="_Toc81573028" w:history="1">
        <w:r w:rsidR="00081415" w:rsidRPr="00081415">
          <w:rPr>
            <w:rStyle w:val="Hipervnculo"/>
            <w:rFonts w:ascii="Times New Roman" w:hAnsi="Times New Roman" w:cs="Times New Roman"/>
            <w:noProof/>
            <w:sz w:val="20"/>
            <w:szCs w:val="20"/>
          </w:rPr>
          <w:t>Tabla 6</w:t>
        </w:r>
        <w:r w:rsidR="00081415">
          <w:rPr>
            <w:rStyle w:val="Hipervnculo"/>
            <w:rFonts w:ascii="Times New Roman" w:hAnsi="Times New Roman" w:cs="Times New Roman"/>
            <w:noProof/>
            <w:sz w:val="20"/>
            <w:szCs w:val="20"/>
          </w:rPr>
          <w:t>.</w:t>
        </w:r>
        <w:r w:rsidR="00081415" w:rsidRPr="00081415">
          <w:rPr>
            <w:rStyle w:val="Hipervnculo"/>
            <w:rFonts w:ascii="Times New Roman" w:hAnsi="Times New Roman" w:cs="Times New Roman"/>
            <w:noProof/>
            <w:sz w:val="20"/>
            <w:szCs w:val="20"/>
          </w:rPr>
          <w:t xml:space="preserve"> </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noProof/>
            <w:sz w:val="20"/>
            <w:szCs w:val="20"/>
          </w:rPr>
          <w:t>Balanza de pagos</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_Toc81573028 \h </w:instrText>
        </w:r>
        <w:r w:rsidR="00081415" w:rsidRPr="00081415">
          <w:rPr>
            <w:noProof/>
            <w:webHidden/>
            <w:sz w:val="20"/>
            <w:szCs w:val="20"/>
          </w:rPr>
        </w:r>
        <w:r w:rsidR="00081415" w:rsidRPr="00081415">
          <w:rPr>
            <w:noProof/>
            <w:webHidden/>
            <w:sz w:val="20"/>
            <w:szCs w:val="20"/>
          </w:rPr>
          <w:fldChar w:fldCharType="separate"/>
        </w:r>
        <w:r w:rsidR="00081415">
          <w:rPr>
            <w:noProof/>
            <w:webHidden/>
            <w:sz w:val="20"/>
            <w:szCs w:val="20"/>
          </w:rPr>
          <w:t>29</w:t>
        </w:r>
        <w:r w:rsidR="00081415" w:rsidRPr="00081415">
          <w:rPr>
            <w:noProof/>
            <w:webHidden/>
            <w:sz w:val="20"/>
            <w:szCs w:val="20"/>
          </w:rPr>
          <w:fldChar w:fldCharType="end"/>
        </w:r>
      </w:hyperlink>
    </w:p>
    <w:p w14:paraId="1BFCB11E" w14:textId="39F63B8E" w:rsidR="00081415" w:rsidRPr="00081415" w:rsidRDefault="006D2997">
      <w:pPr>
        <w:pStyle w:val="Tabladeilustraciones"/>
        <w:tabs>
          <w:tab w:val="right" w:leader="dot" w:pos="8828"/>
        </w:tabs>
        <w:rPr>
          <w:rFonts w:eastAsiaTheme="minorEastAsia"/>
          <w:noProof/>
          <w:sz w:val="20"/>
          <w:szCs w:val="20"/>
          <w:lang w:eastAsia="es-GT"/>
        </w:rPr>
      </w:pPr>
      <w:hyperlink w:anchor="_Toc81573029" w:history="1">
        <w:r w:rsidR="00081415" w:rsidRPr="00081415">
          <w:rPr>
            <w:rStyle w:val="Hipervnculo"/>
            <w:rFonts w:ascii="Times New Roman" w:hAnsi="Times New Roman" w:cs="Times New Roman"/>
            <w:noProof/>
            <w:sz w:val="20"/>
            <w:szCs w:val="20"/>
          </w:rPr>
          <w:t>Tabla 7</w:t>
        </w:r>
        <w:r w:rsidR="00081415">
          <w:rPr>
            <w:rStyle w:val="Hipervnculo"/>
            <w:rFonts w:ascii="Times New Roman" w:hAnsi="Times New Roman" w:cs="Times New Roman"/>
            <w:noProof/>
            <w:sz w:val="20"/>
            <w:szCs w:val="20"/>
          </w:rPr>
          <w:t>.</w:t>
        </w:r>
        <w:r w:rsidR="00081415" w:rsidRPr="00081415">
          <w:rPr>
            <w:rStyle w:val="Hipervnculo"/>
            <w:rFonts w:ascii="Times New Roman" w:hAnsi="Times New Roman" w:cs="Times New Roman"/>
            <w:noProof/>
            <w:sz w:val="20"/>
            <w:szCs w:val="20"/>
          </w:rPr>
          <w:t xml:space="preserve"> </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noProof/>
            <w:sz w:val="20"/>
            <w:szCs w:val="20"/>
          </w:rPr>
          <w:t>Estructura y crecimiento de las Exportaciones FOB según comercio exterior</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_Toc81573029 \h </w:instrText>
        </w:r>
        <w:r w:rsidR="00081415" w:rsidRPr="00081415">
          <w:rPr>
            <w:noProof/>
            <w:webHidden/>
            <w:sz w:val="20"/>
            <w:szCs w:val="20"/>
          </w:rPr>
        </w:r>
        <w:r w:rsidR="00081415" w:rsidRPr="00081415">
          <w:rPr>
            <w:noProof/>
            <w:webHidden/>
            <w:sz w:val="20"/>
            <w:szCs w:val="20"/>
          </w:rPr>
          <w:fldChar w:fldCharType="separate"/>
        </w:r>
        <w:r w:rsidR="00081415">
          <w:rPr>
            <w:noProof/>
            <w:webHidden/>
            <w:sz w:val="20"/>
            <w:szCs w:val="20"/>
          </w:rPr>
          <w:t>30</w:t>
        </w:r>
        <w:r w:rsidR="00081415" w:rsidRPr="00081415">
          <w:rPr>
            <w:noProof/>
            <w:webHidden/>
            <w:sz w:val="20"/>
            <w:szCs w:val="20"/>
          </w:rPr>
          <w:fldChar w:fldCharType="end"/>
        </w:r>
      </w:hyperlink>
    </w:p>
    <w:p w14:paraId="48239BEC" w14:textId="70C40C2A" w:rsidR="00081415" w:rsidRPr="00081415" w:rsidRDefault="006D2997">
      <w:pPr>
        <w:pStyle w:val="Tabladeilustraciones"/>
        <w:tabs>
          <w:tab w:val="right" w:leader="dot" w:pos="8828"/>
        </w:tabs>
        <w:rPr>
          <w:rFonts w:eastAsiaTheme="minorEastAsia"/>
          <w:noProof/>
          <w:sz w:val="20"/>
          <w:szCs w:val="20"/>
          <w:lang w:eastAsia="es-GT"/>
        </w:rPr>
      </w:pPr>
      <w:hyperlink w:anchor="_Toc81573030" w:history="1">
        <w:r w:rsidR="00081415" w:rsidRPr="00081415">
          <w:rPr>
            <w:rStyle w:val="Hipervnculo"/>
            <w:rFonts w:ascii="Times New Roman" w:hAnsi="Times New Roman" w:cs="Times New Roman"/>
            <w:noProof/>
            <w:sz w:val="20"/>
            <w:szCs w:val="20"/>
          </w:rPr>
          <w:t>Tabla 8</w:t>
        </w:r>
        <w:r w:rsidR="00081415">
          <w:rPr>
            <w:rStyle w:val="Hipervnculo"/>
            <w:rFonts w:ascii="Times New Roman" w:hAnsi="Times New Roman" w:cs="Times New Roman"/>
            <w:noProof/>
            <w:sz w:val="20"/>
            <w:szCs w:val="20"/>
          </w:rPr>
          <w:t>.</w:t>
        </w:r>
        <w:r w:rsidR="00081415" w:rsidRPr="00081415">
          <w:rPr>
            <w:rStyle w:val="Hipervnculo"/>
            <w:rFonts w:ascii="Times New Roman" w:hAnsi="Times New Roman" w:cs="Times New Roman"/>
            <w:noProof/>
            <w:sz w:val="20"/>
            <w:szCs w:val="20"/>
          </w:rPr>
          <w:t xml:space="preserve"> </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noProof/>
            <w:sz w:val="20"/>
            <w:szCs w:val="20"/>
          </w:rPr>
          <w:t>Estructura y crecimiento de las Importaciones CIF según comercio exterior</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_Toc81573030 \h </w:instrText>
        </w:r>
        <w:r w:rsidR="00081415" w:rsidRPr="00081415">
          <w:rPr>
            <w:noProof/>
            <w:webHidden/>
            <w:sz w:val="20"/>
            <w:szCs w:val="20"/>
          </w:rPr>
        </w:r>
        <w:r w:rsidR="00081415" w:rsidRPr="00081415">
          <w:rPr>
            <w:noProof/>
            <w:webHidden/>
            <w:sz w:val="20"/>
            <w:szCs w:val="20"/>
          </w:rPr>
          <w:fldChar w:fldCharType="separate"/>
        </w:r>
        <w:r w:rsidR="00081415">
          <w:rPr>
            <w:noProof/>
            <w:webHidden/>
            <w:sz w:val="20"/>
            <w:szCs w:val="20"/>
          </w:rPr>
          <w:t>31</w:t>
        </w:r>
        <w:r w:rsidR="00081415" w:rsidRPr="00081415">
          <w:rPr>
            <w:noProof/>
            <w:webHidden/>
            <w:sz w:val="20"/>
            <w:szCs w:val="20"/>
          </w:rPr>
          <w:fldChar w:fldCharType="end"/>
        </w:r>
      </w:hyperlink>
    </w:p>
    <w:p w14:paraId="19218647" w14:textId="113CD712" w:rsidR="00081415" w:rsidRPr="00081415" w:rsidRDefault="006D2997">
      <w:pPr>
        <w:pStyle w:val="Tabladeilustraciones"/>
        <w:tabs>
          <w:tab w:val="right" w:leader="dot" w:pos="8828"/>
        </w:tabs>
        <w:rPr>
          <w:rFonts w:eastAsiaTheme="minorEastAsia"/>
          <w:noProof/>
          <w:sz w:val="20"/>
          <w:szCs w:val="20"/>
          <w:lang w:eastAsia="es-GT"/>
        </w:rPr>
      </w:pPr>
      <w:hyperlink w:anchor="_Toc81573031" w:history="1">
        <w:r w:rsidR="00081415" w:rsidRPr="00081415">
          <w:rPr>
            <w:rStyle w:val="Hipervnculo"/>
            <w:rFonts w:ascii="Times New Roman" w:hAnsi="Times New Roman" w:cs="Times New Roman"/>
            <w:noProof/>
            <w:sz w:val="20"/>
            <w:szCs w:val="20"/>
          </w:rPr>
          <w:t>Tabla 9</w:t>
        </w:r>
        <w:r w:rsidR="00081415">
          <w:rPr>
            <w:rStyle w:val="Hipervnculo"/>
            <w:rFonts w:ascii="Times New Roman" w:hAnsi="Times New Roman" w:cs="Times New Roman"/>
            <w:noProof/>
            <w:sz w:val="20"/>
            <w:szCs w:val="20"/>
          </w:rPr>
          <w:t>.</w:t>
        </w:r>
        <w:r w:rsidR="00081415" w:rsidRPr="00081415">
          <w:rPr>
            <w:rStyle w:val="Hipervnculo"/>
            <w:rFonts w:ascii="Times New Roman" w:hAnsi="Times New Roman" w:cs="Times New Roman"/>
            <w:noProof/>
            <w:sz w:val="20"/>
            <w:szCs w:val="20"/>
          </w:rPr>
          <w:t xml:space="preserve"> </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noProof/>
            <w:sz w:val="20"/>
            <w:szCs w:val="20"/>
          </w:rPr>
          <w:t>Peso relativo y variación interanual de las actividades económicas</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_Toc81573031 \h </w:instrText>
        </w:r>
        <w:r w:rsidR="00081415" w:rsidRPr="00081415">
          <w:rPr>
            <w:noProof/>
            <w:webHidden/>
            <w:sz w:val="20"/>
            <w:szCs w:val="20"/>
          </w:rPr>
        </w:r>
        <w:r w:rsidR="00081415" w:rsidRPr="00081415">
          <w:rPr>
            <w:noProof/>
            <w:webHidden/>
            <w:sz w:val="20"/>
            <w:szCs w:val="20"/>
          </w:rPr>
          <w:fldChar w:fldCharType="separate"/>
        </w:r>
        <w:r w:rsidR="00081415">
          <w:rPr>
            <w:noProof/>
            <w:webHidden/>
            <w:sz w:val="20"/>
            <w:szCs w:val="20"/>
          </w:rPr>
          <w:t>39</w:t>
        </w:r>
        <w:r w:rsidR="00081415" w:rsidRPr="00081415">
          <w:rPr>
            <w:noProof/>
            <w:webHidden/>
            <w:sz w:val="20"/>
            <w:szCs w:val="20"/>
          </w:rPr>
          <w:fldChar w:fldCharType="end"/>
        </w:r>
      </w:hyperlink>
    </w:p>
    <w:p w14:paraId="36290798" w14:textId="7D6268A5" w:rsidR="00081415" w:rsidRPr="00081415" w:rsidRDefault="006D2997">
      <w:pPr>
        <w:pStyle w:val="Tabladeilustraciones"/>
        <w:tabs>
          <w:tab w:val="right" w:leader="dot" w:pos="8828"/>
        </w:tabs>
        <w:rPr>
          <w:rFonts w:eastAsiaTheme="minorEastAsia"/>
          <w:noProof/>
          <w:sz w:val="20"/>
          <w:szCs w:val="20"/>
          <w:lang w:eastAsia="es-GT"/>
        </w:rPr>
      </w:pPr>
      <w:hyperlink w:anchor="_Toc81573032" w:history="1">
        <w:r w:rsidR="00081415">
          <w:rPr>
            <w:rStyle w:val="Hipervnculo"/>
            <w:rFonts w:ascii="Times New Roman" w:hAnsi="Times New Roman" w:cs="Times New Roman"/>
            <w:noProof/>
            <w:sz w:val="20"/>
            <w:szCs w:val="20"/>
          </w:rPr>
          <w:t xml:space="preserve">Tabla 10.  </w:t>
        </w:r>
        <w:r w:rsidR="00081415" w:rsidRPr="00081415">
          <w:rPr>
            <w:rStyle w:val="Hipervnculo"/>
            <w:rFonts w:ascii="Times New Roman" w:hAnsi="Times New Roman" w:cs="Times New Roman"/>
            <w:noProof/>
            <w:sz w:val="20"/>
            <w:szCs w:val="20"/>
          </w:rPr>
          <w:t>Escenario medio, proyecciones de las principales variables macroeconómicas</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_Toc81573032 \h </w:instrText>
        </w:r>
        <w:r w:rsidR="00081415" w:rsidRPr="00081415">
          <w:rPr>
            <w:noProof/>
            <w:webHidden/>
            <w:sz w:val="20"/>
            <w:szCs w:val="20"/>
          </w:rPr>
        </w:r>
        <w:r w:rsidR="00081415" w:rsidRPr="00081415">
          <w:rPr>
            <w:noProof/>
            <w:webHidden/>
            <w:sz w:val="20"/>
            <w:szCs w:val="20"/>
          </w:rPr>
          <w:fldChar w:fldCharType="separate"/>
        </w:r>
        <w:r w:rsidR="00081415">
          <w:rPr>
            <w:noProof/>
            <w:webHidden/>
            <w:sz w:val="20"/>
            <w:szCs w:val="20"/>
          </w:rPr>
          <w:t>49</w:t>
        </w:r>
        <w:r w:rsidR="00081415" w:rsidRPr="00081415">
          <w:rPr>
            <w:noProof/>
            <w:webHidden/>
            <w:sz w:val="20"/>
            <w:szCs w:val="20"/>
          </w:rPr>
          <w:fldChar w:fldCharType="end"/>
        </w:r>
      </w:hyperlink>
    </w:p>
    <w:p w14:paraId="5F1515BA" w14:textId="049DCF53" w:rsidR="00081415" w:rsidRPr="00081415" w:rsidRDefault="006D2997">
      <w:pPr>
        <w:pStyle w:val="Tabladeilustraciones"/>
        <w:tabs>
          <w:tab w:val="right" w:leader="dot" w:pos="8828"/>
        </w:tabs>
        <w:rPr>
          <w:rFonts w:eastAsiaTheme="minorEastAsia"/>
          <w:noProof/>
          <w:sz w:val="20"/>
          <w:szCs w:val="20"/>
          <w:lang w:eastAsia="es-GT"/>
        </w:rPr>
      </w:pPr>
      <w:hyperlink w:anchor="_Toc81573033" w:history="1">
        <w:r w:rsidR="00081415" w:rsidRPr="00081415">
          <w:rPr>
            <w:rStyle w:val="Hipervnculo"/>
            <w:rFonts w:ascii="Times New Roman" w:hAnsi="Times New Roman" w:cs="Times New Roman"/>
            <w:noProof/>
            <w:sz w:val="20"/>
            <w:szCs w:val="20"/>
          </w:rPr>
          <w:t>Tabla 11</w:t>
        </w:r>
        <w:r w:rsidR="00081415">
          <w:rPr>
            <w:rStyle w:val="Hipervnculo"/>
            <w:rFonts w:ascii="Times New Roman" w:hAnsi="Times New Roman" w:cs="Times New Roman"/>
            <w:noProof/>
            <w:sz w:val="20"/>
            <w:szCs w:val="20"/>
          </w:rPr>
          <w:t>.</w:t>
        </w:r>
        <w:r w:rsidR="00081415" w:rsidRPr="00081415">
          <w:rPr>
            <w:rStyle w:val="Hipervnculo"/>
            <w:rFonts w:ascii="Times New Roman" w:hAnsi="Times New Roman" w:cs="Times New Roman"/>
            <w:noProof/>
            <w:sz w:val="20"/>
            <w:szCs w:val="20"/>
          </w:rPr>
          <w:t xml:space="preserve"> </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noProof/>
            <w:sz w:val="20"/>
            <w:szCs w:val="20"/>
          </w:rPr>
          <w:t>Escenario Bajo, proyecciones de las principales variables macroeconómicas</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_Toc81573033 \h </w:instrText>
        </w:r>
        <w:r w:rsidR="00081415" w:rsidRPr="00081415">
          <w:rPr>
            <w:noProof/>
            <w:webHidden/>
            <w:sz w:val="20"/>
            <w:szCs w:val="20"/>
          </w:rPr>
        </w:r>
        <w:r w:rsidR="00081415" w:rsidRPr="00081415">
          <w:rPr>
            <w:noProof/>
            <w:webHidden/>
            <w:sz w:val="20"/>
            <w:szCs w:val="20"/>
          </w:rPr>
          <w:fldChar w:fldCharType="separate"/>
        </w:r>
        <w:r w:rsidR="00081415">
          <w:rPr>
            <w:noProof/>
            <w:webHidden/>
            <w:sz w:val="20"/>
            <w:szCs w:val="20"/>
          </w:rPr>
          <w:t>52</w:t>
        </w:r>
        <w:r w:rsidR="00081415" w:rsidRPr="00081415">
          <w:rPr>
            <w:noProof/>
            <w:webHidden/>
            <w:sz w:val="20"/>
            <w:szCs w:val="20"/>
          </w:rPr>
          <w:fldChar w:fldCharType="end"/>
        </w:r>
      </w:hyperlink>
    </w:p>
    <w:p w14:paraId="46EF73A9" w14:textId="1DEB5A8D" w:rsidR="00081415" w:rsidRPr="00081415" w:rsidRDefault="006D2997">
      <w:pPr>
        <w:pStyle w:val="Tabladeilustraciones"/>
        <w:tabs>
          <w:tab w:val="right" w:leader="dot" w:pos="8828"/>
        </w:tabs>
        <w:rPr>
          <w:rFonts w:eastAsiaTheme="minorEastAsia"/>
          <w:noProof/>
          <w:sz w:val="20"/>
          <w:szCs w:val="20"/>
          <w:lang w:eastAsia="es-GT"/>
        </w:rPr>
      </w:pPr>
      <w:hyperlink w:anchor="_Toc81573034" w:history="1">
        <w:r w:rsidR="00081415" w:rsidRPr="00081415">
          <w:rPr>
            <w:rStyle w:val="Hipervnculo"/>
            <w:rFonts w:ascii="Times New Roman" w:hAnsi="Times New Roman" w:cs="Times New Roman"/>
            <w:noProof/>
            <w:sz w:val="20"/>
            <w:szCs w:val="20"/>
          </w:rPr>
          <w:t>Tabla 12</w:t>
        </w:r>
        <w:r w:rsidR="00081415">
          <w:rPr>
            <w:rStyle w:val="Hipervnculo"/>
            <w:rFonts w:ascii="Times New Roman" w:hAnsi="Times New Roman" w:cs="Times New Roman"/>
            <w:noProof/>
            <w:sz w:val="20"/>
            <w:szCs w:val="20"/>
          </w:rPr>
          <w:t>.</w:t>
        </w:r>
        <w:r w:rsidR="00081415" w:rsidRPr="00081415">
          <w:rPr>
            <w:rStyle w:val="Hipervnculo"/>
            <w:rFonts w:ascii="Times New Roman" w:hAnsi="Times New Roman" w:cs="Times New Roman"/>
            <w:noProof/>
            <w:sz w:val="20"/>
            <w:szCs w:val="20"/>
          </w:rPr>
          <w:t xml:space="preserve"> </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noProof/>
            <w:sz w:val="20"/>
            <w:szCs w:val="20"/>
          </w:rPr>
          <w:t>Escenario Alto, proyecciones de las principales variables macroeconómicas</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_Toc81573034 \h </w:instrText>
        </w:r>
        <w:r w:rsidR="00081415" w:rsidRPr="00081415">
          <w:rPr>
            <w:noProof/>
            <w:webHidden/>
            <w:sz w:val="20"/>
            <w:szCs w:val="20"/>
          </w:rPr>
        </w:r>
        <w:r w:rsidR="00081415" w:rsidRPr="00081415">
          <w:rPr>
            <w:noProof/>
            <w:webHidden/>
            <w:sz w:val="20"/>
            <w:szCs w:val="20"/>
          </w:rPr>
          <w:fldChar w:fldCharType="separate"/>
        </w:r>
        <w:r w:rsidR="00081415">
          <w:rPr>
            <w:noProof/>
            <w:webHidden/>
            <w:sz w:val="20"/>
            <w:szCs w:val="20"/>
          </w:rPr>
          <w:t>52</w:t>
        </w:r>
        <w:r w:rsidR="00081415" w:rsidRPr="00081415">
          <w:rPr>
            <w:noProof/>
            <w:webHidden/>
            <w:sz w:val="20"/>
            <w:szCs w:val="20"/>
          </w:rPr>
          <w:fldChar w:fldCharType="end"/>
        </w:r>
      </w:hyperlink>
    </w:p>
    <w:p w14:paraId="6B34F43B" w14:textId="2DF69CF8" w:rsidR="00081415" w:rsidRPr="00081415" w:rsidRDefault="006D2997">
      <w:pPr>
        <w:pStyle w:val="Tabladeilustraciones"/>
        <w:tabs>
          <w:tab w:val="right" w:leader="dot" w:pos="8828"/>
        </w:tabs>
        <w:rPr>
          <w:rFonts w:eastAsiaTheme="minorEastAsia"/>
          <w:noProof/>
          <w:sz w:val="20"/>
          <w:szCs w:val="20"/>
          <w:lang w:eastAsia="es-GT"/>
        </w:rPr>
      </w:pPr>
      <w:hyperlink w:anchor="_Toc81573035" w:history="1">
        <w:r w:rsidR="00081415" w:rsidRPr="00081415">
          <w:rPr>
            <w:rStyle w:val="Hipervnculo"/>
            <w:rFonts w:ascii="Times New Roman" w:hAnsi="Times New Roman" w:cs="Times New Roman"/>
            <w:noProof/>
            <w:sz w:val="20"/>
            <w:szCs w:val="20"/>
          </w:rPr>
          <w:t>Tabla 13</w:t>
        </w:r>
        <w:r w:rsidR="00081415">
          <w:rPr>
            <w:rStyle w:val="Hipervnculo"/>
            <w:rFonts w:ascii="Times New Roman" w:hAnsi="Times New Roman" w:cs="Times New Roman"/>
            <w:noProof/>
            <w:sz w:val="20"/>
            <w:szCs w:val="20"/>
          </w:rPr>
          <w:t>.</w:t>
        </w:r>
        <w:r w:rsidR="00081415" w:rsidRPr="00081415">
          <w:rPr>
            <w:rStyle w:val="Hipervnculo"/>
            <w:rFonts w:ascii="Times New Roman" w:hAnsi="Times New Roman" w:cs="Times New Roman"/>
            <w:noProof/>
            <w:sz w:val="20"/>
            <w:szCs w:val="20"/>
          </w:rPr>
          <w:t xml:space="preserve">  Ejecución de programas de entidades seleccionadas</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_Toc81573035 \h </w:instrText>
        </w:r>
        <w:r w:rsidR="00081415" w:rsidRPr="00081415">
          <w:rPr>
            <w:noProof/>
            <w:webHidden/>
            <w:sz w:val="20"/>
            <w:szCs w:val="20"/>
          </w:rPr>
        </w:r>
        <w:r w:rsidR="00081415" w:rsidRPr="00081415">
          <w:rPr>
            <w:noProof/>
            <w:webHidden/>
            <w:sz w:val="20"/>
            <w:szCs w:val="20"/>
          </w:rPr>
          <w:fldChar w:fldCharType="separate"/>
        </w:r>
        <w:r w:rsidR="00081415">
          <w:rPr>
            <w:noProof/>
            <w:webHidden/>
            <w:sz w:val="20"/>
            <w:szCs w:val="20"/>
          </w:rPr>
          <w:t>66</w:t>
        </w:r>
        <w:r w:rsidR="00081415" w:rsidRPr="00081415">
          <w:rPr>
            <w:noProof/>
            <w:webHidden/>
            <w:sz w:val="20"/>
            <w:szCs w:val="20"/>
          </w:rPr>
          <w:fldChar w:fldCharType="end"/>
        </w:r>
      </w:hyperlink>
    </w:p>
    <w:p w14:paraId="698A7377" w14:textId="3202BB6D" w:rsidR="00081415" w:rsidRPr="00081415" w:rsidRDefault="006D2997">
      <w:pPr>
        <w:pStyle w:val="Tabladeilustraciones"/>
        <w:tabs>
          <w:tab w:val="right" w:leader="dot" w:pos="8828"/>
        </w:tabs>
        <w:rPr>
          <w:rFonts w:eastAsiaTheme="minorEastAsia"/>
          <w:noProof/>
          <w:sz w:val="20"/>
          <w:szCs w:val="20"/>
          <w:lang w:eastAsia="es-GT"/>
        </w:rPr>
      </w:pPr>
      <w:hyperlink w:anchor="_Toc81573036" w:history="1">
        <w:r w:rsidR="00081415" w:rsidRPr="00081415">
          <w:rPr>
            <w:rStyle w:val="Hipervnculo"/>
            <w:rFonts w:ascii="Times New Roman" w:hAnsi="Times New Roman" w:cs="Times New Roman"/>
            <w:noProof/>
            <w:sz w:val="20"/>
            <w:szCs w:val="20"/>
          </w:rPr>
          <w:t>Tabla 14</w:t>
        </w:r>
        <w:r w:rsidR="00081415">
          <w:rPr>
            <w:rStyle w:val="Hipervnculo"/>
            <w:rFonts w:ascii="Times New Roman" w:hAnsi="Times New Roman" w:cs="Times New Roman"/>
            <w:noProof/>
            <w:sz w:val="20"/>
            <w:szCs w:val="20"/>
          </w:rPr>
          <w:t>.</w:t>
        </w:r>
        <w:r w:rsidR="00081415" w:rsidRPr="00081415">
          <w:rPr>
            <w:rStyle w:val="Hipervnculo"/>
            <w:rFonts w:ascii="Times New Roman" w:hAnsi="Times New Roman" w:cs="Times New Roman"/>
            <w:noProof/>
            <w:sz w:val="20"/>
            <w:szCs w:val="20"/>
          </w:rPr>
          <w:t xml:space="preserve">  Programas Sociales y Económicos en Atención a la Depresión Tropical ETA</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_Toc81573036 \h </w:instrText>
        </w:r>
        <w:r w:rsidR="00081415" w:rsidRPr="00081415">
          <w:rPr>
            <w:noProof/>
            <w:webHidden/>
            <w:sz w:val="20"/>
            <w:szCs w:val="20"/>
          </w:rPr>
        </w:r>
        <w:r w:rsidR="00081415" w:rsidRPr="00081415">
          <w:rPr>
            <w:noProof/>
            <w:webHidden/>
            <w:sz w:val="20"/>
            <w:szCs w:val="20"/>
          </w:rPr>
          <w:fldChar w:fldCharType="separate"/>
        </w:r>
        <w:r w:rsidR="00081415">
          <w:rPr>
            <w:noProof/>
            <w:webHidden/>
            <w:sz w:val="20"/>
            <w:szCs w:val="20"/>
          </w:rPr>
          <w:t>71</w:t>
        </w:r>
        <w:r w:rsidR="00081415" w:rsidRPr="00081415">
          <w:rPr>
            <w:noProof/>
            <w:webHidden/>
            <w:sz w:val="20"/>
            <w:szCs w:val="20"/>
          </w:rPr>
          <w:fldChar w:fldCharType="end"/>
        </w:r>
      </w:hyperlink>
    </w:p>
    <w:p w14:paraId="7F7C9C21" w14:textId="6254904E" w:rsidR="00081415" w:rsidRPr="00081415" w:rsidRDefault="006D2997">
      <w:pPr>
        <w:pStyle w:val="Tabladeilustraciones"/>
        <w:tabs>
          <w:tab w:val="right" w:leader="dot" w:pos="8828"/>
        </w:tabs>
        <w:rPr>
          <w:rFonts w:eastAsiaTheme="minorEastAsia"/>
          <w:noProof/>
          <w:sz w:val="20"/>
          <w:szCs w:val="20"/>
          <w:lang w:eastAsia="es-GT"/>
        </w:rPr>
      </w:pPr>
      <w:hyperlink w:anchor="_Toc81573037" w:history="1">
        <w:r w:rsidR="00081415" w:rsidRPr="00081415">
          <w:rPr>
            <w:rStyle w:val="Hipervnculo"/>
            <w:rFonts w:ascii="Times New Roman" w:hAnsi="Times New Roman" w:cs="Times New Roman"/>
            <w:noProof/>
            <w:sz w:val="20"/>
            <w:szCs w:val="20"/>
          </w:rPr>
          <w:t>Tabla 15.  Efectos sectoriales totales</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_Toc81573037 \h </w:instrText>
        </w:r>
        <w:r w:rsidR="00081415" w:rsidRPr="00081415">
          <w:rPr>
            <w:noProof/>
            <w:webHidden/>
            <w:sz w:val="20"/>
            <w:szCs w:val="20"/>
          </w:rPr>
        </w:r>
        <w:r w:rsidR="00081415" w:rsidRPr="00081415">
          <w:rPr>
            <w:noProof/>
            <w:webHidden/>
            <w:sz w:val="20"/>
            <w:szCs w:val="20"/>
          </w:rPr>
          <w:fldChar w:fldCharType="separate"/>
        </w:r>
        <w:r w:rsidR="00081415">
          <w:rPr>
            <w:noProof/>
            <w:webHidden/>
            <w:sz w:val="20"/>
            <w:szCs w:val="20"/>
          </w:rPr>
          <w:t>73</w:t>
        </w:r>
        <w:r w:rsidR="00081415" w:rsidRPr="00081415">
          <w:rPr>
            <w:noProof/>
            <w:webHidden/>
            <w:sz w:val="20"/>
            <w:szCs w:val="20"/>
          </w:rPr>
          <w:fldChar w:fldCharType="end"/>
        </w:r>
      </w:hyperlink>
    </w:p>
    <w:p w14:paraId="6A7EA083" w14:textId="19CFBA9B" w:rsidR="00081415" w:rsidRPr="00081415" w:rsidRDefault="006D2997">
      <w:pPr>
        <w:pStyle w:val="Tabladeilustraciones"/>
        <w:tabs>
          <w:tab w:val="right" w:leader="dot" w:pos="8828"/>
        </w:tabs>
        <w:rPr>
          <w:rFonts w:eastAsiaTheme="minorEastAsia"/>
          <w:noProof/>
          <w:sz w:val="20"/>
          <w:szCs w:val="20"/>
          <w:lang w:eastAsia="es-GT"/>
        </w:rPr>
      </w:pPr>
      <w:hyperlink w:anchor="_Toc81573038" w:history="1">
        <w:r w:rsidR="00081415" w:rsidRPr="00081415">
          <w:rPr>
            <w:rStyle w:val="Hipervnculo"/>
            <w:rFonts w:ascii="Times New Roman" w:hAnsi="Times New Roman" w:cs="Times New Roman"/>
            <w:noProof/>
            <w:sz w:val="20"/>
            <w:szCs w:val="20"/>
          </w:rPr>
          <w:t>Tabla 16</w:t>
        </w:r>
        <w:r w:rsidR="00081415">
          <w:rPr>
            <w:rStyle w:val="Hipervnculo"/>
            <w:rFonts w:ascii="Times New Roman" w:hAnsi="Times New Roman" w:cs="Times New Roman"/>
            <w:noProof/>
            <w:sz w:val="20"/>
            <w:szCs w:val="20"/>
          </w:rPr>
          <w:t>.</w:t>
        </w:r>
        <w:r w:rsidR="00081415" w:rsidRPr="00081415">
          <w:rPr>
            <w:rStyle w:val="Hipervnculo"/>
            <w:rFonts w:ascii="Times New Roman" w:hAnsi="Times New Roman" w:cs="Times New Roman"/>
            <w:noProof/>
            <w:sz w:val="20"/>
            <w:szCs w:val="20"/>
          </w:rPr>
          <w:t xml:space="preserve"> </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noProof/>
            <w:sz w:val="20"/>
            <w:szCs w:val="20"/>
          </w:rPr>
          <w:t>Sector Público No Financiero, Cuenta Económica Consolidada (% del PIB)</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_Toc81573038 \h </w:instrText>
        </w:r>
        <w:r w:rsidR="00081415" w:rsidRPr="00081415">
          <w:rPr>
            <w:noProof/>
            <w:webHidden/>
            <w:sz w:val="20"/>
            <w:szCs w:val="20"/>
          </w:rPr>
        </w:r>
        <w:r w:rsidR="00081415" w:rsidRPr="00081415">
          <w:rPr>
            <w:noProof/>
            <w:webHidden/>
            <w:sz w:val="20"/>
            <w:szCs w:val="20"/>
          </w:rPr>
          <w:fldChar w:fldCharType="separate"/>
        </w:r>
        <w:r w:rsidR="00081415">
          <w:rPr>
            <w:noProof/>
            <w:webHidden/>
            <w:sz w:val="20"/>
            <w:szCs w:val="20"/>
          </w:rPr>
          <w:t>76</w:t>
        </w:r>
        <w:r w:rsidR="00081415" w:rsidRPr="00081415">
          <w:rPr>
            <w:noProof/>
            <w:webHidden/>
            <w:sz w:val="20"/>
            <w:szCs w:val="20"/>
          </w:rPr>
          <w:fldChar w:fldCharType="end"/>
        </w:r>
      </w:hyperlink>
    </w:p>
    <w:p w14:paraId="16E0AB9E" w14:textId="456E0E6E" w:rsidR="00081415" w:rsidRPr="00081415" w:rsidRDefault="006D2997">
      <w:pPr>
        <w:pStyle w:val="Tabladeilustraciones"/>
        <w:tabs>
          <w:tab w:val="right" w:leader="dot" w:pos="8828"/>
        </w:tabs>
        <w:rPr>
          <w:rFonts w:eastAsiaTheme="minorEastAsia"/>
          <w:noProof/>
          <w:sz w:val="20"/>
          <w:szCs w:val="20"/>
          <w:lang w:eastAsia="es-GT"/>
        </w:rPr>
      </w:pPr>
      <w:hyperlink w:anchor="_Toc81573039" w:history="1">
        <w:r w:rsidR="00081415" w:rsidRPr="00081415">
          <w:rPr>
            <w:rStyle w:val="Hipervnculo"/>
            <w:rFonts w:ascii="Times New Roman" w:hAnsi="Times New Roman" w:cs="Times New Roman"/>
            <w:noProof/>
            <w:sz w:val="20"/>
            <w:szCs w:val="20"/>
          </w:rPr>
          <w:t>Tabla 17</w:t>
        </w:r>
        <w:r w:rsidR="00081415">
          <w:rPr>
            <w:rStyle w:val="Hipervnculo"/>
            <w:rFonts w:ascii="Times New Roman" w:hAnsi="Times New Roman" w:cs="Times New Roman"/>
            <w:noProof/>
            <w:sz w:val="20"/>
            <w:szCs w:val="20"/>
          </w:rPr>
          <w:t>.</w:t>
        </w:r>
        <w:r w:rsidR="00081415" w:rsidRP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bCs/>
            <w:noProof/>
            <w:sz w:val="20"/>
            <w:szCs w:val="20"/>
          </w:rPr>
          <w:t>Estimación de la ejecución institucional</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_Toc81573039 \h </w:instrText>
        </w:r>
        <w:r w:rsidR="00081415" w:rsidRPr="00081415">
          <w:rPr>
            <w:noProof/>
            <w:webHidden/>
            <w:sz w:val="20"/>
            <w:szCs w:val="20"/>
          </w:rPr>
        </w:r>
        <w:r w:rsidR="00081415" w:rsidRPr="00081415">
          <w:rPr>
            <w:noProof/>
            <w:webHidden/>
            <w:sz w:val="20"/>
            <w:szCs w:val="20"/>
          </w:rPr>
          <w:fldChar w:fldCharType="separate"/>
        </w:r>
        <w:r w:rsidR="00081415">
          <w:rPr>
            <w:noProof/>
            <w:webHidden/>
            <w:sz w:val="20"/>
            <w:szCs w:val="20"/>
          </w:rPr>
          <w:t>90</w:t>
        </w:r>
        <w:r w:rsidR="00081415" w:rsidRPr="00081415">
          <w:rPr>
            <w:noProof/>
            <w:webHidden/>
            <w:sz w:val="20"/>
            <w:szCs w:val="20"/>
          </w:rPr>
          <w:fldChar w:fldCharType="end"/>
        </w:r>
      </w:hyperlink>
    </w:p>
    <w:p w14:paraId="442480B3" w14:textId="1ECFC39B" w:rsidR="00081415" w:rsidRPr="00081415" w:rsidRDefault="006D2997">
      <w:pPr>
        <w:pStyle w:val="Tabladeilustraciones"/>
        <w:tabs>
          <w:tab w:val="right" w:leader="dot" w:pos="8828"/>
        </w:tabs>
        <w:rPr>
          <w:rFonts w:eastAsiaTheme="minorEastAsia"/>
          <w:noProof/>
          <w:sz w:val="20"/>
          <w:szCs w:val="20"/>
          <w:lang w:eastAsia="es-GT"/>
        </w:rPr>
      </w:pPr>
      <w:hyperlink w:anchor="_Toc81573040" w:history="1">
        <w:r w:rsidR="00081415" w:rsidRPr="00081415">
          <w:rPr>
            <w:rStyle w:val="Hipervnculo"/>
            <w:rFonts w:ascii="Times New Roman" w:hAnsi="Times New Roman" w:cs="Times New Roman"/>
            <w:noProof/>
            <w:sz w:val="20"/>
            <w:szCs w:val="20"/>
          </w:rPr>
          <w:t>Tabla 18</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noProof/>
            <w:sz w:val="20"/>
            <w:szCs w:val="20"/>
          </w:rPr>
          <w:t>Resultados Estratégicos de Desarrollo</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_Toc81573040 \h </w:instrText>
        </w:r>
        <w:r w:rsidR="00081415" w:rsidRPr="00081415">
          <w:rPr>
            <w:noProof/>
            <w:webHidden/>
            <w:sz w:val="20"/>
            <w:szCs w:val="20"/>
          </w:rPr>
        </w:r>
        <w:r w:rsidR="00081415" w:rsidRPr="00081415">
          <w:rPr>
            <w:noProof/>
            <w:webHidden/>
            <w:sz w:val="20"/>
            <w:szCs w:val="20"/>
          </w:rPr>
          <w:fldChar w:fldCharType="separate"/>
        </w:r>
        <w:r w:rsidR="00081415">
          <w:rPr>
            <w:noProof/>
            <w:webHidden/>
            <w:sz w:val="20"/>
            <w:szCs w:val="20"/>
          </w:rPr>
          <w:t>101</w:t>
        </w:r>
        <w:r w:rsidR="00081415" w:rsidRPr="00081415">
          <w:rPr>
            <w:noProof/>
            <w:webHidden/>
            <w:sz w:val="20"/>
            <w:szCs w:val="20"/>
          </w:rPr>
          <w:fldChar w:fldCharType="end"/>
        </w:r>
      </w:hyperlink>
    </w:p>
    <w:p w14:paraId="476A24A0" w14:textId="01DA1A92" w:rsidR="00081415" w:rsidRPr="00081415" w:rsidRDefault="006D2997">
      <w:pPr>
        <w:pStyle w:val="Tabladeilustraciones"/>
        <w:tabs>
          <w:tab w:val="right" w:leader="dot" w:pos="8828"/>
        </w:tabs>
        <w:rPr>
          <w:rFonts w:eastAsiaTheme="minorEastAsia"/>
          <w:noProof/>
          <w:sz w:val="20"/>
          <w:szCs w:val="20"/>
          <w:lang w:eastAsia="es-GT"/>
        </w:rPr>
      </w:pPr>
      <w:hyperlink w:anchor="_Toc81573041" w:history="1">
        <w:r w:rsidR="00081415" w:rsidRPr="00081415">
          <w:rPr>
            <w:rStyle w:val="Hipervnculo"/>
            <w:rFonts w:ascii="Times New Roman" w:hAnsi="Times New Roman" w:cs="Times New Roman"/>
            <w:noProof/>
            <w:sz w:val="20"/>
            <w:szCs w:val="20"/>
          </w:rPr>
          <w:t>Tabla 19</w:t>
        </w:r>
        <w:r w:rsidR="00081415">
          <w:rPr>
            <w:rStyle w:val="Hipervnculo"/>
            <w:rFonts w:ascii="Times New Roman" w:hAnsi="Times New Roman" w:cs="Times New Roman"/>
            <w:noProof/>
            <w:sz w:val="20"/>
            <w:szCs w:val="20"/>
          </w:rPr>
          <w:t>.</w:t>
        </w:r>
        <w:r w:rsidR="00081415" w:rsidRPr="00081415">
          <w:rPr>
            <w:rStyle w:val="Hipervnculo"/>
            <w:rFonts w:ascii="Times New Roman" w:hAnsi="Times New Roman" w:cs="Times New Roman"/>
            <w:noProof/>
            <w:sz w:val="20"/>
            <w:szCs w:val="20"/>
          </w:rPr>
          <w:t xml:space="preserve">  Base de estimación por impuesto</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_Toc81573041 \h </w:instrText>
        </w:r>
        <w:r w:rsidR="00081415" w:rsidRPr="00081415">
          <w:rPr>
            <w:noProof/>
            <w:webHidden/>
            <w:sz w:val="20"/>
            <w:szCs w:val="20"/>
          </w:rPr>
        </w:r>
        <w:r w:rsidR="00081415" w:rsidRPr="00081415">
          <w:rPr>
            <w:noProof/>
            <w:webHidden/>
            <w:sz w:val="20"/>
            <w:szCs w:val="20"/>
          </w:rPr>
          <w:fldChar w:fldCharType="separate"/>
        </w:r>
        <w:r w:rsidR="00081415">
          <w:rPr>
            <w:noProof/>
            <w:webHidden/>
            <w:sz w:val="20"/>
            <w:szCs w:val="20"/>
          </w:rPr>
          <w:t>118</w:t>
        </w:r>
        <w:r w:rsidR="00081415" w:rsidRPr="00081415">
          <w:rPr>
            <w:noProof/>
            <w:webHidden/>
            <w:sz w:val="20"/>
            <w:szCs w:val="20"/>
          </w:rPr>
          <w:fldChar w:fldCharType="end"/>
        </w:r>
      </w:hyperlink>
    </w:p>
    <w:p w14:paraId="4E0BE08C" w14:textId="60BE4A7B" w:rsidR="00081415" w:rsidRPr="00081415" w:rsidRDefault="006D2997">
      <w:pPr>
        <w:pStyle w:val="Tabladeilustraciones"/>
        <w:tabs>
          <w:tab w:val="right" w:leader="dot" w:pos="8828"/>
        </w:tabs>
        <w:rPr>
          <w:rFonts w:eastAsiaTheme="minorEastAsia"/>
          <w:noProof/>
          <w:sz w:val="20"/>
          <w:szCs w:val="20"/>
          <w:lang w:eastAsia="es-GT"/>
        </w:rPr>
      </w:pPr>
      <w:hyperlink w:anchor="_Toc81573042" w:history="1">
        <w:r w:rsidR="00081415" w:rsidRPr="00081415">
          <w:rPr>
            <w:rStyle w:val="Hipervnculo"/>
            <w:rFonts w:ascii="Times New Roman" w:hAnsi="Times New Roman" w:cs="Times New Roman"/>
            <w:noProof/>
            <w:sz w:val="20"/>
            <w:szCs w:val="20"/>
          </w:rPr>
          <w:t>Tabla 20</w:t>
        </w:r>
        <w:r w:rsidR="00081415">
          <w:rPr>
            <w:rStyle w:val="Hipervnculo"/>
            <w:rFonts w:ascii="Times New Roman" w:hAnsi="Times New Roman" w:cs="Times New Roman"/>
            <w:noProof/>
            <w:sz w:val="20"/>
            <w:szCs w:val="20"/>
          </w:rPr>
          <w:t>.</w:t>
        </w:r>
        <w:r w:rsidR="00081415" w:rsidRPr="00081415">
          <w:rPr>
            <w:rStyle w:val="Hipervnculo"/>
            <w:rFonts w:ascii="Times New Roman" w:hAnsi="Times New Roman" w:cs="Times New Roman"/>
            <w:noProof/>
            <w:sz w:val="20"/>
            <w:szCs w:val="20"/>
          </w:rPr>
          <w:t xml:space="preserve">  Escenario macroeconómico 2022-2026</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_Toc81573042 \h </w:instrText>
        </w:r>
        <w:r w:rsidR="00081415" w:rsidRPr="00081415">
          <w:rPr>
            <w:noProof/>
            <w:webHidden/>
            <w:sz w:val="20"/>
            <w:szCs w:val="20"/>
          </w:rPr>
        </w:r>
        <w:r w:rsidR="00081415" w:rsidRPr="00081415">
          <w:rPr>
            <w:noProof/>
            <w:webHidden/>
            <w:sz w:val="20"/>
            <w:szCs w:val="20"/>
          </w:rPr>
          <w:fldChar w:fldCharType="separate"/>
        </w:r>
        <w:r w:rsidR="00081415">
          <w:rPr>
            <w:noProof/>
            <w:webHidden/>
            <w:sz w:val="20"/>
            <w:szCs w:val="20"/>
          </w:rPr>
          <w:t>119</w:t>
        </w:r>
        <w:r w:rsidR="00081415" w:rsidRPr="00081415">
          <w:rPr>
            <w:noProof/>
            <w:webHidden/>
            <w:sz w:val="20"/>
            <w:szCs w:val="20"/>
          </w:rPr>
          <w:fldChar w:fldCharType="end"/>
        </w:r>
      </w:hyperlink>
    </w:p>
    <w:p w14:paraId="38B22D35" w14:textId="7037F41E" w:rsidR="00081415" w:rsidRPr="00081415" w:rsidRDefault="006D2997">
      <w:pPr>
        <w:pStyle w:val="Tabladeilustraciones"/>
        <w:tabs>
          <w:tab w:val="right" w:leader="dot" w:pos="8828"/>
        </w:tabs>
        <w:rPr>
          <w:rFonts w:eastAsiaTheme="minorEastAsia"/>
          <w:noProof/>
          <w:sz w:val="20"/>
          <w:szCs w:val="20"/>
          <w:lang w:eastAsia="es-GT"/>
        </w:rPr>
      </w:pPr>
      <w:hyperlink w:anchor="_Toc81573043" w:history="1">
        <w:r w:rsidR="00081415" w:rsidRPr="00081415">
          <w:rPr>
            <w:rStyle w:val="Hipervnculo"/>
            <w:rFonts w:ascii="Times New Roman" w:hAnsi="Times New Roman" w:cs="Times New Roman"/>
            <w:noProof/>
            <w:sz w:val="20"/>
            <w:szCs w:val="20"/>
          </w:rPr>
          <w:t>Tabla 21</w:t>
        </w:r>
        <w:r w:rsidR="00081415">
          <w:rPr>
            <w:rStyle w:val="Hipervnculo"/>
            <w:rFonts w:ascii="Times New Roman" w:hAnsi="Times New Roman" w:cs="Times New Roman"/>
            <w:noProof/>
            <w:sz w:val="20"/>
            <w:szCs w:val="20"/>
          </w:rPr>
          <w:t>.</w:t>
        </w:r>
        <w:r w:rsidR="00081415" w:rsidRPr="00081415">
          <w:rPr>
            <w:rStyle w:val="Hipervnculo"/>
            <w:rFonts w:ascii="Times New Roman" w:hAnsi="Times New Roman" w:cs="Times New Roman"/>
            <w:noProof/>
            <w:sz w:val="20"/>
            <w:szCs w:val="20"/>
          </w:rPr>
          <w:t xml:space="preserve">  Recaudación tributaria neta</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_Toc81573043 \h </w:instrText>
        </w:r>
        <w:r w:rsidR="00081415" w:rsidRPr="00081415">
          <w:rPr>
            <w:noProof/>
            <w:webHidden/>
            <w:sz w:val="20"/>
            <w:szCs w:val="20"/>
          </w:rPr>
        </w:r>
        <w:r w:rsidR="00081415" w:rsidRPr="00081415">
          <w:rPr>
            <w:noProof/>
            <w:webHidden/>
            <w:sz w:val="20"/>
            <w:szCs w:val="20"/>
          </w:rPr>
          <w:fldChar w:fldCharType="separate"/>
        </w:r>
        <w:r w:rsidR="00081415">
          <w:rPr>
            <w:noProof/>
            <w:webHidden/>
            <w:sz w:val="20"/>
            <w:szCs w:val="20"/>
          </w:rPr>
          <w:t>120</w:t>
        </w:r>
        <w:r w:rsidR="00081415" w:rsidRPr="00081415">
          <w:rPr>
            <w:noProof/>
            <w:webHidden/>
            <w:sz w:val="20"/>
            <w:szCs w:val="20"/>
          </w:rPr>
          <w:fldChar w:fldCharType="end"/>
        </w:r>
      </w:hyperlink>
    </w:p>
    <w:p w14:paraId="267D15A2" w14:textId="5E5D0995" w:rsidR="00081415" w:rsidRPr="00081415" w:rsidRDefault="006D2997">
      <w:pPr>
        <w:pStyle w:val="Tabladeilustraciones"/>
        <w:tabs>
          <w:tab w:val="right" w:leader="dot" w:pos="8828"/>
        </w:tabs>
        <w:rPr>
          <w:rFonts w:eastAsiaTheme="minorEastAsia"/>
          <w:noProof/>
          <w:sz w:val="20"/>
          <w:szCs w:val="20"/>
          <w:lang w:eastAsia="es-GT"/>
        </w:rPr>
      </w:pPr>
      <w:hyperlink w:anchor="_Toc81573044" w:history="1">
        <w:r w:rsidR="00081415" w:rsidRPr="00081415">
          <w:rPr>
            <w:rStyle w:val="Hipervnculo"/>
            <w:rFonts w:ascii="Times New Roman" w:hAnsi="Times New Roman" w:cs="Times New Roman"/>
            <w:noProof/>
            <w:sz w:val="20"/>
            <w:szCs w:val="20"/>
          </w:rPr>
          <w:t>Tabla 22</w:t>
        </w:r>
        <w:r w:rsidR="00081415">
          <w:rPr>
            <w:rStyle w:val="Hipervnculo"/>
            <w:rFonts w:ascii="Times New Roman" w:hAnsi="Times New Roman" w:cs="Times New Roman"/>
            <w:noProof/>
            <w:sz w:val="20"/>
            <w:szCs w:val="20"/>
          </w:rPr>
          <w:t>.</w:t>
        </w:r>
        <w:r w:rsidR="00081415" w:rsidRP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bCs/>
            <w:noProof/>
            <w:sz w:val="20"/>
            <w:szCs w:val="20"/>
          </w:rPr>
          <w:t>Situación financiera estimada para Techos Presupuestarios 2022-2026*</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_Toc81573044 \h </w:instrText>
        </w:r>
        <w:r w:rsidR="00081415" w:rsidRPr="00081415">
          <w:rPr>
            <w:noProof/>
            <w:webHidden/>
            <w:sz w:val="20"/>
            <w:szCs w:val="20"/>
          </w:rPr>
        </w:r>
        <w:r w:rsidR="00081415" w:rsidRPr="00081415">
          <w:rPr>
            <w:noProof/>
            <w:webHidden/>
            <w:sz w:val="20"/>
            <w:szCs w:val="20"/>
          </w:rPr>
          <w:fldChar w:fldCharType="separate"/>
        </w:r>
        <w:r w:rsidR="00081415">
          <w:rPr>
            <w:noProof/>
            <w:webHidden/>
            <w:sz w:val="20"/>
            <w:szCs w:val="20"/>
          </w:rPr>
          <w:t>124</w:t>
        </w:r>
        <w:r w:rsidR="00081415" w:rsidRPr="00081415">
          <w:rPr>
            <w:noProof/>
            <w:webHidden/>
            <w:sz w:val="20"/>
            <w:szCs w:val="20"/>
          </w:rPr>
          <w:fldChar w:fldCharType="end"/>
        </w:r>
      </w:hyperlink>
    </w:p>
    <w:p w14:paraId="27B3B75A" w14:textId="4CACA5AD" w:rsidR="00081415" w:rsidRPr="00081415" w:rsidRDefault="006D2997">
      <w:pPr>
        <w:pStyle w:val="Tabladeilustraciones"/>
        <w:tabs>
          <w:tab w:val="right" w:leader="dot" w:pos="8828"/>
        </w:tabs>
        <w:rPr>
          <w:rFonts w:eastAsiaTheme="minorEastAsia"/>
          <w:noProof/>
          <w:sz w:val="20"/>
          <w:szCs w:val="20"/>
          <w:lang w:eastAsia="es-GT"/>
        </w:rPr>
      </w:pPr>
      <w:hyperlink w:anchor="_Toc81573045" w:history="1">
        <w:r w:rsidR="00081415" w:rsidRPr="00081415">
          <w:rPr>
            <w:rStyle w:val="Hipervnculo"/>
            <w:rFonts w:ascii="Times New Roman" w:hAnsi="Times New Roman" w:cs="Times New Roman"/>
            <w:noProof/>
            <w:sz w:val="20"/>
            <w:szCs w:val="20"/>
          </w:rPr>
          <w:t>Tabla 23</w:t>
        </w:r>
        <w:r w:rsidR="00081415">
          <w:rPr>
            <w:rStyle w:val="Hipervnculo"/>
            <w:rFonts w:ascii="Times New Roman" w:hAnsi="Times New Roman" w:cs="Times New Roman"/>
            <w:noProof/>
            <w:sz w:val="20"/>
            <w:szCs w:val="20"/>
          </w:rPr>
          <w:t>.</w:t>
        </w:r>
        <w:r w:rsidR="00081415" w:rsidRP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bCs/>
            <w:noProof/>
            <w:sz w:val="20"/>
            <w:szCs w:val="20"/>
          </w:rPr>
          <w:t>Situación financiera estimada para Techos Presupuestarios 2022-2026*</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_Toc81573045 \h </w:instrText>
        </w:r>
        <w:r w:rsidR="00081415" w:rsidRPr="00081415">
          <w:rPr>
            <w:noProof/>
            <w:webHidden/>
            <w:sz w:val="20"/>
            <w:szCs w:val="20"/>
          </w:rPr>
        </w:r>
        <w:r w:rsidR="00081415" w:rsidRPr="00081415">
          <w:rPr>
            <w:noProof/>
            <w:webHidden/>
            <w:sz w:val="20"/>
            <w:szCs w:val="20"/>
          </w:rPr>
          <w:fldChar w:fldCharType="separate"/>
        </w:r>
        <w:r w:rsidR="00081415">
          <w:rPr>
            <w:noProof/>
            <w:webHidden/>
            <w:sz w:val="20"/>
            <w:szCs w:val="20"/>
          </w:rPr>
          <w:t>125</w:t>
        </w:r>
        <w:r w:rsidR="00081415" w:rsidRPr="00081415">
          <w:rPr>
            <w:noProof/>
            <w:webHidden/>
            <w:sz w:val="20"/>
            <w:szCs w:val="20"/>
          </w:rPr>
          <w:fldChar w:fldCharType="end"/>
        </w:r>
      </w:hyperlink>
    </w:p>
    <w:p w14:paraId="348DC6D2" w14:textId="187BF9DA" w:rsidR="00081415" w:rsidRPr="00081415" w:rsidRDefault="006D2997">
      <w:pPr>
        <w:pStyle w:val="Tabladeilustraciones"/>
        <w:tabs>
          <w:tab w:val="right" w:leader="dot" w:pos="8828"/>
        </w:tabs>
        <w:rPr>
          <w:rFonts w:eastAsiaTheme="minorEastAsia"/>
          <w:noProof/>
          <w:sz w:val="20"/>
          <w:szCs w:val="20"/>
          <w:lang w:eastAsia="es-GT"/>
        </w:rPr>
      </w:pPr>
      <w:hyperlink w:anchor="_Toc81573046" w:history="1">
        <w:r w:rsidR="00081415" w:rsidRPr="00081415">
          <w:rPr>
            <w:rStyle w:val="Hipervnculo"/>
            <w:rFonts w:ascii="Times New Roman" w:hAnsi="Times New Roman" w:cs="Times New Roman"/>
            <w:noProof/>
            <w:sz w:val="20"/>
            <w:szCs w:val="20"/>
          </w:rPr>
          <w:t>Tabla 24</w:t>
        </w:r>
        <w:r w:rsidR="00081415">
          <w:rPr>
            <w:rStyle w:val="Hipervnculo"/>
            <w:rFonts w:ascii="Times New Roman" w:hAnsi="Times New Roman" w:cs="Times New Roman"/>
            <w:noProof/>
            <w:sz w:val="20"/>
            <w:szCs w:val="20"/>
          </w:rPr>
          <w:t>.</w:t>
        </w:r>
        <w:r w:rsidR="00081415" w:rsidRPr="00081415">
          <w:rPr>
            <w:rStyle w:val="Hipervnculo"/>
            <w:rFonts w:ascii="Times New Roman" w:hAnsi="Times New Roman" w:cs="Times New Roman"/>
            <w:noProof/>
            <w:sz w:val="20"/>
            <w:szCs w:val="20"/>
          </w:rPr>
          <w:t xml:space="preserve"> </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noProof/>
            <w:sz w:val="20"/>
            <w:szCs w:val="20"/>
          </w:rPr>
          <w:t>Proyección de Desembolsos de Préstamos Externos</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_Toc81573046 \h </w:instrText>
        </w:r>
        <w:r w:rsidR="00081415" w:rsidRPr="00081415">
          <w:rPr>
            <w:noProof/>
            <w:webHidden/>
            <w:sz w:val="20"/>
            <w:szCs w:val="20"/>
          </w:rPr>
        </w:r>
        <w:r w:rsidR="00081415" w:rsidRPr="00081415">
          <w:rPr>
            <w:noProof/>
            <w:webHidden/>
            <w:sz w:val="20"/>
            <w:szCs w:val="20"/>
          </w:rPr>
          <w:fldChar w:fldCharType="separate"/>
        </w:r>
        <w:r w:rsidR="00081415">
          <w:rPr>
            <w:noProof/>
            <w:webHidden/>
            <w:sz w:val="20"/>
            <w:szCs w:val="20"/>
          </w:rPr>
          <w:t>127</w:t>
        </w:r>
        <w:r w:rsidR="00081415" w:rsidRPr="00081415">
          <w:rPr>
            <w:noProof/>
            <w:webHidden/>
            <w:sz w:val="20"/>
            <w:szCs w:val="20"/>
          </w:rPr>
          <w:fldChar w:fldCharType="end"/>
        </w:r>
      </w:hyperlink>
    </w:p>
    <w:p w14:paraId="3E1138EF" w14:textId="4F288847" w:rsidR="00081415" w:rsidRPr="00081415" w:rsidRDefault="006D2997">
      <w:pPr>
        <w:pStyle w:val="Tabladeilustraciones"/>
        <w:tabs>
          <w:tab w:val="right" w:leader="dot" w:pos="8828"/>
        </w:tabs>
        <w:rPr>
          <w:rFonts w:eastAsiaTheme="minorEastAsia"/>
          <w:noProof/>
          <w:sz w:val="20"/>
          <w:szCs w:val="20"/>
          <w:lang w:eastAsia="es-GT"/>
        </w:rPr>
      </w:pPr>
      <w:hyperlink w:anchor="_Toc81573047" w:history="1">
        <w:r w:rsidR="00081415" w:rsidRPr="00081415">
          <w:rPr>
            <w:rStyle w:val="Hipervnculo"/>
            <w:rFonts w:ascii="Times New Roman" w:hAnsi="Times New Roman" w:cs="Times New Roman"/>
            <w:noProof/>
            <w:sz w:val="20"/>
            <w:szCs w:val="20"/>
          </w:rPr>
          <w:t>Tabla 25</w:t>
        </w:r>
        <w:r w:rsidR="00081415">
          <w:rPr>
            <w:rStyle w:val="Hipervnculo"/>
            <w:rFonts w:ascii="Times New Roman" w:hAnsi="Times New Roman" w:cs="Times New Roman"/>
            <w:noProof/>
            <w:sz w:val="20"/>
            <w:szCs w:val="20"/>
          </w:rPr>
          <w:t>.</w:t>
        </w:r>
        <w:r w:rsidR="00081415" w:rsidRPr="00081415">
          <w:rPr>
            <w:rStyle w:val="Hipervnculo"/>
            <w:rFonts w:ascii="Times New Roman" w:hAnsi="Times New Roman" w:cs="Times New Roman"/>
            <w:noProof/>
            <w:sz w:val="20"/>
            <w:szCs w:val="20"/>
          </w:rPr>
          <w:t xml:space="preserve"> </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noProof/>
            <w:sz w:val="20"/>
            <w:szCs w:val="20"/>
          </w:rPr>
          <w:t>Escenario macroeconómico alto</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_Toc81573047 \h </w:instrText>
        </w:r>
        <w:r w:rsidR="00081415" w:rsidRPr="00081415">
          <w:rPr>
            <w:noProof/>
            <w:webHidden/>
            <w:sz w:val="20"/>
            <w:szCs w:val="20"/>
          </w:rPr>
        </w:r>
        <w:r w:rsidR="00081415" w:rsidRPr="00081415">
          <w:rPr>
            <w:noProof/>
            <w:webHidden/>
            <w:sz w:val="20"/>
            <w:szCs w:val="20"/>
          </w:rPr>
          <w:fldChar w:fldCharType="separate"/>
        </w:r>
        <w:r w:rsidR="00081415">
          <w:rPr>
            <w:noProof/>
            <w:webHidden/>
            <w:sz w:val="20"/>
            <w:szCs w:val="20"/>
          </w:rPr>
          <w:t>134</w:t>
        </w:r>
        <w:r w:rsidR="00081415" w:rsidRPr="00081415">
          <w:rPr>
            <w:noProof/>
            <w:webHidden/>
            <w:sz w:val="20"/>
            <w:szCs w:val="20"/>
          </w:rPr>
          <w:fldChar w:fldCharType="end"/>
        </w:r>
      </w:hyperlink>
    </w:p>
    <w:p w14:paraId="35C21014" w14:textId="0B26D246" w:rsidR="00081415" w:rsidRPr="00081415" w:rsidRDefault="006D2997">
      <w:pPr>
        <w:pStyle w:val="Tabladeilustraciones"/>
        <w:tabs>
          <w:tab w:val="right" w:leader="dot" w:pos="8828"/>
        </w:tabs>
        <w:rPr>
          <w:rFonts w:eastAsiaTheme="minorEastAsia"/>
          <w:noProof/>
          <w:sz w:val="20"/>
          <w:szCs w:val="20"/>
          <w:lang w:eastAsia="es-GT"/>
        </w:rPr>
      </w:pPr>
      <w:hyperlink w:anchor="_Toc81573048" w:history="1">
        <w:r w:rsidR="00081415" w:rsidRPr="00081415">
          <w:rPr>
            <w:rStyle w:val="Hipervnculo"/>
            <w:rFonts w:ascii="Times New Roman" w:hAnsi="Times New Roman" w:cs="Times New Roman"/>
            <w:noProof/>
            <w:sz w:val="20"/>
            <w:szCs w:val="20"/>
          </w:rPr>
          <w:t>Tabla 26</w:t>
        </w:r>
        <w:r w:rsidR="00081415">
          <w:rPr>
            <w:rStyle w:val="Hipervnculo"/>
            <w:rFonts w:ascii="Times New Roman" w:hAnsi="Times New Roman" w:cs="Times New Roman"/>
            <w:noProof/>
            <w:sz w:val="20"/>
            <w:szCs w:val="20"/>
          </w:rPr>
          <w:t>.</w:t>
        </w:r>
        <w:r w:rsidR="00081415" w:rsidRPr="00081415">
          <w:rPr>
            <w:rStyle w:val="Hipervnculo"/>
            <w:rFonts w:ascii="Times New Roman" w:hAnsi="Times New Roman" w:cs="Times New Roman"/>
            <w:noProof/>
            <w:sz w:val="20"/>
            <w:szCs w:val="20"/>
          </w:rPr>
          <w:t xml:space="preserve"> </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noProof/>
            <w:sz w:val="20"/>
            <w:szCs w:val="20"/>
          </w:rPr>
          <w:t>Proyección de recaudación tributaria</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_Toc81573048 \h </w:instrText>
        </w:r>
        <w:r w:rsidR="00081415" w:rsidRPr="00081415">
          <w:rPr>
            <w:noProof/>
            <w:webHidden/>
            <w:sz w:val="20"/>
            <w:szCs w:val="20"/>
          </w:rPr>
        </w:r>
        <w:r w:rsidR="00081415" w:rsidRPr="00081415">
          <w:rPr>
            <w:noProof/>
            <w:webHidden/>
            <w:sz w:val="20"/>
            <w:szCs w:val="20"/>
          </w:rPr>
          <w:fldChar w:fldCharType="separate"/>
        </w:r>
        <w:r w:rsidR="00081415">
          <w:rPr>
            <w:noProof/>
            <w:webHidden/>
            <w:sz w:val="20"/>
            <w:szCs w:val="20"/>
          </w:rPr>
          <w:t>135</w:t>
        </w:r>
        <w:r w:rsidR="00081415" w:rsidRPr="00081415">
          <w:rPr>
            <w:noProof/>
            <w:webHidden/>
            <w:sz w:val="20"/>
            <w:szCs w:val="20"/>
          </w:rPr>
          <w:fldChar w:fldCharType="end"/>
        </w:r>
      </w:hyperlink>
    </w:p>
    <w:p w14:paraId="70EF8E47" w14:textId="16BB542F" w:rsidR="00081415" w:rsidRPr="00081415" w:rsidRDefault="006D2997">
      <w:pPr>
        <w:pStyle w:val="Tabladeilustraciones"/>
        <w:tabs>
          <w:tab w:val="right" w:leader="dot" w:pos="8828"/>
        </w:tabs>
        <w:rPr>
          <w:rFonts w:eastAsiaTheme="minorEastAsia"/>
          <w:noProof/>
          <w:sz w:val="20"/>
          <w:szCs w:val="20"/>
          <w:lang w:eastAsia="es-GT"/>
        </w:rPr>
      </w:pPr>
      <w:hyperlink w:anchor="_Toc81573049" w:history="1">
        <w:r w:rsidR="00081415" w:rsidRPr="00081415">
          <w:rPr>
            <w:rStyle w:val="Hipervnculo"/>
            <w:rFonts w:ascii="Times New Roman" w:hAnsi="Times New Roman" w:cs="Times New Roman"/>
            <w:noProof/>
            <w:sz w:val="20"/>
            <w:szCs w:val="20"/>
          </w:rPr>
          <w:t>Tabla 27</w:t>
        </w:r>
        <w:r w:rsidR="00081415">
          <w:rPr>
            <w:rStyle w:val="Hipervnculo"/>
            <w:rFonts w:ascii="Times New Roman" w:hAnsi="Times New Roman" w:cs="Times New Roman"/>
            <w:noProof/>
            <w:sz w:val="20"/>
            <w:szCs w:val="20"/>
          </w:rPr>
          <w:t>.</w:t>
        </w:r>
        <w:r w:rsidR="00081415" w:rsidRPr="00081415">
          <w:rPr>
            <w:rStyle w:val="Hipervnculo"/>
            <w:rFonts w:ascii="Times New Roman" w:hAnsi="Times New Roman" w:cs="Times New Roman"/>
            <w:noProof/>
            <w:sz w:val="20"/>
            <w:szCs w:val="20"/>
          </w:rPr>
          <w:t xml:space="preserve"> </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noProof/>
            <w:sz w:val="20"/>
            <w:szCs w:val="20"/>
          </w:rPr>
          <w:t>Escenario macroeconómico alto</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_Toc81573049 \h </w:instrText>
        </w:r>
        <w:r w:rsidR="00081415" w:rsidRPr="00081415">
          <w:rPr>
            <w:noProof/>
            <w:webHidden/>
            <w:sz w:val="20"/>
            <w:szCs w:val="20"/>
          </w:rPr>
        </w:r>
        <w:r w:rsidR="00081415" w:rsidRPr="00081415">
          <w:rPr>
            <w:noProof/>
            <w:webHidden/>
            <w:sz w:val="20"/>
            <w:szCs w:val="20"/>
          </w:rPr>
          <w:fldChar w:fldCharType="separate"/>
        </w:r>
        <w:r w:rsidR="00081415">
          <w:rPr>
            <w:noProof/>
            <w:webHidden/>
            <w:sz w:val="20"/>
            <w:szCs w:val="20"/>
          </w:rPr>
          <w:t>136</w:t>
        </w:r>
        <w:r w:rsidR="00081415" w:rsidRPr="00081415">
          <w:rPr>
            <w:noProof/>
            <w:webHidden/>
            <w:sz w:val="20"/>
            <w:szCs w:val="20"/>
          </w:rPr>
          <w:fldChar w:fldCharType="end"/>
        </w:r>
      </w:hyperlink>
    </w:p>
    <w:p w14:paraId="313230C8" w14:textId="3B414AA6" w:rsidR="00081415" w:rsidRPr="00081415" w:rsidRDefault="006D2997">
      <w:pPr>
        <w:pStyle w:val="Tabladeilustraciones"/>
        <w:tabs>
          <w:tab w:val="right" w:leader="dot" w:pos="8828"/>
        </w:tabs>
        <w:rPr>
          <w:rFonts w:eastAsiaTheme="minorEastAsia"/>
          <w:noProof/>
          <w:sz w:val="20"/>
          <w:szCs w:val="20"/>
          <w:lang w:eastAsia="es-GT"/>
        </w:rPr>
      </w:pPr>
      <w:hyperlink w:anchor="_Toc81573050" w:history="1">
        <w:r w:rsidR="00081415" w:rsidRPr="00081415">
          <w:rPr>
            <w:rStyle w:val="Hipervnculo"/>
            <w:rFonts w:ascii="Times New Roman" w:hAnsi="Times New Roman" w:cs="Times New Roman"/>
            <w:noProof/>
            <w:sz w:val="20"/>
            <w:szCs w:val="20"/>
          </w:rPr>
          <w:t>Tabla 28</w:t>
        </w:r>
        <w:r w:rsidR="00081415">
          <w:rPr>
            <w:rStyle w:val="Hipervnculo"/>
            <w:rFonts w:ascii="Times New Roman" w:hAnsi="Times New Roman" w:cs="Times New Roman"/>
            <w:noProof/>
            <w:sz w:val="20"/>
            <w:szCs w:val="20"/>
          </w:rPr>
          <w:t>.</w:t>
        </w:r>
        <w:r w:rsidR="00081415" w:rsidRPr="00081415">
          <w:rPr>
            <w:rStyle w:val="Hipervnculo"/>
            <w:rFonts w:ascii="Times New Roman" w:hAnsi="Times New Roman" w:cs="Times New Roman"/>
            <w:noProof/>
            <w:sz w:val="20"/>
            <w:szCs w:val="20"/>
          </w:rPr>
          <w:t xml:space="preserve"> </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noProof/>
            <w:sz w:val="20"/>
            <w:szCs w:val="20"/>
          </w:rPr>
          <w:t>Proyección de recaudación tributaria</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_Toc81573050 \h </w:instrText>
        </w:r>
        <w:r w:rsidR="00081415" w:rsidRPr="00081415">
          <w:rPr>
            <w:noProof/>
            <w:webHidden/>
            <w:sz w:val="20"/>
            <w:szCs w:val="20"/>
          </w:rPr>
        </w:r>
        <w:r w:rsidR="00081415" w:rsidRPr="00081415">
          <w:rPr>
            <w:noProof/>
            <w:webHidden/>
            <w:sz w:val="20"/>
            <w:szCs w:val="20"/>
          </w:rPr>
          <w:fldChar w:fldCharType="separate"/>
        </w:r>
        <w:r w:rsidR="00081415">
          <w:rPr>
            <w:noProof/>
            <w:webHidden/>
            <w:sz w:val="20"/>
            <w:szCs w:val="20"/>
          </w:rPr>
          <w:t>137</w:t>
        </w:r>
        <w:r w:rsidR="00081415" w:rsidRPr="00081415">
          <w:rPr>
            <w:noProof/>
            <w:webHidden/>
            <w:sz w:val="20"/>
            <w:szCs w:val="20"/>
          </w:rPr>
          <w:fldChar w:fldCharType="end"/>
        </w:r>
      </w:hyperlink>
    </w:p>
    <w:p w14:paraId="42E97497" w14:textId="138DD36A" w:rsidR="00AE5006" w:rsidRDefault="00126D07" w:rsidP="00AE5006">
      <w:pPr>
        <w:rPr>
          <w:sz w:val="26"/>
          <w:szCs w:val="26"/>
        </w:rPr>
      </w:pPr>
      <w:r w:rsidRPr="00081415">
        <w:rPr>
          <w:rFonts w:ascii="Times New Roman" w:hAnsi="Times New Roman" w:cs="Times New Roman"/>
          <w:sz w:val="20"/>
          <w:szCs w:val="20"/>
        </w:rPr>
        <w:fldChar w:fldCharType="end"/>
      </w:r>
    </w:p>
    <w:p w14:paraId="112AAC42" w14:textId="77777777" w:rsidR="00CC3F80" w:rsidRPr="00CC3F80" w:rsidRDefault="00CC3F80" w:rsidP="00CC3F80">
      <w:pPr>
        <w:jc w:val="center"/>
        <w:rPr>
          <w:rFonts w:ascii="Times New Roman" w:hAnsi="Times New Roman" w:cs="Times New Roman"/>
          <w:b/>
          <w:sz w:val="26"/>
          <w:szCs w:val="26"/>
        </w:rPr>
      </w:pPr>
      <w:r>
        <w:rPr>
          <w:rFonts w:ascii="Times New Roman" w:hAnsi="Times New Roman" w:cs="Times New Roman"/>
          <w:b/>
          <w:sz w:val="26"/>
          <w:szCs w:val="26"/>
        </w:rPr>
        <w:t>Contenido en gráficos</w:t>
      </w:r>
    </w:p>
    <w:p w14:paraId="6ACD790F" w14:textId="5F100970" w:rsidR="00081415" w:rsidRPr="00081415" w:rsidRDefault="00134FDC">
      <w:pPr>
        <w:pStyle w:val="Tabladeilustraciones"/>
        <w:tabs>
          <w:tab w:val="right" w:leader="dot" w:pos="8828"/>
        </w:tabs>
        <w:rPr>
          <w:rFonts w:eastAsiaTheme="minorEastAsia"/>
          <w:noProof/>
          <w:sz w:val="20"/>
          <w:lang w:eastAsia="es-GT"/>
        </w:rPr>
      </w:pPr>
      <w:r w:rsidRPr="00CC3F80">
        <w:rPr>
          <w:sz w:val="26"/>
          <w:szCs w:val="26"/>
        </w:rPr>
        <w:fldChar w:fldCharType="begin"/>
      </w:r>
      <w:r w:rsidRPr="00CC3F80">
        <w:rPr>
          <w:sz w:val="26"/>
          <w:szCs w:val="26"/>
        </w:rPr>
        <w:instrText xml:space="preserve"> TOC \h \z \c "Gráfico" </w:instrText>
      </w:r>
      <w:r w:rsidRPr="00CC3F80">
        <w:rPr>
          <w:sz w:val="26"/>
          <w:szCs w:val="26"/>
        </w:rPr>
        <w:fldChar w:fldCharType="separate"/>
      </w:r>
      <w:hyperlink w:anchor="_Toc81573051" w:history="1">
        <w:r w:rsidR="00081415" w:rsidRPr="00081415">
          <w:rPr>
            <w:rStyle w:val="Hipervnculo"/>
            <w:rFonts w:ascii="Times New Roman" w:hAnsi="Times New Roman" w:cs="Times New Roman"/>
            <w:noProof/>
            <w:sz w:val="20"/>
          </w:rPr>
          <w:t>Gráfico 1</w:t>
        </w:r>
        <w:r w:rsidR="00081415">
          <w:rPr>
            <w:rStyle w:val="Hipervnculo"/>
            <w:rFonts w:ascii="Times New Roman" w:hAnsi="Times New Roman" w:cs="Times New Roman"/>
            <w:noProof/>
            <w:sz w:val="20"/>
          </w:rPr>
          <w:t>.</w:t>
        </w:r>
        <w:r w:rsidR="00081415" w:rsidRPr="00081415">
          <w:rPr>
            <w:rStyle w:val="Hipervnculo"/>
            <w:rFonts w:ascii="Times New Roman" w:hAnsi="Times New Roman" w:cs="Times New Roman"/>
            <w:noProof/>
            <w:sz w:val="20"/>
          </w:rPr>
          <w:t xml:space="preserve">  </w:t>
        </w:r>
        <w:r w:rsidR="00081415" w:rsidRPr="00081415">
          <w:rPr>
            <w:rStyle w:val="Hipervnculo"/>
            <w:rFonts w:ascii="Times New Roman" w:hAnsi="Times New Roman" w:cs="Times New Roman"/>
            <w:bCs/>
            <w:noProof/>
            <w:sz w:val="20"/>
          </w:rPr>
          <w:t>Tasas de crecimiento del PIB, Centroamérica y la República Dominicana 2019-2020</w:t>
        </w:r>
        <w:r w:rsidR="00081415" w:rsidRPr="00081415">
          <w:rPr>
            <w:noProof/>
            <w:webHidden/>
            <w:sz w:val="20"/>
          </w:rPr>
          <w:tab/>
        </w:r>
        <w:r w:rsidR="00081415" w:rsidRPr="00081415">
          <w:rPr>
            <w:noProof/>
            <w:webHidden/>
            <w:sz w:val="20"/>
          </w:rPr>
          <w:fldChar w:fldCharType="begin"/>
        </w:r>
        <w:r w:rsidR="00081415" w:rsidRPr="00081415">
          <w:rPr>
            <w:noProof/>
            <w:webHidden/>
            <w:sz w:val="20"/>
          </w:rPr>
          <w:instrText xml:space="preserve"> PAGEREF _Toc81573051 \h </w:instrText>
        </w:r>
        <w:r w:rsidR="00081415" w:rsidRPr="00081415">
          <w:rPr>
            <w:noProof/>
            <w:webHidden/>
            <w:sz w:val="20"/>
          </w:rPr>
        </w:r>
        <w:r w:rsidR="00081415" w:rsidRPr="00081415">
          <w:rPr>
            <w:noProof/>
            <w:webHidden/>
            <w:sz w:val="20"/>
          </w:rPr>
          <w:fldChar w:fldCharType="separate"/>
        </w:r>
        <w:r w:rsidR="00081415" w:rsidRPr="00081415">
          <w:rPr>
            <w:noProof/>
            <w:webHidden/>
            <w:sz w:val="20"/>
          </w:rPr>
          <w:t>12</w:t>
        </w:r>
        <w:r w:rsidR="00081415" w:rsidRPr="00081415">
          <w:rPr>
            <w:noProof/>
            <w:webHidden/>
            <w:sz w:val="20"/>
          </w:rPr>
          <w:fldChar w:fldCharType="end"/>
        </w:r>
      </w:hyperlink>
    </w:p>
    <w:p w14:paraId="67AA1554" w14:textId="04F3199F" w:rsidR="00081415" w:rsidRPr="00081415" w:rsidRDefault="006D2997">
      <w:pPr>
        <w:pStyle w:val="Tabladeilustraciones"/>
        <w:tabs>
          <w:tab w:val="right" w:leader="dot" w:pos="8828"/>
        </w:tabs>
        <w:rPr>
          <w:rFonts w:eastAsiaTheme="minorEastAsia"/>
          <w:noProof/>
          <w:sz w:val="20"/>
          <w:lang w:eastAsia="es-GT"/>
        </w:rPr>
      </w:pPr>
      <w:hyperlink w:anchor="_Toc81573052" w:history="1">
        <w:r w:rsidR="00081415" w:rsidRPr="00081415">
          <w:rPr>
            <w:rStyle w:val="Hipervnculo"/>
            <w:rFonts w:ascii="Times New Roman" w:hAnsi="Times New Roman" w:cs="Times New Roman"/>
            <w:noProof/>
            <w:sz w:val="20"/>
          </w:rPr>
          <w:t>Gráfico 2</w:t>
        </w:r>
        <w:r w:rsidR="00081415">
          <w:rPr>
            <w:rStyle w:val="Hipervnculo"/>
            <w:rFonts w:ascii="Times New Roman" w:hAnsi="Times New Roman" w:cs="Times New Roman"/>
            <w:noProof/>
            <w:sz w:val="20"/>
          </w:rPr>
          <w:t>.</w:t>
        </w:r>
        <w:r w:rsidR="00081415" w:rsidRPr="00081415">
          <w:rPr>
            <w:rStyle w:val="Hipervnculo"/>
            <w:rFonts w:ascii="Times New Roman" w:hAnsi="Times New Roman" w:cs="Times New Roman"/>
            <w:noProof/>
            <w:sz w:val="20"/>
          </w:rPr>
          <w:t xml:space="preserve">  </w:t>
        </w:r>
        <w:r w:rsidR="00081415" w:rsidRPr="00081415">
          <w:rPr>
            <w:rStyle w:val="Hipervnculo"/>
            <w:rFonts w:ascii="Times New Roman" w:hAnsi="Times New Roman" w:cs="Times New Roman"/>
            <w:bCs/>
            <w:noProof/>
            <w:sz w:val="20"/>
          </w:rPr>
          <w:t>Tasas de crecimiento del PIB, Zona Euro 2010-2020</w:t>
        </w:r>
        <w:r w:rsidR="00081415" w:rsidRPr="00081415">
          <w:rPr>
            <w:noProof/>
            <w:webHidden/>
            <w:sz w:val="20"/>
          </w:rPr>
          <w:tab/>
        </w:r>
        <w:r w:rsidR="00081415" w:rsidRPr="00081415">
          <w:rPr>
            <w:noProof/>
            <w:webHidden/>
            <w:sz w:val="20"/>
          </w:rPr>
          <w:fldChar w:fldCharType="begin"/>
        </w:r>
        <w:r w:rsidR="00081415" w:rsidRPr="00081415">
          <w:rPr>
            <w:noProof/>
            <w:webHidden/>
            <w:sz w:val="20"/>
          </w:rPr>
          <w:instrText xml:space="preserve"> PAGEREF _Toc81573052 \h </w:instrText>
        </w:r>
        <w:r w:rsidR="00081415" w:rsidRPr="00081415">
          <w:rPr>
            <w:noProof/>
            <w:webHidden/>
            <w:sz w:val="20"/>
          </w:rPr>
        </w:r>
        <w:r w:rsidR="00081415" w:rsidRPr="00081415">
          <w:rPr>
            <w:noProof/>
            <w:webHidden/>
            <w:sz w:val="20"/>
          </w:rPr>
          <w:fldChar w:fldCharType="separate"/>
        </w:r>
        <w:r w:rsidR="00081415" w:rsidRPr="00081415">
          <w:rPr>
            <w:noProof/>
            <w:webHidden/>
            <w:sz w:val="20"/>
          </w:rPr>
          <w:t>14</w:t>
        </w:r>
        <w:r w:rsidR="00081415" w:rsidRPr="00081415">
          <w:rPr>
            <w:noProof/>
            <w:webHidden/>
            <w:sz w:val="20"/>
          </w:rPr>
          <w:fldChar w:fldCharType="end"/>
        </w:r>
      </w:hyperlink>
    </w:p>
    <w:p w14:paraId="0301327A" w14:textId="5019127C" w:rsidR="00081415" w:rsidRPr="00081415" w:rsidRDefault="006D2997">
      <w:pPr>
        <w:pStyle w:val="Tabladeilustraciones"/>
        <w:tabs>
          <w:tab w:val="right" w:leader="dot" w:pos="8828"/>
        </w:tabs>
        <w:rPr>
          <w:rFonts w:eastAsiaTheme="minorEastAsia"/>
          <w:noProof/>
          <w:sz w:val="20"/>
          <w:lang w:eastAsia="es-GT"/>
        </w:rPr>
      </w:pPr>
      <w:hyperlink w:anchor="_Toc81573053" w:history="1">
        <w:r w:rsidR="00081415" w:rsidRPr="00081415">
          <w:rPr>
            <w:rStyle w:val="Hipervnculo"/>
            <w:rFonts w:ascii="Times New Roman" w:hAnsi="Times New Roman" w:cs="Times New Roman"/>
            <w:noProof/>
            <w:sz w:val="20"/>
          </w:rPr>
          <w:t>Gráfico 3</w:t>
        </w:r>
        <w:r w:rsidR="00081415">
          <w:rPr>
            <w:rStyle w:val="Hipervnculo"/>
            <w:rFonts w:ascii="Times New Roman" w:hAnsi="Times New Roman" w:cs="Times New Roman"/>
            <w:noProof/>
            <w:sz w:val="20"/>
          </w:rPr>
          <w:t>.</w:t>
        </w:r>
        <w:r w:rsidR="00081415" w:rsidRPr="00081415">
          <w:rPr>
            <w:rStyle w:val="Hipervnculo"/>
            <w:rFonts w:ascii="Times New Roman" w:hAnsi="Times New Roman" w:cs="Times New Roman"/>
            <w:noProof/>
            <w:sz w:val="20"/>
          </w:rPr>
          <w:t xml:space="preserve">  </w:t>
        </w:r>
        <w:r w:rsidR="00081415" w:rsidRPr="00081415">
          <w:rPr>
            <w:rStyle w:val="Hipervnculo"/>
            <w:rFonts w:ascii="Times New Roman" w:hAnsi="Times New Roman" w:cs="Times New Roman"/>
            <w:bCs/>
            <w:noProof/>
            <w:sz w:val="20"/>
          </w:rPr>
          <w:t>Precios Promedio Mensuales de WTI del 2017-2020</w:t>
        </w:r>
        <w:r w:rsidR="00081415" w:rsidRPr="00081415">
          <w:rPr>
            <w:noProof/>
            <w:webHidden/>
            <w:sz w:val="20"/>
          </w:rPr>
          <w:tab/>
        </w:r>
        <w:r w:rsidR="00081415" w:rsidRPr="00081415">
          <w:rPr>
            <w:noProof/>
            <w:webHidden/>
            <w:sz w:val="20"/>
          </w:rPr>
          <w:fldChar w:fldCharType="begin"/>
        </w:r>
        <w:r w:rsidR="00081415" w:rsidRPr="00081415">
          <w:rPr>
            <w:noProof/>
            <w:webHidden/>
            <w:sz w:val="20"/>
          </w:rPr>
          <w:instrText xml:space="preserve"> PAGEREF _Toc81573053 \h </w:instrText>
        </w:r>
        <w:r w:rsidR="00081415" w:rsidRPr="00081415">
          <w:rPr>
            <w:noProof/>
            <w:webHidden/>
            <w:sz w:val="20"/>
          </w:rPr>
        </w:r>
        <w:r w:rsidR="00081415" w:rsidRPr="00081415">
          <w:rPr>
            <w:noProof/>
            <w:webHidden/>
            <w:sz w:val="20"/>
          </w:rPr>
          <w:fldChar w:fldCharType="separate"/>
        </w:r>
        <w:r w:rsidR="00081415" w:rsidRPr="00081415">
          <w:rPr>
            <w:noProof/>
            <w:webHidden/>
            <w:sz w:val="20"/>
          </w:rPr>
          <w:t>14</w:t>
        </w:r>
        <w:r w:rsidR="00081415" w:rsidRPr="00081415">
          <w:rPr>
            <w:noProof/>
            <w:webHidden/>
            <w:sz w:val="20"/>
          </w:rPr>
          <w:fldChar w:fldCharType="end"/>
        </w:r>
      </w:hyperlink>
    </w:p>
    <w:p w14:paraId="5FFA2891" w14:textId="35DFA061" w:rsidR="00081415" w:rsidRPr="00081415" w:rsidRDefault="006D2997">
      <w:pPr>
        <w:pStyle w:val="Tabladeilustraciones"/>
        <w:tabs>
          <w:tab w:val="right" w:leader="dot" w:pos="8828"/>
        </w:tabs>
        <w:rPr>
          <w:rFonts w:eastAsiaTheme="minorEastAsia"/>
          <w:noProof/>
          <w:sz w:val="20"/>
          <w:lang w:eastAsia="es-GT"/>
        </w:rPr>
      </w:pPr>
      <w:hyperlink w:anchor="_Toc81573054" w:history="1">
        <w:r w:rsidR="00081415" w:rsidRPr="00081415">
          <w:rPr>
            <w:rStyle w:val="Hipervnculo"/>
            <w:rFonts w:ascii="Times New Roman" w:hAnsi="Times New Roman" w:cs="Times New Roman"/>
            <w:noProof/>
            <w:sz w:val="20"/>
          </w:rPr>
          <w:t>Gráfico 4</w:t>
        </w:r>
        <w:r w:rsidR="00081415">
          <w:rPr>
            <w:rStyle w:val="Hipervnculo"/>
            <w:rFonts w:ascii="Times New Roman" w:hAnsi="Times New Roman" w:cs="Times New Roman"/>
            <w:noProof/>
            <w:sz w:val="20"/>
          </w:rPr>
          <w:t>.</w:t>
        </w:r>
        <w:r w:rsidR="00081415" w:rsidRPr="00081415">
          <w:rPr>
            <w:rStyle w:val="Hipervnculo"/>
            <w:rFonts w:ascii="Times New Roman" w:hAnsi="Times New Roman" w:cs="Times New Roman"/>
            <w:noProof/>
            <w:sz w:val="20"/>
          </w:rPr>
          <w:t xml:space="preserve">  </w:t>
        </w:r>
        <w:r w:rsidR="00081415" w:rsidRPr="00081415">
          <w:rPr>
            <w:rStyle w:val="Hipervnculo"/>
            <w:rFonts w:ascii="Times New Roman" w:hAnsi="Times New Roman" w:cs="Times New Roman"/>
            <w:bCs/>
            <w:noProof/>
            <w:sz w:val="20"/>
          </w:rPr>
          <w:t>Pronóstico de crecimiento de la producción mundial en 2021</w:t>
        </w:r>
        <w:r w:rsidR="00081415" w:rsidRPr="00081415">
          <w:rPr>
            <w:noProof/>
            <w:webHidden/>
            <w:sz w:val="20"/>
          </w:rPr>
          <w:tab/>
        </w:r>
        <w:r w:rsidR="00081415" w:rsidRPr="00081415">
          <w:rPr>
            <w:noProof/>
            <w:webHidden/>
            <w:sz w:val="20"/>
          </w:rPr>
          <w:fldChar w:fldCharType="begin"/>
        </w:r>
        <w:r w:rsidR="00081415" w:rsidRPr="00081415">
          <w:rPr>
            <w:noProof/>
            <w:webHidden/>
            <w:sz w:val="20"/>
          </w:rPr>
          <w:instrText xml:space="preserve"> PAGEREF _Toc81573054 \h </w:instrText>
        </w:r>
        <w:r w:rsidR="00081415" w:rsidRPr="00081415">
          <w:rPr>
            <w:noProof/>
            <w:webHidden/>
            <w:sz w:val="20"/>
          </w:rPr>
        </w:r>
        <w:r w:rsidR="00081415" w:rsidRPr="00081415">
          <w:rPr>
            <w:noProof/>
            <w:webHidden/>
            <w:sz w:val="20"/>
          </w:rPr>
          <w:fldChar w:fldCharType="separate"/>
        </w:r>
        <w:r w:rsidR="00081415" w:rsidRPr="00081415">
          <w:rPr>
            <w:noProof/>
            <w:webHidden/>
            <w:sz w:val="20"/>
          </w:rPr>
          <w:t>15</w:t>
        </w:r>
        <w:r w:rsidR="00081415" w:rsidRPr="00081415">
          <w:rPr>
            <w:noProof/>
            <w:webHidden/>
            <w:sz w:val="20"/>
          </w:rPr>
          <w:fldChar w:fldCharType="end"/>
        </w:r>
      </w:hyperlink>
    </w:p>
    <w:p w14:paraId="1AF33000" w14:textId="711A361C" w:rsidR="00081415" w:rsidRPr="00081415" w:rsidRDefault="006D2997">
      <w:pPr>
        <w:pStyle w:val="Tabladeilustraciones"/>
        <w:tabs>
          <w:tab w:val="right" w:leader="dot" w:pos="8828"/>
        </w:tabs>
        <w:rPr>
          <w:rFonts w:eastAsiaTheme="minorEastAsia"/>
          <w:noProof/>
          <w:sz w:val="20"/>
          <w:lang w:eastAsia="es-GT"/>
        </w:rPr>
      </w:pPr>
      <w:hyperlink w:anchor="_Toc81573055" w:history="1">
        <w:r w:rsidR="00081415" w:rsidRPr="00081415">
          <w:rPr>
            <w:rStyle w:val="Hipervnculo"/>
            <w:rFonts w:ascii="Times New Roman" w:hAnsi="Times New Roman" w:cs="Times New Roman"/>
            <w:noProof/>
            <w:sz w:val="20"/>
          </w:rPr>
          <w:t>Gráfico 5</w:t>
        </w:r>
        <w:r w:rsidR="00081415">
          <w:rPr>
            <w:rStyle w:val="Hipervnculo"/>
            <w:rFonts w:ascii="Times New Roman" w:hAnsi="Times New Roman" w:cs="Times New Roman"/>
            <w:noProof/>
            <w:sz w:val="20"/>
          </w:rPr>
          <w:t>.</w:t>
        </w:r>
        <w:r w:rsidR="00081415" w:rsidRPr="00081415">
          <w:rPr>
            <w:rStyle w:val="Hipervnculo"/>
            <w:rFonts w:ascii="Times New Roman" w:hAnsi="Times New Roman" w:cs="Times New Roman"/>
            <w:noProof/>
            <w:sz w:val="20"/>
          </w:rPr>
          <w:t xml:space="preserve">  Precios, producción y demanda mundial de petróleo WTI</w:t>
        </w:r>
        <w:r w:rsidR="00081415" w:rsidRPr="00081415">
          <w:rPr>
            <w:noProof/>
            <w:webHidden/>
            <w:sz w:val="20"/>
          </w:rPr>
          <w:tab/>
        </w:r>
        <w:r w:rsidR="00081415" w:rsidRPr="00081415">
          <w:rPr>
            <w:noProof/>
            <w:webHidden/>
            <w:sz w:val="20"/>
          </w:rPr>
          <w:fldChar w:fldCharType="begin"/>
        </w:r>
        <w:r w:rsidR="00081415" w:rsidRPr="00081415">
          <w:rPr>
            <w:noProof/>
            <w:webHidden/>
            <w:sz w:val="20"/>
          </w:rPr>
          <w:instrText xml:space="preserve"> PAGEREF _Toc81573055 \h </w:instrText>
        </w:r>
        <w:r w:rsidR="00081415" w:rsidRPr="00081415">
          <w:rPr>
            <w:noProof/>
            <w:webHidden/>
            <w:sz w:val="20"/>
          </w:rPr>
        </w:r>
        <w:r w:rsidR="00081415" w:rsidRPr="00081415">
          <w:rPr>
            <w:noProof/>
            <w:webHidden/>
            <w:sz w:val="20"/>
          </w:rPr>
          <w:fldChar w:fldCharType="separate"/>
        </w:r>
        <w:r w:rsidR="00081415" w:rsidRPr="00081415">
          <w:rPr>
            <w:noProof/>
            <w:webHidden/>
            <w:sz w:val="20"/>
          </w:rPr>
          <w:t>20</w:t>
        </w:r>
        <w:r w:rsidR="00081415" w:rsidRPr="00081415">
          <w:rPr>
            <w:noProof/>
            <w:webHidden/>
            <w:sz w:val="20"/>
          </w:rPr>
          <w:fldChar w:fldCharType="end"/>
        </w:r>
      </w:hyperlink>
    </w:p>
    <w:p w14:paraId="7E853B00" w14:textId="1010B5B6" w:rsidR="00081415" w:rsidRPr="00081415" w:rsidRDefault="006D2997">
      <w:pPr>
        <w:pStyle w:val="Tabladeilustraciones"/>
        <w:tabs>
          <w:tab w:val="right" w:leader="dot" w:pos="8828"/>
        </w:tabs>
        <w:rPr>
          <w:rFonts w:eastAsiaTheme="minorEastAsia"/>
          <w:noProof/>
          <w:sz w:val="20"/>
          <w:lang w:eastAsia="es-GT"/>
        </w:rPr>
      </w:pPr>
      <w:hyperlink w:anchor="_Toc81573056" w:history="1">
        <w:r w:rsidR="00081415" w:rsidRPr="00081415">
          <w:rPr>
            <w:rStyle w:val="Hipervnculo"/>
            <w:rFonts w:ascii="Times New Roman" w:hAnsi="Times New Roman" w:cs="Times New Roman"/>
            <w:noProof/>
            <w:sz w:val="20"/>
          </w:rPr>
          <w:t>Gráfico 6</w:t>
        </w:r>
        <w:r w:rsidR="00081415">
          <w:rPr>
            <w:rStyle w:val="Hipervnculo"/>
            <w:rFonts w:ascii="Times New Roman" w:hAnsi="Times New Roman" w:cs="Times New Roman"/>
            <w:noProof/>
            <w:sz w:val="20"/>
          </w:rPr>
          <w:t>.</w:t>
        </w:r>
        <w:r w:rsidR="00081415" w:rsidRPr="00081415">
          <w:rPr>
            <w:rStyle w:val="Hipervnculo"/>
            <w:rFonts w:ascii="Times New Roman" w:hAnsi="Times New Roman" w:cs="Times New Roman"/>
            <w:noProof/>
            <w:sz w:val="20"/>
          </w:rPr>
          <w:t xml:space="preserve">  </w:t>
        </w:r>
        <w:r w:rsidR="00081415" w:rsidRPr="00081415">
          <w:rPr>
            <w:rStyle w:val="Hipervnculo"/>
            <w:rFonts w:ascii="Times New Roman" w:hAnsi="Times New Roman" w:cs="Times New Roman"/>
            <w:bCs/>
            <w:noProof/>
            <w:sz w:val="20"/>
          </w:rPr>
          <w:t>Crecimiento del Producto Interno Bruto</w:t>
        </w:r>
        <w:r w:rsidR="00081415" w:rsidRPr="00081415">
          <w:rPr>
            <w:noProof/>
            <w:webHidden/>
            <w:sz w:val="20"/>
          </w:rPr>
          <w:tab/>
        </w:r>
        <w:r w:rsidR="00081415" w:rsidRPr="00081415">
          <w:rPr>
            <w:noProof/>
            <w:webHidden/>
            <w:sz w:val="20"/>
          </w:rPr>
          <w:fldChar w:fldCharType="begin"/>
        </w:r>
        <w:r w:rsidR="00081415" w:rsidRPr="00081415">
          <w:rPr>
            <w:noProof/>
            <w:webHidden/>
            <w:sz w:val="20"/>
          </w:rPr>
          <w:instrText xml:space="preserve"> PAGEREF _Toc81573056 \h </w:instrText>
        </w:r>
        <w:r w:rsidR="00081415" w:rsidRPr="00081415">
          <w:rPr>
            <w:noProof/>
            <w:webHidden/>
            <w:sz w:val="20"/>
          </w:rPr>
        </w:r>
        <w:r w:rsidR="00081415" w:rsidRPr="00081415">
          <w:rPr>
            <w:noProof/>
            <w:webHidden/>
            <w:sz w:val="20"/>
          </w:rPr>
          <w:fldChar w:fldCharType="separate"/>
        </w:r>
        <w:r w:rsidR="00081415" w:rsidRPr="00081415">
          <w:rPr>
            <w:noProof/>
            <w:webHidden/>
            <w:sz w:val="20"/>
          </w:rPr>
          <w:t>20</w:t>
        </w:r>
        <w:r w:rsidR="00081415" w:rsidRPr="00081415">
          <w:rPr>
            <w:noProof/>
            <w:webHidden/>
            <w:sz w:val="20"/>
          </w:rPr>
          <w:fldChar w:fldCharType="end"/>
        </w:r>
      </w:hyperlink>
    </w:p>
    <w:p w14:paraId="58356862" w14:textId="01949293" w:rsidR="00081415" w:rsidRPr="00081415" w:rsidRDefault="006D2997">
      <w:pPr>
        <w:pStyle w:val="Tabladeilustraciones"/>
        <w:tabs>
          <w:tab w:val="right" w:leader="dot" w:pos="8828"/>
        </w:tabs>
        <w:rPr>
          <w:rFonts w:eastAsiaTheme="minorEastAsia"/>
          <w:noProof/>
          <w:sz w:val="20"/>
          <w:lang w:eastAsia="es-GT"/>
        </w:rPr>
      </w:pPr>
      <w:hyperlink w:anchor="_Toc81573057" w:history="1">
        <w:r w:rsidR="00081415" w:rsidRPr="00081415">
          <w:rPr>
            <w:rStyle w:val="Hipervnculo"/>
            <w:rFonts w:ascii="Times New Roman" w:hAnsi="Times New Roman" w:cs="Times New Roman"/>
            <w:noProof/>
            <w:sz w:val="20"/>
          </w:rPr>
          <w:t>Gráfico 7</w:t>
        </w:r>
        <w:r w:rsidR="00081415">
          <w:rPr>
            <w:rStyle w:val="Hipervnculo"/>
            <w:rFonts w:ascii="Times New Roman" w:hAnsi="Times New Roman" w:cs="Times New Roman"/>
            <w:noProof/>
            <w:sz w:val="20"/>
          </w:rPr>
          <w:t>.</w:t>
        </w:r>
        <w:r w:rsidR="00081415" w:rsidRPr="00081415">
          <w:rPr>
            <w:rStyle w:val="Hipervnculo"/>
            <w:rFonts w:ascii="Times New Roman" w:hAnsi="Times New Roman" w:cs="Times New Roman"/>
            <w:noProof/>
            <w:sz w:val="20"/>
          </w:rPr>
          <w:t xml:space="preserve"> </w:t>
        </w:r>
        <w:r w:rsidR="00081415">
          <w:rPr>
            <w:rStyle w:val="Hipervnculo"/>
            <w:rFonts w:ascii="Times New Roman" w:hAnsi="Times New Roman" w:cs="Times New Roman"/>
            <w:noProof/>
            <w:sz w:val="20"/>
          </w:rPr>
          <w:t xml:space="preserve"> </w:t>
        </w:r>
        <w:r w:rsidR="00081415" w:rsidRPr="00081415">
          <w:rPr>
            <w:rStyle w:val="Hipervnculo"/>
            <w:rFonts w:ascii="Times New Roman" w:hAnsi="Times New Roman" w:cs="Times New Roman"/>
            <w:bCs/>
            <w:noProof/>
            <w:sz w:val="20"/>
          </w:rPr>
          <w:t>Consumo y formación bruta de capital</w:t>
        </w:r>
        <w:r w:rsidR="00081415" w:rsidRPr="00081415">
          <w:rPr>
            <w:noProof/>
            <w:webHidden/>
            <w:sz w:val="20"/>
          </w:rPr>
          <w:tab/>
        </w:r>
        <w:r w:rsidR="00081415" w:rsidRPr="00081415">
          <w:rPr>
            <w:noProof/>
            <w:webHidden/>
            <w:sz w:val="20"/>
          </w:rPr>
          <w:fldChar w:fldCharType="begin"/>
        </w:r>
        <w:r w:rsidR="00081415" w:rsidRPr="00081415">
          <w:rPr>
            <w:noProof/>
            <w:webHidden/>
            <w:sz w:val="20"/>
          </w:rPr>
          <w:instrText xml:space="preserve"> PAGEREF _Toc81573057 \h </w:instrText>
        </w:r>
        <w:r w:rsidR="00081415" w:rsidRPr="00081415">
          <w:rPr>
            <w:noProof/>
            <w:webHidden/>
            <w:sz w:val="20"/>
          </w:rPr>
        </w:r>
        <w:r w:rsidR="00081415" w:rsidRPr="00081415">
          <w:rPr>
            <w:noProof/>
            <w:webHidden/>
            <w:sz w:val="20"/>
          </w:rPr>
          <w:fldChar w:fldCharType="separate"/>
        </w:r>
        <w:r w:rsidR="00081415" w:rsidRPr="00081415">
          <w:rPr>
            <w:noProof/>
            <w:webHidden/>
            <w:sz w:val="20"/>
          </w:rPr>
          <w:t>23</w:t>
        </w:r>
        <w:r w:rsidR="00081415" w:rsidRPr="00081415">
          <w:rPr>
            <w:noProof/>
            <w:webHidden/>
            <w:sz w:val="20"/>
          </w:rPr>
          <w:fldChar w:fldCharType="end"/>
        </w:r>
      </w:hyperlink>
    </w:p>
    <w:p w14:paraId="13F25B56" w14:textId="5F38B4FF" w:rsidR="00081415" w:rsidRPr="00081415" w:rsidRDefault="006D2997">
      <w:pPr>
        <w:pStyle w:val="Tabladeilustraciones"/>
        <w:tabs>
          <w:tab w:val="right" w:leader="dot" w:pos="8828"/>
        </w:tabs>
        <w:rPr>
          <w:rFonts w:eastAsiaTheme="minorEastAsia"/>
          <w:noProof/>
          <w:sz w:val="20"/>
          <w:lang w:eastAsia="es-GT"/>
        </w:rPr>
      </w:pPr>
      <w:hyperlink w:anchor="_Toc81573058" w:history="1">
        <w:r w:rsidR="00081415" w:rsidRPr="00081415">
          <w:rPr>
            <w:rStyle w:val="Hipervnculo"/>
            <w:rFonts w:ascii="Times New Roman" w:hAnsi="Times New Roman" w:cs="Times New Roman"/>
            <w:noProof/>
            <w:sz w:val="20"/>
          </w:rPr>
          <w:t>Gráfico 8</w:t>
        </w:r>
        <w:r w:rsidR="00081415">
          <w:rPr>
            <w:rStyle w:val="Hipervnculo"/>
            <w:rFonts w:ascii="Times New Roman" w:hAnsi="Times New Roman" w:cs="Times New Roman"/>
            <w:noProof/>
            <w:sz w:val="20"/>
          </w:rPr>
          <w:t>.</w:t>
        </w:r>
        <w:r w:rsidR="00081415" w:rsidRPr="00081415">
          <w:rPr>
            <w:rStyle w:val="Hipervnculo"/>
            <w:rFonts w:ascii="Times New Roman" w:hAnsi="Times New Roman" w:cs="Times New Roman"/>
            <w:noProof/>
            <w:sz w:val="20"/>
          </w:rPr>
          <w:t xml:space="preserve"> </w:t>
        </w:r>
        <w:r w:rsidR="00081415">
          <w:rPr>
            <w:rStyle w:val="Hipervnculo"/>
            <w:rFonts w:ascii="Times New Roman" w:hAnsi="Times New Roman" w:cs="Times New Roman"/>
            <w:noProof/>
            <w:sz w:val="20"/>
          </w:rPr>
          <w:t xml:space="preserve"> </w:t>
        </w:r>
        <w:r w:rsidR="00081415" w:rsidRPr="00081415">
          <w:rPr>
            <w:rStyle w:val="Hipervnculo"/>
            <w:rFonts w:ascii="Times New Roman" w:hAnsi="Times New Roman" w:cs="Times New Roman"/>
            <w:noProof/>
            <w:sz w:val="20"/>
          </w:rPr>
          <w:t>Inflación</w:t>
        </w:r>
        <w:r w:rsidR="00081415" w:rsidRPr="00081415">
          <w:rPr>
            <w:noProof/>
            <w:webHidden/>
            <w:sz w:val="20"/>
          </w:rPr>
          <w:tab/>
        </w:r>
        <w:r w:rsidR="00081415" w:rsidRPr="00081415">
          <w:rPr>
            <w:noProof/>
            <w:webHidden/>
            <w:sz w:val="20"/>
          </w:rPr>
          <w:fldChar w:fldCharType="begin"/>
        </w:r>
        <w:r w:rsidR="00081415" w:rsidRPr="00081415">
          <w:rPr>
            <w:noProof/>
            <w:webHidden/>
            <w:sz w:val="20"/>
          </w:rPr>
          <w:instrText xml:space="preserve"> PAGEREF _Toc81573058 \h </w:instrText>
        </w:r>
        <w:r w:rsidR="00081415" w:rsidRPr="00081415">
          <w:rPr>
            <w:noProof/>
            <w:webHidden/>
            <w:sz w:val="20"/>
          </w:rPr>
        </w:r>
        <w:r w:rsidR="00081415" w:rsidRPr="00081415">
          <w:rPr>
            <w:noProof/>
            <w:webHidden/>
            <w:sz w:val="20"/>
          </w:rPr>
          <w:fldChar w:fldCharType="separate"/>
        </w:r>
        <w:r w:rsidR="00081415" w:rsidRPr="00081415">
          <w:rPr>
            <w:noProof/>
            <w:webHidden/>
            <w:sz w:val="20"/>
          </w:rPr>
          <w:t>24</w:t>
        </w:r>
        <w:r w:rsidR="00081415" w:rsidRPr="00081415">
          <w:rPr>
            <w:noProof/>
            <w:webHidden/>
            <w:sz w:val="20"/>
          </w:rPr>
          <w:fldChar w:fldCharType="end"/>
        </w:r>
      </w:hyperlink>
    </w:p>
    <w:p w14:paraId="53A69CA7" w14:textId="77E0E404" w:rsidR="00081415" w:rsidRPr="00081415" w:rsidRDefault="006D2997">
      <w:pPr>
        <w:pStyle w:val="Tabladeilustraciones"/>
        <w:tabs>
          <w:tab w:val="right" w:leader="dot" w:pos="8828"/>
        </w:tabs>
        <w:rPr>
          <w:rFonts w:eastAsiaTheme="minorEastAsia"/>
          <w:noProof/>
          <w:sz w:val="20"/>
          <w:lang w:eastAsia="es-GT"/>
        </w:rPr>
      </w:pPr>
      <w:hyperlink w:anchor="_Toc81573059" w:history="1">
        <w:r w:rsidR="00081415" w:rsidRPr="00081415">
          <w:rPr>
            <w:rStyle w:val="Hipervnculo"/>
            <w:rFonts w:ascii="Times New Roman" w:hAnsi="Times New Roman" w:cs="Times New Roman"/>
            <w:noProof/>
            <w:sz w:val="20"/>
          </w:rPr>
          <w:t>Gráfico 9</w:t>
        </w:r>
        <w:r w:rsidR="00081415">
          <w:rPr>
            <w:rStyle w:val="Hipervnculo"/>
            <w:rFonts w:ascii="Times New Roman" w:hAnsi="Times New Roman" w:cs="Times New Roman"/>
            <w:noProof/>
            <w:sz w:val="20"/>
          </w:rPr>
          <w:t>.</w:t>
        </w:r>
        <w:r w:rsidR="00081415" w:rsidRPr="00081415">
          <w:rPr>
            <w:rStyle w:val="Hipervnculo"/>
            <w:rFonts w:ascii="Times New Roman" w:hAnsi="Times New Roman" w:cs="Times New Roman"/>
            <w:noProof/>
            <w:sz w:val="20"/>
          </w:rPr>
          <w:t xml:space="preserve">  </w:t>
        </w:r>
        <w:r w:rsidR="00081415" w:rsidRPr="00081415">
          <w:rPr>
            <w:rStyle w:val="Hipervnculo"/>
            <w:rFonts w:ascii="Times New Roman" w:hAnsi="Times New Roman" w:cs="Times New Roman"/>
            <w:bCs/>
            <w:noProof/>
            <w:sz w:val="20"/>
          </w:rPr>
          <w:t>Número de cotizantes al IGSS</w:t>
        </w:r>
        <w:r w:rsidR="00081415" w:rsidRPr="00081415">
          <w:rPr>
            <w:noProof/>
            <w:webHidden/>
            <w:sz w:val="20"/>
          </w:rPr>
          <w:tab/>
        </w:r>
        <w:r w:rsidR="00081415" w:rsidRPr="00081415">
          <w:rPr>
            <w:noProof/>
            <w:webHidden/>
            <w:sz w:val="20"/>
          </w:rPr>
          <w:fldChar w:fldCharType="begin"/>
        </w:r>
        <w:r w:rsidR="00081415" w:rsidRPr="00081415">
          <w:rPr>
            <w:noProof/>
            <w:webHidden/>
            <w:sz w:val="20"/>
          </w:rPr>
          <w:instrText xml:space="preserve"> PAGEREF _Toc81573059 \h </w:instrText>
        </w:r>
        <w:r w:rsidR="00081415" w:rsidRPr="00081415">
          <w:rPr>
            <w:noProof/>
            <w:webHidden/>
            <w:sz w:val="20"/>
          </w:rPr>
        </w:r>
        <w:r w:rsidR="00081415" w:rsidRPr="00081415">
          <w:rPr>
            <w:noProof/>
            <w:webHidden/>
            <w:sz w:val="20"/>
          </w:rPr>
          <w:fldChar w:fldCharType="separate"/>
        </w:r>
        <w:r w:rsidR="00081415" w:rsidRPr="00081415">
          <w:rPr>
            <w:noProof/>
            <w:webHidden/>
            <w:sz w:val="20"/>
          </w:rPr>
          <w:t>25</w:t>
        </w:r>
        <w:r w:rsidR="00081415" w:rsidRPr="00081415">
          <w:rPr>
            <w:noProof/>
            <w:webHidden/>
            <w:sz w:val="20"/>
          </w:rPr>
          <w:fldChar w:fldCharType="end"/>
        </w:r>
      </w:hyperlink>
    </w:p>
    <w:p w14:paraId="39D4852A" w14:textId="1E56E4F9" w:rsidR="00081415" w:rsidRPr="00081415" w:rsidRDefault="006D2997">
      <w:pPr>
        <w:pStyle w:val="Tabladeilustraciones"/>
        <w:tabs>
          <w:tab w:val="right" w:leader="dot" w:pos="8828"/>
        </w:tabs>
        <w:rPr>
          <w:rFonts w:eastAsiaTheme="minorEastAsia"/>
          <w:noProof/>
          <w:sz w:val="20"/>
          <w:lang w:eastAsia="es-GT"/>
        </w:rPr>
      </w:pPr>
      <w:hyperlink w:anchor="_Toc81573060" w:history="1">
        <w:r w:rsidR="00081415" w:rsidRPr="00081415">
          <w:rPr>
            <w:rStyle w:val="Hipervnculo"/>
            <w:rFonts w:ascii="Times New Roman" w:hAnsi="Times New Roman" w:cs="Times New Roman"/>
            <w:noProof/>
            <w:sz w:val="20"/>
          </w:rPr>
          <w:t>Gráfico 10</w:t>
        </w:r>
        <w:r w:rsidR="00081415">
          <w:rPr>
            <w:rStyle w:val="Hipervnculo"/>
            <w:rFonts w:ascii="Times New Roman" w:hAnsi="Times New Roman" w:cs="Times New Roman"/>
            <w:noProof/>
            <w:sz w:val="20"/>
          </w:rPr>
          <w:t xml:space="preserve">. </w:t>
        </w:r>
        <w:r w:rsidR="00081415" w:rsidRPr="00081415">
          <w:rPr>
            <w:rStyle w:val="Hipervnculo"/>
            <w:rFonts w:ascii="Times New Roman" w:hAnsi="Times New Roman" w:cs="Times New Roman"/>
            <w:bCs/>
            <w:noProof/>
            <w:sz w:val="20"/>
          </w:rPr>
          <w:t>Coeficiente de preferencia de liquidez y contribución al crecimiento de lo</w:t>
        </w:r>
        <w:r w:rsidR="00081415">
          <w:rPr>
            <w:rStyle w:val="Hipervnculo"/>
            <w:rFonts w:ascii="Times New Roman" w:hAnsi="Times New Roman" w:cs="Times New Roman"/>
            <w:bCs/>
            <w:noProof/>
            <w:sz w:val="20"/>
          </w:rPr>
          <w:t>s medios de pago</w:t>
        </w:r>
        <w:r w:rsidR="00081415" w:rsidRPr="00081415">
          <w:rPr>
            <w:noProof/>
            <w:webHidden/>
            <w:sz w:val="20"/>
          </w:rPr>
          <w:tab/>
        </w:r>
        <w:r w:rsidR="00081415" w:rsidRPr="00081415">
          <w:rPr>
            <w:noProof/>
            <w:webHidden/>
            <w:sz w:val="20"/>
          </w:rPr>
          <w:fldChar w:fldCharType="begin"/>
        </w:r>
        <w:r w:rsidR="00081415" w:rsidRPr="00081415">
          <w:rPr>
            <w:noProof/>
            <w:webHidden/>
            <w:sz w:val="20"/>
          </w:rPr>
          <w:instrText xml:space="preserve"> PAGEREF _Toc81573060 \h </w:instrText>
        </w:r>
        <w:r w:rsidR="00081415" w:rsidRPr="00081415">
          <w:rPr>
            <w:noProof/>
            <w:webHidden/>
            <w:sz w:val="20"/>
          </w:rPr>
        </w:r>
        <w:r w:rsidR="00081415" w:rsidRPr="00081415">
          <w:rPr>
            <w:noProof/>
            <w:webHidden/>
            <w:sz w:val="20"/>
          </w:rPr>
          <w:fldChar w:fldCharType="separate"/>
        </w:r>
        <w:r w:rsidR="00081415" w:rsidRPr="00081415">
          <w:rPr>
            <w:noProof/>
            <w:webHidden/>
            <w:sz w:val="20"/>
          </w:rPr>
          <w:t>26</w:t>
        </w:r>
        <w:r w:rsidR="00081415" w:rsidRPr="00081415">
          <w:rPr>
            <w:noProof/>
            <w:webHidden/>
            <w:sz w:val="20"/>
          </w:rPr>
          <w:fldChar w:fldCharType="end"/>
        </w:r>
      </w:hyperlink>
    </w:p>
    <w:p w14:paraId="29057593" w14:textId="49B7508C" w:rsidR="00081415" w:rsidRPr="00081415" w:rsidRDefault="006D2997">
      <w:pPr>
        <w:pStyle w:val="Tabladeilustraciones"/>
        <w:tabs>
          <w:tab w:val="right" w:leader="dot" w:pos="8828"/>
        </w:tabs>
        <w:rPr>
          <w:rFonts w:eastAsiaTheme="minorEastAsia"/>
          <w:noProof/>
          <w:sz w:val="20"/>
          <w:lang w:eastAsia="es-GT"/>
        </w:rPr>
      </w:pPr>
      <w:hyperlink w:anchor="_Toc81573061" w:history="1">
        <w:r w:rsidR="00081415" w:rsidRPr="00081415">
          <w:rPr>
            <w:rStyle w:val="Hipervnculo"/>
            <w:rFonts w:ascii="Times New Roman" w:hAnsi="Times New Roman" w:cs="Times New Roman"/>
            <w:noProof/>
            <w:sz w:val="20"/>
          </w:rPr>
          <w:t>Gráfico 11</w:t>
        </w:r>
        <w:r w:rsidR="00081415">
          <w:rPr>
            <w:rStyle w:val="Hipervnculo"/>
            <w:rFonts w:ascii="Times New Roman" w:hAnsi="Times New Roman" w:cs="Times New Roman"/>
            <w:noProof/>
            <w:sz w:val="20"/>
          </w:rPr>
          <w:t xml:space="preserve">. </w:t>
        </w:r>
        <w:r w:rsidR="00081415" w:rsidRPr="00081415">
          <w:rPr>
            <w:rStyle w:val="Hipervnculo"/>
            <w:rFonts w:ascii="Times New Roman" w:hAnsi="Times New Roman" w:cs="Times New Roman"/>
            <w:bCs/>
            <w:noProof/>
            <w:sz w:val="20"/>
          </w:rPr>
          <w:t>Crecimiento interanual del crédito del sistema bancario</w:t>
        </w:r>
        <w:r w:rsidR="00081415" w:rsidRPr="00081415">
          <w:rPr>
            <w:noProof/>
            <w:webHidden/>
            <w:sz w:val="20"/>
          </w:rPr>
          <w:tab/>
        </w:r>
        <w:r w:rsidR="00081415" w:rsidRPr="00081415">
          <w:rPr>
            <w:noProof/>
            <w:webHidden/>
            <w:sz w:val="20"/>
          </w:rPr>
          <w:fldChar w:fldCharType="begin"/>
        </w:r>
        <w:r w:rsidR="00081415" w:rsidRPr="00081415">
          <w:rPr>
            <w:noProof/>
            <w:webHidden/>
            <w:sz w:val="20"/>
          </w:rPr>
          <w:instrText xml:space="preserve"> PAGEREF _Toc81573061 \h </w:instrText>
        </w:r>
        <w:r w:rsidR="00081415" w:rsidRPr="00081415">
          <w:rPr>
            <w:noProof/>
            <w:webHidden/>
            <w:sz w:val="20"/>
          </w:rPr>
        </w:r>
        <w:r w:rsidR="00081415" w:rsidRPr="00081415">
          <w:rPr>
            <w:noProof/>
            <w:webHidden/>
            <w:sz w:val="20"/>
          </w:rPr>
          <w:fldChar w:fldCharType="separate"/>
        </w:r>
        <w:r w:rsidR="00081415" w:rsidRPr="00081415">
          <w:rPr>
            <w:noProof/>
            <w:webHidden/>
            <w:sz w:val="20"/>
          </w:rPr>
          <w:t>28</w:t>
        </w:r>
        <w:r w:rsidR="00081415" w:rsidRPr="00081415">
          <w:rPr>
            <w:noProof/>
            <w:webHidden/>
            <w:sz w:val="20"/>
          </w:rPr>
          <w:fldChar w:fldCharType="end"/>
        </w:r>
      </w:hyperlink>
    </w:p>
    <w:p w14:paraId="517C4FA9" w14:textId="0398B07B" w:rsidR="00081415" w:rsidRPr="00081415" w:rsidRDefault="006D2997">
      <w:pPr>
        <w:pStyle w:val="Tabladeilustraciones"/>
        <w:tabs>
          <w:tab w:val="right" w:leader="dot" w:pos="8828"/>
        </w:tabs>
        <w:rPr>
          <w:rFonts w:eastAsiaTheme="minorEastAsia"/>
          <w:noProof/>
          <w:sz w:val="20"/>
          <w:lang w:eastAsia="es-GT"/>
        </w:rPr>
      </w:pPr>
      <w:hyperlink w:anchor="_Toc81573062" w:history="1">
        <w:r w:rsidR="00081415" w:rsidRPr="00081415">
          <w:rPr>
            <w:rStyle w:val="Hipervnculo"/>
            <w:rFonts w:ascii="Times New Roman" w:hAnsi="Times New Roman" w:cs="Times New Roman"/>
            <w:noProof/>
            <w:sz w:val="20"/>
          </w:rPr>
          <w:t>Gráfico 12</w:t>
        </w:r>
        <w:r w:rsidR="00081415">
          <w:rPr>
            <w:rStyle w:val="Hipervnculo"/>
            <w:rFonts w:ascii="Times New Roman" w:hAnsi="Times New Roman" w:cs="Times New Roman"/>
            <w:noProof/>
            <w:sz w:val="20"/>
          </w:rPr>
          <w:t xml:space="preserve">. </w:t>
        </w:r>
        <w:r w:rsidR="00081415" w:rsidRPr="00081415">
          <w:rPr>
            <w:rStyle w:val="Hipervnculo"/>
            <w:rFonts w:ascii="Times New Roman" w:hAnsi="Times New Roman" w:cs="Times New Roman"/>
            <w:bCs/>
            <w:noProof/>
            <w:sz w:val="20"/>
          </w:rPr>
          <w:t>Balanza de servicios de transporte y viajes en millones de dólares</w:t>
        </w:r>
        <w:r w:rsidR="00081415" w:rsidRPr="00081415">
          <w:rPr>
            <w:noProof/>
            <w:webHidden/>
            <w:sz w:val="20"/>
          </w:rPr>
          <w:tab/>
        </w:r>
        <w:r w:rsidR="00081415" w:rsidRPr="00081415">
          <w:rPr>
            <w:noProof/>
            <w:webHidden/>
            <w:sz w:val="20"/>
          </w:rPr>
          <w:fldChar w:fldCharType="begin"/>
        </w:r>
        <w:r w:rsidR="00081415" w:rsidRPr="00081415">
          <w:rPr>
            <w:noProof/>
            <w:webHidden/>
            <w:sz w:val="20"/>
          </w:rPr>
          <w:instrText xml:space="preserve"> PAGEREF _Toc81573062 \h </w:instrText>
        </w:r>
        <w:r w:rsidR="00081415" w:rsidRPr="00081415">
          <w:rPr>
            <w:noProof/>
            <w:webHidden/>
            <w:sz w:val="20"/>
          </w:rPr>
        </w:r>
        <w:r w:rsidR="00081415" w:rsidRPr="00081415">
          <w:rPr>
            <w:noProof/>
            <w:webHidden/>
            <w:sz w:val="20"/>
          </w:rPr>
          <w:fldChar w:fldCharType="separate"/>
        </w:r>
        <w:r w:rsidR="00081415" w:rsidRPr="00081415">
          <w:rPr>
            <w:noProof/>
            <w:webHidden/>
            <w:sz w:val="20"/>
          </w:rPr>
          <w:t>33</w:t>
        </w:r>
        <w:r w:rsidR="00081415" w:rsidRPr="00081415">
          <w:rPr>
            <w:noProof/>
            <w:webHidden/>
            <w:sz w:val="20"/>
          </w:rPr>
          <w:fldChar w:fldCharType="end"/>
        </w:r>
      </w:hyperlink>
    </w:p>
    <w:p w14:paraId="2908D645" w14:textId="3ACF229B" w:rsidR="00081415" w:rsidRPr="00081415" w:rsidRDefault="006D2997">
      <w:pPr>
        <w:pStyle w:val="Tabladeilustraciones"/>
        <w:tabs>
          <w:tab w:val="right" w:leader="dot" w:pos="8828"/>
        </w:tabs>
        <w:rPr>
          <w:rFonts w:eastAsiaTheme="minorEastAsia"/>
          <w:noProof/>
          <w:sz w:val="20"/>
          <w:lang w:eastAsia="es-GT"/>
        </w:rPr>
      </w:pPr>
      <w:hyperlink w:anchor="_Toc81573063" w:history="1">
        <w:r w:rsidR="00081415" w:rsidRPr="00081415">
          <w:rPr>
            <w:rStyle w:val="Hipervnculo"/>
            <w:rFonts w:ascii="Times New Roman" w:hAnsi="Times New Roman" w:cs="Times New Roman"/>
            <w:noProof/>
            <w:sz w:val="20"/>
          </w:rPr>
          <w:t>Gráfico 13</w:t>
        </w:r>
        <w:r w:rsidR="00081415">
          <w:rPr>
            <w:rStyle w:val="Hipervnculo"/>
            <w:rFonts w:ascii="Times New Roman" w:hAnsi="Times New Roman" w:cs="Times New Roman"/>
            <w:noProof/>
            <w:sz w:val="20"/>
          </w:rPr>
          <w:t xml:space="preserve">. </w:t>
        </w:r>
        <w:r w:rsidR="00081415" w:rsidRPr="00081415">
          <w:rPr>
            <w:rStyle w:val="Hipervnculo"/>
            <w:rFonts w:ascii="Times New Roman" w:hAnsi="Times New Roman" w:cs="Times New Roman"/>
            <w:bCs/>
            <w:noProof/>
            <w:sz w:val="20"/>
          </w:rPr>
          <w:t>Remesas familiares</w:t>
        </w:r>
        <w:r w:rsidR="00081415" w:rsidRPr="00081415">
          <w:rPr>
            <w:noProof/>
            <w:webHidden/>
            <w:sz w:val="20"/>
          </w:rPr>
          <w:tab/>
        </w:r>
        <w:r w:rsidR="00081415" w:rsidRPr="00081415">
          <w:rPr>
            <w:noProof/>
            <w:webHidden/>
            <w:sz w:val="20"/>
          </w:rPr>
          <w:fldChar w:fldCharType="begin"/>
        </w:r>
        <w:r w:rsidR="00081415" w:rsidRPr="00081415">
          <w:rPr>
            <w:noProof/>
            <w:webHidden/>
            <w:sz w:val="20"/>
          </w:rPr>
          <w:instrText xml:space="preserve"> PAGEREF _Toc81573063 \h </w:instrText>
        </w:r>
        <w:r w:rsidR="00081415" w:rsidRPr="00081415">
          <w:rPr>
            <w:noProof/>
            <w:webHidden/>
            <w:sz w:val="20"/>
          </w:rPr>
        </w:r>
        <w:r w:rsidR="00081415" w:rsidRPr="00081415">
          <w:rPr>
            <w:noProof/>
            <w:webHidden/>
            <w:sz w:val="20"/>
          </w:rPr>
          <w:fldChar w:fldCharType="separate"/>
        </w:r>
        <w:r w:rsidR="00081415" w:rsidRPr="00081415">
          <w:rPr>
            <w:noProof/>
            <w:webHidden/>
            <w:sz w:val="20"/>
          </w:rPr>
          <w:t>36</w:t>
        </w:r>
        <w:r w:rsidR="00081415" w:rsidRPr="00081415">
          <w:rPr>
            <w:noProof/>
            <w:webHidden/>
            <w:sz w:val="20"/>
          </w:rPr>
          <w:fldChar w:fldCharType="end"/>
        </w:r>
      </w:hyperlink>
    </w:p>
    <w:p w14:paraId="5310E0AB" w14:textId="65374193" w:rsidR="00081415" w:rsidRPr="00081415" w:rsidRDefault="006D2997">
      <w:pPr>
        <w:pStyle w:val="Tabladeilustraciones"/>
        <w:tabs>
          <w:tab w:val="right" w:leader="dot" w:pos="8828"/>
        </w:tabs>
        <w:rPr>
          <w:rFonts w:eastAsiaTheme="minorEastAsia"/>
          <w:noProof/>
          <w:sz w:val="20"/>
          <w:lang w:eastAsia="es-GT"/>
        </w:rPr>
      </w:pPr>
      <w:hyperlink w:anchor="_Toc81573064" w:history="1">
        <w:r w:rsidR="00081415" w:rsidRPr="00081415">
          <w:rPr>
            <w:rStyle w:val="Hipervnculo"/>
            <w:rFonts w:ascii="Times New Roman" w:hAnsi="Times New Roman" w:cs="Times New Roman"/>
            <w:noProof/>
            <w:sz w:val="20"/>
          </w:rPr>
          <w:t>Gráfico 14</w:t>
        </w:r>
        <w:r w:rsidR="00081415">
          <w:rPr>
            <w:rStyle w:val="Hipervnculo"/>
            <w:rFonts w:ascii="Times New Roman" w:hAnsi="Times New Roman" w:cs="Times New Roman"/>
            <w:noProof/>
            <w:sz w:val="20"/>
          </w:rPr>
          <w:t>.</w:t>
        </w:r>
        <w:r w:rsidR="00081415" w:rsidRPr="00081415">
          <w:rPr>
            <w:rStyle w:val="Hipervnculo"/>
            <w:rFonts w:ascii="Times New Roman" w:hAnsi="Times New Roman" w:cs="Times New Roman"/>
            <w:noProof/>
            <w:sz w:val="20"/>
          </w:rPr>
          <w:t xml:space="preserve"> </w:t>
        </w:r>
        <w:r w:rsidR="00081415" w:rsidRPr="00081415">
          <w:rPr>
            <w:rStyle w:val="Hipervnculo"/>
            <w:rFonts w:ascii="Times New Roman" w:hAnsi="Times New Roman" w:cs="Times New Roman"/>
            <w:bCs/>
            <w:noProof/>
            <w:sz w:val="20"/>
          </w:rPr>
          <w:t>Estructura porcentual de la inversión extranjera directa</w:t>
        </w:r>
        <w:r w:rsidR="00081415" w:rsidRPr="00081415">
          <w:rPr>
            <w:noProof/>
            <w:webHidden/>
            <w:sz w:val="20"/>
          </w:rPr>
          <w:tab/>
        </w:r>
        <w:r w:rsidR="00081415" w:rsidRPr="00081415">
          <w:rPr>
            <w:noProof/>
            <w:webHidden/>
            <w:sz w:val="20"/>
          </w:rPr>
          <w:fldChar w:fldCharType="begin"/>
        </w:r>
        <w:r w:rsidR="00081415" w:rsidRPr="00081415">
          <w:rPr>
            <w:noProof/>
            <w:webHidden/>
            <w:sz w:val="20"/>
          </w:rPr>
          <w:instrText xml:space="preserve"> PAGEREF _Toc81573064 \h </w:instrText>
        </w:r>
        <w:r w:rsidR="00081415" w:rsidRPr="00081415">
          <w:rPr>
            <w:noProof/>
            <w:webHidden/>
            <w:sz w:val="20"/>
          </w:rPr>
        </w:r>
        <w:r w:rsidR="00081415" w:rsidRPr="00081415">
          <w:rPr>
            <w:noProof/>
            <w:webHidden/>
            <w:sz w:val="20"/>
          </w:rPr>
          <w:fldChar w:fldCharType="separate"/>
        </w:r>
        <w:r w:rsidR="00081415" w:rsidRPr="00081415">
          <w:rPr>
            <w:noProof/>
            <w:webHidden/>
            <w:sz w:val="20"/>
          </w:rPr>
          <w:t>37</w:t>
        </w:r>
        <w:r w:rsidR="00081415" w:rsidRPr="00081415">
          <w:rPr>
            <w:noProof/>
            <w:webHidden/>
            <w:sz w:val="20"/>
          </w:rPr>
          <w:fldChar w:fldCharType="end"/>
        </w:r>
      </w:hyperlink>
    </w:p>
    <w:p w14:paraId="4987E486" w14:textId="23B8A721" w:rsidR="00081415" w:rsidRPr="00081415" w:rsidRDefault="006D2997">
      <w:pPr>
        <w:pStyle w:val="Tabladeilustraciones"/>
        <w:tabs>
          <w:tab w:val="right" w:leader="dot" w:pos="8828"/>
        </w:tabs>
        <w:rPr>
          <w:rFonts w:eastAsiaTheme="minorEastAsia"/>
          <w:noProof/>
          <w:sz w:val="20"/>
          <w:lang w:eastAsia="es-GT"/>
        </w:rPr>
      </w:pPr>
      <w:hyperlink w:anchor="_Toc81573065" w:history="1">
        <w:r w:rsidR="00081415" w:rsidRPr="00081415">
          <w:rPr>
            <w:rStyle w:val="Hipervnculo"/>
            <w:rFonts w:ascii="Times New Roman" w:hAnsi="Times New Roman" w:cs="Times New Roman"/>
            <w:noProof/>
            <w:sz w:val="20"/>
          </w:rPr>
          <w:t>Gráfico 15</w:t>
        </w:r>
        <w:r w:rsidR="00081415">
          <w:rPr>
            <w:rStyle w:val="Hipervnculo"/>
            <w:rFonts w:ascii="Times New Roman" w:hAnsi="Times New Roman" w:cs="Times New Roman"/>
            <w:noProof/>
            <w:sz w:val="20"/>
          </w:rPr>
          <w:t xml:space="preserve">. </w:t>
        </w:r>
        <w:r w:rsidR="00081415" w:rsidRPr="00081415">
          <w:rPr>
            <w:rStyle w:val="Hipervnculo"/>
            <w:rFonts w:ascii="Times New Roman" w:hAnsi="Times New Roman" w:cs="Times New Roman"/>
            <w:bCs/>
            <w:noProof/>
            <w:sz w:val="20"/>
          </w:rPr>
          <w:t>Tipo de cambio de referencia (Q/$)</w:t>
        </w:r>
        <w:r w:rsidR="00081415" w:rsidRPr="00081415">
          <w:rPr>
            <w:noProof/>
            <w:webHidden/>
            <w:sz w:val="20"/>
          </w:rPr>
          <w:tab/>
        </w:r>
        <w:r w:rsidR="00081415" w:rsidRPr="00081415">
          <w:rPr>
            <w:noProof/>
            <w:webHidden/>
            <w:sz w:val="20"/>
          </w:rPr>
          <w:fldChar w:fldCharType="begin"/>
        </w:r>
        <w:r w:rsidR="00081415" w:rsidRPr="00081415">
          <w:rPr>
            <w:noProof/>
            <w:webHidden/>
            <w:sz w:val="20"/>
          </w:rPr>
          <w:instrText xml:space="preserve"> PAGEREF _Toc81573065 \h </w:instrText>
        </w:r>
        <w:r w:rsidR="00081415" w:rsidRPr="00081415">
          <w:rPr>
            <w:noProof/>
            <w:webHidden/>
            <w:sz w:val="20"/>
          </w:rPr>
        </w:r>
        <w:r w:rsidR="00081415" w:rsidRPr="00081415">
          <w:rPr>
            <w:noProof/>
            <w:webHidden/>
            <w:sz w:val="20"/>
          </w:rPr>
          <w:fldChar w:fldCharType="separate"/>
        </w:r>
        <w:r w:rsidR="00081415" w:rsidRPr="00081415">
          <w:rPr>
            <w:noProof/>
            <w:webHidden/>
            <w:sz w:val="20"/>
          </w:rPr>
          <w:t>37</w:t>
        </w:r>
        <w:r w:rsidR="00081415" w:rsidRPr="00081415">
          <w:rPr>
            <w:noProof/>
            <w:webHidden/>
            <w:sz w:val="20"/>
          </w:rPr>
          <w:fldChar w:fldCharType="end"/>
        </w:r>
      </w:hyperlink>
    </w:p>
    <w:p w14:paraId="7D56D1CD" w14:textId="37CC529D" w:rsidR="00081415" w:rsidRPr="00081415" w:rsidRDefault="006D2997">
      <w:pPr>
        <w:pStyle w:val="Tabladeilustraciones"/>
        <w:tabs>
          <w:tab w:val="right" w:leader="dot" w:pos="8828"/>
        </w:tabs>
        <w:rPr>
          <w:rFonts w:eastAsiaTheme="minorEastAsia"/>
          <w:noProof/>
          <w:sz w:val="20"/>
          <w:lang w:eastAsia="es-GT"/>
        </w:rPr>
      </w:pPr>
      <w:hyperlink w:anchor="_Toc81573066" w:history="1">
        <w:r w:rsidR="00081415" w:rsidRPr="00081415">
          <w:rPr>
            <w:rStyle w:val="Hipervnculo"/>
            <w:rFonts w:ascii="Times New Roman" w:hAnsi="Times New Roman" w:cs="Times New Roman"/>
            <w:noProof/>
            <w:sz w:val="20"/>
          </w:rPr>
          <w:t>Gráfico 16</w:t>
        </w:r>
        <w:r w:rsidR="00081415">
          <w:rPr>
            <w:rStyle w:val="Hipervnculo"/>
            <w:rFonts w:ascii="Times New Roman" w:hAnsi="Times New Roman" w:cs="Times New Roman"/>
            <w:noProof/>
            <w:sz w:val="20"/>
          </w:rPr>
          <w:t xml:space="preserve">. </w:t>
        </w:r>
        <w:r w:rsidR="00081415" w:rsidRPr="00081415">
          <w:rPr>
            <w:rStyle w:val="Hipervnculo"/>
            <w:rFonts w:ascii="Times New Roman" w:hAnsi="Times New Roman" w:cs="Times New Roman"/>
            <w:bCs/>
            <w:noProof/>
            <w:sz w:val="20"/>
          </w:rPr>
          <w:t>Índice Mensual de la Actividad Económica</w:t>
        </w:r>
        <w:r w:rsidR="00081415" w:rsidRPr="00081415">
          <w:rPr>
            <w:noProof/>
            <w:webHidden/>
            <w:sz w:val="20"/>
          </w:rPr>
          <w:tab/>
        </w:r>
        <w:r w:rsidR="00081415" w:rsidRPr="00081415">
          <w:rPr>
            <w:noProof/>
            <w:webHidden/>
            <w:sz w:val="20"/>
          </w:rPr>
          <w:fldChar w:fldCharType="begin"/>
        </w:r>
        <w:r w:rsidR="00081415" w:rsidRPr="00081415">
          <w:rPr>
            <w:noProof/>
            <w:webHidden/>
            <w:sz w:val="20"/>
          </w:rPr>
          <w:instrText xml:space="preserve"> PAGEREF _Toc81573066 \h </w:instrText>
        </w:r>
        <w:r w:rsidR="00081415" w:rsidRPr="00081415">
          <w:rPr>
            <w:noProof/>
            <w:webHidden/>
            <w:sz w:val="20"/>
          </w:rPr>
        </w:r>
        <w:r w:rsidR="00081415" w:rsidRPr="00081415">
          <w:rPr>
            <w:noProof/>
            <w:webHidden/>
            <w:sz w:val="20"/>
          </w:rPr>
          <w:fldChar w:fldCharType="separate"/>
        </w:r>
        <w:r w:rsidR="00081415" w:rsidRPr="00081415">
          <w:rPr>
            <w:noProof/>
            <w:webHidden/>
            <w:sz w:val="20"/>
          </w:rPr>
          <w:t>39</w:t>
        </w:r>
        <w:r w:rsidR="00081415" w:rsidRPr="00081415">
          <w:rPr>
            <w:noProof/>
            <w:webHidden/>
            <w:sz w:val="20"/>
          </w:rPr>
          <w:fldChar w:fldCharType="end"/>
        </w:r>
      </w:hyperlink>
    </w:p>
    <w:p w14:paraId="06BB9F9C" w14:textId="0E2872A8" w:rsidR="00081415" w:rsidRPr="00081415" w:rsidRDefault="006D2997">
      <w:pPr>
        <w:pStyle w:val="Tabladeilustraciones"/>
        <w:tabs>
          <w:tab w:val="right" w:leader="dot" w:pos="8828"/>
        </w:tabs>
        <w:rPr>
          <w:rFonts w:eastAsiaTheme="minorEastAsia"/>
          <w:noProof/>
          <w:sz w:val="20"/>
          <w:lang w:eastAsia="es-GT"/>
        </w:rPr>
      </w:pPr>
      <w:hyperlink w:anchor="_Toc81573067" w:history="1">
        <w:r w:rsidR="00081415" w:rsidRPr="00081415">
          <w:rPr>
            <w:rStyle w:val="Hipervnculo"/>
            <w:rFonts w:ascii="Times New Roman" w:hAnsi="Times New Roman" w:cs="Times New Roman"/>
            <w:noProof/>
            <w:sz w:val="20"/>
          </w:rPr>
          <w:t>Gráfico 17</w:t>
        </w:r>
        <w:r w:rsidR="00081415">
          <w:rPr>
            <w:rStyle w:val="Hipervnculo"/>
            <w:rFonts w:ascii="Times New Roman" w:hAnsi="Times New Roman" w:cs="Times New Roman"/>
            <w:noProof/>
            <w:sz w:val="20"/>
          </w:rPr>
          <w:t xml:space="preserve">. </w:t>
        </w:r>
        <w:r w:rsidR="00081415" w:rsidRPr="00081415">
          <w:rPr>
            <w:rStyle w:val="Hipervnculo"/>
            <w:rFonts w:ascii="Times New Roman" w:hAnsi="Times New Roman" w:cs="Times New Roman"/>
            <w:bCs/>
            <w:noProof/>
            <w:sz w:val="20"/>
          </w:rPr>
          <w:t>Producto Interno Bruto</w:t>
        </w:r>
        <w:r w:rsidR="00081415" w:rsidRPr="00081415">
          <w:rPr>
            <w:noProof/>
            <w:webHidden/>
            <w:sz w:val="20"/>
          </w:rPr>
          <w:tab/>
        </w:r>
        <w:r w:rsidR="00081415" w:rsidRPr="00081415">
          <w:rPr>
            <w:noProof/>
            <w:webHidden/>
            <w:sz w:val="20"/>
          </w:rPr>
          <w:fldChar w:fldCharType="begin"/>
        </w:r>
        <w:r w:rsidR="00081415" w:rsidRPr="00081415">
          <w:rPr>
            <w:noProof/>
            <w:webHidden/>
            <w:sz w:val="20"/>
          </w:rPr>
          <w:instrText xml:space="preserve"> PAGEREF _Toc81573067 \h </w:instrText>
        </w:r>
        <w:r w:rsidR="00081415" w:rsidRPr="00081415">
          <w:rPr>
            <w:noProof/>
            <w:webHidden/>
            <w:sz w:val="20"/>
          </w:rPr>
        </w:r>
        <w:r w:rsidR="00081415" w:rsidRPr="00081415">
          <w:rPr>
            <w:noProof/>
            <w:webHidden/>
            <w:sz w:val="20"/>
          </w:rPr>
          <w:fldChar w:fldCharType="separate"/>
        </w:r>
        <w:r w:rsidR="00081415" w:rsidRPr="00081415">
          <w:rPr>
            <w:noProof/>
            <w:webHidden/>
            <w:sz w:val="20"/>
          </w:rPr>
          <w:t>39</w:t>
        </w:r>
        <w:r w:rsidR="00081415" w:rsidRPr="00081415">
          <w:rPr>
            <w:noProof/>
            <w:webHidden/>
            <w:sz w:val="20"/>
          </w:rPr>
          <w:fldChar w:fldCharType="end"/>
        </w:r>
      </w:hyperlink>
    </w:p>
    <w:p w14:paraId="66E6DA25" w14:textId="6795A487" w:rsidR="00081415" w:rsidRPr="00081415" w:rsidRDefault="006D2997">
      <w:pPr>
        <w:pStyle w:val="Tabladeilustraciones"/>
        <w:tabs>
          <w:tab w:val="right" w:leader="dot" w:pos="8828"/>
        </w:tabs>
        <w:rPr>
          <w:rFonts w:eastAsiaTheme="minorEastAsia"/>
          <w:noProof/>
          <w:sz w:val="20"/>
          <w:lang w:eastAsia="es-GT"/>
        </w:rPr>
      </w:pPr>
      <w:hyperlink w:anchor="_Toc81573068" w:history="1">
        <w:r w:rsidR="00081415" w:rsidRPr="00081415">
          <w:rPr>
            <w:rStyle w:val="Hipervnculo"/>
            <w:iCs/>
            <w:noProof/>
            <w:sz w:val="20"/>
          </w:rPr>
          <w:t>Gráfico 18</w:t>
        </w:r>
        <w:r w:rsidR="00081415">
          <w:rPr>
            <w:rStyle w:val="Hipervnculo"/>
            <w:iCs/>
            <w:noProof/>
            <w:sz w:val="20"/>
          </w:rPr>
          <w:t>.</w:t>
        </w:r>
        <w:r w:rsidR="00081415">
          <w:rPr>
            <w:rStyle w:val="Hipervnculo"/>
            <w:noProof/>
            <w:sz w:val="20"/>
          </w:rPr>
          <w:t xml:space="preserve"> </w:t>
        </w:r>
        <w:r w:rsidR="00081415" w:rsidRPr="00081415">
          <w:rPr>
            <w:rStyle w:val="Hipervnculo"/>
            <w:bCs/>
            <w:noProof/>
            <w:sz w:val="20"/>
          </w:rPr>
          <w:t>Pronóstico del crecimiento de las principales variables monetarias</w:t>
        </w:r>
        <w:r w:rsidR="00081415" w:rsidRPr="00081415">
          <w:rPr>
            <w:noProof/>
            <w:webHidden/>
            <w:sz w:val="20"/>
          </w:rPr>
          <w:tab/>
        </w:r>
        <w:r w:rsidR="00081415" w:rsidRPr="00081415">
          <w:rPr>
            <w:noProof/>
            <w:webHidden/>
            <w:sz w:val="20"/>
          </w:rPr>
          <w:fldChar w:fldCharType="begin"/>
        </w:r>
        <w:r w:rsidR="00081415" w:rsidRPr="00081415">
          <w:rPr>
            <w:noProof/>
            <w:webHidden/>
            <w:sz w:val="20"/>
          </w:rPr>
          <w:instrText xml:space="preserve"> PAGEREF _Toc81573068 \h </w:instrText>
        </w:r>
        <w:r w:rsidR="00081415" w:rsidRPr="00081415">
          <w:rPr>
            <w:noProof/>
            <w:webHidden/>
            <w:sz w:val="20"/>
          </w:rPr>
        </w:r>
        <w:r w:rsidR="00081415" w:rsidRPr="00081415">
          <w:rPr>
            <w:noProof/>
            <w:webHidden/>
            <w:sz w:val="20"/>
          </w:rPr>
          <w:fldChar w:fldCharType="separate"/>
        </w:r>
        <w:r w:rsidR="00081415" w:rsidRPr="00081415">
          <w:rPr>
            <w:noProof/>
            <w:webHidden/>
            <w:sz w:val="20"/>
          </w:rPr>
          <w:t>42</w:t>
        </w:r>
        <w:r w:rsidR="00081415" w:rsidRPr="00081415">
          <w:rPr>
            <w:noProof/>
            <w:webHidden/>
            <w:sz w:val="20"/>
          </w:rPr>
          <w:fldChar w:fldCharType="end"/>
        </w:r>
      </w:hyperlink>
    </w:p>
    <w:p w14:paraId="414B994E" w14:textId="40B5C8CE" w:rsidR="00081415" w:rsidRPr="00081415" w:rsidRDefault="006D2997">
      <w:pPr>
        <w:pStyle w:val="Tabladeilustraciones"/>
        <w:tabs>
          <w:tab w:val="right" w:leader="dot" w:pos="8828"/>
        </w:tabs>
        <w:rPr>
          <w:rFonts w:eastAsiaTheme="minorEastAsia"/>
          <w:noProof/>
          <w:sz w:val="20"/>
          <w:szCs w:val="20"/>
          <w:lang w:eastAsia="es-GT"/>
        </w:rPr>
      </w:pPr>
      <w:hyperlink w:anchor="_Toc81573069" w:history="1">
        <w:r w:rsidR="00081415" w:rsidRPr="00081415">
          <w:rPr>
            <w:rStyle w:val="Hipervnculo"/>
            <w:rFonts w:ascii="Times New Roman" w:hAnsi="Times New Roman" w:cs="Times New Roman"/>
            <w:noProof/>
            <w:sz w:val="20"/>
            <w:szCs w:val="20"/>
          </w:rPr>
          <w:t>Gráfico 19</w:t>
        </w:r>
        <w:r w:rsidR="00081415">
          <w:rPr>
            <w:rStyle w:val="Hipervnculo"/>
            <w:rFonts w:ascii="Times New Roman" w:hAnsi="Times New Roman" w:cs="Times New Roman"/>
            <w:noProof/>
            <w:sz w:val="20"/>
            <w:szCs w:val="20"/>
          </w:rPr>
          <w:t>.</w:t>
        </w:r>
        <w:r w:rsidR="00081415" w:rsidRP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bCs/>
            <w:noProof/>
            <w:sz w:val="20"/>
            <w:szCs w:val="20"/>
          </w:rPr>
          <w:t>Pronóstico de la tasa de crecimiento de exportaciones, importaciones, remesas y el saldo de cuenta corriente con respecto al PIB para el 2021 (porcentaje)</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_Toc81573069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43</w:t>
        </w:r>
        <w:r w:rsidR="00081415" w:rsidRPr="00081415">
          <w:rPr>
            <w:noProof/>
            <w:webHidden/>
            <w:sz w:val="20"/>
            <w:szCs w:val="20"/>
          </w:rPr>
          <w:fldChar w:fldCharType="end"/>
        </w:r>
      </w:hyperlink>
    </w:p>
    <w:p w14:paraId="0C451357" w14:textId="466F0F03" w:rsidR="00081415" w:rsidRPr="00081415" w:rsidRDefault="006D2997">
      <w:pPr>
        <w:pStyle w:val="Tabladeilustraciones"/>
        <w:tabs>
          <w:tab w:val="right" w:leader="dot" w:pos="8828"/>
        </w:tabs>
        <w:rPr>
          <w:rFonts w:eastAsiaTheme="minorEastAsia"/>
          <w:noProof/>
          <w:sz w:val="20"/>
          <w:szCs w:val="20"/>
          <w:lang w:eastAsia="es-GT"/>
        </w:rPr>
      </w:pPr>
      <w:hyperlink w:anchor="_Toc81573070" w:history="1">
        <w:r w:rsidR="00081415" w:rsidRPr="00081415">
          <w:rPr>
            <w:rStyle w:val="Hipervnculo"/>
            <w:rFonts w:ascii="Times New Roman" w:hAnsi="Times New Roman" w:cs="Times New Roman"/>
            <w:noProof/>
            <w:sz w:val="20"/>
            <w:szCs w:val="20"/>
          </w:rPr>
          <w:t>Gráfico 20</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bCs/>
            <w:noProof/>
            <w:sz w:val="20"/>
            <w:szCs w:val="20"/>
          </w:rPr>
          <w:t>Tasas de crecimiento del PIB, 2022-2026</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_Toc81573070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45</w:t>
        </w:r>
        <w:r w:rsidR="00081415" w:rsidRPr="00081415">
          <w:rPr>
            <w:noProof/>
            <w:webHidden/>
            <w:sz w:val="20"/>
            <w:szCs w:val="20"/>
          </w:rPr>
          <w:fldChar w:fldCharType="end"/>
        </w:r>
      </w:hyperlink>
    </w:p>
    <w:p w14:paraId="5103A774" w14:textId="5F48A99D" w:rsidR="00081415" w:rsidRPr="00081415" w:rsidRDefault="006D2997">
      <w:pPr>
        <w:pStyle w:val="Tabladeilustraciones"/>
        <w:tabs>
          <w:tab w:val="right" w:leader="dot" w:pos="8828"/>
        </w:tabs>
        <w:rPr>
          <w:rFonts w:eastAsiaTheme="minorEastAsia"/>
          <w:noProof/>
          <w:sz w:val="20"/>
          <w:szCs w:val="20"/>
          <w:lang w:eastAsia="es-GT"/>
        </w:rPr>
      </w:pPr>
      <w:hyperlink w:anchor="_Toc81573071" w:history="1">
        <w:r w:rsidR="00081415" w:rsidRPr="00081415">
          <w:rPr>
            <w:rStyle w:val="Hipervnculo"/>
            <w:rFonts w:ascii="Times New Roman" w:hAnsi="Times New Roman" w:cs="Times New Roman"/>
            <w:noProof/>
            <w:sz w:val="20"/>
            <w:szCs w:val="20"/>
          </w:rPr>
          <w:t>Gráfico 21</w:t>
        </w:r>
        <w:r w:rsidR="00081415">
          <w:rPr>
            <w:rStyle w:val="Hipervnculo"/>
            <w:rFonts w:ascii="Times New Roman" w:hAnsi="Times New Roman" w:cs="Times New Roman"/>
            <w:noProof/>
            <w:sz w:val="20"/>
            <w:szCs w:val="20"/>
          </w:rPr>
          <w:t>.</w:t>
        </w:r>
        <w:r w:rsidR="00081415" w:rsidRPr="00081415">
          <w:rPr>
            <w:rStyle w:val="Hipervnculo"/>
            <w:noProof/>
            <w:sz w:val="20"/>
            <w:szCs w:val="20"/>
          </w:rPr>
          <w:t xml:space="preserve"> </w:t>
        </w:r>
        <w:r w:rsidR="00081415" w:rsidRPr="00081415">
          <w:rPr>
            <w:rStyle w:val="Hipervnculo"/>
            <w:rFonts w:ascii="Times New Roman" w:hAnsi="Times New Roman" w:cs="Times New Roman"/>
            <w:bCs/>
            <w:noProof/>
            <w:sz w:val="20"/>
            <w:szCs w:val="20"/>
          </w:rPr>
          <w:t>Inflación, promedio de precios al consumidor 2022-2026</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_Toc81573071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46</w:t>
        </w:r>
        <w:r w:rsidR="00081415" w:rsidRPr="00081415">
          <w:rPr>
            <w:noProof/>
            <w:webHidden/>
            <w:sz w:val="20"/>
            <w:szCs w:val="20"/>
          </w:rPr>
          <w:fldChar w:fldCharType="end"/>
        </w:r>
      </w:hyperlink>
    </w:p>
    <w:p w14:paraId="143BE57C" w14:textId="061BA4E5" w:rsidR="00081415" w:rsidRPr="00081415" w:rsidRDefault="006D2997">
      <w:pPr>
        <w:pStyle w:val="Tabladeilustraciones"/>
        <w:tabs>
          <w:tab w:val="right" w:leader="dot" w:pos="8828"/>
        </w:tabs>
        <w:rPr>
          <w:rFonts w:eastAsiaTheme="minorEastAsia"/>
          <w:noProof/>
          <w:sz w:val="20"/>
          <w:szCs w:val="20"/>
          <w:lang w:eastAsia="es-GT"/>
        </w:rPr>
      </w:pPr>
      <w:hyperlink w:anchor="_Toc81573072" w:history="1">
        <w:r w:rsidR="00081415" w:rsidRPr="00081415">
          <w:rPr>
            <w:rStyle w:val="Hipervnculo"/>
            <w:rFonts w:ascii="Times New Roman" w:hAnsi="Times New Roman" w:cs="Times New Roman"/>
            <w:noProof/>
            <w:sz w:val="20"/>
            <w:szCs w:val="20"/>
          </w:rPr>
          <w:t>Gráfico 22</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bCs/>
            <w:noProof/>
            <w:sz w:val="20"/>
            <w:szCs w:val="20"/>
          </w:rPr>
          <w:t>Precios del petróleo 2022-2026</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_Toc81573072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47</w:t>
        </w:r>
        <w:r w:rsidR="00081415" w:rsidRPr="00081415">
          <w:rPr>
            <w:noProof/>
            <w:webHidden/>
            <w:sz w:val="20"/>
            <w:szCs w:val="20"/>
          </w:rPr>
          <w:fldChar w:fldCharType="end"/>
        </w:r>
      </w:hyperlink>
    </w:p>
    <w:p w14:paraId="58DF7F71" w14:textId="7EA1E8EF" w:rsidR="00081415" w:rsidRPr="00081415" w:rsidRDefault="006D2997">
      <w:pPr>
        <w:pStyle w:val="Tabladeilustraciones"/>
        <w:tabs>
          <w:tab w:val="right" w:leader="dot" w:pos="8828"/>
        </w:tabs>
        <w:rPr>
          <w:rFonts w:eastAsiaTheme="minorEastAsia"/>
          <w:noProof/>
          <w:sz w:val="20"/>
          <w:szCs w:val="20"/>
          <w:lang w:eastAsia="es-GT"/>
        </w:rPr>
      </w:pPr>
      <w:hyperlink w:anchor="_Toc81573073" w:history="1">
        <w:r w:rsidR="00081415" w:rsidRPr="00081415">
          <w:rPr>
            <w:rStyle w:val="Hipervnculo"/>
            <w:rFonts w:ascii="Times New Roman" w:hAnsi="Times New Roman" w:cs="Times New Roman"/>
            <w:noProof/>
            <w:sz w:val="20"/>
            <w:szCs w:val="20"/>
          </w:rPr>
          <w:t>Gráfico 23</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bCs/>
            <w:noProof/>
            <w:sz w:val="20"/>
            <w:szCs w:val="20"/>
          </w:rPr>
          <w:t>Crecimiento económico de mediano plazo</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_Toc81573073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48</w:t>
        </w:r>
        <w:r w:rsidR="00081415" w:rsidRPr="00081415">
          <w:rPr>
            <w:noProof/>
            <w:webHidden/>
            <w:sz w:val="20"/>
            <w:szCs w:val="20"/>
          </w:rPr>
          <w:fldChar w:fldCharType="end"/>
        </w:r>
      </w:hyperlink>
    </w:p>
    <w:p w14:paraId="1128F123" w14:textId="4223D5F9" w:rsidR="00081415" w:rsidRPr="00081415" w:rsidRDefault="006D2997">
      <w:pPr>
        <w:pStyle w:val="Tabladeilustraciones"/>
        <w:tabs>
          <w:tab w:val="right" w:leader="dot" w:pos="8828"/>
        </w:tabs>
        <w:rPr>
          <w:rFonts w:eastAsiaTheme="minorEastAsia"/>
          <w:noProof/>
          <w:sz w:val="20"/>
          <w:szCs w:val="20"/>
          <w:lang w:eastAsia="es-GT"/>
        </w:rPr>
      </w:pPr>
      <w:hyperlink w:anchor="_Toc81573074" w:history="1">
        <w:r w:rsidR="00081415" w:rsidRPr="00081415">
          <w:rPr>
            <w:rStyle w:val="Hipervnculo"/>
            <w:noProof/>
            <w:sz w:val="20"/>
            <w:szCs w:val="20"/>
          </w:rPr>
          <w:t xml:space="preserve">Gráfico 24. </w:t>
        </w:r>
        <w:r w:rsidR="00081415" w:rsidRPr="00081415">
          <w:rPr>
            <w:rStyle w:val="Hipervnculo"/>
            <w:rFonts w:ascii="Times New Roman" w:hAnsi="Times New Roman" w:cs="Times New Roman"/>
            <w:bCs/>
            <w:noProof/>
            <w:sz w:val="20"/>
            <w:szCs w:val="20"/>
          </w:rPr>
          <w:t>Fanchart de la proyección del crecimiento económico</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_Toc81573074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52</w:t>
        </w:r>
        <w:r w:rsidR="00081415" w:rsidRPr="00081415">
          <w:rPr>
            <w:noProof/>
            <w:webHidden/>
            <w:sz w:val="20"/>
            <w:szCs w:val="20"/>
          </w:rPr>
          <w:fldChar w:fldCharType="end"/>
        </w:r>
      </w:hyperlink>
    </w:p>
    <w:p w14:paraId="6AB79272" w14:textId="5BF09DE9" w:rsidR="00081415" w:rsidRPr="00081415" w:rsidRDefault="006D2997">
      <w:pPr>
        <w:pStyle w:val="Tabladeilustraciones"/>
        <w:tabs>
          <w:tab w:val="right" w:leader="dot" w:pos="8828"/>
        </w:tabs>
        <w:rPr>
          <w:rFonts w:eastAsiaTheme="minorEastAsia"/>
          <w:noProof/>
          <w:sz w:val="20"/>
          <w:szCs w:val="20"/>
          <w:lang w:eastAsia="es-GT"/>
        </w:rPr>
      </w:pPr>
      <w:hyperlink w:anchor="_Toc81573075" w:history="1">
        <w:r w:rsidR="00081415" w:rsidRPr="00081415">
          <w:rPr>
            <w:rStyle w:val="Hipervnculo"/>
            <w:rFonts w:ascii="Times New Roman" w:hAnsi="Times New Roman" w:cs="Times New Roman"/>
            <w:noProof/>
            <w:sz w:val="20"/>
            <w:szCs w:val="20"/>
          </w:rPr>
          <w:t>Gráfico 25</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bCs/>
            <w:noProof/>
            <w:sz w:val="20"/>
            <w:szCs w:val="20"/>
          </w:rPr>
          <w:t>Variación interanual de la recaudación tributaria</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_Toc81573075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54</w:t>
        </w:r>
        <w:r w:rsidR="00081415" w:rsidRPr="00081415">
          <w:rPr>
            <w:noProof/>
            <w:webHidden/>
            <w:sz w:val="20"/>
            <w:szCs w:val="20"/>
          </w:rPr>
          <w:fldChar w:fldCharType="end"/>
        </w:r>
      </w:hyperlink>
    </w:p>
    <w:p w14:paraId="1F7A0B3D" w14:textId="06E68106" w:rsidR="00081415" w:rsidRPr="00081415" w:rsidRDefault="006D2997">
      <w:pPr>
        <w:pStyle w:val="Tabladeilustraciones"/>
        <w:tabs>
          <w:tab w:val="right" w:leader="dot" w:pos="8828"/>
        </w:tabs>
        <w:rPr>
          <w:rFonts w:eastAsiaTheme="minorEastAsia"/>
          <w:noProof/>
          <w:sz w:val="20"/>
          <w:szCs w:val="20"/>
          <w:lang w:eastAsia="es-GT"/>
        </w:rPr>
      </w:pPr>
      <w:hyperlink w:anchor="_Toc81573076" w:history="1">
        <w:r w:rsidR="00081415" w:rsidRPr="00081415">
          <w:rPr>
            <w:rStyle w:val="Hipervnculo"/>
            <w:rFonts w:ascii="Times New Roman" w:hAnsi="Times New Roman" w:cs="Times New Roman"/>
            <w:noProof/>
            <w:sz w:val="20"/>
            <w:szCs w:val="20"/>
          </w:rPr>
          <w:t>Gráfico 26</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bCs/>
            <w:noProof/>
            <w:sz w:val="20"/>
            <w:szCs w:val="20"/>
          </w:rPr>
          <w:t>Recaudación Tributaria</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_Toc81573076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55</w:t>
        </w:r>
        <w:r w:rsidR="00081415" w:rsidRPr="00081415">
          <w:rPr>
            <w:noProof/>
            <w:webHidden/>
            <w:sz w:val="20"/>
            <w:szCs w:val="20"/>
          </w:rPr>
          <w:fldChar w:fldCharType="end"/>
        </w:r>
      </w:hyperlink>
    </w:p>
    <w:p w14:paraId="280DE540" w14:textId="678134B4" w:rsidR="00081415" w:rsidRPr="00081415" w:rsidRDefault="006D2997">
      <w:pPr>
        <w:pStyle w:val="Tabladeilustraciones"/>
        <w:tabs>
          <w:tab w:val="right" w:leader="dot" w:pos="8828"/>
        </w:tabs>
        <w:rPr>
          <w:rFonts w:eastAsiaTheme="minorEastAsia"/>
          <w:noProof/>
          <w:sz w:val="20"/>
          <w:szCs w:val="20"/>
          <w:lang w:eastAsia="es-GT"/>
        </w:rPr>
      </w:pPr>
      <w:hyperlink w:anchor="_Toc81573077" w:history="1">
        <w:r w:rsidR="00081415" w:rsidRPr="00081415">
          <w:rPr>
            <w:rStyle w:val="Hipervnculo"/>
            <w:rFonts w:ascii="Times New Roman" w:hAnsi="Times New Roman" w:cs="Times New Roman"/>
            <w:noProof/>
            <w:sz w:val="20"/>
            <w:szCs w:val="20"/>
          </w:rPr>
          <w:t>Gráfico 27</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noProof/>
            <w:sz w:val="20"/>
            <w:szCs w:val="20"/>
          </w:rPr>
          <w:t>Recaudación tributaria acumulada</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_Toc81573077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56</w:t>
        </w:r>
        <w:r w:rsidR="00081415" w:rsidRPr="00081415">
          <w:rPr>
            <w:noProof/>
            <w:webHidden/>
            <w:sz w:val="20"/>
            <w:szCs w:val="20"/>
          </w:rPr>
          <w:fldChar w:fldCharType="end"/>
        </w:r>
      </w:hyperlink>
    </w:p>
    <w:p w14:paraId="382083AB" w14:textId="6F3276E4" w:rsidR="00081415" w:rsidRPr="00081415" w:rsidRDefault="006D2997">
      <w:pPr>
        <w:pStyle w:val="Tabladeilustraciones"/>
        <w:tabs>
          <w:tab w:val="right" w:leader="dot" w:pos="8828"/>
        </w:tabs>
        <w:rPr>
          <w:rFonts w:eastAsiaTheme="minorEastAsia"/>
          <w:noProof/>
          <w:sz w:val="20"/>
          <w:szCs w:val="20"/>
          <w:lang w:eastAsia="es-GT"/>
        </w:rPr>
      </w:pPr>
      <w:hyperlink w:anchor="_Toc81573078" w:history="1">
        <w:r w:rsidR="00081415" w:rsidRPr="00081415">
          <w:rPr>
            <w:rStyle w:val="Hipervnculo"/>
            <w:rFonts w:ascii="Times New Roman" w:hAnsi="Times New Roman" w:cs="Times New Roman"/>
            <w:noProof/>
            <w:sz w:val="20"/>
            <w:szCs w:val="20"/>
          </w:rPr>
          <w:t>Gráfico 28</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bCs/>
            <w:noProof/>
            <w:sz w:val="20"/>
            <w:szCs w:val="20"/>
          </w:rPr>
          <w:t>Recaudación Tributaria</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_Toc81573078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57</w:t>
        </w:r>
        <w:r w:rsidR="00081415" w:rsidRPr="00081415">
          <w:rPr>
            <w:noProof/>
            <w:webHidden/>
            <w:sz w:val="20"/>
            <w:szCs w:val="20"/>
          </w:rPr>
          <w:fldChar w:fldCharType="end"/>
        </w:r>
      </w:hyperlink>
    </w:p>
    <w:p w14:paraId="52681288" w14:textId="7A401A38" w:rsidR="00081415" w:rsidRPr="00081415" w:rsidRDefault="006D2997">
      <w:pPr>
        <w:pStyle w:val="Tabladeilustraciones"/>
        <w:tabs>
          <w:tab w:val="right" w:leader="dot" w:pos="8828"/>
        </w:tabs>
        <w:rPr>
          <w:rFonts w:eastAsiaTheme="minorEastAsia"/>
          <w:noProof/>
          <w:sz w:val="20"/>
          <w:szCs w:val="20"/>
          <w:lang w:eastAsia="es-GT"/>
        </w:rPr>
      </w:pPr>
      <w:hyperlink w:anchor="_Toc81573079" w:history="1">
        <w:r w:rsidR="00081415" w:rsidRPr="00081415">
          <w:rPr>
            <w:rStyle w:val="Hipervnculo"/>
            <w:rFonts w:ascii="Times New Roman" w:hAnsi="Times New Roman" w:cs="Times New Roman"/>
            <w:noProof/>
            <w:sz w:val="20"/>
            <w:szCs w:val="20"/>
          </w:rPr>
          <w:t>Gráfico 29</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noProof/>
            <w:sz w:val="20"/>
            <w:szCs w:val="20"/>
          </w:rPr>
          <w:t>Ejecución de gasto 2018-2019</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_Toc81573079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60</w:t>
        </w:r>
        <w:r w:rsidR="00081415" w:rsidRPr="00081415">
          <w:rPr>
            <w:noProof/>
            <w:webHidden/>
            <w:sz w:val="20"/>
            <w:szCs w:val="20"/>
          </w:rPr>
          <w:fldChar w:fldCharType="end"/>
        </w:r>
      </w:hyperlink>
    </w:p>
    <w:p w14:paraId="7D9BDC52" w14:textId="50B5838A" w:rsidR="00081415" w:rsidRPr="00081415" w:rsidRDefault="006D2997">
      <w:pPr>
        <w:pStyle w:val="Tabladeilustraciones"/>
        <w:tabs>
          <w:tab w:val="right" w:leader="dot" w:pos="8828"/>
        </w:tabs>
        <w:rPr>
          <w:rFonts w:eastAsiaTheme="minorEastAsia"/>
          <w:noProof/>
          <w:sz w:val="20"/>
          <w:szCs w:val="20"/>
          <w:lang w:eastAsia="es-GT"/>
        </w:rPr>
      </w:pPr>
      <w:hyperlink w:anchor="_Toc81573080" w:history="1">
        <w:r w:rsidR="00081415" w:rsidRPr="00081415">
          <w:rPr>
            <w:rStyle w:val="Hipervnculo"/>
            <w:rFonts w:ascii="Times New Roman" w:hAnsi="Times New Roman" w:cs="Times New Roman"/>
            <w:noProof/>
            <w:sz w:val="20"/>
            <w:szCs w:val="20"/>
          </w:rPr>
          <w:t>Gráfico 30</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bCs/>
            <w:noProof/>
            <w:sz w:val="20"/>
            <w:szCs w:val="20"/>
          </w:rPr>
          <w:t>Ritmo</w:t>
        </w:r>
        <w:r w:rsidR="00081415">
          <w:rPr>
            <w:rStyle w:val="Hipervnculo"/>
            <w:rFonts w:ascii="Times New Roman" w:hAnsi="Times New Roman" w:cs="Times New Roman"/>
            <w:bCs/>
            <w:noProof/>
            <w:sz w:val="20"/>
            <w:szCs w:val="20"/>
          </w:rPr>
          <w:t xml:space="preserve"> de ejecución del gasto público</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_Toc81573080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63</w:t>
        </w:r>
        <w:r w:rsidR="00081415" w:rsidRPr="00081415">
          <w:rPr>
            <w:noProof/>
            <w:webHidden/>
            <w:sz w:val="20"/>
            <w:szCs w:val="20"/>
          </w:rPr>
          <w:fldChar w:fldCharType="end"/>
        </w:r>
      </w:hyperlink>
    </w:p>
    <w:p w14:paraId="5F602BBA" w14:textId="1CAE2289" w:rsidR="00081415" w:rsidRPr="00081415" w:rsidRDefault="006D2997">
      <w:pPr>
        <w:pStyle w:val="Tabladeilustraciones"/>
        <w:tabs>
          <w:tab w:val="right" w:leader="dot" w:pos="8828"/>
        </w:tabs>
        <w:rPr>
          <w:rFonts w:eastAsiaTheme="minorEastAsia"/>
          <w:noProof/>
          <w:sz w:val="20"/>
          <w:szCs w:val="20"/>
          <w:lang w:eastAsia="es-GT"/>
        </w:rPr>
      </w:pPr>
      <w:hyperlink w:anchor="_Toc81573081" w:history="1">
        <w:r w:rsidR="00081415" w:rsidRPr="00081415">
          <w:rPr>
            <w:rStyle w:val="Hipervnculo"/>
            <w:rFonts w:ascii="Times New Roman" w:hAnsi="Times New Roman" w:cs="Times New Roman"/>
            <w:noProof/>
            <w:sz w:val="20"/>
            <w:szCs w:val="20"/>
          </w:rPr>
          <w:t>Gráfico 31</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noProof/>
            <w:sz w:val="20"/>
            <w:szCs w:val="20"/>
          </w:rPr>
          <w:t>Grado de Ejecución Presupuestaria Institucional</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_Toc81573081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68</w:t>
        </w:r>
        <w:r w:rsidR="00081415" w:rsidRPr="00081415">
          <w:rPr>
            <w:noProof/>
            <w:webHidden/>
            <w:sz w:val="20"/>
            <w:szCs w:val="20"/>
          </w:rPr>
          <w:fldChar w:fldCharType="end"/>
        </w:r>
      </w:hyperlink>
    </w:p>
    <w:p w14:paraId="077A54D1" w14:textId="7B6AF9D8" w:rsidR="00081415" w:rsidRPr="00081415" w:rsidRDefault="006D2997">
      <w:pPr>
        <w:pStyle w:val="Tabladeilustraciones"/>
        <w:tabs>
          <w:tab w:val="right" w:leader="dot" w:pos="8828"/>
        </w:tabs>
        <w:rPr>
          <w:rFonts w:eastAsiaTheme="minorEastAsia"/>
          <w:noProof/>
          <w:sz w:val="20"/>
          <w:szCs w:val="20"/>
          <w:lang w:eastAsia="es-GT"/>
        </w:rPr>
      </w:pPr>
      <w:hyperlink w:anchor="_Toc81573082" w:history="1">
        <w:r w:rsidR="00081415" w:rsidRPr="00081415">
          <w:rPr>
            <w:rStyle w:val="Hipervnculo"/>
            <w:rFonts w:ascii="Times New Roman" w:hAnsi="Times New Roman" w:cs="Times New Roman"/>
            <w:noProof/>
            <w:sz w:val="20"/>
            <w:szCs w:val="20"/>
          </w:rPr>
          <w:t>Gráfico 32. Efectos totales desglosados por sector</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_Toc81573082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73</w:t>
        </w:r>
        <w:r w:rsidR="00081415" w:rsidRPr="00081415">
          <w:rPr>
            <w:noProof/>
            <w:webHidden/>
            <w:sz w:val="20"/>
            <w:szCs w:val="20"/>
          </w:rPr>
          <w:fldChar w:fldCharType="end"/>
        </w:r>
      </w:hyperlink>
    </w:p>
    <w:p w14:paraId="7B148C05" w14:textId="1B6F3EE0" w:rsidR="00081415" w:rsidRPr="00081415" w:rsidRDefault="006D2997">
      <w:pPr>
        <w:pStyle w:val="Tabladeilustraciones"/>
        <w:tabs>
          <w:tab w:val="right" w:leader="dot" w:pos="8828"/>
        </w:tabs>
        <w:rPr>
          <w:rFonts w:eastAsiaTheme="minorEastAsia"/>
          <w:noProof/>
          <w:sz w:val="20"/>
          <w:szCs w:val="20"/>
          <w:lang w:eastAsia="es-GT"/>
        </w:rPr>
      </w:pPr>
      <w:hyperlink w:anchor="_Toc81573083" w:history="1">
        <w:r w:rsidR="00081415" w:rsidRPr="00081415">
          <w:rPr>
            <w:rStyle w:val="Hipervnculo"/>
            <w:rFonts w:ascii="Times New Roman" w:hAnsi="Times New Roman" w:cs="Times New Roman"/>
            <w:noProof/>
            <w:sz w:val="20"/>
            <w:szCs w:val="20"/>
          </w:rPr>
          <w:t>Gráfico 33</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noProof/>
            <w:sz w:val="20"/>
            <w:szCs w:val="20"/>
          </w:rPr>
          <w:t>Resultado fiscal</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_Toc81573083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76</w:t>
        </w:r>
        <w:r w:rsidR="00081415" w:rsidRPr="00081415">
          <w:rPr>
            <w:noProof/>
            <w:webHidden/>
            <w:sz w:val="20"/>
            <w:szCs w:val="20"/>
          </w:rPr>
          <w:fldChar w:fldCharType="end"/>
        </w:r>
      </w:hyperlink>
    </w:p>
    <w:p w14:paraId="5E4CA190" w14:textId="6C72A0D5" w:rsidR="00081415" w:rsidRPr="00081415" w:rsidRDefault="006D2997">
      <w:pPr>
        <w:pStyle w:val="Tabladeilustraciones"/>
        <w:tabs>
          <w:tab w:val="right" w:leader="dot" w:pos="8828"/>
        </w:tabs>
        <w:rPr>
          <w:rFonts w:eastAsiaTheme="minorEastAsia"/>
          <w:noProof/>
          <w:sz w:val="20"/>
          <w:szCs w:val="20"/>
          <w:lang w:eastAsia="es-GT"/>
        </w:rPr>
      </w:pPr>
      <w:hyperlink w:anchor="_Toc81573084" w:history="1">
        <w:r w:rsidR="00081415" w:rsidRPr="00081415">
          <w:rPr>
            <w:rStyle w:val="Hipervnculo"/>
            <w:rFonts w:ascii="Times New Roman" w:hAnsi="Times New Roman" w:cs="Times New Roman"/>
            <w:noProof/>
            <w:sz w:val="20"/>
            <w:szCs w:val="20"/>
          </w:rPr>
          <w:t>Gráfico 34</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noProof/>
            <w:sz w:val="20"/>
            <w:szCs w:val="20"/>
          </w:rPr>
          <w:t>Recaudación Tributaria Acumulada al 30 de junio</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_Toc81573084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78</w:t>
        </w:r>
        <w:r w:rsidR="00081415" w:rsidRPr="00081415">
          <w:rPr>
            <w:noProof/>
            <w:webHidden/>
            <w:sz w:val="20"/>
            <w:szCs w:val="20"/>
          </w:rPr>
          <w:fldChar w:fldCharType="end"/>
        </w:r>
      </w:hyperlink>
    </w:p>
    <w:p w14:paraId="3CDEF3FE" w14:textId="7DD5F14F" w:rsidR="00081415" w:rsidRPr="00081415" w:rsidRDefault="006D2997">
      <w:pPr>
        <w:pStyle w:val="Tabladeilustraciones"/>
        <w:tabs>
          <w:tab w:val="right" w:leader="dot" w:pos="8828"/>
        </w:tabs>
        <w:rPr>
          <w:rFonts w:eastAsiaTheme="minorEastAsia"/>
          <w:noProof/>
          <w:sz w:val="20"/>
          <w:szCs w:val="20"/>
          <w:lang w:eastAsia="es-GT"/>
        </w:rPr>
      </w:pPr>
      <w:hyperlink w:anchor="_Toc81573085" w:history="1">
        <w:r w:rsidR="00081415" w:rsidRPr="00081415">
          <w:rPr>
            <w:rStyle w:val="Hipervnculo"/>
            <w:rFonts w:ascii="Times New Roman" w:hAnsi="Times New Roman" w:cs="Times New Roman"/>
            <w:noProof/>
            <w:sz w:val="20"/>
            <w:szCs w:val="20"/>
          </w:rPr>
          <w:t>Gráfico 35</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noProof/>
            <w:sz w:val="20"/>
            <w:szCs w:val="20"/>
          </w:rPr>
          <w:t>IVA doméstico e importaciones</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_Toc81573085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79</w:t>
        </w:r>
        <w:r w:rsidR="00081415" w:rsidRPr="00081415">
          <w:rPr>
            <w:noProof/>
            <w:webHidden/>
            <w:sz w:val="20"/>
            <w:szCs w:val="20"/>
          </w:rPr>
          <w:fldChar w:fldCharType="end"/>
        </w:r>
      </w:hyperlink>
    </w:p>
    <w:p w14:paraId="50433994" w14:textId="03D97434" w:rsidR="00081415" w:rsidRPr="00081415" w:rsidRDefault="006D2997">
      <w:pPr>
        <w:pStyle w:val="Tabladeilustraciones"/>
        <w:tabs>
          <w:tab w:val="right" w:leader="dot" w:pos="8828"/>
        </w:tabs>
        <w:rPr>
          <w:rFonts w:eastAsiaTheme="minorEastAsia"/>
          <w:noProof/>
          <w:sz w:val="20"/>
          <w:szCs w:val="20"/>
          <w:lang w:eastAsia="es-GT"/>
        </w:rPr>
      </w:pPr>
      <w:hyperlink w:anchor="_Toc81573086" w:history="1">
        <w:r w:rsidR="00081415" w:rsidRPr="00081415">
          <w:rPr>
            <w:rStyle w:val="Hipervnculo"/>
            <w:rFonts w:ascii="Times New Roman" w:hAnsi="Times New Roman" w:cs="Times New Roman"/>
            <w:noProof/>
            <w:sz w:val="20"/>
            <w:szCs w:val="20"/>
          </w:rPr>
          <w:t>Gráfico 36</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noProof/>
            <w:sz w:val="20"/>
            <w:szCs w:val="20"/>
          </w:rPr>
          <w:t>Variación Interanual impuestos asociados al com</w:t>
        </w:r>
        <w:r w:rsidR="00081415">
          <w:rPr>
            <w:rStyle w:val="Hipervnculo"/>
            <w:rFonts w:ascii="Times New Roman" w:hAnsi="Times New Roman" w:cs="Times New Roman"/>
            <w:noProof/>
            <w:sz w:val="20"/>
            <w:szCs w:val="20"/>
          </w:rPr>
          <w:t>ercio exterior</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_Toc81573086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80</w:t>
        </w:r>
        <w:r w:rsidR="00081415" w:rsidRPr="00081415">
          <w:rPr>
            <w:noProof/>
            <w:webHidden/>
            <w:sz w:val="20"/>
            <w:szCs w:val="20"/>
          </w:rPr>
          <w:fldChar w:fldCharType="end"/>
        </w:r>
      </w:hyperlink>
    </w:p>
    <w:p w14:paraId="3E04C898" w14:textId="5B5E1EB8" w:rsidR="00081415" w:rsidRPr="00081415" w:rsidRDefault="006D2997">
      <w:pPr>
        <w:pStyle w:val="Tabladeilustraciones"/>
        <w:tabs>
          <w:tab w:val="right" w:leader="dot" w:pos="8828"/>
        </w:tabs>
        <w:rPr>
          <w:rFonts w:eastAsiaTheme="minorEastAsia"/>
          <w:noProof/>
          <w:sz w:val="20"/>
          <w:szCs w:val="20"/>
          <w:lang w:eastAsia="es-GT"/>
        </w:rPr>
      </w:pPr>
      <w:hyperlink w:anchor="_Toc81573087" w:history="1">
        <w:r w:rsidR="00081415" w:rsidRPr="00081415">
          <w:rPr>
            <w:rStyle w:val="Hipervnculo"/>
            <w:rFonts w:ascii="Times New Roman" w:hAnsi="Times New Roman" w:cs="Times New Roman"/>
            <w:noProof/>
            <w:sz w:val="20"/>
            <w:szCs w:val="20"/>
          </w:rPr>
          <w:t>Gráfico 37</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noProof/>
            <w:sz w:val="20"/>
            <w:szCs w:val="20"/>
          </w:rPr>
          <w:t>Variación Interanual de recaudación tributaria por actividad económica</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_Toc81573087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81</w:t>
        </w:r>
        <w:r w:rsidR="00081415" w:rsidRPr="00081415">
          <w:rPr>
            <w:noProof/>
            <w:webHidden/>
            <w:sz w:val="20"/>
            <w:szCs w:val="20"/>
          </w:rPr>
          <w:fldChar w:fldCharType="end"/>
        </w:r>
      </w:hyperlink>
    </w:p>
    <w:p w14:paraId="5890434A" w14:textId="2588013B" w:rsidR="00081415" w:rsidRPr="00081415" w:rsidRDefault="006D2997">
      <w:pPr>
        <w:pStyle w:val="Tabladeilustraciones"/>
        <w:tabs>
          <w:tab w:val="right" w:leader="dot" w:pos="8828"/>
        </w:tabs>
        <w:rPr>
          <w:rFonts w:eastAsiaTheme="minorEastAsia"/>
          <w:noProof/>
          <w:sz w:val="20"/>
          <w:szCs w:val="20"/>
          <w:lang w:eastAsia="es-GT"/>
        </w:rPr>
      </w:pPr>
      <w:hyperlink w:anchor="_Toc81573088" w:history="1">
        <w:r w:rsidR="00081415" w:rsidRPr="00081415">
          <w:rPr>
            <w:rStyle w:val="Hipervnculo"/>
            <w:rFonts w:ascii="Times New Roman" w:hAnsi="Times New Roman" w:cs="Times New Roman"/>
            <w:noProof/>
            <w:sz w:val="20"/>
            <w:szCs w:val="20"/>
          </w:rPr>
          <w:t>Gráfico 38</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noProof/>
            <w:sz w:val="20"/>
            <w:szCs w:val="20"/>
          </w:rPr>
          <w:t>Ritmo de ejecución del gasto</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_Toc81573088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83</w:t>
        </w:r>
        <w:r w:rsidR="00081415" w:rsidRPr="00081415">
          <w:rPr>
            <w:noProof/>
            <w:webHidden/>
            <w:sz w:val="20"/>
            <w:szCs w:val="20"/>
          </w:rPr>
          <w:fldChar w:fldCharType="end"/>
        </w:r>
      </w:hyperlink>
    </w:p>
    <w:p w14:paraId="31724015" w14:textId="1BC79B87" w:rsidR="00081415" w:rsidRPr="00081415" w:rsidRDefault="006D2997">
      <w:pPr>
        <w:pStyle w:val="Tabladeilustraciones"/>
        <w:tabs>
          <w:tab w:val="right" w:leader="dot" w:pos="8828"/>
        </w:tabs>
        <w:rPr>
          <w:rFonts w:eastAsiaTheme="minorEastAsia"/>
          <w:noProof/>
          <w:sz w:val="20"/>
          <w:szCs w:val="20"/>
          <w:lang w:eastAsia="es-GT"/>
        </w:rPr>
      </w:pPr>
      <w:hyperlink w:anchor="_Toc81573089" w:history="1">
        <w:r w:rsidR="00081415" w:rsidRPr="00081415">
          <w:rPr>
            <w:rStyle w:val="Hipervnculo"/>
            <w:rFonts w:ascii="Times New Roman" w:hAnsi="Times New Roman" w:cs="Times New Roman"/>
            <w:noProof/>
            <w:sz w:val="20"/>
            <w:szCs w:val="20"/>
          </w:rPr>
          <w:t>Gráfico 39. Ejecución de actividades relacionadas a la atención de la emergencia COVID-19 por mes y entidad</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_Toc81573089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86</w:t>
        </w:r>
        <w:r w:rsidR="00081415" w:rsidRPr="00081415">
          <w:rPr>
            <w:noProof/>
            <w:webHidden/>
            <w:sz w:val="20"/>
            <w:szCs w:val="20"/>
          </w:rPr>
          <w:fldChar w:fldCharType="end"/>
        </w:r>
      </w:hyperlink>
    </w:p>
    <w:p w14:paraId="07112313" w14:textId="2D2AF008" w:rsidR="00081415" w:rsidRPr="00081415" w:rsidRDefault="006D2997">
      <w:pPr>
        <w:pStyle w:val="Tabladeilustraciones"/>
        <w:tabs>
          <w:tab w:val="right" w:leader="dot" w:pos="8828"/>
        </w:tabs>
        <w:rPr>
          <w:rFonts w:eastAsiaTheme="minorEastAsia"/>
          <w:noProof/>
          <w:sz w:val="20"/>
          <w:szCs w:val="20"/>
          <w:lang w:eastAsia="es-GT"/>
        </w:rPr>
      </w:pPr>
      <w:hyperlink w:anchor="_Toc81573090" w:history="1">
        <w:r w:rsidR="00081415">
          <w:rPr>
            <w:rStyle w:val="Hipervnculo"/>
            <w:rFonts w:ascii="Times New Roman" w:hAnsi="Times New Roman" w:cs="Times New Roman"/>
            <w:noProof/>
            <w:sz w:val="20"/>
            <w:szCs w:val="20"/>
          </w:rPr>
          <w:t>Gráfico 40.</w:t>
        </w:r>
        <w:r w:rsidR="00081415" w:rsidRPr="00081415">
          <w:rPr>
            <w:rStyle w:val="Hipervnculo"/>
            <w:rFonts w:ascii="Times New Roman" w:hAnsi="Times New Roman" w:cs="Times New Roman"/>
            <w:noProof/>
            <w:sz w:val="20"/>
            <w:szCs w:val="20"/>
          </w:rPr>
          <w:t xml:space="preserve"> Resultado presupuestario y colocación de Bonos del Tesoro a junio 2021</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_Toc81573090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87</w:t>
        </w:r>
        <w:r w:rsidR="00081415" w:rsidRPr="00081415">
          <w:rPr>
            <w:noProof/>
            <w:webHidden/>
            <w:sz w:val="20"/>
            <w:szCs w:val="20"/>
          </w:rPr>
          <w:fldChar w:fldCharType="end"/>
        </w:r>
      </w:hyperlink>
    </w:p>
    <w:p w14:paraId="377B4148" w14:textId="43FA9F5A" w:rsidR="00081415" w:rsidRPr="00081415" w:rsidRDefault="006D2997">
      <w:pPr>
        <w:pStyle w:val="Tabladeilustraciones"/>
        <w:tabs>
          <w:tab w:val="right" w:leader="dot" w:pos="8828"/>
        </w:tabs>
        <w:rPr>
          <w:rFonts w:eastAsiaTheme="minorEastAsia"/>
          <w:noProof/>
          <w:sz w:val="20"/>
          <w:szCs w:val="20"/>
          <w:lang w:eastAsia="es-GT"/>
        </w:rPr>
      </w:pPr>
      <w:hyperlink w:anchor="_Toc81573091" w:history="1">
        <w:r w:rsidR="00081415" w:rsidRPr="00081415">
          <w:rPr>
            <w:rStyle w:val="Hipervnculo"/>
            <w:rFonts w:ascii="Times New Roman" w:hAnsi="Times New Roman" w:cs="Times New Roman"/>
            <w:noProof/>
            <w:sz w:val="20"/>
            <w:szCs w:val="20"/>
          </w:rPr>
          <w:t>Gráfico 41</w:t>
        </w:r>
        <w:r w:rsidR="00081415">
          <w:rPr>
            <w:rStyle w:val="Hipervnculo"/>
            <w:rFonts w:ascii="Times New Roman" w:hAnsi="Times New Roman" w:cs="Times New Roman"/>
            <w:noProof/>
            <w:sz w:val="20"/>
            <w:szCs w:val="20"/>
          </w:rPr>
          <w:t>.</w:t>
        </w:r>
        <w:r w:rsidR="00081415" w:rsidRPr="00081415">
          <w:rPr>
            <w:rStyle w:val="Hipervnculo"/>
            <w:rFonts w:ascii="Times New Roman" w:hAnsi="Times New Roman" w:cs="Times New Roman"/>
            <w:noProof/>
            <w:sz w:val="20"/>
            <w:szCs w:val="20"/>
          </w:rPr>
          <w:t xml:space="preserve"> Plazo y rendimiento histórico de la colocación de bonos del tesoro en moneda nacional</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_Toc81573091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88</w:t>
        </w:r>
        <w:r w:rsidR="00081415" w:rsidRPr="00081415">
          <w:rPr>
            <w:noProof/>
            <w:webHidden/>
            <w:sz w:val="20"/>
            <w:szCs w:val="20"/>
          </w:rPr>
          <w:fldChar w:fldCharType="end"/>
        </w:r>
      </w:hyperlink>
    </w:p>
    <w:p w14:paraId="0E843589" w14:textId="686655DD" w:rsidR="00081415" w:rsidRPr="00081415" w:rsidRDefault="006D2997">
      <w:pPr>
        <w:pStyle w:val="Tabladeilustraciones"/>
        <w:tabs>
          <w:tab w:val="right" w:leader="dot" w:pos="8828"/>
        </w:tabs>
        <w:rPr>
          <w:rFonts w:eastAsiaTheme="minorEastAsia"/>
          <w:noProof/>
          <w:sz w:val="20"/>
          <w:szCs w:val="20"/>
          <w:lang w:eastAsia="es-GT"/>
        </w:rPr>
      </w:pPr>
      <w:hyperlink w:anchor="_Toc81573092" w:history="1">
        <w:r w:rsidR="00081415" w:rsidRPr="00081415">
          <w:rPr>
            <w:rStyle w:val="Hipervnculo"/>
            <w:rFonts w:ascii="Times New Roman" w:hAnsi="Times New Roman" w:cs="Times New Roman"/>
            <w:noProof/>
            <w:sz w:val="20"/>
            <w:szCs w:val="20"/>
          </w:rPr>
          <w:t>Gráfico 42</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noProof/>
            <w:sz w:val="20"/>
            <w:szCs w:val="20"/>
          </w:rPr>
          <w:t>Plazo y rendimiento histórico de la colocación de bonos del tesoro en moneda extranjera</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_Toc81573092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88</w:t>
        </w:r>
        <w:r w:rsidR="00081415" w:rsidRPr="00081415">
          <w:rPr>
            <w:noProof/>
            <w:webHidden/>
            <w:sz w:val="20"/>
            <w:szCs w:val="20"/>
          </w:rPr>
          <w:fldChar w:fldCharType="end"/>
        </w:r>
      </w:hyperlink>
    </w:p>
    <w:p w14:paraId="01067C19" w14:textId="5C63F910" w:rsidR="00081415" w:rsidRPr="00081415" w:rsidRDefault="006D2997">
      <w:pPr>
        <w:pStyle w:val="Tabladeilustraciones"/>
        <w:tabs>
          <w:tab w:val="right" w:leader="dot" w:pos="8828"/>
        </w:tabs>
        <w:rPr>
          <w:rFonts w:eastAsiaTheme="minorEastAsia"/>
          <w:noProof/>
          <w:sz w:val="20"/>
          <w:szCs w:val="20"/>
          <w:lang w:eastAsia="es-GT"/>
        </w:rPr>
      </w:pPr>
      <w:hyperlink w:anchor="_Toc81573093" w:history="1">
        <w:r w:rsidR="00081415" w:rsidRPr="00081415">
          <w:rPr>
            <w:rStyle w:val="Hipervnculo"/>
            <w:rFonts w:ascii="Times New Roman" w:hAnsi="Times New Roman" w:cs="Times New Roman"/>
            <w:noProof/>
            <w:sz w:val="20"/>
            <w:szCs w:val="20"/>
          </w:rPr>
          <w:t>Gráfico 43</w:t>
        </w:r>
        <w:r w:rsidR="00081415">
          <w:rPr>
            <w:rStyle w:val="Hipervnculo"/>
            <w:rFonts w:ascii="Times New Roman" w:hAnsi="Times New Roman" w:cs="Times New Roman"/>
            <w:noProof/>
            <w:sz w:val="20"/>
            <w:szCs w:val="20"/>
          </w:rPr>
          <w:t>.</w:t>
        </w:r>
        <w:r w:rsidR="00081415" w:rsidRPr="00081415">
          <w:rPr>
            <w:rStyle w:val="Hipervnculo"/>
            <w:rFonts w:ascii="Times New Roman" w:hAnsi="Times New Roman" w:cs="Times New Roman"/>
            <w:noProof/>
            <w:sz w:val="20"/>
            <w:szCs w:val="20"/>
          </w:rPr>
          <w:t xml:space="preserve"> Recaudación tributaria</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_Toc81573093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89</w:t>
        </w:r>
        <w:r w:rsidR="00081415" w:rsidRPr="00081415">
          <w:rPr>
            <w:noProof/>
            <w:webHidden/>
            <w:sz w:val="20"/>
            <w:szCs w:val="20"/>
          </w:rPr>
          <w:fldChar w:fldCharType="end"/>
        </w:r>
      </w:hyperlink>
    </w:p>
    <w:p w14:paraId="70D38ED1" w14:textId="29ACE099" w:rsidR="00081415" w:rsidRPr="00081415" w:rsidRDefault="006D2997">
      <w:pPr>
        <w:pStyle w:val="Tabladeilustraciones"/>
        <w:tabs>
          <w:tab w:val="right" w:leader="dot" w:pos="8828"/>
        </w:tabs>
        <w:rPr>
          <w:rFonts w:eastAsiaTheme="minorEastAsia"/>
          <w:noProof/>
          <w:sz w:val="20"/>
          <w:szCs w:val="20"/>
          <w:lang w:eastAsia="es-GT"/>
        </w:rPr>
      </w:pPr>
      <w:hyperlink w:anchor="_Toc81573094" w:history="1">
        <w:r w:rsidR="00081415" w:rsidRPr="00081415">
          <w:rPr>
            <w:rStyle w:val="Hipervnculo"/>
            <w:rFonts w:ascii="Times New Roman" w:hAnsi="Times New Roman" w:cs="Times New Roman"/>
            <w:noProof/>
            <w:sz w:val="20"/>
            <w:szCs w:val="20"/>
          </w:rPr>
          <w:t>Gráfico 44</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noProof/>
            <w:sz w:val="20"/>
            <w:szCs w:val="20"/>
          </w:rPr>
          <w:t>Déficit fiscal</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_Toc81573094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92</w:t>
        </w:r>
        <w:r w:rsidR="00081415" w:rsidRPr="00081415">
          <w:rPr>
            <w:noProof/>
            <w:webHidden/>
            <w:sz w:val="20"/>
            <w:szCs w:val="20"/>
          </w:rPr>
          <w:fldChar w:fldCharType="end"/>
        </w:r>
      </w:hyperlink>
    </w:p>
    <w:p w14:paraId="7F1AC98E" w14:textId="541EFAD0" w:rsidR="00081415" w:rsidRPr="00081415" w:rsidRDefault="006D2997">
      <w:pPr>
        <w:pStyle w:val="Tabladeilustraciones"/>
        <w:tabs>
          <w:tab w:val="right" w:leader="dot" w:pos="8828"/>
        </w:tabs>
        <w:rPr>
          <w:rFonts w:eastAsiaTheme="minorEastAsia"/>
          <w:noProof/>
          <w:sz w:val="20"/>
          <w:szCs w:val="20"/>
          <w:lang w:eastAsia="es-GT"/>
        </w:rPr>
      </w:pPr>
      <w:hyperlink r:id="rId10" w:anchor="_Toc81573095" w:history="1">
        <w:r w:rsidR="00081415" w:rsidRPr="00081415">
          <w:rPr>
            <w:rStyle w:val="Hipervnculo"/>
            <w:rFonts w:ascii="Times New Roman" w:hAnsi="Times New Roman" w:cs="Times New Roman"/>
            <w:noProof/>
            <w:sz w:val="20"/>
            <w:szCs w:val="20"/>
          </w:rPr>
          <w:t>Gráfico 45. % de población que ha recibido por lo menos 1 dosis</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_Toc81573095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94</w:t>
        </w:r>
        <w:r w:rsidR="00081415" w:rsidRPr="00081415">
          <w:rPr>
            <w:noProof/>
            <w:webHidden/>
            <w:sz w:val="20"/>
            <w:szCs w:val="20"/>
          </w:rPr>
          <w:fldChar w:fldCharType="end"/>
        </w:r>
      </w:hyperlink>
    </w:p>
    <w:p w14:paraId="41B34C0A" w14:textId="180FD47A" w:rsidR="00081415" w:rsidRPr="00081415" w:rsidRDefault="006D2997">
      <w:pPr>
        <w:pStyle w:val="Tabladeilustraciones"/>
        <w:tabs>
          <w:tab w:val="right" w:leader="dot" w:pos="8828"/>
        </w:tabs>
        <w:rPr>
          <w:rFonts w:eastAsiaTheme="minorEastAsia"/>
          <w:noProof/>
          <w:sz w:val="20"/>
          <w:szCs w:val="20"/>
          <w:lang w:eastAsia="es-GT"/>
        </w:rPr>
      </w:pPr>
      <w:hyperlink w:anchor="_Toc81573096" w:history="1">
        <w:r w:rsidR="00081415" w:rsidRPr="00081415">
          <w:rPr>
            <w:rStyle w:val="Hipervnculo"/>
            <w:rFonts w:ascii="Times New Roman" w:hAnsi="Times New Roman" w:cs="Times New Roman"/>
            <w:noProof/>
            <w:sz w:val="20"/>
            <w:szCs w:val="20"/>
          </w:rPr>
          <w:t>Gráfico 46</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noProof/>
            <w:sz w:val="20"/>
            <w:szCs w:val="20"/>
          </w:rPr>
          <w:t>Identificación de factores externos que inciden en la insuficiente recaudación tributaria</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_Toc81573096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99</w:t>
        </w:r>
        <w:r w:rsidR="00081415" w:rsidRPr="00081415">
          <w:rPr>
            <w:noProof/>
            <w:webHidden/>
            <w:sz w:val="20"/>
            <w:szCs w:val="20"/>
          </w:rPr>
          <w:fldChar w:fldCharType="end"/>
        </w:r>
      </w:hyperlink>
    </w:p>
    <w:p w14:paraId="1678F46D" w14:textId="043E386F" w:rsidR="00081415" w:rsidRPr="00081415" w:rsidRDefault="006D2997">
      <w:pPr>
        <w:pStyle w:val="Tabladeilustraciones"/>
        <w:tabs>
          <w:tab w:val="right" w:leader="dot" w:pos="8828"/>
        </w:tabs>
        <w:rPr>
          <w:rFonts w:eastAsiaTheme="minorEastAsia"/>
          <w:noProof/>
          <w:sz w:val="20"/>
          <w:szCs w:val="20"/>
          <w:lang w:eastAsia="es-GT"/>
        </w:rPr>
      </w:pPr>
      <w:hyperlink w:anchor="_Toc81573097" w:history="1">
        <w:r w:rsidR="00081415">
          <w:rPr>
            <w:rStyle w:val="Hipervnculo"/>
            <w:rFonts w:ascii="Times New Roman" w:hAnsi="Times New Roman" w:cs="Times New Roman"/>
            <w:noProof/>
            <w:sz w:val="20"/>
            <w:szCs w:val="20"/>
          </w:rPr>
          <w:t>Gráfico 47.</w:t>
        </w:r>
        <w:r w:rsidR="00081415" w:rsidRPr="00081415">
          <w:rPr>
            <w:rStyle w:val="Hipervnculo"/>
            <w:rFonts w:ascii="Times New Roman" w:hAnsi="Times New Roman" w:cs="Times New Roman"/>
            <w:noProof/>
            <w:sz w:val="20"/>
            <w:szCs w:val="20"/>
          </w:rPr>
          <w:t xml:space="preserve"> Identificación de factores internos que inciden en la insuficiente recaudación tributaria</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_Toc81573097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99</w:t>
        </w:r>
        <w:r w:rsidR="00081415" w:rsidRPr="00081415">
          <w:rPr>
            <w:noProof/>
            <w:webHidden/>
            <w:sz w:val="20"/>
            <w:szCs w:val="20"/>
          </w:rPr>
          <w:fldChar w:fldCharType="end"/>
        </w:r>
      </w:hyperlink>
    </w:p>
    <w:p w14:paraId="3945B671" w14:textId="69503996" w:rsidR="00081415" w:rsidRPr="00081415" w:rsidRDefault="006D2997">
      <w:pPr>
        <w:pStyle w:val="Tabladeilustraciones"/>
        <w:tabs>
          <w:tab w:val="right" w:leader="dot" w:pos="8828"/>
        </w:tabs>
        <w:rPr>
          <w:rFonts w:eastAsiaTheme="minorEastAsia"/>
          <w:noProof/>
          <w:sz w:val="20"/>
          <w:szCs w:val="20"/>
          <w:lang w:eastAsia="es-GT"/>
        </w:rPr>
      </w:pPr>
      <w:hyperlink w:anchor="_Toc81573098" w:history="1">
        <w:r w:rsidR="00081415">
          <w:rPr>
            <w:rStyle w:val="Hipervnculo"/>
            <w:rFonts w:ascii="Times New Roman" w:hAnsi="Times New Roman" w:cs="Times New Roman"/>
            <w:noProof/>
            <w:sz w:val="20"/>
            <w:szCs w:val="20"/>
          </w:rPr>
          <w:t>Gráfico 48.</w:t>
        </w:r>
        <w:r w:rsidR="00081415" w:rsidRPr="00081415">
          <w:rPr>
            <w:rStyle w:val="Hipervnculo"/>
            <w:rFonts w:ascii="Times New Roman" w:hAnsi="Times New Roman" w:cs="Times New Roman"/>
            <w:noProof/>
            <w:sz w:val="20"/>
            <w:szCs w:val="20"/>
          </w:rPr>
          <w:t xml:space="preserve"> Pilares estratégicos de la PGG 2020-2024</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_Toc81573098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108</w:t>
        </w:r>
        <w:r w:rsidR="00081415" w:rsidRPr="00081415">
          <w:rPr>
            <w:noProof/>
            <w:webHidden/>
            <w:sz w:val="20"/>
            <w:szCs w:val="20"/>
          </w:rPr>
          <w:fldChar w:fldCharType="end"/>
        </w:r>
      </w:hyperlink>
    </w:p>
    <w:p w14:paraId="4274D369" w14:textId="45BA5335" w:rsidR="00081415" w:rsidRPr="00081415" w:rsidRDefault="006D2997">
      <w:pPr>
        <w:pStyle w:val="Tabladeilustraciones"/>
        <w:tabs>
          <w:tab w:val="right" w:leader="dot" w:pos="8828"/>
        </w:tabs>
        <w:rPr>
          <w:rFonts w:eastAsiaTheme="minorEastAsia"/>
          <w:noProof/>
          <w:sz w:val="20"/>
          <w:szCs w:val="20"/>
          <w:lang w:eastAsia="es-GT"/>
        </w:rPr>
      </w:pPr>
      <w:hyperlink w:anchor="_Toc81573099" w:history="1">
        <w:r w:rsidR="00081415">
          <w:rPr>
            <w:rStyle w:val="Hipervnculo"/>
            <w:rFonts w:ascii="Times New Roman" w:hAnsi="Times New Roman" w:cs="Times New Roman"/>
            <w:noProof/>
            <w:sz w:val="20"/>
            <w:szCs w:val="20"/>
          </w:rPr>
          <w:t xml:space="preserve">Gráfico 49. </w:t>
        </w:r>
        <w:r w:rsidR="00081415" w:rsidRPr="00081415">
          <w:rPr>
            <w:rStyle w:val="Hipervnculo"/>
            <w:rFonts w:ascii="Times New Roman" w:hAnsi="Times New Roman" w:cs="Times New Roman"/>
            <w:noProof/>
            <w:sz w:val="20"/>
            <w:szCs w:val="20"/>
          </w:rPr>
          <w:t>Ingresos fiscales 2022-2026</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_Toc81573099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117</w:t>
        </w:r>
        <w:r w:rsidR="00081415" w:rsidRPr="00081415">
          <w:rPr>
            <w:noProof/>
            <w:webHidden/>
            <w:sz w:val="20"/>
            <w:szCs w:val="20"/>
          </w:rPr>
          <w:fldChar w:fldCharType="end"/>
        </w:r>
      </w:hyperlink>
    </w:p>
    <w:p w14:paraId="16DF2C21" w14:textId="7034C0D5" w:rsidR="00081415" w:rsidRPr="00081415" w:rsidRDefault="006D2997">
      <w:pPr>
        <w:pStyle w:val="Tabladeilustraciones"/>
        <w:tabs>
          <w:tab w:val="right" w:leader="dot" w:pos="8828"/>
        </w:tabs>
        <w:rPr>
          <w:rFonts w:eastAsiaTheme="minorEastAsia"/>
          <w:noProof/>
          <w:sz w:val="20"/>
          <w:szCs w:val="20"/>
          <w:lang w:eastAsia="es-GT"/>
        </w:rPr>
      </w:pPr>
      <w:hyperlink w:anchor="_Toc81573100" w:history="1">
        <w:r w:rsidR="00081415" w:rsidRPr="00081415">
          <w:rPr>
            <w:rStyle w:val="Hipervnculo"/>
            <w:rFonts w:ascii="Times New Roman" w:hAnsi="Times New Roman" w:cs="Times New Roman"/>
            <w:noProof/>
            <w:sz w:val="20"/>
            <w:szCs w:val="20"/>
          </w:rPr>
          <w:t>Gráfico 50</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noProof/>
            <w:sz w:val="20"/>
            <w:szCs w:val="20"/>
          </w:rPr>
          <w:t>Carga tributaria 2019-2026</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_Toc81573100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122</w:t>
        </w:r>
        <w:r w:rsidR="00081415" w:rsidRPr="00081415">
          <w:rPr>
            <w:noProof/>
            <w:webHidden/>
            <w:sz w:val="20"/>
            <w:szCs w:val="20"/>
          </w:rPr>
          <w:fldChar w:fldCharType="end"/>
        </w:r>
      </w:hyperlink>
    </w:p>
    <w:p w14:paraId="0AAC9E52" w14:textId="2A0945AC" w:rsidR="00081415" w:rsidRPr="00081415" w:rsidRDefault="006D2997">
      <w:pPr>
        <w:pStyle w:val="Tabladeilustraciones"/>
        <w:tabs>
          <w:tab w:val="right" w:leader="dot" w:pos="8828"/>
        </w:tabs>
        <w:rPr>
          <w:rFonts w:eastAsiaTheme="minorEastAsia"/>
          <w:noProof/>
          <w:sz w:val="20"/>
          <w:szCs w:val="20"/>
          <w:lang w:eastAsia="es-GT"/>
        </w:rPr>
      </w:pPr>
      <w:hyperlink w:anchor="_Toc81573101" w:history="1">
        <w:r w:rsidR="00081415" w:rsidRPr="00081415">
          <w:rPr>
            <w:rStyle w:val="Hipervnculo"/>
            <w:rFonts w:ascii="Times New Roman" w:hAnsi="Times New Roman" w:cs="Times New Roman"/>
            <w:noProof/>
            <w:sz w:val="20"/>
            <w:szCs w:val="20"/>
          </w:rPr>
          <w:t>Gráfico 51</w:t>
        </w:r>
        <w:r w:rsidR="00081415">
          <w:rPr>
            <w:rStyle w:val="Hipervnculo"/>
            <w:rFonts w:ascii="Times New Roman" w:hAnsi="Times New Roman" w:cs="Times New Roman"/>
            <w:noProof/>
            <w:sz w:val="20"/>
            <w:szCs w:val="20"/>
          </w:rPr>
          <w:t>.</w:t>
        </w:r>
        <w:r w:rsidR="00081415" w:rsidRPr="00081415">
          <w:rPr>
            <w:rStyle w:val="Hipervnculo"/>
            <w:rFonts w:ascii="Times New Roman" w:hAnsi="Times New Roman" w:cs="Times New Roman"/>
            <w:noProof/>
            <w:sz w:val="20"/>
            <w:szCs w:val="20"/>
          </w:rPr>
          <w:t xml:space="preserve"> Rigideces presupuestarias</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_Toc81573101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123</w:t>
        </w:r>
        <w:r w:rsidR="00081415" w:rsidRPr="00081415">
          <w:rPr>
            <w:noProof/>
            <w:webHidden/>
            <w:sz w:val="20"/>
            <w:szCs w:val="20"/>
          </w:rPr>
          <w:fldChar w:fldCharType="end"/>
        </w:r>
      </w:hyperlink>
    </w:p>
    <w:p w14:paraId="1B426956" w14:textId="34B0E251" w:rsidR="00081415" w:rsidRPr="00081415" w:rsidRDefault="006D2997">
      <w:pPr>
        <w:pStyle w:val="Tabladeilustraciones"/>
        <w:tabs>
          <w:tab w:val="right" w:leader="dot" w:pos="8828"/>
        </w:tabs>
        <w:rPr>
          <w:rFonts w:eastAsiaTheme="minorEastAsia"/>
          <w:noProof/>
          <w:sz w:val="20"/>
          <w:szCs w:val="20"/>
          <w:lang w:eastAsia="es-GT"/>
        </w:rPr>
      </w:pPr>
      <w:hyperlink w:anchor="_Toc81573102" w:history="1">
        <w:r w:rsidR="00081415" w:rsidRPr="00081415">
          <w:rPr>
            <w:rStyle w:val="Hipervnculo"/>
            <w:rFonts w:ascii="Times New Roman" w:hAnsi="Times New Roman" w:cs="Times New Roman"/>
            <w:noProof/>
            <w:sz w:val="20"/>
            <w:szCs w:val="20"/>
          </w:rPr>
          <w:t>Gráfico 52</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noProof/>
            <w:sz w:val="20"/>
            <w:szCs w:val="20"/>
          </w:rPr>
          <w:t>Asignación total de egresos</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_Toc81573102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124</w:t>
        </w:r>
        <w:r w:rsidR="00081415" w:rsidRPr="00081415">
          <w:rPr>
            <w:noProof/>
            <w:webHidden/>
            <w:sz w:val="20"/>
            <w:szCs w:val="20"/>
          </w:rPr>
          <w:fldChar w:fldCharType="end"/>
        </w:r>
      </w:hyperlink>
    </w:p>
    <w:p w14:paraId="5DCFCEE6" w14:textId="35D01140" w:rsidR="00081415" w:rsidRPr="00081415" w:rsidRDefault="006D2997">
      <w:pPr>
        <w:pStyle w:val="Tabladeilustraciones"/>
        <w:tabs>
          <w:tab w:val="right" w:leader="dot" w:pos="8828"/>
        </w:tabs>
        <w:rPr>
          <w:rFonts w:eastAsiaTheme="minorEastAsia"/>
          <w:noProof/>
          <w:sz w:val="20"/>
          <w:szCs w:val="20"/>
          <w:lang w:eastAsia="es-GT"/>
        </w:rPr>
      </w:pPr>
      <w:hyperlink w:anchor="_Toc81573103" w:history="1">
        <w:r w:rsidR="00081415" w:rsidRPr="00081415">
          <w:rPr>
            <w:rStyle w:val="Hipervnculo"/>
            <w:rFonts w:ascii="Times New Roman" w:hAnsi="Times New Roman" w:cs="Times New Roman"/>
            <w:noProof/>
            <w:sz w:val="20"/>
            <w:szCs w:val="20"/>
          </w:rPr>
          <w:t>Gráfico 53</w:t>
        </w:r>
        <w:r w:rsid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noProof/>
            <w:sz w:val="20"/>
            <w:szCs w:val="20"/>
          </w:rPr>
          <w:t>Déficit fiscal y su financiamiento</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_Toc81573103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126</w:t>
        </w:r>
        <w:r w:rsidR="00081415" w:rsidRPr="00081415">
          <w:rPr>
            <w:noProof/>
            <w:webHidden/>
            <w:sz w:val="20"/>
            <w:szCs w:val="20"/>
          </w:rPr>
          <w:fldChar w:fldCharType="end"/>
        </w:r>
      </w:hyperlink>
    </w:p>
    <w:p w14:paraId="08413269" w14:textId="2214D943" w:rsidR="00081415" w:rsidRPr="00081415" w:rsidRDefault="006D2997">
      <w:pPr>
        <w:pStyle w:val="Tabladeilustraciones"/>
        <w:tabs>
          <w:tab w:val="right" w:leader="dot" w:pos="8828"/>
        </w:tabs>
        <w:rPr>
          <w:rFonts w:eastAsiaTheme="minorEastAsia"/>
          <w:noProof/>
          <w:sz w:val="20"/>
          <w:szCs w:val="20"/>
          <w:lang w:eastAsia="es-GT"/>
        </w:rPr>
      </w:pPr>
      <w:hyperlink w:anchor="_Toc81573104" w:history="1">
        <w:r w:rsidR="00081415" w:rsidRPr="00081415">
          <w:rPr>
            <w:rStyle w:val="Hipervnculo"/>
            <w:rFonts w:ascii="Times New Roman" w:hAnsi="Times New Roman" w:cs="Times New Roman"/>
            <w:noProof/>
            <w:sz w:val="20"/>
            <w:szCs w:val="20"/>
          </w:rPr>
          <w:t>Gráfico 54</w:t>
        </w:r>
        <w:r w:rsidR="00081415">
          <w:rPr>
            <w:rStyle w:val="Hipervnculo"/>
            <w:rFonts w:ascii="Times New Roman" w:hAnsi="Times New Roman" w:cs="Times New Roman"/>
            <w:noProof/>
            <w:sz w:val="20"/>
            <w:szCs w:val="20"/>
          </w:rPr>
          <w:t>.</w:t>
        </w:r>
        <w:r w:rsidR="00081415" w:rsidRP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bCs/>
            <w:noProof/>
            <w:sz w:val="20"/>
            <w:szCs w:val="20"/>
            <w:lang w:val="es-MX"/>
          </w:rPr>
          <w:t>Indicadores de la deuda pública de Guatemala</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_Toc81573104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129</w:t>
        </w:r>
        <w:r w:rsidR="00081415" w:rsidRPr="00081415">
          <w:rPr>
            <w:noProof/>
            <w:webHidden/>
            <w:sz w:val="20"/>
            <w:szCs w:val="20"/>
          </w:rPr>
          <w:fldChar w:fldCharType="end"/>
        </w:r>
      </w:hyperlink>
    </w:p>
    <w:p w14:paraId="4837AC5A" w14:textId="3B0F08B6" w:rsidR="00081415" w:rsidRPr="00081415" w:rsidRDefault="006D2997">
      <w:pPr>
        <w:pStyle w:val="Tabladeilustraciones"/>
        <w:tabs>
          <w:tab w:val="right" w:leader="dot" w:pos="8828"/>
        </w:tabs>
        <w:rPr>
          <w:rFonts w:eastAsiaTheme="minorEastAsia"/>
          <w:noProof/>
          <w:sz w:val="20"/>
          <w:szCs w:val="20"/>
          <w:lang w:eastAsia="es-GT"/>
        </w:rPr>
      </w:pPr>
      <w:hyperlink w:anchor="_Toc81573105" w:history="1">
        <w:r w:rsidR="00081415" w:rsidRPr="00081415">
          <w:rPr>
            <w:rStyle w:val="Hipervnculo"/>
            <w:rFonts w:ascii="Times New Roman" w:hAnsi="Times New Roman" w:cs="Times New Roman"/>
            <w:noProof/>
            <w:sz w:val="20"/>
            <w:szCs w:val="20"/>
          </w:rPr>
          <w:t>Gráfico 55</w:t>
        </w:r>
        <w:r w:rsidR="00081415">
          <w:rPr>
            <w:rStyle w:val="Hipervnculo"/>
            <w:rFonts w:ascii="Times New Roman" w:hAnsi="Times New Roman" w:cs="Times New Roman"/>
            <w:noProof/>
            <w:sz w:val="20"/>
            <w:szCs w:val="20"/>
          </w:rPr>
          <w:t>.</w:t>
        </w:r>
        <w:r w:rsidR="00081415" w:rsidRPr="00081415">
          <w:rPr>
            <w:rStyle w:val="Hipervnculo"/>
            <w:rFonts w:ascii="Times New Roman" w:hAnsi="Times New Roman" w:cs="Times New Roman"/>
            <w:noProof/>
            <w:sz w:val="20"/>
            <w:szCs w:val="20"/>
          </w:rPr>
          <w:t xml:space="preserve"> Proyección del indicador deuda/PIB para 2019-2021</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_Toc81573105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130</w:t>
        </w:r>
        <w:r w:rsidR="00081415" w:rsidRPr="00081415">
          <w:rPr>
            <w:noProof/>
            <w:webHidden/>
            <w:sz w:val="20"/>
            <w:szCs w:val="20"/>
          </w:rPr>
          <w:fldChar w:fldCharType="end"/>
        </w:r>
      </w:hyperlink>
    </w:p>
    <w:p w14:paraId="1ADBDA1B" w14:textId="109553C3" w:rsidR="00081415" w:rsidRPr="00081415" w:rsidRDefault="006D2997">
      <w:pPr>
        <w:pStyle w:val="Tabladeilustraciones"/>
        <w:tabs>
          <w:tab w:val="right" w:leader="dot" w:pos="8828"/>
        </w:tabs>
        <w:rPr>
          <w:rFonts w:eastAsiaTheme="minorEastAsia"/>
          <w:noProof/>
          <w:sz w:val="20"/>
          <w:szCs w:val="20"/>
          <w:lang w:eastAsia="es-GT"/>
        </w:rPr>
      </w:pPr>
      <w:hyperlink w:anchor="_Toc81573106" w:history="1">
        <w:r w:rsidR="00081415" w:rsidRPr="00081415">
          <w:rPr>
            <w:rStyle w:val="Hipervnculo"/>
            <w:rFonts w:ascii="Times New Roman" w:hAnsi="Times New Roman" w:cs="Times New Roman"/>
            <w:noProof/>
            <w:sz w:val="20"/>
            <w:szCs w:val="20"/>
          </w:rPr>
          <w:t>Gráfico 56</w:t>
        </w:r>
        <w:r w:rsidR="00081415">
          <w:rPr>
            <w:rStyle w:val="Hipervnculo"/>
            <w:rFonts w:ascii="Times New Roman" w:hAnsi="Times New Roman" w:cs="Times New Roman"/>
            <w:noProof/>
            <w:sz w:val="20"/>
            <w:szCs w:val="20"/>
          </w:rPr>
          <w:t>.</w:t>
        </w:r>
        <w:r w:rsidR="00081415" w:rsidRPr="00081415">
          <w:rPr>
            <w:rStyle w:val="Hipervnculo"/>
            <w:rFonts w:ascii="Times New Roman" w:hAnsi="Times New Roman" w:cs="Times New Roman"/>
            <w:noProof/>
            <w:sz w:val="20"/>
            <w:szCs w:val="20"/>
          </w:rPr>
          <w:t xml:space="preserve"> Indicadores de deuda para Latinoamérica en 2021</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_Toc81573106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131</w:t>
        </w:r>
        <w:r w:rsidR="00081415" w:rsidRPr="00081415">
          <w:rPr>
            <w:noProof/>
            <w:webHidden/>
            <w:sz w:val="20"/>
            <w:szCs w:val="20"/>
          </w:rPr>
          <w:fldChar w:fldCharType="end"/>
        </w:r>
      </w:hyperlink>
    </w:p>
    <w:p w14:paraId="7F4AF660" w14:textId="1A9E8DAE" w:rsidR="00081415" w:rsidRPr="00081415" w:rsidRDefault="006D2997">
      <w:pPr>
        <w:pStyle w:val="Tabladeilustraciones"/>
        <w:tabs>
          <w:tab w:val="right" w:leader="dot" w:pos="8828"/>
        </w:tabs>
        <w:rPr>
          <w:rFonts w:eastAsiaTheme="minorEastAsia"/>
          <w:noProof/>
          <w:sz w:val="20"/>
          <w:szCs w:val="20"/>
          <w:lang w:eastAsia="es-GT"/>
        </w:rPr>
      </w:pPr>
      <w:hyperlink w:anchor="_Toc81573107" w:history="1">
        <w:r w:rsidR="00081415" w:rsidRPr="00081415">
          <w:rPr>
            <w:rStyle w:val="Hipervnculo"/>
            <w:rFonts w:ascii="Times New Roman" w:hAnsi="Times New Roman" w:cs="Times New Roman"/>
            <w:noProof/>
            <w:sz w:val="20"/>
            <w:szCs w:val="20"/>
          </w:rPr>
          <w:t>Gráfico 57</w:t>
        </w:r>
        <w:r w:rsidR="00081415">
          <w:rPr>
            <w:rStyle w:val="Hipervnculo"/>
            <w:rFonts w:ascii="Times New Roman" w:hAnsi="Times New Roman" w:cs="Times New Roman"/>
            <w:noProof/>
            <w:sz w:val="20"/>
            <w:szCs w:val="20"/>
          </w:rPr>
          <w:t>.</w:t>
        </w:r>
        <w:r w:rsidR="00081415" w:rsidRPr="00081415">
          <w:rPr>
            <w:rStyle w:val="Hipervnculo"/>
            <w:rFonts w:ascii="Times New Roman" w:hAnsi="Times New Roman" w:cs="Times New Roman"/>
            <w:noProof/>
            <w:sz w:val="20"/>
            <w:szCs w:val="20"/>
          </w:rPr>
          <w:t xml:space="preserve"> </w:t>
        </w:r>
        <w:r w:rsidR="00081415" w:rsidRPr="00081415">
          <w:rPr>
            <w:rStyle w:val="Hipervnculo"/>
            <w:rFonts w:ascii="Times New Roman" w:hAnsi="Times New Roman" w:cs="Times New Roman"/>
            <w:bCs/>
            <w:noProof/>
            <w:sz w:val="20"/>
            <w:szCs w:val="20"/>
          </w:rPr>
          <w:t>Indicadores de Solvencia de la Deuda Pública</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_Toc81573107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132</w:t>
        </w:r>
        <w:r w:rsidR="00081415" w:rsidRPr="00081415">
          <w:rPr>
            <w:noProof/>
            <w:webHidden/>
            <w:sz w:val="20"/>
            <w:szCs w:val="20"/>
          </w:rPr>
          <w:fldChar w:fldCharType="end"/>
        </w:r>
      </w:hyperlink>
    </w:p>
    <w:p w14:paraId="79DAC665" w14:textId="6F0A8780" w:rsidR="00081415" w:rsidRPr="00081415" w:rsidRDefault="006D2997">
      <w:pPr>
        <w:pStyle w:val="Tabladeilustraciones"/>
        <w:tabs>
          <w:tab w:val="right" w:leader="dot" w:pos="8828"/>
        </w:tabs>
        <w:rPr>
          <w:rFonts w:eastAsiaTheme="minorEastAsia"/>
          <w:noProof/>
          <w:sz w:val="20"/>
          <w:szCs w:val="20"/>
          <w:lang w:eastAsia="es-GT"/>
        </w:rPr>
      </w:pPr>
      <w:hyperlink w:anchor="_Toc81573108" w:history="1">
        <w:r w:rsidR="00081415" w:rsidRPr="00081415">
          <w:rPr>
            <w:rStyle w:val="Hipervnculo"/>
            <w:rFonts w:ascii="Times New Roman" w:hAnsi="Times New Roman" w:cs="Times New Roman"/>
            <w:noProof/>
            <w:sz w:val="20"/>
            <w:szCs w:val="20"/>
          </w:rPr>
          <w:t>Gráfico 58</w:t>
        </w:r>
        <w:r w:rsidR="00081415" w:rsidRPr="00081415">
          <w:rPr>
            <w:rStyle w:val="Hipervnculo"/>
            <w:rFonts w:ascii="Times New Roman" w:hAnsi="Times New Roman" w:cs="Times New Roman"/>
            <w:bCs/>
            <w:noProof/>
            <w:sz w:val="20"/>
            <w:szCs w:val="20"/>
          </w:rPr>
          <w:t xml:space="preserve">. </w:t>
        </w:r>
        <w:r w:rsidR="00081415" w:rsidRPr="00081415">
          <w:rPr>
            <w:rStyle w:val="Hipervnculo"/>
            <w:rFonts w:ascii="Times New Roman" w:hAnsi="Times New Roman" w:cs="Times New Roman"/>
            <w:noProof/>
            <w:sz w:val="20"/>
            <w:szCs w:val="20"/>
          </w:rPr>
          <w:t>Balance cíclicamente ajustado y observado</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_Toc81573108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133</w:t>
        </w:r>
        <w:r w:rsidR="00081415" w:rsidRPr="00081415">
          <w:rPr>
            <w:noProof/>
            <w:webHidden/>
            <w:sz w:val="20"/>
            <w:szCs w:val="20"/>
          </w:rPr>
          <w:fldChar w:fldCharType="end"/>
        </w:r>
      </w:hyperlink>
    </w:p>
    <w:p w14:paraId="58FA04E7" w14:textId="736C2B15" w:rsidR="00081415" w:rsidRPr="00081415" w:rsidRDefault="006D2997">
      <w:pPr>
        <w:pStyle w:val="Tabladeilustraciones"/>
        <w:tabs>
          <w:tab w:val="right" w:leader="dot" w:pos="8828"/>
        </w:tabs>
        <w:rPr>
          <w:rFonts w:eastAsiaTheme="minorEastAsia"/>
          <w:noProof/>
          <w:sz w:val="20"/>
          <w:szCs w:val="20"/>
          <w:lang w:eastAsia="es-GT"/>
        </w:rPr>
      </w:pPr>
      <w:hyperlink w:anchor="_Toc81573109" w:history="1">
        <w:r w:rsidR="00081415" w:rsidRPr="00081415">
          <w:rPr>
            <w:rStyle w:val="Hipervnculo"/>
            <w:rFonts w:ascii="Times New Roman" w:hAnsi="Times New Roman" w:cs="Times New Roman"/>
            <w:noProof/>
            <w:sz w:val="20"/>
            <w:szCs w:val="20"/>
          </w:rPr>
          <w:t>Gráfico 59. Impulso fiscal</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_Toc81573109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134</w:t>
        </w:r>
        <w:r w:rsidR="00081415" w:rsidRPr="00081415">
          <w:rPr>
            <w:noProof/>
            <w:webHidden/>
            <w:sz w:val="20"/>
            <w:szCs w:val="20"/>
          </w:rPr>
          <w:fldChar w:fldCharType="end"/>
        </w:r>
      </w:hyperlink>
    </w:p>
    <w:p w14:paraId="0A9B07A2" w14:textId="0B6641A8" w:rsidR="00081415" w:rsidRPr="00081415" w:rsidRDefault="006D2997">
      <w:pPr>
        <w:pStyle w:val="Tabladeilustraciones"/>
        <w:tabs>
          <w:tab w:val="right" w:leader="dot" w:pos="8828"/>
        </w:tabs>
        <w:rPr>
          <w:rFonts w:eastAsiaTheme="minorEastAsia"/>
          <w:noProof/>
          <w:sz w:val="20"/>
          <w:szCs w:val="20"/>
          <w:lang w:eastAsia="es-GT"/>
        </w:rPr>
      </w:pPr>
      <w:hyperlink w:anchor="_Toc81573110" w:history="1">
        <w:r w:rsidR="00081415">
          <w:rPr>
            <w:rStyle w:val="Hipervnculo"/>
            <w:rFonts w:ascii="Times New Roman" w:hAnsi="Times New Roman" w:cs="Times New Roman"/>
            <w:noProof/>
            <w:sz w:val="20"/>
            <w:szCs w:val="20"/>
          </w:rPr>
          <w:t xml:space="preserve">Gráfico 60. </w:t>
        </w:r>
        <w:r w:rsidR="00081415" w:rsidRPr="00081415">
          <w:rPr>
            <w:rStyle w:val="Hipervnculo"/>
            <w:rFonts w:ascii="Times New Roman" w:hAnsi="Times New Roman" w:cs="Times New Roman"/>
            <w:noProof/>
            <w:sz w:val="20"/>
            <w:szCs w:val="20"/>
          </w:rPr>
          <w:t>Orientación de la política fiscal</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_Toc81573110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135</w:t>
        </w:r>
        <w:r w:rsidR="00081415" w:rsidRPr="00081415">
          <w:rPr>
            <w:noProof/>
            <w:webHidden/>
            <w:sz w:val="20"/>
            <w:szCs w:val="20"/>
          </w:rPr>
          <w:fldChar w:fldCharType="end"/>
        </w:r>
      </w:hyperlink>
    </w:p>
    <w:p w14:paraId="78809309" w14:textId="5D4863AE" w:rsidR="00081415" w:rsidRPr="00081415" w:rsidRDefault="006D2997">
      <w:pPr>
        <w:pStyle w:val="Tabladeilustraciones"/>
        <w:tabs>
          <w:tab w:val="right" w:leader="dot" w:pos="8828"/>
        </w:tabs>
        <w:rPr>
          <w:rFonts w:eastAsiaTheme="minorEastAsia"/>
          <w:noProof/>
          <w:sz w:val="20"/>
          <w:szCs w:val="20"/>
          <w:lang w:eastAsia="es-GT"/>
        </w:rPr>
      </w:pPr>
      <w:hyperlink w:anchor="_Toc81573111" w:history="1">
        <w:r w:rsidR="00081415">
          <w:rPr>
            <w:rStyle w:val="Hipervnculo"/>
            <w:rFonts w:ascii="Times New Roman" w:hAnsi="Times New Roman" w:cs="Times New Roman"/>
            <w:noProof/>
            <w:sz w:val="20"/>
            <w:szCs w:val="20"/>
          </w:rPr>
          <w:t xml:space="preserve">Gráfico 61. </w:t>
        </w:r>
        <w:r w:rsidR="00081415" w:rsidRPr="00081415">
          <w:rPr>
            <w:rStyle w:val="Hipervnculo"/>
            <w:rFonts w:ascii="Times New Roman" w:hAnsi="Times New Roman" w:cs="Times New Roman"/>
            <w:noProof/>
            <w:sz w:val="20"/>
            <w:szCs w:val="20"/>
          </w:rPr>
          <w:t>Carga tributaria escenario medio</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_Toc81573111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137</w:t>
        </w:r>
        <w:r w:rsidR="00081415" w:rsidRPr="00081415">
          <w:rPr>
            <w:noProof/>
            <w:webHidden/>
            <w:sz w:val="20"/>
            <w:szCs w:val="20"/>
          </w:rPr>
          <w:fldChar w:fldCharType="end"/>
        </w:r>
      </w:hyperlink>
    </w:p>
    <w:p w14:paraId="7795C185" w14:textId="038D0197" w:rsidR="00081415" w:rsidRPr="00081415" w:rsidRDefault="006D2997">
      <w:pPr>
        <w:pStyle w:val="Tabladeilustraciones"/>
        <w:tabs>
          <w:tab w:val="right" w:leader="dot" w:pos="8828"/>
        </w:tabs>
        <w:rPr>
          <w:rFonts w:eastAsiaTheme="minorEastAsia"/>
          <w:noProof/>
          <w:sz w:val="20"/>
          <w:szCs w:val="20"/>
          <w:lang w:eastAsia="es-GT"/>
        </w:rPr>
      </w:pPr>
      <w:hyperlink w:anchor="_Toc81573112" w:history="1">
        <w:r w:rsidR="00081415" w:rsidRPr="00081415">
          <w:rPr>
            <w:rStyle w:val="Hipervnculo"/>
            <w:rFonts w:ascii="Times New Roman" w:hAnsi="Times New Roman" w:cs="Times New Roman"/>
            <w:noProof/>
            <w:sz w:val="20"/>
            <w:szCs w:val="20"/>
          </w:rPr>
          <w:t>Gráfico 62.  Carga tributaria escenario alto</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_Toc81573112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138</w:t>
        </w:r>
        <w:r w:rsidR="00081415" w:rsidRPr="00081415">
          <w:rPr>
            <w:noProof/>
            <w:webHidden/>
            <w:sz w:val="20"/>
            <w:szCs w:val="20"/>
          </w:rPr>
          <w:fldChar w:fldCharType="end"/>
        </w:r>
      </w:hyperlink>
    </w:p>
    <w:p w14:paraId="472DF1E5" w14:textId="1439BD03" w:rsidR="00081415" w:rsidRPr="00081415" w:rsidRDefault="006D2997">
      <w:pPr>
        <w:pStyle w:val="Tabladeilustraciones"/>
        <w:tabs>
          <w:tab w:val="right" w:leader="dot" w:pos="8828"/>
        </w:tabs>
        <w:rPr>
          <w:rFonts w:eastAsiaTheme="minorEastAsia"/>
          <w:noProof/>
          <w:sz w:val="20"/>
          <w:szCs w:val="20"/>
          <w:lang w:eastAsia="es-GT"/>
        </w:rPr>
      </w:pPr>
      <w:hyperlink r:id="rId11" w:anchor="_Toc81573113" w:history="1">
        <w:r w:rsidR="00081415" w:rsidRPr="00081415">
          <w:rPr>
            <w:rStyle w:val="Hipervnculo"/>
            <w:rFonts w:ascii="Times New Roman" w:hAnsi="Times New Roman" w:cs="Times New Roman"/>
            <w:noProof/>
            <w:sz w:val="20"/>
            <w:szCs w:val="20"/>
          </w:rPr>
          <w:t>Gráfico 63.  Fan chart carga tributaria</w:t>
        </w:r>
        <w:r w:rsidR="00081415" w:rsidRPr="00081415">
          <w:rPr>
            <w:noProof/>
            <w:webHidden/>
            <w:sz w:val="20"/>
            <w:szCs w:val="20"/>
          </w:rPr>
          <w:tab/>
        </w:r>
        <w:r w:rsidR="00081415" w:rsidRPr="00081415">
          <w:rPr>
            <w:noProof/>
            <w:webHidden/>
            <w:sz w:val="20"/>
            <w:szCs w:val="20"/>
          </w:rPr>
          <w:fldChar w:fldCharType="begin"/>
        </w:r>
        <w:r w:rsidR="00081415" w:rsidRPr="00081415">
          <w:rPr>
            <w:noProof/>
            <w:webHidden/>
            <w:sz w:val="20"/>
            <w:szCs w:val="20"/>
          </w:rPr>
          <w:instrText xml:space="preserve"> PAGEREF _Toc81573113 \h </w:instrText>
        </w:r>
        <w:r w:rsidR="00081415" w:rsidRPr="00081415">
          <w:rPr>
            <w:noProof/>
            <w:webHidden/>
            <w:sz w:val="20"/>
            <w:szCs w:val="20"/>
          </w:rPr>
        </w:r>
        <w:r w:rsidR="00081415" w:rsidRPr="00081415">
          <w:rPr>
            <w:noProof/>
            <w:webHidden/>
            <w:sz w:val="20"/>
            <w:szCs w:val="20"/>
          </w:rPr>
          <w:fldChar w:fldCharType="separate"/>
        </w:r>
        <w:r w:rsidR="00081415" w:rsidRPr="00081415">
          <w:rPr>
            <w:noProof/>
            <w:webHidden/>
            <w:sz w:val="20"/>
            <w:szCs w:val="20"/>
          </w:rPr>
          <w:t>139</w:t>
        </w:r>
        <w:r w:rsidR="00081415" w:rsidRPr="00081415">
          <w:rPr>
            <w:noProof/>
            <w:webHidden/>
            <w:sz w:val="20"/>
            <w:szCs w:val="20"/>
          </w:rPr>
          <w:fldChar w:fldCharType="end"/>
        </w:r>
      </w:hyperlink>
    </w:p>
    <w:p w14:paraId="015EAD72" w14:textId="18266FD0" w:rsidR="00AE5006" w:rsidRDefault="00134FDC" w:rsidP="00AE5006">
      <w:pPr>
        <w:rPr>
          <w:sz w:val="26"/>
          <w:szCs w:val="26"/>
        </w:rPr>
      </w:pPr>
      <w:r w:rsidRPr="00CC3F80">
        <w:rPr>
          <w:sz w:val="26"/>
          <w:szCs w:val="26"/>
        </w:rPr>
        <w:fldChar w:fldCharType="end"/>
      </w:r>
    </w:p>
    <w:p w14:paraId="2830AA95" w14:textId="77777777" w:rsidR="00AE5006" w:rsidRDefault="00AE5006" w:rsidP="00AE5006">
      <w:pPr>
        <w:rPr>
          <w:sz w:val="26"/>
          <w:szCs w:val="26"/>
        </w:rPr>
      </w:pPr>
    </w:p>
    <w:p w14:paraId="6E0CEA7F" w14:textId="77777777" w:rsidR="00AE5006" w:rsidRDefault="00AE5006" w:rsidP="00AE5006">
      <w:pPr>
        <w:rPr>
          <w:sz w:val="26"/>
          <w:szCs w:val="26"/>
        </w:rPr>
      </w:pPr>
    </w:p>
    <w:p w14:paraId="008D03B6" w14:textId="1454F337" w:rsidR="00AE5006" w:rsidRDefault="00AE5006" w:rsidP="00AE5006">
      <w:pPr>
        <w:rPr>
          <w:sz w:val="26"/>
          <w:szCs w:val="26"/>
        </w:rPr>
      </w:pPr>
    </w:p>
    <w:p w14:paraId="1A03523C" w14:textId="77777777" w:rsidR="00081415" w:rsidRDefault="00081415" w:rsidP="00AE5006">
      <w:pPr>
        <w:rPr>
          <w:sz w:val="26"/>
          <w:szCs w:val="26"/>
        </w:rPr>
      </w:pPr>
    </w:p>
    <w:p w14:paraId="7C54D6A6" w14:textId="2FB9CF43" w:rsidR="00936C90" w:rsidRDefault="00936C90" w:rsidP="00C20679">
      <w:pPr>
        <w:rPr>
          <w:b/>
          <w:bCs/>
          <w:sz w:val="26"/>
          <w:szCs w:val="26"/>
        </w:rPr>
      </w:pPr>
    </w:p>
    <w:p w14:paraId="216AFA5F" w14:textId="1B7DC133" w:rsidR="00854E6F" w:rsidRPr="00854E6F" w:rsidRDefault="00854E6F" w:rsidP="00854E6F">
      <w:pPr>
        <w:pStyle w:val="Ttulo1"/>
        <w:rPr>
          <w:sz w:val="26"/>
          <w:szCs w:val="26"/>
        </w:rPr>
      </w:pPr>
      <w:bookmarkStart w:id="5" w:name="_Toc81571814"/>
      <w:r w:rsidRPr="00854E6F">
        <w:rPr>
          <w:sz w:val="26"/>
          <w:szCs w:val="26"/>
        </w:rPr>
        <w:lastRenderedPageBreak/>
        <w:t>Introducción</w:t>
      </w:r>
      <w:bookmarkEnd w:id="3"/>
      <w:bookmarkEnd w:id="5"/>
      <w:r w:rsidRPr="00854E6F">
        <w:rPr>
          <w:sz w:val="26"/>
          <w:szCs w:val="26"/>
        </w:rPr>
        <w:t xml:space="preserve"> </w:t>
      </w:r>
    </w:p>
    <w:p w14:paraId="288E2453" w14:textId="1B0D48BC" w:rsidR="00397715" w:rsidRDefault="006B2D30" w:rsidP="006B2D30">
      <w:pPr>
        <w:shd w:val="clear" w:color="auto" w:fill="FFFFFF" w:themeFill="background1"/>
        <w:jc w:val="both"/>
        <w:rPr>
          <w:rFonts w:ascii="Times New Roman" w:hAnsi="Times New Roman" w:cs="Times New Roman"/>
          <w:lang w:val="es-MX"/>
        </w:rPr>
      </w:pPr>
      <w:r>
        <w:rPr>
          <w:rFonts w:ascii="Times New Roman" w:hAnsi="Times New Roman" w:cs="Times New Roman"/>
          <w:lang w:val="es-MX"/>
        </w:rPr>
        <w:t xml:space="preserve">El Ministerio de Finanzas Públicas de conformidad a lo que establece el Artículo 3, del Acuerdo Gubernativo 112-2018, es la entidad responsable de cumplir y hacer cumplir todo lo relativo al régimen jurídico hacendario del Estado, incluyendo la formulación de la política fiscal, administración de los ingresos fiscales, gestión de financiamiento interno y externo, ejecución presupuestaria, registro, control y administración de los bienes que constituyen el patrimonio del Estado.   </w:t>
      </w:r>
      <w:r w:rsidR="00F77B82">
        <w:rPr>
          <w:rFonts w:ascii="Times New Roman" w:hAnsi="Times New Roman" w:cs="Times New Roman"/>
          <w:lang w:val="es-MX"/>
        </w:rPr>
        <w:t>L</w:t>
      </w:r>
      <w:r w:rsidR="00397715">
        <w:rPr>
          <w:rFonts w:ascii="Times New Roman" w:hAnsi="Times New Roman" w:cs="Times New Roman"/>
          <w:lang w:val="es-MX"/>
        </w:rPr>
        <w:t xml:space="preserve">a Dirección de Análisis y Política Fiscal de conformidad con lo establecido en el Artículo 54 del Acuerdo Gubernativo, 112-2018, Reglamento Orgánico del Ministerio de Finanzas Públicas, es la dependencia de ese ministerio encargada de la formulación de propuesta y seguimiento de la política fiscal; así como de concentrar y proveer información de índole fiscal, mediante análisis económicos y fiscales. </w:t>
      </w:r>
      <w:r w:rsidR="00397715" w:rsidRPr="00C87B9E">
        <w:rPr>
          <w:rFonts w:ascii="Times New Roman" w:hAnsi="Times New Roman" w:cs="Times New Roman"/>
          <w:lang w:val="es-MX"/>
        </w:rPr>
        <w:t>En virtud de ello, se ha elaborado el Marco Fiscal de Mediano Plazo (MFMP) para el período 2022-2026.</w:t>
      </w:r>
    </w:p>
    <w:p w14:paraId="52F7698A" w14:textId="044871D7" w:rsidR="00397715" w:rsidRDefault="00397715" w:rsidP="000E31EA">
      <w:pPr>
        <w:shd w:val="clear" w:color="auto" w:fill="FFFFFF" w:themeFill="background1"/>
        <w:spacing w:after="0" w:line="240" w:lineRule="auto"/>
        <w:jc w:val="both"/>
        <w:rPr>
          <w:rFonts w:ascii="Times New Roman" w:hAnsi="Times New Roman" w:cs="Times New Roman"/>
          <w:lang w:val="es-MX"/>
        </w:rPr>
      </w:pPr>
      <w:r w:rsidRPr="00C87B9E">
        <w:rPr>
          <w:rFonts w:ascii="Times New Roman" w:hAnsi="Times New Roman" w:cs="Times New Roman"/>
          <w:lang w:val="es-MX"/>
        </w:rPr>
        <w:t>Este documento es elab</w:t>
      </w:r>
      <w:r>
        <w:rPr>
          <w:rFonts w:ascii="Times New Roman" w:hAnsi="Times New Roman" w:cs="Times New Roman"/>
          <w:lang w:val="es-MX"/>
        </w:rPr>
        <w:t>orado</w:t>
      </w:r>
      <w:r w:rsidRPr="00BA6399">
        <w:rPr>
          <w:rFonts w:ascii="Times New Roman" w:hAnsi="Times New Roman" w:cs="Times New Roman"/>
          <w:lang w:val="es-MX"/>
        </w:rPr>
        <w:t xml:space="preserve"> </w:t>
      </w:r>
      <w:r>
        <w:rPr>
          <w:rFonts w:ascii="Times New Roman" w:hAnsi="Times New Roman" w:cs="Times New Roman"/>
          <w:lang w:val="es-MX"/>
        </w:rPr>
        <w:t xml:space="preserve">como </w:t>
      </w:r>
      <w:r w:rsidRPr="00BA6399">
        <w:rPr>
          <w:rFonts w:ascii="Times New Roman" w:hAnsi="Times New Roman" w:cs="Times New Roman"/>
          <w:lang w:val="es-MX"/>
        </w:rPr>
        <w:t>herramienta de apoyo para el análisis de las principales variables asociadas a la política fiscal para un período multianual de cinco años</w:t>
      </w:r>
      <w:r>
        <w:rPr>
          <w:rFonts w:ascii="Times New Roman" w:hAnsi="Times New Roman" w:cs="Times New Roman"/>
          <w:lang w:val="es-MX"/>
        </w:rPr>
        <w:t xml:space="preserve"> (2022-2026)</w:t>
      </w:r>
      <w:r w:rsidRPr="00BA6399">
        <w:rPr>
          <w:rFonts w:ascii="Times New Roman" w:hAnsi="Times New Roman" w:cs="Times New Roman"/>
          <w:lang w:val="es-MX"/>
        </w:rPr>
        <w:t>, con el propósito de fortalecer la transparencia, rendición de cuentas y la credibilidad de las finanzas públicas.</w:t>
      </w:r>
      <w:r>
        <w:rPr>
          <w:rFonts w:ascii="Times New Roman" w:hAnsi="Times New Roman" w:cs="Times New Roman"/>
          <w:lang w:val="es-MX"/>
        </w:rPr>
        <w:t xml:space="preserve"> </w:t>
      </w:r>
      <w:r w:rsidRPr="00BA6399">
        <w:rPr>
          <w:rFonts w:ascii="Times New Roman" w:hAnsi="Times New Roman" w:cs="Times New Roman"/>
          <w:lang w:val="es-MX"/>
        </w:rPr>
        <w:t xml:space="preserve">En este sentido, </w:t>
      </w:r>
      <w:r>
        <w:rPr>
          <w:rFonts w:ascii="Times New Roman" w:hAnsi="Times New Roman" w:cs="Times New Roman"/>
          <w:lang w:val="es-MX"/>
        </w:rPr>
        <w:t xml:space="preserve">es un instrumento de suma utilidad para el análisis ya que provee proyecciones macrofiscales de mediano plazo que puede coadyuvar a la generación de los techos presupuestarios institucionales que elabora y presenta la Dirección Técnica del Presupuesto para la definición del Anteproyecto de Presupuesto General de Ingresos y Egresos del Estado para el Ejercicio Fiscal 2022.  </w:t>
      </w:r>
      <w:r w:rsidR="00A6579B">
        <w:rPr>
          <w:rFonts w:ascii="Times New Roman" w:hAnsi="Times New Roman" w:cs="Times New Roman"/>
          <w:lang w:val="es-MX"/>
        </w:rPr>
        <w:t>Además,</w:t>
      </w:r>
      <w:r>
        <w:rPr>
          <w:rFonts w:ascii="Times New Roman" w:hAnsi="Times New Roman" w:cs="Times New Roman"/>
          <w:lang w:val="es-MX"/>
        </w:rPr>
        <w:t xml:space="preserve"> este documento permite entender la fuente y el tamaño de los desafíos fiscales, generando alertas tempranas sobre la sostenibilidad de la deuda pública, que se </w:t>
      </w:r>
      <w:r w:rsidR="00B748C4">
        <w:rPr>
          <w:rFonts w:ascii="Times New Roman" w:hAnsi="Times New Roman" w:cs="Times New Roman"/>
          <w:lang w:val="es-MX"/>
        </w:rPr>
        <w:t>abordará</w:t>
      </w:r>
      <w:r>
        <w:rPr>
          <w:rFonts w:ascii="Times New Roman" w:hAnsi="Times New Roman" w:cs="Times New Roman"/>
          <w:lang w:val="es-MX"/>
        </w:rPr>
        <w:t xml:space="preserve"> </w:t>
      </w:r>
      <w:r w:rsidR="00B748C4">
        <w:rPr>
          <w:rFonts w:ascii="Times New Roman" w:hAnsi="Times New Roman" w:cs="Times New Roman"/>
          <w:lang w:val="es-MX"/>
        </w:rPr>
        <w:t>con mayor detalle en la</w:t>
      </w:r>
      <w:r>
        <w:rPr>
          <w:rFonts w:ascii="Times New Roman" w:hAnsi="Times New Roman" w:cs="Times New Roman"/>
          <w:lang w:val="es-MX"/>
        </w:rPr>
        <w:t xml:space="preserve"> separata de riesgos fiscales.</w:t>
      </w:r>
    </w:p>
    <w:p w14:paraId="7898AC5F" w14:textId="77777777" w:rsidR="000E31EA" w:rsidRDefault="000E31EA" w:rsidP="000E31EA">
      <w:pPr>
        <w:shd w:val="clear" w:color="auto" w:fill="FFFFFF" w:themeFill="background1"/>
        <w:spacing w:after="0" w:line="240" w:lineRule="auto"/>
        <w:jc w:val="both"/>
        <w:rPr>
          <w:rFonts w:ascii="Times New Roman" w:hAnsi="Times New Roman" w:cs="Times New Roman"/>
          <w:lang w:val="es-MX"/>
        </w:rPr>
      </w:pPr>
    </w:p>
    <w:p w14:paraId="14199F2B" w14:textId="15E590B0" w:rsidR="00C41C5C" w:rsidRDefault="00C41C5C" w:rsidP="000E31EA">
      <w:pPr>
        <w:shd w:val="clear" w:color="auto" w:fill="FFFFFF" w:themeFill="background1"/>
        <w:spacing w:after="0" w:line="240" w:lineRule="auto"/>
        <w:jc w:val="both"/>
        <w:rPr>
          <w:rFonts w:ascii="Times New Roman" w:hAnsi="Times New Roman" w:cs="Times New Roman"/>
          <w:lang w:val="es-MX"/>
        </w:rPr>
      </w:pPr>
      <w:r>
        <w:rPr>
          <w:rFonts w:ascii="Times New Roman" w:hAnsi="Times New Roman" w:cs="Times New Roman"/>
          <w:lang w:val="es-MX"/>
        </w:rPr>
        <w:t xml:space="preserve">La economía nacional e internacional en </w:t>
      </w:r>
      <w:r w:rsidRPr="00C87B9E">
        <w:rPr>
          <w:rFonts w:ascii="Times New Roman" w:hAnsi="Times New Roman" w:cs="Times New Roman"/>
          <w:lang w:val="es-MX"/>
        </w:rPr>
        <w:t>2020,</w:t>
      </w:r>
      <w:r>
        <w:rPr>
          <w:rFonts w:ascii="Times New Roman" w:hAnsi="Times New Roman" w:cs="Times New Roman"/>
          <w:lang w:val="es-MX"/>
        </w:rPr>
        <w:t xml:space="preserve"> dio un giro importante</w:t>
      </w:r>
      <w:r w:rsidRPr="00C87B9E">
        <w:rPr>
          <w:rFonts w:ascii="Times New Roman" w:hAnsi="Times New Roman" w:cs="Times New Roman"/>
          <w:lang w:val="es-MX"/>
        </w:rPr>
        <w:t xml:space="preserve"> derivado del impacto de la pandemia COVID-19 en la actividad económica</w:t>
      </w:r>
      <w:r w:rsidR="003A66EC">
        <w:rPr>
          <w:rFonts w:ascii="Times New Roman" w:hAnsi="Times New Roman" w:cs="Times New Roman"/>
          <w:lang w:val="es-MX"/>
        </w:rPr>
        <w:t xml:space="preserve">. </w:t>
      </w:r>
      <w:r w:rsidRPr="00C87B9E">
        <w:rPr>
          <w:rFonts w:ascii="Times New Roman" w:hAnsi="Times New Roman" w:cs="Times New Roman"/>
          <w:lang w:val="es-MX"/>
        </w:rPr>
        <w:t xml:space="preserve"> </w:t>
      </w:r>
      <w:r w:rsidR="003A66EC">
        <w:rPr>
          <w:rFonts w:ascii="Times New Roman" w:hAnsi="Times New Roman" w:cs="Times New Roman"/>
          <w:lang w:val="es-MX"/>
        </w:rPr>
        <w:t>L</w:t>
      </w:r>
      <w:r w:rsidRPr="00C87B9E">
        <w:rPr>
          <w:rFonts w:ascii="Times New Roman" w:hAnsi="Times New Roman" w:cs="Times New Roman"/>
          <w:lang w:val="es-MX"/>
        </w:rPr>
        <w:t>as condiciones prevalecientes antes de este fenómeno han cambiado sustancialmente, reduciendo las expectativas de crecimiento económico</w:t>
      </w:r>
      <w:r>
        <w:rPr>
          <w:rFonts w:ascii="Times New Roman" w:hAnsi="Times New Roman" w:cs="Times New Roman"/>
          <w:lang w:val="es-MX"/>
        </w:rPr>
        <w:t xml:space="preserve"> llevando a la </w:t>
      </w:r>
      <w:r w:rsidR="00110235">
        <w:rPr>
          <w:rFonts w:ascii="Times New Roman" w:hAnsi="Times New Roman" w:cs="Times New Roman"/>
          <w:lang w:val="es-MX"/>
        </w:rPr>
        <w:t xml:space="preserve">mayoría de </w:t>
      </w:r>
      <w:r w:rsidR="00696E2E">
        <w:rPr>
          <w:rFonts w:ascii="Times New Roman" w:hAnsi="Times New Roman" w:cs="Times New Roman"/>
          <w:lang w:val="es-MX"/>
        </w:rPr>
        <w:t>las naciones</w:t>
      </w:r>
      <w:r w:rsidR="00110235">
        <w:rPr>
          <w:rFonts w:ascii="Times New Roman" w:hAnsi="Times New Roman" w:cs="Times New Roman"/>
          <w:lang w:val="es-MX"/>
        </w:rPr>
        <w:t xml:space="preserve"> a una reces</w:t>
      </w:r>
      <w:r>
        <w:rPr>
          <w:rFonts w:ascii="Times New Roman" w:hAnsi="Times New Roman" w:cs="Times New Roman"/>
          <w:lang w:val="es-MX"/>
        </w:rPr>
        <w:t xml:space="preserve">ión sin precedentes. Además, aumentó </w:t>
      </w:r>
      <w:r w:rsidRPr="00C87B9E">
        <w:rPr>
          <w:rFonts w:ascii="Times New Roman" w:hAnsi="Times New Roman" w:cs="Times New Roman"/>
          <w:lang w:val="es-MX"/>
        </w:rPr>
        <w:t>los niveles de</w:t>
      </w:r>
      <w:r>
        <w:rPr>
          <w:rFonts w:ascii="Times New Roman" w:hAnsi="Times New Roman" w:cs="Times New Roman"/>
          <w:lang w:val="es-MX"/>
        </w:rPr>
        <w:t xml:space="preserve"> desempleo y</w:t>
      </w:r>
      <w:r w:rsidRPr="00C87B9E">
        <w:rPr>
          <w:rFonts w:ascii="Times New Roman" w:hAnsi="Times New Roman" w:cs="Times New Roman"/>
          <w:lang w:val="es-MX"/>
        </w:rPr>
        <w:t xml:space="preserve"> </w:t>
      </w:r>
      <w:r>
        <w:rPr>
          <w:rFonts w:ascii="Times New Roman" w:hAnsi="Times New Roman" w:cs="Times New Roman"/>
          <w:lang w:val="es-MX"/>
        </w:rPr>
        <w:t xml:space="preserve">de </w:t>
      </w:r>
      <w:r w:rsidRPr="00C87B9E">
        <w:rPr>
          <w:rFonts w:ascii="Times New Roman" w:hAnsi="Times New Roman" w:cs="Times New Roman"/>
          <w:lang w:val="es-MX"/>
        </w:rPr>
        <w:t xml:space="preserve">pobreza, </w:t>
      </w:r>
      <w:r>
        <w:rPr>
          <w:rFonts w:ascii="Times New Roman" w:hAnsi="Times New Roman" w:cs="Times New Roman"/>
          <w:lang w:val="es-MX"/>
        </w:rPr>
        <w:t xml:space="preserve">reduciendo aún más el bienestar en la </w:t>
      </w:r>
      <w:r w:rsidRPr="00C87B9E">
        <w:rPr>
          <w:rFonts w:ascii="Times New Roman" w:hAnsi="Times New Roman" w:cs="Times New Roman"/>
          <w:lang w:val="es-MX"/>
        </w:rPr>
        <w:t xml:space="preserve">población </w:t>
      </w:r>
      <w:r>
        <w:rPr>
          <w:rFonts w:ascii="Times New Roman" w:hAnsi="Times New Roman" w:cs="Times New Roman"/>
          <w:lang w:val="es-MX"/>
        </w:rPr>
        <w:t>más vulnerable en todo el mundo y Guatemala no escapó</w:t>
      </w:r>
      <w:r w:rsidRPr="00C87B9E">
        <w:rPr>
          <w:rFonts w:ascii="Times New Roman" w:hAnsi="Times New Roman" w:cs="Times New Roman"/>
          <w:lang w:val="es-MX"/>
        </w:rPr>
        <w:t xml:space="preserve"> a esta crisis. </w:t>
      </w:r>
      <w:r>
        <w:rPr>
          <w:rFonts w:ascii="Times New Roman" w:hAnsi="Times New Roman" w:cs="Times New Roman"/>
          <w:lang w:val="es-MX"/>
        </w:rPr>
        <w:t xml:space="preserve">De esa cuenta, </w:t>
      </w:r>
      <w:r w:rsidRPr="00C87B9E">
        <w:rPr>
          <w:rFonts w:ascii="Times New Roman" w:hAnsi="Times New Roman" w:cs="Times New Roman"/>
          <w:lang w:val="es-MX"/>
        </w:rPr>
        <w:t xml:space="preserve">la mayoría de </w:t>
      </w:r>
      <w:r w:rsidR="00696E2E" w:rsidRPr="00C87B9E">
        <w:rPr>
          <w:rFonts w:ascii="Times New Roman" w:hAnsi="Times New Roman" w:cs="Times New Roman"/>
          <w:lang w:val="es-MX"/>
        </w:rPr>
        <w:t>los gobiernos</w:t>
      </w:r>
      <w:r w:rsidRPr="00C87B9E">
        <w:rPr>
          <w:rFonts w:ascii="Times New Roman" w:hAnsi="Times New Roman" w:cs="Times New Roman"/>
          <w:lang w:val="es-MX"/>
        </w:rPr>
        <w:t xml:space="preserve"> han impulsado políticas agresivas</w:t>
      </w:r>
      <w:r>
        <w:rPr>
          <w:rFonts w:ascii="Times New Roman" w:hAnsi="Times New Roman" w:cs="Times New Roman"/>
          <w:lang w:val="es-MX"/>
        </w:rPr>
        <w:t xml:space="preserve">, principalmente </w:t>
      </w:r>
      <w:r w:rsidRPr="00C87B9E">
        <w:rPr>
          <w:rFonts w:ascii="Times New Roman" w:hAnsi="Times New Roman" w:cs="Times New Roman"/>
          <w:lang w:val="es-MX"/>
        </w:rPr>
        <w:t>en materia fiscal, no solo para atender las necesidades sanitarias, sino que también en la búsqueda de un impulso económico y atender la ur</w:t>
      </w:r>
      <w:r>
        <w:rPr>
          <w:rFonts w:ascii="Times New Roman" w:hAnsi="Times New Roman" w:cs="Times New Roman"/>
          <w:lang w:val="es-MX"/>
        </w:rPr>
        <w:t>gente necesidad de reactivar la</w:t>
      </w:r>
      <w:r w:rsidRPr="00C87B9E">
        <w:rPr>
          <w:rFonts w:ascii="Times New Roman" w:hAnsi="Times New Roman" w:cs="Times New Roman"/>
          <w:lang w:val="es-MX"/>
        </w:rPr>
        <w:t xml:space="preserve"> economía.</w:t>
      </w:r>
    </w:p>
    <w:p w14:paraId="35FBE267" w14:textId="77777777" w:rsidR="000E31EA" w:rsidRDefault="000E31EA" w:rsidP="000E31EA">
      <w:pPr>
        <w:shd w:val="clear" w:color="auto" w:fill="FFFFFF" w:themeFill="background1"/>
        <w:spacing w:after="0" w:line="240" w:lineRule="auto"/>
        <w:jc w:val="both"/>
        <w:rPr>
          <w:rFonts w:ascii="Times New Roman" w:hAnsi="Times New Roman" w:cs="Times New Roman"/>
          <w:lang w:val="es-MX"/>
        </w:rPr>
      </w:pPr>
    </w:p>
    <w:p w14:paraId="1B296296" w14:textId="68A6ED51" w:rsidR="00C41C5C" w:rsidRDefault="00C41C5C" w:rsidP="000E31EA">
      <w:pPr>
        <w:shd w:val="clear" w:color="auto" w:fill="FFFFFF" w:themeFill="background1"/>
        <w:spacing w:after="0" w:line="240" w:lineRule="auto"/>
        <w:jc w:val="both"/>
        <w:rPr>
          <w:rFonts w:ascii="Times New Roman" w:hAnsi="Times New Roman" w:cs="Times New Roman"/>
          <w:lang w:val="es-MX"/>
        </w:rPr>
      </w:pPr>
      <w:r>
        <w:rPr>
          <w:rFonts w:ascii="Times New Roman" w:hAnsi="Times New Roman" w:cs="Times New Roman"/>
          <w:lang w:val="es-MX"/>
        </w:rPr>
        <w:t>Ante estas circunstancias de incertidumbre mundial, el planteamiento de escenarios de mediano plazo se constituye en herramientas de apoyo para la toma de decisiones en materia de política fiscal</w:t>
      </w:r>
      <w:r w:rsidR="000F47EC">
        <w:rPr>
          <w:rFonts w:ascii="Times New Roman" w:hAnsi="Times New Roman" w:cs="Times New Roman"/>
          <w:lang w:val="es-MX"/>
        </w:rPr>
        <w:t xml:space="preserve">. </w:t>
      </w:r>
      <w:r>
        <w:rPr>
          <w:rFonts w:ascii="Times New Roman" w:hAnsi="Times New Roman" w:cs="Times New Roman"/>
          <w:lang w:val="es-MX"/>
        </w:rPr>
        <w:t xml:space="preserve"> </w:t>
      </w:r>
      <w:r w:rsidR="000F47EC">
        <w:rPr>
          <w:rFonts w:ascii="Times New Roman" w:hAnsi="Times New Roman" w:cs="Times New Roman"/>
          <w:lang w:val="es-MX"/>
        </w:rPr>
        <w:t>L</w:t>
      </w:r>
      <w:r>
        <w:rPr>
          <w:rFonts w:ascii="Times New Roman" w:hAnsi="Times New Roman" w:cs="Times New Roman"/>
          <w:lang w:val="es-MX"/>
        </w:rPr>
        <w:t xml:space="preserve">a búsqueda de los equilibrios que apunten a un fortalecimiento del gasto público y la necesidad de contar con las fuentes de financiamiento son los factores prioritarios, dentro de un esquema de sostenibilidad de las finanzas públicas.  </w:t>
      </w:r>
    </w:p>
    <w:p w14:paraId="1DB7CDD1" w14:textId="77777777" w:rsidR="000E31EA" w:rsidRDefault="000E31EA" w:rsidP="000E31EA">
      <w:pPr>
        <w:shd w:val="clear" w:color="auto" w:fill="FFFFFF" w:themeFill="background1"/>
        <w:spacing w:after="0" w:line="240" w:lineRule="auto"/>
        <w:jc w:val="both"/>
        <w:rPr>
          <w:rFonts w:ascii="Times New Roman" w:hAnsi="Times New Roman" w:cs="Times New Roman"/>
          <w:lang w:val="es-MX"/>
        </w:rPr>
      </w:pPr>
    </w:p>
    <w:p w14:paraId="2F5F7CAE" w14:textId="3EC8318B" w:rsidR="000E31EA" w:rsidRDefault="00C41C5C" w:rsidP="000E31EA">
      <w:pPr>
        <w:shd w:val="clear" w:color="auto" w:fill="FFFFFF" w:themeFill="background1"/>
        <w:spacing w:after="0" w:line="240" w:lineRule="auto"/>
        <w:jc w:val="both"/>
        <w:rPr>
          <w:rFonts w:ascii="Times New Roman" w:hAnsi="Times New Roman" w:cs="Times New Roman"/>
          <w:lang w:val="es-MX"/>
        </w:rPr>
      </w:pPr>
      <w:r w:rsidRPr="00BA6399">
        <w:rPr>
          <w:rFonts w:ascii="Times New Roman" w:hAnsi="Times New Roman" w:cs="Times New Roman"/>
          <w:lang w:val="es-MX"/>
        </w:rPr>
        <w:t>El MFMP está estructurado con los siguientes apartados:</w:t>
      </w:r>
      <w:r>
        <w:rPr>
          <w:rFonts w:ascii="Times New Roman" w:hAnsi="Times New Roman" w:cs="Times New Roman"/>
          <w:lang w:val="es-MX"/>
        </w:rPr>
        <w:t xml:space="preserve">  Análisis </w:t>
      </w:r>
      <w:r w:rsidR="005771F8">
        <w:rPr>
          <w:rFonts w:ascii="Times New Roman" w:hAnsi="Times New Roman" w:cs="Times New Roman"/>
          <w:lang w:val="es-MX"/>
        </w:rPr>
        <w:t>d</w:t>
      </w:r>
      <w:r>
        <w:rPr>
          <w:rFonts w:ascii="Times New Roman" w:hAnsi="Times New Roman" w:cs="Times New Roman"/>
          <w:lang w:val="es-MX"/>
        </w:rPr>
        <w:t xml:space="preserve">el </w:t>
      </w:r>
      <w:r w:rsidRPr="007E7E3D">
        <w:rPr>
          <w:rFonts w:ascii="Times New Roman" w:hAnsi="Times New Roman" w:cs="Times New Roman"/>
          <w:lang w:val="es-MX"/>
        </w:rPr>
        <w:t>Entorno</w:t>
      </w:r>
      <w:r>
        <w:rPr>
          <w:rFonts w:ascii="Times New Roman" w:hAnsi="Times New Roman" w:cs="Times New Roman"/>
          <w:lang w:val="es-MX"/>
        </w:rPr>
        <w:t xml:space="preserve"> M</w:t>
      </w:r>
      <w:r w:rsidRPr="007E7E3D">
        <w:rPr>
          <w:rFonts w:ascii="Times New Roman" w:hAnsi="Times New Roman" w:cs="Times New Roman"/>
          <w:lang w:val="es-MX"/>
        </w:rPr>
        <w:t>acroeconómico y</w:t>
      </w:r>
      <w:r>
        <w:rPr>
          <w:rFonts w:ascii="Times New Roman" w:hAnsi="Times New Roman" w:cs="Times New Roman"/>
          <w:lang w:val="es-MX"/>
        </w:rPr>
        <w:t xml:space="preserve"> Perspectivas de Mediano Plazo donde se analiza el contexto económico internacional de los últimos 2 años y el desempeño sobre el cual la economía nacional venía evolucionando y sus perspectivas de mediano plazo. En su segundo apartado el análisis</w:t>
      </w:r>
      <w:r w:rsidR="0050764E">
        <w:rPr>
          <w:rFonts w:ascii="Times New Roman" w:hAnsi="Times New Roman" w:cs="Times New Roman"/>
          <w:lang w:val="es-MX"/>
        </w:rPr>
        <w:t xml:space="preserve"> se</w:t>
      </w:r>
      <w:r>
        <w:rPr>
          <w:rFonts w:ascii="Times New Roman" w:hAnsi="Times New Roman" w:cs="Times New Roman"/>
          <w:lang w:val="es-MX"/>
        </w:rPr>
        <w:t xml:space="preserve"> concentra </w:t>
      </w:r>
      <w:r w:rsidR="0050764E">
        <w:rPr>
          <w:rFonts w:ascii="Times New Roman" w:hAnsi="Times New Roman" w:cs="Times New Roman"/>
          <w:lang w:val="es-MX"/>
        </w:rPr>
        <w:t>en</w:t>
      </w:r>
      <w:r>
        <w:rPr>
          <w:rFonts w:ascii="Times New Roman" w:hAnsi="Times New Roman" w:cs="Times New Roman"/>
          <w:lang w:val="es-MX"/>
        </w:rPr>
        <w:t xml:space="preserve"> el desempeño de la política fiscal antes de la pandemia y cómo éste fue afectado por el impacto de la pandemia en el 2020. Sobre ese escenario modificado se plantean las perspectivas de cierre 2021 y el escenario fiscal 2022-2026, destacándose dentro de ello, los objetivos y lineamentos estratégicos de la política fiscal y por supuesto las proyecciones en el mediano plazo de las principales variables macroeconómicas y variables fiscales. </w:t>
      </w:r>
    </w:p>
    <w:p w14:paraId="7D3EEA10" w14:textId="77777777" w:rsidR="00C41C5C" w:rsidRDefault="00C41C5C" w:rsidP="000E31EA">
      <w:pPr>
        <w:shd w:val="clear" w:color="auto" w:fill="FFFFFF" w:themeFill="background1"/>
        <w:spacing w:after="0" w:line="240" w:lineRule="auto"/>
        <w:jc w:val="both"/>
        <w:rPr>
          <w:rFonts w:ascii="Times New Roman" w:hAnsi="Times New Roman" w:cs="Times New Roman"/>
          <w:lang w:val="es-MX"/>
        </w:rPr>
      </w:pPr>
      <w:r>
        <w:rPr>
          <w:rFonts w:ascii="Times New Roman" w:hAnsi="Times New Roman" w:cs="Times New Roman"/>
          <w:lang w:val="es-MX"/>
        </w:rPr>
        <w:lastRenderedPageBreak/>
        <w:t xml:space="preserve"> </w:t>
      </w:r>
    </w:p>
    <w:p w14:paraId="71A65342" w14:textId="77777777" w:rsidR="00397715" w:rsidRDefault="00397715" w:rsidP="000E31EA">
      <w:pPr>
        <w:shd w:val="clear" w:color="auto" w:fill="FFFFFF" w:themeFill="background1"/>
        <w:spacing w:line="240" w:lineRule="auto"/>
        <w:jc w:val="both"/>
        <w:rPr>
          <w:rFonts w:ascii="Times New Roman" w:hAnsi="Times New Roman" w:cs="Times New Roman"/>
          <w:lang w:val="es-MX"/>
        </w:rPr>
      </w:pPr>
      <w:r>
        <w:rPr>
          <w:rFonts w:ascii="Times New Roman" w:hAnsi="Times New Roman" w:cs="Times New Roman"/>
          <w:lang w:val="es-MX"/>
        </w:rPr>
        <w:t>Finalmente, un tema de especial relevancia asociada al tema de la sostenibilidad fiscal se centra en el análisis del c</w:t>
      </w:r>
      <w:r w:rsidRPr="007E7E3D">
        <w:rPr>
          <w:rFonts w:ascii="Times New Roman" w:hAnsi="Times New Roman" w:cs="Times New Roman"/>
          <w:lang w:val="es-MX"/>
        </w:rPr>
        <w:t xml:space="preserve">omportamiento </w:t>
      </w:r>
      <w:r>
        <w:rPr>
          <w:rFonts w:ascii="Times New Roman" w:hAnsi="Times New Roman" w:cs="Times New Roman"/>
          <w:lang w:val="es-MX"/>
        </w:rPr>
        <w:t>h</w:t>
      </w:r>
      <w:r w:rsidRPr="007E7E3D">
        <w:rPr>
          <w:rFonts w:ascii="Times New Roman" w:hAnsi="Times New Roman" w:cs="Times New Roman"/>
          <w:lang w:val="es-MX"/>
        </w:rPr>
        <w:t xml:space="preserve">istórico del </w:t>
      </w:r>
      <w:r>
        <w:rPr>
          <w:rFonts w:ascii="Times New Roman" w:hAnsi="Times New Roman" w:cs="Times New Roman"/>
          <w:lang w:val="es-MX"/>
        </w:rPr>
        <w:t>e</w:t>
      </w:r>
      <w:r w:rsidRPr="007E7E3D">
        <w:rPr>
          <w:rFonts w:ascii="Times New Roman" w:hAnsi="Times New Roman" w:cs="Times New Roman"/>
          <w:lang w:val="es-MX"/>
        </w:rPr>
        <w:t xml:space="preserve">ndeudamiento </w:t>
      </w:r>
      <w:r>
        <w:rPr>
          <w:rFonts w:ascii="Times New Roman" w:hAnsi="Times New Roman" w:cs="Times New Roman"/>
          <w:lang w:val="es-MX"/>
        </w:rPr>
        <w:t>p</w:t>
      </w:r>
      <w:r w:rsidRPr="007E7E3D">
        <w:rPr>
          <w:rFonts w:ascii="Times New Roman" w:hAnsi="Times New Roman" w:cs="Times New Roman"/>
          <w:lang w:val="es-MX"/>
        </w:rPr>
        <w:t xml:space="preserve">úblico y </w:t>
      </w:r>
      <w:r>
        <w:rPr>
          <w:rFonts w:ascii="Times New Roman" w:hAnsi="Times New Roman" w:cs="Times New Roman"/>
          <w:lang w:val="es-MX"/>
        </w:rPr>
        <w:t>las p</w:t>
      </w:r>
      <w:r w:rsidRPr="007E7E3D">
        <w:rPr>
          <w:rFonts w:ascii="Times New Roman" w:hAnsi="Times New Roman" w:cs="Times New Roman"/>
          <w:lang w:val="es-MX"/>
        </w:rPr>
        <w:t>erspectivas de mediano plazo</w:t>
      </w:r>
      <w:r>
        <w:rPr>
          <w:rFonts w:ascii="Times New Roman" w:hAnsi="Times New Roman" w:cs="Times New Roman"/>
          <w:lang w:val="es-MX"/>
        </w:rPr>
        <w:t>, sobre todo, ante la necesidad de la búsqueda de recursos a través de nuevos préstamos que permitan afrontar los retos de la reactivación económica, manteniendo dentro de ese contexto una prudencia fiscal.</w:t>
      </w:r>
    </w:p>
    <w:p w14:paraId="14D4F71A" w14:textId="77777777" w:rsidR="00854E6F" w:rsidRDefault="00854E6F" w:rsidP="000E31EA">
      <w:pPr>
        <w:rPr>
          <w:rFonts w:ascii="Times New Roman" w:hAnsi="Times New Roman" w:cs="Times New Roman"/>
          <w:b/>
          <w:sz w:val="26"/>
          <w:szCs w:val="26"/>
          <w:lang w:val="es-MX"/>
        </w:rPr>
      </w:pPr>
    </w:p>
    <w:p w14:paraId="4918581E" w14:textId="77777777" w:rsidR="00854E6F" w:rsidRDefault="00854E6F" w:rsidP="000E31EA">
      <w:pPr>
        <w:rPr>
          <w:rFonts w:ascii="Times New Roman" w:hAnsi="Times New Roman" w:cs="Times New Roman"/>
          <w:b/>
          <w:sz w:val="26"/>
          <w:szCs w:val="26"/>
          <w:lang w:val="es-MX"/>
        </w:rPr>
      </w:pPr>
    </w:p>
    <w:p w14:paraId="45F94F2A" w14:textId="77777777" w:rsidR="00854E6F" w:rsidRDefault="00854E6F" w:rsidP="000E31EA">
      <w:pPr>
        <w:rPr>
          <w:rFonts w:ascii="Times New Roman" w:hAnsi="Times New Roman" w:cs="Times New Roman"/>
          <w:b/>
          <w:sz w:val="26"/>
          <w:szCs w:val="26"/>
          <w:lang w:val="es-MX"/>
        </w:rPr>
      </w:pPr>
    </w:p>
    <w:p w14:paraId="085ED70D" w14:textId="77777777" w:rsidR="00854E6F" w:rsidRDefault="00854E6F" w:rsidP="000E31EA">
      <w:pPr>
        <w:rPr>
          <w:rFonts w:ascii="Times New Roman" w:hAnsi="Times New Roman" w:cs="Times New Roman"/>
          <w:b/>
          <w:sz w:val="26"/>
          <w:szCs w:val="26"/>
          <w:lang w:val="es-MX"/>
        </w:rPr>
      </w:pPr>
    </w:p>
    <w:p w14:paraId="396CCA91" w14:textId="77777777" w:rsidR="00854E6F" w:rsidRDefault="00854E6F" w:rsidP="000E31EA">
      <w:pPr>
        <w:rPr>
          <w:rFonts w:ascii="Times New Roman" w:hAnsi="Times New Roman" w:cs="Times New Roman"/>
          <w:b/>
          <w:sz w:val="26"/>
          <w:szCs w:val="26"/>
          <w:lang w:val="es-MX"/>
        </w:rPr>
      </w:pPr>
    </w:p>
    <w:p w14:paraId="1DA3E309" w14:textId="77777777" w:rsidR="00854E6F" w:rsidRDefault="00854E6F" w:rsidP="000E31EA">
      <w:pPr>
        <w:rPr>
          <w:rFonts w:ascii="Times New Roman" w:hAnsi="Times New Roman" w:cs="Times New Roman"/>
          <w:b/>
          <w:sz w:val="26"/>
          <w:szCs w:val="26"/>
          <w:lang w:val="es-MX"/>
        </w:rPr>
      </w:pPr>
    </w:p>
    <w:p w14:paraId="33499940" w14:textId="77777777" w:rsidR="00854E6F" w:rsidRDefault="00854E6F" w:rsidP="000E31EA">
      <w:pPr>
        <w:rPr>
          <w:rFonts w:ascii="Times New Roman" w:hAnsi="Times New Roman" w:cs="Times New Roman"/>
          <w:b/>
          <w:sz w:val="26"/>
          <w:szCs w:val="26"/>
          <w:lang w:val="es-MX"/>
        </w:rPr>
      </w:pPr>
    </w:p>
    <w:p w14:paraId="298902F2" w14:textId="77777777" w:rsidR="00E60256" w:rsidRDefault="00E60256" w:rsidP="000E31EA">
      <w:pPr>
        <w:rPr>
          <w:rFonts w:ascii="Times New Roman" w:hAnsi="Times New Roman" w:cs="Times New Roman"/>
          <w:b/>
          <w:sz w:val="26"/>
          <w:szCs w:val="26"/>
          <w:lang w:val="es-MX"/>
        </w:rPr>
      </w:pPr>
    </w:p>
    <w:p w14:paraId="0842B776" w14:textId="77777777" w:rsidR="00E60256" w:rsidRDefault="00E60256" w:rsidP="000E31EA">
      <w:pPr>
        <w:rPr>
          <w:rFonts w:ascii="Times New Roman" w:hAnsi="Times New Roman" w:cs="Times New Roman"/>
          <w:b/>
          <w:sz w:val="26"/>
          <w:szCs w:val="26"/>
          <w:lang w:val="es-MX"/>
        </w:rPr>
      </w:pPr>
    </w:p>
    <w:p w14:paraId="0284F087" w14:textId="77777777" w:rsidR="00E60256" w:rsidRDefault="00E60256" w:rsidP="000E31EA">
      <w:pPr>
        <w:rPr>
          <w:rFonts w:ascii="Times New Roman" w:hAnsi="Times New Roman" w:cs="Times New Roman"/>
          <w:b/>
          <w:sz w:val="26"/>
          <w:szCs w:val="26"/>
          <w:lang w:val="es-MX"/>
        </w:rPr>
      </w:pPr>
    </w:p>
    <w:p w14:paraId="410C2989" w14:textId="77777777" w:rsidR="00E60256" w:rsidRDefault="00E60256" w:rsidP="000E31EA">
      <w:pPr>
        <w:rPr>
          <w:rFonts w:ascii="Times New Roman" w:hAnsi="Times New Roman" w:cs="Times New Roman"/>
          <w:b/>
          <w:sz w:val="26"/>
          <w:szCs w:val="26"/>
          <w:lang w:val="es-MX"/>
        </w:rPr>
      </w:pPr>
    </w:p>
    <w:p w14:paraId="0AA232FC" w14:textId="77777777" w:rsidR="00E60256" w:rsidRDefault="00E60256" w:rsidP="000E31EA">
      <w:pPr>
        <w:rPr>
          <w:rFonts w:ascii="Times New Roman" w:hAnsi="Times New Roman" w:cs="Times New Roman"/>
          <w:b/>
          <w:sz w:val="26"/>
          <w:szCs w:val="26"/>
          <w:lang w:val="es-MX"/>
        </w:rPr>
      </w:pPr>
    </w:p>
    <w:p w14:paraId="0B8A993C" w14:textId="77777777" w:rsidR="00E60256" w:rsidRDefault="00E60256" w:rsidP="000E31EA">
      <w:pPr>
        <w:rPr>
          <w:rFonts w:ascii="Times New Roman" w:hAnsi="Times New Roman" w:cs="Times New Roman"/>
          <w:b/>
          <w:sz w:val="26"/>
          <w:szCs w:val="26"/>
          <w:lang w:val="es-MX"/>
        </w:rPr>
      </w:pPr>
    </w:p>
    <w:p w14:paraId="5F25424D" w14:textId="527AA781" w:rsidR="00E60256" w:rsidRDefault="00E60256" w:rsidP="000E31EA">
      <w:pPr>
        <w:rPr>
          <w:rFonts w:ascii="Times New Roman" w:hAnsi="Times New Roman" w:cs="Times New Roman"/>
          <w:b/>
          <w:sz w:val="26"/>
          <w:szCs w:val="26"/>
          <w:lang w:val="es-MX"/>
        </w:rPr>
      </w:pPr>
    </w:p>
    <w:p w14:paraId="4678F08E" w14:textId="28B1589F" w:rsidR="004A14DF" w:rsidRDefault="004A14DF" w:rsidP="000E31EA">
      <w:pPr>
        <w:rPr>
          <w:rFonts w:ascii="Times New Roman" w:hAnsi="Times New Roman" w:cs="Times New Roman"/>
          <w:b/>
          <w:sz w:val="26"/>
          <w:szCs w:val="26"/>
          <w:lang w:val="es-MX"/>
        </w:rPr>
      </w:pPr>
    </w:p>
    <w:p w14:paraId="36A187DB" w14:textId="6DE5A9F5" w:rsidR="004A14DF" w:rsidRDefault="004A14DF" w:rsidP="000E31EA">
      <w:pPr>
        <w:rPr>
          <w:rFonts w:ascii="Times New Roman" w:hAnsi="Times New Roman" w:cs="Times New Roman"/>
          <w:b/>
          <w:sz w:val="26"/>
          <w:szCs w:val="26"/>
          <w:lang w:val="es-MX"/>
        </w:rPr>
      </w:pPr>
    </w:p>
    <w:p w14:paraId="1EB60E32" w14:textId="494B671C" w:rsidR="004A14DF" w:rsidRDefault="004A14DF" w:rsidP="000E31EA">
      <w:pPr>
        <w:rPr>
          <w:rFonts w:ascii="Times New Roman" w:hAnsi="Times New Roman" w:cs="Times New Roman"/>
          <w:b/>
          <w:sz w:val="26"/>
          <w:szCs w:val="26"/>
          <w:lang w:val="es-MX"/>
        </w:rPr>
      </w:pPr>
    </w:p>
    <w:p w14:paraId="6CBF79EE" w14:textId="08B59AB9" w:rsidR="004A14DF" w:rsidRDefault="004A14DF" w:rsidP="000E31EA">
      <w:pPr>
        <w:rPr>
          <w:rFonts w:ascii="Times New Roman" w:hAnsi="Times New Roman" w:cs="Times New Roman"/>
          <w:b/>
          <w:sz w:val="26"/>
          <w:szCs w:val="26"/>
          <w:lang w:val="es-MX"/>
        </w:rPr>
      </w:pPr>
    </w:p>
    <w:p w14:paraId="39FD570A" w14:textId="77777777" w:rsidR="004A14DF" w:rsidRDefault="004A14DF" w:rsidP="000E31EA">
      <w:pPr>
        <w:rPr>
          <w:rFonts w:ascii="Times New Roman" w:hAnsi="Times New Roman" w:cs="Times New Roman"/>
          <w:b/>
          <w:sz w:val="26"/>
          <w:szCs w:val="26"/>
          <w:lang w:val="es-MX"/>
        </w:rPr>
      </w:pPr>
    </w:p>
    <w:p w14:paraId="336D63F5" w14:textId="77777777" w:rsidR="00E60256" w:rsidRDefault="00E60256" w:rsidP="000E31EA">
      <w:pPr>
        <w:rPr>
          <w:rFonts w:ascii="Times New Roman" w:hAnsi="Times New Roman" w:cs="Times New Roman"/>
          <w:b/>
          <w:sz w:val="26"/>
          <w:szCs w:val="26"/>
          <w:lang w:val="es-MX"/>
        </w:rPr>
      </w:pPr>
    </w:p>
    <w:p w14:paraId="06A07BA2" w14:textId="77777777" w:rsidR="00E60256" w:rsidRDefault="00E60256" w:rsidP="000E31EA">
      <w:pPr>
        <w:rPr>
          <w:rFonts w:ascii="Times New Roman" w:hAnsi="Times New Roman" w:cs="Times New Roman"/>
          <w:b/>
          <w:sz w:val="26"/>
          <w:szCs w:val="26"/>
          <w:lang w:val="es-MX"/>
        </w:rPr>
      </w:pPr>
    </w:p>
    <w:p w14:paraId="55B3B038" w14:textId="77777777" w:rsidR="00E60256" w:rsidRDefault="00E60256" w:rsidP="000E31EA">
      <w:pPr>
        <w:rPr>
          <w:rFonts w:ascii="Times New Roman" w:hAnsi="Times New Roman" w:cs="Times New Roman"/>
          <w:b/>
          <w:sz w:val="26"/>
          <w:szCs w:val="26"/>
          <w:lang w:val="es-MX"/>
        </w:rPr>
      </w:pPr>
    </w:p>
    <w:p w14:paraId="5EE191C4" w14:textId="653E70E7" w:rsidR="00E60256" w:rsidRDefault="00E60256" w:rsidP="000E31EA">
      <w:pPr>
        <w:rPr>
          <w:rFonts w:ascii="Times New Roman" w:hAnsi="Times New Roman" w:cs="Times New Roman"/>
          <w:b/>
          <w:sz w:val="26"/>
          <w:szCs w:val="26"/>
          <w:lang w:val="es-MX"/>
        </w:rPr>
      </w:pPr>
    </w:p>
    <w:p w14:paraId="776FBE38" w14:textId="77777777" w:rsidR="00322670" w:rsidRPr="003B2D90" w:rsidRDefault="00322670" w:rsidP="001032E7">
      <w:pPr>
        <w:pStyle w:val="Prrafodelista"/>
        <w:numPr>
          <w:ilvl w:val="0"/>
          <w:numId w:val="27"/>
        </w:numPr>
        <w:shd w:val="clear" w:color="auto" w:fill="FFFFFF" w:themeFill="background1"/>
        <w:spacing w:after="0" w:line="276" w:lineRule="auto"/>
        <w:ind w:left="142" w:hanging="142"/>
        <w:jc w:val="both"/>
        <w:outlineLvl w:val="0"/>
        <w:rPr>
          <w:rFonts w:ascii="Times New Roman" w:hAnsi="Times New Roman" w:cs="Times New Roman"/>
          <w:b/>
          <w:sz w:val="26"/>
          <w:szCs w:val="26"/>
          <w:lang w:val="es-MX"/>
        </w:rPr>
      </w:pPr>
      <w:bookmarkStart w:id="6" w:name="_Toc72489335"/>
      <w:bookmarkStart w:id="7" w:name="_Toc81571815"/>
      <w:r w:rsidRPr="003B2D90">
        <w:rPr>
          <w:rFonts w:ascii="Times New Roman" w:hAnsi="Times New Roman" w:cs="Times New Roman"/>
          <w:b/>
          <w:sz w:val="26"/>
          <w:szCs w:val="26"/>
          <w:lang w:val="es-MX"/>
        </w:rPr>
        <w:lastRenderedPageBreak/>
        <w:t>Entorno macroeconómico y perspectivas de mediano plazo</w:t>
      </w:r>
      <w:bookmarkEnd w:id="6"/>
      <w:bookmarkEnd w:id="7"/>
    </w:p>
    <w:p w14:paraId="14E1732A" w14:textId="77777777" w:rsidR="00322670" w:rsidRPr="000E31EA" w:rsidRDefault="00322670" w:rsidP="000E31EA">
      <w:pPr>
        <w:pStyle w:val="Prrafodelista"/>
        <w:shd w:val="clear" w:color="auto" w:fill="FFFFFF" w:themeFill="background1"/>
        <w:spacing w:after="0" w:line="240" w:lineRule="auto"/>
        <w:ind w:left="142"/>
        <w:jc w:val="both"/>
        <w:rPr>
          <w:rFonts w:ascii="Times New Roman" w:hAnsi="Times New Roman" w:cs="Times New Roman"/>
          <w:b/>
          <w:szCs w:val="26"/>
          <w:lang w:val="es-MX"/>
        </w:rPr>
      </w:pPr>
    </w:p>
    <w:p w14:paraId="280BDFCF" w14:textId="77777777" w:rsidR="00322670" w:rsidRPr="00BF12EB" w:rsidRDefault="00322670" w:rsidP="000E31EA">
      <w:pPr>
        <w:spacing w:after="0" w:line="240" w:lineRule="auto"/>
        <w:jc w:val="both"/>
        <w:rPr>
          <w:rFonts w:ascii="Times New Roman" w:hAnsi="Times New Roman" w:cs="Times New Roman"/>
          <w:bCs/>
          <w:lang w:val="es-MX"/>
        </w:rPr>
      </w:pPr>
      <w:r w:rsidRPr="003B2D90">
        <w:rPr>
          <w:rFonts w:ascii="Times New Roman" w:hAnsi="Times New Roman" w:cs="Times New Roman"/>
          <w:bCs/>
          <w:lang w:val="es-MX"/>
        </w:rPr>
        <w:t>La evolución de la economía nacional e internacional continúa siendo totalmente incierta desde la declaración de pandemia, la</w:t>
      </w:r>
      <w:r>
        <w:rPr>
          <w:rFonts w:ascii="Times New Roman" w:hAnsi="Times New Roman" w:cs="Times New Roman"/>
          <w:bCs/>
          <w:lang w:val="es-MX"/>
        </w:rPr>
        <w:t>s</w:t>
      </w:r>
      <w:r w:rsidRPr="003B2D90">
        <w:rPr>
          <w:rFonts w:ascii="Times New Roman" w:hAnsi="Times New Roman" w:cs="Times New Roman"/>
          <w:bCs/>
          <w:lang w:val="es-MX"/>
        </w:rPr>
        <w:t xml:space="preserve"> nuevas variantes del virus y la incesante pérdida de vidas humanas nublan el desempeño de los principales indicadores económicos. </w:t>
      </w:r>
      <w:r w:rsidRPr="00631F97">
        <w:rPr>
          <w:rFonts w:ascii="Times New Roman" w:hAnsi="Times New Roman" w:cs="Times New Roman"/>
          <w:bCs/>
          <w:lang w:val="es-MX"/>
        </w:rPr>
        <w:t>Las perspectivas econ</w:t>
      </w:r>
      <w:r>
        <w:rPr>
          <w:rFonts w:ascii="Times New Roman" w:hAnsi="Times New Roman" w:cs="Times New Roman"/>
          <w:bCs/>
          <w:lang w:val="es-MX"/>
        </w:rPr>
        <w:t xml:space="preserve">ómicas mundiales están rodeadas </w:t>
      </w:r>
      <w:r w:rsidRPr="00631F97">
        <w:rPr>
          <w:rFonts w:ascii="Times New Roman" w:hAnsi="Times New Roman" w:cs="Times New Roman"/>
          <w:bCs/>
          <w:lang w:val="es-MX"/>
        </w:rPr>
        <w:t>de gran incertidumbr</w:t>
      </w:r>
      <w:r>
        <w:rPr>
          <w:rFonts w:ascii="Times New Roman" w:hAnsi="Times New Roman" w:cs="Times New Roman"/>
          <w:bCs/>
          <w:lang w:val="es-MX"/>
        </w:rPr>
        <w:t xml:space="preserve">e, la contracción de la </w:t>
      </w:r>
      <w:r w:rsidRPr="00631F97">
        <w:rPr>
          <w:rFonts w:ascii="Times New Roman" w:hAnsi="Times New Roman" w:cs="Times New Roman"/>
          <w:bCs/>
          <w:lang w:val="es-MX"/>
        </w:rPr>
        <w:t>actividad ocurrida en 2020 no tiene p</w:t>
      </w:r>
      <w:r>
        <w:rPr>
          <w:rFonts w:ascii="Times New Roman" w:hAnsi="Times New Roman" w:cs="Times New Roman"/>
          <w:bCs/>
          <w:lang w:val="es-MX"/>
        </w:rPr>
        <w:t>recedentes históricos, sin embargo, los principales organismos internacionales coinciden en que en 2021</w:t>
      </w:r>
      <w:r w:rsidRPr="00BF12EB">
        <w:rPr>
          <w:rFonts w:ascii="Times New Roman" w:hAnsi="Times New Roman" w:cs="Times New Roman"/>
          <w:bCs/>
          <w:lang w:val="es-MX"/>
        </w:rPr>
        <w:t xml:space="preserve"> existirá una recuperación moderada.</w:t>
      </w:r>
    </w:p>
    <w:p w14:paraId="6A95E1F6" w14:textId="77777777" w:rsidR="00322670" w:rsidRPr="00BF12EB" w:rsidRDefault="00322670" w:rsidP="000E31EA">
      <w:pPr>
        <w:spacing w:after="0" w:line="240" w:lineRule="auto"/>
        <w:jc w:val="both"/>
        <w:rPr>
          <w:rFonts w:ascii="Times New Roman" w:hAnsi="Times New Roman" w:cs="Times New Roman"/>
          <w:bCs/>
          <w:lang w:val="es-MX"/>
        </w:rPr>
      </w:pPr>
    </w:p>
    <w:p w14:paraId="130A8B70" w14:textId="77777777" w:rsidR="00322670" w:rsidRPr="00BF12EB" w:rsidRDefault="00322670" w:rsidP="000E31EA">
      <w:pPr>
        <w:spacing w:after="0" w:line="240" w:lineRule="auto"/>
        <w:jc w:val="both"/>
        <w:rPr>
          <w:rFonts w:ascii="Times New Roman" w:hAnsi="Times New Roman" w:cs="Times New Roman"/>
          <w:bCs/>
          <w:lang w:val="es-MX"/>
        </w:rPr>
      </w:pPr>
      <w:r w:rsidRPr="00BF12EB">
        <w:rPr>
          <w:rFonts w:ascii="Times New Roman" w:hAnsi="Times New Roman" w:cs="Times New Roman"/>
          <w:bCs/>
          <w:lang w:val="es-MX"/>
        </w:rPr>
        <w:t>Se prevé que la actividad económica mundial</w:t>
      </w:r>
      <w:r>
        <w:rPr>
          <w:rFonts w:ascii="Times New Roman" w:hAnsi="Times New Roman" w:cs="Times New Roman"/>
          <w:bCs/>
          <w:lang w:val="es-MX"/>
        </w:rPr>
        <w:t>, de acuerdo al Fondo Monetario Internacional, en la actualización de abril de 2021,</w:t>
      </w:r>
      <w:r w:rsidRPr="00BF12EB">
        <w:rPr>
          <w:rFonts w:ascii="Times New Roman" w:hAnsi="Times New Roman" w:cs="Times New Roman"/>
          <w:bCs/>
          <w:lang w:val="es-MX"/>
        </w:rPr>
        <w:t xml:space="preserve"> aumentará </w:t>
      </w:r>
      <w:r>
        <w:rPr>
          <w:rFonts w:ascii="Times New Roman" w:hAnsi="Times New Roman" w:cs="Times New Roman"/>
          <w:bCs/>
          <w:lang w:val="es-MX"/>
        </w:rPr>
        <w:t>a 6</w:t>
      </w:r>
      <w:r w:rsidRPr="00BF12EB">
        <w:rPr>
          <w:rFonts w:ascii="Times New Roman" w:hAnsi="Times New Roman" w:cs="Times New Roman"/>
          <w:bCs/>
          <w:lang w:val="es-MX"/>
        </w:rPr>
        <w:t>% en 2021</w:t>
      </w:r>
      <w:r>
        <w:rPr>
          <w:rFonts w:ascii="Times New Roman" w:hAnsi="Times New Roman" w:cs="Times New Roman"/>
          <w:bCs/>
          <w:lang w:val="es-MX"/>
        </w:rPr>
        <w:t xml:space="preserve"> y el Banco Mundial estima que estará alrededor de 4.4%;</w:t>
      </w:r>
      <w:r w:rsidRPr="00BF12EB">
        <w:rPr>
          <w:rFonts w:ascii="Times New Roman" w:hAnsi="Times New Roman" w:cs="Times New Roman"/>
          <w:bCs/>
          <w:lang w:val="es-MX"/>
        </w:rPr>
        <w:t xml:space="preserve"> no obstante, </w:t>
      </w:r>
      <w:r>
        <w:rPr>
          <w:rFonts w:ascii="Times New Roman" w:hAnsi="Times New Roman" w:cs="Times New Roman"/>
          <w:bCs/>
          <w:lang w:val="es-MX"/>
        </w:rPr>
        <w:t xml:space="preserve">dichos organismos </w:t>
      </w:r>
      <w:r w:rsidRPr="00BF12EB">
        <w:rPr>
          <w:rFonts w:ascii="Times New Roman" w:hAnsi="Times New Roman" w:cs="Times New Roman"/>
          <w:bCs/>
          <w:lang w:val="es-MX"/>
        </w:rPr>
        <w:t>coinciden en que se mantendrá muy por debajo de las proyecciones previas a la pandemia. Las principales prioridades inmediatas incluyen contener la propagación del virus, proporcionar alivio a las poblaciones vulnerables y superar los desafíos relacionados con el proceso de vacunación. Dado que, en muchos países, la debilidad de la posición fiscal restringe severamente las medidas de apoyo que pueden adoptar los gobiernos, es necesario poner énfasis en reformas ambiciosas para reactivar un crecimiento sólido.</w:t>
      </w:r>
    </w:p>
    <w:p w14:paraId="1693FED6" w14:textId="77777777" w:rsidR="00322670" w:rsidRPr="007A783E" w:rsidRDefault="00322670" w:rsidP="000E31EA">
      <w:pPr>
        <w:spacing w:after="0" w:line="240" w:lineRule="auto"/>
        <w:jc w:val="both"/>
        <w:rPr>
          <w:rFonts w:ascii="Times New Roman" w:hAnsi="Times New Roman" w:cs="Times New Roman"/>
          <w:color w:val="FF0000"/>
        </w:rPr>
      </w:pPr>
    </w:p>
    <w:p w14:paraId="46A42598" w14:textId="77777777" w:rsidR="00322670" w:rsidRPr="00DC60A1" w:rsidRDefault="00322670" w:rsidP="000E31EA">
      <w:pPr>
        <w:spacing w:after="0" w:line="240" w:lineRule="auto"/>
        <w:jc w:val="both"/>
        <w:rPr>
          <w:rFonts w:ascii="Times New Roman" w:hAnsi="Times New Roman" w:cs="Times New Roman"/>
        </w:rPr>
      </w:pPr>
      <w:r w:rsidRPr="00E6018D">
        <w:rPr>
          <w:rFonts w:ascii="Times New Roman" w:hAnsi="Times New Roman" w:cs="Times New Roman"/>
        </w:rPr>
        <w:t xml:space="preserve">Asimismo, la Comisión Económica para América Latina </w:t>
      </w:r>
      <w:r w:rsidR="00C41C5C">
        <w:rPr>
          <w:rFonts w:ascii="Times New Roman" w:hAnsi="Times New Roman" w:cs="Times New Roman"/>
        </w:rPr>
        <w:t>-</w:t>
      </w:r>
      <w:r w:rsidRPr="00E6018D">
        <w:rPr>
          <w:rFonts w:ascii="Times New Roman" w:hAnsi="Times New Roman" w:cs="Times New Roman"/>
        </w:rPr>
        <w:t>CEPAL- indicó que la economía en su conjunto, partía de una situación más delicada que el resto de las economías</w:t>
      </w:r>
      <w:r>
        <w:rPr>
          <w:rFonts w:ascii="Times New Roman" w:hAnsi="Times New Roman" w:cs="Times New Roman"/>
        </w:rPr>
        <w:t xml:space="preserve"> emergentes y avanzadas. Las </w:t>
      </w:r>
      <w:r w:rsidRPr="00E6018D">
        <w:rPr>
          <w:rFonts w:ascii="Times New Roman" w:hAnsi="Times New Roman" w:cs="Times New Roman"/>
        </w:rPr>
        <w:t xml:space="preserve">principales economías de la región </w:t>
      </w:r>
      <w:r w:rsidR="00E33783">
        <w:rPr>
          <w:rFonts w:ascii="Times New Roman" w:hAnsi="Times New Roman" w:cs="Times New Roman"/>
        </w:rPr>
        <w:t>mostraron</w:t>
      </w:r>
      <w:r>
        <w:rPr>
          <w:rFonts w:ascii="Times New Roman" w:hAnsi="Times New Roman" w:cs="Times New Roman"/>
        </w:rPr>
        <w:t xml:space="preserve"> durante el 2019 un crecimiento débil</w:t>
      </w:r>
      <w:r w:rsidRPr="00E6018D">
        <w:rPr>
          <w:rFonts w:ascii="Times New Roman" w:hAnsi="Times New Roman" w:cs="Times New Roman"/>
        </w:rPr>
        <w:t>, princ</w:t>
      </w:r>
      <w:r>
        <w:rPr>
          <w:rFonts w:ascii="Times New Roman" w:hAnsi="Times New Roman" w:cs="Times New Roman"/>
        </w:rPr>
        <w:t xml:space="preserve">ipalmente como consecuencia del </w:t>
      </w:r>
      <w:r w:rsidRPr="00E6018D">
        <w:rPr>
          <w:rFonts w:ascii="Times New Roman" w:hAnsi="Times New Roman" w:cs="Times New Roman"/>
        </w:rPr>
        <w:t>reducido dinamismo de la demanda interna</w:t>
      </w:r>
      <w:r>
        <w:rPr>
          <w:rFonts w:ascii="Times New Roman" w:hAnsi="Times New Roman" w:cs="Times New Roman"/>
        </w:rPr>
        <w:t xml:space="preserve"> y como resultado de las </w:t>
      </w:r>
      <w:r w:rsidRPr="00E6018D">
        <w:rPr>
          <w:rFonts w:ascii="Times New Roman" w:hAnsi="Times New Roman" w:cs="Times New Roman"/>
        </w:rPr>
        <w:t>contracciones registradas en México, Argentin</w:t>
      </w:r>
      <w:r>
        <w:rPr>
          <w:rFonts w:ascii="Times New Roman" w:hAnsi="Times New Roman" w:cs="Times New Roman"/>
        </w:rPr>
        <w:t xml:space="preserve">a y, sobre todo, Chile, tras la </w:t>
      </w:r>
      <w:r w:rsidRPr="00E6018D">
        <w:rPr>
          <w:rFonts w:ascii="Times New Roman" w:hAnsi="Times New Roman" w:cs="Times New Roman"/>
        </w:rPr>
        <w:t>ralentización e incluso paralización de la act</w:t>
      </w:r>
      <w:r>
        <w:rPr>
          <w:rFonts w:ascii="Times New Roman" w:hAnsi="Times New Roman" w:cs="Times New Roman"/>
        </w:rPr>
        <w:t xml:space="preserve">ividad en algunos sectores como </w:t>
      </w:r>
      <w:r w:rsidRPr="00E6018D">
        <w:rPr>
          <w:rFonts w:ascii="Times New Roman" w:hAnsi="Times New Roman" w:cs="Times New Roman"/>
        </w:rPr>
        <w:t>resultado de las tensiones sociales</w:t>
      </w:r>
      <w:r>
        <w:rPr>
          <w:rFonts w:ascii="Times New Roman" w:hAnsi="Times New Roman" w:cs="Times New Roman"/>
        </w:rPr>
        <w:t xml:space="preserve">. En 2020 la evolución económica se vio aún más </w:t>
      </w:r>
      <w:r w:rsidRPr="00E6018D">
        <w:rPr>
          <w:rFonts w:ascii="Times New Roman" w:hAnsi="Times New Roman" w:cs="Times New Roman"/>
        </w:rPr>
        <w:t xml:space="preserve">condicionada </w:t>
      </w:r>
      <w:r>
        <w:rPr>
          <w:rFonts w:ascii="Times New Roman" w:hAnsi="Times New Roman" w:cs="Times New Roman"/>
        </w:rPr>
        <w:t>por la propagación mundial de la pandemia de Covid-19, a</w:t>
      </w:r>
      <w:r w:rsidRPr="00E6018D">
        <w:rPr>
          <w:rFonts w:ascii="Times New Roman" w:hAnsi="Times New Roman" w:cs="Times New Roman"/>
        </w:rPr>
        <w:t>unque lleg</w:t>
      </w:r>
      <w:r>
        <w:rPr>
          <w:rFonts w:ascii="Times New Roman" w:hAnsi="Times New Roman" w:cs="Times New Roman"/>
        </w:rPr>
        <w:t xml:space="preserve">ó con un cierto retraso respecto </w:t>
      </w:r>
      <w:r w:rsidRPr="00E6018D">
        <w:rPr>
          <w:rFonts w:ascii="Times New Roman" w:hAnsi="Times New Roman" w:cs="Times New Roman"/>
        </w:rPr>
        <w:t xml:space="preserve">a Europa y Estados Unidos, </w:t>
      </w:r>
      <w:r>
        <w:rPr>
          <w:rFonts w:ascii="Times New Roman" w:hAnsi="Times New Roman" w:cs="Times New Roman"/>
        </w:rPr>
        <w:t xml:space="preserve">presentó </w:t>
      </w:r>
      <w:r w:rsidRPr="00E6018D">
        <w:rPr>
          <w:rFonts w:ascii="Times New Roman" w:hAnsi="Times New Roman" w:cs="Times New Roman"/>
        </w:rPr>
        <w:t>una trayectoria de difusión similar</w:t>
      </w:r>
      <w:r>
        <w:rPr>
          <w:rFonts w:ascii="Times New Roman" w:hAnsi="Times New Roman" w:cs="Times New Roman"/>
        </w:rPr>
        <w:t xml:space="preserve"> mostrando una contracción del PIB de 8%. Para 2021 se espera una recuperación del 4.7%, cifra acorde a lo proyectado por el Fondo Monetario Internacional y el Banco Mundial.</w:t>
      </w:r>
    </w:p>
    <w:p w14:paraId="2243077F" w14:textId="77777777" w:rsidR="00322670" w:rsidRPr="00A2209F" w:rsidRDefault="00322670" w:rsidP="000E31EA">
      <w:pPr>
        <w:spacing w:after="0" w:line="240" w:lineRule="auto"/>
        <w:rPr>
          <w:rFonts w:ascii="Times New Roman" w:hAnsi="Times New Roman" w:cs="Times New Roman"/>
          <w:b/>
          <w:color w:val="FF0000"/>
          <w:sz w:val="26"/>
          <w:szCs w:val="26"/>
        </w:rPr>
      </w:pPr>
    </w:p>
    <w:p w14:paraId="00834D5C" w14:textId="77777777" w:rsidR="00322670" w:rsidRPr="00B61D64" w:rsidRDefault="00322670" w:rsidP="001032E7">
      <w:pPr>
        <w:pStyle w:val="Ttulo2"/>
        <w:numPr>
          <w:ilvl w:val="0"/>
          <w:numId w:val="28"/>
        </w:numPr>
        <w:tabs>
          <w:tab w:val="left" w:pos="851"/>
        </w:tabs>
        <w:spacing w:before="0" w:line="276" w:lineRule="auto"/>
        <w:ind w:left="284" w:hanging="283"/>
        <w:rPr>
          <w:rFonts w:ascii="Times New Roman" w:hAnsi="Times New Roman" w:cs="Times New Roman"/>
          <w:color w:val="auto"/>
          <w:sz w:val="24"/>
          <w:szCs w:val="24"/>
          <w:lang w:val="es-MX"/>
        </w:rPr>
      </w:pPr>
      <w:bookmarkStart w:id="8" w:name="_Toc16154967"/>
      <w:bookmarkStart w:id="9" w:name="_Toc72489336"/>
      <w:bookmarkStart w:id="10" w:name="_Toc81571816"/>
      <w:r w:rsidRPr="00B61D64">
        <w:rPr>
          <w:rFonts w:ascii="Times New Roman" w:hAnsi="Times New Roman" w:cs="Times New Roman"/>
          <w:color w:val="auto"/>
          <w:sz w:val="24"/>
          <w:szCs w:val="24"/>
          <w:lang w:val="es-MX"/>
        </w:rPr>
        <w:t>Contexto macroeconómico internacional</w:t>
      </w:r>
      <w:bookmarkEnd w:id="8"/>
      <w:r w:rsidRPr="00B61D64">
        <w:rPr>
          <w:rFonts w:ascii="Times New Roman" w:hAnsi="Times New Roman" w:cs="Times New Roman"/>
          <w:color w:val="auto"/>
          <w:sz w:val="24"/>
          <w:szCs w:val="24"/>
          <w:lang w:val="es-MX"/>
        </w:rPr>
        <w:t xml:space="preserve"> 2019-2020</w:t>
      </w:r>
      <w:bookmarkEnd w:id="9"/>
      <w:bookmarkEnd w:id="10"/>
    </w:p>
    <w:p w14:paraId="483B7B11" w14:textId="77777777" w:rsidR="00322670" w:rsidRPr="00B61D64" w:rsidRDefault="00AE5006" w:rsidP="001032E7">
      <w:pPr>
        <w:pStyle w:val="Ttulo3"/>
        <w:numPr>
          <w:ilvl w:val="1"/>
          <w:numId w:val="29"/>
        </w:numPr>
        <w:spacing w:before="0" w:line="276" w:lineRule="auto"/>
        <w:ind w:left="567" w:hanging="360"/>
        <w:rPr>
          <w:rFonts w:ascii="Times New Roman" w:hAnsi="Times New Roman" w:cs="Times New Roman"/>
          <w:b/>
          <w:color w:val="auto"/>
          <w:lang w:val="es-MX"/>
        </w:rPr>
      </w:pPr>
      <w:bookmarkStart w:id="11" w:name="_Toc72489337"/>
      <w:r>
        <w:rPr>
          <w:rFonts w:ascii="Times New Roman" w:hAnsi="Times New Roman" w:cs="Times New Roman"/>
          <w:b/>
          <w:color w:val="auto"/>
          <w:lang w:val="es-MX"/>
        </w:rPr>
        <w:t xml:space="preserve"> </w:t>
      </w:r>
      <w:bookmarkStart w:id="12" w:name="_Toc81571817"/>
      <w:r w:rsidR="00322670" w:rsidRPr="00B61D64">
        <w:rPr>
          <w:rFonts w:ascii="Times New Roman" w:hAnsi="Times New Roman" w:cs="Times New Roman"/>
          <w:b/>
          <w:color w:val="auto"/>
          <w:lang w:val="es-MX"/>
        </w:rPr>
        <w:t>La economía mundial</w:t>
      </w:r>
      <w:bookmarkEnd w:id="11"/>
      <w:bookmarkEnd w:id="12"/>
    </w:p>
    <w:p w14:paraId="2CED214E" w14:textId="77777777" w:rsidR="00322670" w:rsidRPr="0062341C" w:rsidRDefault="00322670" w:rsidP="00322670">
      <w:pPr>
        <w:pStyle w:val="Prrafodelista"/>
        <w:spacing w:after="0" w:line="240" w:lineRule="auto"/>
        <w:ind w:left="360"/>
        <w:jc w:val="both"/>
        <w:rPr>
          <w:rFonts w:ascii="Times New Roman" w:hAnsi="Times New Roman" w:cs="Times New Roman"/>
          <w:color w:val="FF0000"/>
          <w:lang w:val="es-MX"/>
        </w:rPr>
      </w:pPr>
    </w:p>
    <w:p w14:paraId="20238262" w14:textId="77777777" w:rsidR="00322670" w:rsidRPr="00C5251C" w:rsidRDefault="00322670" w:rsidP="00322670">
      <w:pPr>
        <w:pStyle w:val="Prrafodelista"/>
        <w:spacing w:after="0" w:line="240" w:lineRule="auto"/>
        <w:ind w:left="0"/>
        <w:jc w:val="both"/>
        <w:rPr>
          <w:rFonts w:ascii="Times New Roman" w:hAnsi="Times New Roman" w:cs="Times New Roman"/>
          <w:lang w:val="es-MX"/>
        </w:rPr>
      </w:pPr>
      <w:r w:rsidRPr="00F2199C">
        <w:rPr>
          <w:rFonts w:ascii="Times New Roman" w:hAnsi="Times New Roman" w:cs="Times New Roman"/>
          <w:lang w:val="es-MX"/>
        </w:rPr>
        <w:t>El crecimiento económico mundial observado en el 2019 fue de 2.8%, debido al impacto de prolongados conflictos comerciales, inestabilidad fina</w:t>
      </w:r>
      <w:r>
        <w:rPr>
          <w:rFonts w:ascii="Times New Roman" w:hAnsi="Times New Roman" w:cs="Times New Roman"/>
          <w:lang w:val="es-MX"/>
        </w:rPr>
        <w:t>nciera e intensificación de tens</w:t>
      </w:r>
      <w:r w:rsidRPr="00F2199C">
        <w:rPr>
          <w:rFonts w:ascii="Times New Roman" w:hAnsi="Times New Roman" w:cs="Times New Roman"/>
          <w:lang w:val="es-MX"/>
        </w:rPr>
        <w:t xml:space="preserve">iones geopolíticas; posteriormente a inicios del 2020 se esperaba un crecimiento económico de </w:t>
      </w:r>
      <w:r>
        <w:rPr>
          <w:rFonts w:ascii="Times New Roman" w:hAnsi="Times New Roman" w:cs="Times New Roman"/>
          <w:lang w:val="es-MX"/>
        </w:rPr>
        <w:t>3.2%,</w:t>
      </w:r>
      <w:r w:rsidRPr="00F2199C">
        <w:rPr>
          <w:rFonts w:ascii="Times New Roman" w:hAnsi="Times New Roman" w:cs="Times New Roman"/>
          <w:lang w:val="es-MX"/>
        </w:rPr>
        <w:t xml:space="preserve">     cifra que fue nublada por el impacto súbito y generalizado de la pandemia del coronavirus y las medidas de suspensión de las actividades que se adoptaron para contenerla,</w:t>
      </w:r>
      <w:r>
        <w:rPr>
          <w:rFonts w:ascii="Times New Roman" w:hAnsi="Times New Roman" w:cs="Times New Roman"/>
          <w:lang w:val="es-MX"/>
        </w:rPr>
        <w:t xml:space="preserve"> lo que</w:t>
      </w:r>
      <w:r w:rsidRPr="00F2199C">
        <w:rPr>
          <w:rFonts w:ascii="Times New Roman" w:hAnsi="Times New Roman" w:cs="Times New Roman"/>
          <w:lang w:val="es-MX"/>
        </w:rPr>
        <w:t xml:space="preserve"> ocasionó una </w:t>
      </w:r>
      <w:r>
        <w:rPr>
          <w:rFonts w:ascii="Times New Roman" w:hAnsi="Times New Roman" w:cs="Times New Roman"/>
          <w:lang w:val="es-MX"/>
        </w:rPr>
        <w:t>contracción</w:t>
      </w:r>
      <w:r w:rsidRPr="00F2199C">
        <w:rPr>
          <w:rFonts w:ascii="Times New Roman" w:hAnsi="Times New Roman" w:cs="Times New Roman"/>
          <w:lang w:val="es-MX"/>
        </w:rPr>
        <w:t xml:space="preserve"> de 3.8%</w:t>
      </w:r>
      <w:r>
        <w:rPr>
          <w:rFonts w:ascii="Times New Roman" w:hAnsi="Times New Roman" w:cs="Times New Roman"/>
          <w:lang w:val="es-MX"/>
        </w:rPr>
        <w:t xml:space="preserve"> al final del año</w:t>
      </w:r>
      <w:r w:rsidRPr="00F2199C">
        <w:rPr>
          <w:rFonts w:ascii="Times New Roman" w:hAnsi="Times New Roman" w:cs="Times New Roman"/>
          <w:lang w:val="es-MX"/>
        </w:rPr>
        <w:t xml:space="preserve">. </w:t>
      </w:r>
      <w:r>
        <w:rPr>
          <w:rFonts w:ascii="Times New Roman" w:hAnsi="Times New Roman" w:cs="Times New Roman"/>
          <w:lang w:val="es-MX"/>
        </w:rPr>
        <w:t>En 2020, en cada país</w:t>
      </w:r>
      <w:r w:rsidRPr="00F2199C">
        <w:rPr>
          <w:rFonts w:ascii="Times New Roman" w:hAnsi="Times New Roman" w:cs="Times New Roman"/>
          <w:lang w:val="es-MX"/>
        </w:rPr>
        <w:t xml:space="preserve"> la recuperación fue determinada por la trayectoria de la pandemia, las restricciones de movilidad impuestas para contener su avance y las medidas de política; las pérdidas de producto han sido particularmente pronunciadas en los países que dependen del turismo y de las exportaciones de materias primas, y en los que tenían un margen de maniobra limitado para emplazar políticas</w:t>
      </w:r>
      <w:r w:rsidRPr="00C5251C">
        <w:rPr>
          <w:rFonts w:ascii="Times New Roman" w:hAnsi="Times New Roman" w:cs="Times New Roman"/>
          <w:lang w:val="es-MX"/>
        </w:rPr>
        <w:t xml:space="preserve"> de respuesta.</w:t>
      </w:r>
      <w:r>
        <w:rPr>
          <w:rFonts w:ascii="Times New Roman" w:hAnsi="Times New Roman" w:cs="Times New Roman"/>
          <w:lang w:val="es-MX"/>
        </w:rPr>
        <w:t xml:space="preserve"> Asi</w:t>
      </w:r>
      <w:r w:rsidRPr="00C5251C">
        <w:rPr>
          <w:rFonts w:ascii="Times New Roman" w:hAnsi="Times New Roman" w:cs="Times New Roman"/>
          <w:lang w:val="es-MX"/>
        </w:rPr>
        <w:t xml:space="preserve">mismo, el aumento en la demanda de productos necesarios para trabajar desde casa y la reactivación de una demanda reprimida de bienes no perecederos a nivel más general han sido factores críticos detrás de la recuperación mundial desde el segundo semestre de 2020. </w:t>
      </w:r>
    </w:p>
    <w:p w14:paraId="0D4DA34D" w14:textId="77777777" w:rsidR="00322670" w:rsidRDefault="00322670" w:rsidP="00322670">
      <w:pPr>
        <w:pStyle w:val="Prrafodelista"/>
        <w:spacing w:after="0" w:line="240" w:lineRule="auto"/>
        <w:ind w:left="0"/>
        <w:jc w:val="both"/>
        <w:rPr>
          <w:rFonts w:ascii="Times New Roman" w:hAnsi="Times New Roman" w:cs="Times New Roman"/>
          <w:color w:val="FF0000"/>
          <w:lang w:val="es-MX"/>
        </w:rPr>
      </w:pPr>
    </w:p>
    <w:p w14:paraId="767E6F33" w14:textId="77777777" w:rsidR="00322670" w:rsidRDefault="00322670" w:rsidP="00322670">
      <w:pPr>
        <w:pStyle w:val="Prrafodelista"/>
        <w:spacing w:after="0" w:line="240" w:lineRule="auto"/>
        <w:ind w:left="0"/>
        <w:jc w:val="both"/>
        <w:rPr>
          <w:rFonts w:ascii="Times New Roman" w:hAnsi="Times New Roman" w:cs="Times New Roman"/>
          <w:color w:val="FF0000"/>
          <w:lang w:val="es-MX"/>
        </w:rPr>
      </w:pPr>
    </w:p>
    <w:p w14:paraId="6B7CFA80" w14:textId="77777777" w:rsidR="00322670" w:rsidRDefault="00322670" w:rsidP="00322670">
      <w:pPr>
        <w:pStyle w:val="Prrafodelista"/>
        <w:spacing w:after="0" w:line="240" w:lineRule="auto"/>
        <w:ind w:left="0"/>
        <w:jc w:val="both"/>
        <w:rPr>
          <w:rFonts w:ascii="Times New Roman" w:hAnsi="Times New Roman" w:cs="Times New Roman"/>
          <w:color w:val="FF0000"/>
          <w:lang w:val="es-MX"/>
        </w:rPr>
      </w:pPr>
    </w:p>
    <w:p w14:paraId="34A2EDD2" w14:textId="77777777" w:rsidR="00322670" w:rsidRPr="00315D74" w:rsidRDefault="00322670" w:rsidP="00322670">
      <w:pPr>
        <w:spacing w:after="0" w:line="240" w:lineRule="auto"/>
        <w:jc w:val="both"/>
        <w:rPr>
          <w:rFonts w:ascii="Times New Roman" w:hAnsi="Times New Roman" w:cs="Times New Roman"/>
          <w:lang w:val="es-MX"/>
        </w:rPr>
      </w:pPr>
      <w:r w:rsidRPr="00315D74">
        <w:rPr>
          <w:rFonts w:ascii="Times New Roman" w:hAnsi="Times New Roman" w:cs="Times New Roman"/>
          <w:lang w:val="es-MX"/>
        </w:rPr>
        <w:lastRenderedPageBreak/>
        <w:t xml:space="preserve">En las economías avanzadas, probablemente se hagan necesarias restricciones regionales ocasionales para contener la progresión de nuevas cepas del virus. A medida que la población vulnerable se vacune, las actividades con contacto físico intensivo se reanudarían y producirían un repunte significativo del crecimiento, gracias a la demanda reprimida financiada por el ahorro acumulado en 2020. Según las proyecciones, Estados Unidos retomará el nivel de actividad de finales de 2019 en el primer semestre de 2021, y Japón, en el segundo. En la zona del euro y el Reino Unido, la actividad se mantendría por debajo de los niveles de fines de 2019 hasta entrado 2022. La divergencia puede atribuirse a diferencias en cuanto a la </w:t>
      </w:r>
      <w:r w:rsidRPr="00E26116">
        <w:rPr>
          <w:rFonts w:ascii="Times New Roman" w:hAnsi="Times New Roman" w:cs="Times New Roman"/>
          <w:lang w:val="es-MX"/>
        </w:rPr>
        <w:t>respuesta comportamental</w:t>
      </w:r>
      <w:r w:rsidRPr="00315D74">
        <w:rPr>
          <w:rFonts w:ascii="Times New Roman" w:hAnsi="Times New Roman" w:cs="Times New Roman"/>
          <w:lang w:val="es-MX"/>
        </w:rPr>
        <w:t xml:space="preserve"> y sanitaria a la infección, la flexibilidad y capacidad de adaptación de la actividad económica a la reducción de la movili</w:t>
      </w:r>
      <w:r>
        <w:rPr>
          <w:rFonts w:ascii="Times New Roman" w:hAnsi="Times New Roman" w:cs="Times New Roman"/>
          <w:lang w:val="es-MX"/>
        </w:rPr>
        <w:t xml:space="preserve">dad, tendencias preexistentes y </w:t>
      </w:r>
      <w:r w:rsidRPr="00315D74">
        <w:rPr>
          <w:rFonts w:ascii="Times New Roman" w:hAnsi="Times New Roman" w:cs="Times New Roman"/>
          <w:lang w:val="es-MX"/>
        </w:rPr>
        <w:t>rigideces estructurales anteriores a la crisis.</w:t>
      </w:r>
    </w:p>
    <w:p w14:paraId="698A6BBA" w14:textId="77777777" w:rsidR="00322670" w:rsidRDefault="00322670" w:rsidP="00322670">
      <w:pPr>
        <w:pStyle w:val="Prrafodelista"/>
        <w:spacing w:after="0" w:line="240" w:lineRule="auto"/>
        <w:ind w:left="0"/>
        <w:jc w:val="both"/>
        <w:rPr>
          <w:rFonts w:ascii="Times New Roman" w:hAnsi="Times New Roman" w:cs="Times New Roman"/>
          <w:color w:val="FF0000"/>
          <w:lang w:val="es-MX"/>
        </w:rPr>
      </w:pPr>
    </w:p>
    <w:p w14:paraId="7E53A19F" w14:textId="77777777" w:rsidR="00322670" w:rsidRDefault="00322670" w:rsidP="00322670">
      <w:pPr>
        <w:spacing w:after="0" w:line="240" w:lineRule="auto"/>
        <w:jc w:val="both"/>
        <w:rPr>
          <w:rFonts w:ascii="Times New Roman" w:hAnsi="Times New Roman" w:cs="Times New Roman"/>
          <w:lang w:val="es-MX"/>
        </w:rPr>
      </w:pPr>
      <w:r w:rsidRPr="00863321">
        <w:rPr>
          <w:rFonts w:ascii="Times New Roman" w:hAnsi="Times New Roman" w:cs="Times New Roman"/>
          <w:lang w:val="es-MX"/>
        </w:rPr>
        <w:t>Las economías de América Latina y el Caribe mostraban ya un bajo crecimiento económico antes de la pandemia, con una expansión anual promedio del 0.3% entre 2014 y 2019, en 2019 la tasa de crecimiento económico fue del 0.1%.</w:t>
      </w:r>
      <w:r w:rsidRPr="00E80371">
        <w:rPr>
          <w:rFonts w:ascii="Times New Roman" w:hAnsi="Times New Roman" w:cs="Times New Roman"/>
          <w:lang w:val="es-MX"/>
        </w:rPr>
        <w:t xml:space="preserve"> La pandemia por COVID-19 trajo a la región choques externos negativos y la necesidad de poner en marcha políticas de confinamiento, distanciamiento físico y cierre de actividades productivas, lo que hizo que la emergencia sanitaria se materializara en la peor crisis económica, social y productiva que ha vivido la región en los últimos 100 años.  En 2020 el PIB regional mostró, según CEPAL, una contracción del 7.7%; todas las economías de América Latina reportaron una caída, pero las más afectadas fueron la República Bolivariana de Venezuela con </w:t>
      </w:r>
      <w:r w:rsidR="00863321">
        <w:rPr>
          <w:rFonts w:ascii="Times New Roman" w:hAnsi="Times New Roman" w:cs="Times New Roman"/>
          <w:lang w:val="es-MX"/>
        </w:rPr>
        <w:t xml:space="preserve">una </w:t>
      </w:r>
      <w:r w:rsidRPr="00E80371">
        <w:rPr>
          <w:rFonts w:ascii="Times New Roman" w:hAnsi="Times New Roman" w:cs="Times New Roman"/>
          <w:lang w:val="es-MX"/>
        </w:rPr>
        <w:t xml:space="preserve">caída de 30.0%, el Perú con 12.9% y Panamá con 11.0%. Las economías del Caribe observaron una reducción anual promedio del 7.9%, con un impacto particularmente negativo del desplome del turismo internacional. En el contexto de la pandemia por COVID-19, ante la disrupción de cadenas globales de valor y la fuerte contracción de la demanda, el comercio mundial de bienes y servicios experimentó una abrupta caída en el primer semestre de 2020, con una incipiente recuperación en el segundo semestre. </w:t>
      </w:r>
    </w:p>
    <w:p w14:paraId="696C55E8" w14:textId="77777777" w:rsidR="00322670" w:rsidRDefault="00322670" w:rsidP="00322670">
      <w:pPr>
        <w:spacing w:after="0" w:line="240" w:lineRule="auto"/>
        <w:jc w:val="both"/>
        <w:rPr>
          <w:rFonts w:ascii="Times New Roman" w:hAnsi="Times New Roman" w:cs="Times New Roman"/>
          <w:lang w:val="es-MX"/>
        </w:rPr>
      </w:pPr>
    </w:p>
    <w:p w14:paraId="7C289CF0" w14:textId="77777777" w:rsidR="00322670" w:rsidRPr="00C2275B" w:rsidRDefault="00AE5006" w:rsidP="001032E7">
      <w:pPr>
        <w:pStyle w:val="Ttulo3"/>
        <w:numPr>
          <w:ilvl w:val="1"/>
          <w:numId w:val="29"/>
        </w:numPr>
        <w:spacing w:before="0" w:line="276" w:lineRule="auto"/>
        <w:ind w:left="567" w:hanging="360"/>
        <w:rPr>
          <w:rFonts w:ascii="Times New Roman" w:hAnsi="Times New Roman" w:cs="Times New Roman"/>
          <w:b/>
          <w:color w:val="auto"/>
          <w:lang w:val="es-MX"/>
        </w:rPr>
      </w:pPr>
      <w:bookmarkStart w:id="13" w:name="_Toc72489338"/>
      <w:r>
        <w:rPr>
          <w:rFonts w:ascii="Times New Roman" w:hAnsi="Times New Roman" w:cs="Times New Roman"/>
          <w:b/>
          <w:color w:val="auto"/>
          <w:lang w:val="es-MX"/>
        </w:rPr>
        <w:t xml:space="preserve"> </w:t>
      </w:r>
      <w:bookmarkStart w:id="14" w:name="_Toc81571818"/>
      <w:r w:rsidR="00322670" w:rsidRPr="00C2275B">
        <w:rPr>
          <w:rFonts w:ascii="Times New Roman" w:hAnsi="Times New Roman" w:cs="Times New Roman"/>
          <w:b/>
          <w:color w:val="auto"/>
          <w:lang w:val="es-MX"/>
        </w:rPr>
        <w:t>Impactos Divergentes.</w:t>
      </w:r>
      <w:bookmarkStart w:id="15" w:name="_Toc16154968"/>
      <w:bookmarkEnd w:id="13"/>
      <w:bookmarkEnd w:id="14"/>
    </w:p>
    <w:p w14:paraId="3D19A676" w14:textId="77777777" w:rsidR="00322670" w:rsidRDefault="00322670" w:rsidP="00322670">
      <w:pPr>
        <w:pStyle w:val="Prrafodelista"/>
        <w:spacing w:after="0" w:line="240" w:lineRule="auto"/>
        <w:ind w:left="0"/>
        <w:jc w:val="both"/>
        <w:rPr>
          <w:rFonts w:ascii="Times New Roman" w:hAnsi="Times New Roman" w:cs="Times New Roman"/>
        </w:rPr>
      </w:pPr>
    </w:p>
    <w:p w14:paraId="1C13DFB3" w14:textId="77777777" w:rsidR="00322670" w:rsidRDefault="00322670" w:rsidP="00322670">
      <w:pPr>
        <w:pStyle w:val="Prrafodelista"/>
        <w:spacing w:after="0" w:line="240" w:lineRule="auto"/>
        <w:ind w:left="0"/>
        <w:jc w:val="both"/>
        <w:rPr>
          <w:rFonts w:ascii="Times New Roman" w:hAnsi="Times New Roman" w:cs="Times New Roman"/>
        </w:rPr>
      </w:pPr>
      <w:r w:rsidRPr="00E6202B">
        <w:rPr>
          <w:rFonts w:ascii="Times New Roman" w:hAnsi="Times New Roman" w:cs="Times New Roman"/>
        </w:rPr>
        <w:t>Las pérdidas de producción han sido particularmente grandes para los países que dependen del turismo y exportaciones de productos básicos y para aquellos con limitado espacio de políticas para poder responder.</w:t>
      </w:r>
      <w:r>
        <w:rPr>
          <w:rFonts w:ascii="Times New Roman" w:hAnsi="Times New Roman" w:cs="Times New Roman"/>
        </w:rPr>
        <w:t xml:space="preserve"> </w:t>
      </w:r>
      <w:r w:rsidRPr="00E6202B">
        <w:rPr>
          <w:rFonts w:ascii="Times New Roman" w:hAnsi="Times New Roman" w:cs="Times New Roman"/>
        </w:rPr>
        <w:t>Muchos de estos países entraron a la crisis en una situación fiscal precaria y con menos capacidad para montar importantes respuestas de política sanitaria o apoyar los medios de vida.</w:t>
      </w:r>
      <w:r>
        <w:rPr>
          <w:rFonts w:ascii="Times New Roman" w:hAnsi="Times New Roman" w:cs="Times New Roman"/>
        </w:rPr>
        <w:t xml:space="preserve">  </w:t>
      </w:r>
      <w:r w:rsidRPr="00E6202B">
        <w:rPr>
          <w:rFonts w:ascii="Times New Roman" w:hAnsi="Times New Roman" w:cs="Times New Roman"/>
        </w:rPr>
        <w:t>Los jóvenes, las mujeres, los trabajadores con un nivel educativo relativamente más bajo y los empleados informales en general, han sido los grupos más afectados</w:t>
      </w:r>
      <w:r>
        <w:rPr>
          <w:rFonts w:ascii="Times New Roman" w:hAnsi="Times New Roman" w:cs="Times New Roman"/>
        </w:rPr>
        <w:t xml:space="preserve">. </w:t>
      </w:r>
      <w:r w:rsidRPr="00E6202B">
        <w:rPr>
          <w:rFonts w:ascii="Times New Roman" w:hAnsi="Times New Roman" w:cs="Times New Roman"/>
        </w:rPr>
        <w:t>Es probable que la desigualdad de ingresos aumente significativamente debido a la pandemia.</w:t>
      </w:r>
      <w:r>
        <w:rPr>
          <w:rFonts w:ascii="Times New Roman" w:hAnsi="Times New Roman" w:cs="Times New Roman"/>
        </w:rPr>
        <w:t xml:space="preserve"> </w:t>
      </w:r>
      <w:r w:rsidRPr="00E6202B">
        <w:rPr>
          <w:rFonts w:ascii="Times New Roman" w:hAnsi="Times New Roman" w:cs="Times New Roman"/>
        </w:rPr>
        <w:t>Se estima que cerca de 95 millones de personas más caigan por debajo del umbral de la pobreza extrema en 2020 en comparación con las proyecciones pre-pandémicas.</w:t>
      </w:r>
    </w:p>
    <w:p w14:paraId="41799FE8" w14:textId="77777777" w:rsidR="00322670" w:rsidRDefault="00322670" w:rsidP="00322670">
      <w:pPr>
        <w:pStyle w:val="Prrafodelista"/>
        <w:spacing w:after="0" w:line="240" w:lineRule="auto"/>
        <w:ind w:left="0"/>
        <w:jc w:val="both"/>
        <w:rPr>
          <w:rFonts w:ascii="Times New Roman" w:hAnsi="Times New Roman" w:cs="Times New Roman"/>
        </w:rPr>
      </w:pPr>
    </w:p>
    <w:p w14:paraId="71F864DD" w14:textId="77777777" w:rsidR="00322670" w:rsidRDefault="00322670" w:rsidP="00322670">
      <w:pPr>
        <w:pStyle w:val="Prrafodelista"/>
        <w:spacing w:after="0" w:line="240" w:lineRule="auto"/>
        <w:ind w:left="0"/>
        <w:jc w:val="both"/>
        <w:rPr>
          <w:rFonts w:ascii="Times New Roman" w:hAnsi="Times New Roman" w:cs="Times New Roman"/>
        </w:rPr>
      </w:pPr>
      <w:r w:rsidRPr="00E6202B">
        <w:rPr>
          <w:rFonts w:ascii="Times New Roman" w:hAnsi="Times New Roman" w:cs="Times New Roman"/>
        </w:rPr>
        <w:t>Las pérdidas de aprendizaje han sido más severas en personas de bajos ingresos y países en desarrollo, a los que les ha resultado más difícil hacer frente a los cierres de escuelas, especialmente para las niñas y estudiantes de hogares de bajos ingresos. Estos contratiempos en la educación podrían amplificar aún más la desigualdad de los ingresos.</w:t>
      </w:r>
    </w:p>
    <w:bookmarkEnd w:id="15"/>
    <w:p w14:paraId="61426D77" w14:textId="77777777" w:rsidR="00322670" w:rsidRPr="0062341C" w:rsidRDefault="00322670" w:rsidP="00322670">
      <w:pPr>
        <w:spacing w:after="0" w:line="240" w:lineRule="auto"/>
        <w:jc w:val="both"/>
        <w:rPr>
          <w:rFonts w:ascii="Times New Roman" w:hAnsi="Times New Roman" w:cs="Times New Roman"/>
          <w:color w:val="FF0000"/>
          <w:sz w:val="18"/>
          <w:lang w:val="es-MX"/>
        </w:rPr>
      </w:pPr>
    </w:p>
    <w:p w14:paraId="4C6E5FBF" w14:textId="77777777" w:rsidR="00322670" w:rsidRDefault="00322670" w:rsidP="00322670">
      <w:pPr>
        <w:spacing w:after="0" w:line="240" w:lineRule="auto"/>
        <w:jc w:val="both"/>
        <w:rPr>
          <w:rFonts w:ascii="Times New Roman" w:hAnsi="Times New Roman" w:cs="Times New Roman"/>
          <w:lang w:val="es-MX"/>
        </w:rPr>
      </w:pPr>
      <w:r w:rsidRPr="00451580">
        <w:rPr>
          <w:rFonts w:ascii="Times New Roman" w:hAnsi="Times New Roman" w:cs="Times New Roman"/>
          <w:lang w:val="es-MX"/>
        </w:rPr>
        <w:t>E</w:t>
      </w:r>
      <w:r>
        <w:rPr>
          <w:rFonts w:ascii="Times New Roman" w:hAnsi="Times New Roman" w:cs="Times New Roman"/>
          <w:lang w:val="es-MX"/>
        </w:rPr>
        <w:t>n genera</w:t>
      </w:r>
      <w:r w:rsidRPr="00451580">
        <w:rPr>
          <w:rFonts w:ascii="Times New Roman" w:hAnsi="Times New Roman" w:cs="Times New Roman"/>
          <w:lang w:val="es-MX"/>
        </w:rPr>
        <w:t>l</w:t>
      </w:r>
      <w:r>
        <w:rPr>
          <w:rFonts w:ascii="Times New Roman" w:hAnsi="Times New Roman" w:cs="Times New Roman"/>
          <w:lang w:val="es-MX"/>
        </w:rPr>
        <w:t>, el</w:t>
      </w:r>
      <w:r w:rsidRPr="00451580">
        <w:rPr>
          <w:rFonts w:ascii="Times New Roman" w:hAnsi="Times New Roman" w:cs="Times New Roman"/>
          <w:lang w:val="es-MX"/>
        </w:rPr>
        <w:t xml:space="preserve"> panorama macroeconómico mostró una desaceleración tendencial de la actividad económica en los últimos seis años (2014 - 2019); caídas del PIB per cápita, la inversión, el consumo per cápita y las exportaciones, y un sostenido deterioro de la calidad del empleo; y en 2020 la situación atípica provocada por la pandemia, mostró resultados aún más desacelerados.</w:t>
      </w:r>
    </w:p>
    <w:p w14:paraId="415C0358" w14:textId="77777777" w:rsidR="00322670" w:rsidRDefault="00322670" w:rsidP="00322670">
      <w:pPr>
        <w:spacing w:after="0" w:line="240" w:lineRule="auto"/>
        <w:jc w:val="both"/>
        <w:rPr>
          <w:rFonts w:ascii="Times New Roman" w:hAnsi="Times New Roman" w:cs="Times New Roman"/>
          <w:lang w:val="es-MX"/>
        </w:rPr>
      </w:pPr>
    </w:p>
    <w:p w14:paraId="01F92276" w14:textId="77777777" w:rsidR="00322670" w:rsidRDefault="00322670" w:rsidP="00A25F17">
      <w:pPr>
        <w:spacing w:after="0" w:line="240" w:lineRule="auto"/>
        <w:jc w:val="both"/>
        <w:rPr>
          <w:rFonts w:ascii="Times New Roman" w:hAnsi="Times New Roman" w:cs="Times New Roman"/>
          <w:lang w:val="es-MX"/>
        </w:rPr>
      </w:pPr>
    </w:p>
    <w:p w14:paraId="4DABB406" w14:textId="77777777" w:rsidR="00155114" w:rsidRDefault="00155114" w:rsidP="00A25F17">
      <w:pPr>
        <w:spacing w:after="0" w:line="240" w:lineRule="auto"/>
        <w:jc w:val="both"/>
        <w:rPr>
          <w:rFonts w:ascii="Times New Roman" w:hAnsi="Times New Roman" w:cs="Times New Roman"/>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322670" w14:paraId="08D8931C" w14:textId="77777777" w:rsidTr="00DE1FBB">
        <w:tc>
          <w:tcPr>
            <w:tcW w:w="8828" w:type="dxa"/>
          </w:tcPr>
          <w:p w14:paraId="4F263BFF" w14:textId="3AF6B947" w:rsidR="00322670" w:rsidRPr="00134FDC" w:rsidRDefault="00A6579B" w:rsidP="00A6579B">
            <w:pPr>
              <w:pStyle w:val="Epgrafe"/>
              <w:jc w:val="center"/>
              <w:rPr>
                <w:b/>
                <w:i w:val="0"/>
              </w:rPr>
            </w:pPr>
            <w:bookmarkStart w:id="16" w:name="_Toc71792540"/>
            <w:bookmarkStart w:id="17" w:name="_Toc81573023"/>
            <w:r w:rsidRPr="00134FDC">
              <w:rPr>
                <w:rFonts w:ascii="Times New Roman" w:hAnsi="Times New Roman" w:cs="Times New Roman"/>
                <w:b/>
                <w:color w:val="auto"/>
                <w:sz w:val="22"/>
              </w:rPr>
              <w:t xml:space="preserve">Tabla </w:t>
            </w:r>
            <w:r w:rsidRPr="00134FDC">
              <w:rPr>
                <w:rFonts w:ascii="Times New Roman" w:hAnsi="Times New Roman" w:cs="Times New Roman"/>
                <w:b/>
                <w:color w:val="auto"/>
                <w:sz w:val="22"/>
              </w:rPr>
              <w:fldChar w:fldCharType="begin"/>
            </w:r>
            <w:r w:rsidRPr="00134FDC">
              <w:rPr>
                <w:rFonts w:ascii="Times New Roman" w:hAnsi="Times New Roman" w:cs="Times New Roman"/>
                <w:b/>
                <w:color w:val="auto"/>
                <w:sz w:val="22"/>
              </w:rPr>
              <w:instrText xml:space="preserve"> SEQ Tabla \* ARABIC </w:instrText>
            </w:r>
            <w:r w:rsidRPr="00134FDC">
              <w:rPr>
                <w:rFonts w:ascii="Times New Roman" w:hAnsi="Times New Roman" w:cs="Times New Roman"/>
                <w:b/>
                <w:color w:val="auto"/>
                <w:sz w:val="22"/>
              </w:rPr>
              <w:fldChar w:fldCharType="separate"/>
            </w:r>
            <w:r w:rsidR="009E18F8">
              <w:rPr>
                <w:rFonts w:ascii="Times New Roman" w:hAnsi="Times New Roman" w:cs="Times New Roman"/>
                <w:b/>
                <w:noProof/>
                <w:color w:val="auto"/>
                <w:sz w:val="22"/>
              </w:rPr>
              <w:t>1</w:t>
            </w:r>
            <w:r w:rsidRPr="00134FDC">
              <w:rPr>
                <w:rFonts w:ascii="Times New Roman" w:hAnsi="Times New Roman" w:cs="Times New Roman"/>
                <w:b/>
                <w:color w:val="auto"/>
                <w:sz w:val="22"/>
              </w:rPr>
              <w:fldChar w:fldCharType="end"/>
            </w:r>
            <w:r w:rsidRPr="00134FDC">
              <w:rPr>
                <w:rFonts w:ascii="Times New Roman" w:hAnsi="Times New Roman" w:cs="Times New Roman"/>
                <w:b/>
                <w:color w:val="auto"/>
                <w:sz w:val="22"/>
              </w:rPr>
              <w:t xml:space="preserve"> Panorama del crecimiento de la economía mundial (porcentaje)</w:t>
            </w:r>
            <w:bookmarkEnd w:id="16"/>
            <w:bookmarkEnd w:id="17"/>
          </w:p>
        </w:tc>
      </w:tr>
      <w:tr w:rsidR="00322670" w14:paraId="712DD19F" w14:textId="77777777" w:rsidTr="00DE1FBB">
        <w:tc>
          <w:tcPr>
            <w:tcW w:w="8828" w:type="dxa"/>
          </w:tcPr>
          <w:tbl>
            <w:tblPr>
              <w:tblW w:w="5949" w:type="dxa"/>
              <w:tblInd w:w="1440" w:type="dxa"/>
              <w:tblCellMar>
                <w:left w:w="70" w:type="dxa"/>
                <w:right w:w="70" w:type="dxa"/>
              </w:tblCellMar>
              <w:tblLook w:val="04A0" w:firstRow="1" w:lastRow="0" w:firstColumn="1" w:lastColumn="0" w:noHBand="0" w:noVBand="1"/>
            </w:tblPr>
            <w:tblGrid>
              <w:gridCol w:w="3517"/>
              <w:gridCol w:w="873"/>
              <w:gridCol w:w="850"/>
              <w:gridCol w:w="709"/>
            </w:tblGrid>
            <w:tr w:rsidR="00322670" w:rsidRPr="009D76D9" w14:paraId="31455433" w14:textId="77777777" w:rsidTr="00DE1FBB">
              <w:trPr>
                <w:trHeight w:val="474"/>
              </w:trPr>
              <w:tc>
                <w:tcPr>
                  <w:tcW w:w="3517" w:type="dxa"/>
                  <w:tcBorders>
                    <w:top w:val="single" w:sz="4" w:space="0" w:color="auto"/>
                    <w:left w:val="single" w:sz="4" w:space="0" w:color="auto"/>
                    <w:bottom w:val="single" w:sz="4" w:space="0" w:color="auto"/>
                    <w:right w:val="nil"/>
                  </w:tcBorders>
                  <w:shd w:val="clear" w:color="000000" w:fill="4472C4"/>
                  <w:noWrap/>
                  <w:vAlign w:val="center"/>
                  <w:hideMark/>
                </w:tcPr>
                <w:p w14:paraId="77905B1B" w14:textId="77777777" w:rsidR="00322670" w:rsidRPr="009D76D9" w:rsidRDefault="00322670" w:rsidP="00DE1FBB">
                  <w:pPr>
                    <w:spacing w:after="0" w:line="240" w:lineRule="auto"/>
                    <w:jc w:val="center"/>
                    <w:rPr>
                      <w:rFonts w:ascii="Times New Roman" w:eastAsia="Times New Roman" w:hAnsi="Times New Roman" w:cs="Times New Roman"/>
                      <w:b/>
                      <w:bCs/>
                      <w:color w:val="FFFFFF"/>
                      <w:sz w:val="16"/>
                      <w:szCs w:val="16"/>
                      <w:lang w:eastAsia="es-GT"/>
                    </w:rPr>
                  </w:pPr>
                  <w:r w:rsidRPr="009D76D9">
                    <w:rPr>
                      <w:rFonts w:ascii="Times New Roman" w:eastAsia="Times New Roman" w:hAnsi="Times New Roman" w:cs="Times New Roman"/>
                      <w:b/>
                      <w:bCs/>
                      <w:color w:val="FFFFFF"/>
                      <w:sz w:val="16"/>
                      <w:szCs w:val="16"/>
                      <w:lang w:eastAsia="es-GT"/>
                    </w:rPr>
                    <w:t>País o región</w:t>
                  </w:r>
                </w:p>
              </w:tc>
              <w:tc>
                <w:tcPr>
                  <w:tcW w:w="873" w:type="dxa"/>
                  <w:tcBorders>
                    <w:top w:val="single" w:sz="4" w:space="0" w:color="auto"/>
                    <w:left w:val="nil"/>
                    <w:bottom w:val="single" w:sz="4" w:space="0" w:color="auto"/>
                    <w:right w:val="nil"/>
                  </w:tcBorders>
                  <w:shd w:val="clear" w:color="000000" w:fill="4472C4"/>
                  <w:noWrap/>
                  <w:vAlign w:val="center"/>
                  <w:hideMark/>
                </w:tcPr>
                <w:p w14:paraId="78041503" w14:textId="77777777" w:rsidR="00322670" w:rsidRPr="009D76D9" w:rsidRDefault="00322670" w:rsidP="00DE1FBB">
                  <w:pPr>
                    <w:spacing w:after="0" w:line="240" w:lineRule="auto"/>
                    <w:jc w:val="center"/>
                    <w:rPr>
                      <w:rFonts w:ascii="Times New Roman" w:eastAsia="Times New Roman" w:hAnsi="Times New Roman" w:cs="Times New Roman"/>
                      <w:b/>
                      <w:bCs/>
                      <w:color w:val="FFFFFF"/>
                      <w:sz w:val="16"/>
                      <w:szCs w:val="16"/>
                      <w:lang w:eastAsia="es-GT"/>
                    </w:rPr>
                  </w:pPr>
                  <w:r w:rsidRPr="009D76D9">
                    <w:rPr>
                      <w:rFonts w:ascii="Times New Roman" w:eastAsia="Times New Roman" w:hAnsi="Times New Roman" w:cs="Times New Roman"/>
                      <w:b/>
                      <w:bCs/>
                      <w:color w:val="FFFFFF"/>
                      <w:sz w:val="16"/>
                      <w:szCs w:val="16"/>
                      <w:lang w:eastAsia="es-GT"/>
                    </w:rPr>
                    <w:t>2018</w:t>
                  </w:r>
                </w:p>
              </w:tc>
              <w:tc>
                <w:tcPr>
                  <w:tcW w:w="850" w:type="dxa"/>
                  <w:tcBorders>
                    <w:top w:val="single" w:sz="4" w:space="0" w:color="auto"/>
                    <w:left w:val="nil"/>
                    <w:bottom w:val="single" w:sz="4" w:space="0" w:color="auto"/>
                    <w:right w:val="nil"/>
                  </w:tcBorders>
                  <w:shd w:val="clear" w:color="000000" w:fill="4472C4"/>
                  <w:noWrap/>
                  <w:vAlign w:val="center"/>
                  <w:hideMark/>
                </w:tcPr>
                <w:p w14:paraId="4FA71E2F" w14:textId="77777777" w:rsidR="00322670" w:rsidRPr="009D76D9" w:rsidRDefault="00322670" w:rsidP="00DE1FBB">
                  <w:pPr>
                    <w:spacing w:after="0" w:line="240" w:lineRule="auto"/>
                    <w:jc w:val="center"/>
                    <w:rPr>
                      <w:rFonts w:ascii="Times New Roman" w:eastAsia="Times New Roman" w:hAnsi="Times New Roman" w:cs="Times New Roman"/>
                      <w:b/>
                      <w:bCs/>
                      <w:color w:val="FFFFFF"/>
                      <w:sz w:val="16"/>
                      <w:szCs w:val="16"/>
                      <w:lang w:eastAsia="es-GT"/>
                    </w:rPr>
                  </w:pPr>
                  <w:r w:rsidRPr="009D76D9">
                    <w:rPr>
                      <w:rFonts w:ascii="Times New Roman" w:eastAsia="Times New Roman" w:hAnsi="Times New Roman" w:cs="Times New Roman"/>
                      <w:b/>
                      <w:bCs/>
                      <w:color w:val="FFFFFF"/>
                      <w:sz w:val="16"/>
                      <w:szCs w:val="16"/>
                      <w:lang w:eastAsia="es-GT"/>
                    </w:rPr>
                    <w:t>2019</w:t>
                  </w:r>
                </w:p>
              </w:tc>
              <w:tc>
                <w:tcPr>
                  <w:tcW w:w="709" w:type="dxa"/>
                  <w:tcBorders>
                    <w:top w:val="single" w:sz="4" w:space="0" w:color="auto"/>
                    <w:left w:val="nil"/>
                    <w:bottom w:val="single" w:sz="4" w:space="0" w:color="auto"/>
                    <w:right w:val="single" w:sz="4" w:space="0" w:color="auto"/>
                  </w:tcBorders>
                  <w:shd w:val="clear" w:color="000000" w:fill="4472C4"/>
                  <w:noWrap/>
                  <w:vAlign w:val="center"/>
                  <w:hideMark/>
                </w:tcPr>
                <w:p w14:paraId="593DC1EC" w14:textId="77777777" w:rsidR="00322670" w:rsidRPr="009D76D9" w:rsidRDefault="00322670" w:rsidP="00DE1FBB">
                  <w:pPr>
                    <w:spacing w:after="0" w:line="240" w:lineRule="auto"/>
                    <w:jc w:val="center"/>
                    <w:rPr>
                      <w:rFonts w:ascii="Times New Roman" w:eastAsia="Times New Roman" w:hAnsi="Times New Roman" w:cs="Times New Roman"/>
                      <w:b/>
                      <w:bCs/>
                      <w:color w:val="FFFFFF"/>
                      <w:sz w:val="16"/>
                      <w:szCs w:val="16"/>
                      <w:lang w:eastAsia="es-GT"/>
                    </w:rPr>
                  </w:pPr>
                  <w:r w:rsidRPr="009D76D9">
                    <w:rPr>
                      <w:rFonts w:ascii="Times New Roman" w:eastAsia="Times New Roman" w:hAnsi="Times New Roman" w:cs="Times New Roman"/>
                      <w:b/>
                      <w:bCs/>
                      <w:color w:val="FFFFFF"/>
                      <w:sz w:val="16"/>
                      <w:szCs w:val="16"/>
                      <w:lang w:eastAsia="es-GT"/>
                    </w:rPr>
                    <w:t>2020</w:t>
                  </w:r>
                </w:p>
              </w:tc>
            </w:tr>
            <w:tr w:rsidR="00322670" w:rsidRPr="009D76D9" w14:paraId="4991E6B6" w14:textId="77777777" w:rsidTr="00DE1FBB">
              <w:trPr>
                <w:trHeight w:val="214"/>
              </w:trPr>
              <w:tc>
                <w:tcPr>
                  <w:tcW w:w="3517" w:type="dxa"/>
                  <w:tcBorders>
                    <w:top w:val="nil"/>
                    <w:left w:val="single" w:sz="4" w:space="0" w:color="auto"/>
                    <w:bottom w:val="nil"/>
                    <w:right w:val="nil"/>
                  </w:tcBorders>
                  <w:shd w:val="clear" w:color="000000" w:fill="D9D9D9"/>
                  <w:noWrap/>
                  <w:vAlign w:val="bottom"/>
                  <w:hideMark/>
                </w:tcPr>
                <w:p w14:paraId="4BBBFDB8" w14:textId="77777777" w:rsidR="00322670" w:rsidRPr="009D76D9" w:rsidRDefault="00322670" w:rsidP="00DE1FBB">
                  <w:pPr>
                    <w:spacing w:after="0" w:line="240" w:lineRule="auto"/>
                    <w:rPr>
                      <w:rFonts w:ascii="Times New Roman" w:eastAsia="Times New Roman" w:hAnsi="Times New Roman" w:cs="Times New Roman"/>
                      <w:b/>
                      <w:bCs/>
                      <w:color w:val="000000"/>
                      <w:sz w:val="16"/>
                      <w:szCs w:val="16"/>
                      <w:lang w:eastAsia="es-GT"/>
                    </w:rPr>
                  </w:pPr>
                  <w:r w:rsidRPr="009D76D9">
                    <w:rPr>
                      <w:rFonts w:ascii="Times New Roman" w:eastAsia="Times New Roman" w:hAnsi="Times New Roman" w:cs="Times New Roman"/>
                      <w:b/>
                      <w:bCs/>
                      <w:color w:val="000000"/>
                      <w:sz w:val="16"/>
                      <w:szCs w:val="16"/>
                      <w:lang w:eastAsia="es-GT"/>
                    </w:rPr>
                    <w:t>Producto mundial</w:t>
                  </w:r>
                </w:p>
              </w:tc>
              <w:tc>
                <w:tcPr>
                  <w:tcW w:w="873" w:type="dxa"/>
                  <w:tcBorders>
                    <w:top w:val="nil"/>
                    <w:left w:val="nil"/>
                    <w:bottom w:val="nil"/>
                    <w:right w:val="nil"/>
                  </w:tcBorders>
                  <w:shd w:val="clear" w:color="000000" w:fill="D9D9D9"/>
                  <w:noWrap/>
                  <w:vAlign w:val="center"/>
                  <w:hideMark/>
                </w:tcPr>
                <w:p w14:paraId="060169D8" w14:textId="77777777" w:rsidR="00322670" w:rsidRPr="009D76D9" w:rsidRDefault="00322670" w:rsidP="00DE1FBB">
                  <w:pPr>
                    <w:spacing w:after="0" w:line="240" w:lineRule="auto"/>
                    <w:jc w:val="center"/>
                    <w:rPr>
                      <w:rFonts w:ascii="Times New Roman" w:eastAsia="Times New Roman" w:hAnsi="Times New Roman" w:cs="Times New Roman"/>
                      <w:b/>
                      <w:bCs/>
                      <w:color w:val="000000"/>
                      <w:sz w:val="16"/>
                      <w:szCs w:val="16"/>
                      <w:lang w:eastAsia="es-GT"/>
                    </w:rPr>
                  </w:pPr>
                  <w:r w:rsidRPr="009D76D9">
                    <w:rPr>
                      <w:rFonts w:ascii="Times New Roman" w:eastAsia="Times New Roman" w:hAnsi="Times New Roman" w:cs="Times New Roman"/>
                      <w:b/>
                      <w:bCs/>
                      <w:color w:val="000000"/>
                      <w:sz w:val="16"/>
                      <w:szCs w:val="16"/>
                      <w:lang w:eastAsia="es-GT"/>
                    </w:rPr>
                    <w:t>3.6</w:t>
                  </w:r>
                </w:p>
              </w:tc>
              <w:tc>
                <w:tcPr>
                  <w:tcW w:w="850" w:type="dxa"/>
                  <w:tcBorders>
                    <w:top w:val="nil"/>
                    <w:left w:val="nil"/>
                    <w:bottom w:val="nil"/>
                    <w:right w:val="nil"/>
                  </w:tcBorders>
                  <w:shd w:val="clear" w:color="000000" w:fill="D9D9D9"/>
                  <w:noWrap/>
                  <w:vAlign w:val="center"/>
                  <w:hideMark/>
                </w:tcPr>
                <w:p w14:paraId="7F462974" w14:textId="77777777" w:rsidR="00322670" w:rsidRPr="009D76D9" w:rsidRDefault="00322670" w:rsidP="00DE1FBB">
                  <w:pPr>
                    <w:spacing w:after="0" w:line="240" w:lineRule="auto"/>
                    <w:jc w:val="center"/>
                    <w:rPr>
                      <w:rFonts w:ascii="Times New Roman" w:eastAsia="Times New Roman" w:hAnsi="Times New Roman" w:cs="Times New Roman"/>
                      <w:b/>
                      <w:bCs/>
                      <w:color w:val="000000"/>
                      <w:sz w:val="16"/>
                      <w:szCs w:val="16"/>
                      <w:lang w:eastAsia="es-GT"/>
                    </w:rPr>
                  </w:pPr>
                  <w:r>
                    <w:rPr>
                      <w:rFonts w:ascii="Times New Roman" w:eastAsia="Times New Roman" w:hAnsi="Times New Roman" w:cs="Times New Roman"/>
                      <w:b/>
                      <w:bCs/>
                      <w:color w:val="000000"/>
                      <w:sz w:val="16"/>
                      <w:szCs w:val="16"/>
                      <w:lang w:eastAsia="es-GT"/>
                    </w:rPr>
                    <w:t>2.8</w:t>
                  </w:r>
                </w:p>
              </w:tc>
              <w:tc>
                <w:tcPr>
                  <w:tcW w:w="709" w:type="dxa"/>
                  <w:tcBorders>
                    <w:top w:val="nil"/>
                    <w:left w:val="nil"/>
                    <w:bottom w:val="nil"/>
                    <w:right w:val="single" w:sz="4" w:space="0" w:color="auto"/>
                  </w:tcBorders>
                  <w:shd w:val="clear" w:color="000000" w:fill="D9D9D9"/>
                  <w:noWrap/>
                  <w:vAlign w:val="center"/>
                  <w:hideMark/>
                </w:tcPr>
                <w:p w14:paraId="41B14ADD" w14:textId="77777777" w:rsidR="00322670" w:rsidRPr="009D76D9" w:rsidRDefault="00322670" w:rsidP="00DE1FBB">
                  <w:pPr>
                    <w:spacing w:after="0" w:line="240" w:lineRule="auto"/>
                    <w:jc w:val="center"/>
                    <w:rPr>
                      <w:rFonts w:ascii="Times New Roman" w:eastAsia="Times New Roman" w:hAnsi="Times New Roman" w:cs="Times New Roman"/>
                      <w:b/>
                      <w:bCs/>
                      <w:color w:val="000000"/>
                      <w:sz w:val="16"/>
                      <w:szCs w:val="16"/>
                      <w:lang w:eastAsia="es-GT"/>
                    </w:rPr>
                  </w:pPr>
                  <w:r w:rsidRPr="009D76D9">
                    <w:rPr>
                      <w:rFonts w:ascii="Times New Roman" w:eastAsia="Times New Roman" w:hAnsi="Times New Roman" w:cs="Times New Roman"/>
                      <w:b/>
                      <w:bCs/>
                      <w:color w:val="000000"/>
                      <w:sz w:val="16"/>
                      <w:szCs w:val="16"/>
                      <w:lang w:eastAsia="es-GT"/>
                    </w:rPr>
                    <w:t>-3.3</w:t>
                  </w:r>
                </w:p>
              </w:tc>
            </w:tr>
            <w:tr w:rsidR="00322670" w:rsidRPr="009D76D9" w14:paraId="68B4B6CD" w14:textId="77777777" w:rsidTr="00DE1FBB">
              <w:trPr>
                <w:trHeight w:val="142"/>
              </w:trPr>
              <w:tc>
                <w:tcPr>
                  <w:tcW w:w="3517" w:type="dxa"/>
                  <w:tcBorders>
                    <w:top w:val="nil"/>
                    <w:left w:val="single" w:sz="4" w:space="0" w:color="auto"/>
                    <w:bottom w:val="nil"/>
                    <w:right w:val="nil"/>
                  </w:tcBorders>
                  <w:shd w:val="clear" w:color="auto" w:fill="auto"/>
                  <w:noWrap/>
                  <w:vAlign w:val="bottom"/>
                  <w:hideMark/>
                </w:tcPr>
                <w:p w14:paraId="7D4CB991" w14:textId="77777777" w:rsidR="00322670" w:rsidRPr="009D76D9" w:rsidRDefault="00322670" w:rsidP="00B45C33">
                  <w:pPr>
                    <w:spacing w:after="0" w:line="240" w:lineRule="auto"/>
                    <w:ind w:firstLineChars="100" w:firstLine="161"/>
                    <w:rPr>
                      <w:rFonts w:ascii="Times New Roman" w:eastAsia="Times New Roman" w:hAnsi="Times New Roman" w:cs="Times New Roman"/>
                      <w:b/>
                      <w:bCs/>
                      <w:color w:val="000000"/>
                      <w:sz w:val="16"/>
                      <w:szCs w:val="16"/>
                      <w:lang w:eastAsia="es-GT"/>
                    </w:rPr>
                  </w:pPr>
                  <w:r w:rsidRPr="009D76D9">
                    <w:rPr>
                      <w:rFonts w:ascii="Times New Roman" w:eastAsia="Times New Roman" w:hAnsi="Times New Roman" w:cs="Times New Roman"/>
                      <w:b/>
                      <w:bCs/>
                      <w:color w:val="000000"/>
                      <w:sz w:val="16"/>
                      <w:szCs w:val="16"/>
                      <w:lang w:eastAsia="es-GT"/>
                    </w:rPr>
                    <w:t>Economías avanzadas</w:t>
                  </w:r>
                </w:p>
              </w:tc>
              <w:tc>
                <w:tcPr>
                  <w:tcW w:w="873" w:type="dxa"/>
                  <w:tcBorders>
                    <w:top w:val="nil"/>
                    <w:left w:val="nil"/>
                    <w:bottom w:val="nil"/>
                    <w:right w:val="nil"/>
                  </w:tcBorders>
                  <w:shd w:val="clear" w:color="auto" w:fill="auto"/>
                  <w:noWrap/>
                  <w:vAlign w:val="center"/>
                  <w:hideMark/>
                </w:tcPr>
                <w:p w14:paraId="0377EDA2" w14:textId="77777777" w:rsidR="00322670" w:rsidRPr="009D76D9" w:rsidRDefault="00322670" w:rsidP="00DE1FBB">
                  <w:pPr>
                    <w:spacing w:after="0" w:line="240" w:lineRule="auto"/>
                    <w:jc w:val="center"/>
                    <w:rPr>
                      <w:rFonts w:ascii="Times New Roman" w:eastAsia="Times New Roman" w:hAnsi="Times New Roman" w:cs="Times New Roman"/>
                      <w:b/>
                      <w:bCs/>
                      <w:color w:val="000000"/>
                      <w:sz w:val="16"/>
                      <w:szCs w:val="16"/>
                      <w:lang w:eastAsia="es-GT"/>
                    </w:rPr>
                  </w:pPr>
                  <w:r w:rsidRPr="009D76D9">
                    <w:rPr>
                      <w:rFonts w:ascii="Times New Roman" w:eastAsia="Times New Roman" w:hAnsi="Times New Roman" w:cs="Times New Roman"/>
                      <w:b/>
                      <w:bCs/>
                      <w:color w:val="000000"/>
                      <w:sz w:val="16"/>
                      <w:szCs w:val="16"/>
                      <w:lang w:eastAsia="es-GT"/>
                    </w:rPr>
                    <w:t>2.2</w:t>
                  </w:r>
                </w:p>
              </w:tc>
              <w:tc>
                <w:tcPr>
                  <w:tcW w:w="850" w:type="dxa"/>
                  <w:tcBorders>
                    <w:top w:val="nil"/>
                    <w:left w:val="nil"/>
                    <w:bottom w:val="nil"/>
                    <w:right w:val="nil"/>
                  </w:tcBorders>
                  <w:shd w:val="clear" w:color="auto" w:fill="auto"/>
                  <w:noWrap/>
                  <w:vAlign w:val="center"/>
                  <w:hideMark/>
                </w:tcPr>
                <w:p w14:paraId="2AE4205E" w14:textId="77777777" w:rsidR="00322670" w:rsidRPr="009D76D9" w:rsidRDefault="00322670" w:rsidP="00DE1FBB">
                  <w:pPr>
                    <w:spacing w:after="0" w:line="240" w:lineRule="auto"/>
                    <w:jc w:val="center"/>
                    <w:rPr>
                      <w:rFonts w:ascii="Times New Roman" w:eastAsia="Times New Roman" w:hAnsi="Times New Roman" w:cs="Times New Roman"/>
                      <w:b/>
                      <w:bCs/>
                      <w:color w:val="000000"/>
                      <w:sz w:val="16"/>
                      <w:szCs w:val="16"/>
                      <w:lang w:eastAsia="es-GT"/>
                    </w:rPr>
                  </w:pPr>
                  <w:r>
                    <w:rPr>
                      <w:rFonts w:ascii="Times New Roman" w:eastAsia="Times New Roman" w:hAnsi="Times New Roman" w:cs="Times New Roman"/>
                      <w:b/>
                      <w:bCs/>
                      <w:color w:val="000000"/>
                      <w:sz w:val="16"/>
                      <w:szCs w:val="16"/>
                      <w:lang w:eastAsia="es-GT"/>
                    </w:rPr>
                    <w:t>1.6</w:t>
                  </w:r>
                </w:p>
              </w:tc>
              <w:tc>
                <w:tcPr>
                  <w:tcW w:w="709" w:type="dxa"/>
                  <w:tcBorders>
                    <w:top w:val="nil"/>
                    <w:left w:val="nil"/>
                    <w:bottom w:val="nil"/>
                    <w:right w:val="single" w:sz="4" w:space="0" w:color="auto"/>
                  </w:tcBorders>
                  <w:shd w:val="clear" w:color="auto" w:fill="auto"/>
                  <w:noWrap/>
                  <w:vAlign w:val="center"/>
                  <w:hideMark/>
                </w:tcPr>
                <w:p w14:paraId="0CBA78B0" w14:textId="77777777" w:rsidR="00322670" w:rsidRPr="009D76D9" w:rsidRDefault="00322670" w:rsidP="00DE1FBB">
                  <w:pPr>
                    <w:spacing w:after="0" w:line="240" w:lineRule="auto"/>
                    <w:jc w:val="center"/>
                    <w:rPr>
                      <w:rFonts w:ascii="Times New Roman" w:eastAsia="Times New Roman" w:hAnsi="Times New Roman" w:cs="Times New Roman"/>
                      <w:b/>
                      <w:bCs/>
                      <w:color w:val="000000"/>
                      <w:sz w:val="16"/>
                      <w:szCs w:val="16"/>
                      <w:lang w:eastAsia="es-GT"/>
                    </w:rPr>
                  </w:pPr>
                  <w:r w:rsidRPr="009D76D9">
                    <w:rPr>
                      <w:rFonts w:ascii="Times New Roman" w:eastAsia="Times New Roman" w:hAnsi="Times New Roman" w:cs="Times New Roman"/>
                      <w:b/>
                      <w:bCs/>
                      <w:color w:val="000000"/>
                      <w:sz w:val="16"/>
                      <w:szCs w:val="16"/>
                      <w:lang w:eastAsia="es-GT"/>
                    </w:rPr>
                    <w:t>-4.7</w:t>
                  </w:r>
                </w:p>
              </w:tc>
            </w:tr>
            <w:tr w:rsidR="00322670" w:rsidRPr="009D76D9" w14:paraId="518AA1CE" w14:textId="77777777" w:rsidTr="00DE1FBB">
              <w:trPr>
                <w:trHeight w:val="102"/>
              </w:trPr>
              <w:tc>
                <w:tcPr>
                  <w:tcW w:w="3517" w:type="dxa"/>
                  <w:tcBorders>
                    <w:top w:val="nil"/>
                    <w:left w:val="single" w:sz="4" w:space="0" w:color="auto"/>
                    <w:bottom w:val="nil"/>
                    <w:right w:val="nil"/>
                  </w:tcBorders>
                  <w:shd w:val="clear" w:color="auto" w:fill="auto"/>
                  <w:noWrap/>
                  <w:vAlign w:val="bottom"/>
                  <w:hideMark/>
                </w:tcPr>
                <w:p w14:paraId="77D5BF85" w14:textId="77777777" w:rsidR="00322670" w:rsidRPr="009D76D9" w:rsidRDefault="00322670" w:rsidP="00DE1FBB">
                  <w:pPr>
                    <w:spacing w:after="0" w:line="240" w:lineRule="auto"/>
                    <w:ind w:firstLineChars="100" w:firstLine="16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Estados Unidos</w:t>
                  </w:r>
                </w:p>
              </w:tc>
              <w:tc>
                <w:tcPr>
                  <w:tcW w:w="873" w:type="dxa"/>
                  <w:tcBorders>
                    <w:top w:val="nil"/>
                    <w:left w:val="nil"/>
                    <w:bottom w:val="nil"/>
                    <w:right w:val="nil"/>
                  </w:tcBorders>
                  <w:shd w:val="clear" w:color="auto" w:fill="auto"/>
                  <w:noWrap/>
                  <w:vAlign w:val="center"/>
                  <w:hideMark/>
                </w:tcPr>
                <w:p w14:paraId="5E21447B"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2.9</w:t>
                  </w:r>
                </w:p>
              </w:tc>
              <w:tc>
                <w:tcPr>
                  <w:tcW w:w="850" w:type="dxa"/>
                  <w:tcBorders>
                    <w:top w:val="nil"/>
                    <w:left w:val="nil"/>
                    <w:bottom w:val="nil"/>
                    <w:right w:val="nil"/>
                  </w:tcBorders>
                  <w:shd w:val="clear" w:color="auto" w:fill="auto"/>
                  <w:noWrap/>
                  <w:vAlign w:val="center"/>
                  <w:hideMark/>
                </w:tcPr>
                <w:p w14:paraId="3D4D0391"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Pr>
                      <w:rFonts w:ascii="Times New Roman" w:eastAsia="Times New Roman" w:hAnsi="Times New Roman" w:cs="Times New Roman"/>
                      <w:color w:val="000000"/>
                      <w:sz w:val="16"/>
                      <w:szCs w:val="16"/>
                      <w:lang w:eastAsia="es-GT"/>
                    </w:rPr>
                    <w:t>2.2</w:t>
                  </w:r>
                </w:p>
              </w:tc>
              <w:tc>
                <w:tcPr>
                  <w:tcW w:w="709" w:type="dxa"/>
                  <w:tcBorders>
                    <w:top w:val="nil"/>
                    <w:left w:val="nil"/>
                    <w:bottom w:val="nil"/>
                    <w:right w:val="single" w:sz="4" w:space="0" w:color="auto"/>
                  </w:tcBorders>
                  <w:shd w:val="clear" w:color="auto" w:fill="auto"/>
                  <w:noWrap/>
                  <w:vAlign w:val="center"/>
                  <w:hideMark/>
                </w:tcPr>
                <w:p w14:paraId="4E8EA632"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-3.5</w:t>
                  </w:r>
                </w:p>
              </w:tc>
            </w:tr>
            <w:tr w:rsidR="00322670" w:rsidRPr="009D76D9" w14:paraId="6BEFBD2B" w14:textId="77777777" w:rsidTr="00DE1FBB">
              <w:trPr>
                <w:trHeight w:val="70"/>
              </w:trPr>
              <w:tc>
                <w:tcPr>
                  <w:tcW w:w="3517" w:type="dxa"/>
                  <w:tcBorders>
                    <w:top w:val="nil"/>
                    <w:left w:val="single" w:sz="4" w:space="0" w:color="auto"/>
                    <w:bottom w:val="nil"/>
                    <w:right w:val="nil"/>
                  </w:tcBorders>
                  <w:shd w:val="clear" w:color="auto" w:fill="auto"/>
                  <w:noWrap/>
                  <w:vAlign w:val="bottom"/>
                  <w:hideMark/>
                </w:tcPr>
                <w:p w14:paraId="4E6E4D47" w14:textId="77777777" w:rsidR="00322670" w:rsidRPr="009D76D9" w:rsidRDefault="00322670" w:rsidP="00DE1FBB">
                  <w:pPr>
                    <w:spacing w:after="0" w:line="240" w:lineRule="auto"/>
                    <w:ind w:firstLineChars="100" w:firstLine="16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Zona del euro</w:t>
                  </w:r>
                </w:p>
              </w:tc>
              <w:tc>
                <w:tcPr>
                  <w:tcW w:w="873" w:type="dxa"/>
                  <w:tcBorders>
                    <w:top w:val="nil"/>
                    <w:left w:val="nil"/>
                    <w:bottom w:val="nil"/>
                    <w:right w:val="nil"/>
                  </w:tcBorders>
                  <w:shd w:val="clear" w:color="auto" w:fill="auto"/>
                  <w:noWrap/>
                  <w:vAlign w:val="center"/>
                  <w:hideMark/>
                </w:tcPr>
                <w:p w14:paraId="789776C7"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1.9</w:t>
                  </w:r>
                </w:p>
              </w:tc>
              <w:tc>
                <w:tcPr>
                  <w:tcW w:w="850" w:type="dxa"/>
                  <w:tcBorders>
                    <w:top w:val="nil"/>
                    <w:left w:val="nil"/>
                    <w:bottom w:val="nil"/>
                    <w:right w:val="nil"/>
                  </w:tcBorders>
                  <w:shd w:val="clear" w:color="auto" w:fill="auto"/>
                  <w:noWrap/>
                  <w:vAlign w:val="center"/>
                  <w:hideMark/>
                </w:tcPr>
                <w:p w14:paraId="65B4B643"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Pr>
                      <w:rFonts w:ascii="Times New Roman" w:eastAsia="Times New Roman" w:hAnsi="Times New Roman" w:cs="Times New Roman"/>
                      <w:color w:val="000000"/>
                      <w:sz w:val="16"/>
                      <w:szCs w:val="16"/>
                      <w:lang w:eastAsia="es-GT"/>
                    </w:rPr>
                    <w:t>1.3</w:t>
                  </w:r>
                </w:p>
              </w:tc>
              <w:tc>
                <w:tcPr>
                  <w:tcW w:w="709" w:type="dxa"/>
                  <w:tcBorders>
                    <w:top w:val="nil"/>
                    <w:left w:val="nil"/>
                    <w:bottom w:val="nil"/>
                    <w:right w:val="single" w:sz="4" w:space="0" w:color="auto"/>
                  </w:tcBorders>
                  <w:shd w:val="clear" w:color="auto" w:fill="auto"/>
                  <w:noWrap/>
                  <w:vAlign w:val="center"/>
                  <w:hideMark/>
                </w:tcPr>
                <w:p w14:paraId="60C11FD9"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-6.6</w:t>
                  </w:r>
                </w:p>
              </w:tc>
            </w:tr>
            <w:tr w:rsidR="00322670" w:rsidRPr="009D76D9" w14:paraId="21BD2C1C" w14:textId="77777777" w:rsidTr="00DE1FBB">
              <w:trPr>
                <w:trHeight w:val="70"/>
              </w:trPr>
              <w:tc>
                <w:tcPr>
                  <w:tcW w:w="3517" w:type="dxa"/>
                  <w:tcBorders>
                    <w:top w:val="nil"/>
                    <w:left w:val="single" w:sz="4" w:space="0" w:color="auto"/>
                    <w:bottom w:val="nil"/>
                    <w:right w:val="nil"/>
                  </w:tcBorders>
                  <w:shd w:val="clear" w:color="auto" w:fill="auto"/>
                  <w:noWrap/>
                  <w:vAlign w:val="bottom"/>
                  <w:hideMark/>
                </w:tcPr>
                <w:p w14:paraId="673905B1" w14:textId="77777777" w:rsidR="00322670" w:rsidRPr="009D76D9" w:rsidRDefault="00322670" w:rsidP="00DE1FBB">
                  <w:pPr>
                    <w:spacing w:after="0" w:line="240" w:lineRule="auto"/>
                    <w:ind w:firstLineChars="200" w:firstLine="32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Alemania</w:t>
                  </w:r>
                </w:p>
              </w:tc>
              <w:tc>
                <w:tcPr>
                  <w:tcW w:w="873" w:type="dxa"/>
                  <w:tcBorders>
                    <w:top w:val="nil"/>
                    <w:left w:val="nil"/>
                    <w:bottom w:val="nil"/>
                    <w:right w:val="nil"/>
                  </w:tcBorders>
                  <w:shd w:val="clear" w:color="auto" w:fill="auto"/>
                  <w:noWrap/>
                  <w:vAlign w:val="center"/>
                  <w:hideMark/>
                </w:tcPr>
                <w:p w14:paraId="119C46DF"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1.5</w:t>
                  </w:r>
                </w:p>
              </w:tc>
              <w:tc>
                <w:tcPr>
                  <w:tcW w:w="850" w:type="dxa"/>
                  <w:tcBorders>
                    <w:top w:val="nil"/>
                    <w:left w:val="nil"/>
                    <w:bottom w:val="nil"/>
                    <w:right w:val="nil"/>
                  </w:tcBorders>
                  <w:shd w:val="clear" w:color="auto" w:fill="auto"/>
                  <w:noWrap/>
                  <w:vAlign w:val="center"/>
                  <w:hideMark/>
                </w:tcPr>
                <w:p w14:paraId="33579E3F"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Pr>
                      <w:rFonts w:ascii="Times New Roman" w:eastAsia="Times New Roman" w:hAnsi="Times New Roman" w:cs="Times New Roman"/>
                      <w:color w:val="000000"/>
                      <w:sz w:val="16"/>
                      <w:szCs w:val="16"/>
                      <w:lang w:eastAsia="es-GT"/>
                    </w:rPr>
                    <w:t>0.6</w:t>
                  </w:r>
                </w:p>
              </w:tc>
              <w:tc>
                <w:tcPr>
                  <w:tcW w:w="709" w:type="dxa"/>
                  <w:tcBorders>
                    <w:top w:val="nil"/>
                    <w:left w:val="nil"/>
                    <w:bottom w:val="nil"/>
                    <w:right w:val="single" w:sz="4" w:space="0" w:color="auto"/>
                  </w:tcBorders>
                  <w:shd w:val="clear" w:color="auto" w:fill="auto"/>
                  <w:noWrap/>
                  <w:vAlign w:val="center"/>
                  <w:hideMark/>
                </w:tcPr>
                <w:p w14:paraId="435EAA6F"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-4.9</w:t>
                  </w:r>
                </w:p>
              </w:tc>
            </w:tr>
            <w:tr w:rsidR="00322670" w:rsidRPr="009D76D9" w14:paraId="557F3D61" w14:textId="77777777" w:rsidTr="00DE1FBB">
              <w:trPr>
                <w:trHeight w:val="124"/>
              </w:trPr>
              <w:tc>
                <w:tcPr>
                  <w:tcW w:w="3517" w:type="dxa"/>
                  <w:tcBorders>
                    <w:top w:val="nil"/>
                    <w:left w:val="single" w:sz="4" w:space="0" w:color="auto"/>
                    <w:bottom w:val="nil"/>
                    <w:right w:val="nil"/>
                  </w:tcBorders>
                  <w:shd w:val="clear" w:color="auto" w:fill="auto"/>
                  <w:noWrap/>
                  <w:vAlign w:val="bottom"/>
                  <w:hideMark/>
                </w:tcPr>
                <w:p w14:paraId="7151E218" w14:textId="77777777" w:rsidR="00322670" w:rsidRPr="009D76D9" w:rsidRDefault="00322670" w:rsidP="00DE1FBB">
                  <w:pPr>
                    <w:spacing w:after="0" w:line="240" w:lineRule="auto"/>
                    <w:ind w:firstLineChars="200" w:firstLine="32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Francia</w:t>
                  </w:r>
                </w:p>
              </w:tc>
              <w:tc>
                <w:tcPr>
                  <w:tcW w:w="873" w:type="dxa"/>
                  <w:tcBorders>
                    <w:top w:val="nil"/>
                    <w:left w:val="nil"/>
                    <w:bottom w:val="nil"/>
                    <w:right w:val="nil"/>
                  </w:tcBorders>
                  <w:shd w:val="clear" w:color="auto" w:fill="auto"/>
                  <w:noWrap/>
                  <w:vAlign w:val="center"/>
                  <w:hideMark/>
                </w:tcPr>
                <w:p w14:paraId="6D5BAE33"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1.7</w:t>
                  </w:r>
                </w:p>
              </w:tc>
              <w:tc>
                <w:tcPr>
                  <w:tcW w:w="850" w:type="dxa"/>
                  <w:tcBorders>
                    <w:top w:val="nil"/>
                    <w:left w:val="nil"/>
                    <w:bottom w:val="nil"/>
                    <w:right w:val="nil"/>
                  </w:tcBorders>
                  <w:shd w:val="clear" w:color="auto" w:fill="auto"/>
                  <w:noWrap/>
                  <w:vAlign w:val="center"/>
                  <w:hideMark/>
                </w:tcPr>
                <w:p w14:paraId="7136C18D"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Pr>
                      <w:rFonts w:ascii="Times New Roman" w:eastAsia="Times New Roman" w:hAnsi="Times New Roman" w:cs="Times New Roman"/>
                      <w:color w:val="000000"/>
                      <w:sz w:val="16"/>
                      <w:szCs w:val="16"/>
                      <w:lang w:eastAsia="es-GT"/>
                    </w:rPr>
                    <w:t>1.5</w:t>
                  </w:r>
                </w:p>
              </w:tc>
              <w:tc>
                <w:tcPr>
                  <w:tcW w:w="709" w:type="dxa"/>
                  <w:tcBorders>
                    <w:top w:val="nil"/>
                    <w:left w:val="nil"/>
                    <w:bottom w:val="nil"/>
                    <w:right w:val="single" w:sz="4" w:space="0" w:color="auto"/>
                  </w:tcBorders>
                  <w:shd w:val="clear" w:color="auto" w:fill="auto"/>
                  <w:noWrap/>
                  <w:vAlign w:val="center"/>
                  <w:hideMark/>
                </w:tcPr>
                <w:p w14:paraId="5CAC3522"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-8.2</w:t>
                  </w:r>
                </w:p>
              </w:tc>
            </w:tr>
            <w:tr w:rsidR="00322670" w:rsidRPr="009D76D9" w14:paraId="2057E0A5" w14:textId="77777777" w:rsidTr="00DE1FBB">
              <w:trPr>
                <w:trHeight w:val="70"/>
              </w:trPr>
              <w:tc>
                <w:tcPr>
                  <w:tcW w:w="3517" w:type="dxa"/>
                  <w:tcBorders>
                    <w:top w:val="nil"/>
                    <w:left w:val="single" w:sz="4" w:space="0" w:color="auto"/>
                    <w:bottom w:val="nil"/>
                    <w:right w:val="nil"/>
                  </w:tcBorders>
                  <w:shd w:val="clear" w:color="auto" w:fill="auto"/>
                  <w:noWrap/>
                  <w:vAlign w:val="bottom"/>
                  <w:hideMark/>
                </w:tcPr>
                <w:p w14:paraId="0D629EE3" w14:textId="77777777" w:rsidR="00322670" w:rsidRPr="009D76D9" w:rsidRDefault="00322670" w:rsidP="00DE1FBB">
                  <w:pPr>
                    <w:spacing w:after="0" w:line="240" w:lineRule="auto"/>
                    <w:ind w:firstLineChars="200" w:firstLine="32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Italia</w:t>
                  </w:r>
                </w:p>
              </w:tc>
              <w:tc>
                <w:tcPr>
                  <w:tcW w:w="873" w:type="dxa"/>
                  <w:tcBorders>
                    <w:top w:val="nil"/>
                    <w:left w:val="nil"/>
                    <w:bottom w:val="nil"/>
                    <w:right w:val="nil"/>
                  </w:tcBorders>
                  <w:shd w:val="clear" w:color="auto" w:fill="auto"/>
                  <w:noWrap/>
                  <w:vAlign w:val="center"/>
                  <w:hideMark/>
                </w:tcPr>
                <w:p w14:paraId="1B762C7B"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0.8</w:t>
                  </w:r>
                </w:p>
              </w:tc>
              <w:tc>
                <w:tcPr>
                  <w:tcW w:w="850" w:type="dxa"/>
                  <w:tcBorders>
                    <w:top w:val="nil"/>
                    <w:left w:val="nil"/>
                    <w:bottom w:val="nil"/>
                    <w:right w:val="nil"/>
                  </w:tcBorders>
                  <w:shd w:val="clear" w:color="auto" w:fill="auto"/>
                  <w:noWrap/>
                  <w:vAlign w:val="center"/>
                  <w:hideMark/>
                </w:tcPr>
                <w:p w14:paraId="1F951F23"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Pr>
                      <w:rFonts w:ascii="Times New Roman" w:eastAsia="Times New Roman" w:hAnsi="Times New Roman" w:cs="Times New Roman"/>
                      <w:color w:val="000000"/>
                      <w:sz w:val="16"/>
                      <w:szCs w:val="16"/>
                      <w:lang w:eastAsia="es-GT"/>
                    </w:rPr>
                    <w:t>0.3</w:t>
                  </w:r>
                </w:p>
              </w:tc>
              <w:tc>
                <w:tcPr>
                  <w:tcW w:w="709" w:type="dxa"/>
                  <w:tcBorders>
                    <w:top w:val="nil"/>
                    <w:left w:val="nil"/>
                    <w:bottom w:val="nil"/>
                    <w:right w:val="single" w:sz="4" w:space="0" w:color="auto"/>
                  </w:tcBorders>
                  <w:shd w:val="clear" w:color="auto" w:fill="auto"/>
                  <w:noWrap/>
                  <w:vAlign w:val="center"/>
                  <w:hideMark/>
                </w:tcPr>
                <w:p w14:paraId="36D83AE3"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-8.9</w:t>
                  </w:r>
                </w:p>
              </w:tc>
            </w:tr>
            <w:tr w:rsidR="00322670" w:rsidRPr="009D76D9" w14:paraId="6AC8F5A3" w14:textId="77777777" w:rsidTr="00DE1FBB">
              <w:trPr>
                <w:trHeight w:val="70"/>
              </w:trPr>
              <w:tc>
                <w:tcPr>
                  <w:tcW w:w="3517" w:type="dxa"/>
                  <w:tcBorders>
                    <w:top w:val="nil"/>
                    <w:left w:val="single" w:sz="4" w:space="0" w:color="auto"/>
                    <w:bottom w:val="nil"/>
                    <w:right w:val="nil"/>
                  </w:tcBorders>
                  <w:shd w:val="clear" w:color="auto" w:fill="auto"/>
                  <w:noWrap/>
                  <w:vAlign w:val="bottom"/>
                  <w:hideMark/>
                </w:tcPr>
                <w:p w14:paraId="6651ED09" w14:textId="77777777" w:rsidR="00322670" w:rsidRPr="009D76D9" w:rsidRDefault="00322670" w:rsidP="00DE1FBB">
                  <w:pPr>
                    <w:spacing w:after="0" w:line="240" w:lineRule="auto"/>
                    <w:ind w:firstLineChars="200" w:firstLine="32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España</w:t>
                  </w:r>
                </w:p>
              </w:tc>
              <w:tc>
                <w:tcPr>
                  <w:tcW w:w="873" w:type="dxa"/>
                  <w:tcBorders>
                    <w:top w:val="nil"/>
                    <w:left w:val="nil"/>
                    <w:bottom w:val="nil"/>
                    <w:right w:val="nil"/>
                  </w:tcBorders>
                  <w:shd w:val="clear" w:color="auto" w:fill="auto"/>
                  <w:noWrap/>
                  <w:vAlign w:val="center"/>
                  <w:hideMark/>
                </w:tcPr>
                <w:p w14:paraId="6FFF5CF7"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2.4</w:t>
                  </w:r>
                </w:p>
              </w:tc>
              <w:tc>
                <w:tcPr>
                  <w:tcW w:w="850" w:type="dxa"/>
                  <w:tcBorders>
                    <w:top w:val="nil"/>
                    <w:left w:val="nil"/>
                    <w:bottom w:val="nil"/>
                    <w:right w:val="nil"/>
                  </w:tcBorders>
                  <w:shd w:val="clear" w:color="auto" w:fill="auto"/>
                  <w:noWrap/>
                  <w:vAlign w:val="center"/>
                  <w:hideMark/>
                </w:tcPr>
                <w:p w14:paraId="329E62BF"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2.0</w:t>
                  </w:r>
                </w:p>
              </w:tc>
              <w:tc>
                <w:tcPr>
                  <w:tcW w:w="709" w:type="dxa"/>
                  <w:tcBorders>
                    <w:top w:val="nil"/>
                    <w:left w:val="nil"/>
                    <w:bottom w:val="nil"/>
                    <w:right w:val="single" w:sz="4" w:space="0" w:color="auto"/>
                  </w:tcBorders>
                  <w:shd w:val="clear" w:color="auto" w:fill="auto"/>
                  <w:noWrap/>
                  <w:vAlign w:val="center"/>
                  <w:hideMark/>
                </w:tcPr>
                <w:p w14:paraId="013F0C56"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-11.0</w:t>
                  </w:r>
                </w:p>
              </w:tc>
            </w:tr>
            <w:tr w:rsidR="00322670" w:rsidRPr="009D76D9" w14:paraId="037C8A22" w14:textId="77777777" w:rsidTr="00DE1FBB">
              <w:trPr>
                <w:trHeight w:val="70"/>
              </w:trPr>
              <w:tc>
                <w:tcPr>
                  <w:tcW w:w="3517" w:type="dxa"/>
                  <w:tcBorders>
                    <w:top w:val="nil"/>
                    <w:left w:val="single" w:sz="4" w:space="0" w:color="auto"/>
                    <w:bottom w:val="nil"/>
                    <w:right w:val="nil"/>
                  </w:tcBorders>
                  <w:shd w:val="clear" w:color="auto" w:fill="auto"/>
                  <w:noWrap/>
                  <w:vAlign w:val="bottom"/>
                  <w:hideMark/>
                </w:tcPr>
                <w:p w14:paraId="3A846979" w14:textId="77777777" w:rsidR="00322670" w:rsidRPr="009D76D9" w:rsidRDefault="00322670" w:rsidP="00DE1FBB">
                  <w:pPr>
                    <w:spacing w:after="0" w:line="240" w:lineRule="auto"/>
                    <w:ind w:firstLineChars="100" w:firstLine="16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Japón</w:t>
                  </w:r>
                </w:p>
              </w:tc>
              <w:tc>
                <w:tcPr>
                  <w:tcW w:w="873" w:type="dxa"/>
                  <w:tcBorders>
                    <w:top w:val="nil"/>
                    <w:left w:val="nil"/>
                    <w:bottom w:val="nil"/>
                    <w:right w:val="nil"/>
                  </w:tcBorders>
                  <w:shd w:val="clear" w:color="auto" w:fill="auto"/>
                  <w:noWrap/>
                  <w:vAlign w:val="center"/>
                  <w:hideMark/>
                </w:tcPr>
                <w:p w14:paraId="04CF24B2"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0.3</w:t>
                  </w:r>
                </w:p>
              </w:tc>
              <w:tc>
                <w:tcPr>
                  <w:tcW w:w="850" w:type="dxa"/>
                  <w:tcBorders>
                    <w:top w:val="nil"/>
                    <w:left w:val="nil"/>
                    <w:bottom w:val="nil"/>
                    <w:right w:val="nil"/>
                  </w:tcBorders>
                  <w:shd w:val="clear" w:color="auto" w:fill="auto"/>
                  <w:noWrap/>
                  <w:vAlign w:val="center"/>
                  <w:hideMark/>
                </w:tcPr>
                <w:p w14:paraId="19BF7D0F"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Pr>
                      <w:rFonts w:ascii="Times New Roman" w:eastAsia="Times New Roman" w:hAnsi="Times New Roman" w:cs="Times New Roman"/>
                      <w:color w:val="000000"/>
                      <w:sz w:val="16"/>
                      <w:szCs w:val="16"/>
                      <w:lang w:eastAsia="es-GT"/>
                    </w:rPr>
                    <w:t>0.3</w:t>
                  </w:r>
                </w:p>
              </w:tc>
              <w:tc>
                <w:tcPr>
                  <w:tcW w:w="709" w:type="dxa"/>
                  <w:tcBorders>
                    <w:top w:val="nil"/>
                    <w:left w:val="nil"/>
                    <w:bottom w:val="nil"/>
                    <w:right w:val="single" w:sz="4" w:space="0" w:color="auto"/>
                  </w:tcBorders>
                  <w:shd w:val="clear" w:color="auto" w:fill="auto"/>
                  <w:noWrap/>
                  <w:vAlign w:val="center"/>
                  <w:hideMark/>
                </w:tcPr>
                <w:p w14:paraId="622D6B5C"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-4.8</w:t>
                  </w:r>
                </w:p>
              </w:tc>
            </w:tr>
            <w:tr w:rsidR="00322670" w:rsidRPr="009D76D9" w14:paraId="45C53235" w14:textId="77777777" w:rsidTr="00DE1FBB">
              <w:trPr>
                <w:trHeight w:val="70"/>
              </w:trPr>
              <w:tc>
                <w:tcPr>
                  <w:tcW w:w="3517" w:type="dxa"/>
                  <w:tcBorders>
                    <w:top w:val="nil"/>
                    <w:left w:val="single" w:sz="4" w:space="0" w:color="auto"/>
                    <w:bottom w:val="nil"/>
                    <w:right w:val="nil"/>
                  </w:tcBorders>
                  <w:shd w:val="clear" w:color="auto" w:fill="auto"/>
                  <w:noWrap/>
                  <w:vAlign w:val="bottom"/>
                  <w:hideMark/>
                </w:tcPr>
                <w:p w14:paraId="5BCBE86E" w14:textId="77777777" w:rsidR="00322670" w:rsidRPr="009D76D9" w:rsidRDefault="00322670" w:rsidP="00DE1FBB">
                  <w:pPr>
                    <w:spacing w:after="0" w:line="240" w:lineRule="auto"/>
                    <w:ind w:firstLineChars="100" w:firstLine="16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Reino Unido</w:t>
                  </w:r>
                </w:p>
              </w:tc>
              <w:tc>
                <w:tcPr>
                  <w:tcW w:w="873" w:type="dxa"/>
                  <w:tcBorders>
                    <w:top w:val="nil"/>
                    <w:left w:val="nil"/>
                    <w:bottom w:val="nil"/>
                    <w:right w:val="nil"/>
                  </w:tcBorders>
                  <w:shd w:val="clear" w:color="auto" w:fill="auto"/>
                  <w:noWrap/>
                  <w:vAlign w:val="center"/>
                  <w:hideMark/>
                </w:tcPr>
                <w:p w14:paraId="38A0B900"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1.3</w:t>
                  </w:r>
                </w:p>
              </w:tc>
              <w:tc>
                <w:tcPr>
                  <w:tcW w:w="850" w:type="dxa"/>
                  <w:tcBorders>
                    <w:top w:val="nil"/>
                    <w:left w:val="nil"/>
                    <w:bottom w:val="nil"/>
                    <w:right w:val="nil"/>
                  </w:tcBorders>
                  <w:shd w:val="clear" w:color="auto" w:fill="auto"/>
                  <w:noWrap/>
                  <w:vAlign w:val="center"/>
                  <w:hideMark/>
                </w:tcPr>
                <w:p w14:paraId="08E60434"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Pr>
                      <w:rFonts w:ascii="Times New Roman" w:eastAsia="Times New Roman" w:hAnsi="Times New Roman" w:cs="Times New Roman"/>
                      <w:color w:val="000000"/>
                      <w:sz w:val="16"/>
                      <w:szCs w:val="16"/>
                      <w:lang w:eastAsia="es-GT"/>
                    </w:rPr>
                    <w:t>1.4</w:t>
                  </w:r>
                </w:p>
              </w:tc>
              <w:tc>
                <w:tcPr>
                  <w:tcW w:w="709" w:type="dxa"/>
                  <w:tcBorders>
                    <w:top w:val="nil"/>
                    <w:left w:val="nil"/>
                    <w:bottom w:val="nil"/>
                    <w:right w:val="single" w:sz="4" w:space="0" w:color="auto"/>
                  </w:tcBorders>
                  <w:shd w:val="clear" w:color="auto" w:fill="auto"/>
                  <w:noWrap/>
                  <w:vAlign w:val="center"/>
                  <w:hideMark/>
                </w:tcPr>
                <w:p w14:paraId="7B3BF223"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-9.9</w:t>
                  </w:r>
                </w:p>
              </w:tc>
            </w:tr>
            <w:tr w:rsidR="00322670" w:rsidRPr="009D76D9" w14:paraId="51D2AA55" w14:textId="77777777" w:rsidTr="00DE1FBB">
              <w:trPr>
                <w:trHeight w:val="70"/>
              </w:trPr>
              <w:tc>
                <w:tcPr>
                  <w:tcW w:w="3517" w:type="dxa"/>
                  <w:tcBorders>
                    <w:top w:val="nil"/>
                    <w:left w:val="single" w:sz="4" w:space="0" w:color="auto"/>
                    <w:bottom w:val="nil"/>
                    <w:right w:val="nil"/>
                  </w:tcBorders>
                  <w:shd w:val="clear" w:color="auto" w:fill="auto"/>
                  <w:noWrap/>
                  <w:vAlign w:val="bottom"/>
                  <w:hideMark/>
                </w:tcPr>
                <w:p w14:paraId="39240115" w14:textId="77777777" w:rsidR="00322670" w:rsidRPr="009D76D9" w:rsidRDefault="00322670" w:rsidP="00DE1FBB">
                  <w:pPr>
                    <w:spacing w:after="0" w:line="240" w:lineRule="auto"/>
                    <w:ind w:firstLineChars="100" w:firstLine="16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Canadá</w:t>
                  </w:r>
                </w:p>
              </w:tc>
              <w:tc>
                <w:tcPr>
                  <w:tcW w:w="873" w:type="dxa"/>
                  <w:tcBorders>
                    <w:top w:val="nil"/>
                    <w:left w:val="nil"/>
                    <w:bottom w:val="nil"/>
                    <w:right w:val="nil"/>
                  </w:tcBorders>
                  <w:shd w:val="clear" w:color="auto" w:fill="auto"/>
                  <w:noWrap/>
                  <w:vAlign w:val="center"/>
                  <w:hideMark/>
                </w:tcPr>
                <w:p w14:paraId="354A56B3"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1.9</w:t>
                  </w:r>
                </w:p>
              </w:tc>
              <w:tc>
                <w:tcPr>
                  <w:tcW w:w="850" w:type="dxa"/>
                  <w:tcBorders>
                    <w:top w:val="nil"/>
                    <w:left w:val="nil"/>
                    <w:bottom w:val="nil"/>
                    <w:right w:val="nil"/>
                  </w:tcBorders>
                  <w:shd w:val="clear" w:color="auto" w:fill="auto"/>
                  <w:noWrap/>
                  <w:vAlign w:val="center"/>
                  <w:hideMark/>
                </w:tcPr>
                <w:p w14:paraId="7FECE338"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Pr>
                      <w:rFonts w:ascii="Times New Roman" w:eastAsia="Times New Roman" w:hAnsi="Times New Roman" w:cs="Times New Roman"/>
                      <w:color w:val="000000"/>
                      <w:sz w:val="16"/>
                      <w:szCs w:val="16"/>
                      <w:lang w:eastAsia="es-GT"/>
                    </w:rPr>
                    <w:t>1.9</w:t>
                  </w:r>
                </w:p>
              </w:tc>
              <w:tc>
                <w:tcPr>
                  <w:tcW w:w="709" w:type="dxa"/>
                  <w:tcBorders>
                    <w:top w:val="nil"/>
                    <w:left w:val="nil"/>
                    <w:bottom w:val="nil"/>
                    <w:right w:val="single" w:sz="4" w:space="0" w:color="auto"/>
                  </w:tcBorders>
                  <w:shd w:val="clear" w:color="auto" w:fill="auto"/>
                  <w:noWrap/>
                  <w:vAlign w:val="center"/>
                  <w:hideMark/>
                </w:tcPr>
                <w:p w14:paraId="3DD5E583"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-5.4</w:t>
                  </w:r>
                </w:p>
              </w:tc>
            </w:tr>
            <w:tr w:rsidR="00322670" w:rsidRPr="009D76D9" w14:paraId="099B0D8A" w14:textId="77777777" w:rsidTr="00DE1FBB">
              <w:trPr>
                <w:trHeight w:val="70"/>
              </w:trPr>
              <w:tc>
                <w:tcPr>
                  <w:tcW w:w="3517" w:type="dxa"/>
                  <w:tcBorders>
                    <w:top w:val="nil"/>
                    <w:left w:val="single" w:sz="4" w:space="0" w:color="auto"/>
                    <w:bottom w:val="nil"/>
                    <w:right w:val="nil"/>
                  </w:tcBorders>
                  <w:shd w:val="clear" w:color="auto" w:fill="auto"/>
                  <w:noWrap/>
                  <w:vAlign w:val="bottom"/>
                  <w:hideMark/>
                </w:tcPr>
                <w:p w14:paraId="19DD4D42" w14:textId="77777777" w:rsidR="00322670" w:rsidRPr="009D76D9" w:rsidRDefault="00322670" w:rsidP="00DE1FBB">
                  <w:pPr>
                    <w:spacing w:after="0" w:line="240" w:lineRule="auto"/>
                    <w:ind w:firstLineChars="100" w:firstLine="16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Otras economías avanzadas</w:t>
                  </w:r>
                </w:p>
              </w:tc>
              <w:tc>
                <w:tcPr>
                  <w:tcW w:w="873" w:type="dxa"/>
                  <w:tcBorders>
                    <w:top w:val="nil"/>
                    <w:left w:val="nil"/>
                    <w:bottom w:val="nil"/>
                    <w:right w:val="nil"/>
                  </w:tcBorders>
                  <w:shd w:val="clear" w:color="auto" w:fill="auto"/>
                  <w:noWrap/>
                  <w:vAlign w:val="center"/>
                  <w:hideMark/>
                </w:tcPr>
                <w:p w14:paraId="59E9904D"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2.6</w:t>
                  </w:r>
                </w:p>
              </w:tc>
              <w:tc>
                <w:tcPr>
                  <w:tcW w:w="850" w:type="dxa"/>
                  <w:tcBorders>
                    <w:top w:val="nil"/>
                    <w:left w:val="nil"/>
                    <w:bottom w:val="nil"/>
                    <w:right w:val="nil"/>
                  </w:tcBorders>
                  <w:shd w:val="clear" w:color="auto" w:fill="auto"/>
                  <w:noWrap/>
                  <w:vAlign w:val="center"/>
                  <w:hideMark/>
                </w:tcPr>
                <w:p w14:paraId="7051C412"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Pr>
                      <w:rFonts w:ascii="Times New Roman" w:eastAsia="Times New Roman" w:hAnsi="Times New Roman" w:cs="Times New Roman"/>
                      <w:color w:val="000000"/>
                      <w:sz w:val="16"/>
                      <w:szCs w:val="16"/>
                      <w:lang w:eastAsia="es-GT"/>
                    </w:rPr>
                    <w:t>1.8</w:t>
                  </w:r>
                </w:p>
              </w:tc>
              <w:tc>
                <w:tcPr>
                  <w:tcW w:w="709" w:type="dxa"/>
                  <w:tcBorders>
                    <w:top w:val="nil"/>
                    <w:left w:val="nil"/>
                    <w:bottom w:val="nil"/>
                    <w:right w:val="single" w:sz="4" w:space="0" w:color="auto"/>
                  </w:tcBorders>
                  <w:shd w:val="clear" w:color="auto" w:fill="auto"/>
                  <w:noWrap/>
                  <w:vAlign w:val="center"/>
                  <w:hideMark/>
                </w:tcPr>
                <w:p w14:paraId="0BDBC82D"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-2.1</w:t>
                  </w:r>
                </w:p>
              </w:tc>
            </w:tr>
            <w:tr w:rsidR="00322670" w:rsidRPr="009D76D9" w14:paraId="67D0F4B0" w14:textId="77777777" w:rsidTr="00DE1FBB">
              <w:trPr>
                <w:trHeight w:val="99"/>
              </w:trPr>
              <w:tc>
                <w:tcPr>
                  <w:tcW w:w="3517" w:type="dxa"/>
                  <w:tcBorders>
                    <w:top w:val="nil"/>
                    <w:left w:val="single" w:sz="4" w:space="0" w:color="auto"/>
                    <w:bottom w:val="nil"/>
                    <w:right w:val="nil"/>
                  </w:tcBorders>
                  <w:shd w:val="clear" w:color="000000" w:fill="D9D9D9"/>
                  <w:noWrap/>
                  <w:vAlign w:val="bottom"/>
                  <w:hideMark/>
                </w:tcPr>
                <w:p w14:paraId="1C631A89" w14:textId="77777777" w:rsidR="00322670" w:rsidRPr="009D76D9" w:rsidRDefault="00322670" w:rsidP="00B45C33">
                  <w:pPr>
                    <w:spacing w:after="0" w:line="240" w:lineRule="auto"/>
                    <w:ind w:firstLineChars="100" w:firstLine="161"/>
                    <w:rPr>
                      <w:rFonts w:ascii="Times New Roman" w:eastAsia="Times New Roman" w:hAnsi="Times New Roman" w:cs="Times New Roman"/>
                      <w:b/>
                      <w:bCs/>
                      <w:color w:val="000000"/>
                      <w:sz w:val="16"/>
                      <w:szCs w:val="16"/>
                      <w:lang w:eastAsia="es-GT"/>
                    </w:rPr>
                  </w:pPr>
                  <w:r w:rsidRPr="009D76D9">
                    <w:rPr>
                      <w:rFonts w:ascii="Times New Roman" w:eastAsia="Times New Roman" w:hAnsi="Times New Roman" w:cs="Times New Roman"/>
                      <w:b/>
                      <w:bCs/>
                      <w:color w:val="000000"/>
                      <w:sz w:val="16"/>
                      <w:szCs w:val="16"/>
                      <w:lang w:eastAsia="es-GT"/>
                    </w:rPr>
                    <w:t>Economías de mercados emergentes y en desarrollo</w:t>
                  </w:r>
                </w:p>
              </w:tc>
              <w:tc>
                <w:tcPr>
                  <w:tcW w:w="873" w:type="dxa"/>
                  <w:tcBorders>
                    <w:top w:val="nil"/>
                    <w:left w:val="nil"/>
                    <w:bottom w:val="nil"/>
                    <w:right w:val="nil"/>
                  </w:tcBorders>
                  <w:shd w:val="clear" w:color="000000" w:fill="D9D9D9"/>
                  <w:noWrap/>
                  <w:vAlign w:val="center"/>
                  <w:hideMark/>
                </w:tcPr>
                <w:p w14:paraId="20FDC47A" w14:textId="77777777" w:rsidR="00322670" w:rsidRPr="009D76D9" w:rsidRDefault="00322670" w:rsidP="00DE1FBB">
                  <w:pPr>
                    <w:spacing w:after="0" w:line="240" w:lineRule="auto"/>
                    <w:jc w:val="center"/>
                    <w:rPr>
                      <w:rFonts w:ascii="Times New Roman" w:eastAsia="Times New Roman" w:hAnsi="Times New Roman" w:cs="Times New Roman"/>
                      <w:b/>
                      <w:bCs/>
                      <w:color w:val="000000"/>
                      <w:sz w:val="16"/>
                      <w:szCs w:val="16"/>
                      <w:lang w:eastAsia="es-GT"/>
                    </w:rPr>
                  </w:pPr>
                  <w:r w:rsidRPr="009D76D9">
                    <w:rPr>
                      <w:rFonts w:ascii="Times New Roman" w:eastAsia="Times New Roman" w:hAnsi="Times New Roman" w:cs="Times New Roman"/>
                      <w:b/>
                      <w:bCs/>
                      <w:color w:val="000000"/>
                      <w:sz w:val="16"/>
                      <w:szCs w:val="16"/>
                      <w:lang w:eastAsia="es-GT"/>
                    </w:rPr>
                    <w:t>4.5</w:t>
                  </w:r>
                </w:p>
              </w:tc>
              <w:tc>
                <w:tcPr>
                  <w:tcW w:w="850" w:type="dxa"/>
                  <w:tcBorders>
                    <w:top w:val="nil"/>
                    <w:left w:val="nil"/>
                    <w:bottom w:val="nil"/>
                    <w:right w:val="nil"/>
                  </w:tcBorders>
                  <w:shd w:val="clear" w:color="000000" w:fill="D9D9D9"/>
                  <w:noWrap/>
                  <w:vAlign w:val="center"/>
                  <w:hideMark/>
                </w:tcPr>
                <w:p w14:paraId="42673378" w14:textId="77777777" w:rsidR="00322670" w:rsidRPr="009D76D9" w:rsidRDefault="00322670" w:rsidP="00DE1FBB">
                  <w:pPr>
                    <w:spacing w:after="0" w:line="240" w:lineRule="auto"/>
                    <w:jc w:val="center"/>
                    <w:rPr>
                      <w:rFonts w:ascii="Times New Roman" w:eastAsia="Times New Roman" w:hAnsi="Times New Roman" w:cs="Times New Roman"/>
                      <w:b/>
                      <w:bCs/>
                      <w:color w:val="000000"/>
                      <w:sz w:val="16"/>
                      <w:szCs w:val="16"/>
                      <w:lang w:eastAsia="es-GT"/>
                    </w:rPr>
                  </w:pPr>
                  <w:r>
                    <w:rPr>
                      <w:rFonts w:ascii="Times New Roman" w:eastAsia="Times New Roman" w:hAnsi="Times New Roman" w:cs="Times New Roman"/>
                      <w:b/>
                      <w:bCs/>
                      <w:color w:val="000000"/>
                      <w:sz w:val="16"/>
                      <w:szCs w:val="16"/>
                      <w:lang w:eastAsia="es-GT"/>
                    </w:rPr>
                    <w:t>3.6</w:t>
                  </w:r>
                </w:p>
              </w:tc>
              <w:tc>
                <w:tcPr>
                  <w:tcW w:w="709" w:type="dxa"/>
                  <w:tcBorders>
                    <w:top w:val="nil"/>
                    <w:left w:val="nil"/>
                    <w:bottom w:val="nil"/>
                    <w:right w:val="single" w:sz="4" w:space="0" w:color="auto"/>
                  </w:tcBorders>
                  <w:shd w:val="clear" w:color="000000" w:fill="D9D9D9"/>
                  <w:noWrap/>
                  <w:vAlign w:val="center"/>
                  <w:hideMark/>
                </w:tcPr>
                <w:p w14:paraId="0C2E5073" w14:textId="77777777" w:rsidR="00322670" w:rsidRPr="009D76D9" w:rsidRDefault="00322670" w:rsidP="00DE1FBB">
                  <w:pPr>
                    <w:spacing w:after="0" w:line="240" w:lineRule="auto"/>
                    <w:jc w:val="center"/>
                    <w:rPr>
                      <w:rFonts w:ascii="Times New Roman" w:eastAsia="Times New Roman" w:hAnsi="Times New Roman" w:cs="Times New Roman"/>
                      <w:b/>
                      <w:bCs/>
                      <w:color w:val="000000"/>
                      <w:sz w:val="16"/>
                      <w:szCs w:val="16"/>
                      <w:lang w:eastAsia="es-GT"/>
                    </w:rPr>
                  </w:pPr>
                  <w:r w:rsidRPr="009D76D9">
                    <w:rPr>
                      <w:rFonts w:ascii="Times New Roman" w:eastAsia="Times New Roman" w:hAnsi="Times New Roman" w:cs="Times New Roman"/>
                      <w:b/>
                      <w:bCs/>
                      <w:color w:val="000000"/>
                      <w:sz w:val="16"/>
                      <w:szCs w:val="16"/>
                      <w:lang w:eastAsia="es-GT"/>
                    </w:rPr>
                    <w:t>-2.2</w:t>
                  </w:r>
                </w:p>
              </w:tc>
            </w:tr>
            <w:tr w:rsidR="00322670" w:rsidRPr="009D76D9" w14:paraId="14272660" w14:textId="77777777" w:rsidTr="00DE1FBB">
              <w:trPr>
                <w:trHeight w:val="70"/>
              </w:trPr>
              <w:tc>
                <w:tcPr>
                  <w:tcW w:w="3517" w:type="dxa"/>
                  <w:tcBorders>
                    <w:top w:val="nil"/>
                    <w:left w:val="single" w:sz="4" w:space="0" w:color="auto"/>
                    <w:bottom w:val="nil"/>
                    <w:right w:val="nil"/>
                  </w:tcBorders>
                  <w:shd w:val="clear" w:color="auto" w:fill="auto"/>
                  <w:noWrap/>
                  <w:vAlign w:val="bottom"/>
                  <w:hideMark/>
                </w:tcPr>
                <w:p w14:paraId="5647E485" w14:textId="77777777" w:rsidR="00322670" w:rsidRPr="009D76D9" w:rsidRDefault="00322670" w:rsidP="00DE1FBB">
                  <w:pPr>
                    <w:spacing w:after="0" w:line="240" w:lineRule="auto"/>
                    <w:ind w:firstLineChars="100" w:firstLine="16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Economías emergentes y en desarrollo de Asia</w:t>
                  </w:r>
                </w:p>
              </w:tc>
              <w:tc>
                <w:tcPr>
                  <w:tcW w:w="873" w:type="dxa"/>
                  <w:tcBorders>
                    <w:top w:val="nil"/>
                    <w:left w:val="nil"/>
                    <w:bottom w:val="nil"/>
                    <w:right w:val="nil"/>
                  </w:tcBorders>
                  <w:shd w:val="clear" w:color="auto" w:fill="auto"/>
                  <w:noWrap/>
                  <w:vAlign w:val="center"/>
                  <w:hideMark/>
                </w:tcPr>
                <w:p w14:paraId="1F16A154"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6.4</w:t>
                  </w:r>
                </w:p>
              </w:tc>
              <w:tc>
                <w:tcPr>
                  <w:tcW w:w="850" w:type="dxa"/>
                  <w:tcBorders>
                    <w:top w:val="nil"/>
                    <w:left w:val="nil"/>
                    <w:bottom w:val="nil"/>
                    <w:right w:val="nil"/>
                  </w:tcBorders>
                  <w:shd w:val="clear" w:color="auto" w:fill="auto"/>
                  <w:noWrap/>
                  <w:vAlign w:val="center"/>
                  <w:hideMark/>
                </w:tcPr>
                <w:p w14:paraId="4237D348"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Pr>
                      <w:rFonts w:ascii="Times New Roman" w:eastAsia="Times New Roman" w:hAnsi="Times New Roman" w:cs="Times New Roman"/>
                      <w:color w:val="000000"/>
                      <w:sz w:val="16"/>
                      <w:szCs w:val="16"/>
                      <w:lang w:eastAsia="es-GT"/>
                    </w:rPr>
                    <w:t>5.3</w:t>
                  </w:r>
                </w:p>
              </w:tc>
              <w:tc>
                <w:tcPr>
                  <w:tcW w:w="709" w:type="dxa"/>
                  <w:tcBorders>
                    <w:top w:val="nil"/>
                    <w:left w:val="nil"/>
                    <w:bottom w:val="nil"/>
                    <w:right w:val="single" w:sz="4" w:space="0" w:color="auto"/>
                  </w:tcBorders>
                  <w:shd w:val="clear" w:color="auto" w:fill="auto"/>
                  <w:noWrap/>
                  <w:vAlign w:val="center"/>
                  <w:hideMark/>
                </w:tcPr>
                <w:p w14:paraId="72B13ABC"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-1.0</w:t>
                  </w:r>
                </w:p>
              </w:tc>
            </w:tr>
            <w:tr w:rsidR="00322670" w:rsidRPr="009D76D9" w14:paraId="48978100" w14:textId="77777777" w:rsidTr="00DE1FBB">
              <w:trPr>
                <w:trHeight w:val="70"/>
              </w:trPr>
              <w:tc>
                <w:tcPr>
                  <w:tcW w:w="3517" w:type="dxa"/>
                  <w:tcBorders>
                    <w:top w:val="nil"/>
                    <w:left w:val="single" w:sz="4" w:space="0" w:color="auto"/>
                    <w:bottom w:val="nil"/>
                    <w:right w:val="nil"/>
                  </w:tcBorders>
                  <w:shd w:val="clear" w:color="auto" w:fill="auto"/>
                  <w:noWrap/>
                  <w:vAlign w:val="bottom"/>
                  <w:hideMark/>
                </w:tcPr>
                <w:p w14:paraId="3CF7EFE4" w14:textId="77777777" w:rsidR="00322670" w:rsidRPr="009D76D9" w:rsidRDefault="00322670" w:rsidP="00DE1FBB">
                  <w:pPr>
                    <w:spacing w:after="0" w:line="240" w:lineRule="auto"/>
                    <w:ind w:firstLineChars="200" w:firstLine="32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China</w:t>
                  </w:r>
                </w:p>
              </w:tc>
              <w:tc>
                <w:tcPr>
                  <w:tcW w:w="873" w:type="dxa"/>
                  <w:tcBorders>
                    <w:top w:val="nil"/>
                    <w:left w:val="nil"/>
                    <w:bottom w:val="nil"/>
                    <w:right w:val="nil"/>
                  </w:tcBorders>
                  <w:shd w:val="clear" w:color="auto" w:fill="auto"/>
                  <w:noWrap/>
                  <w:vAlign w:val="center"/>
                  <w:hideMark/>
                </w:tcPr>
                <w:p w14:paraId="0EBACE74"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6.6</w:t>
                  </w:r>
                </w:p>
              </w:tc>
              <w:tc>
                <w:tcPr>
                  <w:tcW w:w="850" w:type="dxa"/>
                  <w:tcBorders>
                    <w:top w:val="nil"/>
                    <w:left w:val="nil"/>
                    <w:bottom w:val="nil"/>
                    <w:right w:val="nil"/>
                  </w:tcBorders>
                  <w:shd w:val="clear" w:color="auto" w:fill="auto"/>
                  <w:noWrap/>
                  <w:vAlign w:val="center"/>
                  <w:hideMark/>
                </w:tcPr>
                <w:p w14:paraId="2F8EFCB4"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Pr>
                      <w:rFonts w:ascii="Times New Roman" w:eastAsia="Times New Roman" w:hAnsi="Times New Roman" w:cs="Times New Roman"/>
                      <w:color w:val="000000"/>
                      <w:sz w:val="16"/>
                      <w:szCs w:val="16"/>
                      <w:lang w:eastAsia="es-GT"/>
                    </w:rPr>
                    <w:t>5.8</w:t>
                  </w:r>
                </w:p>
              </w:tc>
              <w:tc>
                <w:tcPr>
                  <w:tcW w:w="709" w:type="dxa"/>
                  <w:tcBorders>
                    <w:top w:val="nil"/>
                    <w:left w:val="nil"/>
                    <w:bottom w:val="nil"/>
                    <w:right w:val="single" w:sz="4" w:space="0" w:color="auto"/>
                  </w:tcBorders>
                  <w:shd w:val="clear" w:color="auto" w:fill="auto"/>
                  <w:noWrap/>
                  <w:vAlign w:val="center"/>
                  <w:hideMark/>
                </w:tcPr>
                <w:p w14:paraId="1B814096"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2.3</w:t>
                  </w:r>
                </w:p>
              </w:tc>
            </w:tr>
            <w:tr w:rsidR="00322670" w:rsidRPr="009D76D9" w14:paraId="409E8F99" w14:textId="77777777" w:rsidTr="00DE1FBB">
              <w:trPr>
                <w:trHeight w:val="121"/>
              </w:trPr>
              <w:tc>
                <w:tcPr>
                  <w:tcW w:w="3517" w:type="dxa"/>
                  <w:tcBorders>
                    <w:top w:val="nil"/>
                    <w:left w:val="single" w:sz="4" w:space="0" w:color="auto"/>
                    <w:bottom w:val="nil"/>
                    <w:right w:val="nil"/>
                  </w:tcBorders>
                  <w:shd w:val="clear" w:color="auto" w:fill="auto"/>
                  <w:noWrap/>
                  <w:vAlign w:val="bottom"/>
                  <w:hideMark/>
                </w:tcPr>
                <w:p w14:paraId="773CB3EA" w14:textId="77777777" w:rsidR="00322670" w:rsidRPr="009D76D9" w:rsidRDefault="00322670" w:rsidP="00DE1FBB">
                  <w:pPr>
                    <w:spacing w:after="0" w:line="240" w:lineRule="auto"/>
                    <w:ind w:firstLineChars="200" w:firstLine="32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India</w:t>
                  </w:r>
                </w:p>
              </w:tc>
              <w:tc>
                <w:tcPr>
                  <w:tcW w:w="873" w:type="dxa"/>
                  <w:tcBorders>
                    <w:top w:val="nil"/>
                    <w:left w:val="nil"/>
                    <w:bottom w:val="nil"/>
                    <w:right w:val="nil"/>
                  </w:tcBorders>
                  <w:shd w:val="clear" w:color="auto" w:fill="auto"/>
                  <w:noWrap/>
                  <w:vAlign w:val="center"/>
                  <w:hideMark/>
                </w:tcPr>
                <w:p w14:paraId="6ECF0CD2"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6.8</w:t>
                  </w:r>
                </w:p>
              </w:tc>
              <w:tc>
                <w:tcPr>
                  <w:tcW w:w="850" w:type="dxa"/>
                  <w:tcBorders>
                    <w:top w:val="nil"/>
                    <w:left w:val="nil"/>
                    <w:bottom w:val="nil"/>
                    <w:right w:val="nil"/>
                  </w:tcBorders>
                  <w:shd w:val="clear" w:color="auto" w:fill="auto"/>
                  <w:noWrap/>
                  <w:vAlign w:val="center"/>
                  <w:hideMark/>
                </w:tcPr>
                <w:p w14:paraId="182BB506"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Pr>
                      <w:rFonts w:ascii="Times New Roman" w:eastAsia="Times New Roman" w:hAnsi="Times New Roman" w:cs="Times New Roman"/>
                      <w:color w:val="000000"/>
                      <w:sz w:val="16"/>
                      <w:szCs w:val="16"/>
                      <w:lang w:eastAsia="es-GT"/>
                    </w:rPr>
                    <w:t>4.0</w:t>
                  </w:r>
                </w:p>
              </w:tc>
              <w:tc>
                <w:tcPr>
                  <w:tcW w:w="709" w:type="dxa"/>
                  <w:tcBorders>
                    <w:top w:val="nil"/>
                    <w:left w:val="nil"/>
                    <w:bottom w:val="nil"/>
                    <w:right w:val="single" w:sz="4" w:space="0" w:color="auto"/>
                  </w:tcBorders>
                  <w:shd w:val="clear" w:color="auto" w:fill="auto"/>
                  <w:noWrap/>
                  <w:vAlign w:val="center"/>
                  <w:hideMark/>
                </w:tcPr>
                <w:p w14:paraId="5FCC6DD6"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-8.0</w:t>
                  </w:r>
                </w:p>
              </w:tc>
            </w:tr>
            <w:tr w:rsidR="00322670" w:rsidRPr="009D76D9" w14:paraId="1E788A32" w14:textId="77777777" w:rsidTr="00DE1FBB">
              <w:trPr>
                <w:trHeight w:val="70"/>
              </w:trPr>
              <w:tc>
                <w:tcPr>
                  <w:tcW w:w="3517" w:type="dxa"/>
                  <w:tcBorders>
                    <w:top w:val="nil"/>
                    <w:left w:val="single" w:sz="4" w:space="0" w:color="auto"/>
                    <w:bottom w:val="nil"/>
                    <w:right w:val="nil"/>
                  </w:tcBorders>
                  <w:shd w:val="clear" w:color="auto" w:fill="auto"/>
                  <w:noWrap/>
                  <w:vAlign w:val="bottom"/>
                  <w:hideMark/>
                </w:tcPr>
                <w:p w14:paraId="1DF7A6CB" w14:textId="77777777" w:rsidR="00322670" w:rsidRPr="009D76D9" w:rsidRDefault="00322670" w:rsidP="00DE1FBB">
                  <w:pPr>
                    <w:spacing w:after="0" w:line="240" w:lineRule="auto"/>
                    <w:ind w:firstLineChars="200" w:firstLine="32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ASEAN-5</w:t>
                  </w:r>
                </w:p>
              </w:tc>
              <w:tc>
                <w:tcPr>
                  <w:tcW w:w="873" w:type="dxa"/>
                  <w:tcBorders>
                    <w:top w:val="nil"/>
                    <w:left w:val="nil"/>
                    <w:bottom w:val="nil"/>
                    <w:right w:val="nil"/>
                  </w:tcBorders>
                  <w:shd w:val="clear" w:color="auto" w:fill="auto"/>
                  <w:noWrap/>
                  <w:vAlign w:val="center"/>
                  <w:hideMark/>
                </w:tcPr>
                <w:p w14:paraId="40C674CA"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5.2</w:t>
                  </w:r>
                </w:p>
              </w:tc>
              <w:tc>
                <w:tcPr>
                  <w:tcW w:w="850" w:type="dxa"/>
                  <w:tcBorders>
                    <w:top w:val="nil"/>
                    <w:left w:val="nil"/>
                    <w:bottom w:val="nil"/>
                    <w:right w:val="nil"/>
                  </w:tcBorders>
                  <w:shd w:val="clear" w:color="auto" w:fill="auto"/>
                  <w:noWrap/>
                  <w:vAlign w:val="center"/>
                  <w:hideMark/>
                </w:tcPr>
                <w:p w14:paraId="187B4852"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Pr>
                      <w:rFonts w:ascii="Times New Roman" w:eastAsia="Times New Roman" w:hAnsi="Times New Roman" w:cs="Times New Roman"/>
                      <w:color w:val="000000"/>
                      <w:sz w:val="16"/>
                      <w:szCs w:val="16"/>
                      <w:lang w:eastAsia="es-GT"/>
                    </w:rPr>
                    <w:t>4.8</w:t>
                  </w:r>
                </w:p>
              </w:tc>
              <w:tc>
                <w:tcPr>
                  <w:tcW w:w="709" w:type="dxa"/>
                  <w:tcBorders>
                    <w:top w:val="nil"/>
                    <w:left w:val="nil"/>
                    <w:bottom w:val="nil"/>
                    <w:right w:val="single" w:sz="4" w:space="0" w:color="auto"/>
                  </w:tcBorders>
                  <w:shd w:val="clear" w:color="auto" w:fill="auto"/>
                  <w:noWrap/>
                  <w:vAlign w:val="center"/>
                  <w:hideMark/>
                </w:tcPr>
                <w:p w14:paraId="4C922A96"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-3.4</w:t>
                  </w:r>
                </w:p>
              </w:tc>
            </w:tr>
            <w:tr w:rsidR="00322670" w:rsidRPr="009D76D9" w14:paraId="137536EE" w14:textId="77777777" w:rsidTr="00DE1FBB">
              <w:trPr>
                <w:trHeight w:val="70"/>
              </w:trPr>
              <w:tc>
                <w:tcPr>
                  <w:tcW w:w="3517" w:type="dxa"/>
                  <w:tcBorders>
                    <w:top w:val="nil"/>
                    <w:left w:val="single" w:sz="4" w:space="0" w:color="auto"/>
                    <w:bottom w:val="nil"/>
                    <w:right w:val="nil"/>
                  </w:tcBorders>
                  <w:shd w:val="clear" w:color="auto" w:fill="auto"/>
                  <w:noWrap/>
                  <w:vAlign w:val="bottom"/>
                  <w:hideMark/>
                </w:tcPr>
                <w:p w14:paraId="115A6181" w14:textId="77777777" w:rsidR="00322670" w:rsidRPr="009D76D9" w:rsidRDefault="00322670" w:rsidP="00DE1FBB">
                  <w:pPr>
                    <w:spacing w:after="0" w:line="240" w:lineRule="auto"/>
                    <w:ind w:firstLineChars="100" w:firstLine="16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Economías emergentes y en desarrollo de Europa</w:t>
                  </w:r>
                </w:p>
              </w:tc>
              <w:tc>
                <w:tcPr>
                  <w:tcW w:w="873" w:type="dxa"/>
                  <w:tcBorders>
                    <w:top w:val="nil"/>
                    <w:left w:val="nil"/>
                    <w:bottom w:val="nil"/>
                    <w:right w:val="nil"/>
                  </w:tcBorders>
                  <w:shd w:val="clear" w:color="auto" w:fill="auto"/>
                  <w:noWrap/>
                  <w:vAlign w:val="center"/>
                  <w:hideMark/>
                </w:tcPr>
                <w:p w14:paraId="535B5453"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3.1</w:t>
                  </w:r>
                </w:p>
              </w:tc>
              <w:tc>
                <w:tcPr>
                  <w:tcW w:w="850" w:type="dxa"/>
                  <w:tcBorders>
                    <w:top w:val="nil"/>
                    <w:left w:val="nil"/>
                    <w:bottom w:val="nil"/>
                    <w:right w:val="nil"/>
                  </w:tcBorders>
                  <w:shd w:val="clear" w:color="auto" w:fill="auto"/>
                  <w:noWrap/>
                  <w:vAlign w:val="center"/>
                  <w:hideMark/>
                </w:tcPr>
                <w:p w14:paraId="71BED269"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Pr>
                      <w:rFonts w:ascii="Times New Roman" w:eastAsia="Times New Roman" w:hAnsi="Times New Roman" w:cs="Times New Roman"/>
                      <w:color w:val="000000"/>
                      <w:sz w:val="16"/>
                      <w:szCs w:val="16"/>
                      <w:lang w:eastAsia="es-GT"/>
                    </w:rPr>
                    <w:t>2.4</w:t>
                  </w:r>
                </w:p>
              </w:tc>
              <w:tc>
                <w:tcPr>
                  <w:tcW w:w="709" w:type="dxa"/>
                  <w:tcBorders>
                    <w:top w:val="nil"/>
                    <w:left w:val="nil"/>
                    <w:bottom w:val="nil"/>
                    <w:right w:val="single" w:sz="4" w:space="0" w:color="auto"/>
                  </w:tcBorders>
                  <w:shd w:val="clear" w:color="auto" w:fill="auto"/>
                  <w:noWrap/>
                  <w:vAlign w:val="center"/>
                  <w:hideMark/>
                </w:tcPr>
                <w:p w14:paraId="409AF351"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-2.0</w:t>
                  </w:r>
                </w:p>
              </w:tc>
            </w:tr>
            <w:tr w:rsidR="00322670" w:rsidRPr="009D76D9" w14:paraId="522B92AF" w14:textId="77777777" w:rsidTr="00DE1FBB">
              <w:trPr>
                <w:trHeight w:val="70"/>
              </w:trPr>
              <w:tc>
                <w:tcPr>
                  <w:tcW w:w="3517" w:type="dxa"/>
                  <w:tcBorders>
                    <w:top w:val="nil"/>
                    <w:left w:val="single" w:sz="4" w:space="0" w:color="auto"/>
                    <w:bottom w:val="nil"/>
                    <w:right w:val="nil"/>
                  </w:tcBorders>
                  <w:shd w:val="clear" w:color="auto" w:fill="auto"/>
                  <w:noWrap/>
                  <w:vAlign w:val="bottom"/>
                  <w:hideMark/>
                </w:tcPr>
                <w:p w14:paraId="12C90D66" w14:textId="77777777" w:rsidR="00322670" w:rsidRPr="009D76D9" w:rsidRDefault="00322670" w:rsidP="00DE1FBB">
                  <w:pPr>
                    <w:spacing w:after="0" w:line="240" w:lineRule="auto"/>
                    <w:ind w:firstLineChars="200" w:firstLine="32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Rusia</w:t>
                  </w:r>
                </w:p>
              </w:tc>
              <w:tc>
                <w:tcPr>
                  <w:tcW w:w="873" w:type="dxa"/>
                  <w:tcBorders>
                    <w:top w:val="nil"/>
                    <w:left w:val="nil"/>
                    <w:bottom w:val="nil"/>
                    <w:right w:val="nil"/>
                  </w:tcBorders>
                  <w:shd w:val="clear" w:color="auto" w:fill="auto"/>
                  <w:noWrap/>
                  <w:vAlign w:val="center"/>
                  <w:hideMark/>
                </w:tcPr>
                <w:p w14:paraId="4613B9BA"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2.3</w:t>
                  </w:r>
                </w:p>
              </w:tc>
              <w:tc>
                <w:tcPr>
                  <w:tcW w:w="850" w:type="dxa"/>
                  <w:tcBorders>
                    <w:top w:val="nil"/>
                    <w:left w:val="nil"/>
                    <w:bottom w:val="nil"/>
                    <w:right w:val="nil"/>
                  </w:tcBorders>
                  <w:shd w:val="clear" w:color="auto" w:fill="auto"/>
                  <w:noWrap/>
                  <w:vAlign w:val="center"/>
                  <w:hideMark/>
                </w:tcPr>
                <w:p w14:paraId="7DC8ECD5"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Pr>
                      <w:rFonts w:ascii="Times New Roman" w:eastAsia="Times New Roman" w:hAnsi="Times New Roman" w:cs="Times New Roman"/>
                      <w:color w:val="000000"/>
                      <w:sz w:val="16"/>
                      <w:szCs w:val="16"/>
                      <w:lang w:eastAsia="es-GT"/>
                    </w:rPr>
                    <w:t>2.0</w:t>
                  </w:r>
                </w:p>
              </w:tc>
              <w:tc>
                <w:tcPr>
                  <w:tcW w:w="709" w:type="dxa"/>
                  <w:tcBorders>
                    <w:top w:val="nil"/>
                    <w:left w:val="nil"/>
                    <w:bottom w:val="nil"/>
                    <w:right w:val="single" w:sz="4" w:space="0" w:color="auto"/>
                  </w:tcBorders>
                  <w:shd w:val="clear" w:color="auto" w:fill="auto"/>
                  <w:noWrap/>
                  <w:vAlign w:val="center"/>
                  <w:hideMark/>
                </w:tcPr>
                <w:p w14:paraId="2032A689"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-3.1</w:t>
                  </w:r>
                </w:p>
              </w:tc>
            </w:tr>
            <w:tr w:rsidR="00322670" w:rsidRPr="009D76D9" w14:paraId="40E1A06E" w14:textId="77777777" w:rsidTr="00DE1FBB">
              <w:trPr>
                <w:trHeight w:val="89"/>
              </w:trPr>
              <w:tc>
                <w:tcPr>
                  <w:tcW w:w="3517" w:type="dxa"/>
                  <w:tcBorders>
                    <w:top w:val="nil"/>
                    <w:left w:val="single" w:sz="4" w:space="0" w:color="auto"/>
                    <w:bottom w:val="nil"/>
                    <w:right w:val="nil"/>
                  </w:tcBorders>
                  <w:shd w:val="clear" w:color="000000" w:fill="D9D9D9"/>
                  <w:noWrap/>
                  <w:vAlign w:val="bottom"/>
                  <w:hideMark/>
                </w:tcPr>
                <w:p w14:paraId="6CA73743" w14:textId="77777777" w:rsidR="00322670" w:rsidRPr="009D76D9" w:rsidRDefault="00322670" w:rsidP="00B45C33">
                  <w:pPr>
                    <w:spacing w:after="0" w:line="240" w:lineRule="auto"/>
                    <w:ind w:firstLineChars="100" w:firstLine="161"/>
                    <w:rPr>
                      <w:rFonts w:ascii="Times New Roman" w:eastAsia="Times New Roman" w:hAnsi="Times New Roman" w:cs="Times New Roman"/>
                      <w:b/>
                      <w:bCs/>
                      <w:color w:val="000000"/>
                      <w:sz w:val="16"/>
                      <w:szCs w:val="16"/>
                      <w:lang w:eastAsia="es-GT"/>
                    </w:rPr>
                  </w:pPr>
                  <w:r w:rsidRPr="009D76D9">
                    <w:rPr>
                      <w:rFonts w:ascii="Times New Roman" w:eastAsia="Times New Roman" w:hAnsi="Times New Roman" w:cs="Times New Roman"/>
                      <w:b/>
                      <w:bCs/>
                      <w:color w:val="000000"/>
                      <w:sz w:val="16"/>
                      <w:szCs w:val="16"/>
                      <w:lang w:eastAsia="es-GT"/>
                    </w:rPr>
                    <w:t>América Latina y el Caribe</w:t>
                  </w:r>
                </w:p>
              </w:tc>
              <w:tc>
                <w:tcPr>
                  <w:tcW w:w="873" w:type="dxa"/>
                  <w:tcBorders>
                    <w:top w:val="nil"/>
                    <w:left w:val="nil"/>
                    <w:bottom w:val="nil"/>
                    <w:right w:val="nil"/>
                  </w:tcBorders>
                  <w:shd w:val="clear" w:color="000000" w:fill="D9D9D9"/>
                  <w:noWrap/>
                  <w:vAlign w:val="center"/>
                  <w:hideMark/>
                </w:tcPr>
                <w:p w14:paraId="65FFF08F" w14:textId="77777777" w:rsidR="00322670" w:rsidRPr="009D76D9" w:rsidRDefault="00322670" w:rsidP="00DE1FBB">
                  <w:pPr>
                    <w:spacing w:after="0" w:line="240" w:lineRule="auto"/>
                    <w:jc w:val="center"/>
                    <w:rPr>
                      <w:rFonts w:ascii="Times New Roman" w:eastAsia="Times New Roman" w:hAnsi="Times New Roman" w:cs="Times New Roman"/>
                      <w:b/>
                      <w:bCs/>
                      <w:color w:val="000000"/>
                      <w:sz w:val="16"/>
                      <w:szCs w:val="16"/>
                      <w:lang w:eastAsia="es-GT"/>
                    </w:rPr>
                  </w:pPr>
                  <w:r w:rsidRPr="009D76D9">
                    <w:rPr>
                      <w:rFonts w:ascii="Times New Roman" w:eastAsia="Times New Roman" w:hAnsi="Times New Roman" w:cs="Times New Roman"/>
                      <w:b/>
                      <w:bCs/>
                      <w:color w:val="000000"/>
                      <w:sz w:val="16"/>
                      <w:szCs w:val="16"/>
                      <w:lang w:eastAsia="es-GT"/>
                    </w:rPr>
                    <w:t>1.1</w:t>
                  </w:r>
                </w:p>
              </w:tc>
              <w:tc>
                <w:tcPr>
                  <w:tcW w:w="850" w:type="dxa"/>
                  <w:tcBorders>
                    <w:top w:val="nil"/>
                    <w:left w:val="nil"/>
                    <w:bottom w:val="nil"/>
                    <w:right w:val="nil"/>
                  </w:tcBorders>
                  <w:shd w:val="clear" w:color="000000" w:fill="D9D9D9"/>
                  <w:noWrap/>
                  <w:vAlign w:val="center"/>
                  <w:hideMark/>
                </w:tcPr>
                <w:p w14:paraId="26BC9B75" w14:textId="77777777" w:rsidR="00322670" w:rsidRPr="009D76D9" w:rsidRDefault="00322670" w:rsidP="00DE1FBB">
                  <w:pPr>
                    <w:spacing w:after="0" w:line="240" w:lineRule="auto"/>
                    <w:jc w:val="center"/>
                    <w:rPr>
                      <w:rFonts w:ascii="Times New Roman" w:eastAsia="Times New Roman" w:hAnsi="Times New Roman" w:cs="Times New Roman"/>
                      <w:b/>
                      <w:bCs/>
                      <w:color w:val="000000"/>
                      <w:sz w:val="16"/>
                      <w:szCs w:val="16"/>
                      <w:lang w:eastAsia="es-GT"/>
                    </w:rPr>
                  </w:pPr>
                  <w:r>
                    <w:rPr>
                      <w:rFonts w:ascii="Times New Roman" w:eastAsia="Times New Roman" w:hAnsi="Times New Roman" w:cs="Times New Roman"/>
                      <w:b/>
                      <w:bCs/>
                      <w:color w:val="000000"/>
                      <w:sz w:val="16"/>
                      <w:szCs w:val="16"/>
                      <w:lang w:eastAsia="es-GT"/>
                    </w:rPr>
                    <w:t>0.2</w:t>
                  </w:r>
                </w:p>
              </w:tc>
              <w:tc>
                <w:tcPr>
                  <w:tcW w:w="709" w:type="dxa"/>
                  <w:tcBorders>
                    <w:top w:val="nil"/>
                    <w:left w:val="nil"/>
                    <w:bottom w:val="nil"/>
                    <w:right w:val="single" w:sz="4" w:space="0" w:color="auto"/>
                  </w:tcBorders>
                  <w:shd w:val="clear" w:color="000000" w:fill="D9D9D9"/>
                  <w:noWrap/>
                  <w:vAlign w:val="center"/>
                  <w:hideMark/>
                </w:tcPr>
                <w:p w14:paraId="2CA4947F" w14:textId="77777777" w:rsidR="00322670" w:rsidRPr="009D76D9" w:rsidRDefault="00322670" w:rsidP="00DE1FBB">
                  <w:pPr>
                    <w:spacing w:after="0" w:line="240" w:lineRule="auto"/>
                    <w:jc w:val="center"/>
                    <w:rPr>
                      <w:rFonts w:ascii="Times New Roman" w:eastAsia="Times New Roman" w:hAnsi="Times New Roman" w:cs="Times New Roman"/>
                      <w:b/>
                      <w:bCs/>
                      <w:color w:val="000000"/>
                      <w:sz w:val="16"/>
                      <w:szCs w:val="16"/>
                      <w:lang w:eastAsia="es-GT"/>
                    </w:rPr>
                  </w:pPr>
                  <w:r w:rsidRPr="009D76D9">
                    <w:rPr>
                      <w:rFonts w:ascii="Times New Roman" w:eastAsia="Times New Roman" w:hAnsi="Times New Roman" w:cs="Times New Roman"/>
                      <w:b/>
                      <w:bCs/>
                      <w:color w:val="000000"/>
                      <w:sz w:val="16"/>
                      <w:szCs w:val="16"/>
                      <w:lang w:eastAsia="es-GT"/>
                    </w:rPr>
                    <w:t>-7.0</w:t>
                  </w:r>
                </w:p>
              </w:tc>
            </w:tr>
            <w:tr w:rsidR="00322670" w:rsidRPr="009D76D9" w14:paraId="0082DE74" w14:textId="77777777" w:rsidTr="00DE1FBB">
              <w:trPr>
                <w:trHeight w:val="70"/>
              </w:trPr>
              <w:tc>
                <w:tcPr>
                  <w:tcW w:w="3517" w:type="dxa"/>
                  <w:tcBorders>
                    <w:top w:val="nil"/>
                    <w:left w:val="single" w:sz="4" w:space="0" w:color="auto"/>
                    <w:bottom w:val="nil"/>
                    <w:right w:val="nil"/>
                  </w:tcBorders>
                  <w:shd w:val="clear" w:color="auto" w:fill="auto"/>
                  <w:noWrap/>
                  <w:vAlign w:val="bottom"/>
                  <w:hideMark/>
                </w:tcPr>
                <w:p w14:paraId="2AD48310" w14:textId="77777777" w:rsidR="00322670" w:rsidRPr="009D76D9" w:rsidRDefault="00322670" w:rsidP="00DE1FBB">
                  <w:pPr>
                    <w:spacing w:after="0" w:line="240" w:lineRule="auto"/>
                    <w:ind w:firstLineChars="200" w:firstLine="32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Brasil</w:t>
                  </w:r>
                </w:p>
              </w:tc>
              <w:tc>
                <w:tcPr>
                  <w:tcW w:w="873" w:type="dxa"/>
                  <w:tcBorders>
                    <w:top w:val="nil"/>
                    <w:left w:val="nil"/>
                    <w:bottom w:val="nil"/>
                    <w:right w:val="nil"/>
                  </w:tcBorders>
                  <w:shd w:val="clear" w:color="auto" w:fill="auto"/>
                  <w:noWrap/>
                  <w:vAlign w:val="center"/>
                  <w:hideMark/>
                </w:tcPr>
                <w:p w14:paraId="35B4D441"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1.3</w:t>
                  </w:r>
                </w:p>
              </w:tc>
              <w:tc>
                <w:tcPr>
                  <w:tcW w:w="850" w:type="dxa"/>
                  <w:tcBorders>
                    <w:top w:val="nil"/>
                    <w:left w:val="nil"/>
                    <w:bottom w:val="nil"/>
                    <w:right w:val="nil"/>
                  </w:tcBorders>
                  <w:shd w:val="clear" w:color="auto" w:fill="auto"/>
                  <w:noWrap/>
                  <w:vAlign w:val="center"/>
                  <w:hideMark/>
                </w:tcPr>
                <w:p w14:paraId="753F9A7A"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Pr>
                      <w:rFonts w:ascii="Times New Roman" w:eastAsia="Times New Roman" w:hAnsi="Times New Roman" w:cs="Times New Roman"/>
                      <w:color w:val="000000"/>
                      <w:sz w:val="16"/>
                      <w:szCs w:val="16"/>
                      <w:lang w:eastAsia="es-GT"/>
                    </w:rPr>
                    <w:t>1.4</w:t>
                  </w:r>
                </w:p>
              </w:tc>
              <w:tc>
                <w:tcPr>
                  <w:tcW w:w="709" w:type="dxa"/>
                  <w:tcBorders>
                    <w:top w:val="nil"/>
                    <w:left w:val="nil"/>
                    <w:bottom w:val="nil"/>
                    <w:right w:val="single" w:sz="4" w:space="0" w:color="auto"/>
                  </w:tcBorders>
                  <w:shd w:val="clear" w:color="auto" w:fill="auto"/>
                  <w:noWrap/>
                  <w:vAlign w:val="center"/>
                  <w:hideMark/>
                </w:tcPr>
                <w:p w14:paraId="2416247F"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-4.1</w:t>
                  </w:r>
                </w:p>
              </w:tc>
            </w:tr>
            <w:tr w:rsidR="00322670" w:rsidRPr="009D76D9" w14:paraId="47D07E19" w14:textId="77777777" w:rsidTr="00DE1FBB">
              <w:trPr>
                <w:trHeight w:val="70"/>
              </w:trPr>
              <w:tc>
                <w:tcPr>
                  <w:tcW w:w="3517" w:type="dxa"/>
                  <w:tcBorders>
                    <w:top w:val="nil"/>
                    <w:left w:val="single" w:sz="4" w:space="0" w:color="auto"/>
                    <w:bottom w:val="nil"/>
                    <w:right w:val="nil"/>
                  </w:tcBorders>
                  <w:shd w:val="clear" w:color="auto" w:fill="auto"/>
                  <w:noWrap/>
                  <w:vAlign w:val="bottom"/>
                  <w:hideMark/>
                </w:tcPr>
                <w:p w14:paraId="379CB21A" w14:textId="77777777" w:rsidR="00322670" w:rsidRPr="009D76D9" w:rsidRDefault="00322670" w:rsidP="00DE1FBB">
                  <w:pPr>
                    <w:spacing w:after="0" w:line="240" w:lineRule="auto"/>
                    <w:ind w:firstLineChars="200" w:firstLine="32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México</w:t>
                  </w:r>
                </w:p>
              </w:tc>
              <w:tc>
                <w:tcPr>
                  <w:tcW w:w="873" w:type="dxa"/>
                  <w:tcBorders>
                    <w:top w:val="nil"/>
                    <w:left w:val="nil"/>
                    <w:bottom w:val="nil"/>
                    <w:right w:val="nil"/>
                  </w:tcBorders>
                  <w:shd w:val="clear" w:color="auto" w:fill="auto"/>
                  <w:noWrap/>
                  <w:vAlign w:val="center"/>
                  <w:hideMark/>
                </w:tcPr>
                <w:p w14:paraId="11695E80"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2.1</w:t>
                  </w:r>
                </w:p>
              </w:tc>
              <w:tc>
                <w:tcPr>
                  <w:tcW w:w="850" w:type="dxa"/>
                  <w:tcBorders>
                    <w:top w:val="nil"/>
                    <w:left w:val="nil"/>
                    <w:bottom w:val="nil"/>
                    <w:right w:val="nil"/>
                  </w:tcBorders>
                  <w:shd w:val="clear" w:color="auto" w:fill="auto"/>
                  <w:noWrap/>
                  <w:vAlign w:val="center"/>
                  <w:hideMark/>
                </w:tcPr>
                <w:p w14:paraId="125B0548"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Pr>
                      <w:rFonts w:ascii="Times New Roman" w:eastAsia="Times New Roman" w:hAnsi="Times New Roman" w:cs="Times New Roman"/>
                      <w:color w:val="000000"/>
                      <w:sz w:val="16"/>
                      <w:szCs w:val="16"/>
                      <w:lang w:eastAsia="es-GT"/>
                    </w:rPr>
                    <w:t>-0.1</w:t>
                  </w:r>
                </w:p>
              </w:tc>
              <w:tc>
                <w:tcPr>
                  <w:tcW w:w="709" w:type="dxa"/>
                  <w:tcBorders>
                    <w:top w:val="nil"/>
                    <w:left w:val="nil"/>
                    <w:bottom w:val="nil"/>
                    <w:right w:val="single" w:sz="4" w:space="0" w:color="auto"/>
                  </w:tcBorders>
                  <w:shd w:val="clear" w:color="auto" w:fill="auto"/>
                  <w:noWrap/>
                  <w:vAlign w:val="center"/>
                  <w:hideMark/>
                </w:tcPr>
                <w:p w14:paraId="48E65826"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-8.2</w:t>
                  </w:r>
                </w:p>
              </w:tc>
            </w:tr>
            <w:tr w:rsidR="00322670" w:rsidRPr="009D76D9" w14:paraId="6BA9A9C1" w14:textId="77777777" w:rsidTr="00DE1FBB">
              <w:trPr>
                <w:trHeight w:val="70"/>
              </w:trPr>
              <w:tc>
                <w:tcPr>
                  <w:tcW w:w="3517" w:type="dxa"/>
                  <w:tcBorders>
                    <w:top w:val="nil"/>
                    <w:left w:val="single" w:sz="4" w:space="0" w:color="auto"/>
                    <w:bottom w:val="nil"/>
                    <w:right w:val="nil"/>
                  </w:tcBorders>
                  <w:shd w:val="clear" w:color="auto" w:fill="auto"/>
                  <w:noWrap/>
                  <w:vAlign w:val="bottom"/>
                  <w:hideMark/>
                </w:tcPr>
                <w:p w14:paraId="24826C2F" w14:textId="77777777" w:rsidR="00322670" w:rsidRPr="009D76D9" w:rsidRDefault="00322670" w:rsidP="00DE1FBB">
                  <w:pPr>
                    <w:spacing w:after="0" w:line="240" w:lineRule="auto"/>
                    <w:ind w:firstLineChars="100" w:firstLine="16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Oriente Medio y Asia Central</w:t>
                  </w:r>
                </w:p>
              </w:tc>
              <w:tc>
                <w:tcPr>
                  <w:tcW w:w="873" w:type="dxa"/>
                  <w:tcBorders>
                    <w:top w:val="nil"/>
                    <w:left w:val="nil"/>
                    <w:bottom w:val="nil"/>
                    <w:right w:val="nil"/>
                  </w:tcBorders>
                  <w:shd w:val="clear" w:color="auto" w:fill="auto"/>
                  <w:noWrap/>
                  <w:vAlign w:val="center"/>
                  <w:hideMark/>
                </w:tcPr>
                <w:p w14:paraId="3A7D1E84"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1.9</w:t>
                  </w:r>
                </w:p>
              </w:tc>
              <w:tc>
                <w:tcPr>
                  <w:tcW w:w="850" w:type="dxa"/>
                  <w:tcBorders>
                    <w:top w:val="nil"/>
                    <w:left w:val="nil"/>
                    <w:bottom w:val="nil"/>
                    <w:right w:val="nil"/>
                  </w:tcBorders>
                  <w:shd w:val="clear" w:color="auto" w:fill="auto"/>
                  <w:noWrap/>
                  <w:vAlign w:val="center"/>
                  <w:hideMark/>
                </w:tcPr>
                <w:p w14:paraId="6D0886D1"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Pr>
                      <w:rFonts w:ascii="Times New Roman" w:eastAsia="Times New Roman" w:hAnsi="Times New Roman" w:cs="Times New Roman"/>
                      <w:color w:val="000000"/>
                      <w:sz w:val="16"/>
                      <w:szCs w:val="16"/>
                      <w:lang w:eastAsia="es-GT"/>
                    </w:rPr>
                    <w:t>1.4</w:t>
                  </w:r>
                </w:p>
              </w:tc>
              <w:tc>
                <w:tcPr>
                  <w:tcW w:w="709" w:type="dxa"/>
                  <w:tcBorders>
                    <w:top w:val="nil"/>
                    <w:left w:val="nil"/>
                    <w:bottom w:val="nil"/>
                    <w:right w:val="single" w:sz="4" w:space="0" w:color="auto"/>
                  </w:tcBorders>
                  <w:shd w:val="clear" w:color="auto" w:fill="auto"/>
                  <w:noWrap/>
                  <w:vAlign w:val="center"/>
                  <w:hideMark/>
                </w:tcPr>
                <w:p w14:paraId="7B28EA19"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-2.9</w:t>
                  </w:r>
                </w:p>
              </w:tc>
            </w:tr>
            <w:tr w:rsidR="00322670" w:rsidRPr="009D76D9" w14:paraId="58929889" w14:textId="77777777" w:rsidTr="00DE1FBB">
              <w:trPr>
                <w:trHeight w:val="70"/>
              </w:trPr>
              <w:tc>
                <w:tcPr>
                  <w:tcW w:w="3517" w:type="dxa"/>
                  <w:tcBorders>
                    <w:top w:val="nil"/>
                    <w:left w:val="single" w:sz="4" w:space="0" w:color="auto"/>
                    <w:bottom w:val="nil"/>
                    <w:right w:val="nil"/>
                  </w:tcBorders>
                  <w:shd w:val="clear" w:color="auto" w:fill="auto"/>
                  <w:noWrap/>
                  <w:vAlign w:val="bottom"/>
                  <w:hideMark/>
                </w:tcPr>
                <w:p w14:paraId="66E247DF" w14:textId="77777777" w:rsidR="00322670" w:rsidRPr="009D76D9" w:rsidRDefault="00322670" w:rsidP="00DE1FBB">
                  <w:pPr>
                    <w:spacing w:after="0" w:line="240" w:lineRule="auto"/>
                    <w:ind w:firstLineChars="200" w:firstLine="32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Arabia Saudita</w:t>
                  </w:r>
                </w:p>
              </w:tc>
              <w:tc>
                <w:tcPr>
                  <w:tcW w:w="873" w:type="dxa"/>
                  <w:tcBorders>
                    <w:top w:val="nil"/>
                    <w:left w:val="nil"/>
                    <w:bottom w:val="nil"/>
                    <w:right w:val="nil"/>
                  </w:tcBorders>
                  <w:shd w:val="clear" w:color="auto" w:fill="auto"/>
                  <w:noWrap/>
                  <w:vAlign w:val="center"/>
                  <w:hideMark/>
                </w:tcPr>
                <w:p w14:paraId="11EC3279"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2.4</w:t>
                  </w:r>
                </w:p>
              </w:tc>
              <w:tc>
                <w:tcPr>
                  <w:tcW w:w="850" w:type="dxa"/>
                  <w:tcBorders>
                    <w:top w:val="nil"/>
                    <w:left w:val="nil"/>
                    <w:bottom w:val="nil"/>
                    <w:right w:val="nil"/>
                  </w:tcBorders>
                  <w:shd w:val="clear" w:color="auto" w:fill="auto"/>
                  <w:noWrap/>
                  <w:vAlign w:val="center"/>
                  <w:hideMark/>
                </w:tcPr>
                <w:p w14:paraId="2D58F41F"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Pr>
                      <w:rFonts w:ascii="Times New Roman" w:eastAsia="Times New Roman" w:hAnsi="Times New Roman" w:cs="Times New Roman"/>
                      <w:color w:val="000000"/>
                      <w:sz w:val="16"/>
                      <w:szCs w:val="16"/>
                      <w:lang w:eastAsia="es-GT"/>
                    </w:rPr>
                    <w:t>0.3</w:t>
                  </w:r>
                </w:p>
              </w:tc>
              <w:tc>
                <w:tcPr>
                  <w:tcW w:w="709" w:type="dxa"/>
                  <w:tcBorders>
                    <w:top w:val="nil"/>
                    <w:left w:val="nil"/>
                    <w:bottom w:val="nil"/>
                    <w:right w:val="single" w:sz="4" w:space="0" w:color="auto"/>
                  </w:tcBorders>
                  <w:shd w:val="clear" w:color="auto" w:fill="auto"/>
                  <w:noWrap/>
                  <w:vAlign w:val="center"/>
                  <w:hideMark/>
                </w:tcPr>
                <w:p w14:paraId="489A0A86"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-4.1</w:t>
                  </w:r>
                </w:p>
              </w:tc>
            </w:tr>
            <w:tr w:rsidR="00322670" w:rsidRPr="009D76D9" w14:paraId="4151631F" w14:textId="77777777" w:rsidTr="00DE1FBB">
              <w:trPr>
                <w:trHeight w:val="70"/>
              </w:trPr>
              <w:tc>
                <w:tcPr>
                  <w:tcW w:w="3517" w:type="dxa"/>
                  <w:tcBorders>
                    <w:top w:val="nil"/>
                    <w:left w:val="single" w:sz="4" w:space="0" w:color="auto"/>
                    <w:bottom w:val="nil"/>
                    <w:right w:val="nil"/>
                  </w:tcBorders>
                  <w:shd w:val="clear" w:color="auto" w:fill="auto"/>
                  <w:noWrap/>
                  <w:vAlign w:val="bottom"/>
                  <w:hideMark/>
                </w:tcPr>
                <w:p w14:paraId="0AF2A227" w14:textId="77777777" w:rsidR="00322670" w:rsidRPr="009D76D9" w:rsidRDefault="00322670" w:rsidP="00DE1FBB">
                  <w:pPr>
                    <w:spacing w:after="0" w:line="240" w:lineRule="auto"/>
                    <w:ind w:firstLineChars="100" w:firstLine="16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África subsahariana</w:t>
                  </w:r>
                </w:p>
              </w:tc>
              <w:tc>
                <w:tcPr>
                  <w:tcW w:w="873" w:type="dxa"/>
                  <w:tcBorders>
                    <w:top w:val="nil"/>
                    <w:left w:val="nil"/>
                    <w:bottom w:val="nil"/>
                    <w:right w:val="nil"/>
                  </w:tcBorders>
                  <w:shd w:val="clear" w:color="auto" w:fill="auto"/>
                  <w:noWrap/>
                  <w:vAlign w:val="center"/>
                  <w:hideMark/>
                </w:tcPr>
                <w:p w14:paraId="1943789A"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3.2</w:t>
                  </w:r>
                </w:p>
              </w:tc>
              <w:tc>
                <w:tcPr>
                  <w:tcW w:w="850" w:type="dxa"/>
                  <w:tcBorders>
                    <w:top w:val="nil"/>
                    <w:left w:val="nil"/>
                    <w:bottom w:val="nil"/>
                    <w:right w:val="nil"/>
                  </w:tcBorders>
                  <w:shd w:val="clear" w:color="auto" w:fill="auto"/>
                  <w:noWrap/>
                  <w:vAlign w:val="center"/>
                  <w:hideMark/>
                </w:tcPr>
                <w:p w14:paraId="4C767BE5"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Pr>
                      <w:rFonts w:ascii="Times New Roman" w:eastAsia="Times New Roman" w:hAnsi="Times New Roman" w:cs="Times New Roman"/>
                      <w:color w:val="000000"/>
                      <w:sz w:val="16"/>
                      <w:szCs w:val="16"/>
                      <w:lang w:eastAsia="es-GT"/>
                    </w:rPr>
                    <w:t>3.2</w:t>
                  </w:r>
                </w:p>
              </w:tc>
              <w:tc>
                <w:tcPr>
                  <w:tcW w:w="709" w:type="dxa"/>
                  <w:tcBorders>
                    <w:top w:val="nil"/>
                    <w:left w:val="nil"/>
                    <w:bottom w:val="nil"/>
                    <w:right w:val="single" w:sz="4" w:space="0" w:color="auto"/>
                  </w:tcBorders>
                  <w:shd w:val="clear" w:color="auto" w:fill="auto"/>
                  <w:noWrap/>
                  <w:vAlign w:val="center"/>
                  <w:hideMark/>
                </w:tcPr>
                <w:p w14:paraId="787BD2C2"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-1.9</w:t>
                  </w:r>
                </w:p>
              </w:tc>
            </w:tr>
            <w:tr w:rsidR="00322670" w:rsidRPr="009D76D9" w14:paraId="1AFDDB6B" w14:textId="77777777" w:rsidTr="00DE1FBB">
              <w:trPr>
                <w:trHeight w:val="70"/>
              </w:trPr>
              <w:tc>
                <w:tcPr>
                  <w:tcW w:w="3517" w:type="dxa"/>
                  <w:tcBorders>
                    <w:top w:val="nil"/>
                    <w:left w:val="single" w:sz="4" w:space="0" w:color="auto"/>
                    <w:bottom w:val="nil"/>
                    <w:right w:val="nil"/>
                  </w:tcBorders>
                  <w:shd w:val="clear" w:color="auto" w:fill="auto"/>
                  <w:noWrap/>
                  <w:vAlign w:val="bottom"/>
                  <w:hideMark/>
                </w:tcPr>
                <w:p w14:paraId="6A5485D5" w14:textId="77777777" w:rsidR="00322670" w:rsidRPr="009D76D9" w:rsidRDefault="00322670" w:rsidP="00DE1FBB">
                  <w:pPr>
                    <w:spacing w:after="0" w:line="240" w:lineRule="auto"/>
                    <w:ind w:firstLineChars="200" w:firstLine="32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Nigeria</w:t>
                  </w:r>
                </w:p>
              </w:tc>
              <w:tc>
                <w:tcPr>
                  <w:tcW w:w="873" w:type="dxa"/>
                  <w:tcBorders>
                    <w:top w:val="nil"/>
                    <w:left w:val="nil"/>
                    <w:bottom w:val="nil"/>
                    <w:right w:val="nil"/>
                  </w:tcBorders>
                  <w:shd w:val="clear" w:color="auto" w:fill="auto"/>
                  <w:noWrap/>
                  <w:vAlign w:val="center"/>
                  <w:hideMark/>
                </w:tcPr>
                <w:p w14:paraId="479F39F5"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1.9</w:t>
                  </w:r>
                </w:p>
              </w:tc>
              <w:tc>
                <w:tcPr>
                  <w:tcW w:w="850" w:type="dxa"/>
                  <w:tcBorders>
                    <w:top w:val="nil"/>
                    <w:left w:val="nil"/>
                    <w:bottom w:val="nil"/>
                    <w:right w:val="nil"/>
                  </w:tcBorders>
                  <w:shd w:val="clear" w:color="auto" w:fill="auto"/>
                  <w:noWrap/>
                  <w:vAlign w:val="center"/>
                  <w:hideMark/>
                </w:tcPr>
                <w:p w14:paraId="427F5654"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Pr>
                      <w:rFonts w:ascii="Times New Roman" w:eastAsia="Times New Roman" w:hAnsi="Times New Roman" w:cs="Times New Roman"/>
                      <w:color w:val="000000"/>
                      <w:sz w:val="16"/>
                      <w:szCs w:val="16"/>
                      <w:lang w:eastAsia="es-GT"/>
                    </w:rPr>
                    <w:t>2.2</w:t>
                  </w:r>
                </w:p>
              </w:tc>
              <w:tc>
                <w:tcPr>
                  <w:tcW w:w="709" w:type="dxa"/>
                  <w:tcBorders>
                    <w:top w:val="nil"/>
                    <w:left w:val="nil"/>
                    <w:bottom w:val="nil"/>
                    <w:right w:val="single" w:sz="4" w:space="0" w:color="auto"/>
                  </w:tcBorders>
                  <w:shd w:val="clear" w:color="auto" w:fill="auto"/>
                  <w:noWrap/>
                  <w:vAlign w:val="center"/>
                  <w:hideMark/>
                </w:tcPr>
                <w:p w14:paraId="2A1FA4B1"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-1.8</w:t>
                  </w:r>
                </w:p>
              </w:tc>
            </w:tr>
            <w:tr w:rsidR="00322670" w:rsidRPr="009D76D9" w14:paraId="1A672B49" w14:textId="77777777" w:rsidTr="00DE1FBB">
              <w:trPr>
                <w:trHeight w:val="70"/>
              </w:trPr>
              <w:tc>
                <w:tcPr>
                  <w:tcW w:w="3517" w:type="dxa"/>
                  <w:tcBorders>
                    <w:top w:val="nil"/>
                    <w:left w:val="single" w:sz="4" w:space="0" w:color="auto"/>
                    <w:bottom w:val="single" w:sz="4" w:space="0" w:color="auto"/>
                    <w:right w:val="nil"/>
                  </w:tcBorders>
                  <w:shd w:val="clear" w:color="auto" w:fill="auto"/>
                  <w:noWrap/>
                  <w:vAlign w:val="bottom"/>
                  <w:hideMark/>
                </w:tcPr>
                <w:p w14:paraId="17D7456E" w14:textId="77777777" w:rsidR="00322670" w:rsidRPr="009D76D9" w:rsidRDefault="00322670" w:rsidP="00DE1FBB">
                  <w:pPr>
                    <w:spacing w:after="0" w:line="240" w:lineRule="auto"/>
                    <w:ind w:firstLineChars="200" w:firstLine="32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Sudáfrica</w:t>
                  </w:r>
                </w:p>
              </w:tc>
              <w:tc>
                <w:tcPr>
                  <w:tcW w:w="873" w:type="dxa"/>
                  <w:tcBorders>
                    <w:top w:val="nil"/>
                    <w:left w:val="nil"/>
                    <w:bottom w:val="single" w:sz="4" w:space="0" w:color="auto"/>
                    <w:right w:val="nil"/>
                  </w:tcBorders>
                  <w:shd w:val="clear" w:color="auto" w:fill="auto"/>
                  <w:noWrap/>
                  <w:vAlign w:val="center"/>
                  <w:hideMark/>
                </w:tcPr>
                <w:p w14:paraId="388F5139"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0.8</w:t>
                  </w:r>
                </w:p>
              </w:tc>
              <w:tc>
                <w:tcPr>
                  <w:tcW w:w="850" w:type="dxa"/>
                  <w:tcBorders>
                    <w:top w:val="nil"/>
                    <w:left w:val="nil"/>
                    <w:bottom w:val="single" w:sz="4" w:space="0" w:color="auto"/>
                    <w:right w:val="nil"/>
                  </w:tcBorders>
                  <w:shd w:val="clear" w:color="auto" w:fill="auto"/>
                  <w:noWrap/>
                  <w:vAlign w:val="center"/>
                  <w:hideMark/>
                </w:tcPr>
                <w:p w14:paraId="6D2BBD63"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Pr>
                      <w:rFonts w:ascii="Times New Roman" w:eastAsia="Times New Roman" w:hAnsi="Times New Roman" w:cs="Times New Roman"/>
                      <w:color w:val="000000"/>
                      <w:sz w:val="16"/>
                      <w:szCs w:val="16"/>
                      <w:lang w:eastAsia="es-GT"/>
                    </w:rPr>
                    <w:t>0.2</w:t>
                  </w:r>
                </w:p>
              </w:tc>
              <w:tc>
                <w:tcPr>
                  <w:tcW w:w="709" w:type="dxa"/>
                  <w:tcBorders>
                    <w:top w:val="nil"/>
                    <w:left w:val="nil"/>
                    <w:bottom w:val="single" w:sz="4" w:space="0" w:color="auto"/>
                    <w:right w:val="single" w:sz="4" w:space="0" w:color="auto"/>
                  </w:tcBorders>
                  <w:shd w:val="clear" w:color="auto" w:fill="auto"/>
                  <w:noWrap/>
                  <w:vAlign w:val="center"/>
                  <w:hideMark/>
                </w:tcPr>
                <w:p w14:paraId="420D7C52"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-7.0</w:t>
                  </w:r>
                </w:p>
              </w:tc>
            </w:tr>
          </w:tbl>
          <w:p w14:paraId="02F44CAA" w14:textId="77777777" w:rsidR="00322670" w:rsidRDefault="00322670" w:rsidP="00DE1FBB">
            <w:pPr>
              <w:jc w:val="both"/>
              <w:rPr>
                <w:rFonts w:ascii="Times New Roman" w:hAnsi="Times New Roman" w:cs="Times New Roman"/>
                <w:lang w:val="es-MX"/>
              </w:rPr>
            </w:pPr>
          </w:p>
        </w:tc>
      </w:tr>
      <w:tr w:rsidR="00322670" w14:paraId="729578A6" w14:textId="77777777" w:rsidTr="00DE1FBB">
        <w:tc>
          <w:tcPr>
            <w:tcW w:w="8828" w:type="dxa"/>
          </w:tcPr>
          <w:p w14:paraId="05CFC5FE" w14:textId="35D2080F" w:rsidR="00322670" w:rsidRPr="00EC77E9" w:rsidRDefault="00A6579B" w:rsidP="00DE1FBB">
            <w:pPr>
              <w:rPr>
                <w:rFonts w:ascii="Times New Roman" w:hAnsi="Times New Roman" w:cs="Times New Roman"/>
                <w:sz w:val="16"/>
                <w:szCs w:val="16"/>
              </w:rPr>
            </w:pPr>
            <w:r>
              <w:rPr>
                <w:rFonts w:ascii="Times New Roman" w:hAnsi="Times New Roman" w:cs="Times New Roman"/>
                <w:sz w:val="16"/>
                <w:szCs w:val="16"/>
              </w:rPr>
              <w:t xml:space="preserve">                                      </w:t>
            </w:r>
            <w:r w:rsidR="00322670" w:rsidRPr="00EC77E9">
              <w:rPr>
                <w:rFonts w:ascii="Times New Roman" w:hAnsi="Times New Roman" w:cs="Times New Roman"/>
                <w:sz w:val="16"/>
                <w:szCs w:val="16"/>
              </w:rPr>
              <w:t>Fuente: FMI</w:t>
            </w:r>
            <w:r w:rsidR="00322670">
              <w:rPr>
                <w:rFonts w:ascii="Times New Roman" w:hAnsi="Times New Roman" w:cs="Times New Roman"/>
                <w:sz w:val="16"/>
                <w:szCs w:val="16"/>
              </w:rPr>
              <w:t>, WEO abril 2021</w:t>
            </w:r>
          </w:p>
          <w:p w14:paraId="0EEB43D2" w14:textId="77777777" w:rsidR="00322670" w:rsidRDefault="00322670" w:rsidP="00DE1FBB">
            <w:pPr>
              <w:jc w:val="both"/>
              <w:rPr>
                <w:rFonts w:ascii="Times New Roman" w:hAnsi="Times New Roman" w:cs="Times New Roman"/>
                <w:lang w:val="es-MX"/>
              </w:rPr>
            </w:pPr>
          </w:p>
        </w:tc>
      </w:tr>
    </w:tbl>
    <w:p w14:paraId="6B425C55" w14:textId="77777777" w:rsidR="00322670" w:rsidRPr="00155114" w:rsidRDefault="00322670" w:rsidP="00322670">
      <w:pPr>
        <w:spacing w:after="0" w:line="240" w:lineRule="auto"/>
        <w:rPr>
          <w:rFonts w:ascii="Times New Roman" w:hAnsi="Times New Roman" w:cs="Times New Roman"/>
          <w:color w:val="FF0000"/>
          <w:sz w:val="12"/>
          <w:lang w:val="es-ES"/>
        </w:rPr>
      </w:pPr>
    </w:p>
    <w:p w14:paraId="6BDD1599" w14:textId="77777777" w:rsidR="00322670" w:rsidRDefault="00AE5006" w:rsidP="001032E7">
      <w:pPr>
        <w:pStyle w:val="Ttulo3"/>
        <w:numPr>
          <w:ilvl w:val="1"/>
          <w:numId w:val="29"/>
        </w:numPr>
        <w:spacing w:before="0" w:line="276" w:lineRule="auto"/>
        <w:ind w:left="567" w:hanging="360"/>
        <w:rPr>
          <w:rFonts w:ascii="Times New Roman" w:hAnsi="Times New Roman" w:cs="Times New Roman"/>
          <w:b/>
          <w:color w:val="auto"/>
          <w:lang w:val="es-MX"/>
        </w:rPr>
      </w:pPr>
      <w:bookmarkStart w:id="18" w:name="_Toc16154969"/>
      <w:bookmarkStart w:id="19" w:name="_Toc72489339"/>
      <w:r>
        <w:rPr>
          <w:rFonts w:ascii="Times New Roman" w:hAnsi="Times New Roman" w:cs="Times New Roman"/>
          <w:b/>
          <w:color w:val="auto"/>
          <w:lang w:val="es-MX"/>
        </w:rPr>
        <w:t xml:space="preserve"> </w:t>
      </w:r>
      <w:bookmarkStart w:id="20" w:name="_Toc81571819"/>
      <w:r w:rsidR="00322670" w:rsidRPr="00B61D64">
        <w:rPr>
          <w:rFonts w:ascii="Times New Roman" w:hAnsi="Times New Roman" w:cs="Times New Roman"/>
          <w:b/>
          <w:color w:val="auto"/>
          <w:lang w:val="es-MX"/>
        </w:rPr>
        <w:t>Evolución de los principales socios comerciales de Guatemala</w:t>
      </w:r>
      <w:bookmarkEnd w:id="18"/>
      <w:bookmarkEnd w:id="19"/>
      <w:bookmarkEnd w:id="20"/>
      <w:r w:rsidR="00322670" w:rsidRPr="00B61D64">
        <w:rPr>
          <w:rFonts w:ascii="Times New Roman" w:hAnsi="Times New Roman" w:cs="Times New Roman"/>
          <w:b/>
          <w:color w:val="auto"/>
          <w:lang w:val="es-MX"/>
        </w:rPr>
        <w:t xml:space="preserve"> </w:t>
      </w:r>
    </w:p>
    <w:p w14:paraId="1B927E01" w14:textId="77777777" w:rsidR="00322670" w:rsidRPr="0084284A" w:rsidRDefault="00322670" w:rsidP="00322670">
      <w:pPr>
        <w:spacing w:after="0" w:line="240" w:lineRule="auto"/>
        <w:rPr>
          <w:rFonts w:ascii="Times New Roman" w:hAnsi="Times New Roman" w:cs="Times New Roman"/>
          <w:lang w:val="es-MX"/>
        </w:rPr>
      </w:pPr>
    </w:p>
    <w:p w14:paraId="5DF8A3BC" w14:textId="77777777" w:rsidR="00322670" w:rsidRDefault="00322670" w:rsidP="00322670">
      <w:pPr>
        <w:spacing w:after="0" w:line="240" w:lineRule="auto"/>
        <w:jc w:val="both"/>
        <w:rPr>
          <w:rFonts w:ascii="Times New Roman" w:hAnsi="Times New Roman" w:cs="Times New Roman"/>
          <w:lang w:val="es-MX"/>
        </w:rPr>
      </w:pPr>
      <w:r w:rsidRPr="001E4E09">
        <w:rPr>
          <w:rFonts w:ascii="Times New Roman" w:hAnsi="Times New Roman" w:cs="Times New Roman"/>
          <w:lang w:val="es-MX"/>
        </w:rPr>
        <w:t>El comercio</w:t>
      </w:r>
      <w:r>
        <w:rPr>
          <w:rFonts w:ascii="Times New Roman" w:hAnsi="Times New Roman" w:cs="Times New Roman"/>
          <w:lang w:val="es-MX"/>
        </w:rPr>
        <w:t xml:space="preserve"> mundial en 2019</w:t>
      </w:r>
      <w:r w:rsidRPr="001E4E09">
        <w:rPr>
          <w:rFonts w:ascii="Times New Roman" w:hAnsi="Times New Roman" w:cs="Times New Roman"/>
          <w:lang w:val="es-MX"/>
        </w:rPr>
        <w:t xml:space="preserve"> ya e</w:t>
      </w:r>
      <w:r>
        <w:rPr>
          <w:rFonts w:ascii="Times New Roman" w:hAnsi="Times New Roman" w:cs="Times New Roman"/>
          <w:lang w:val="es-MX"/>
        </w:rPr>
        <w:t xml:space="preserve">xperimentaba una desaceleración, principalmente </w:t>
      </w:r>
      <w:r w:rsidRPr="001E4E09">
        <w:rPr>
          <w:rFonts w:ascii="Times New Roman" w:hAnsi="Times New Roman" w:cs="Times New Roman"/>
          <w:lang w:val="es-MX"/>
        </w:rPr>
        <w:t xml:space="preserve">por las tensiones comerciales y la ralentización del crecimiento económico. El volumen del comercio mundial de mercancías registró </w:t>
      </w:r>
      <w:r>
        <w:rPr>
          <w:rFonts w:ascii="Times New Roman" w:hAnsi="Times New Roman" w:cs="Times New Roman"/>
          <w:lang w:val="es-MX"/>
        </w:rPr>
        <w:t>una contracción de 0.1% en 2019, tras haber aumentado un 2.</w:t>
      </w:r>
      <w:r w:rsidRPr="001E4E09">
        <w:rPr>
          <w:rFonts w:ascii="Times New Roman" w:hAnsi="Times New Roman" w:cs="Times New Roman"/>
          <w:lang w:val="es-MX"/>
        </w:rPr>
        <w:t xml:space="preserve">9% en el año anterior. </w:t>
      </w:r>
      <w:r>
        <w:rPr>
          <w:rFonts w:ascii="Times New Roman" w:hAnsi="Times New Roman" w:cs="Times New Roman"/>
          <w:lang w:val="es-MX"/>
        </w:rPr>
        <w:t>En caso contrario</w:t>
      </w:r>
      <w:r w:rsidRPr="001E4E09">
        <w:rPr>
          <w:rFonts w:ascii="Times New Roman" w:hAnsi="Times New Roman" w:cs="Times New Roman"/>
          <w:lang w:val="es-MX"/>
        </w:rPr>
        <w:t>, el comercio mundial de servicios comerciales aumentó en 2019,</w:t>
      </w:r>
      <w:r>
        <w:rPr>
          <w:rFonts w:ascii="Times New Roman" w:hAnsi="Times New Roman" w:cs="Times New Roman"/>
          <w:lang w:val="es-MX"/>
        </w:rPr>
        <w:t xml:space="preserve"> producto del incremento en las</w:t>
      </w:r>
      <w:r w:rsidRPr="001E4E09">
        <w:rPr>
          <w:rFonts w:ascii="Times New Roman" w:hAnsi="Times New Roman" w:cs="Times New Roman"/>
          <w:lang w:val="es-MX"/>
        </w:rPr>
        <w:t xml:space="preserve"> exportaciones </w:t>
      </w:r>
      <w:r>
        <w:rPr>
          <w:rFonts w:ascii="Times New Roman" w:hAnsi="Times New Roman" w:cs="Times New Roman"/>
          <w:lang w:val="es-MX"/>
        </w:rPr>
        <w:t>de</w:t>
      </w:r>
      <w:r w:rsidRPr="001E4E09">
        <w:rPr>
          <w:rFonts w:ascii="Times New Roman" w:hAnsi="Times New Roman" w:cs="Times New Roman"/>
          <w:lang w:val="es-MX"/>
        </w:rPr>
        <w:t xml:space="preserve"> 2</w:t>
      </w:r>
      <w:r>
        <w:rPr>
          <w:rFonts w:ascii="Times New Roman" w:hAnsi="Times New Roman" w:cs="Times New Roman"/>
          <w:lang w:val="es-MX"/>
        </w:rPr>
        <w:t>.0</w:t>
      </w:r>
      <w:r w:rsidRPr="001E4E09">
        <w:rPr>
          <w:rFonts w:ascii="Times New Roman" w:hAnsi="Times New Roman" w:cs="Times New Roman"/>
          <w:lang w:val="es-MX"/>
        </w:rPr>
        <w:t>%,</w:t>
      </w:r>
      <w:r>
        <w:rPr>
          <w:rFonts w:ascii="Times New Roman" w:hAnsi="Times New Roman" w:cs="Times New Roman"/>
          <w:lang w:val="es-MX"/>
        </w:rPr>
        <w:t xml:space="preserve"> equivalente a 6.</w:t>
      </w:r>
      <w:r w:rsidRPr="001E4E09">
        <w:rPr>
          <w:rFonts w:ascii="Times New Roman" w:hAnsi="Times New Roman" w:cs="Times New Roman"/>
          <w:lang w:val="es-MX"/>
        </w:rPr>
        <w:t xml:space="preserve">03 billones de dólares EE.UU. </w:t>
      </w:r>
      <w:r>
        <w:rPr>
          <w:rFonts w:ascii="Times New Roman" w:hAnsi="Times New Roman" w:cs="Times New Roman"/>
          <w:lang w:val="es-MX"/>
        </w:rPr>
        <w:t xml:space="preserve"> En 2020, derivado de la inevitable conmoción económica causada por la pandemia, el comercio mundial de mercancías se contrajo 5.3%, de acuerdo a Información de la Organización Mundial del Comercio.  En Guatemala, el 77% de las exportaciones corresponden a productos que forman parte de tratados de libre comercio suscritos con México, Taiwán, Colombia, Chile, República Dominicana y Panamá; Acuerdos de asociación entre la Unión Europea y Centroamérica; y el tratado de libre comercio más importante CAFTA-RD entre República Dominicana, Centroamérica y Estados Unidos, por lo que es de vital importancia conocer el desempeño económico de dichos socios comerciales.</w:t>
      </w:r>
    </w:p>
    <w:p w14:paraId="26AE460E" w14:textId="77777777" w:rsidR="00322670" w:rsidRPr="0084284A" w:rsidRDefault="00322670" w:rsidP="00322670">
      <w:pPr>
        <w:spacing w:after="0" w:line="240" w:lineRule="auto"/>
        <w:rPr>
          <w:rFonts w:ascii="Times New Roman" w:hAnsi="Times New Roman" w:cs="Times New Roman"/>
          <w:lang w:val="es-MX"/>
        </w:rPr>
      </w:pPr>
    </w:p>
    <w:p w14:paraId="06C24A00" w14:textId="77777777" w:rsidR="00322670" w:rsidRPr="00B61D64" w:rsidRDefault="00322670" w:rsidP="001032E7">
      <w:pPr>
        <w:pStyle w:val="Ttulo3"/>
        <w:numPr>
          <w:ilvl w:val="2"/>
          <w:numId w:val="29"/>
        </w:numPr>
        <w:tabs>
          <w:tab w:val="left" w:pos="851"/>
          <w:tab w:val="left" w:pos="1134"/>
        </w:tabs>
        <w:spacing w:before="0" w:line="276" w:lineRule="auto"/>
        <w:ind w:left="709" w:hanging="180"/>
        <w:rPr>
          <w:rFonts w:ascii="Times New Roman" w:hAnsi="Times New Roman" w:cs="Times New Roman"/>
          <w:b/>
          <w:color w:val="auto"/>
          <w:lang w:val="es-MX"/>
        </w:rPr>
      </w:pPr>
      <w:bookmarkStart w:id="21" w:name="_Toc72489340"/>
      <w:bookmarkStart w:id="22" w:name="_Toc81571820"/>
      <w:r w:rsidRPr="00B61D64">
        <w:rPr>
          <w:rFonts w:ascii="Times New Roman" w:hAnsi="Times New Roman" w:cs="Times New Roman"/>
          <w:b/>
          <w:color w:val="auto"/>
          <w:lang w:val="es-MX"/>
        </w:rPr>
        <w:t>La economía de Estados Unidos de América</w:t>
      </w:r>
      <w:bookmarkEnd w:id="21"/>
      <w:bookmarkEnd w:id="22"/>
    </w:p>
    <w:p w14:paraId="669D9D57" w14:textId="77777777" w:rsidR="00322670" w:rsidRPr="0062341C" w:rsidRDefault="00322670" w:rsidP="00322670">
      <w:pPr>
        <w:spacing w:after="0" w:line="240" w:lineRule="auto"/>
        <w:rPr>
          <w:color w:val="FF0000"/>
          <w:lang w:val="es-MX"/>
        </w:rPr>
      </w:pPr>
    </w:p>
    <w:p w14:paraId="47AA0D6A" w14:textId="77777777" w:rsidR="00322670" w:rsidRPr="00243533" w:rsidRDefault="00322670" w:rsidP="00322670">
      <w:pPr>
        <w:shd w:val="clear" w:color="auto" w:fill="FFFFFF" w:themeFill="background1"/>
        <w:spacing w:after="0" w:line="240" w:lineRule="auto"/>
        <w:jc w:val="both"/>
        <w:rPr>
          <w:rFonts w:ascii="Times New Roman" w:hAnsi="Times New Roman" w:cs="Times New Roman"/>
          <w:lang w:val="es-MX"/>
        </w:rPr>
      </w:pPr>
      <w:r w:rsidRPr="00243533">
        <w:rPr>
          <w:rFonts w:ascii="Times New Roman" w:hAnsi="Times New Roman" w:cs="Times New Roman"/>
          <w:lang w:val="es-MX"/>
        </w:rPr>
        <w:t>El Producto Interno Bruto se expandió en 2</w:t>
      </w:r>
      <w:r>
        <w:rPr>
          <w:rFonts w:ascii="Times New Roman" w:hAnsi="Times New Roman" w:cs="Times New Roman"/>
          <w:lang w:val="es-MX"/>
        </w:rPr>
        <w:t>019 a una tasa anualizada de 2.2% y se esperaba al inicio del</w:t>
      </w:r>
      <w:r w:rsidRPr="00243533">
        <w:rPr>
          <w:rFonts w:ascii="Times New Roman" w:hAnsi="Times New Roman" w:cs="Times New Roman"/>
          <w:lang w:val="es-MX"/>
        </w:rPr>
        <w:t xml:space="preserve"> 2020 </w:t>
      </w:r>
      <w:r>
        <w:rPr>
          <w:rFonts w:ascii="Times New Roman" w:hAnsi="Times New Roman" w:cs="Times New Roman"/>
          <w:lang w:val="es-MX"/>
        </w:rPr>
        <w:t xml:space="preserve">que </w:t>
      </w:r>
      <w:r w:rsidRPr="00243533">
        <w:rPr>
          <w:rFonts w:ascii="Times New Roman" w:hAnsi="Times New Roman" w:cs="Times New Roman"/>
          <w:lang w:val="es-MX"/>
        </w:rPr>
        <w:t xml:space="preserve">terminara en 2.0%, </w:t>
      </w:r>
      <w:r>
        <w:rPr>
          <w:rFonts w:ascii="Times New Roman" w:hAnsi="Times New Roman" w:cs="Times New Roman"/>
          <w:lang w:val="es-MX"/>
        </w:rPr>
        <w:t xml:space="preserve">cuando </w:t>
      </w:r>
      <w:r w:rsidRPr="00243533">
        <w:rPr>
          <w:rFonts w:ascii="Times New Roman" w:hAnsi="Times New Roman" w:cs="Times New Roman"/>
          <w:lang w:val="es-MX"/>
        </w:rPr>
        <w:t>la moderación obedecía a un retorno a una orientaci</w:t>
      </w:r>
      <w:r>
        <w:rPr>
          <w:rFonts w:ascii="Times New Roman" w:hAnsi="Times New Roman" w:cs="Times New Roman"/>
          <w:lang w:val="es-MX"/>
        </w:rPr>
        <w:t>ón fiscal neutral y un</w:t>
      </w:r>
      <w:r w:rsidRPr="00243533">
        <w:rPr>
          <w:rFonts w:ascii="Times New Roman" w:hAnsi="Times New Roman" w:cs="Times New Roman"/>
          <w:lang w:val="es-MX"/>
        </w:rPr>
        <w:t xml:space="preserve"> impulso cada vez menor derivado del relajamiento</w:t>
      </w:r>
      <w:r>
        <w:rPr>
          <w:rFonts w:ascii="Times New Roman" w:hAnsi="Times New Roman" w:cs="Times New Roman"/>
          <w:lang w:val="es-MX"/>
        </w:rPr>
        <w:t xml:space="preserve"> de las condiciones financieras; sin embargo, la llegada de la pandemia en marzo de 2020 ocasionó una caída de 3.3%.  Durante el 2020, la economía creció 0.6% en el primer trimestre y en el segundo, tercer y cuarto trimestre experimentó contracciones del 9%, 2.6% y 1.9% respectivamente.</w:t>
      </w:r>
    </w:p>
    <w:p w14:paraId="61D16A2E" w14:textId="77777777" w:rsidR="00322670" w:rsidRDefault="00322670" w:rsidP="00322670">
      <w:pPr>
        <w:shd w:val="clear" w:color="auto" w:fill="FFFFFF" w:themeFill="background1"/>
        <w:spacing w:after="0" w:line="240" w:lineRule="auto"/>
        <w:jc w:val="both"/>
        <w:rPr>
          <w:rFonts w:ascii="Times New Roman" w:hAnsi="Times New Roman" w:cs="Times New Roman"/>
          <w:color w:val="FF0000"/>
          <w:lang w:val="es-MX"/>
        </w:rPr>
      </w:pPr>
    </w:p>
    <w:p w14:paraId="39E35C46" w14:textId="77777777" w:rsidR="00322670" w:rsidRPr="0062341C" w:rsidRDefault="00322670" w:rsidP="00322670">
      <w:pPr>
        <w:shd w:val="clear" w:color="auto" w:fill="FFFFFF" w:themeFill="background1"/>
        <w:spacing w:after="0" w:line="240" w:lineRule="auto"/>
        <w:jc w:val="both"/>
        <w:rPr>
          <w:rFonts w:ascii="Times New Roman" w:hAnsi="Times New Roman" w:cs="Times New Roman"/>
          <w:color w:val="FF0000"/>
          <w:lang w:val="es-MX"/>
        </w:rPr>
      </w:pPr>
      <w:r w:rsidRPr="00FE3A2B">
        <w:rPr>
          <w:rFonts w:ascii="Times New Roman" w:hAnsi="Times New Roman" w:cs="Times New Roman"/>
          <w:lang w:val="es-MX"/>
        </w:rPr>
        <w:t xml:space="preserve">El gasto del consumidor estadounidense, que supone dos tercios de la actividad económica, durante los últimos ocho meses de 2020, </w:t>
      </w:r>
      <w:r>
        <w:rPr>
          <w:rFonts w:ascii="Times New Roman" w:hAnsi="Times New Roman" w:cs="Times New Roman"/>
          <w:lang w:val="es-MX"/>
        </w:rPr>
        <w:t>mostró un repunte en el</w:t>
      </w:r>
      <w:r w:rsidRPr="00FE3A2B">
        <w:rPr>
          <w:rFonts w:ascii="Times New Roman" w:hAnsi="Times New Roman" w:cs="Times New Roman"/>
          <w:lang w:val="es-MX"/>
        </w:rPr>
        <w:t xml:space="preserve"> consumo de bienes duraderos </w:t>
      </w:r>
      <w:r>
        <w:rPr>
          <w:rFonts w:ascii="Times New Roman" w:hAnsi="Times New Roman" w:cs="Times New Roman"/>
          <w:lang w:val="es-MX"/>
        </w:rPr>
        <w:t>de</w:t>
      </w:r>
      <w:r w:rsidRPr="00FE3A2B">
        <w:rPr>
          <w:rFonts w:ascii="Times New Roman" w:hAnsi="Times New Roman" w:cs="Times New Roman"/>
          <w:lang w:val="es-MX"/>
        </w:rPr>
        <w:t xml:space="preserve"> 39% mayor que lo que se perdió durante el bloqueo en</w:t>
      </w:r>
      <w:r>
        <w:rPr>
          <w:rFonts w:ascii="Times New Roman" w:hAnsi="Times New Roman" w:cs="Times New Roman"/>
          <w:lang w:val="es-MX"/>
        </w:rPr>
        <w:t>tre</w:t>
      </w:r>
      <w:r w:rsidRPr="00FE3A2B">
        <w:rPr>
          <w:rFonts w:ascii="Times New Roman" w:hAnsi="Times New Roman" w:cs="Times New Roman"/>
          <w:lang w:val="es-MX"/>
        </w:rPr>
        <w:t xml:space="preserve"> marzo y abril; como resultado, el consumo de bienes duraderos aumentó al 8.25% del PIB en la segunda mitad de 2020, la proporción más alta desde principios de 2007 y muy por encima del 7.1% promedio durante el período 2008-2019.  A diferencia del notable repunte del gasto de los consumidores en bienes duraderos, el repunte de los servicios </w:t>
      </w:r>
      <w:r>
        <w:rPr>
          <w:rFonts w:ascii="Times New Roman" w:hAnsi="Times New Roman" w:cs="Times New Roman"/>
          <w:lang w:val="es-MX"/>
        </w:rPr>
        <w:t>entre mayo y</w:t>
      </w:r>
      <w:r w:rsidRPr="00FE3A2B">
        <w:rPr>
          <w:rFonts w:ascii="Times New Roman" w:hAnsi="Times New Roman" w:cs="Times New Roman"/>
          <w:lang w:val="es-MX"/>
        </w:rPr>
        <w:t xml:space="preserve"> diciembre de 2020 recuperó solo el 63% de lo que se perdió durante marzo y abril. Como era de esperar, los servicios, que representan un poco más del 60% del consumo total de los Estados Unidos, se afectó principalmente en actividades presenciales como transporte, recreación, turismo y alimentos. En conjunto, estas categorías de gasto, que representaron el 61% de la caída inducida por el bloqueo en el total de servicios al consumidor, permanecen 25% por debajo de su pico en el cuarto trimestre de 2019.</w:t>
      </w:r>
    </w:p>
    <w:p w14:paraId="6257C30B" w14:textId="77777777" w:rsidR="00322670" w:rsidRPr="0062341C" w:rsidRDefault="00322670" w:rsidP="00322670">
      <w:pPr>
        <w:shd w:val="clear" w:color="auto" w:fill="FFFFFF" w:themeFill="background1"/>
        <w:spacing w:after="0" w:line="240" w:lineRule="auto"/>
        <w:jc w:val="both"/>
        <w:rPr>
          <w:rFonts w:ascii="Times New Roman" w:hAnsi="Times New Roman" w:cs="Times New Roman"/>
          <w:color w:val="FF0000"/>
          <w:lang w:val="es-MX"/>
        </w:rPr>
      </w:pPr>
    </w:p>
    <w:p w14:paraId="5BE26020" w14:textId="77777777" w:rsidR="00322670" w:rsidRDefault="00322670" w:rsidP="00322670">
      <w:pPr>
        <w:shd w:val="clear" w:color="auto" w:fill="FFFFFF" w:themeFill="background1"/>
        <w:spacing w:after="0" w:line="240" w:lineRule="auto"/>
        <w:jc w:val="both"/>
        <w:rPr>
          <w:rFonts w:ascii="Times New Roman" w:hAnsi="Times New Roman" w:cs="Times New Roman"/>
          <w:lang w:val="es-MX"/>
        </w:rPr>
      </w:pPr>
      <w:r w:rsidRPr="0087188D">
        <w:rPr>
          <w:rFonts w:ascii="Times New Roman" w:hAnsi="Times New Roman" w:cs="Times New Roman"/>
          <w:lang w:val="es-MX"/>
        </w:rPr>
        <w:t>La inversión directa en Estados Unidos por parte de empresas extranjeras se desplomó un 49% a</w:t>
      </w:r>
      <w:r>
        <w:rPr>
          <w:rFonts w:ascii="Times New Roman" w:hAnsi="Times New Roman" w:cs="Times New Roman"/>
          <w:lang w:val="es-MX"/>
        </w:rPr>
        <w:t xml:space="preserve"> US$ 134,</w:t>
      </w:r>
      <w:r w:rsidRPr="0087188D">
        <w:rPr>
          <w:rFonts w:ascii="Times New Roman" w:hAnsi="Times New Roman" w:cs="Times New Roman"/>
          <w:lang w:val="es-MX"/>
        </w:rPr>
        <w:t xml:space="preserve">000 millones </w:t>
      </w:r>
      <w:r>
        <w:rPr>
          <w:rFonts w:ascii="Times New Roman" w:hAnsi="Times New Roman" w:cs="Times New Roman"/>
          <w:lang w:val="es-MX"/>
        </w:rPr>
        <w:t xml:space="preserve">en 2020 comparado con la cifra de 2019; dicha </w:t>
      </w:r>
      <w:r w:rsidRPr="0087188D">
        <w:rPr>
          <w:rFonts w:ascii="Times New Roman" w:hAnsi="Times New Roman" w:cs="Times New Roman"/>
          <w:lang w:val="es-MX"/>
        </w:rPr>
        <w:t xml:space="preserve">caída </w:t>
      </w:r>
      <w:r>
        <w:rPr>
          <w:rFonts w:ascii="Times New Roman" w:hAnsi="Times New Roman" w:cs="Times New Roman"/>
          <w:lang w:val="es-MX"/>
        </w:rPr>
        <w:t>fue más pronunciada</w:t>
      </w:r>
      <w:r w:rsidRPr="0087188D">
        <w:rPr>
          <w:rFonts w:ascii="Times New Roman" w:hAnsi="Times New Roman" w:cs="Times New Roman"/>
          <w:lang w:val="es-MX"/>
        </w:rPr>
        <w:t xml:space="preserve"> en el comercio mayorista, los servicios financieros y la industria manufacturera. </w:t>
      </w:r>
      <w:r>
        <w:rPr>
          <w:rFonts w:ascii="Times New Roman" w:hAnsi="Times New Roman" w:cs="Times New Roman"/>
          <w:lang w:val="es-MX"/>
        </w:rPr>
        <w:t>Por su parte, l</w:t>
      </w:r>
      <w:r w:rsidRPr="0087188D">
        <w:rPr>
          <w:rFonts w:ascii="Times New Roman" w:hAnsi="Times New Roman" w:cs="Times New Roman"/>
          <w:lang w:val="es-MX"/>
        </w:rPr>
        <w:t>as fusiones y adquisiciones internacionales, así como las ventas de activos estadounidenses a inversores extranjeros, cayeron un 41%.</w:t>
      </w:r>
      <w:r>
        <w:rPr>
          <w:rFonts w:ascii="Times New Roman" w:hAnsi="Times New Roman" w:cs="Times New Roman"/>
          <w:lang w:val="es-MX"/>
        </w:rPr>
        <w:t xml:space="preserve">  </w:t>
      </w:r>
      <w:r w:rsidRPr="004F3F68">
        <w:rPr>
          <w:rFonts w:ascii="Times New Roman" w:hAnsi="Times New Roman" w:cs="Times New Roman"/>
          <w:lang w:val="es-MX"/>
        </w:rPr>
        <w:t xml:space="preserve">En 2020 Estados Unidos registró un déficit en </w:t>
      </w:r>
      <w:r>
        <w:rPr>
          <w:rFonts w:ascii="Times New Roman" w:hAnsi="Times New Roman" w:cs="Times New Roman"/>
          <w:lang w:val="es-MX"/>
        </w:rPr>
        <w:t>su Balanza comercial de 4.</w:t>
      </w:r>
      <w:r w:rsidRPr="004F3F68">
        <w:rPr>
          <w:rFonts w:ascii="Times New Roman" w:hAnsi="Times New Roman" w:cs="Times New Roman"/>
          <w:lang w:val="es-MX"/>
        </w:rPr>
        <w:t xml:space="preserve">66% de su PIB, superior al registrado en 2019, que fue de </w:t>
      </w:r>
      <w:r>
        <w:rPr>
          <w:rFonts w:ascii="Times New Roman" w:hAnsi="Times New Roman" w:cs="Times New Roman"/>
          <w:lang w:val="es-MX"/>
        </w:rPr>
        <w:t xml:space="preserve">4.31% del PIB.  Dicha </w:t>
      </w:r>
      <w:r w:rsidRPr="004F3F68">
        <w:rPr>
          <w:rFonts w:ascii="Times New Roman" w:hAnsi="Times New Roman" w:cs="Times New Roman"/>
          <w:lang w:val="es-MX"/>
        </w:rPr>
        <w:t xml:space="preserve">variación </w:t>
      </w:r>
      <w:r>
        <w:rPr>
          <w:rFonts w:ascii="Times New Roman" w:hAnsi="Times New Roman" w:cs="Times New Roman"/>
          <w:lang w:val="es-MX"/>
        </w:rPr>
        <w:t>en su</w:t>
      </w:r>
      <w:r w:rsidRPr="004F3F68">
        <w:rPr>
          <w:rFonts w:ascii="Times New Roman" w:hAnsi="Times New Roman" w:cs="Times New Roman"/>
          <w:lang w:val="es-MX"/>
        </w:rPr>
        <w:t xml:space="preserve"> Balanza comercial se </w:t>
      </w:r>
      <w:r>
        <w:rPr>
          <w:rFonts w:ascii="Times New Roman" w:hAnsi="Times New Roman" w:cs="Times New Roman"/>
          <w:lang w:val="es-MX"/>
        </w:rPr>
        <w:t xml:space="preserve">atribuye al </w:t>
      </w:r>
      <w:r w:rsidRPr="004F3F68">
        <w:rPr>
          <w:rFonts w:ascii="Times New Roman" w:hAnsi="Times New Roman" w:cs="Times New Roman"/>
          <w:lang w:val="es-MX"/>
        </w:rPr>
        <w:t>descenso de las importaciones al igual que ha ocurrido con las exportaciones.</w:t>
      </w:r>
    </w:p>
    <w:p w14:paraId="168E9161" w14:textId="77777777" w:rsidR="00322670" w:rsidRDefault="00322670" w:rsidP="00322670">
      <w:pPr>
        <w:shd w:val="clear" w:color="auto" w:fill="FFFFFF" w:themeFill="background1"/>
        <w:spacing w:after="0" w:line="240" w:lineRule="auto"/>
        <w:jc w:val="both"/>
        <w:rPr>
          <w:rFonts w:ascii="Times New Roman" w:hAnsi="Times New Roman" w:cs="Times New Roman"/>
          <w:lang w:val="es-MX"/>
        </w:rPr>
      </w:pPr>
    </w:p>
    <w:p w14:paraId="766C0356" w14:textId="2ACFB174" w:rsidR="00322670" w:rsidRDefault="00322670" w:rsidP="00322670">
      <w:pPr>
        <w:shd w:val="clear" w:color="auto" w:fill="FFFFFF" w:themeFill="background1"/>
        <w:spacing w:after="0" w:line="240" w:lineRule="auto"/>
        <w:jc w:val="both"/>
        <w:rPr>
          <w:rFonts w:ascii="Times New Roman" w:hAnsi="Times New Roman" w:cs="Times New Roman"/>
          <w:lang w:val="es-MX"/>
        </w:rPr>
      </w:pPr>
      <w:r>
        <w:rPr>
          <w:rFonts w:ascii="Times New Roman" w:hAnsi="Times New Roman" w:cs="Times New Roman"/>
          <w:lang w:val="es-MX"/>
        </w:rPr>
        <w:t>Con respecto a las cuentas fiscales, para el ejercicio 2020, e</w:t>
      </w:r>
      <w:r w:rsidRPr="0010244B">
        <w:rPr>
          <w:rFonts w:ascii="Times New Roman" w:hAnsi="Times New Roman" w:cs="Times New Roman"/>
          <w:lang w:val="es-MX"/>
        </w:rPr>
        <w:t>l déficit fiscal federal</w:t>
      </w:r>
      <w:r>
        <w:rPr>
          <w:rFonts w:ascii="Times New Roman" w:hAnsi="Times New Roman" w:cs="Times New Roman"/>
          <w:lang w:val="es-MX"/>
        </w:rPr>
        <w:t>,</w:t>
      </w:r>
      <w:r w:rsidRPr="0010244B">
        <w:rPr>
          <w:rFonts w:ascii="Times New Roman" w:hAnsi="Times New Roman" w:cs="Times New Roman"/>
          <w:lang w:val="es-MX"/>
        </w:rPr>
        <w:t xml:space="preserve"> que c</w:t>
      </w:r>
      <w:r>
        <w:rPr>
          <w:rFonts w:ascii="Times New Roman" w:hAnsi="Times New Roman" w:cs="Times New Roman"/>
          <w:lang w:val="es-MX"/>
        </w:rPr>
        <w:t>erró en se</w:t>
      </w:r>
      <w:r w:rsidR="00BE6834">
        <w:rPr>
          <w:rFonts w:ascii="Times New Roman" w:hAnsi="Times New Roman" w:cs="Times New Roman"/>
          <w:lang w:val="es-MX"/>
        </w:rPr>
        <w:t>p</w:t>
      </w:r>
      <w:r>
        <w:rPr>
          <w:rFonts w:ascii="Times New Roman" w:hAnsi="Times New Roman" w:cs="Times New Roman"/>
          <w:lang w:val="es-MX"/>
        </w:rPr>
        <w:t>tiembre, alcanzó los US$ 3.</w:t>
      </w:r>
      <w:r w:rsidRPr="0010244B">
        <w:rPr>
          <w:rFonts w:ascii="Times New Roman" w:hAnsi="Times New Roman" w:cs="Times New Roman"/>
          <w:lang w:val="es-MX"/>
        </w:rPr>
        <w:t>13 bi</w:t>
      </w:r>
      <w:r>
        <w:rPr>
          <w:rFonts w:ascii="Times New Roman" w:hAnsi="Times New Roman" w:cs="Times New Roman"/>
          <w:lang w:val="es-MX"/>
        </w:rPr>
        <w:t>llones, frente a US$ 984,</w:t>
      </w:r>
      <w:r w:rsidRPr="0010244B">
        <w:rPr>
          <w:rFonts w:ascii="Times New Roman" w:hAnsi="Times New Roman" w:cs="Times New Roman"/>
          <w:lang w:val="es-MX"/>
        </w:rPr>
        <w:t xml:space="preserve">000 millones en 2019, según </w:t>
      </w:r>
      <w:r>
        <w:rPr>
          <w:rFonts w:ascii="Times New Roman" w:hAnsi="Times New Roman" w:cs="Times New Roman"/>
          <w:lang w:val="es-MX"/>
        </w:rPr>
        <w:t>información d</w:t>
      </w:r>
      <w:r w:rsidRPr="0010244B">
        <w:rPr>
          <w:rFonts w:ascii="Times New Roman" w:hAnsi="Times New Roman" w:cs="Times New Roman"/>
          <w:lang w:val="es-MX"/>
        </w:rPr>
        <w:t>el</w:t>
      </w:r>
      <w:r>
        <w:rPr>
          <w:rFonts w:ascii="Times New Roman" w:hAnsi="Times New Roman" w:cs="Times New Roman"/>
          <w:lang w:val="es-MX"/>
        </w:rPr>
        <w:t xml:space="preserve"> Departamento del</w:t>
      </w:r>
      <w:r w:rsidRPr="0010244B">
        <w:rPr>
          <w:rFonts w:ascii="Times New Roman" w:hAnsi="Times New Roman" w:cs="Times New Roman"/>
          <w:lang w:val="es-MX"/>
        </w:rPr>
        <w:t xml:space="preserve"> Tesoro. El alza de los gastos</w:t>
      </w:r>
      <w:r>
        <w:rPr>
          <w:rFonts w:ascii="Times New Roman" w:hAnsi="Times New Roman" w:cs="Times New Roman"/>
          <w:lang w:val="es-MX"/>
        </w:rPr>
        <w:t xml:space="preserve"> en 2020</w:t>
      </w:r>
      <w:r w:rsidRPr="0010244B">
        <w:rPr>
          <w:rFonts w:ascii="Times New Roman" w:hAnsi="Times New Roman" w:cs="Times New Roman"/>
          <w:lang w:val="es-MX"/>
        </w:rPr>
        <w:t>, pero también la caída de la recaudación fiscal, dispararon el déficit un 218% sobre el ejercicio anterior.</w:t>
      </w:r>
      <w:r>
        <w:rPr>
          <w:rFonts w:ascii="Times New Roman" w:hAnsi="Times New Roman" w:cs="Times New Roman"/>
          <w:lang w:val="es-MX"/>
        </w:rPr>
        <w:t xml:space="preserve">  En 2020, l</w:t>
      </w:r>
      <w:r w:rsidRPr="006C70C8">
        <w:rPr>
          <w:rFonts w:ascii="Times New Roman" w:hAnsi="Times New Roman" w:cs="Times New Roman"/>
          <w:lang w:val="es-MX"/>
        </w:rPr>
        <w:t xml:space="preserve">os ingresos del fisco alcanzaron </w:t>
      </w:r>
      <w:r>
        <w:rPr>
          <w:rFonts w:ascii="Times New Roman" w:hAnsi="Times New Roman" w:cs="Times New Roman"/>
          <w:lang w:val="es-MX"/>
        </w:rPr>
        <w:t>US$</w:t>
      </w:r>
      <w:r w:rsidRPr="006C70C8">
        <w:rPr>
          <w:rFonts w:ascii="Times New Roman" w:hAnsi="Times New Roman" w:cs="Times New Roman"/>
          <w:lang w:val="es-MX"/>
        </w:rPr>
        <w:t>3.42 billones, debido a</w:t>
      </w:r>
      <w:r>
        <w:rPr>
          <w:rFonts w:ascii="Times New Roman" w:hAnsi="Times New Roman" w:cs="Times New Roman"/>
          <w:lang w:val="es-MX"/>
        </w:rPr>
        <w:t>l</w:t>
      </w:r>
      <w:r w:rsidRPr="006C70C8">
        <w:rPr>
          <w:rFonts w:ascii="Times New Roman" w:hAnsi="Times New Roman" w:cs="Times New Roman"/>
          <w:lang w:val="es-MX"/>
        </w:rPr>
        <w:t xml:space="preserve"> quiebre de la actividad económica a partir de marzo tras las medidas de confinamiento para enfrentar el Covid-19.</w:t>
      </w:r>
      <w:r>
        <w:rPr>
          <w:rFonts w:ascii="Times New Roman" w:hAnsi="Times New Roman" w:cs="Times New Roman"/>
          <w:lang w:val="es-MX"/>
        </w:rPr>
        <w:t xml:space="preserve"> </w:t>
      </w:r>
      <w:r w:rsidRPr="006C70C8">
        <w:rPr>
          <w:rFonts w:ascii="Times New Roman" w:hAnsi="Times New Roman" w:cs="Times New Roman"/>
          <w:lang w:val="es-MX"/>
        </w:rPr>
        <w:t>El gasto del gobierno federal creció 47% sobre el ejercic</w:t>
      </w:r>
      <w:r>
        <w:rPr>
          <w:rFonts w:ascii="Times New Roman" w:hAnsi="Times New Roman" w:cs="Times New Roman"/>
          <w:lang w:val="es-MX"/>
        </w:rPr>
        <w:t>io fiscal 2019, para alcanzar US$6.5 billones de dólares, generando un déficit que</w:t>
      </w:r>
      <w:r w:rsidRPr="00687C83">
        <w:rPr>
          <w:rFonts w:ascii="Times New Roman" w:hAnsi="Times New Roman" w:cs="Times New Roman"/>
          <w:lang w:val="es-MX"/>
        </w:rPr>
        <w:t xml:space="preserve"> alcanzó los </w:t>
      </w:r>
      <w:r>
        <w:rPr>
          <w:rFonts w:ascii="Times New Roman" w:hAnsi="Times New Roman" w:cs="Times New Roman"/>
          <w:lang w:val="es-MX"/>
        </w:rPr>
        <w:t>US$3.13 billones.</w:t>
      </w:r>
    </w:p>
    <w:p w14:paraId="28C8F6ED" w14:textId="77777777" w:rsidR="00322670" w:rsidRPr="0062341C" w:rsidRDefault="00322670" w:rsidP="00322670">
      <w:pPr>
        <w:shd w:val="clear" w:color="auto" w:fill="FFFFFF" w:themeFill="background1"/>
        <w:spacing w:after="0" w:line="240" w:lineRule="auto"/>
        <w:jc w:val="both"/>
        <w:rPr>
          <w:rFonts w:ascii="Times New Roman" w:hAnsi="Times New Roman" w:cs="Times New Roman"/>
          <w:color w:val="FF0000"/>
          <w:lang w:val="es-MX"/>
        </w:rPr>
      </w:pPr>
    </w:p>
    <w:p w14:paraId="40B59F2A" w14:textId="77777777" w:rsidR="00322670" w:rsidRPr="00B61D64" w:rsidRDefault="00322670" w:rsidP="001032E7">
      <w:pPr>
        <w:pStyle w:val="Ttulo3"/>
        <w:numPr>
          <w:ilvl w:val="2"/>
          <w:numId w:val="29"/>
        </w:numPr>
        <w:tabs>
          <w:tab w:val="left" w:pos="1134"/>
        </w:tabs>
        <w:spacing w:before="0" w:line="240" w:lineRule="auto"/>
        <w:ind w:left="709" w:hanging="180"/>
        <w:rPr>
          <w:rFonts w:ascii="Times New Roman" w:hAnsi="Times New Roman" w:cs="Times New Roman"/>
          <w:b/>
          <w:color w:val="auto"/>
          <w:lang w:val="es-MX"/>
        </w:rPr>
      </w:pPr>
      <w:bookmarkStart w:id="23" w:name="_Toc72489341"/>
      <w:bookmarkStart w:id="24" w:name="_Toc81571821"/>
      <w:r w:rsidRPr="00B61D64">
        <w:rPr>
          <w:rFonts w:ascii="Times New Roman" w:hAnsi="Times New Roman" w:cs="Times New Roman"/>
          <w:b/>
          <w:color w:val="auto"/>
          <w:lang w:val="es-MX"/>
        </w:rPr>
        <w:t>Centroamérica y República Dominicana</w:t>
      </w:r>
      <w:bookmarkEnd w:id="23"/>
      <w:bookmarkEnd w:id="24"/>
    </w:p>
    <w:p w14:paraId="12A7E986" w14:textId="77777777" w:rsidR="00322670" w:rsidRPr="0062341C" w:rsidRDefault="00322670" w:rsidP="00322670">
      <w:pPr>
        <w:spacing w:after="0" w:line="240" w:lineRule="auto"/>
        <w:rPr>
          <w:color w:val="FF0000"/>
          <w:lang w:val="es-MX"/>
        </w:rPr>
      </w:pPr>
    </w:p>
    <w:p w14:paraId="4EB6764C" w14:textId="77777777" w:rsidR="00322670" w:rsidRPr="001230BD" w:rsidRDefault="00322670" w:rsidP="00322670">
      <w:pPr>
        <w:spacing w:after="0" w:line="240" w:lineRule="auto"/>
        <w:jc w:val="both"/>
        <w:rPr>
          <w:rFonts w:ascii="Times New Roman" w:hAnsi="Times New Roman" w:cs="Times New Roman"/>
          <w:lang w:val="es-MX"/>
        </w:rPr>
      </w:pPr>
      <w:r w:rsidRPr="001230BD">
        <w:rPr>
          <w:rFonts w:ascii="Times New Roman" w:hAnsi="Times New Roman" w:cs="Times New Roman"/>
          <w:lang w:val="es-MX"/>
        </w:rPr>
        <w:t>La crisis sanitaria que ha generado la pandemia ha producido la peor contracción económica y social de las últimas décadas, tanto a nivel mundial como en las economías de América Latina y el Caribe.</w:t>
      </w:r>
    </w:p>
    <w:p w14:paraId="48E5196D" w14:textId="77777777" w:rsidR="00322670" w:rsidRPr="001230BD" w:rsidRDefault="00322670" w:rsidP="00322670">
      <w:pPr>
        <w:spacing w:after="0" w:line="240" w:lineRule="auto"/>
        <w:jc w:val="both"/>
        <w:rPr>
          <w:rFonts w:ascii="Times New Roman" w:hAnsi="Times New Roman" w:cs="Times New Roman"/>
          <w:lang w:val="es-MX"/>
        </w:rPr>
      </w:pPr>
      <w:r w:rsidRPr="001230BD">
        <w:rPr>
          <w:rFonts w:ascii="Times New Roman" w:hAnsi="Times New Roman" w:cs="Times New Roman"/>
          <w:lang w:val="es-MX"/>
        </w:rPr>
        <w:t>La actividad económica de la región ya exhibía bajas tasas de crecimiento, 0.</w:t>
      </w:r>
      <w:r>
        <w:rPr>
          <w:rFonts w:ascii="Times New Roman" w:hAnsi="Times New Roman" w:cs="Times New Roman"/>
          <w:lang w:val="es-MX"/>
        </w:rPr>
        <w:t>3</w:t>
      </w:r>
      <w:r w:rsidRPr="001230BD">
        <w:rPr>
          <w:rFonts w:ascii="Times New Roman" w:hAnsi="Times New Roman" w:cs="Times New Roman"/>
          <w:lang w:val="es-MX"/>
        </w:rPr>
        <w:t xml:space="preserve">% en promedio entre 2014 y 2019, así como crecientes vulnerabilidades sociales y macroeconómicas, que se suman a una muy particular simultaneidad de choques externos e internos de oferta y demanda. </w:t>
      </w:r>
      <w:r>
        <w:rPr>
          <w:rFonts w:ascii="Times New Roman" w:hAnsi="Times New Roman" w:cs="Times New Roman"/>
          <w:lang w:val="es-MX"/>
        </w:rPr>
        <w:t xml:space="preserve">  En 2020 se </w:t>
      </w:r>
      <w:r w:rsidRPr="001230BD">
        <w:rPr>
          <w:rFonts w:ascii="Times New Roman" w:hAnsi="Times New Roman" w:cs="Times New Roman"/>
          <w:lang w:val="es-MX"/>
        </w:rPr>
        <w:t>ha</w:t>
      </w:r>
      <w:r>
        <w:rPr>
          <w:rFonts w:ascii="Times New Roman" w:hAnsi="Times New Roman" w:cs="Times New Roman"/>
          <w:lang w:val="es-MX"/>
        </w:rPr>
        <w:t>n</w:t>
      </w:r>
      <w:r w:rsidRPr="001230BD">
        <w:rPr>
          <w:rFonts w:ascii="Times New Roman" w:hAnsi="Times New Roman" w:cs="Times New Roman"/>
          <w:lang w:val="es-MX"/>
        </w:rPr>
        <w:t xml:space="preserve"> puesto de manifiest</w:t>
      </w:r>
      <w:r>
        <w:rPr>
          <w:rFonts w:ascii="Times New Roman" w:hAnsi="Times New Roman" w:cs="Times New Roman"/>
          <w:lang w:val="es-MX"/>
        </w:rPr>
        <w:t xml:space="preserve">o las debilidades estructurales </w:t>
      </w:r>
      <w:r w:rsidRPr="001230BD">
        <w:rPr>
          <w:rFonts w:ascii="Times New Roman" w:hAnsi="Times New Roman" w:cs="Times New Roman"/>
          <w:lang w:val="es-MX"/>
        </w:rPr>
        <w:t>de las</w:t>
      </w:r>
      <w:r>
        <w:rPr>
          <w:rFonts w:ascii="Times New Roman" w:hAnsi="Times New Roman" w:cs="Times New Roman"/>
          <w:lang w:val="es-MX"/>
        </w:rPr>
        <w:t xml:space="preserve"> economías; s</w:t>
      </w:r>
      <w:r w:rsidRPr="001230BD">
        <w:rPr>
          <w:rFonts w:ascii="Times New Roman" w:hAnsi="Times New Roman" w:cs="Times New Roman"/>
          <w:lang w:val="es-MX"/>
        </w:rPr>
        <w:t xml:space="preserve">i bien varios países han hecho </w:t>
      </w:r>
      <w:r>
        <w:rPr>
          <w:rFonts w:ascii="Times New Roman" w:hAnsi="Times New Roman" w:cs="Times New Roman"/>
          <w:lang w:val="es-MX"/>
        </w:rPr>
        <w:t xml:space="preserve">esfuerzos fiscales y monetarios </w:t>
      </w:r>
      <w:r w:rsidRPr="001230BD">
        <w:rPr>
          <w:rFonts w:ascii="Times New Roman" w:hAnsi="Times New Roman" w:cs="Times New Roman"/>
          <w:lang w:val="es-MX"/>
        </w:rPr>
        <w:t>significativos para mitigar los efectos sociales y económ</w:t>
      </w:r>
      <w:r>
        <w:rPr>
          <w:rFonts w:ascii="Times New Roman" w:hAnsi="Times New Roman" w:cs="Times New Roman"/>
          <w:lang w:val="es-MX"/>
        </w:rPr>
        <w:t xml:space="preserve">icos de la pandemia, en algunos </w:t>
      </w:r>
      <w:r w:rsidRPr="001230BD">
        <w:rPr>
          <w:rFonts w:ascii="Times New Roman" w:hAnsi="Times New Roman" w:cs="Times New Roman"/>
          <w:lang w:val="es-MX"/>
        </w:rPr>
        <w:t>países estos se han visto limitados por la disponibilidad</w:t>
      </w:r>
      <w:r>
        <w:rPr>
          <w:rFonts w:ascii="Times New Roman" w:hAnsi="Times New Roman" w:cs="Times New Roman"/>
          <w:lang w:val="es-MX"/>
        </w:rPr>
        <w:t xml:space="preserve"> y el acceso al financiamiento, </w:t>
      </w:r>
      <w:r w:rsidRPr="001230BD">
        <w:rPr>
          <w:rFonts w:ascii="Times New Roman" w:hAnsi="Times New Roman" w:cs="Times New Roman"/>
          <w:lang w:val="es-MX"/>
        </w:rPr>
        <w:t>las restricciones fiscales y la restricción externa. A su vez, los efectos de la pandemia</w:t>
      </w:r>
    </w:p>
    <w:p w14:paraId="180D3FF2" w14:textId="77777777" w:rsidR="00322670" w:rsidRDefault="00322670" w:rsidP="00322670">
      <w:pPr>
        <w:spacing w:after="0" w:line="240" w:lineRule="auto"/>
        <w:jc w:val="both"/>
        <w:rPr>
          <w:rFonts w:ascii="Times New Roman" w:hAnsi="Times New Roman" w:cs="Times New Roman"/>
          <w:lang w:val="es-MX"/>
        </w:rPr>
      </w:pPr>
      <w:r w:rsidRPr="001230BD">
        <w:rPr>
          <w:rFonts w:ascii="Times New Roman" w:hAnsi="Times New Roman" w:cs="Times New Roman"/>
          <w:lang w:val="es-MX"/>
        </w:rPr>
        <w:t>se han magnificado como consecuencia de la fragil</w:t>
      </w:r>
      <w:r>
        <w:rPr>
          <w:rFonts w:ascii="Times New Roman" w:hAnsi="Times New Roman" w:cs="Times New Roman"/>
          <w:lang w:val="es-MX"/>
        </w:rPr>
        <w:t xml:space="preserve">idad de los sistemas de salud y de protección social </w:t>
      </w:r>
      <w:r w:rsidRPr="001230BD">
        <w:rPr>
          <w:rFonts w:ascii="Times New Roman" w:hAnsi="Times New Roman" w:cs="Times New Roman"/>
          <w:lang w:val="es-MX"/>
        </w:rPr>
        <w:t>de los países de la región, además</w:t>
      </w:r>
      <w:r>
        <w:rPr>
          <w:rFonts w:ascii="Times New Roman" w:hAnsi="Times New Roman" w:cs="Times New Roman"/>
          <w:lang w:val="es-MX"/>
        </w:rPr>
        <w:t xml:space="preserve"> de la alta informalidad en los </w:t>
      </w:r>
      <w:r w:rsidRPr="001230BD">
        <w:rPr>
          <w:rFonts w:ascii="Times New Roman" w:hAnsi="Times New Roman" w:cs="Times New Roman"/>
          <w:lang w:val="es-MX"/>
        </w:rPr>
        <w:t>mercados de trabajo.</w:t>
      </w:r>
    </w:p>
    <w:p w14:paraId="4F5AD61E" w14:textId="77777777" w:rsidR="00322670" w:rsidRDefault="00322670" w:rsidP="00322670">
      <w:pPr>
        <w:spacing w:after="0" w:line="240" w:lineRule="auto"/>
        <w:jc w:val="both"/>
        <w:rPr>
          <w:rFonts w:ascii="Times New Roman" w:hAnsi="Times New Roman" w:cs="Times New Roman"/>
          <w:lang w:val="es-MX"/>
        </w:rPr>
      </w:pPr>
    </w:p>
    <w:p w14:paraId="6AD5275F" w14:textId="77777777" w:rsidR="00322670" w:rsidRDefault="00322670" w:rsidP="00322670">
      <w:pPr>
        <w:spacing w:after="0" w:line="240" w:lineRule="auto"/>
        <w:jc w:val="both"/>
        <w:rPr>
          <w:rFonts w:ascii="Times New Roman" w:hAnsi="Times New Roman" w:cs="Times New Roman"/>
          <w:lang w:val="es-MX"/>
        </w:rPr>
      </w:pPr>
      <w:r>
        <w:rPr>
          <w:rFonts w:ascii="Times New Roman" w:hAnsi="Times New Roman" w:cs="Times New Roman"/>
          <w:lang w:val="es-MX"/>
        </w:rPr>
        <w:t>L</w:t>
      </w:r>
      <w:r w:rsidRPr="00FF5591">
        <w:rPr>
          <w:rFonts w:ascii="Times New Roman" w:hAnsi="Times New Roman" w:cs="Times New Roman"/>
          <w:lang w:val="es-MX"/>
        </w:rPr>
        <w:t>as economías de Centroam</w:t>
      </w:r>
      <w:r>
        <w:rPr>
          <w:rFonts w:ascii="Times New Roman" w:hAnsi="Times New Roman" w:cs="Times New Roman"/>
          <w:lang w:val="es-MX"/>
        </w:rPr>
        <w:t xml:space="preserve">érica y la República Dominicana (CARD) en 2020 sufrieron una profunda </w:t>
      </w:r>
      <w:r w:rsidRPr="00FF5591">
        <w:rPr>
          <w:rFonts w:ascii="Times New Roman" w:hAnsi="Times New Roman" w:cs="Times New Roman"/>
          <w:lang w:val="es-MX"/>
        </w:rPr>
        <w:t>y g</w:t>
      </w:r>
      <w:r>
        <w:rPr>
          <w:rFonts w:ascii="Times New Roman" w:hAnsi="Times New Roman" w:cs="Times New Roman"/>
          <w:lang w:val="es-MX"/>
        </w:rPr>
        <w:t>eneralizada contracción, l</w:t>
      </w:r>
      <w:r w:rsidRPr="00FF5591">
        <w:rPr>
          <w:rFonts w:ascii="Times New Roman" w:hAnsi="Times New Roman" w:cs="Times New Roman"/>
          <w:lang w:val="es-MX"/>
        </w:rPr>
        <w:t>a CEPAL estima que el P</w:t>
      </w:r>
      <w:r>
        <w:rPr>
          <w:rFonts w:ascii="Times New Roman" w:hAnsi="Times New Roman" w:cs="Times New Roman"/>
          <w:lang w:val="es-MX"/>
        </w:rPr>
        <w:t xml:space="preserve">IB promedio de CARD se contrajo un 6.1%, después de 10 años </w:t>
      </w:r>
      <w:r w:rsidRPr="00FF5591">
        <w:rPr>
          <w:rFonts w:ascii="Times New Roman" w:hAnsi="Times New Roman" w:cs="Times New Roman"/>
          <w:lang w:val="es-MX"/>
        </w:rPr>
        <w:t>de</w:t>
      </w:r>
      <w:r>
        <w:rPr>
          <w:rFonts w:ascii="Times New Roman" w:hAnsi="Times New Roman" w:cs="Times New Roman"/>
          <w:lang w:val="es-MX"/>
        </w:rPr>
        <w:t xml:space="preserve"> expansión ininterrumpida. Esta </w:t>
      </w:r>
      <w:r w:rsidRPr="00FF5591">
        <w:rPr>
          <w:rFonts w:ascii="Times New Roman" w:hAnsi="Times New Roman" w:cs="Times New Roman"/>
          <w:lang w:val="es-MX"/>
        </w:rPr>
        <w:t>caída se explica principalmente po</w:t>
      </w:r>
      <w:r>
        <w:rPr>
          <w:rFonts w:ascii="Times New Roman" w:hAnsi="Times New Roman" w:cs="Times New Roman"/>
          <w:lang w:val="es-MX"/>
        </w:rPr>
        <w:t xml:space="preserve">r las medidas de restricción de </w:t>
      </w:r>
      <w:r w:rsidRPr="00FF5591">
        <w:rPr>
          <w:rFonts w:ascii="Times New Roman" w:hAnsi="Times New Roman" w:cs="Times New Roman"/>
          <w:lang w:val="es-MX"/>
        </w:rPr>
        <w:t>movilidad y cierre de actividad</w:t>
      </w:r>
      <w:r>
        <w:rPr>
          <w:rFonts w:ascii="Times New Roman" w:hAnsi="Times New Roman" w:cs="Times New Roman"/>
          <w:lang w:val="es-MX"/>
        </w:rPr>
        <w:t xml:space="preserve">es, que fueron implementadas en </w:t>
      </w:r>
      <w:r w:rsidRPr="00FF5591">
        <w:rPr>
          <w:rFonts w:ascii="Times New Roman" w:hAnsi="Times New Roman" w:cs="Times New Roman"/>
          <w:lang w:val="es-MX"/>
        </w:rPr>
        <w:t>ma</w:t>
      </w:r>
      <w:r>
        <w:rPr>
          <w:rFonts w:ascii="Times New Roman" w:hAnsi="Times New Roman" w:cs="Times New Roman"/>
          <w:lang w:val="es-MX"/>
        </w:rPr>
        <w:t xml:space="preserve">yor o menor medida en cada país de la subregión con objeto </w:t>
      </w:r>
      <w:r w:rsidRPr="00FF5591">
        <w:rPr>
          <w:rFonts w:ascii="Times New Roman" w:hAnsi="Times New Roman" w:cs="Times New Roman"/>
          <w:lang w:val="es-MX"/>
        </w:rPr>
        <w:t xml:space="preserve">de contener la propagación de </w:t>
      </w:r>
      <w:r>
        <w:rPr>
          <w:rFonts w:ascii="Times New Roman" w:hAnsi="Times New Roman" w:cs="Times New Roman"/>
          <w:lang w:val="es-MX"/>
        </w:rPr>
        <w:t xml:space="preserve">la enfermedad por COVID 19, así </w:t>
      </w:r>
      <w:r w:rsidRPr="00FF5591">
        <w:rPr>
          <w:rFonts w:ascii="Times New Roman" w:hAnsi="Times New Roman" w:cs="Times New Roman"/>
          <w:lang w:val="es-MX"/>
        </w:rPr>
        <w:t>como por una notable contracción de la demanda externa.</w:t>
      </w:r>
    </w:p>
    <w:p w14:paraId="0E5445A0" w14:textId="77777777" w:rsidR="00322670" w:rsidRDefault="00322670" w:rsidP="00322670">
      <w:pPr>
        <w:spacing w:after="0" w:line="240" w:lineRule="auto"/>
        <w:jc w:val="both"/>
        <w:rPr>
          <w:rFonts w:ascii="Times New Roman" w:hAnsi="Times New Roman" w:cs="Times New Roman"/>
          <w:lang w:val="es-MX"/>
        </w:rPr>
      </w:pPr>
    </w:p>
    <w:p w14:paraId="51FFC3FF" w14:textId="77777777" w:rsidR="00322670" w:rsidRDefault="00322670" w:rsidP="00322670">
      <w:pPr>
        <w:spacing w:after="0" w:line="240" w:lineRule="auto"/>
        <w:jc w:val="both"/>
        <w:rPr>
          <w:rFonts w:ascii="Times New Roman" w:hAnsi="Times New Roman" w:cs="Times New Roman"/>
          <w:lang w:val="es-MX"/>
        </w:rPr>
      </w:pPr>
      <w:r w:rsidRPr="00FF5591">
        <w:rPr>
          <w:rFonts w:ascii="Times New Roman" w:hAnsi="Times New Roman" w:cs="Times New Roman"/>
          <w:lang w:val="es-MX"/>
        </w:rPr>
        <w:t>Al tercer trimestre de 2020 el déficit fiscal promedio del gobierno central en los países de CARD alcanzó un 7.1% del PIB, superior al 2.2% registrado en el mismo período de 2019. Por un lado, las acciones e incentivos para enfrentar la pandemia fueron equivalentes, en promedio, a un 4% del PIB, con diferencias significativas entre los países de CARD. Por otro lado, los ingresos fiscales anotaron una importante contracción en línea con la caída de la actividad económica. Como resultado, al tercer trimestre de 2020 el saldo de la deuda total del sector público de los países de la subregión registró un aumento promedio de 9.4 puntos porcentuales del PIB con respecto al mismo trimestre de 2019.</w:t>
      </w:r>
      <w:r>
        <w:rPr>
          <w:rFonts w:ascii="Times New Roman" w:hAnsi="Times New Roman" w:cs="Times New Roman"/>
          <w:lang w:val="es-MX"/>
        </w:rPr>
        <w:t xml:space="preserve">  </w:t>
      </w:r>
    </w:p>
    <w:p w14:paraId="5C0EE24E" w14:textId="77777777" w:rsidR="00322670" w:rsidRDefault="00322670" w:rsidP="00322670">
      <w:pPr>
        <w:spacing w:after="0" w:line="240" w:lineRule="auto"/>
        <w:jc w:val="both"/>
        <w:rPr>
          <w:rFonts w:ascii="Times New Roman" w:hAnsi="Times New Roman" w:cs="Times New Roman"/>
          <w:lang w:val="es-MX"/>
        </w:rPr>
      </w:pPr>
    </w:p>
    <w:p w14:paraId="420CADEA" w14:textId="70D7BE13" w:rsidR="00322670" w:rsidRPr="00134FDC" w:rsidRDefault="00322670" w:rsidP="00134FDC">
      <w:pPr>
        <w:pStyle w:val="Epgrafe"/>
        <w:jc w:val="center"/>
        <w:rPr>
          <w:rFonts w:ascii="Times New Roman" w:hAnsi="Times New Roman" w:cs="Times New Roman"/>
          <w:b/>
          <w:bCs/>
          <w:iCs w:val="0"/>
          <w:color w:val="auto"/>
          <w:sz w:val="20"/>
          <w:szCs w:val="20"/>
        </w:rPr>
      </w:pPr>
      <w:bookmarkStart w:id="25" w:name="_Toc71110172"/>
      <w:bookmarkStart w:id="26" w:name="_Toc81573051"/>
      <w:r w:rsidRPr="00134FDC">
        <w:rPr>
          <w:rFonts w:ascii="Times New Roman" w:hAnsi="Times New Roman" w:cs="Times New Roman"/>
          <w:b/>
          <w:noProof/>
          <w:color w:val="auto"/>
          <w:sz w:val="20"/>
          <w:szCs w:val="20"/>
          <w:lang w:val="es-ES" w:eastAsia="es-ES"/>
        </w:rPr>
        <w:drawing>
          <wp:anchor distT="0" distB="0" distL="114300" distR="114300" simplePos="0" relativeHeight="251965952" behindDoc="0" locked="0" layoutInCell="1" allowOverlap="1" wp14:anchorId="047A0F5C" wp14:editId="727CC480">
            <wp:simplePos x="0" y="0"/>
            <wp:positionH relativeFrom="column">
              <wp:posOffset>441427</wp:posOffset>
            </wp:positionH>
            <wp:positionV relativeFrom="paragraph">
              <wp:posOffset>255372</wp:posOffset>
            </wp:positionV>
            <wp:extent cx="4572000" cy="2187244"/>
            <wp:effectExtent l="0" t="0" r="0" b="0"/>
            <wp:wrapNone/>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134FDC" w:rsidRPr="00134FDC">
        <w:rPr>
          <w:rFonts w:ascii="Times New Roman" w:hAnsi="Times New Roman" w:cs="Times New Roman"/>
          <w:b/>
          <w:color w:val="auto"/>
          <w:sz w:val="20"/>
          <w:szCs w:val="20"/>
        </w:rPr>
        <w:t xml:space="preserve">Gráfico </w:t>
      </w:r>
      <w:r w:rsidR="00134FDC">
        <w:rPr>
          <w:rFonts w:ascii="Times New Roman" w:hAnsi="Times New Roman" w:cs="Times New Roman"/>
          <w:b/>
          <w:color w:val="auto"/>
          <w:sz w:val="20"/>
          <w:szCs w:val="20"/>
        </w:rPr>
        <w:fldChar w:fldCharType="begin"/>
      </w:r>
      <w:r w:rsidR="00134FDC">
        <w:rPr>
          <w:rFonts w:ascii="Times New Roman" w:hAnsi="Times New Roman" w:cs="Times New Roman"/>
          <w:b/>
          <w:color w:val="auto"/>
          <w:sz w:val="20"/>
          <w:szCs w:val="20"/>
        </w:rPr>
        <w:instrText xml:space="preserve"> SEQ Gráfico \* ARABIC </w:instrText>
      </w:r>
      <w:r w:rsidR="00134FDC">
        <w:rPr>
          <w:rFonts w:ascii="Times New Roman" w:hAnsi="Times New Roman" w:cs="Times New Roman"/>
          <w:b/>
          <w:color w:val="auto"/>
          <w:sz w:val="20"/>
          <w:szCs w:val="20"/>
        </w:rPr>
        <w:fldChar w:fldCharType="separate"/>
      </w:r>
      <w:r w:rsidR="00D6529D">
        <w:rPr>
          <w:rFonts w:ascii="Times New Roman" w:hAnsi="Times New Roman" w:cs="Times New Roman"/>
          <w:b/>
          <w:noProof/>
          <w:color w:val="auto"/>
          <w:sz w:val="20"/>
          <w:szCs w:val="20"/>
        </w:rPr>
        <w:t>1</w:t>
      </w:r>
      <w:r w:rsidR="00134FDC">
        <w:rPr>
          <w:rFonts w:ascii="Times New Roman" w:hAnsi="Times New Roman" w:cs="Times New Roman"/>
          <w:b/>
          <w:color w:val="auto"/>
          <w:sz w:val="20"/>
          <w:szCs w:val="20"/>
        </w:rPr>
        <w:fldChar w:fldCharType="end"/>
      </w:r>
      <w:r w:rsidR="00134FDC" w:rsidRPr="00134FDC">
        <w:rPr>
          <w:rFonts w:ascii="Times New Roman" w:hAnsi="Times New Roman" w:cs="Times New Roman"/>
          <w:b/>
          <w:color w:val="auto"/>
          <w:sz w:val="20"/>
          <w:szCs w:val="20"/>
        </w:rPr>
        <w:t xml:space="preserve">  </w:t>
      </w:r>
      <w:r w:rsidRPr="00134FDC">
        <w:rPr>
          <w:rFonts w:ascii="Times New Roman" w:hAnsi="Times New Roman" w:cs="Times New Roman"/>
          <w:b/>
          <w:bCs/>
          <w:i w:val="0"/>
          <w:iCs w:val="0"/>
          <w:color w:val="auto"/>
          <w:sz w:val="20"/>
          <w:szCs w:val="20"/>
        </w:rPr>
        <w:t>Tasas de crecimiento del PIB, Centroamérica y la República Dominicana 2019-2020</w:t>
      </w:r>
      <w:bookmarkEnd w:id="25"/>
      <w:bookmarkEnd w:id="26"/>
    </w:p>
    <w:p w14:paraId="7B78D334" w14:textId="77777777" w:rsidR="00322670" w:rsidRPr="0062341C" w:rsidRDefault="00322670" w:rsidP="00322670">
      <w:pPr>
        <w:jc w:val="center"/>
        <w:rPr>
          <w:rFonts w:ascii="Times New Roman" w:hAnsi="Times New Roman" w:cs="Times New Roman"/>
          <w:color w:val="FF0000"/>
          <w:lang w:val="es-ES"/>
        </w:rPr>
      </w:pPr>
    </w:p>
    <w:p w14:paraId="654B72FD" w14:textId="77777777" w:rsidR="00322670" w:rsidRDefault="00322670" w:rsidP="00322670">
      <w:pPr>
        <w:spacing w:after="0" w:line="240" w:lineRule="auto"/>
        <w:rPr>
          <w:rFonts w:ascii="Times New Roman" w:hAnsi="Times New Roman" w:cs="Times New Roman"/>
          <w:color w:val="FF0000"/>
          <w:lang w:val="es-ES"/>
        </w:rPr>
      </w:pPr>
    </w:p>
    <w:p w14:paraId="1A8752EB" w14:textId="77777777" w:rsidR="00322670" w:rsidRDefault="00322670" w:rsidP="00322670">
      <w:pPr>
        <w:spacing w:after="0" w:line="240" w:lineRule="auto"/>
        <w:rPr>
          <w:rFonts w:ascii="Times New Roman" w:hAnsi="Times New Roman" w:cs="Times New Roman"/>
          <w:color w:val="FF0000"/>
          <w:lang w:val="es-ES"/>
        </w:rPr>
      </w:pPr>
    </w:p>
    <w:p w14:paraId="5484B046" w14:textId="77777777" w:rsidR="00322670" w:rsidRDefault="00322670" w:rsidP="00322670">
      <w:pPr>
        <w:spacing w:after="0" w:line="240" w:lineRule="auto"/>
        <w:rPr>
          <w:rFonts w:ascii="Times New Roman" w:hAnsi="Times New Roman" w:cs="Times New Roman"/>
          <w:color w:val="FF0000"/>
          <w:lang w:val="es-ES"/>
        </w:rPr>
      </w:pPr>
    </w:p>
    <w:p w14:paraId="016B6266" w14:textId="77777777" w:rsidR="00322670" w:rsidRDefault="00322670" w:rsidP="00322670">
      <w:pPr>
        <w:spacing w:after="0" w:line="240" w:lineRule="auto"/>
        <w:rPr>
          <w:rFonts w:ascii="Times New Roman" w:hAnsi="Times New Roman" w:cs="Times New Roman"/>
          <w:color w:val="FF0000"/>
          <w:lang w:val="es-ES"/>
        </w:rPr>
      </w:pPr>
    </w:p>
    <w:p w14:paraId="0FAA84ED" w14:textId="77777777" w:rsidR="00322670" w:rsidRDefault="00322670" w:rsidP="00322670">
      <w:pPr>
        <w:spacing w:after="0" w:line="240" w:lineRule="auto"/>
        <w:rPr>
          <w:rFonts w:ascii="Times New Roman" w:hAnsi="Times New Roman" w:cs="Times New Roman"/>
          <w:color w:val="FF0000"/>
          <w:lang w:val="es-ES"/>
        </w:rPr>
      </w:pPr>
    </w:p>
    <w:p w14:paraId="1BBA2F79" w14:textId="77777777" w:rsidR="00322670" w:rsidRDefault="00322670" w:rsidP="00322670">
      <w:pPr>
        <w:spacing w:after="0" w:line="240" w:lineRule="auto"/>
        <w:rPr>
          <w:rFonts w:ascii="Times New Roman" w:hAnsi="Times New Roman" w:cs="Times New Roman"/>
          <w:color w:val="FF0000"/>
          <w:lang w:val="es-ES"/>
        </w:rPr>
      </w:pPr>
    </w:p>
    <w:p w14:paraId="50BBFCDA" w14:textId="77777777" w:rsidR="00322670" w:rsidRDefault="00322670" w:rsidP="00322670">
      <w:pPr>
        <w:spacing w:after="0" w:line="240" w:lineRule="auto"/>
        <w:rPr>
          <w:rFonts w:ascii="Times New Roman" w:hAnsi="Times New Roman" w:cs="Times New Roman"/>
          <w:color w:val="FF0000"/>
          <w:lang w:val="es-ES"/>
        </w:rPr>
      </w:pPr>
    </w:p>
    <w:p w14:paraId="56E008C1" w14:textId="77777777" w:rsidR="00322670" w:rsidRDefault="00322670" w:rsidP="00322670">
      <w:pPr>
        <w:spacing w:after="0" w:line="240" w:lineRule="auto"/>
        <w:rPr>
          <w:rFonts w:ascii="Times New Roman" w:hAnsi="Times New Roman" w:cs="Times New Roman"/>
          <w:color w:val="FF0000"/>
          <w:lang w:val="es-ES"/>
        </w:rPr>
      </w:pPr>
    </w:p>
    <w:p w14:paraId="6BBCB644" w14:textId="77777777" w:rsidR="00322670" w:rsidRDefault="00322670" w:rsidP="00322670">
      <w:pPr>
        <w:spacing w:after="0" w:line="240" w:lineRule="auto"/>
        <w:rPr>
          <w:rFonts w:ascii="Times New Roman" w:hAnsi="Times New Roman" w:cs="Times New Roman"/>
          <w:color w:val="FF0000"/>
          <w:lang w:val="es-ES"/>
        </w:rPr>
      </w:pPr>
    </w:p>
    <w:p w14:paraId="41A94CF5" w14:textId="77777777" w:rsidR="00322670" w:rsidRDefault="00322670" w:rsidP="00322670">
      <w:pPr>
        <w:spacing w:after="0" w:line="240" w:lineRule="auto"/>
        <w:rPr>
          <w:rFonts w:ascii="Times New Roman" w:hAnsi="Times New Roman" w:cs="Times New Roman"/>
          <w:color w:val="FF0000"/>
          <w:lang w:val="es-ES"/>
        </w:rPr>
      </w:pPr>
    </w:p>
    <w:p w14:paraId="16FA2F65" w14:textId="77777777" w:rsidR="00322670" w:rsidRDefault="00322670" w:rsidP="00322670">
      <w:pPr>
        <w:spacing w:after="0" w:line="240" w:lineRule="auto"/>
        <w:rPr>
          <w:rFonts w:ascii="Times New Roman" w:hAnsi="Times New Roman" w:cs="Times New Roman"/>
          <w:color w:val="FF0000"/>
          <w:lang w:val="es-ES"/>
        </w:rPr>
      </w:pPr>
    </w:p>
    <w:p w14:paraId="16F8E7BF" w14:textId="77777777" w:rsidR="00322670" w:rsidRDefault="00322670" w:rsidP="00322670">
      <w:pPr>
        <w:spacing w:after="0" w:line="240" w:lineRule="auto"/>
        <w:rPr>
          <w:rFonts w:ascii="Times New Roman" w:hAnsi="Times New Roman" w:cs="Times New Roman"/>
          <w:color w:val="FF0000"/>
          <w:lang w:val="es-ES"/>
        </w:rPr>
      </w:pPr>
      <w:r w:rsidRPr="0062341C">
        <w:rPr>
          <w:rFonts w:ascii="Times New Roman" w:hAnsi="Times New Roman" w:cs="Times New Roman"/>
          <w:noProof/>
          <w:color w:val="FF0000"/>
          <w:lang w:val="es-ES" w:eastAsia="es-ES"/>
        </w:rPr>
        <mc:AlternateContent>
          <mc:Choice Requires="wps">
            <w:drawing>
              <wp:anchor distT="0" distB="0" distL="114300" distR="114300" simplePos="0" relativeHeight="251962880" behindDoc="0" locked="0" layoutInCell="1" allowOverlap="1" wp14:anchorId="33DA1F55" wp14:editId="378B682C">
                <wp:simplePos x="0" y="0"/>
                <wp:positionH relativeFrom="margin">
                  <wp:posOffset>443865</wp:posOffset>
                </wp:positionH>
                <wp:positionV relativeFrom="paragraph">
                  <wp:posOffset>111303</wp:posOffset>
                </wp:positionV>
                <wp:extent cx="4057650" cy="285750"/>
                <wp:effectExtent l="0" t="0" r="0" b="0"/>
                <wp:wrapNone/>
                <wp:docPr id="61" name="Text Box 16"/>
                <wp:cNvGraphicFramePr/>
                <a:graphic xmlns:a="http://schemas.openxmlformats.org/drawingml/2006/main">
                  <a:graphicData uri="http://schemas.microsoft.com/office/word/2010/wordprocessingShape">
                    <wps:wsp>
                      <wps:cNvSpPr txBox="1"/>
                      <wps:spPr>
                        <a:xfrm>
                          <a:off x="0" y="0"/>
                          <a:ext cx="4057650" cy="285750"/>
                        </a:xfrm>
                        <a:prstGeom prst="rect">
                          <a:avLst/>
                        </a:prstGeom>
                        <a:solidFill>
                          <a:schemeClr val="lt1"/>
                        </a:solidFill>
                        <a:ln w="6350">
                          <a:noFill/>
                        </a:ln>
                      </wps:spPr>
                      <wps:txbx>
                        <w:txbxContent>
                          <w:p w14:paraId="64C30752" w14:textId="77777777" w:rsidR="00A36CEB" w:rsidRPr="00EC77E9" w:rsidRDefault="00A36CEB" w:rsidP="00322670">
                            <w:pPr>
                              <w:spacing w:after="0"/>
                              <w:rPr>
                                <w:rFonts w:ascii="Times New Roman" w:hAnsi="Times New Roman" w:cs="Times New Roman"/>
                                <w:sz w:val="16"/>
                                <w:szCs w:val="16"/>
                              </w:rPr>
                            </w:pPr>
                            <w:r w:rsidRPr="00EC77E9">
                              <w:rPr>
                                <w:rFonts w:ascii="Times New Roman" w:hAnsi="Times New Roman" w:cs="Times New Roman"/>
                                <w:sz w:val="16"/>
                                <w:szCs w:val="16"/>
                              </w:rPr>
                              <w:t xml:space="preserve">Fuente: </w:t>
                            </w:r>
                            <w:r>
                              <w:rPr>
                                <w:rFonts w:ascii="Times New Roman" w:hAnsi="Times New Roman" w:cs="Times New Roman"/>
                                <w:sz w:val="16"/>
                                <w:szCs w:val="16"/>
                              </w:rPr>
                              <w:t>Dirección de Análisis y Política Fiscal</w:t>
                            </w:r>
                            <w:r w:rsidRPr="00EC77E9">
                              <w:rPr>
                                <w:rFonts w:ascii="Times New Roman" w:hAnsi="Times New Roman" w:cs="Times New Roman"/>
                                <w:sz w:val="16"/>
                                <w:szCs w:val="16"/>
                              </w:rPr>
                              <w:t xml:space="preserve"> con información del FMI</w:t>
                            </w:r>
                          </w:p>
                          <w:p w14:paraId="28FCB633" w14:textId="77777777" w:rsidR="00A36CEB" w:rsidRPr="00EC77E9" w:rsidRDefault="00A36CEB" w:rsidP="00322670">
                            <w:pPr>
                              <w:spacing w:after="0"/>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3DA1F55" id="_x0000_t202" coordsize="21600,21600" o:spt="202" path="m,l,21600r21600,l21600,xe">
                <v:stroke joinstyle="miter"/>
                <v:path gradientshapeok="t" o:connecttype="rect"/>
              </v:shapetype>
              <v:shape id="Text Box 16" o:spid="_x0000_s1026" type="#_x0000_t202" style="position:absolute;margin-left:34.95pt;margin-top:8.75pt;width:319.5pt;height:22.5pt;z-index:25196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" fillcolor="white [3201]" stroked="f" strokeweight=".5pt">
                <v:textbox>
                  <w:txbxContent>
                    <w:p w14:paraId="64C30752" w14:textId="77777777" w:rsidR="00A36CEB" w:rsidRPr="00EC77E9" w:rsidRDefault="00A36CEB" w:rsidP="00322670">
                      <w:pPr>
                        <w:spacing w:after="0"/>
                        <w:rPr>
                          <w:rFonts w:ascii="Times New Roman" w:hAnsi="Times New Roman" w:cs="Times New Roman"/>
                          <w:sz w:val="16"/>
                          <w:szCs w:val="16"/>
                        </w:rPr>
                      </w:pPr>
                      <w:r w:rsidRPr="00EC77E9">
                        <w:rPr>
                          <w:rFonts w:ascii="Times New Roman" w:hAnsi="Times New Roman" w:cs="Times New Roman"/>
                          <w:sz w:val="16"/>
                          <w:szCs w:val="16"/>
                        </w:rPr>
                        <w:t xml:space="preserve">Fuente: </w:t>
                      </w:r>
                      <w:r>
                        <w:rPr>
                          <w:rFonts w:ascii="Times New Roman" w:hAnsi="Times New Roman" w:cs="Times New Roman"/>
                          <w:sz w:val="16"/>
                          <w:szCs w:val="16"/>
                        </w:rPr>
                        <w:t>Dirección de Análisis y Política Fiscal</w:t>
                      </w:r>
                      <w:r w:rsidRPr="00EC77E9">
                        <w:rPr>
                          <w:rFonts w:ascii="Times New Roman" w:hAnsi="Times New Roman" w:cs="Times New Roman"/>
                          <w:sz w:val="16"/>
                          <w:szCs w:val="16"/>
                        </w:rPr>
                        <w:t xml:space="preserve"> con información del FMI</w:t>
                      </w:r>
                    </w:p>
                    <w:p w14:paraId="28FCB633" w14:textId="77777777" w:rsidR="00A36CEB" w:rsidRPr="00EC77E9" w:rsidRDefault="00A36CEB" w:rsidP="00322670">
                      <w:pPr>
                        <w:spacing w:after="0"/>
                        <w:rPr>
                          <w:rFonts w:ascii="Times New Roman" w:hAnsi="Times New Roman" w:cs="Times New Roman"/>
                          <w:sz w:val="16"/>
                          <w:szCs w:val="16"/>
                        </w:rPr>
                      </w:pPr>
                    </w:p>
                  </w:txbxContent>
                </v:textbox>
                <w10:wrap anchorx="margin"/>
              </v:shape>
            </w:pict>
          </mc:Fallback>
        </mc:AlternateContent>
      </w:r>
    </w:p>
    <w:p w14:paraId="65DF4AC0" w14:textId="77777777" w:rsidR="00322670" w:rsidRDefault="00322670" w:rsidP="00322670">
      <w:pPr>
        <w:spacing w:after="0" w:line="240" w:lineRule="auto"/>
        <w:rPr>
          <w:rFonts w:ascii="Times New Roman" w:hAnsi="Times New Roman" w:cs="Times New Roman"/>
          <w:color w:val="FF0000"/>
          <w:lang w:val="es-ES"/>
        </w:rPr>
      </w:pPr>
    </w:p>
    <w:p w14:paraId="424382B7" w14:textId="77777777" w:rsidR="00322670" w:rsidRDefault="00322670" w:rsidP="00322670">
      <w:pPr>
        <w:spacing w:after="0" w:line="240" w:lineRule="auto"/>
        <w:rPr>
          <w:rFonts w:ascii="Times New Roman" w:hAnsi="Times New Roman" w:cs="Times New Roman"/>
          <w:color w:val="FF0000"/>
          <w:lang w:val="es-ES"/>
        </w:rPr>
      </w:pPr>
    </w:p>
    <w:p w14:paraId="32FA6D97" w14:textId="58A8EE92" w:rsidR="00322670" w:rsidRPr="00FF5591" w:rsidRDefault="00322670" w:rsidP="00322670">
      <w:pPr>
        <w:spacing w:after="0" w:line="240" w:lineRule="auto"/>
        <w:jc w:val="both"/>
        <w:rPr>
          <w:rFonts w:ascii="Times New Roman" w:hAnsi="Times New Roman" w:cs="Times New Roman"/>
          <w:lang w:val="es-MX"/>
        </w:rPr>
      </w:pPr>
      <w:r w:rsidRPr="00FF5591">
        <w:rPr>
          <w:rFonts w:ascii="Times New Roman" w:hAnsi="Times New Roman" w:cs="Times New Roman"/>
          <w:lang w:val="es-MX"/>
        </w:rPr>
        <w:t xml:space="preserve">Las exportaciones de bienes </w:t>
      </w:r>
      <w:r w:rsidR="00A47A12">
        <w:rPr>
          <w:rFonts w:ascii="Times New Roman" w:hAnsi="Times New Roman" w:cs="Times New Roman"/>
          <w:lang w:val="es-MX"/>
        </w:rPr>
        <w:t>del CARD</w:t>
      </w:r>
      <w:r>
        <w:rPr>
          <w:rFonts w:ascii="Times New Roman" w:hAnsi="Times New Roman" w:cs="Times New Roman"/>
          <w:lang w:val="es-MX"/>
        </w:rPr>
        <w:t xml:space="preserve"> registraron una reducción interanual del 7.</w:t>
      </w:r>
      <w:r w:rsidRPr="00FF5591">
        <w:rPr>
          <w:rFonts w:ascii="Times New Roman" w:hAnsi="Times New Roman" w:cs="Times New Roman"/>
          <w:lang w:val="es-MX"/>
        </w:rPr>
        <w:t>9% al terc</w:t>
      </w:r>
      <w:r>
        <w:rPr>
          <w:rFonts w:ascii="Times New Roman" w:hAnsi="Times New Roman" w:cs="Times New Roman"/>
          <w:lang w:val="es-MX"/>
        </w:rPr>
        <w:t xml:space="preserve">er trimestre de 2020. Las </w:t>
      </w:r>
      <w:r w:rsidRPr="00FF5591">
        <w:rPr>
          <w:rFonts w:ascii="Times New Roman" w:hAnsi="Times New Roman" w:cs="Times New Roman"/>
          <w:lang w:val="es-MX"/>
        </w:rPr>
        <w:t>importaciones, por su parte,</w:t>
      </w:r>
      <w:r>
        <w:rPr>
          <w:rFonts w:ascii="Times New Roman" w:hAnsi="Times New Roman" w:cs="Times New Roman"/>
          <w:lang w:val="es-MX"/>
        </w:rPr>
        <w:t xml:space="preserve"> se contrajeron un 18.5% por la fuerte caída de la </w:t>
      </w:r>
      <w:r w:rsidRPr="00FF5591">
        <w:rPr>
          <w:rFonts w:ascii="Times New Roman" w:hAnsi="Times New Roman" w:cs="Times New Roman"/>
          <w:lang w:val="es-MX"/>
        </w:rPr>
        <w:t>demanda inter</w:t>
      </w:r>
      <w:r>
        <w:rPr>
          <w:rFonts w:ascii="Times New Roman" w:hAnsi="Times New Roman" w:cs="Times New Roman"/>
          <w:lang w:val="es-MX"/>
        </w:rPr>
        <w:t xml:space="preserve">na y la reducción de la factura </w:t>
      </w:r>
      <w:r w:rsidRPr="00FF5591">
        <w:rPr>
          <w:rFonts w:ascii="Times New Roman" w:hAnsi="Times New Roman" w:cs="Times New Roman"/>
          <w:lang w:val="es-MX"/>
        </w:rPr>
        <w:t>petrolera</w:t>
      </w:r>
      <w:r>
        <w:rPr>
          <w:rFonts w:ascii="Times New Roman" w:hAnsi="Times New Roman" w:cs="Times New Roman"/>
          <w:lang w:val="es-MX"/>
        </w:rPr>
        <w:t xml:space="preserve">.  </w:t>
      </w:r>
      <w:r w:rsidRPr="00FF5591">
        <w:rPr>
          <w:rFonts w:ascii="Times New Roman" w:hAnsi="Times New Roman" w:cs="Times New Roman"/>
          <w:lang w:val="es-MX"/>
        </w:rPr>
        <w:t>En 2020 la inflación interanual</w:t>
      </w:r>
      <w:r>
        <w:rPr>
          <w:rFonts w:ascii="Times New Roman" w:hAnsi="Times New Roman" w:cs="Times New Roman"/>
          <w:lang w:val="es-MX"/>
        </w:rPr>
        <w:t xml:space="preserve"> promedio </w:t>
      </w:r>
      <w:r w:rsidRPr="00FF5591">
        <w:rPr>
          <w:rFonts w:ascii="Times New Roman" w:hAnsi="Times New Roman" w:cs="Times New Roman"/>
          <w:lang w:val="es-MX"/>
        </w:rPr>
        <w:t xml:space="preserve">de los países de CARD se situó en </w:t>
      </w:r>
      <w:r>
        <w:rPr>
          <w:rFonts w:ascii="Times New Roman" w:hAnsi="Times New Roman" w:cs="Times New Roman"/>
          <w:lang w:val="es-MX"/>
        </w:rPr>
        <w:t xml:space="preserve">2.3%, 0.4 puntos porcentuales por debajo de </w:t>
      </w:r>
      <w:r w:rsidRPr="00FF5591">
        <w:rPr>
          <w:rFonts w:ascii="Times New Roman" w:hAnsi="Times New Roman" w:cs="Times New Roman"/>
          <w:lang w:val="es-MX"/>
        </w:rPr>
        <w:t>la registrada en 2</w:t>
      </w:r>
      <w:r>
        <w:rPr>
          <w:rFonts w:ascii="Times New Roman" w:hAnsi="Times New Roman" w:cs="Times New Roman"/>
          <w:lang w:val="es-MX"/>
        </w:rPr>
        <w:t xml:space="preserve">019 (2.7%). Esta desaceleración </w:t>
      </w:r>
      <w:r w:rsidRPr="00FF5591">
        <w:rPr>
          <w:rFonts w:ascii="Times New Roman" w:hAnsi="Times New Roman" w:cs="Times New Roman"/>
          <w:lang w:val="es-MX"/>
        </w:rPr>
        <w:t xml:space="preserve">fue resultado de una </w:t>
      </w:r>
      <w:r>
        <w:rPr>
          <w:rFonts w:ascii="Times New Roman" w:hAnsi="Times New Roman" w:cs="Times New Roman"/>
          <w:lang w:val="es-MX"/>
        </w:rPr>
        <w:t xml:space="preserve">significativa contracción de la demanda </w:t>
      </w:r>
      <w:r w:rsidRPr="00FF5591">
        <w:rPr>
          <w:rFonts w:ascii="Times New Roman" w:hAnsi="Times New Roman" w:cs="Times New Roman"/>
          <w:lang w:val="es-MX"/>
        </w:rPr>
        <w:t>interna, que contrarrestó los efecto</w:t>
      </w:r>
      <w:r>
        <w:rPr>
          <w:rFonts w:ascii="Times New Roman" w:hAnsi="Times New Roman" w:cs="Times New Roman"/>
          <w:lang w:val="es-MX"/>
        </w:rPr>
        <w:t xml:space="preserve">s de oferta relacionados con el cierre temporal de </w:t>
      </w:r>
      <w:r w:rsidRPr="00FF5591">
        <w:rPr>
          <w:rFonts w:ascii="Times New Roman" w:hAnsi="Times New Roman" w:cs="Times New Roman"/>
          <w:lang w:val="es-MX"/>
        </w:rPr>
        <w:t>actividades ec</w:t>
      </w:r>
      <w:r>
        <w:rPr>
          <w:rFonts w:ascii="Times New Roman" w:hAnsi="Times New Roman" w:cs="Times New Roman"/>
          <w:lang w:val="es-MX"/>
        </w:rPr>
        <w:t xml:space="preserve">onómicas. </w:t>
      </w:r>
      <w:r w:rsidRPr="00FF5591">
        <w:rPr>
          <w:rFonts w:ascii="Times New Roman" w:hAnsi="Times New Roman" w:cs="Times New Roman"/>
          <w:lang w:val="es-MX"/>
        </w:rPr>
        <w:t>El mercado laboral ha sido im</w:t>
      </w:r>
      <w:r>
        <w:rPr>
          <w:rFonts w:ascii="Times New Roman" w:hAnsi="Times New Roman" w:cs="Times New Roman"/>
          <w:lang w:val="es-MX"/>
        </w:rPr>
        <w:t xml:space="preserve">pactado significativamente, con efectos más </w:t>
      </w:r>
      <w:r w:rsidRPr="00FF5591">
        <w:rPr>
          <w:rFonts w:ascii="Times New Roman" w:hAnsi="Times New Roman" w:cs="Times New Roman"/>
          <w:lang w:val="es-MX"/>
        </w:rPr>
        <w:t>pronunciados e</w:t>
      </w:r>
      <w:r>
        <w:rPr>
          <w:rFonts w:ascii="Times New Roman" w:hAnsi="Times New Roman" w:cs="Times New Roman"/>
          <w:lang w:val="es-MX"/>
        </w:rPr>
        <w:t xml:space="preserve">n el empleo femenino y entre la </w:t>
      </w:r>
      <w:r w:rsidRPr="00FF5591">
        <w:rPr>
          <w:rFonts w:ascii="Times New Roman" w:hAnsi="Times New Roman" w:cs="Times New Roman"/>
          <w:lang w:val="es-MX"/>
        </w:rPr>
        <w:t>fuerza laboral más j</w:t>
      </w:r>
      <w:r>
        <w:rPr>
          <w:rFonts w:ascii="Times New Roman" w:hAnsi="Times New Roman" w:cs="Times New Roman"/>
          <w:lang w:val="es-MX"/>
        </w:rPr>
        <w:t xml:space="preserve">oven. Las personas empleadas en el sector </w:t>
      </w:r>
      <w:r w:rsidRPr="00FF5591">
        <w:rPr>
          <w:rFonts w:ascii="Times New Roman" w:hAnsi="Times New Roman" w:cs="Times New Roman"/>
          <w:lang w:val="es-MX"/>
        </w:rPr>
        <w:t xml:space="preserve">informal, de gran tamaño en la subregión, se han visto afectadas </w:t>
      </w:r>
      <w:r>
        <w:rPr>
          <w:rFonts w:ascii="Times New Roman" w:hAnsi="Times New Roman" w:cs="Times New Roman"/>
          <w:lang w:val="es-MX"/>
        </w:rPr>
        <w:t xml:space="preserve">de </w:t>
      </w:r>
      <w:r w:rsidRPr="00FF5591">
        <w:rPr>
          <w:rFonts w:ascii="Times New Roman" w:hAnsi="Times New Roman" w:cs="Times New Roman"/>
          <w:lang w:val="es-MX"/>
        </w:rPr>
        <w:t>manera particular por los largos</w:t>
      </w:r>
      <w:r>
        <w:rPr>
          <w:rFonts w:ascii="Times New Roman" w:hAnsi="Times New Roman" w:cs="Times New Roman"/>
          <w:lang w:val="es-MX"/>
        </w:rPr>
        <w:t xml:space="preserve"> períodos de confinamiento para </w:t>
      </w:r>
      <w:r w:rsidRPr="00FF5591">
        <w:rPr>
          <w:rFonts w:ascii="Times New Roman" w:hAnsi="Times New Roman" w:cs="Times New Roman"/>
          <w:lang w:val="es-MX"/>
        </w:rPr>
        <w:t>contener la pandemia,</w:t>
      </w:r>
      <w:r>
        <w:rPr>
          <w:rFonts w:ascii="Times New Roman" w:hAnsi="Times New Roman" w:cs="Times New Roman"/>
          <w:lang w:val="es-MX"/>
        </w:rPr>
        <w:t xml:space="preserve"> que han limitado la venta y la prestación </w:t>
      </w:r>
      <w:r w:rsidRPr="00FF5591">
        <w:rPr>
          <w:rFonts w:ascii="Times New Roman" w:hAnsi="Times New Roman" w:cs="Times New Roman"/>
          <w:lang w:val="es-MX"/>
        </w:rPr>
        <w:t>de servicios, sin que cuenten</w:t>
      </w:r>
      <w:r>
        <w:rPr>
          <w:rFonts w:ascii="Times New Roman" w:hAnsi="Times New Roman" w:cs="Times New Roman"/>
          <w:lang w:val="es-MX"/>
        </w:rPr>
        <w:t xml:space="preserve"> con un empleador que los apoye </w:t>
      </w:r>
      <w:r w:rsidRPr="00FF5591">
        <w:rPr>
          <w:rFonts w:ascii="Times New Roman" w:hAnsi="Times New Roman" w:cs="Times New Roman"/>
          <w:lang w:val="es-MX"/>
        </w:rPr>
        <w:t>temporalmente ni con acceso a los servicios de seguridad social.</w:t>
      </w:r>
    </w:p>
    <w:p w14:paraId="4C4AFBCB" w14:textId="77777777" w:rsidR="00322670" w:rsidRPr="0062341C" w:rsidRDefault="00322670" w:rsidP="00322670">
      <w:pPr>
        <w:spacing w:after="0" w:line="240" w:lineRule="auto"/>
        <w:jc w:val="both"/>
        <w:rPr>
          <w:rFonts w:ascii="Times New Roman" w:hAnsi="Times New Roman" w:cs="Times New Roman"/>
          <w:color w:val="FF0000"/>
          <w:lang w:val="es-MX"/>
        </w:rPr>
      </w:pPr>
    </w:p>
    <w:p w14:paraId="73AA6E97" w14:textId="77777777" w:rsidR="00322670" w:rsidRPr="00B61D64" w:rsidRDefault="00322670" w:rsidP="001032E7">
      <w:pPr>
        <w:pStyle w:val="Ttulo3"/>
        <w:numPr>
          <w:ilvl w:val="2"/>
          <w:numId w:val="29"/>
        </w:numPr>
        <w:tabs>
          <w:tab w:val="left" w:pos="1134"/>
        </w:tabs>
        <w:spacing w:before="0" w:line="240" w:lineRule="auto"/>
        <w:ind w:left="709" w:hanging="180"/>
        <w:rPr>
          <w:rFonts w:ascii="Times New Roman" w:hAnsi="Times New Roman" w:cs="Times New Roman"/>
          <w:b/>
          <w:color w:val="auto"/>
          <w:lang w:val="es-MX"/>
        </w:rPr>
      </w:pPr>
      <w:bookmarkStart w:id="27" w:name="_Toc72489342"/>
      <w:bookmarkStart w:id="28" w:name="_Toc81571822"/>
      <w:r>
        <w:rPr>
          <w:rFonts w:ascii="Times New Roman" w:hAnsi="Times New Roman" w:cs="Times New Roman"/>
          <w:b/>
          <w:color w:val="auto"/>
          <w:lang w:val="es-MX"/>
        </w:rPr>
        <w:t xml:space="preserve">La economía de </w:t>
      </w:r>
      <w:r w:rsidRPr="00B61D64">
        <w:rPr>
          <w:rFonts w:ascii="Times New Roman" w:hAnsi="Times New Roman" w:cs="Times New Roman"/>
          <w:b/>
          <w:color w:val="auto"/>
          <w:lang w:val="es-MX"/>
        </w:rPr>
        <w:t>México</w:t>
      </w:r>
      <w:bookmarkEnd w:id="27"/>
      <w:bookmarkEnd w:id="28"/>
    </w:p>
    <w:p w14:paraId="6C617A82" w14:textId="77777777" w:rsidR="00322670" w:rsidRPr="0062341C" w:rsidRDefault="00322670" w:rsidP="00322670">
      <w:pPr>
        <w:spacing w:after="0" w:line="240" w:lineRule="auto"/>
        <w:rPr>
          <w:color w:val="FF0000"/>
          <w:lang w:val="es-MX"/>
        </w:rPr>
      </w:pPr>
    </w:p>
    <w:p w14:paraId="72A5BD8B" w14:textId="77777777" w:rsidR="00322670" w:rsidRPr="00550061" w:rsidRDefault="00322670" w:rsidP="00322670">
      <w:pPr>
        <w:spacing w:after="0" w:line="240" w:lineRule="auto"/>
        <w:jc w:val="both"/>
        <w:rPr>
          <w:rFonts w:ascii="Times New Roman" w:hAnsi="Times New Roman" w:cs="Times New Roman"/>
          <w:lang w:val="es-MX"/>
        </w:rPr>
      </w:pPr>
      <w:r w:rsidRPr="00550061">
        <w:rPr>
          <w:rFonts w:ascii="Times New Roman" w:hAnsi="Times New Roman" w:cs="Times New Roman"/>
          <w:lang w:val="es-MX"/>
        </w:rPr>
        <w:t>Como el resto del mundo, la economía mexicana fue afectada fuertemente por la pandemia, provocando un desplome del 8.5% del PIB.  Con dicha caída, el país acumula dos años consecutivos de contracción, pues en 2019 cerró con una caída del 0.1%. Por sectores, la industria ha sido la más golpeada con un desplome del 10.2%, atribuido en gran medida, por el cierre de las fábricas en abril y mayo, a excepción de las consideradas como esenciales, y por una demanda exterior que se recupera lentamente. A la industria le sigue el sector servicios, con una caída del 7.9%. Los comercios y la hostelería tuvieron que navegar un panorama de restricciones de aforo y horarios, y el turismo, muy importante en el sureste, encajó una reducción del 58% en la llegada de viajeros por vía aérea. El sector primario, con un avance del 2%, es la única</w:t>
      </w:r>
      <w:r>
        <w:rPr>
          <w:rFonts w:ascii="Times New Roman" w:hAnsi="Times New Roman" w:cs="Times New Roman"/>
          <w:lang w:val="es-MX"/>
        </w:rPr>
        <w:t xml:space="preserve"> actividad en terreno positivo</w:t>
      </w:r>
      <w:r w:rsidRPr="00550061">
        <w:rPr>
          <w:rFonts w:ascii="Times New Roman" w:hAnsi="Times New Roman" w:cs="Times New Roman"/>
          <w:lang w:val="es-MX"/>
        </w:rPr>
        <w:t>.</w:t>
      </w:r>
    </w:p>
    <w:p w14:paraId="5B656220" w14:textId="77777777" w:rsidR="00322670" w:rsidRPr="00550061" w:rsidRDefault="00322670" w:rsidP="00322670">
      <w:pPr>
        <w:spacing w:after="0" w:line="240" w:lineRule="auto"/>
        <w:jc w:val="both"/>
        <w:rPr>
          <w:rFonts w:ascii="Times New Roman" w:hAnsi="Times New Roman" w:cs="Times New Roman"/>
          <w:lang w:val="es-MX"/>
        </w:rPr>
      </w:pPr>
    </w:p>
    <w:p w14:paraId="5B723D5D" w14:textId="77777777" w:rsidR="00322670" w:rsidRDefault="00322670" w:rsidP="00322670">
      <w:pPr>
        <w:spacing w:after="0" w:line="240" w:lineRule="auto"/>
        <w:jc w:val="both"/>
        <w:rPr>
          <w:rFonts w:ascii="Times New Roman" w:hAnsi="Times New Roman" w:cs="Times New Roman"/>
          <w:lang w:val="es-MX"/>
        </w:rPr>
      </w:pPr>
      <w:r w:rsidRPr="00550061">
        <w:rPr>
          <w:rFonts w:ascii="Times New Roman" w:hAnsi="Times New Roman" w:cs="Times New Roman"/>
          <w:lang w:val="es-MX"/>
        </w:rPr>
        <w:t>A pesar de los malos resultados, el cuarto trimestre del 2020 mostró una mejora respecto a los meses previos, gracias a la progresiva reapertura de las actividades económicas. Entre octubre y diciembre, la industria creció un 3.3%, y en el sector servicios, otro 3%. Aún y así, si se compara este periodo con el mismo momento de 2019, el cuarto trimestre presenta una disminución del 4.6% en la actividad económica y en el segundo y tercer trimestr</w:t>
      </w:r>
      <w:r>
        <w:rPr>
          <w:rFonts w:ascii="Times New Roman" w:hAnsi="Times New Roman" w:cs="Times New Roman"/>
          <w:lang w:val="es-MX"/>
        </w:rPr>
        <w:t>e, esta fue mucho mayor, del 18.7% y del 8.</w:t>
      </w:r>
      <w:r w:rsidRPr="00550061">
        <w:rPr>
          <w:rFonts w:ascii="Times New Roman" w:hAnsi="Times New Roman" w:cs="Times New Roman"/>
          <w:lang w:val="es-MX"/>
        </w:rPr>
        <w:t>6%, respectivamente.</w:t>
      </w:r>
    </w:p>
    <w:p w14:paraId="48A90D86" w14:textId="77777777" w:rsidR="00322670" w:rsidRDefault="00322670" w:rsidP="00322670">
      <w:pPr>
        <w:spacing w:after="0" w:line="240" w:lineRule="auto"/>
        <w:jc w:val="both"/>
        <w:rPr>
          <w:rFonts w:ascii="Times New Roman" w:hAnsi="Times New Roman" w:cs="Times New Roman"/>
          <w:lang w:val="es-MX"/>
        </w:rPr>
      </w:pPr>
    </w:p>
    <w:p w14:paraId="1878A75F" w14:textId="77777777" w:rsidR="00322670" w:rsidRDefault="00322670" w:rsidP="00322670">
      <w:pPr>
        <w:spacing w:after="0" w:line="240" w:lineRule="auto"/>
        <w:jc w:val="both"/>
        <w:rPr>
          <w:rFonts w:ascii="Times New Roman" w:hAnsi="Times New Roman" w:cs="Times New Roman"/>
          <w:lang w:val="es-MX"/>
        </w:rPr>
      </w:pPr>
      <w:r w:rsidRPr="00B36820">
        <w:rPr>
          <w:rFonts w:ascii="Times New Roman" w:hAnsi="Times New Roman" w:cs="Times New Roman"/>
          <w:lang w:val="es-MX"/>
        </w:rPr>
        <w:t>La apuesta del Gobierno mexicano para enfrentar la crisis se ha centrado principalmente en microcréditos para pequeñas y medianas empresas y en mantener los programas sociales que ya estaban en marcha. En octubre, el Ejecutivo lanzó, además, </w:t>
      </w:r>
      <w:hyperlink r:id="rId13" w:tgtFrame="_blank" w:history="1">
        <w:r w:rsidRPr="00B36820">
          <w:rPr>
            <w:rFonts w:ascii="Times New Roman" w:hAnsi="Times New Roman" w:cs="Times New Roman"/>
            <w:lang w:val="es-MX"/>
          </w:rPr>
          <w:t>un plan de infraestructura</w:t>
        </w:r>
      </w:hyperlink>
      <w:r w:rsidRPr="00B36820">
        <w:rPr>
          <w:rFonts w:ascii="Times New Roman" w:hAnsi="Times New Roman" w:cs="Times New Roman"/>
          <w:lang w:val="es-MX"/>
        </w:rPr>
        <w:t xml:space="preserve"> con el sector privado por un valor de casi 300.000 millones de pesos, unos </w:t>
      </w:r>
      <w:r>
        <w:rPr>
          <w:rFonts w:ascii="Times New Roman" w:hAnsi="Times New Roman" w:cs="Times New Roman"/>
          <w:lang w:val="es-MX"/>
        </w:rPr>
        <w:t>US$</w:t>
      </w:r>
      <w:r w:rsidRPr="00B36820">
        <w:rPr>
          <w:rFonts w:ascii="Times New Roman" w:hAnsi="Times New Roman" w:cs="Times New Roman"/>
          <w:lang w:val="es-MX"/>
        </w:rPr>
        <w:t>14.000 millones.</w:t>
      </w:r>
    </w:p>
    <w:p w14:paraId="67B9AB3F" w14:textId="77777777" w:rsidR="00322670" w:rsidRDefault="00322670" w:rsidP="00322670">
      <w:pPr>
        <w:spacing w:after="0" w:line="240" w:lineRule="auto"/>
        <w:jc w:val="both"/>
        <w:rPr>
          <w:rFonts w:ascii="Times New Roman" w:hAnsi="Times New Roman" w:cs="Times New Roman"/>
          <w:lang w:val="es-MX"/>
        </w:rPr>
      </w:pPr>
    </w:p>
    <w:p w14:paraId="58EB7184" w14:textId="130627FE" w:rsidR="00322670" w:rsidRDefault="00322670" w:rsidP="00322670">
      <w:pPr>
        <w:spacing w:after="0" w:line="240" w:lineRule="auto"/>
        <w:jc w:val="both"/>
        <w:rPr>
          <w:rFonts w:ascii="Times New Roman" w:hAnsi="Times New Roman" w:cs="Times New Roman"/>
          <w:lang w:val="es-MX"/>
        </w:rPr>
      </w:pPr>
      <w:r>
        <w:rPr>
          <w:rFonts w:ascii="Times New Roman" w:hAnsi="Times New Roman" w:cs="Times New Roman"/>
          <w:lang w:val="es-MX"/>
        </w:rPr>
        <w:t>La deuda neta total del sector público ascendió en 2020 a 12 billones 130mil millones de pesos, un aumento de 6.4% respecto al cierre de 2019; la Secretaría de Hacienda Crédito Público de México, detalló que dicho adeudo representa el 52.4% del PIB, cifra superior al 45.1% de 2019.  Los ingresos tributarios presentaron un incremento real anual de 8.4% en diciembre 2020, atribuido a las mejoras legales permanentes que, sin aumentar los impuestos, fortalecieron la recaudación.  Asimismo, se registró un uso de recursos del Fondo de Estabilización de Ingresos Presupuestarios por 204.0 mil millones de peso, lo que permitió compensar la brecha en ingreso y evitar una contracción significativa en el gasto, pues se incrementaron los gastos en Salud, Bienestar y Economía en 21.5</w:t>
      </w:r>
      <w:r w:rsidR="00B51812">
        <w:rPr>
          <w:rFonts w:ascii="Times New Roman" w:hAnsi="Times New Roman" w:cs="Times New Roman"/>
          <w:lang w:val="es-MX"/>
        </w:rPr>
        <w:t>%</w:t>
      </w:r>
      <w:r>
        <w:rPr>
          <w:rFonts w:ascii="Times New Roman" w:hAnsi="Times New Roman" w:cs="Times New Roman"/>
          <w:lang w:val="es-MX"/>
        </w:rPr>
        <w:t>, 18.7</w:t>
      </w:r>
      <w:r w:rsidR="00B51812">
        <w:rPr>
          <w:rFonts w:ascii="Times New Roman" w:hAnsi="Times New Roman" w:cs="Times New Roman"/>
          <w:lang w:val="es-MX"/>
        </w:rPr>
        <w:t>%</w:t>
      </w:r>
      <w:r>
        <w:rPr>
          <w:rFonts w:ascii="Times New Roman" w:hAnsi="Times New Roman" w:cs="Times New Roman"/>
          <w:lang w:val="es-MX"/>
        </w:rPr>
        <w:t xml:space="preserve"> y 2276.7% real anual respectivamente.</w:t>
      </w:r>
    </w:p>
    <w:p w14:paraId="5B6EC8CA" w14:textId="77777777" w:rsidR="00322670" w:rsidRPr="0062341C" w:rsidRDefault="00322670" w:rsidP="00322670">
      <w:pPr>
        <w:spacing w:after="0" w:line="240" w:lineRule="auto"/>
        <w:jc w:val="both"/>
        <w:rPr>
          <w:rFonts w:ascii="Times New Roman" w:hAnsi="Times New Roman" w:cs="Times New Roman"/>
          <w:color w:val="FF0000"/>
          <w:lang w:val="es-MX"/>
        </w:rPr>
      </w:pPr>
    </w:p>
    <w:p w14:paraId="4419E68B" w14:textId="77777777" w:rsidR="00322670" w:rsidRPr="00B61D64" w:rsidRDefault="00322670" w:rsidP="001032E7">
      <w:pPr>
        <w:pStyle w:val="Ttulo3"/>
        <w:numPr>
          <w:ilvl w:val="2"/>
          <w:numId w:val="29"/>
        </w:numPr>
        <w:tabs>
          <w:tab w:val="left" w:pos="1134"/>
        </w:tabs>
        <w:spacing w:before="0" w:line="240" w:lineRule="auto"/>
        <w:ind w:left="709" w:hanging="180"/>
        <w:rPr>
          <w:rFonts w:ascii="Times New Roman" w:hAnsi="Times New Roman" w:cs="Times New Roman"/>
          <w:b/>
          <w:color w:val="auto"/>
          <w:lang w:val="es-MX"/>
        </w:rPr>
      </w:pPr>
      <w:bookmarkStart w:id="29" w:name="_Toc72489343"/>
      <w:bookmarkStart w:id="30" w:name="_Toc81571823"/>
      <w:r w:rsidRPr="00B61D64">
        <w:rPr>
          <w:rFonts w:ascii="Times New Roman" w:hAnsi="Times New Roman" w:cs="Times New Roman"/>
          <w:b/>
          <w:color w:val="auto"/>
          <w:lang w:val="es-MX"/>
        </w:rPr>
        <w:t>La economía en la Zona del Euro</w:t>
      </w:r>
      <w:bookmarkEnd w:id="29"/>
      <w:bookmarkEnd w:id="30"/>
    </w:p>
    <w:p w14:paraId="30AE3152" w14:textId="77777777" w:rsidR="00322670" w:rsidRPr="0062341C" w:rsidRDefault="00322670" w:rsidP="00322670">
      <w:pPr>
        <w:spacing w:after="0" w:line="240" w:lineRule="auto"/>
        <w:rPr>
          <w:color w:val="FF0000"/>
          <w:lang w:val="es-MX"/>
        </w:rPr>
      </w:pPr>
    </w:p>
    <w:p w14:paraId="25A6F3ED" w14:textId="77777777" w:rsidR="00322670" w:rsidRDefault="00322670" w:rsidP="00322670">
      <w:pPr>
        <w:spacing w:after="0" w:line="240" w:lineRule="auto"/>
        <w:jc w:val="both"/>
        <w:rPr>
          <w:rFonts w:ascii="Times New Roman" w:hAnsi="Times New Roman" w:cs="Times New Roman"/>
          <w:lang w:val="es-MX"/>
        </w:rPr>
      </w:pPr>
      <w:r w:rsidRPr="00B032B6">
        <w:rPr>
          <w:rFonts w:ascii="Times New Roman" w:hAnsi="Times New Roman" w:cs="Times New Roman"/>
          <w:lang w:val="es-MX"/>
        </w:rPr>
        <w:t>El PIB de la eurozona se desplomó un 6.8% en 2020, el brote de coronavirus y las restricciones impuestas para contenerlo desde marzo provocaron un desplome récord del PIB en el segundo trimestre</w:t>
      </w:r>
      <w:r>
        <w:rPr>
          <w:rFonts w:ascii="Times New Roman" w:hAnsi="Times New Roman" w:cs="Times New Roman"/>
          <w:lang w:val="es-MX"/>
        </w:rPr>
        <w:t xml:space="preserve"> de</w:t>
      </w:r>
      <w:r w:rsidRPr="00B032B6">
        <w:rPr>
          <w:rFonts w:ascii="Times New Roman" w:hAnsi="Times New Roman" w:cs="Times New Roman"/>
          <w:lang w:val="es-MX"/>
        </w:rPr>
        <w:t xml:space="preserve"> 11.7%; entre julio y septiembre, el fin de los confinamientos estrictos y la relajación parcial de las limitaciones propiciaron un</w:t>
      </w:r>
      <w:r>
        <w:rPr>
          <w:rFonts w:ascii="Times New Roman" w:hAnsi="Times New Roman" w:cs="Times New Roman"/>
          <w:lang w:val="es-MX"/>
        </w:rPr>
        <w:t>a mejora</w:t>
      </w:r>
      <w:r w:rsidRPr="00B032B6">
        <w:rPr>
          <w:rFonts w:ascii="Times New Roman" w:hAnsi="Times New Roman" w:cs="Times New Roman"/>
          <w:lang w:val="es-MX"/>
        </w:rPr>
        <w:t>, aunque poco después se vio interrumpido por la segunda ola del Covid-19.  En España, el PIB se contrajo un 11%, el mayor descenso anual que acabó con seis años de crecimiento económico;</w:t>
      </w:r>
      <w:r w:rsidRPr="00B032B6">
        <w:t xml:space="preserve"> </w:t>
      </w:r>
      <w:r w:rsidRPr="00B032B6">
        <w:rPr>
          <w:rFonts w:ascii="Times New Roman" w:hAnsi="Times New Roman" w:cs="Times New Roman"/>
          <w:lang w:val="es-MX"/>
        </w:rPr>
        <w:t>la economía francesa, por su parte, anotó un descenso del 8.3%; Italia registró una desaceleración del 2% entre octubre y diciembre y del 8.8% en todo 2020, ligeramente inferior a la caída del 9% que esperaba el Gobierno.  Alemania, reconocida como la principal economía de la eurozona, bajó un 5% del PIB en el año, tras avanzar solo 0.1% en un cuarto trimestre marcado por el recrudecimiento de la pandemia.</w:t>
      </w:r>
    </w:p>
    <w:p w14:paraId="10E89C79" w14:textId="77777777" w:rsidR="00322670" w:rsidRDefault="00322670" w:rsidP="00322670">
      <w:pPr>
        <w:spacing w:after="0" w:line="240" w:lineRule="auto"/>
        <w:jc w:val="both"/>
        <w:rPr>
          <w:rFonts w:ascii="Times New Roman" w:hAnsi="Times New Roman" w:cs="Times New Roman"/>
          <w:lang w:val="es-MX"/>
        </w:rPr>
      </w:pPr>
    </w:p>
    <w:p w14:paraId="46C78B79" w14:textId="074B3C5E" w:rsidR="00322670" w:rsidRPr="00CF5EF6" w:rsidRDefault="00322670" w:rsidP="00134FDC">
      <w:pPr>
        <w:pStyle w:val="Epgrafe"/>
        <w:jc w:val="center"/>
        <w:rPr>
          <w:rFonts w:ascii="Times New Roman" w:hAnsi="Times New Roman" w:cs="Times New Roman"/>
          <w:b/>
          <w:bCs/>
          <w:i w:val="0"/>
          <w:iCs w:val="0"/>
          <w:color w:val="auto"/>
          <w:sz w:val="20"/>
          <w:szCs w:val="20"/>
        </w:rPr>
      </w:pPr>
      <w:bookmarkStart w:id="31" w:name="_Toc81573052"/>
      <w:r w:rsidRPr="00CF5EF6">
        <w:rPr>
          <w:rFonts w:ascii="Times New Roman" w:hAnsi="Times New Roman" w:cs="Times New Roman"/>
          <w:b/>
          <w:noProof/>
          <w:color w:val="auto"/>
          <w:sz w:val="20"/>
          <w:lang w:val="es-ES" w:eastAsia="es-ES"/>
        </w:rPr>
        <w:drawing>
          <wp:anchor distT="0" distB="0" distL="114300" distR="114300" simplePos="0" relativeHeight="251966976" behindDoc="0" locked="0" layoutInCell="1" allowOverlap="1" wp14:anchorId="1D5F163A" wp14:editId="7A283B9E">
            <wp:simplePos x="0" y="0"/>
            <wp:positionH relativeFrom="column">
              <wp:posOffset>485318</wp:posOffset>
            </wp:positionH>
            <wp:positionV relativeFrom="paragraph">
              <wp:posOffset>189814</wp:posOffset>
            </wp:positionV>
            <wp:extent cx="4572000" cy="2106778"/>
            <wp:effectExtent l="0" t="0" r="0" b="8255"/>
            <wp:wrapNone/>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134FDC" w:rsidRPr="00CF5EF6">
        <w:rPr>
          <w:rFonts w:ascii="Times New Roman" w:hAnsi="Times New Roman" w:cs="Times New Roman"/>
          <w:b/>
          <w:color w:val="auto"/>
          <w:sz w:val="20"/>
        </w:rPr>
        <w:t xml:space="preserve">Gráfico </w:t>
      </w:r>
      <w:r w:rsidR="00134FDC" w:rsidRPr="00CF5EF6">
        <w:rPr>
          <w:rFonts w:ascii="Times New Roman" w:hAnsi="Times New Roman" w:cs="Times New Roman"/>
          <w:b/>
          <w:color w:val="auto"/>
          <w:sz w:val="20"/>
        </w:rPr>
        <w:fldChar w:fldCharType="begin"/>
      </w:r>
      <w:r w:rsidR="00134FDC" w:rsidRPr="00CF5EF6">
        <w:rPr>
          <w:rFonts w:ascii="Times New Roman" w:hAnsi="Times New Roman" w:cs="Times New Roman"/>
          <w:b/>
          <w:color w:val="auto"/>
          <w:sz w:val="20"/>
        </w:rPr>
        <w:instrText xml:space="preserve"> SEQ Gráfico \* ARABIC </w:instrText>
      </w:r>
      <w:r w:rsidR="00134FDC" w:rsidRPr="00CF5EF6">
        <w:rPr>
          <w:rFonts w:ascii="Times New Roman" w:hAnsi="Times New Roman" w:cs="Times New Roman"/>
          <w:b/>
          <w:color w:val="auto"/>
          <w:sz w:val="20"/>
        </w:rPr>
        <w:fldChar w:fldCharType="separate"/>
      </w:r>
      <w:r w:rsidR="00D6529D" w:rsidRPr="00CF5EF6">
        <w:rPr>
          <w:rFonts w:ascii="Times New Roman" w:hAnsi="Times New Roman" w:cs="Times New Roman"/>
          <w:b/>
          <w:noProof/>
          <w:color w:val="auto"/>
          <w:sz w:val="20"/>
        </w:rPr>
        <w:t>2</w:t>
      </w:r>
      <w:r w:rsidR="00134FDC" w:rsidRPr="00CF5EF6">
        <w:rPr>
          <w:rFonts w:ascii="Times New Roman" w:hAnsi="Times New Roman" w:cs="Times New Roman"/>
          <w:b/>
          <w:color w:val="auto"/>
          <w:sz w:val="20"/>
        </w:rPr>
        <w:fldChar w:fldCharType="end"/>
      </w:r>
      <w:r w:rsidR="00134FDC" w:rsidRPr="00CF5EF6">
        <w:rPr>
          <w:rFonts w:ascii="Times New Roman" w:hAnsi="Times New Roman" w:cs="Times New Roman"/>
          <w:b/>
          <w:color w:val="auto"/>
          <w:sz w:val="20"/>
        </w:rPr>
        <w:t xml:space="preserve">  </w:t>
      </w:r>
      <w:r w:rsidRPr="00CF5EF6">
        <w:rPr>
          <w:rFonts w:ascii="Times New Roman" w:hAnsi="Times New Roman" w:cs="Times New Roman"/>
          <w:b/>
          <w:bCs/>
          <w:i w:val="0"/>
          <w:iCs w:val="0"/>
          <w:color w:val="auto"/>
          <w:sz w:val="20"/>
          <w:szCs w:val="20"/>
        </w:rPr>
        <w:t>Tasas de crecimiento del PIB, Zona Euro 2010-2020</w:t>
      </w:r>
      <w:bookmarkEnd w:id="31"/>
    </w:p>
    <w:p w14:paraId="703E7FAA" w14:textId="77777777" w:rsidR="00322670" w:rsidRDefault="00322670" w:rsidP="00322670">
      <w:pPr>
        <w:spacing w:after="0" w:line="240" w:lineRule="auto"/>
        <w:jc w:val="both"/>
        <w:rPr>
          <w:rFonts w:ascii="Times New Roman" w:hAnsi="Times New Roman" w:cs="Times New Roman"/>
          <w:color w:val="FF0000"/>
          <w:lang w:val="es-MX"/>
        </w:rPr>
      </w:pPr>
    </w:p>
    <w:p w14:paraId="28B48D60" w14:textId="77777777" w:rsidR="00322670" w:rsidRDefault="00322670" w:rsidP="00322670">
      <w:pPr>
        <w:spacing w:after="0" w:line="240" w:lineRule="auto"/>
        <w:jc w:val="both"/>
        <w:rPr>
          <w:rFonts w:ascii="Times New Roman" w:hAnsi="Times New Roman" w:cs="Times New Roman"/>
          <w:color w:val="FF0000"/>
          <w:lang w:val="es-MX"/>
        </w:rPr>
      </w:pPr>
    </w:p>
    <w:p w14:paraId="31A07604" w14:textId="77777777" w:rsidR="00322670" w:rsidRDefault="00322670" w:rsidP="00322670">
      <w:pPr>
        <w:spacing w:after="0" w:line="240" w:lineRule="auto"/>
        <w:jc w:val="both"/>
        <w:rPr>
          <w:rFonts w:ascii="Times New Roman" w:hAnsi="Times New Roman" w:cs="Times New Roman"/>
          <w:color w:val="FF0000"/>
          <w:lang w:val="es-MX"/>
        </w:rPr>
      </w:pPr>
    </w:p>
    <w:p w14:paraId="73DC3EA2" w14:textId="77777777" w:rsidR="00322670" w:rsidRDefault="00322670" w:rsidP="00322670">
      <w:pPr>
        <w:spacing w:after="0" w:line="240" w:lineRule="auto"/>
        <w:jc w:val="both"/>
        <w:rPr>
          <w:rFonts w:ascii="Times New Roman" w:hAnsi="Times New Roman" w:cs="Times New Roman"/>
          <w:color w:val="FF0000"/>
          <w:lang w:val="es-MX"/>
        </w:rPr>
      </w:pPr>
    </w:p>
    <w:p w14:paraId="635BBC1E" w14:textId="77777777" w:rsidR="00322670" w:rsidRDefault="00322670" w:rsidP="00322670">
      <w:pPr>
        <w:spacing w:after="0" w:line="240" w:lineRule="auto"/>
        <w:jc w:val="both"/>
        <w:rPr>
          <w:rFonts w:ascii="Times New Roman" w:hAnsi="Times New Roman" w:cs="Times New Roman"/>
          <w:color w:val="FF0000"/>
          <w:lang w:val="es-MX"/>
        </w:rPr>
      </w:pPr>
    </w:p>
    <w:p w14:paraId="514CC10F" w14:textId="77777777" w:rsidR="00322670" w:rsidRDefault="00322670" w:rsidP="00322670">
      <w:pPr>
        <w:spacing w:after="0" w:line="240" w:lineRule="auto"/>
        <w:jc w:val="both"/>
        <w:rPr>
          <w:rFonts w:ascii="Times New Roman" w:hAnsi="Times New Roman" w:cs="Times New Roman"/>
          <w:color w:val="FF0000"/>
          <w:lang w:val="es-MX"/>
        </w:rPr>
      </w:pPr>
    </w:p>
    <w:p w14:paraId="08974773" w14:textId="77777777" w:rsidR="00322670" w:rsidRDefault="00322670" w:rsidP="00322670">
      <w:pPr>
        <w:spacing w:after="0" w:line="240" w:lineRule="auto"/>
        <w:jc w:val="both"/>
        <w:rPr>
          <w:rFonts w:ascii="Times New Roman" w:hAnsi="Times New Roman" w:cs="Times New Roman"/>
          <w:color w:val="FF0000"/>
          <w:lang w:val="es-MX"/>
        </w:rPr>
      </w:pPr>
    </w:p>
    <w:p w14:paraId="2E9CC8F1" w14:textId="77777777" w:rsidR="00322670" w:rsidRDefault="00322670" w:rsidP="00322670">
      <w:pPr>
        <w:spacing w:after="0" w:line="240" w:lineRule="auto"/>
        <w:jc w:val="both"/>
        <w:rPr>
          <w:rFonts w:ascii="Times New Roman" w:hAnsi="Times New Roman" w:cs="Times New Roman"/>
          <w:color w:val="FF0000"/>
          <w:lang w:val="es-MX"/>
        </w:rPr>
      </w:pPr>
    </w:p>
    <w:p w14:paraId="4FD587F0" w14:textId="77777777" w:rsidR="00322670" w:rsidRDefault="00322670" w:rsidP="00322670">
      <w:pPr>
        <w:spacing w:after="0" w:line="240" w:lineRule="auto"/>
        <w:jc w:val="both"/>
        <w:rPr>
          <w:rFonts w:ascii="Times New Roman" w:hAnsi="Times New Roman" w:cs="Times New Roman"/>
          <w:color w:val="FF0000"/>
          <w:lang w:val="es-MX"/>
        </w:rPr>
      </w:pPr>
    </w:p>
    <w:p w14:paraId="4DCCD97A" w14:textId="77777777" w:rsidR="00322670" w:rsidRDefault="00322670" w:rsidP="00322670">
      <w:pPr>
        <w:spacing w:after="0" w:line="240" w:lineRule="auto"/>
        <w:jc w:val="both"/>
        <w:rPr>
          <w:rFonts w:ascii="Times New Roman" w:hAnsi="Times New Roman" w:cs="Times New Roman"/>
          <w:color w:val="FF0000"/>
          <w:lang w:val="es-MX"/>
        </w:rPr>
      </w:pPr>
    </w:p>
    <w:p w14:paraId="46C00E9D" w14:textId="77777777" w:rsidR="00322670" w:rsidRDefault="00322670" w:rsidP="00322670">
      <w:pPr>
        <w:spacing w:after="0" w:line="240" w:lineRule="auto"/>
        <w:jc w:val="both"/>
        <w:rPr>
          <w:rFonts w:ascii="Times New Roman" w:hAnsi="Times New Roman" w:cs="Times New Roman"/>
          <w:color w:val="FF0000"/>
          <w:lang w:val="es-MX"/>
        </w:rPr>
      </w:pPr>
    </w:p>
    <w:p w14:paraId="50FD6916" w14:textId="77777777" w:rsidR="00322670" w:rsidRDefault="00322670" w:rsidP="00322670">
      <w:pPr>
        <w:spacing w:after="0" w:line="240" w:lineRule="auto"/>
        <w:jc w:val="both"/>
        <w:rPr>
          <w:rFonts w:ascii="Times New Roman" w:hAnsi="Times New Roman" w:cs="Times New Roman"/>
          <w:color w:val="FF0000"/>
          <w:lang w:val="es-MX"/>
        </w:rPr>
      </w:pPr>
    </w:p>
    <w:p w14:paraId="24B558D8" w14:textId="77777777" w:rsidR="00322670" w:rsidRDefault="00322670" w:rsidP="00322670">
      <w:pPr>
        <w:spacing w:after="0" w:line="240" w:lineRule="auto"/>
        <w:jc w:val="both"/>
        <w:rPr>
          <w:rFonts w:ascii="Times New Roman" w:hAnsi="Times New Roman" w:cs="Times New Roman"/>
          <w:color w:val="FF0000"/>
          <w:lang w:val="es-MX"/>
        </w:rPr>
      </w:pPr>
      <w:r w:rsidRPr="0062341C">
        <w:rPr>
          <w:rFonts w:ascii="Times New Roman" w:hAnsi="Times New Roman" w:cs="Times New Roman"/>
          <w:noProof/>
          <w:color w:val="FF0000"/>
          <w:lang w:val="es-ES" w:eastAsia="es-ES"/>
        </w:rPr>
        <mc:AlternateContent>
          <mc:Choice Requires="wps">
            <w:drawing>
              <wp:anchor distT="0" distB="0" distL="114300" distR="114300" simplePos="0" relativeHeight="251968000" behindDoc="0" locked="0" layoutInCell="1" allowOverlap="1" wp14:anchorId="5073AF2E" wp14:editId="74842238">
                <wp:simplePos x="0" y="0"/>
                <wp:positionH relativeFrom="margin">
                  <wp:posOffset>405130</wp:posOffset>
                </wp:positionH>
                <wp:positionV relativeFrom="paragraph">
                  <wp:posOffset>90475</wp:posOffset>
                </wp:positionV>
                <wp:extent cx="4057650" cy="198120"/>
                <wp:effectExtent l="0" t="0" r="0" b="0"/>
                <wp:wrapNone/>
                <wp:docPr id="94" name="Text Box 16"/>
                <wp:cNvGraphicFramePr/>
                <a:graphic xmlns:a="http://schemas.openxmlformats.org/drawingml/2006/main">
                  <a:graphicData uri="http://schemas.microsoft.com/office/word/2010/wordprocessingShape">
                    <wps:wsp>
                      <wps:cNvSpPr txBox="1"/>
                      <wps:spPr>
                        <a:xfrm>
                          <a:off x="0" y="0"/>
                          <a:ext cx="4057650" cy="198120"/>
                        </a:xfrm>
                        <a:prstGeom prst="rect">
                          <a:avLst/>
                        </a:prstGeom>
                        <a:solidFill>
                          <a:schemeClr val="lt1"/>
                        </a:solidFill>
                        <a:ln w="6350">
                          <a:noFill/>
                        </a:ln>
                      </wps:spPr>
                      <wps:txbx>
                        <w:txbxContent>
                          <w:p w14:paraId="057FC58B" w14:textId="77777777" w:rsidR="00A36CEB" w:rsidRPr="00EC77E9" w:rsidRDefault="00A36CEB" w:rsidP="00322670">
                            <w:pPr>
                              <w:spacing w:after="0"/>
                              <w:rPr>
                                <w:rFonts w:ascii="Times New Roman" w:hAnsi="Times New Roman" w:cs="Times New Roman"/>
                                <w:sz w:val="16"/>
                                <w:szCs w:val="16"/>
                              </w:rPr>
                            </w:pPr>
                            <w:r w:rsidRPr="00EC77E9">
                              <w:rPr>
                                <w:rFonts w:ascii="Times New Roman" w:hAnsi="Times New Roman" w:cs="Times New Roman"/>
                                <w:sz w:val="16"/>
                                <w:szCs w:val="16"/>
                              </w:rPr>
                              <w:t xml:space="preserve">Fuente: </w:t>
                            </w:r>
                            <w:r>
                              <w:rPr>
                                <w:rFonts w:ascii="Times New Roman" w:hAnsi="Times New Roman" w:cs="Times New Roman"/>
                                <w:sz w:val="16"/>
                                <w:szCs w:val="16"/>
                              </w:rPr>
                              <w:t>Dirección de Análisis y Política Fiscal</w:t>
                            </w:r>
                            <w:r w:rsidRPr="00EC77E9">
                              <w:rPr>
                                <w:rFonts w:ascii="Times New Roman" w:hAnsi="Times New Roman" w:cs="Times New Roman"/>
                                <w:sz w:val="16"/>
                                <w:szCs w:val="16"/>
                              </w:rPr>
                              <w:t xml:space="preserve"> con información del FMI</w:t>
                            </w:r>
                          </w:p>
                          <w:p w14:paraId="11CA0DAA" w14:textId="77777777" w:rsidR="00A36CEB" w:rsidRPr="00EC77E9" w:rsidRDefault="00A36CEB" w:rsidP="00322670">
                            <w:pPr>
                              <w:spacing w:after="0"/>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073AF2E" id="_x0000_s1027" type="#_x0000_t202" style="position:absolute;left:0;text-align:left;margin-left:31.9pt;margin-top:7.1pt;width:319.5pt;height:15.6pt;z-index:25196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" fillcolor="white [3201]" stroked="f" strokeweight=".5pt">
                <v:textbox>
                  <w:txbxContent>
                    <w:p w14:paraId="057FC58B" w14:textId="77777777" w:rsidR="00A36CEB" w:rsidRPr="00EC77E9" w:rsidRDefault="00A36CEB" w:rsidP="00322670">
                      <w:pPr>
                        <w:spacing w:after="0"/>
                        <w:rPr>
                          <w:rFonts w:ascii="Times New Roman" w:hAnsi="Times New Roman" w:cs="Times New Roman"/>
                          <w:sz w:val="16"/>
                          <w:szCs w:val="16"/>
                        </w:rPr>
                      </w:pPr>
                      <w:r w:rsidRPr="00EC77E9">
                        <w:rPr>
                          <w:rFonts w:ascii="Times New Roman" w:hAnsi="Times New Roman" w:cs="Times New Roman"/>
                          <w:sz w:val="16"/>
                          <w:szCs w:val="16"/>
                        </w:rPr>
                        <w:t xml:space="preserve">Fuente: </w:t>
                      </w:r>
                      <w:r>
                        <w:rPr>
                          <w:rFonts w:ascii="Times New Roman" w:hAnsi="Times New Roman" w:cs="Times New Roman"/>
                          <w:sz w:val="16"/>
                          <w:szCs w:val="16"/>
                        </w:rPr>
                        <w:t>Dirección de Análisis y Política Fiscal</w:t>
                      </w:r>
                      <w:r w:rsidRPr="00EC77E9">
                        <w:rPr>
                          <w:rFonts w:ascii="Times New Roman" w:hAnsi="Times New Roman" w:cs="Times New Roman"/>
                          <w:sz w:val="16"/>
                          <w:szCs w:val="16"/>
                        </w:rPr>
                        <w:t xml:space="preserve"> con información del FMI</w:t>
                      </w:r>
                    </w:p>
                    <w:p w14:paraId="11CA0DAA" w14:textId="77777777" w:rsidR="00A36CEB" w:rsidRPr="00EC77E9" w:rsidRDefault="00A36CEB" w:rsidP="00322670">
                      <w:pPr>
                        <w:spacing w:after="0"/>
                        <w:rPr>
                          <w:rFonts w:ascii="Times New Roman" w:hAnsi="Times New Roman" w:cs="Times New Roman"/>
                          <w:sz w:val="16"/>
                          <w:szCs w:val="16"/>
                        </w:rPr>
                      </w:pPr>
                    </w:p>
                  </w:txbxContent>
                </v:textbox>
                <w10:wrap anchorx="margin"/>
              </v:shape>
            </w:pict>
          </mc:Fallback>
        </mc:AlternateContent>
      </w:r>
    </w:p>
    <w:p w14:paraId="5C1E26DE" w14:textId="77777777" w:rsidR="00322670" w:rsidRPr="00B61D64" w:rsidRDefault="00647448" w:rsidP="001032E7">
      <w:pPr>
        <w:pStyle w:val="Ttulo3"/>
        <w:numPr>
          <w:ilvl w:val="1"/>
          <w:numId w:val="29"/>
        </w:numPr>
        <w:spacing w:before="0" w:line="276" w:lineRule="auto"/>
        <w:ind w:left="567" w:hanging="360"/>
        <w:rPr>
          <w:rFonts w:ascii="Times New Roman" w:hAnsi="Times New Roman" w:cs="Times New Roman"/>
          <w:b/>
          <w:color w:val="auto"/>
          <w:lang w:val="es-MX"/>
        </w:rPr>
      </w:pPr>
      <w:bookmarkStart w:id="32" w:name="_Toc72489344"/>
      <w:bookmarkStart w:id="33" w:name="_Toc16154970"/>
      <w:r>
        <w:rPr>
          <w:rFonts w:ascii="Times New Roman" w:hAnsi="Times New Roman" w:cs="Times New Roman"/>
          <w:b/>
          <w:color w:val="auto"/>
          <w:lang w:val="es-MX"/>
        </w:rPr>
        <w:t xml:space="preserve"> </w:t>
      </w:r>
      <w:bookmarkStart w:id="34" w:name="_Toc81571824"/>
      <w:r w:rsidR="00322670" w:rsidRPr="00B61D64">
        <w:rPr>
          <w:rFonts w:ascii="Times New Roman" w:hAnsi="Times New Roman" w:cs="Times New Roman"/>
          <w:b/>
          <w:color w:val="auto"/>
          <w:lang w:val="es-MX"/>
        </w:rPr>
        <w:t>Comportamiento del precio del petróleo</w:t>
      </w:r>
      <w:bookmarkEnd w:id="32"/>
      <w:bookmarkEnd w:id="34"/>
      <w:r w:rsidR="00322670" w:rsidRPr="00B61D64">
        <w:rPr>
          <w:rFonts w:ascii="Times New Roman" w:hAnsi="Times New Roman" w:cs="Times New Roman"/>
          <w:b/>
          <w:color w:val="auto"/>
          <w:lang w:val="es-MX"/>
        </w:rPr>
        <w:t xml:space="preserve"> </w:t>
      </w:r>
      <w:bookmarkEnd w:id="33"/>
    </w:p>
    <w:p w14:paraId="0BC5E8AB" w14:textId="77777777" w:rsidR="00322670" w:rsidRPr="0062341C" w:rsidRDefault="00322670" w:rsidP="00322670">
      <w:pPr>
        <w:spacing w:after="0" w:line="240" w:lineRule="auto"/>
        <w:rPr>
          <w:rFonts w:ascii="Times New Roman" w:hAnsi="Times New Roman" w:cs="Times New Roman"/>
          <w:color w:val="FF0000"/>
          <w:sz w:val="20"/>
          <w:lang w:val="es-MX"/>
        </w:rPr>
      </w:pPr>
    </w:p>
    <w:p w14:paraId="427BAFAE" w14:textId="77777777" w:rsidR="00322670" w:rsidRPr="00E74BC5" w:rsidRDefault="00322670" w:rsidP="00322670">
      <w:pPr>
        <w:spacing w:after="0" w:line="240" w:lineRule="auto"/>
        <w:jc w:val="both"/>
        <w:rPr>
          <w:rFonts w:ascii="Times New Roman" w:hAnsi="Times New Roman" w:cs="Times New Roman"/>
        </w:rPr>
      </w:pPr>
      <w:r w:rsidRPr="00E74BC5">
        <w:rPr>
          <w:rFonts w:ascii="Times New Roman" w:hAnsi="Times New Roman" w:cs="Times New Roman"/>
        </w:rPr>
        <w:t>Casi todos los precios de las materias primas experimentaron fuertes caída</w:t>
      </w:r>
      <w:r>
        <w:rPr>
          <w:rFonts w:ascii="Times New Roman" w:hAnsi="Times New Roman" w:cs="Times New Roman"/>
        </w:rPr>
        <w:t>s a consecuencia de la pandemia; en el caso del petróleo, l</w:t>
      </w:r>
      <w:r w:rsidRPr="00E74BC5">
        <w:rPr>
          <w:rFonts w:ascii="Times New Roman" w:hAnsi="Times New Roman" w:cs="Times New Roman"/>
        </w:rPr>
        <w:t>as medidas de mitigación han reducido significativamente el transporte, provocando una disminución sin precedentes en</w:t>
      </w:r>
      <w:r>
        <w:rPr>
          <w:rFonts w:ascii="Times New Roman" w:hAnsi="Times New Roman" w:cs="Times New Roman"/>
        </w:rPr>
        <w:t xml:space="preserve"> su</w:t>
      </w:r>
      <w:r w:rsidRPr="00E74BC5">
        <w:rPr>
          <w:rFonts w:ascii="Times New Roman" w:hAnsi="Times New Roman" w:cs="Times New Roman"/>
        </w:rPr>
        <w:t xml:space="preserve"> demanda, mientras que un crecimie</w:t>
      </w:r>
      <w:r>
        <w:rPr>
          <w:rFonts w:ascii="Times New Roman" w:hAnsi="Times New Roman" w:cs="Times New Roman"/>
        </w:rPr>
        <w:t>nto económico más débil redujo</w:t>
      </w:r>
      <w:r w:rsidRPr="00E74BC5">
        <w:rPr>
          <w:rFonts w:ascii="Times New Roman" w:hAnsi="Times New Roman" w:cs="Times New Roman"/>
        </w:rPr>
        <w:t xml:space="preserve"> aún más la demanda general de productos básicos.  La pandemia se sumó a la disputa entre Rusia y Arabia Saudita iniciada en marzo de 2020 durante la reunión ministerial de la OPEP+, que reúne a los 13 países de la OPEP y a 10 naciones aliadas.  El segundo y el tercer productor mundial de crudo, respectivamente, se sumieron en una cor</w:t>
      </w:r>
      <w:r>
        <w:rPr>
          <w:rFonts w:ascii="Times New Roman" w:hAnsi="Times New Roman" w:cs="Times New Roman"/>
        </w:rPr>
        <w:t>ta e intensa guerra de precios, sin embargo, a</w:t>
      </w:r>
      <w:r w:rsidRPr="00E74BC5">
        <w:rPr>
          <w:rFonts w:ascii="Times New Roman" w:hAnsi="Times New Roman" w:cs="Times New Roman"/>
        </w:rPr>
        <w:t>l lograr un acuerdo, la alianza de países productores de petróleo retomó la senda del acuerdo y recortó drásticamente su producción para adaptar la oferta a la escasa demanda.</w:t>
      </w:r>
    </w:p>
    <w:p w14:paraId="1E0F6B99" w14:textId="77777777" w:rsidR="00322670" w:rsidRDefault="00322670" w:rsidP="00322670">
      <w:pPr>
        <w:spacing w:after="0" w:line="240" w:lineRule="auto"/>
        <w:jc w:val="both"/>
        <w:rPr>
          <w:rFonts w:ascii="Times New Roman" w:hAnsi="Times New Roman" w:cs="Times New Roman"/>
          <w:color w:val="FF0000"/>
        </w:rPr>
      </w:pPr>
    </w:p>
    <w:p w14:paraId="509F87B3" w14:textId="0A7E114A" w:rsidR="00322670" w:rsidRDefault="00322670" w:rsidP="00322670">
      <w:pPr>
        <w:spacing w:after="0" w:line="240" w:lineRule="auto"/>
        <w:jc w:val="both"/>
        <w:rPr>
          <w:rFonts w:ascii="Times New Roman" w:hAnsi="Times New Roman" w:cs="Times New Roman"/>
        </w:rPr>
      </w:pPr>
      <w:r w:rsidRPr="00290A77">
        <w:rPr>
          <w:rFonts w:ascii="Times New Roman" w:hAnsi="Times New Roman" w:cs="Times New Roman"/>
        </w:rPr>
        <w:t xml:space="preserve">En el segundo trimestre del 2020, los principales productores mundiales de crudo acordaron ajustar a la baja de producción total de crudo a 9.7 millones de barriles diarios, en un compromiso con los esfuerzos encaminados a equilibrar y estabilizar el mercado.  Con ello existiría una disminución de 10% de lo consumido con respecto al 2019, </w:t>
      </w:r>
      <w:r w:rsidR="00880379">
        <w:rPr>
          <w:rFonts w:ascii="Times New Roman" w:hAnsi="Times New Roman" w:cs="Times New Roman"/>
        </w:rPr>
        <w:t xml:space="preserve">lo que equivale a </w:t>
      </w:r>
      <w:r w:rsidRPr="00290A77">
        <w:rPr>
          <w:rFonts w:ascii="Times New Roman" w:hAnsi="Times New Roman" w:cs="Times New Roman"/>
        </w:rPr>
        <w:t>un ajuste de 20,000 barriles de petróleo.</w:t>
      </w:r>
    </w:p>
    <w:p w14:paraId="1325C3EF" w14:textId="77777777" w:rsidR="00134FDC" w:rsidRPr="00EC2DC3" w:rsidRDefault="00134FDC" w:rsidP="00322670">
      <w:pPr>
        <w:spacing w:after="0" w:line="240" w:lineRule="auto"/>
        <w:jc w:val="both"/>
        <w:rPr>
          <w:rFonts w:ascii="Times New Roman" w:hAnsi="Times New Roman" w:cs="Times New Roman"/>
        </w:rPr>
      </w:pPr>
    </w:p>
    <w:p w14:paraId="2ADA5C80" w14:textId="7B6E7B8F" w:rsidR="00322670" w:rsidRPr="00CF5EF6" w:rsidRDefault="00322670" w:rsidP="00134FDC">
      <w:pPr>
        <w:pStyle w:val="Epgrafe"/>
        <w:jc w:val="center"/>
        <w:rPr>
          <w:rFonts w:ascii="Times New Roman" w:hAnsi="Times New Roman" w:cs="Times New Roman"/>
          <w:b/>
          <w:bCs/>
          <w:i w:val="0"/>
          <w:iCs w:val="0"/>
          <w:color w:val="auto"/>
          <w:sz w:val="20"/>
          <w:szCs w:val="22"/>
        </w:rPr>
      </w:pPr>
      <w:bookmarkStart w:id="35" w:name="_Toc71110173"/>
      <w:bookmarkStart w:id="36" w:name="_Toc81573053"/>
      <w:r w:rsidRPr="00CF5EF6">
        <w:rPr>
          <w:rFonts w:ascii="Times New Roman" w:hAnsi="Times New Roman" w:cs="Times New Roman"/>
          <w:b/>
          <w:noProof/>
          <w:color w:val="auto"/>
          <w:sz w:val="20"/>
          <w:lang w:val="es-ES" w:eastAsia="es-ES"/>
        </w:rPr>
        <w:drawing>
          <wp:anchor distT="0" distB="0" distL="114300" distR="114300" simplePos="0" relativeHeight="251972096" behindDoc="0" locked="0" layoutInCell="1" allowOverlap="1" wp14:anchorId="039A9F1F" wp14:editId="0C21A812">
            <wp:simplePos x="0" y="0"/>
            <wp:positionH relativeFrom="column">
              <wp:posOffset>170764</wp:posOffset>
            </wp:positionH>
            <wp:positionV relativeFrom="paragraph">
              <wp:posOffset>168250</wp:posOffset>
            </wp:positionV>
            <wp:extent cx="4993005" cy="2099462"/>
            <wp:effectExtent l="0" t="0" r="0" b="0"/>
            <wp:wrapNone/>
            <wp:docPr id="96" name="Grá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134FDC" w:rsidRPr="00CF5EF6">
        <w:rPr>
          <w:rFonts w:ascii="Times New Roman" w:hAnsi="Times New Roman" w:cs="Times New Roman"/>
          <w:b/>
          <w:color w:val="auto"/>
          <w:sz w:val="20"/>
        </w:rPr>
        <w:t xml:space="preserve">Gráfico </w:t>
      </w:r>
      <w:r w:rsidR="00134FDC" w:rsidRPr="00CF5EF6">
        <w:rPr>
          <w:rFonts w:ascii="Times New Roman" w:hAnsi="Times New Roman" w:cs="Times New Roman"/>
          <w:b/>
          <w:color w:val="auto"/>
          <w:sz w:val="20"/>
        </w:rPr>
        <w:fldChar w:fldCharType="begin"/>
      </w:r>
      <w:r w:rsidR="00134FDC" w:rsidRPr="00CF5EF6">
        <w:rPr>
          <w:rFonts w:ascii="Times New Roman" w:hAnsi="Times New Roman" w:cs="Times New Roman"/>
          <w:b/>
          <w:color w:val="auto"/>
          <w:sz w:val="20"/>
        </w:rPr>
        <w:instrText xml:space="preserve"> SEQ Gráfico \* ARABIC </w:instrText>
      </w:r>
      <w:r w:rsidR="00134FDC" w:rsidRPr="00CF5EF6">
        <w:rPr>
          <w:rFonts w:ascii="Times New Roman" w:hAnsi="Times New Roman" w:cs="Times New Roman"/>
          <w:b/>
          <w:color w:val="auto"/>
          <w:sz w:val="20"/>
        </w:rPr>
        <w:fldChar w:fldCharType="separate"/>
      </w:r>
      <w:r w:rsidR="00D6529D" w:rsidRPr="00CF5EF6">
        <w:rPr>
          <w:rFonts w:ascii="Times New Roman" w:hAnsi="Times New Roman" w:cs="Times New Roman"/>
          <w:b/>
          <w:noProof/>
          <w:color w:val="auto"/>
          <w:sz w:val="20"/>
        </w:rPr>
        <w:t>3</w:t>
      </w:r>
      <w:r w:rsidR="00134FDC" w:rsidRPr="00CF5EF6">
        <w:rPr>
          <w:rFonts w:ascii="Times New Roman" w:hAnsi="Times New Roman" w:cs="Times New Roman"/>
          <w:b/>
          <w:color w:val="auto"/>
          <w:sz w:val="20"/>
        </w:rPr>
        <w:fldChar w:fldCharType="end"/>
      </w:r>
      <w:r w:rsidR="00134FDC" w:rsidRPr="00CF5EF6">
        <w:rPr>
          <w:rFonts w:ascii="Times New Roman" w:hAnsi="Times New Roman" w:cs="Times New Roman"/>
          <w:b/>
          <w:color w:val="auto"/>
          <w:sz w:val="20"/>
        </w:rPr>
        <w:t xml:space="preserve">  </w:t>
      </w:r>
      <w:r w:rsidRPr="00CF5EF6">
        <w:rPr>
          <w:rFonts w:ascii="Times New Roman" w:hAnsi="Times New Roman" w:cs="Times New Roman"/>
          <w:b/>
          <w:bCs/>
          <w:i w:val="0"/>
          <w:iCs w:val="0"/>
          <w:color w:val="auto"/>
          <w:sz w:val="20"/>
          <w:szCs w:val="22"/>
        </w:rPr>
        <w:t>Precios Promedio Mensuales de WTI del 2017-2020</w:t>
      </w:r>
      <w:bookmarkEnd w:id="35"/>
      <w:bookmarkEnd w:id="36"/>
    </w:p>
    <w:p w14:paraId="161B6894" w14:textId="77777777" w:rsidR="00322670" w:rsidRDefault="00322670" w:rsidP="00322670"/>
    <w:p w14:paraId="3487B395" w14:textId="77777777" w:rsidR="00322670" w:rsidRDefault="00322670" w:rsidP="00322670"/>
    <w:p w14:paraId="55012F59" w14:textId="77777777" w:rsidR="00322670" w:rsidRDefault="00322670" w:rsidP="00322670"/>
    <w:p w14:paraId="29824977" w14:textId="77777777" w:rsidR="00322670" w:rsidRDefault="00322670" w:rsidP="00322670"/>
    <w:p w14:paraId="064935CC" w14:textId="77777777" w:rsidR="00322670" w:rsidRDefault="00322670" w:rsidP="00322670"/>
    <w:p w14:paraId="41A1853D" w14:textId="77777777" w:rsidR="00322670" w:rsidRDefault="00322670" w:rsidP="00322670"/>
    <w:p w14:paraId="6C813C7D" w14:textId="77777777" w:rsidR="00322670" w:rsidRDefault="00322670" w:rsidP="00322670">
      <w:pPr>
        <w:spacing w:after="0" w:line="240" w:lineRule="auto"/>
      </w:pPr>
    </w:p>
    <w:bookmarkStart w:id="37" w:name="_Toc16154971"/>
    <w:p w14:paraId="34FA849E" w14:textId="77777777" w:rsidR="00322670" w:rsidRDefault="00322670" w:rsidP="00322670">
      <w:pPr>
        <w:spacing w:after="0"/>
        <w:rPr>
          <w:color w:val="FF0000"/>
          <w:lang w:val="es-MX"/>
        </w:rPr>
      </w:pPr>
      <w:r w:rsidRPr="00CC0B19">
        <w:rPr>
          <w:rFonts w:ascii="Times New Roman" w:hAnsi="Times New Roman" w:cs="Times New Roman"/>
          <w:b/>
          <w:bCs/>
          <w:i/>
          <w:iCs/>
          <w:noProof/>
          <w:lang w:val="es-ES" w:eastAsia="es-ES"/>
        </w:rPr>
        <mc:AlternateContent>
          <mc:Choice Requires="wps">
            <w:drawing>
              <wp:anchor distT="0" distB="0" distL="114300" distR="114300" simplePos="0" relativeHeight="251963904" behindDoc="0" locked="0" layoutInCell="1" allowOverlap="1" wp14:anchorId="2249E812" wp14:editId="02397968">
                <wp:simplePos x="0" y="0"/>
                <wp:positionH relativeFrom="margin">
                  <wp:posOffset>329565</wp:posOffset>
                </wp:positionH>
                <wp:positionV relativeFrom="paragraph">
                  <wp:posOffset>93015</wp:posOffset>
                </wp:positionV>
                <wp:extent cx="3705225" cy="209550"/>
                <wp:effectExtent l="0" t="0" r="9525" b="0"/>
                <wp:wrapNone/>
                <wp:docPr id="64" name="Text Box 16"/>
                <wp:cNvGraphicFramePr/>
                <a:graphic xmlns:a="http://schemas.openxmlformats.org/drawingml/2006/main">
                  <a:graphicData uri="http://schemas.microsoft.com/office/word/2010/wordprocessingShape">
                    <wps:wsp>
                      <wps:cNvSpPr txBox="1"/>
                      <wps:spPr>
                        <a:xfrm>
                          <a:off x="0" y="0"/>
                          <a:ext cx="3705225" cy="209550"/>
                        </a:xfrm>
                        <a:prstGeom prst="rect">
                          <a:avLst/>
                        </a:prstGeom>
                        <a:solidFill>
                          <a:schemeClr val="lt1"/>
                        </a:solidFill>
                        <a:ln w="6350">
                          <a:noFill/>
                        </a:ln>
                      </wps:spPr>
                      <wps:txbx>
                        <w:txbxContent>
                          <w:p w14:paraId="78A2A435" w14:textId="77777777" w:rsidR="00A36CEB" w:rsidRPr="00EC77E9" w:rsidRDefault="00A36CEB" w:rsidP="00322670">
                            <w:pPr>
                              <w:spacing w:after="0"/>
                              <w:rPr>
                                <w:rFonts w:ascii="Times New Roman" w:hAnsi="Times New Roman" w:cs="Times New Roman"/>
                                <w:sz w:val="16"/>
                                <w:szCs w:val="16"/>
                              </w:rPr>
                            </w:pPr>
                            <w:r>
                              <w:rPr>
                                <w:rFonts w:ascii="Times New Roman" w:hAnsi="Times New Roman" w:cs="Times New Roman"/>
                                <w:sz w:val="16"/>
                                <w:szCs w:val="16"/>
                              </w:rPr>
                              <w:t>Fuente: Dirección de Análisis y Política Fiscal con información del EIA.</w:t>
                            </w:r>
                          </w:p>
                          <w:p w14:paraId="12827D08" w14:textId="77777777" w:rsidR="00A36CEB" w:rsidRPr="00EC77E9" w:rsidRDefault="00A36CEB" w:rsidP="00322670">
                            <w:pPr>
                              <w:spacing w:after="0"/>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249E812" id="_x0000_s1028" type="#_x0000_t202" style="position:absolute;margin-left:25.95pt;margin-top:7.3pt;width:291.75pt;height:16.5pt;z-index:25196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" fillcolor="white [3201]" stroked="f" strokeweight=".5pt">
                <v:textbox>
                  <w:txbxContent>
                    <w:p w14:paraId="78A2A435" w14:textId="77777777" w:rsidR="00A36CEB" w:rsidRPr="00EC77E9" w:rsidRDefault="00A36CEB" w:rsidP="00322670">
                      <w:pPr>
                        <w:spacing w:after="0"/>
                        <w:rPr>
                          <w:rFonts w:ascii="Times New Roman" w:hAnsi="Times New Roman" w:cs="Times New Roman"/>
                          <w:sz w:val="16"/>
                          <w:szCs w:val="16"/>
                        </w:rPr>
                      </w:pPr>
                      <w:r>
                        <w:rPr>
                          <w:rFonts w:ascii="Times New Roman" w:hAnsi="Times New Roman" w:cs="Times New Roman"/>
                          <w:sz w:val="16"/>
                          <w:szCs w:val="16"/>
                        </w:rPr>
                        <w:t>Fuente: Dirección de Análisis y Política Fiscal con información del EIA.</w:t>
                      </w:r>
                    </w:p>
                    <w:p w14:paraId="12827D08" w14:textId="77777777" w:rsidR="00A36CEB" w:rsidRPr="00EC77E9" w:rsidRDefault="00A36CEB" w:rsidP="00322670">
                      <w:pPr>
                        <w:spacing w:after="0"/>
                        <w:rPr>
                          <w:rFonts w:ascii="Times New Roman" w:hAnsi="Times New Roman" w:cs="Times New Roman"/>
                          <w:sz w:val="16"/>
                          <w:szCs w:val="16"/>
                        </w:rPr>
                      </w:pPr>
                    </w:p>
                  </w:txbxContent>
                </v:textbox>
                <w10:wrap anchorx="margin"/>
              </v:shape>
            </w:pict>
          </mc:Fallback>
        </mc:AlternateContent>
      </w:r>
    </w:p>
    <w:p w14:paraId="09BE68F5" w14:textId="77777777" w:rsidR="00322670" w:rsidRDefault="00322670" w:rsidP="00322670">
      <w:pPr>
        <w:spacing w:after="0"/>
        <w:rPr>
          <w:color w:val="FF0000"/>
          <w:lang w:val="es-MX"/>
        </w:rPr>
      </w:pPr>
    </w:p>
    <w:p w14:paraId="68CD4463" w14:textId="77777777" w:rsidR="00322670" w:rsidRPr="00155114" w:rsidRDefault="00322670" w:rsidP="00322670">
      <w:pPr>
        <w:spacing w:after="0"/>
        <w:rPr>
          <w:color w:val="FF0000"/>
          <w:sz w:val="10"/>
          <w:lang w:val="es-MX"/>
        </w:rPr>
      </w:pPr>
    </w:p>
    <w:p w14:paraId="25C56B73" w14:textId="77777777" w:rsidR="00322670" w:rsidRPr="00B61D64" w:rsidRDefault="00322670" w:rsidP="001032E7">
      <w:pPr>
        <w:pStyle w:val="Ttulo2"/>
        <w:numPr>
          <w:ilvl w:val="0"/>
          <w:numId w:val="28"/>
        </w:numPr>
        <w:tabs>
          <w:tab w:val="left" w:pos="851"/>
        </w:tabs>
        <w:spacing w:before="0" w:line="276" w:lineRule="auto"/>
        <w:ind w:left="284" w:hanging="283"/>
        <w:rPr>
          <w:rFonts w:ascii="Times New Roman" w:hAnsi="Times New Roman" w:cs="Times New Roman"/>
          <w:color w:val="auto"/>
          <w:sz w:val="24"/>
          <w:szCs w:val="24"/>
          <w:lang w:val="es-MX"/>
        </w:rPr>
      </w:pPr>
      <w:bookmarkStart w:id="38" w:name="_Toc72489345"/>
      <w:bookmarkStart w:id="39" w:name="_Toc81571825"/>
      <w:r w:rsidRPr="00B61D64">
        <w:rPr>
          <w:rFonts w:ascii="Times New Roman" w:hAnsi="Times New Roman" w:cs="Times New Roman"/>
          <w:color w:val="auto"/>
          <w:sz w:val="24"/>
          <w:szCs w:val="24"/>
          <w:lang w:val="es-MX"/>
        </w:rPr>
        <w:t>Perspectivas de la economía mundial 202</w:t>
      </w:r>
      <w:r>
        <w:rPr>
          <w:rFonts w:ascii="Times New Roman" w:hAnsi="Times New Roman" w:cs="Times New Roman"/>
          <w:color w:val="auto"/>
          <w:sz w:val="24"/>
          <w:szCs w:val="24"/>
          <w:lang w:val="es-MX"/>
        </w:rPr>
        <w:t>1</w:t>
      </w:r>
      <w:bookmarkEnd w:id="38"/>
      <w:bookmarkEnd w:id="39"/>
      <w:r w:rsidRPr="00B61D64">
        <w:rPr>
          <w:rFonts w:ascii="Times New Roman" w:hAnsi="Times New Roman" w:cs="Times New Roman"/>
          <w:color w:val="auto"/>
          <w:sz w:val="24"/>
          <w:szCs w:val="24"/>
          <w:lang w:val="es-MX"/>
        </w:rPr>
        <w:t xml:space="preserve"> </w:t>
      </w:r>
      <w:bookmarkEnd w:id="37"/>
    </w:p>
    <w:p w14:paraId="21B7DA52" w14:textId="77777777" w:rsidR="00322670" w:rsidRPr="00E523EF" w:rsidRDefault="00322670" w:rsidP="00322670">
      <w:pPr>
        <w:spacing w:after="0" w:line="240" w:lineRule="auto"/>
        <w:jc w:val="both"/>
        <w:rPr>
          <w:rFonts w:ascii="Times New Roman" w:hAnsi="Times New Roman" w:cs="Times New Roman"/>
        </w:rPr>
      </w:pPr>
    </w:p>
    <w:p w14:paraId="253F3077" w14:textId="5450F980" w:rsidR="00322670" w:rsidRPr="00E523EF" w:rsidRDefault="00322670" w:rsidP="00322670">
      <w:pPr>
        <w:spacing w:after="0" w:line="240" w:lineRule="auto"/>
        <w:jc w:val="both"/>
        <w:rPr>
          <w:rFonts w:ascii="Times New Roman" w:hAnsi="Times New Roman" w:cs="Times New Roman"/>
        </w:rPr>
      </w:pPr>
      <w:r w:rsidRPr="00E523EF">
        <w:rPr>
          <w:rFonts w:ascii="Times New Roman" w:hAnsi="Times New Roman" w:cs="Times New Roman"/>
        </w:rPr>
        <w:t>Tras una contrac</w:t>
      </w:r>
      <w:r>
        <w:rPr>
          <w:rFonts w:ascii="Times New Roman" w:hAnsi="Times New Roman" w:cs="Times New Roman"/>
        </w:rPr>
        <w:t xml:space="preserve">ción estimada de </w:t>
      </w:r>
      <w:r w:rsidR="00612DEA">
        <w:rPr>
          <w:rFonts w:ascii="Times New Roman" w:hAnsi="Times New Roman" w:cs="Times New Roman"/>
        </w:rPr>
        <w:t>3.2</w:t>
      </w:r>
      <w:r w:rsidRPr="00E523EF">
        <w:rPr>
          <w:rFonts w:ascii="Times New Roman" w:hAnsi="Times New Roman" w:cs="Times New Roman"/>
        </w:rPr>
        <w:t>% en 2020, se proyecta que la economía mundial registrará un crecimiento de 6% e</w:t>
      </w:r>
      <w:r>
        <w:rPr>
          <w:rFonts w:ascii="Times New Roman" w:hAnsi="Times New Roman" w:cs="Times New Roman"/>
        </w:rPr>
        <w:t>n 2021</w:t>
      </w:r>
      <w:r w:rsidRPr="00E523EF">
        <w:rPr>
          <w:rFonts w:ascii="Times New Roman" w:hAnsi="Times New Roman" w:cs="Times New Roman"/>
        </w:rPr>
        <w:t xml:space="preserve">. Dichas proyecciones se respaldan por efecto del </w:t>
      </w:r>
      <w:r>
        <w:rPr>
          <w:rFonts w:ascii="Times New Roman" w:hAnsi="Times New Roman" w:cs="Times New Roman"/>
        </w:rPr>
        <w:t>impulso</w:t>
      </w:r>
      <w:r w:rsidRPr="00E523EF">
        <w:rPr>
          <w:rFonts w:ascii="Times New Roman" w:hAnsi="Times New Roman" w:cs="Times New Roman"/>
        </w:rPr>
        <w:t xml:space="preserve"> fiscal adicional instituido por algunas economías grandes y la recuperación prevista para el segundo semestre del año gracias a la vacunación. Este ritmo refleja la continua adaptación de todos los sectores de la economía a la difícil situación sanitaria. La solidez de la recuperación proyectada varía entre países, dependiendo de la gravedad de la crisis sanitaria, el grado de trastorno interno de la actividad, relacionado con la dependencia de los países de sectores de contacto personal intensivo, la exposición a efectos de desbordamiento transfronterizos y por la eficacia con que las políticas de apoyo limiten daños persistentes. </w:t>
      </w:r>
    </w:p>
    <w:p w14:paraId="0433134F" w14:textId="77777777" w:rsidR="00322670" w:rsidRPr="00E523EF" w:rsidRDefault="00322670" w:rsidP="00322670">
      <w:pPr>
        <w:spacing w:after="0" w:line="240" w:lineRule="auto"/>
        <w:jc w:val="both"/>
        <w:rPr>
          <w:rFonts w:ascii="Times New Roman" w:hAnsi="Times New Roman" w:cs="Times New Roman"/>
        </w:rPr>
      </w:pPr>
    </w:p>
    <w:p w14:paraId="36787B84" w14:textId="77777777" w:rsidR="00322670" w:rsidRDefault="00322670" w:rsidP="00322670">
      <w:pPr>
        <w:spacing w:after="0" w:line="240" w:lineRule="auto"/>
        <w:jc w:val="both"/>
        <w:rPr>
          <w:rFonts w:ascii="Times New Roman" w:hAnsi="Times New Roman" w:cs="Times New Roman"/>
        </w:rPr>
      </w:pPr>
      <w:r w:rsidRPr="00E523EF">
        <w:rPr>
          <w:rFonts w:ascii="Times New Roman" w:hAnsi="Times New Roman" w:cs="Times New Roman"/>
        </w:rPr>
        <w:t>El daño persistente a la oferta potencial tanto en las economías avanzadas como en las de mercados emergentes y la desaceleración del crecimiento de la fuerza laboral debido al envejecimiento de la población (en gran medida en las economías avanzadas, pero también en algunas economías de mercados emergentes), así como el necesario reequilibramiento hacia una trayectoria de crecimiento sostenible en China, empañarán las perspectivas de crecimiento de la economía mundial a mediano plazo. Se proyecta que los niveles del PIB se mantendrán muy por debajo de la trayectoria de la tendencia previa a la pandemia hasta 2024 inclusive en la mayoría de los países.</w:t>
      </w:r>
    </w:p>
    <w:p w14:paraId="47274B2C" w14:textId="77777777" w:rsidR="00322670" w:rsidRDefault="00322670" w:rsidP="00322670">
      <w:pPr>
        <w:spacing w:after="0" w:line="240" w:lineRule="auto"/>
        <w:jc w:val="both"/>
        <w:rPr>
          <w:rFonts w:ascii="Times New Roman" w:hAnsi="Times New Roman" w:cs="Times New Roman"/>
        </w:rPr>
      </w:pPr>
    </w:p>
    <w:p w14:paraId="497BB71E" w14:textId="100C8C01" w:rsidR="00322670" w:rsidRPr="004E247B" w:rsidRDefault="00322670" w:rsidP="004E247B">
      <w:pPr>
        <w:pStyle w:val="Ttulo2"/>
        <w:numPr>
          <w:ilvl w:val="1"/>
          <w:numId w:val="28"/>
        </w:numPr>
        <w:tabs>
          <w:tab w:val="left" w:pos="851"/>
        </w:tabs>
        <w:spacing w:before="0" w:line="276" w:lineRule="auto"/>
        <w:ind w:left="426"/>
        <w:rPr>
          <w:rFonts w:ascii="Times New Roman" w:hAnsi="Times New Roman" w:cs="Times New Roman"/>
          <w:color w:val="auto"/>
          <w:sz w:val="24"/>
          <w:szCs w:val="24"/>
          <w:lang w:val="es-MX"/>
        </w:rPr>
      </w:pPr>
      <w:bookmarkStart w:id="40" w:name="_Toc81571826"/>
      <w:r w:rsidRPr="004E247B">
        <w:rPr>
          <w:rFonts w:ascii="Times New Roman" w:hAnsi="Times New Roman" w:cs="Times New Roman"/>
          <w:color w:val="auto"/>
          <w:sz w:val="24"/>
          <w:szCs w:val="24"/>
          <w:lang w:val="es-MX"/>
        </w:rPr>
        <w:t>Una gran incertidumbre rodea el panorama mundial.</w:t>
      </w:r>
      <w:bookmarkEnd w:id="40"/>
    </w:p>
    <w:p w14:paraId="2A2CD576" w14:textId="77777777" w:rsidR="00322670" w:rsidRPr="007C41F8" w:rsidRDefault="00322670" w:rsidP="00322670">
      <w:pPr>
        <w:pStyle w:val="Prrafodelista"/>
        <w:spacing w:after="0" w:line="240" w:lineRule="auto"/>
        <w:ind w:left="0"/>
        <w:jc w:val="both"/>
        <w:rPr>
          <w:rFonts w:ascii="Times New Roman" w:hAnsi="Times New Roman" w:cs="Times New Roman"/>
        </w:rPr>
      </w:pPr>
    </w:p>
    <w:p w14:paraId="1505E85C" w14:textId="77777777" w:rsidR="00322670" w:rsidRDefault="00322670" w:rsidP="001032E7">
      <w:pPr>
        <w:pStyle w:val="Prrafodelista"/>
        <w:numPr>
          <w:ilvl w:val="0"/>
          <w:numId w:val="31"/>
        </w:numPr>
        <w:spacing w:after="0" w:line="240" w:lineRule="auto"/>
        <w:ind w:left="426"/>
        <w:jc w:val="both"/>
        <w:rPr>
          <w:rFonts w:ascii="Times New Roman" w:hAnsi="Times New Roman" w:cs="Times New Roman"/>
        </w:rPr>
      </w:pPr>
      <w:r w:rsidRPr="00E6202B">
        <w:rPr>
          <w:rFonts w:ascii="Times New Roman" w:hAnsi="Times New Roman" w:cs="Times New Roman"/>
        </w:rPr>
        <w:t>El desarrollo futuro de eventos dependerá del camino de la crisis de salud, incluso si las nuevas cepas de COVID-19 resultan susceptibles a las vacunas o prolongan la pandemia; la eficacia de las acciones políticas para limitar el daño económico persistente (cicatrices); la evolución de las condiciones financieras y de los precios de las materias primas; y la capacidad de ajuste de la economía.</w:t>
      </w:r>
    </w:p>
    <w:p w14:paraId="1EAFD8C2" w14:textId="77777777" w:rsidR="00322670" w:rsidRDefault="00322670" w:rsidP="001032E7">
      <w:pPr>
        <w:pStyle w:val="Prrafodelista"/>
        <w:numPr>
          <w:ilvl w:val="0"/>
          <w:numId w:val="31"/>
        </w:numPr>
        <w:spacing w:after="0" w:line="240" w:lineRule="auto"/>
        <w:ind w:left="426"/>
        <w:jc w:val="both"/>
        <w:rPr>
          <w:rFonts w:ascii="Times New Roman" w:hAnsi="Times New Roman" w:cs="Times New Roman"/>
        </w:rPr>
      </w:pPr>
      <w:r w:rsidRPr="00E6202B">
        <w:rPr>
          <w:rFonts w:ascii="Times New Roman" w:hAnsi="Times New Roman" w:cs="Times New Roman"/>
        </w:rPr>
        <w:t>Considerando la gran incertidumbre que rodea las perspectivas, los responsables de la formulación de políticas deberían priorizar políticas que sean prudentes, por ejemplo: el fortalecimiento social, la protección con una mayor elegibilidad para el desempleo, seguro para cubrir a los autónomos e informales, entre otras.</w:t>
      </w:r>
    </w:p>
    <w:p w14:paraId="5B1B3AF4" w14:textId="77777777" w:rsidR="00322670" w:rsidRDefault="00322670" w:rsidP="001032E7">
      <w:pPr>
        <w:pStyle w:val="Prrafodelista"/>
        <w:numPr>
          <w:ilvl w:val="0"/>
          <w:numId w:val="31"/>
        </w:numPr>
        <w:spacing w:after="0" w:line="240" w:lineRule="auto"/>
        <w:ind w:left="426"/>
        <w:jc w:val="both"/>
        <w:rPr>
          <w:rFonts w:ascii="Times New Roman" w:hAnsi="Times New Roman" w:cs="Times New Roman"/>
        </w:rPr>
      </w:pPr>
      <w:r w:rsidRPr="00E6202B">
        <w:rPr>
          <w:rFonts w:ascii="Times New Roman" w:hAnsi="Times New Roman" w:cs="Times New Roman"/>
        </w:rPr>
        <w:t>Cuando los niveles elevados de deuda limiten el alcance de la acción, los esfuerzos deben estar dirigidos a crear espacio a través de un aumento en la recaudación de ingresos, una mayor progresividad fiscal y la reducción de los subsidios innecesarios.</w:t>
      </w:r>
    </w:p>
    <w:p w14:paraId="3EB1907C" w14:textId="77777777" w:rsidR="00322670" w:rsidRDefault="00322670" w:rsidP="001032E7">
      <w:pPr>
        <w:pStyle w:val="Prrafodelista"/>
        <w:numPr>
          <w:ilvl w:val="0"/>
          <w:numId w:val="31"/>
        </w:numPr>
        <w:spacing w:after="0" w:line="240" w:lineRule="auto"/>
        <w:ind w:left="426"/>
        <w:jc w:val="both"/>
        <w:rPr>
          <w:rFonts w:ascii="Times New Roman" w:hAnsi="Times New Roman" w:cs="Times New Roman"/>
        </w:rPr>
      </w:pPr>
      <w:r w:rsidRPr="00E6202B">
        <w:rPr>
          <w:rFonts w:ascii="Times New Roman" w:hAnsi="Times New Roman" w:cs="Times New Roman"/>
        </w:rPr>
        <w:t>Los desafíos de largo plazo no pueden ser ignorados: aumentar la productividad, mejorar los marcos de políticas y abordar el cambio climático.</w:t>
      </w:r>
    </w:p>
    <w:p w14:paraId="3D00C9D3" w14:textId="77777777" w:rsidR="00322670" w:rsidRPr="0062341C" w:rsidRDefault="00322670" w:rsidP="00322670">
      <w:pPr>
        <w:spacing w:after="0" w:line="240" w:lineRule="auto"/>
        <w:jc w:val="both"/>
        <w:rPr>
          <w:rFonts w:ascii="Times New Roman" w:hAnsi="Times New Roman" w:cs="Times New Roman"/>
          <w:color w:val="FF0000"/>
        </w:rPr>
      </w:pPr>
    </w:p>
    <w:bookmarkStart w:id="41" w:name="_Toc71110174"/>
    <w:bookmarkStart w:id="42" w:name="_Toc81573054"/>
    <w:p w14:paraId="624B8941" w14:textId="45B650FA" w:rsidR="00322670" w:rsidRPr="00CF5EF6" w:rsidRDefault="00322670" w:rsidP="00134FDC">
      <w:pPr>
        <w:pStyle w:val="Epgrafe"/>
        <w:jc w:val="center"/>
        <w:rPr>
          <w:color w:val="404040" w:themeColor="text1" w:themeTint="BF"/>
          <w:sz w:val="16"/>
        </w:rPr>
      </w:pPr>
      <w:r w:rsidRPr="00CF5EF6">
        <w:rPr>
          <w:rFonts w:ascii="Times New Roman" w:hAnsi="Times New Roman" w:cs="Times New Roman"/>
          <w:b/>
          <w:noProof/>
          <w:color w:val="auto"/>
          <w:sz w:val="20"/>
          <w:lang w:val="es-ES" w:eastAsia="es-ES"/>
        </w:rPr>
        <mc:AlternateContent>
          <mc:Choice Requires="wps">
            <w:drawing>
              <wp:anchor distT="0" distB="0" distL="114300" distR="114300" simplePos="0" relativeHeight="251964928" behindDoc="0" locked="0" layoutInCell="1" allowOverlap="1" wp14:anchorId="4E9F8F89" wp14:editId="71F34D77">
                <wp:simplePos x="0" y="0"/>
                <wp:positionH relativeFrom="margin">
                  <wp:posOffset>777240</wp:posOffset>
                </wp:positionH>
                <wp:positionV relativeFrom="paragraph">
                  <wp:posOffset>2563368</wp:posOffset>
                </wp:positionV>
                <wp:extent cx="3638550" cy="214746"/>
                <wp:effectExtent l="0" t="0" r="0" b="0"/>
                <wp:wrapNone/>
                <wp:docPr id="9" name="Text Box 16"/>
                <wp:cNvGraphicFramePr/>
                <a:graphic xmlns:a="http://schemas.openxmlformats.org/drawingml/2006/main">
                  <a:graphicData uri="http://schemas.microsoft.com/office/word/2010/wordprocessingShape">
                    <wps:wsp>
                      <wps:cNvSpPr txBox="1"/>
                      <wps:spPr>
                        <a:xfrm>
                          <a:off x="0" y="0"/>
                          <a:ext cx="3638550" cy="214746"/>
                        </a:xfrm>
                        <a:prstGeom prst="rect">
                          <a:avLst/>
                        </a:prstGeom>
                        <a:solidFill>
                          <a:schemeClr val="lt1"/>
                        </a:solidFill>
                        <a:ln w="6350">
                          <a:noFill/>
                        </a:ln>
                      </wps:spPr>
                      <wps:txbx>
                        <w:txbxContent>
                          <w:p w14:paraId="20347DD9" w14:textId="77777777" w:rsidR="00A36CEB" w:rsidRPr="00EC77E9" w:rsidRDefault="00A36CEB" w:rsidP="00322670">
                            <w:pPr>
                              <w:spacing w:after="0"/>
                              <w:rPr>
                                <w:rFonts w:ascii="Times New Roman" w:hAnsi="Times New Roman" w:cs="Times New Roman"/>
                                <w:sz w:val="16"/>
                                <w:szCs w:val="16"/>
                              </w:rPr>
                            </w:pPr>
                            <w:r w:rsidRPr="00EC77E9">
                              <w:rPr>
                                <w:rFonts w:ascii="Times New Roman" w:hAnsi="Times New Roman" w:cs="Times New Roman"/>
                                <w:sz w:val="16"/>
                                <w:szCs w:val="16"/>
                              </w:rPr>
                              <w:t xml:space="preserve">Fuente: </w:t>
                            </w:r>
                            <w:r>
                              <w:rPr>
                                <w:rFonts w:ascii="Times New Roman" w:hAnsi="Times New Roman" w:cs="Times New Roman"/>
                                <w:sz w:val="16"/>
                                <w:szCs w:val="16"/>
                              </w:rPr>
                              <w:t>Dirección de Análisis y Política Fiscal c</w:t>
                            </w:r>
                            <w:r w:rsidRPr="00EC77E9">
                              <w:rPr>
                                <w:rFonts w:ascii="Times New Roman" w:hAnsi="Times New Roman" w:cs="Times New Roman"/>
                                <w:sz w:val="16"/>
                                <w:szCs w:val="16"/>
                              </w:rPr>
                              <w:t>on información del FMI</w:t>
                            </w:r>
                          </w:p>
                          <w:p w14:paraId="18CC9EEA" w14:textId="77777777" w:rsidR="00A36CEB" w:rsidRPr="00EC77E9" w:rsidRDefault="00A36CEB" w:rsidP="00322670">
                            <w:pPr>
                              <w:spacing w:after="0"/>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E9F8F89" id="_x0000_s1029" type="#_x0000_t202" style="position:absolute;left:0;text-align:left;margin-left:61.2pt;margin-top:201.85pt;width:286.5pt;height:16.9pt;z-index:25196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" fillcolor="white [3201]" stroked="f" strokeweight=".5pt">
                <v:textbox>
                  <w:txbxContent>
                    <w:p w14:paraId="20347DD9" w14:textId="77777777" w:rsidR="00A36CEB" w:rsidRPr="00EC77E9" w:rsidRDefault="00A36CEB" w:rsidP="00322670">
                      <w:pPr>
                        <w:spacing w:after="0"/>
                        <w:rPr>
                          <w:rFonts w:ascii="Times New Roman" w:hAnsi="Times New Roman" w:cs="Times New Roman"/>
                          <w:sz w:val="16"/>
                          <w:szCs w:val="16"/>
                        </w:rPr>
                      </w:pPr>
                      <w:r w:rsidRPr="00EC77E9">
                        <w:rPr>
                          <w:rFonts w:ascii="Times New Roman" w:hAnsi="Times New Roman" w:cs="Times New Roman"/>
                          <w:sz w:val="16"/>
                          <w:szCs w:val="16"/>
                        </w:rPr>
                        <w:t xml:space="preserve">Fuente: </w:t>
                      </w:r>
                      <w:r>
                        <w:rPr>
                          <w:rFonts w:ascii="Times New Roman" w:hAnsi="Times New Roman" w:cs="Times New Roman"/>
                          <w:sz w:val="16"/>
                          <w:szCs w:val="16"/>
                        </w:rPr>
                        <w:t>Dirección de Análisis y Política Fiscal c</w:t>
                      </w:r>
                      <w:r w:rsidRPr="00EC77E9">
                        <w:rPr>
                          <w:rFonts w:ascii="Times New Roman" w:hAnsi="Times New Roman" w:cs="Times New Roman"/>
                          <w:sz w:val="16"/>
                          <w:szCs w:val="16"/>
                        </w:rPr>
                        <w:t>on información del FMI</w:t>
                      </w:r>
                    </w:p>
                    <w:p w14:paraId="18CC9EEA" w14:textId="77777777" w:rsidR="00A36CEB" w:rsidRPr="00EC77E9" w:rsidRDefault="00A36CEB" w:rsidP="00322670">
                      <w:pPr>
                        <w:spacing w:after="0"/>
                        <w:rPr>
                          <w:rFonts w:ascii="Times New Roman" w:hAnsi="Times New Roman" w:cs="Times New Roman"/>
                          <w:sz w:val="16"/>
                          <w:szCs w:val="16"/>
                        </w:rPr>
                      </w:pPr>
                    </w:p>
                  </w:txbxContent>
                </v:textbox>
                <w10:wrap anchorx="margin"/>
              </v:shape>
            </w:pict>
          </mc:Fallback>
        </mc:AlternateContent>
      </w:r>
      <w:r w:rsidR="00134FDC" w:rsidRPr="00CF5EF6">
        <w:rPr>
          <w:rFonts w:ascii="Times New Roman" w:hAnsi="Times New Roman" w:cs="Times New Roman"/>
          <w:b/>
          <w:color w:val="auto"/>
          <w:sz w:val="20"/>
        </w:rPr>
        <w:t xml:space="preserve">Gráfico </w:t>
      </w:r>
      <w:r w:rsidR="00134FDC" w:rsidRPr="00CF5EF6">
        <w:rPr>
          <w:rFonts w:ascii="Times New Roman" w:hAnsi="Times New Roman" w:cs="Times New Roman"/>
          <w:b/>
          <w:color w:val="auto"/>
          <w:sz w:val="20"/>
        </w:rPr>
        <w:fldChar w:fldCharType="begin"/>
      </w:r>
      <w:r w:rsidR="00134FDC" w:rsidRPr="00CF5EF6">
        <w:rPr>
          <w:rFonts w:ascii="Times New Roman" w:hAnsi="Times New Roman" w:cs="Times New Roman"/>
          <w:b/>
          <w:color w:val="auto"/>
          <w:sz w:val="20"/>
        </w:rPr>
        <w:instrText xml:space="preserve"> SEQ Gráfico \* ARABIC </w:instrText>
      </w:r>
      <w:r w:rsidR="00134FDC" w:rsidRPr="00CF5EF6">
        <w:rPr>
          <w:rFonts w:ascii="Times New Roman" w:hAnsi="Times New Roman" w:cs="Times New Roman"/>
          <w:b/>
          <w:color w:val="auto"/>
          <w:sz w:val="20"/>
        </w:rPr>
        <w:fldChar w:fldCharType="separate"/>
      </w:r>
      <w:r w:rsidR="00D6529D" w:rsidRPr="00CF5EF6">
        <w:rPr>
          <w:rFonts w:ascii="Times New Roman" w:hAnsi="Times New Roman" w:cs="Times New Roman"/>
          <w:b/>
          <w:noProof/>
          <w:color w:val="auto"/>
          <w:sz w:val="20"/>
        </w:rPr>
        <w:t>4</w:t>
      </w:r>
      <w:r w:rsidR="00134FDC" w:rsidRPr="00CF5EF6">
        <w:rPr>
          <w:rFonts w:ascii="Times New Roman" w:hAnsi="Times New Roman" w:cs="Times New Roman"/>
          <w:b/>
          <w:color w:val="auto"/>
          <w:sz w:val="20"/>
        </w:rPr>
        <w:fldChar w:fldCharType="end"/>
      </w:r>
      <w:r w:rsidR="00134FDC" w:rsidRPr="00CF5EF6">
        <w:rPr>
          <w:rFonts w:ascii="Times New Roman" w:hAnsi="Times New Roman" w:cs="Times New Roman"/>
          <w:b/>
          <w:color w:val="auto"/>
          <w:sz w:val="20"/>
        </w:rPr>
        <w:t xml:space="preserve">  </w:t>
      </w:r>
      <w:r w:rsidRPr="00CF5EF6">
        <w:rPr>
          <w:rFonts w:ascii="Times New Roman" w:hAnsi="Times New Roman" w:cs="Times New Roman"/>
          <w:b/>
          <w:bCs/>
          <w:i w:val="0"/>
          <w:iCs w:val="0"/>
          <w:color w:val="auto"/>
          <w:sz w:val="20"/>
          <w:szCs w:val="22"/>
        </w:rPr>
        <w:t>Pronóstico de crecimiento de la producción mundial en 2021</w:t>
      </w:r>
      <w:bookmarkEnd w:id="41"/>
      <w:bookmarkEnd w:id="42"/>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828"/>
      </w:tblGrid>
      <w:tr w:rsidR="00322670" w:rsidRPr="0062341C" w14:paraId="76F10BA2" w14:textId="77777777" w:rsidTr="00DE1FBB">
        <w:trPr>
          <w:trHeight w:val="3728"/>
        </w:trPr>
        <w:tc>
          <w:tcPr>
            <w:tcW w:w="8828" w:type="dxa"/>
          </w:tcPr>
          <w:p w14:paraId="06DD6825" w14:textId="77777777" w:rsidR="00322670" w:rsidRPr="0062341C" w:rsidRDefault="00322670" w:rsidP="00DE1FBB">
            <w:pPr>
              <w:spacing w:line="276" w:lineRule="auto"/>
              <w:jc w:val="center"/>
              <w:rPr>
                <w:rFonts w:ascii="Times New Roman" w:hAnsi="Times New Roman" w:cs="Times New Roman"/>
                <w:color w:val="FF0000"/>
              </w:rPr>
            </w:pPr>
            <w:r>
              <w:rPr>
                <w:noProof/>
                <w:lang w:val="es-ES" w:eastAsia="es-ES"/>
              </w:rPr>
              <w:drawing>
                <wp:anchor distT="0" distB="0" distL="114300" distR="114300" simplePos="0" relativeHeight="251973120" behindDoc="0" locked="0" layoutInCell="1" allowOverlap="1" wp14:anchorId="25B25D42" wp14:editId="1DEFC166">
                  <wp:simplePos x="0" y="0"/>
                  <wp:positionH relativeFrom="column">
                    <wp:posOffset>404292</wp:posOffset>
                  </wp:positionH>
                  <wp:positionV relativeFrom="paragraph">
                    <wp:posOffset>28397</wp:posOffset>
                  </wp:positionV>
                  <wp:extent cx="4607560" cy="2289658"/>
                  <wp:effectExtent l="0" t="0" r="2540" b="0"/>
                  <wp:wrapNone/>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tc>
      </w:tr>
    </w:tbl>
    <w:p w14:paraId="18584EE6" w14:textId="77777777" w:rsidR="00322670" w:rsidRDefault="00322670" w:rsidP="00322670">
      <w:pPr>
        <w:spacing w:after="0" w:line="240" w:lineRule="auto"/>
        <w:jc w:val="both"/>
        <w:rPr>
          <w:rFonts w:ascii="Times New Roman" w:hAnsi="Times New Roman" w:cs="Times New Roman"/>
          <w:color w:val="FF0000"/>
        </w:rPr>
      </w:pPr>
    </w:p>
    <w:p w14:paraId="0ED78993" w14:textId="77777777" w:rsidR="00322670" w:rsidRPr="0062341C" w:rsidRDefault="00322670" w:rsidP="00322670">
      <w:pPr>
        <w:spacing w:after="0" w:line="240" w:lineRule="auto"/>
        <w:jc w:val="both"/>
        <w:rPr>
          <w:rFonts w:ascii="Times New Roman" w:hAnsi="Times New Roman" w:cs="Times New Roman"/>
          <w:color w:val="FF0000"/>
        </w:rPr>
      </w:pPr>
    </w:p>
    <w:p w14:paraId="7DC592D5" w14:textId="77777777" w:rsidR="00322670" w:rsidRPr="00C86433" w:rsidRDefault="00322670" w:rsidP="00322670">
      <w:pPr>
        <w:spacing w:after="0" w:line="240" w:lineRule="auto"/>
        <w:jc w:val="both"/>
        <w:rPr>
          <w:rFonts w:ascii="Times New Roman" w:hAnsi="Times New Roman" w:cs="Times New Roman"/>
        </w:rPr>
      </w:pPr>
      <w:r w:rsidRPr="00C86433">
        <w:rPr>
          <w:rFonts w:ascii="Times New Roman" w:hAnsi="Times New Roman" w:cs="Times New Roman"/>
        </w:rPr>
        <w:t xml:space="preserve">Las bases de estas proyecciones son factores difíciles de predecir, </w:t>
      </w:r>
      <w:r>
        <w:rPr>
          <w:rFonts w:ascii="Times New Roman" w:hAnsi="Times New Roman" w:cs="Times New Roman"/>
        </w:rPr>
        <w:t xml:space="preserve">así </w:t>
      </w:r>
      <w:r w:rsidRPr="00C86433">
        <w:rPr>
          <w:rFonts w:ascii="Times New Roman" w:hAnsi="Times New Roman" w:cs="Times New Roman"/>
        </w:rPr>
        <w:t xml:space="preserve">como lo son la intensidad y eficacia de las medidas sociales y económicas que no han sido homogéneas en los países, los cambios en los patrones de gasto, las repercusiones negativas en las condiciones de los mercados financieros, la fuerte disminución de precios en las materias primas, e incluso el progreso en el desarrollo de las vacunas y de terapias para la emergencia de salud. </w:t>
      </w:r>
    </w:p>
    <w:p w14:paraId="1F9EEBB1" w14:textId="77777777" w:rsidR="00322670" w:rsidRDefault="00322670" w:rsidP="00322670">
      <w:pPr>
        <w:spacing w:after="0" w:line="240" w:lineRule="auto"/>
        <w:jc w:val="both"/>
        <w:rPr>
          <w:rFonts w:ascii="Times New Roman" w:hAnsi="Times New Roman" w:cs="Times New Roman"/>
          <w:color w:val="FF0000"/>
        </w:rPr>
      </w:pPr>
    </w:p>
    <w:p w14:paraId="2EC4B7F3" w14:textId="77777777" w:rsidR="00322670" w:rsidRDefault="00322670" w:rsidP="00322670">
      <w:pPr>
        <w:spacing w:after="0" w:line="240" w:lineRule="auto"/>
        <w:jc w:val="both"/>
        <w:rPr>
          <w:rFonts w:ascii="Times New Roman" w:hAnsi="Times New Roman" w:cs="Times New Roman"/>
        </w:rPr>
      </w:pPr>
      <w:r w:rsidRPr="00983007">
        <w:rPr>
          <w:rFonts w:ascii="Times New Roman" w:hAnsi="Times New Roman" w:cs="Times New Roman"/>
        </w:rPr>
        <w:t>Algunos paíse</w:t>
      </w:r>
      <w:r>
        <w:rPr>
          <w:rFonts w:ascii="Times New Roman" w:hAnsi="Times New Roman" w:cs="Times New Roman"/>
        </w:rPr>
        <w:t xml:space="preserve">s lograron rescatar parte de la </w:t>
      </w:r>
      <w:r w:rsidRPr="00983007">
        <w:rPr>
          <w:rFonts w:ascii="Times New Roman" w:hAnsi="Times New Roman" w:cs="Times New Roman"/>
        </w:rPr>
        <w:t xml:space="preserve">temporada turística de </w:t>
      </w:r>
      <w:r>
        <w:rPr>
          <w:rFonts w:ascii="Times New Roman" w:hAnsi="Times New Roman" w:cs="Times New Roman"/>
        </w:rPr>
        <w:t xml:space="preserve">verano al reabrir a mediados de </w:t>
      </w:r>
      <w:r w:rsidRPr="00983007">
        <w:rPr>
          <w:rFonts w:ascii="Times New Roman" w:hAnsi="Times New Roman" w:cs="Times New Roman"/>
        </w:rPr>
        <w:t>2020. Sin embarg</w:t>
      </w:r>
      <w:r>
        <w:rPr>
          <w:rFonts w:ascii="Times New Roman" w:hAnsi="Times New Roman" w:cs="Times New Roman"/>
        </w:rPr>
        <w:t xml:space="preserve">o, la reapertura se vio seguida de una </w:t>
      </w:r>
      <w:r w:rsidRPr="00983007">
        <w:rPr>
          <w:rFonts w:ascii="Times New Roman" w:hAnsi="Times New Roman" w:cs="Times New Roman"/>
        </w:rPr>
        <w:t>escalada de las infecciones q</w:t>
      </w:r>
      <w:r>
        <w:rPr>
          <w:rFonts w:ascii="Times New Roman" w:hAnsi="Times New Roman" w:cs="Times New Roman"/>
        </w:rPr>
        <w:t xml:space="preserve">ue obligó a realizar nuevos </w:t>
      </w:r>
      <w:r w:rsidRPr="00983007">
        <w:rPr>
          <w:rFonts w:ascii="Times New Roman" w:hAnsi="Times New Roman" w:cs="Times New Roman"/>
        </w:rPr>
        <w:t>confinamientos en lo</w:t>
      </w:r>
      <w:r>
        <w:rPr>
          <w:rFonts w:ascii="Times New Roman" w:hAnsi="Times New Roman" w:cs="Times New Roman"/>
        </w:rPr>
        <w:t xml:space="preserve">s últimos meses de 2020, que se </w:t>
      </w:r>
      <w:r w:rsidRPr="00983007">
        <w:rPr>
          <w:rFonts w:ascii="Times New Roman" w:hAnsi="Times New Roman" w:cs="Times New Roman"/>
        </w:rPr>
        <w:t xml:space="preserve">extendieron a 2021. </w:t>
      </w:r>
    </w:p>
    <w:p w14:paraId="4BD1A62A" w14:textId="77777777" w:rsidR="00322670" w:rsidRDefault="00322670" w:rsidP="00322670">
      <w:pPr>
        <w:spacing w:after="0" w:line="240" w:lineRule="auto"/>
        <w:jc w:val="both"/>
        <w:rPr>
          <w:rFonts w:ascii="Times New Roman" w:hAnsi="Times New Roman" w:cs="Times New Roman"/>
          <w:color w:val="FF0000"/>
        </w:rPr>
      </w:pPr>
    </w:p>
    <w:p w14:paraId="44E07EA3" w14:textId="77777777" w:rsidR="00322670" w:rsidRDefault="00322670" w:rsidP="00322670">
      <w:pPr>
        <w:spacing w:after="0" w:line="240" w:lineRule="auto"/>
        <w:jc w:val="both"/>
        <w:rPr>
          <w:rFonts w:ascii="Times New Roman" w:hAnsi="Times New Roman" w:cs="Times New Roman"/>
          <w:color w:val="FF0000"/>
        </w:rPr>
      </w:pPr>
      <w:r w:rsidRPr="00983007">
        <w:rPr>
          <w:rFonts w:ascii="Times New Roman" w:hAnsi="Times New Roman" w:cs="Times New Roman"/>
        </w:rPr>
        <w:t>En las economías de mercados emergentes y en desarrollo, los datos s</w:t>
      </w:r>
      <w:r>
        <w:rPr>
          <w:rFonts w:ascii="Times New Roman" w:hAnsi="Times New Roman" w:cs="Times New Roman"/>
        </w:rPr>
        <w:t xml:space="preserve">obre la contratación pública de vacunas </w:t>
      </w:r>
      <w:r w:rsidRPr="00983007">
        <w:rPr>
          <w:rFonts w:ascii="Times New Roman" w:hAnsi="Times New Roman" w:cs="Times New Roman"/>
        </w:rPr>
        <w:t>hacen pensar que no hab</w:t>
      </w:r>
      <w:r>
        <w:rPr>
          <w:rFonts w:ascii="Times New Roman" w:hAnsi="Times New Roman" w:cs="Times New Roman"/>
        </w:rPr>
        <w:t xml:space="preserve">rá una protección efectiva para </w:t>
      </w:r>
      <w:r w:rsidRPr="00983007">
        <w:rPr>
          <w:rFonts w:ascii="Times New Roman" w:hAnsi="Times New Roman" w:cs="Times New Roman"/>
        </w:rPr>
        <w:t>la mayor parte de la po</w:t>
      </w:r>
      <w:r>
        <w:rPr>
          <w:rFonts w:ascii="Times New Roman" w:hAnsi="Times New Roman" w:cs="Times New Roman"/>
        </w:rPr>
        <w:t xml:space="preserve">blación en 2021. Es posible que </w:t>
      </w:r>
      <w:r w:rsidRPr="00983007">
        <w:rPr>
          <w:rFonts w:ascii="Times New Roman" w:hAnsi="Times New Roman" w:cs="Times New Roman"/>
        </w:rPr>
        <w:t>en 2021 se hagan n</w:t>
      </w:r>
      <w:r>
        <w:rPr>
          <w:rFonts w:ascii="Times New Roman" w:hAnsi="Times New Roman" w:cs="Times New Roman"/>
        </w:rPr>
        <w:t xml:space="preserve">ecesarios confinamientos y medidas de protección con más frecuencia que en las </w:t>
      </w:r>
      <w:r w:rsidRPr="00983007">
        <w:rPr>
          <w:rFonts w:ascii="Times New Roman" w:hAnsi="Times New Roman" w:cs="Times New Roman"/>
        </w:rPr>
        <w:t>economías avanzadas, lo cual incrementa la probabili</w:t>
      </w:r>
      <w:r>
        <w:rPr>
          <w:rFonts w:ascii="Times New Roman" w:hAnsi="Times New Roman" w:cs="Times New Roman"/>
        </w:rPr>
        <w:t xml:space="preserve">dad de efectos </w:t>
      </w:r>
      <w:r w:rsidRPr="00983007">
        <w:rPr>
          <w:rFonts w:ascii="Times New Roman" w:hAnsi="Times New Roman" w:cs="Times New Roman"/>
        </w:rPr>
        <w:t>de cicat</w:t>
      </w:r>
      <w:r>
        <w:rPr>
          <w:rFonts w:ascii="Times New Roman" w:hAnsi="Times New Roman" w:cs="Times New Roman"/>
        </w:rPr>
        <w:t xml:space="preserve">rización del producto potencial </w:t>
      </w:r>
      <w:r w:rsidRPr="00983007">
        <w:rPr>
          <w:rFonts w:ascii="Times New Roman" w:hAnsi="Times New Roman" w:cs="Times New Roman"/>
        </w:rPr>
        <w:t xml:space="preserve">de estos países a mediano </w:t>
      </w:r>
      <w:r>
        <w:rPr>
          <w:rFonts w:ascii="Times New Roman" w:hAnsi="Times New Roman" w:cs="Times New Roman"/>
        </w:rPr>
        <w:t xml:space="preserve">plazo. Se </w:t>
      </w:r>
      <w:r w:rsidRPr="00983007">
        <w:rPr>
          <w:rFonts w:ascii="Times New Roman" w:hAnsi="Times New Roman" w:cs="Times New Roman"/>
        </w:rPr>
        <w:t>esperan diferencias c</w:t>
      </w:r>
      <w:r>
        <w:rPr>
          <w:rFonts w:ascii="Times New Roman" w:hAnsi="Times New Roman" w:cs="Times New Roman"/>
        </w:rPr>
        <w:t xml:space="preserve">onsiderables entre China y otros países, donde </w:t>
      </w:r>
      <w:r w:rsidRPr="00983007">
        <w:rPr>
          <w:rFonts w:ascii="Times New Roman" w:hAnsi="Times New Roman" w:cs="Times New Roman"/>
        </w:rPr>
        <w:t>las eficaces medida</w:t>
      </w:r>
      <w:r>
        <w:rPr>
          <w:rFonts w:ascii="Times New Roman" w:hAnsi="Times New Roman" w:cs="Times New Roman"/>
        </w:rPr>
        <w:t xml:space="preserve">s de contención, la contundente </w:t>
      </w:r>
      <w:r w:rsidRPr="00983007">
        <w:rPr>
          <w:rFonts w:ascii="Times New Roman" w:hAnsi="Times New Roman" w:cs="Times New Roman"/>
        </w:rPr>
        <w:t xml:space="preserve">respuesta en materia de </w:t>
      </w:r>
      <w:r>
        <w:rPr>
          <w:rFonts w:ascii="Times New Roman" w:hAnsi="Times New Roman" w:cs="Times New Roman"/>
        </w:rPr>
        <w:t xml:space="preserve">inversión pública y la liquidez </w:t>
      </w:r>
      <w:r w:rsidRPr="00983007">
        <w:rPr>
          <w:rFonts w:ascii="Times New Roman" w:hAnsi="Times New Roman" w:cs="Times New Roman"/>
        </w:rPr>
        <w:t>de respaldo del banco ce</w:t>
      </w:r>
      <w:r>
        <w:rPr>
          <w:rFonts w:ascii="Times New Roman" w:hAnsi="Times New Roman" w:cs="Times New Roman"/>
        </w:rPr>
        <w:t>ntral han facilitado una fuerte recuperación</w:t>
      </w:r>
      <w:r w:rsidRPr="00983007">
        <w:rPr>
          <w:rFonts w:ascii="Times New Roman" w:hAnsi="Times New Roman" w:cs="Times New Roman"/>
        </w:rPr>
        <w:t>. Las economías basadas en el tur</w:t>
      </w:r>
      <w:r>
        <w:rPr>
          <w:rFonts w:ascii="Times New Roman" w:hAnsi="Times New Roman" w:cs="Times New Roman"/>
        </w:rPr>
        <w:t xml:space="preserve">ismo (como Fiji, las Seychelles </w:t>
      </w:r>
      <w:r w:rsidRPr="00983007">
        <w:rPr>
          <w:rFonts w:ascii="Times New Roman" w:hAnsi="Times New Roman" w:cs="Times New Roman"/>
        </w:rPr>
        <w:t>y Tailandia) enfrentan perspectivas particularmente</w:t>
      </w:r>
      <w:r>
        <w:rPr>
          <w:rFonts w:ascii="Times New Roman" w:hAnsi="Times New Roman" w:cs="Times New Roman"/>
        </w:rPr>
        <w:t xml:space="preserve"> </w:t>
      </w:r>
      <w:r w:rsidRPr="00983007">
        <w:rPr>
          <w:rFonts w:ascii="Times New Roman" w:hAnsi="Times New Roman" w:cs="Times New Roman"/>
        </w:rPr>
        <w:t>difíciles, teniendo en c</w:t>
      </w:r>
      <w:r>
        <w:rPr>
          <w:rFonts w:ascii="Times New Roman" w:hAnsi="Times New Roman" w:cs="Times New Roman"/>
        </w:rPr>
        <w:t xml:space="preserve">uenta la lentitud con la que se </w:t>
      </w:r>
      <w:r w:rsidRPr="00983007">
        <w:rPr>
          <w:rFonts w:ascii="Times New Roman" w:hAnsi="Times New Roman" w:cs="Times New Roman"/>
        </w:rPr>
        <w:t>normalizarían los viajes in</w:t>
      </w:r>
      <w:r>
        <w:rPr>
          <w:rFonts w:ascii="Times New Roman" w:hAnsi="Times New Roman" w:cs="Times New Roman"/>
        </w:rPr>
        <w:t xml:space="preserve">ternacionales. Las trayectorias </w:t>
      </w:r>
      <w:r w:rsidRPr="00983007">
        <w:rPr>
          <w:rFonts w:ascii="Times New Roman" w:hAnsi="Times New Roman" w:cs="Times New Roman"/>
        </w:rPr>
        <w:t>de recuperación varían s</w:t>
      </w:r>
      <w:r>
        <w:rPr>
          <w:rFonts w:ascii="Times New Roman" w:hAnsi="Times New Roman" w:cs="Times New Roman"/>
        </w:rPr>
        <w:t xml:space="preserve">egún las diferencias regionales </w:t>
      </w:r>
      <w:r w:rsidRPr="00983007">
        <w:rPr>
          <w:rFonts w:ascii="Times New Roman" w:hAnsi="Times New Roman" w:cs="Times New Roman"/>
        </w:rPr>
        <w:t>en términos de la gravedad de la pandemia, la estructura económica (emp</w:t>
      </w:r>
      <w:r>
        <w:rPr>
          <w:rFonts w:ascii="Times New Roman" w:hAnsi="Times New Roman" w:cs="Times New Roman"/>
        </w:rPr>
        <w:t xml:space="preserve">leo y participación de sectores </w:t>
      </w:r>
      <w:r w:rsidRPr="00983007">
        <w:rPr>
          <w:rFonts w:ascii="Times New Roman" w:hAnsi="Times New Roman" w:cs="Times New Roman"/>
        </w:rPr>
        <w:t>con contacto físico inte</w:t>
      </w:r>
      <w:r>
        <w:rPr>
          <w:rFonts w:ascii="Times New Roman" w:hAnsi="Times New Roman" w:cs="Times New Roman"/>
        </w:rPr>
        <w:t xml:space="preserve">nsivo en el PIB), la exposición a shocks específicos y </w:t>
      </w:r>
      <w:r w:rsidRPr="00983007">
        <w:rPr>
          <w:rFonts w:ascii="Times New Roman" w:hAnsi="Times New Roman" w:cs="Times New Roman"/>
        </w:rPr>
        <w:t>la eficacia de las polí</w:t>
      </w:r>
      <w:r>
        <w:rPr>
          <w:rFonts w:ascii="Times New Roman" w:hAnsi="Times New Roman" w:cs="Times New Roman"/>
        </w:rPr>
        <w:t xml:space="preserve">ticas de respuesta destinadas a </w:t>
      </w:r>
      <w:r w:rsidRPr="00983007">
        <w:rPr>
          <w:rFonts w:ascii="Times New Roman" w:hAnsi="Times New Roman" w:cs="Times New Roman"/>
        </w:rPr>
        <w:t>combatir las secuelas de la pandemia</w:t>
      </w:r>
      <w:r>
        <w:rPr>
          <w:rFonts w:ascii="Times New Roman" w:hAnsi="Times New Roman" w:cs="Times New Roman"/>
          <w:color w:val="FF0000"/>
        </w:rPr>
        <w:t>.</w:t>
      </w:r>
    </w:p>
    <w:p w14:paraId="736703D6" w14:textId="77777777" w:rsidR="00322670" w:rsidRDefault="00322670" w:rsidP="00322670">
      <w:pPr>
        <w:spacing w:after="0" w:line="240" w:lineRule="auto"/>
        <w:jc w:val="both"/>
        <w:rPr>
          <w:rFonts w:ascii="Times New Roman" w:hAnsi="Times New Roman" w:cs="Times New Roman"/>
          <w:color w:val="FF000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322670" w14:paraId="0DFE4265" w14:textId="77777777" w:rsidTr="00DE1FBB">
        <w:tc>
          <w:tcPr>
            <w:tcW w:w="8828" w:type="dxa"/>
          </w:tcPr>
          <w:p w14:paraId="520B13AA" w14:textId="30FD26AA" w:rsidR="00322670" w:rsidRPr="00134FDC" w:rsidRDefault="00322670" w:rsidP="00E77673">
            <w:pPr>
              <w:pStyle w:val="Epgrafe"/>
              <w:framePr w:hSpace="141" w:wrap="around" w:vAnchor="text" w:hAnchor="margin" w:y="74"/>
              <w:jc w:val="center"/>
              <w:rPr>
                <w:b/>
                <w:color w:val="FF0000"/>
              </w:rPr>
            </w:pPr>
            <w:bookmarkStart w:id="43" w:name="_Toc71792541"/>
            <w:bookmarkStart w:id="44" w:name="_Toc81573024"/>
            <w:r w:rsidRPr="00CF5EF6">
              <w:rPr>
                <w:rFonts w:ascii="Times New Roman" w:hAnsi="Times New Roman" w:cs="Times New Roman"/>
                <w:b/>
                <w:color w:val="auto"/>
                <w:sz w:val="22"/>
              </w:rPr>
              <w:t xml:space="preserve">Tabla </w:t>
            </w:r>
            <w:r w:rsidR="0091101E" w:rsidRPr="00CF5EF6">
              <w:rPr>
                <w:rFonts w:ascii="Times New Roman" w:hAnsi="Times New Roman" w:cs="Times New Roman"/>
                <w:b/>
                <w:color w:val="auto"/>
                <w:sz w:val="22"/>
              </w:rPr>
              <w:fldChar w:fldCharType="begin"/>
            </w:r>
            <w:r w:rsidR="0091101E" w:rsidRPr="00CF5EF6">
              <w:rPr>
                <w:rFonts w:ascii="Times New Roman" w:hAnsi="Times New Roman" w:cs="Times New Roman"/>
                <w:b/>
                <w:color w:val="auto"/>
                <w:sz w:val="22"/>
              </w:rPr>
              <w:instrText xml:space="preserve"> SEQ Tabla \* ARABIC </w:instrText>
            </w:r>
            <w:r w:rsidR="0091101E" w:rsidRPr="00CF5EF6">
              <w:rPr>
                <w:rFonts w:ascii="Times New Roman" w:hAnsi="Times New Roman" w:cs="Times New Roman"/>
                <w:b/>
                <w:color w:val="auto"/>
                <w:sz w:val="22"/>
              </w:rPr>
              <w:fldChar w:fldCharType="separate"/>
            </w:r>
            <w:r w:rsidR="009E18F8" w:rsidRPr="00CF5EF6">
              <w:rPr>
                <w:rFonts w:ascii="Times New Roman" w:hAnsi="Times New Roman" w:cs="Times New Roman"/>
                <w:b/>
                <w:noProof/>
                <w:color w:val="auto"/>
                <w:sz w:val="22"/>
              </w:rPr>
              <w:t>2</w:t>
            </w:r>
            <w:r w:rsidR="0091101E" w:rsidRPr="00CF5EF6">
              <w:rPr>
                <w:rFonts w:ascii="Times New Roman" w:hAnsi="Times New Roman" w:cs="Times New Roman"/>
                <w:b/>
                <w:color w:val="auto"/>
                <w:sz w:val="22"/>
              </w:rPr>
              <w:fldChar w:fldCharType="end"/>
            </w:r>
            <w:r w:rsidRPr="00CF5EF6">
              <w:rPr>
                <w:rFonts w:ascii="Times New Roman" w:hAnsi="Times New Roman" w:cs="Times New Roman"/>
                <w:b/>
                <w:color w:val="auto"/>
                <w:sz w:val="22"/>
              </w:rPr>
              <w:t xml:space="preserve"> Proyecciones de crecimiento económico</w:t>
            </w:r>
            <w:bookmarkEnd w:id="43"/>
            <w:bookmarkEnd w:id="44"/>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322670" w14:paraId="263D900B" w14:textId="77777777" w:rsidTr="00DE1FBB">
        <w:tc>
          <w:tcPr>
            <w:tcW w:w="8828" w:type="dxa"/>
          </w:tcPr>
          <w:tbl>
            <w:tblPr>
              <w:tblW w:w="5949" w:type="dxa"/>
              <w:jc w:val="center"/>
              <w:tblCellMar>
                <w:left w:w="70" w:type="dxa"/>
                <w:right w:w="70" w:type="dxa"/>
              </w:tblCellMar>
              <w:tblLook w:val="04A0" w:firstRow="1" w:lastRow="0" w:firstColumn="1" w:lastColumn="0" w:noHBand="0" w:noVBand="1"/>
            </w:tblPr>
            <w:tblGrid>
              <w:gridCol w:w="3383"/>
              <w:gridCol w:w="1148"/>
              <w:gridCol w:w="709"/>
              <w:gridCol w:w="709"/>
            </w:tblGrid>
            <w:tr w:rsidR="00322670" w:rsidRPr="009D76D9" w14:paraId="099028D0" w14:textId="77777777" w:rsidTr="00DE1FBB">
              <w:trPr>
                <w:trHeight w:val="555"/>
                <w:jc w:val="center"/>
              </w:trPr>
              <w:tc>
                <w:tcPr>
                  <w:tcW w:w="3383" w:type="dxa"/>
                  <w:tcBorders>
                    <w:top w:val="single" w:sz="4" w:space="0" w:color="auto"/>
                    <w:left w:val="single" w:sz="4" w:space="0" w:color="auto"/>
                    <w:bottom w:val="single" w:sz="4" w:space="0" w:color="auto"/>
                    <w:right w:val="nil"/>
                  </w:tcBorders>
                  <w:shd w:val="clear" w:color="000000" w:fill="4472C4"/>
                  <w:noWrap/>
                  <w:vAlign w:val="center"/>
                  <w:hideMark/>
                </w:tcPr>
                <w:p w14:paraId="6E45C3CD" w14:textId="77777777" w:rsidR="00322670" w:rsidRPr="009D76D9" w:rsidRDefault="00322670" w:rsidP="00DE1FBB">
                  <w:pPr>
                    <w:spacing w:after="0" w:line="240" w:lineRule="auto"/>
                    <w:jc w:val="center"/>
                    <w:rPr>
                      <w:rFonts w:ascii="Times New Roman" w:eastAsia="Times New Roman" w:hAnsi="Times New Roman" w:cs="Times New Roman"/>
                      <w:b/>
                      <w:bCs/>
                      <w:color w:val="FFFFFF"/>
                      <w:sz w:val="16"/>
                      <w:szCs w:val="16"/>
                      <w:lang w:eastAsia="es-GT"/>
                    </w:rPr>
                  </w:pPr>
                  <w:r w:rsidRPr="009D76D9">
                    <w:rPr>
                      <w:rFonts w:ascii="Times New Roman" w:eastAsia="Times New Roman" w:hAnsi="Times New Roman" w:cs="Times New Roman"/>
                      <w:b/>
                      <w:bCs/>
                      <w:color w:val="FFFFFF"/>
                      <w:sz w:val="16"/>
                      <w:szCs w:val="16"/>
                      <w:lang w:eastAsia="es-GT"/>
                    </w:rPr>
                    <w:t>País o región</w:t>
                  </w:r>
                </w:p>
              </w:tc>
              <w:tc>
                <w:tcPr>
                  <w:tcW w:w="1148" w:type="dxa"/>
                  <w:tcBorders>
                    <w:top w:val="single" w:sz="4" w:space="0" w:color="auto"/>
                    <w:left w:val="nil"/>
                    <w:bottom w:val="single" w:sz="4" w:space="0" w:color="auto"/>
                    <w:right w:val="nil"/>
                  </w:tcBorders>
                  <w:shd w:val="clear" w:color="000000" w:fill="4472C4"/>
                  <w:noWrap/>
                  <w:vAlign w:val="center"/>
                  <w:hideMark/>
                </w:tcPr>
                <w:p w14:paraId="057588A3" w14:textId="77777777" w:rsidR="00322670" w:rsidRPr="009D76D9" w:rsidRDefault="00322670" w:rsidP="00DE1FBB">
                  <w:pPr>
                    <w:spacing w:after="0" w:line="240" w:lineRule="auto"/>
                    <w:jc w:val="center"/>
                    <w:rPr>
                      <w:rFonts w:ascii="Times New Roman" w:eastAsia="Times New Roman" w:hAnsi="Times New Roman" w:cs="Times New Roman"/>
                      <w:b/>
                      <w:bCs/>
                      <w:color w:val="FFFFFF"/>
                      <w:sz w:val="16"/>
                      <w:szCs w:val="16"/>
                      <w:lang w:eastAsia="es-GT"/>
                    </w:rPr>
                  </w:pPr>
                  <w:r w:rsidRPr="009D76D9">
                    <w:rPr>
                      <w:rFonts w:ascii="Times New Roman" w:eastAsia="Times New Roman" w:hAnsi="Times New Roman" w:cs="Times New Roman"/>
                      <w:b/>
                      <w:bCs/>
                      <w:color w:val="FFFFFF"/>
                      <w:sz w:val="16"/>
                      <w:szCs w:val="16"/>
                      <w:lang w:eastAsia="es-GT"/>
                    </w:rPr>
                    <w:t>2019</w:t>
                  </w:r>
                </w:p>
              </w:tc>
              <w:tc>
                <w:tcPr>
                  <w:tcW w:w="709" w:type="dxa"/>
                  <w:tcBorders>
                    <w:top w:val="single" w:sz="4" w:space="0" w:color="auto"/>
                    <w:left w:val="nil"/>
                    <w:bottom w:val="single" w:sz="4" w:space="0" w:color="auto"/>
                    <w:right w:val="single" w:sz="4" w:space="0" w:color="auto"/>
                  </w:tcBorders>
                  <w:shd w:val="clear" w:color="000000" w:fill="4472C4"/>
                  <w:noWrap/>
                  <w:vAlign w:val="center"/>
                  <w:hideMark/>
                </w:tcPr>
                <w:p w14:paraId="09077DC1" w14:textId="77777777" w:rsidR="00322670" w:rsidRPr="009D76D9" w:rsidRDefault="00322670" w:rsidP="00DE1FBB">
                  <w:pPr>
                    <w:spacing w:after="0" w:line="240" w:lineRule="auto"/>
                    <w:jc w:val="center"/>
                    <w:rPr>
                      <w:rFonts w:ascii="Times New Roman" w:eastAsia="Times New Roman" w:hAnsi="Times New Roman" w:cs="Times New Roman"/>
                      <w:b/>
                      <w:bCs/>
                      <w:color w:val="FFFFFF"/>
                      <w:sz w:val="16"/>
                      <w:szCs w:val="16"/>
                      <w:lang w:eastAsia="es-GT"/>
                    </w:rPr>
                  </w:pPr>
                  <w:r w:rsidRPr="009D76D9">
                    <w:rPr>
                      <w:rFonts w:ascii="Times New Roman" w:eastAsia="Times New Roman" w:hAnsi="Times New Roman" w:cs="Times New Roman"/>
                      <w:b/>
                      <w:bCs/>
                      <w:color w:val="FFFFFF"/>
                      <w:sz w:val="16"/>
                      <w:szCs w:val="16"/>
                      <w:lang w:eastAsia="es-GT"/>
                    </w:rPr>
                    <w:t>2020</w:t>
                  </w:r>
                </w:p>
              </w:tc>
              <w:tc>
                <w:tcPr>
                  <w:tcW w:w="709" w:type="dxa"/>
                  <w:tcBorders>
                    <w:top w:val="single" w:sz="4" w:space="0" w:color="auto"/>
                    <w:left w:val="nil"/>
                    <w:bottom w:val="single" w:sz="4" w:space="0" w:color="auto"/>
                    <w:right w:val="single" w:sz="4" w:space="0" w:color="auto"/>
                  </w:tcBorders>
                  <w:shd w:val="clear" w:color="000000" w:fill="4472C4"/>
                  <w:noWrap/>
                  <w:vAlign w:val="center"/>
                  <w:hideMark/>
                </w:tcPr>
                <w:p w14:paraId="7F7012DA" w14:textId="77777777" w:rsidR="00322670" w:rsidRPr="009D76D9" w:rsidRDefault="00322670" w:rsidP="00DE1FBB">
                  <w:pPr>
                    <w:spacing w:after="0" w:line="240" w:lineRule="auto"/>
                    <w:jc w:val="center"/>
                    <w:rPr>
                      <w:rFonts w:ascii="Times New Roman" w:eastAsia="Times New Roman" w:hAnsi="Times New Roman" w:cs="Times New Roman"/>
                      <w:b/>
                      <w:bCs/>
                      <w:color w:val="FFFFFF"/>
                      <w:sz w:val="16"/>
                      <w:szCs w:val="16"/>
                      <w:lang w:eastAsia="es-GT"/>
                    </w:rPr>
                  </w:pPr>
                  <w:r w:rsidRPr="009D76D9">
                    <w:rPr>
                      <w:rFonts w:ascii="Times New Roman" w:eastAsia="Times New Roman" w:hAnsi="Times New Roman" w:cs="Times New Roman"/>
                      <w:b/>
                      <w:bCs/>
                      <w:color w:val="FFFFFF"/>
                      <w:sz w:val="16"/>
                      <w:szCs w:val="16"/>
                      <w:lang w:eastAsia="es-GT"/>
                    </w:rPr>
                    <w:t>2021</w:t>
                  </w:r>
                </w:p>
              </w:tc>
            </w:tr>
            <w:tr w:rsidR="00322670" w:rsidRPr="009D76D9" w14:paraId="307A0F4E" w14:textId="77777777" w:rsidTr="00DE1FBB">
              <w:trPr>
                <w:trHeight w:val="123"/>
                <w:jc w:val="center"/>
              </w:trPr>
              <w:tc>
                <w:tcPr>
                  <w:tcW w:w="3383" w:type="dxa"/>
                  <w:tcBorders>
                    <w:top w:val="nil"/>
                    <w:left w:val="single" w:sz="4" w:space="0" w:color="auto"/>
                    <w:bottom w:val="nil"/>
                    <w:right w:val="nil"/>
                  </w:tcBorders>
                  <w:shd w:val="clear" w:color="000000" w:fill="D9D9D9"/>
                  <w:noWrap/>
                  <w:vAlign w:val="bottom"/>
                  <w:hideMark/>
                </w:tcPr>
                <w:p w14:paraId="7A7A7186" w14:textId="77777777" w:rsidR="00322670" w:rsidRPr="009D76D9" w:rsidRDefault="00322670" w:rsidP="00DE1FBB">
                  <w:pPr>
                    <w:spacing w:after="0" w:line="240" w:lineRule="auto"/>
                    <w:rPr>
                      <w:rFonts w:ascii="Times New Roman" w:eastAsia="Times New Roman" w:hAnsi="Times New Roman" w:cs="Times New Roman"/>
                      <w:b/>
                      <w:bCs/>
                      <w:color w:val="000000"/>
                      <w:sz w:val="16"/>
                      <w:szCs w:val="16"/>
                      <w:lang w:eastAsia="es-GT"/>
                    </w:rPr>
                  </w:pPr>
                  <w:r w:rsidRPr="009D76D9">
                    <w:rPr>
                      <w:rFonts w:ascii="Times New Roman" w:eastAsia="Times New Roman" w:hAnsi="Times New Roman" w:cs="Times New Roman"/>
                      <w:b/>
                      <w:bCs/>
                      <w:color w:val="000000"/>
                      <w:sz w:val="16"/>
                      <w:szCs w:val="16"/>
                      <w:lang w:eastAsia="es-GT"/>
                    </w:rPr>
                    <w:t>Producto mundial</w:t>
                  </w:r>
                </w:p>
              </w:tc>
              <w:tc>
                <w:tcPr>
                  <w:tcW w:w="1148" w:type="dxa"/>
                  <w:tcBorders>
                    <w:top w:val="nil"/>
                    <w:left w:val="nil"/>
                    <w:bottom w:val="nil"/>
                    <w:right w:val="nil"/>
                  </w:tcBorders>
                  <w:shd w:val="clear" w:color="000000" w:fill="D9D9D9"/>
                  <w:noWrap/>
                  <w:vAlign w:val="center"/>
                  <w:hideMark/>
                </w:tcPr>
                <w:p w14:paraId="46622A33" w14:textId="77777777" w:rsidR="00322670" w:rsidRPr="009D76D9" w:rsidRDefault="00322670" w:rsidP="00DE1FBB">
                  <w:pPr>
                    <w:spacing w:after="0" w:line="240" w:lineRule="auto"/>
                    <w:jc w:val="center"/>
                    <w:rPr>
                      <w:rFonts w:ascii="Times New Roman" w:eastAsia="Times New Roman" w:hAnsi="Times New Roman" w:cs="Times New Roman"/>
                      <w:b/>
                      <w:bCs/>
                      <w:color w:val="000000"/>
                      <w:sz w:val="16"/>
                      <w:szCs w:val="16"/>
                      <w:lang w:eastAsia="es-GT"/>
                    </w:rPr>
                  </w:pPr>
                  <w:r w:rsidRPr="009D76D9">
                    <w:rPr>
                      <w:rFonts w:ascii="Times New Roman" w:eastAsia="Times New Roman" w:hAnsi="Times New Roman" w:cs="Times New Roman"/>
                      <w:b/>
                      <w:bCs/>
                      <w:color w:val="000000"/>
                      <w:sz w:val="16"/>
                      <w:szCs w:val="16"/>
                      <w:lang w:eastAsia="es-GT"/>
                    </w:rPr>
                    <w:t>2.9</w:t>
                  </w:r>
                </w:p>
              </w:tc>
              <w:tc>
                <w:tcPr>
                  <w:tcW w:w="709" w:type="dxa"/>
                  <w:tcBorders>
                    <w:top w:val="nil"/>
                    <w:left w:val="nil"/>
                    <w:bottom w:val="nil"/>
                    <w:right w:val="single" w:sz="4" w:space="0" w:color="auto"/>
                  </w:tcBorders>
                  <w:shd w:val="clear" w:color="000000" w:fill="D9D9D9"/>
                  <w:noWrap/>
                  <w:vAlign w:val="center"/>
                  <w:hideMark/>
                </w:tcPr>
                <w:p w14:paraId="3EF9BE92" w14:textId="77777777" w:rsidR="00322670" w:rsidRPr="009D76D9" w:rsidRDefault="00322670" w:rsidP="00DE1FBB">
                  <w:pPr>
                    <w:spacing w:after="0" w:line="240" w:lineRule="auto"/>
                    <w:jc w:val="center"/>
                    <w:rPr>
                      <w:rFonts w:ascii="Times New Roman" w:eastAsia="Times New Roman" w:hAnsi="Times New Roman" w:cs="Times New Roman"/>
                      <w:b/>
                      <w:bCs/>
                      <w:color w:val="000000"/>
                      <w:sz w:val="16"/>
                      <w:szCs w:val="16"/>
                      <w:lang w:eastAsia="es-GT"/>
                    </w:rPr>
                  </w:pPr>
                  <w:r w:rsidRPr="009D76D9">
                    <w:rPr>
                      <w:rFonts w:ascii="Times New Roman" w:eastAsia="Times New Roman" w:hAnsi="Times New Roman" w:cs="Times New Roman"/>
                      <w:b/>
                      <w:bCs/>
                      <w:color w:val="000000"/>
                      <w:sz w:val="16"/>
                      <w:szCs w:val="16"/>
                      <w:lang w:eastAsia="es-GT"/>
                    </w:rPr>
                    <w:t>-3.3</w:t>
                  </w:r>
                </w:p>
              </w:tc>
              <w:tc>
                <w:tcPr>
                  <w:tcW w:w="709" w:type="dxa"/>
                  <w:tcBorders>
                    <w:top w:val="nil"/>
                    <w:left w:val="nil"/>
                    <w:bottom w:val="nil"/>
                    <w:right w:val="single" w:sz="4" w:space="0" w:color="auto"/>
                  </w:tcBorders>
                  <w:shd w:val="clear" w:color="000000" w:fill="D9D9D9"/>
                  <w:noWrap/>
                  <w:vAlign w:val="center"/>
                  <w:hideMark/>
                </w:tcPr>
                <w:p w14:paraId="0E10AAED" w14:textId="77777777" w:rsidR="00322670" w:rsidRPr="009D76D9" w:rsidRDefault="00322670" w:rsidP="00DE1FBB">
                  <w:pPr>
                    <w:spacing w:after="0" w:line="240" w:lineRule="auto"/>
                    <w:jc w:val="center"/>
                    <w:rPr>
                      <w:rFonts w:ascii="Times New Roman" w:eastAsia="Times New Roman" w:hAnsi="Times New Roman" w:cs="Times New Roman"/>
                      <w:b/>
                      <w:bCs/>
                      <w:color w:val="000000"/>
                      <w:sz w:val="16"/>
                      <w:szCs w:val="16"/>
                      <w:lang w:eastAsia="es-GT"/>
                    </w:rPr>
                  </w:pPr>
                  <w:r w:rsidRPr="009D76D9">
                    <w:rPr>
                      <w:rFonts w:ascii="Times New Roman" w:eastAsia="Times New Roman" w:hAnsi="Times New Roman" w:cs="Times New Roman"/>
                      <w:b/>
                      <w:bCs/>
                      <w:color w:val="000000"/>
                      <w:sz w:val="16"/>
                      <w:szCs w:val="16"/>
                      <w:lang w:eastAsia="es-GT"/>
                    </w:rPr>
                    <w:t>6.0</w:t>
                  </w:r>
                </w:p>
              </w:tc>
            </w:tr>
            <w:tr w:rsidR="00322670" w:rsidRPr="009D76D9" w14:paraId="4A5780B4" w14:textId="77777777" w:rsidTr="00DE1FBB">
              <w:trPr>
                <w:trHeight w:val="79"/>
                <w:jc w:val="center"/>
              </w:trPr>
              <w:tc>
                <w:tcPr>
                  <w:tcW w:w="3383" w:type="dxa"/>
                  <w:tcBorders>
                    <w:top w:val="nil"/>
                    <w:left w:val="single" w:sz="4" w:space="0" w:color="auto"/>
                    <w:bottom w:val="nil"/>
                    <w:right w:val="nil"/>
                  </w:tcBorders>
                  <w:shd w:val="clear" w:color="auto" w:fill="auto"/>
                  <w:noWrap/>
                  <w:vAlign w:val="bottom"/>
                  <w:hideMark/>
                </w:tcPr>
                <w:p w14:paraId="55A9E892" w14:textId="77777777" w:rsidR="00322670" w:rsidRPr="009D76D9" w:rsidRDefault="00322670" w:rsidP="00B45C33">
                  <w:pPr>
                    <w:spacing w:after="0" w:line="240" w:lineRule="auto"/>
                    <w:ind w:firstLineChars="100" w:firstLine="161"/>
                    <w:rPr>
                      <w:rFonts w:ascii="Times New Roman" w:eastAsia="Times New Roman" w:hAnsi="Times New Roman" w:cs="Times New Roman"/>
                      <w:b/>
                      <w:bCs/>
                      <w:color w:val="000000"/>
                      <w:sz w:val="16"/>
                      <w:szCs w:val="16"/>
                      <w:lang w:eastAsia="es-GT"/>
                    </w:rPr>
                  </w:pPr>
                  <w:r w:rsidRPr="009D76D9">
                    <w:rPr>
                      <w:rFonts w:ascii="Times New Roman" w:eastAsia="Times New Roman" w:hAnsi="Times New Roman" w:cs="Times New Roman"/>
                      <w:b/>
                      <w:bCs/>
                      <w:color w:val="000000"/>
                      <w:sz w:val="16"/>
                      <w:szCs w:val="16"/>
                      <w:lang w:eastAsia="es-GT"/>
                    </w:rPr>
                    <w:t>Economías avanzadas</w:t>
                  </w:r>
                </w:p>
              </w:tc>
              <w:tc>
                <w:tcPr>
                  <w:tcW w:w="1148" w:type="dxa"/>
                  <w:tcBorders>
                    <w:top w:val="nil"/>
                    <w:left w:val="nil"/>
                    <w:bottom w:val="nil"/>
                    <w:right w:val="nil"/>
                  </w:tcBorders>
                  <w:shd w:val="clear" w:color="auto" w:fill="auto"/>
                  <w:noWrap/>
                  <w:vAlign w:val="center"/>
                  <w:hideMark/>
                </w:tcPr>
                <w:p w14:paraId="724BFC95" w14:textId="77777777" w:rsidR="00322670" w:rsidRPr="009D76D9" w:rsidRDefault="00322670" w:rsidP="00DE1FBB">
                  <w:pPr>
                    <w:spacing w:after="0" w:line="240" w:lineRule="auto"/>
                    <w:jc w:val="center"/>
                    <w:rPr>
                      <w:rFonts w:ascii="Times New Roman" w:eastAsia="Times New Roman" w:hAnsi="Times New Roman" w:cs="Times New Roman"/>
                      <w:b/>
                      <w:bCs/>
                      <w:color w:val="000000"/>
                      <w:sz w:val="16"/>
                      <w:szCs w:val="16"/>
                      <w:lang w:eastAsia="es-GT"/>
                    </w:rPr>
                  </w:pPr>
                  <w:r w:rsidRPr="009D76D9">
                    <w:rPr>
                      <w:rFonts w:ascii="Times New Roman" w:eastAsia="Times New Roman" w:hAnsi="Times New Roman" w:cs="Times New Roman"/>
                      <w:b/>
                      <w:bCs/>
                      <w:color w:val="000000"/>
                      <w:sz w:val="16"/>
                      <w:szCs w:val="16"/>
                      <w:lang w:eastAsia="es-GT"/>
                    </w:rPr>
                    <w:t>1.7</w:t>
                  </w:r>
                </w:p>
              </w:tc>
              <w:tc>
                <w:tcPr>
                  <w:tcW w:w="709" w:type="dxa"/>
                  <w:tcBorders>
                    <w:top w:val="nil"/>
                    <w:left w:val="nil"/>
                    <w:bottom w:val="nil"/>
                    <w:right w:val="single" w:sz="4" w:space="0" w:color="auto"/>
                  </w:tcBorders>
                  <w:shd w:val="clear" w:color="auto" w:fill="auto"/>
                  <w:noWrap/>
                  <w:vAlign w:val="center"/>
                  <w:hideMark/>
                </w:tcPr>
                <w:p w14:paraId="6825CE45" w14:textId="77777777" w:rsidR="00322670" w:rsidRPr="009D76D9" w:rsidRDefault="00322670" w:rsidP="00DE1FBB">
                  <w:pPr>
                    <w:spacing w:after="0" w:line="240" w:lineRule="auto"/>
                    <w:jc w:val="center"/>
                    <w:rPr>
                      <w:rFonts w:ascii="Times New Roman" w:eastAsia="Times New Roman" w:hAnsi="Times New Roman" w:cs="Times New Roman"/>
                      <w:b/>
                      <w:bCs/>
                      <w:color w:val="000000"/>
                      <w:sz w:val="16"/>
                      <w:szCs w:val="16"/>
                      <w:lang w:eastAsia="es-GT"/>
                    </w:rPr>
                  </w:pPr>
                  <w:r w:rsidRPr="009D76D9">
                    <w:rPr>
                      <w:rFonts w:ascii="Times New Roman" w:eastAsia="Times New Roman" w:hAnsi="Times New Roman" w:cs="Times New Roman"/>
                      <w:b/>
                      <w:bCs/>
                      <w:color w:val="000000"/>
                      <w:sz w:val="16"/>
                      <w:szCs w:val="16"/>
                      <w:lang w:eastAsia="es-GT"/>
                    </w:rPr>
                    <w:t>-4.7</w:t>
                  </w:r>
                </w:p>
              </w:tc>
              <w:tc>
                <w:tcPr>
                  <w:tcW w:w="709" w:type="dxa"/>
                  <w:tcBorders>
                    <w:top w:val="nil"/>
                    <w:left w:val="nil"/>
                    <w:bottom w:val="nil"/>
                    <w:right w:val="single" w:sz="4" w:space="0" w:color="auto"/>
                  </w:tcBorders>
                  <w:shd w:val="clear" w:color="auto" w:fill="auto"/>
                  <w:noWrap/>
                  <w:vAlign w:val="center"/>
                  <w:hideMark/>
                </w:tcPr>
                <w:p w14:paraId="0D672DDF" w14:textId="77777777" w:rsidR="00322670" w:rsidRPr="009D76D9" w:rsidRDefault="00322670" w:rsidP="00DE1FBB">
                  <w:pPr>
                    <w:spacing w:after="0" w:line="240" w:lineRule="auto"/>
                    <w:jc w:val="center"/>
                    <w:rPr>
                      <w:rFonts w:ascii="Times New Roman" w:eastAsia="Times New Roman" w:hAnsi="Times New Roman" w:cs="Times New Roman"/>
                      <w:b/>
                      <w:bCs/>
                      <w:color w:val="000000"/>
                      <w:sz w:val="16"/>
                      <w:szCs w:val="16"/>
                      <w:lang w:eastAsia="es-GT"/>
                    </w:rPr>
                  </w:pPr>
                  <w:r w:rsidRPr="009D76D9">
                    <w:rPr>
                      <w:rFonts w:ascii="Times New Roman" w:eastAsia="Times New Roman" w:hAnsi="Times New Roman" w:cs="Times New Roman"/>
                      <w:b/>
                      <w:bCs/>
                      <w:color w:val="000000"/>
                      <w:sz w:val="16"/>
                      <w:szCs w:val="16"/>
                      <w:lang w:eastAsia="es-GT"/>
                    </w:rPr>
                    <w:t>5.1</w:t>
                  </w:r>
                </w:p>
              </w:tc>
            </w:tr>
            <w:tr w:rsidR="00322670" w:rsidRPr="009D76D9" w14:paraId="292D8539" w14:textId="77777777" w:rsidTr="00DE1FBB">
              <w:trPr>
                <w:trHeight w:val="182"/>
                <w:jc w:val="center"/>
              </w:trPr>
              <w:tc>
                <w:tcPr>
                  <w:tcW w:w="3383" w:type="dxa"/>
                  <w:tcBorders>
                    <w:top w:val="nil"/>
                    <w:left w:val="single" w:sz="4" w:space="0" w:color="auto"/>
                    <w:bottom w:val="nil"/>
                    <w:right w:val="nil"/>
                  </w:tcBorders>
                  <w:shd w:val="clear" w:color="auto" w:fill="auto"/>
                  <w:noWrap/>
                  <w:vAlign w:val="bottom"/>
                  <w:hideMark/>
                </w:tcPr>
                <w:p w14:paraId="19F1582D" w14:textId="77777777" w:rsidR="00322670" w:rsidRPr="009D76D9" w:rsidRDefault="00322670" w:rsidP="00DE1FBB">
                  <w:pPr>
                    <w:spacing w:after="0" w:line="240" w:lineRule="auto"/>
                    <w:ind w:firstLineChars="100" w:firstLine="16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Estados Unidos</w:t>
                  </w:r>
                </w:p>
              </w:tc>
              <w:tc>
                <w:tcPr>
                  <w:tcW w:w="1148" w:type="dxa"/>
                  <w:tcBorders>
                    <w:top w:val="nil"/>
                    <w:left w:val="nil"/>
                    <w:bottom w:val="nil"/>
                    <w:right w:val="nil"/>
                  </w:tcBorders>
                  <w:shd w:val="clear" w:color="auto" w:fill="auto"/>
                  <w:noWrap/>
                  <w:vAlign w:val="center"/>
                  <w:hideMark/>
                </w:tcPr>
                <w:p w14:paraId="5AD08792"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2.3</w:t>
                  </w:r>
                </w:p>
              </w:tc>
              <w:tc>
                <w:tcPr>
                  <w:tcW w:w="709" w:type="dxa"/>
                  <w:tcBorders>
                    <w:top w:val="nil"/>
                    <w:left w:val="nil"/>
                    <w:bottom w:val="nil"/>
                    <w:right w:val="single" w:sz="4" w:space="0" w:color="auto"/>
                  </w:tcBorders>
                  <w:shd w:val="clear" w:color="auto" w:fill="auto"/>
                  <w:noWrap/>
                  <w:vAlign w:val="center"/>
                  <w:hideMark/>
                </w:tcPr>
                <w:p w14:paraId="0CEDC1FC"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-3.5</w:t>
                  </w:r>
                </w:p>
              </w:tc>
              <w:tc>
                <w:tcPr>
                  <w:tcW w:w="709" w:type="dxa"/>
                  <w:tcBorders>
                    <w:top w:val="nil"/>
                    <w:left w:val="nil"/>
                    <w:bottom w:val="nil"/>
                    <w:right w:val="single" w:sz="4" w:space="0" w:color="auto"/>
                  </w:tcBorders>
                  <w:shd w:val="clear" w:color="auto" w:fill="auto"/>
                  <w:noWrap/>
                  <w:vAlign w:val="center"/>
                  <w:hideMark/>
                </w:tcPr>
                <w:p w14:paraId="1837A123"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6.4</w:t>
                  </w:r>
                </w:p>
              </w:tc>
            </w:tr>
            <w:tr w:rsidR="00322670" w:rsidRPr="009D76D9" w14:paraId="03D2B7DE" w14:textId="77777777" w:rsidTr="00DE1FBB">
              <w:trPr>
                <w:trHeight w:val="141"/>
                <w:jc w:val="center"/>
              </w:trPr>
              <w:tc>
                <w:tcPr>
                  <w:tcW w:w="3383" w:type="dxa"/>
                  <w:tcBorders>
                    <w:top w:val="nil"/>
                    <w:left w:val="single" w:sz="4" w:space="0" w:color="auto"/>
                    <w:bottom w:val="nil"/>
                    <w:right w:val="nil"/>
                  </w:tcBorders>
                  <w:shd w:val="clear" w:color="auto" w:fill="auto"/>
                  <w:noWrap/>
                  <w:vAlign w:val="bottom"/>
                  <w:hideMark/>
                </w:tcPr>
                <w:p w14:paraId="525C9673" w14:textId="77777777" w:rsidR="00322670" w:rsidRPr="009D76D9" w:rsidRDefault="00322670" w:rsidP="00DE1FBB">
                  <w:pPr>
                    <w:spacing w:after="0" w:line="240" w:lineRule="auto"/>
                    <w:ind w:firstLineChars="100" w:firstLine="16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Zona del euro</w:t>
                  </w:r>
                </w:p>
              </w:tc>
              <w:tc>
                <w:tcPr>
                  <w:tcW w:w="1148" w:type="dxa"/>
                  <w:tcBorders>
                    <w:top w:val="nil"/>
                    <w:left w:val="nil"/>
                    <w:bottom w:val="nil"/>
                    <w:right w:val="nil"/>
                  </w:tcBorders>
                  <w:shd w:val="clear" w:color="auto" w:fill="auto"/>
                  <w:noWrap/>
                  <w:vAlign w:val="center"/>
                  <w:hideMark/>
                </w:tcPr>
                <w:p w14:paraId="4504A334"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1.2</w:t>
                  </w:r>
                </w:p>
              </w:tc>
              <w:tc>
                <w:tcPr>
                  <w:tcW w:w="709" w:type="dxa"/>
                  <w:tcBorders>
                    <w:top w:val="nil"/>
                    <w:left w:val="nil"/>
                    <w:bottom w:val="nil"/>
                    <w:right w:val="single" w:sz="4" w:space="0" w:color="auto"/>
                  </w:tcBorders>
                  <w:shd w:val="clear" w:color="auto" w:fill="auto"/>
                  <w:noWrap/>
                  <w:vAlign w:val="center"/>
                  <w:hideMark/>
                </w:tcPr>
                <w:p w14:paraId="5DF5CB2B"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-6.6</w:t>
                  </w:r>
                </w:p>
              </w:tc>
              <w:tc>
                <w:tcPr>
                  <w:tcW w:w="709" w:type="dxa"/>
                  <w:tcBorders>
                    <w:top w:val="nil"/>
                    <w:left w:val="nil"/>
                    <w:bottom w:val="nil"/>
                    <w:right w:val="single" w:sz="4" w:space="0" w:color="auto"/>
                  </w:tcBorders>
                  <w:shd w:val="clear" w:color="auto" w:fill="auto"/>
                  <w:noWrap/>
                  <w:vAlign w:val="center"/>
                  <w:hideMark/>
                </w:tcPr>
                <w:p w14:paraId="39802330"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4.4</w:t>
                  </w:r>
                </w:p>
              </w:tc>
            </w:tr>
            <w:tr w:rsidR="00322670" w:rsidRPr="009D76D9" w14:paraId="71E1A0BD" w14:textId="77777777" w:rsidTr="00DE1FBB">
              <w:trPr>
                <w:trHeight w:val="101"/>
                <w:jc w:val="center"/>
              </w:trPr>
              <w:tc>
                <w:tcPr>
                  <w:tcW w:w="3383" w:type="dxa"/>
                  <w:tcBorders>
                    <w:top w:val="nil"/>
                    <w:left w:val="single" w:sz="4" w:space="0" w:color="auto"/>
                    <w:bottom w:val="nil"/>
                    <w:right w:val="nil"/>
                  </w:tcBorders>
                  <w:shd w:val="clear" w:color="auto" w:fill="auto"/>
                  <w:noWrap/>
                  <w:vAlign w:val="bottom"/>
                  <w:hideMark/>
                </w:tcPr>
                <w:p w14:paraId="45E46171" w14:textId="77777777" w:rsidR="00322670" w:rsidRPr="009D76D9" w:rsidRDefault="00322670" w:rsidP="00DE1FBB">
                  <w:pPr>
                    <w:spacing w:after="0" w:line="240" w:lineRule="auto"/>
                    <w:ind w:firstLineChars="200" w:firstLine="32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Alemania</w:t>
                  </w:r>
                </w:p>
              </w:tc>
              <w:tc>
                <w:tcPr>
                  <w:tcW w:w="1148" w:type="dxa"/>
                  <w:tcBorders>
                    <w:top w:val="nil"/>
                    <w:left w:val="nil"/>
                    <w:bottom w:val="nil"/>
                    <w:right w:val="nil"/>
                  </w:tcBorders>
                  <w:shd w:val="clear" w:color="auto" w:fill="auto"/>
                  <w:noWrap/>
                  <w:vAlign w:val="center"/>
                  <w:hideMark/>
                </w:tcPr>
                <w:p w14:paraId="657B02D1"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0.5</w:t>
                  </w:r>
                </w:p>
              </w:tc>
              <w:tc>
                <w:tcPr>
                  <w:tcW w:w="709" w:type="dxa"/>
                  <w:tcBorders>
                    <w:top w:val="nil"/>
                    <w:left w:val="nil"/>
                    <w:bottom w:val="nil"/>
                    <w:right w:val="single" w:sz="4" w:space="0" w:color="auto"/>
                  </w:tcBorders>
                  <w:shd w:val="clear" w:color="auto" w:fill="auto"/>
                  <w:noWrap/>
                  <w:vAlign w:val="center"/>
                  <w:hideMark/>
                </w:tcPr>
                <w:p w14:paraId="3B27F2CE"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-4.9</w:t>
                  </w:r>
                </w:p>
              </w:tc>
              <w:tc>
                <w:tcPr>
                  <w:tcW w:w="709" w:type="dxa"/>
                  <w:tcBorders>
                    <w:top w:val="nil"/>
                    <w:left w:val="nil"/>
                    <w:bottom w:val="nil"/>
                    <w:right w:val="single" w:sz="4" w:space="0" w:color="auto"/>
                  </w:tcBorders>
                  <w:shd w:val="clear" w:color="auto" w:fill="auto"/>
                  <w:noWrap/>
                  <w:vAlign w:val="center"/>
                  <w:hideMark/>
                </w:tcPr>
                <w:p w14:paraId="069A8B60"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3.6</w:t>
                  </w:r>
                </w:p>
              </w:tc>
            </w:tr>
            <w:tr w:rsidR="00322670" w:rsidRPr="009D76D9" w14:paraId="43A6F545" w14:textId="77777777" w:rsidTr="00DE1FBB">
              <w:trPr>
                <w:trHeight w:val="70"/>
                <w:jc w:val="center"/>
              </w:trPr>
              <w:tc>
                <w:tcPr>
                  <w:tcW w:w="3383" w:type="dxa"/>
                  <w:tcBorders>
                    <w:top w:val="nil"/>
                    <w:left w:val="single" w:sz="4" w:space="0" w:color="auto"/>
                    <w:bottom w:val="nil"/>
                    <w:right w:val="nil"/>
                  </w:tcBorders>
                  <w:shd w:val="clear" w:color="auto" w:fill="auto"/>
                  <w:noWrap/>
                  <w:vAlign w:val="bottom"/>
                  <w:hideMark/>
                </w:tcPr>
                <w:p w14:paraId="77E05BB5" w14:textId="77777777" w:rsidR="00322670" w:rsidRPr="009D76D9" w:rsidRDefault="00322670" w:rsidP="00DE1FBB">
                  <w:pPr>
                    <w:spacing w:after="0" w:line="240" w:lineRule="auto"/>
                    <w:ind w:firstLineChars="200" w:firstLine="32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Francia</w:t>
                  </w:r>
                </w:p>
              </w:tc>
              <w:tc>
                <w:tcPr>
                  <w:tcW w:w="1148" w:type="dxa"/>
                  <w:tcBorders>
                    <w:top w:val="nil"/>
                    <w:left w:val="nil"/>
                    <w:bottom w:val="nil"/>
                    <w:right w:val="nil"/>
                  </w:tcBorders>
                  <w:shd w:val="clear" w:color="auto" w:fill="auto"/>
                  <w:noWrap/>
                  <w:vAlign w:val="center"/>
                  <w:hideMark/>
                </w:tcPr>
                <w:p w14:paraId="752B2211"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1.3</w:t>
                  </w:r>
                </w:p>
              </w:tc>
              <w:tc>
                <w:tcPr>
                  <w:tcW w:w="709" w:type="dxa"/>
                  <w:tcBorders>
                    <w:top w:val="nil"/>
                    <w:left w:val="nil"/>
                    <w:bottom w:val="nil"/>
                    <w:right w:val="single" w:sz="4" w:space="0" w:color="auto"/>
                  </w:tcBorders>
                  <w:shd w:val="clear" w:color="auto" w:fill="auto"/>
                  <w:noWrap/>
                  <w:vAlign w:val="center"/>
                  <w:hideMark/>
                </w:tcPr>
                <w:p w14:paraId="12C6D4FF"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-8.2</w:t>
                  </w:r>
                </w:p>
              </w:tc>
              <w:tc>
                <w:tcPr>
                  <w:tcW w:w="709" w:type="dxa"/>
                  <w:tcBorders>
                    <w:top w:val="nil"/>
                    <w:left w:val="nil"/>
                    <w:bottom w:val="nil"/>
                    <w:right w:val="single" w:sz="4" w:space="0" w:color="auto"/>
                  </w:tcBorders>
                  <w:shd w:val="clear" w:color="auto" w:fill="auto"/>
                  <w:noWrap/>
                  <w:vAlign w:val="center"/>
                  <w:hideMark/>
                </w:tcPr>
                <w:p w14:paraId="70E606FC"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5.8</w:t>
                  </w:r>
                </w:p>
              </w:tc>
            </w:tr>
            <w:tr w:rsidR="00322670" w:rsidRPr="009D76D9" w14:paraId="5D878EE0" w14:textId="77777777" w:rsidTr="00DE1FBB">
              <w:trPr>
                <w:trHeight w:val="70"/>
                <w:jc w:val="center"/>
              </w:trPr>
              <w:tc>
                <w:tcPr>
                  <w:tcW w:w="3383" w:type="dxa"/>
                  <w:tcBorders>
                    <w:top w:val="nil"/>
                    <w:left w:val="single" w:sz="4" w:space="0" w:color="auto"/>
                    <w:bottom w:val="nil"/>
                    <w:right w:val="nil"/>
                  </w:tcBorders>
                  <w:shd w:val="clear" w:color="auto" w:fill="auto"/>
                  <w:noWrap/>
                  <w:vAlign w:val="bottom"/>
                  <w:hideMark/>
                </w:tcPr>
                <w:p w14:paraId="771C3E7E" w14:textId="77777777" w:rsidR="00322670" w:rsidRPr="009D76D9" w:rsidRDefault="00322670" w:rsidP="00DE1FBB">
                  <w:pPr>
                    <w:spacing w:after="0" w:line="240" w:lineRule="auto"/>
                    <w:ind w:firstLineChars="200" w:firstLine="32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Italia</w:t>
                  </w:r>
                </w:p>
              </w:tc>
              <w:tc>
                <w:tcPr>
                  <w:tcW w:w="1148" w:type="dxa"/>
                  <w:tcBorders>
                    <w:top w:val="nil"/>
                    <w:left w:val="nil"/>
                    <w:bottom w:val="nil"/>
                    <w:right w:val="nil"/>
                  </w:tcBorders>
                  <w:shd w:val="clear" w:color="auto" w:fill="auto"/>
                  <w:noWrap/>
                  <w:vAlign w:val="center"/>
                  <w:hideMark/>
                </w:tcPr>
                <w:p w14:paraId="11964D3B"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0.2</w:t>
                  </w:r>
                </w:p>
              </w:tc>
              <w:tc>
                <w:tcPr>
                  <w:tcW w:w="709" w:type="dxa"/>
                  <w:tcBorders>
                    <w:top w:val="nil"/>
                    <w:left w:val="nil"/>
                    <w:bottom w:val="nil"/>
                    <w:right w:val="single" w:sz="4" w:space="0" w:color="auto"/>
                  </w:tcBorders>
                  <w:shd w:val="clear" w:color="auto" w:fill="auto"/>
                  <w:noWrap/>
                  <w:vAlign w:val="center"/>
                  <w:hideMark/>
                </w:tcPr>
                <w:p w14:paraId="4E1D81D0"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-8.9</w:t>
                  </w:r>
                </w:p>
              </w:tc>
              <w:tc>
                <w:tcPr>
                  <w:tcW w:w="709" w:type="dxa"/>
                  <w:tcBorders>
                    <w:top w:val="nil"/>
                    <w:left w:val="nil"/>
                    <w:bottom w:val="nil"/>
                    <w:right w:val="single" w:sz="4" w:space="0" w:color="auto"/>
                  </w:tcBorders>
                  <w:shd w:val="clear" w:color="auto" w:fill="auto"/>
                  <w:noWrap/>
                  <w:vAlign w:val="center"/>
                  <w:hideMark/>
                </w:tcPr>
                <w:p w14:paraId="5D09D6F0"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4.2</w:t>
                  </w:r>
                </w:p>
              </w:tc>
            </w:tr>
            <w:tr w:rsidR="00322670" w:rsidRPr="009D76D9" w14:paraId="6DD9FCAB" w14:textId="77777777" w:rsidTr="00DE1FBB">
              <w:trPr>
                <w:trHeight w:val="109"/>
                <w:jc w:val="center"/>
              </w:trPr>
              <w:tc>
                <w:tcPr>
                  <w:tcW w:w="3383" w:type="dxa"/>
                  <w:tcBorders>
                    <w:top w:val="nil"/>
                    <w:left w:val="single" w:sz="4" w:space="0" w:color="auto"/>
                    <w:bottom w:val="nil"/>
                    <w:right w:val="nil"/>
                  </w:tcBorders>
                  <w:shd w:val="clear" w:color="auto" w:fill="auto"/>
                  <w:noWrap/>
                  <w:vAlign w:val="bottom"/>
                  <w:hideMark/>
                </w:tcPr>
                <w:p w14:paraId="34811179" w14:textId="77777777" w:rsidR="00322670" w:rsidRPr="009D76D9" w:rsidRDefault="00322670" w:rsidP="00DE1FBB">
                  <w:pPr>
                    <w:spacing w:after="0" w:line="240" w:lineRule="auto"/>
                    <w:ind w:firstLineChars="200" w:firstLine="32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España</w:t>
                  </w:r>
                </w:p>
              </w:tc>
              <w:tc>
                <w:tcPr>
                  <w:tcW w:w="1148" w:type="dxa"/>
                  <w:tcBorders>
                    <w:top w:val="nil"/>
                    <w:left w:val="nil"/>
                    <w:bottom w:val="nil"/>
                    <w:right w:val="nil"/>
                  </w:tcBorders>
                  <w:shd w:val="clear" w:color="auto" w:fill="auto"/>
                  <w:noWrap/>
                  <w:vAlign w:val="center"/>
                  <w:hideMark/>
                </w:tcPr>
                <w:p w14:paraId="56883096"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2.0</w:t>
                  </w:r>
                </w:p>
              </w:tc>
              <w:tc>
                <w:tcPr>
                  <w:tcW w:w="709" w:type="dxa"/>
                  <w:tcBorders>
                    <w:top w:val="nil"/>
                    <w:left w:val="nil"/>
                    <w:bottom w:val="nil"/>
                    <w:right w:val="single" w:sz="4" w:space="0" w:color="auto"/>
                  </w:tcBorders>
                  <w:shd w:val="clear" w:color="auto" w:fill="auto"/>
                  <w:noWrap/>
                  <w:vAlign w:val="center"/>
                  <w:hideMark/>
                </w:tcPr>
                <w:p w14:paraId="41BCDE55"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-11.0</w:t>
                  </w:r>
                </w:p>
              </w:tc>
              <w:tc>
                <w:tcPr>
                  <w:tcW w:w="709" w:type="dxa"/>
                  <w:tcBorders>
                    <w:top w:val="nil"/>
                    <w:left w:val="nil"/>
                    <w:bottom w:val="nil"/>
                    <w:right w:val="single" w:sz="4" w:space="0" w:color="auto"/>
                  </w:tcBorders>
                  <w:shd w:val="clear" w:color="auto" w:fill="auto"/>
                  <w:noWrap/>
                  <w:vAlign w:val="center"/>
                  <w:hideMark/>
                </w:tcPr>
                <w:p w14:paraId="05AA35AE"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6.4</w:t>
                  </w:r>
                </w:p>
              </w:tc>
            </w:tr>
            <w:tr w:rsidR="00322670" w:rsidRPr="009D76D9" w14:paraId="080E37E7" w14:textId="77777777" w:rsidTr="00DE1FBB">
              <w:trPr>
                <w:trHeight w:val="84"/>
                <w:jc w:val="center"/>
              </w:trPr>
              <w:tc>
                <w:tcPr>
                  <w:tcW w:w="3383" w:type="dxa"/>
                  <w:tcBorders>
                    <w:top w:val="nil"/>
                    <w:left w:val="single" w:sz="4" w:space="0" w:color="auto"/>
                    <w:bottom w:val="nil"/>
                    <w:right w:val="nil"/>
                  </w:tcBorders>
                  <w:shd w:val="clear" w:color="auto" w:fill="auto"/>
                  <w:noWrap/>
                  <w:vAlign w:val="bottom"/>
                  <w:hideMark/>
                </w:tcPr>
                <w:p w14:paraId="5EBF2F9E" w14:textId="77777777" w:rsidR="00322670" w:rsidRPr="009D76D9" w:rsidRDefault="00322670" w:rsidP="00DE1FBB">
                  <w:pPr>
                    <w:spacing w:after="0" w:line="240" w:lineRule="auto"/>
                    <w:ind w:firstLineChars="100" w:firstLine="16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Japón</w:t>
                  </w:r>
                </w:p>
              </w:tc>
              <w:tc>
                <w:tcPr>
                  <w:tcW w:w="1148" w:type="dxa"/>
                  <w:tcBorders>
                    <w:top w:val="nil"/>
                    <w:left w:val="nil"/>
                    <w:bottom w:val="nil"/>
                    <w:right w:val="nil"/>
                  </w:tcBorders>
                  <w:shd w:val="clear" w:color="auto" w:fill="auto"/>
                  <w:noWrap/>
                  <w:vAlign w:val="center"/>
                  <w:hideMark/>
                </w:tcPr>
                <w:p w14:paraId="6792B835"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1.0</w:t>
                  </w:r>
                </w:p>
              </w:tc>
              <w:tc>
                <w:tcPr>
                  <w:tcW w:w="709" w:type="dxa"/>
                  <w:tcBorders>
                    <w:top w:val="nil"/>
                    <w:left w:val="nil"/>
                    <w:bottom w:val="nil"/>
                    <w:right w:val="single" w:sz="4" w:space="0" w:color="auto"/>
                  </w:tcBorders>
                  <w:shd w:val="clear" w:color="auto" w:fill="auto"/>
                  <w:noWrap/>
                  <w:vAlign w:val="center"/>
                  <w:hideMark/>
                </w:tcPr>
                <w:p w14:paraId="02B1B41B"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-4.8</w:t>
                  </w:r>
                </w:p>
              </w:tc>
              <w:tc>
                <w:tcPr>
                  <w:tcW w:w="709" w:type="dxa"/>
                  <w:tcBorders>
                    <w:top w:val="nil"/>
                    <w:left w:val="nil"/>
                    <w:bottom w:val="nil"/>
                    <w:right w:val="single" w:sz="4" w:space="0" w:color="auto"/>
                  </w:tcBorders>
                  <w:shd w:val="clear" w:color="auto" w:fill="auto"/>
                  <w:noWrap/>
                  <w:vAlign w:val="center"/>
                  <w:hideMark/>
                </w:tcPr>
                <w:p w14:paraId="76572408"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3.3</w:t>
                  </w:r>
                </w:p>
              </w:tc>
            </w:tr>
            <w:tr w:rsidR="00322670" w:rsidRPr="009D76D9" w14:paraId="50406992" w14:textId="77777777" w:rsidTr="00DE1FBB">
              <w:trPr>
                <w:trHeight w:val="70"/>
                <w:jc w:val="center"/>
              </w:trPr>
              <w:tc>
                <w:tcPr>
                  <w:tcW w:w="3383" w:type="dxa"/>
                  <w:tcBorders>
                    <w:top w:val="nil"/>
                    <w:left w:val="single" w:sz="4" w:space="0" w:color="auto"/>
                    <w:bottom w:val="nil"/>
                    <w:right w:val="nil"/>
                  </w:tcBorders>
                  <w:shd w:val="clear" w:color="auto" w:fill="auto"/>
                  <w:noWrap/>
                  <w:vAlign w:val="bottom"/>
                  <w:hideMark/>
                </w:tcPr>
                <w:p w14:paraId="2483602D" w14:textId="77777777" w:rsidR="00322670" w:rsidRPr="009D76D9" w:rsidRDefault="00322670" w:rsidP="00DE1FBB">
                  <w:pPr>
                    <w:spacing w:after="0" w:line="240" w:lineRule="auto"/>
                    <w:ind w:firstLineChars="100" w:firstLine="16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Reino Unido</w:t>
                  </w:r>
                </w:p>
              </w:tc>
              <w:tc>
                <w:tcPr>
                  <w:tcW w:w="1148" w:type="dxa"/>
                  <w:tcBorders>
                    <w:top w:val="nil"/>
                    <w:left w:val="nil"/>
                    <w:bottom w:val="nil"/>
                    <w:right w:val="nil"/>
                  </w:tcBorders>
                  <w:shd w:val="clear" w:color="auto" w:fill="auto"/>
                  <w:noWrap/>
                  <w:vAlign w:val="center"/>
                  <w:hideMark/>
                </w:tcPr>
                <w:p w14:paraId="5F0D6E38"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1.3</w:t>
                  </w:r>
                </w:p>
              </w:tc>
              <w:tc>
                <w:tcPr>
                  <w:tcW w:w="709" w:type="dxa"/>
                  <w:tcBorders>
                    <w:top w:val="nil"/>
                    <w:left w:val="nil"/>
                    <w:bottom w:val="nil"/>
                    <w:right w:val="single" w:sz="4" w:space="0" w:color="auto"/>
                  </w:tcBorders>
                  <w:shd w:val="clear" w:color="auto" w:fill="auto"/>
                  <w:noWrap/>
                  <w:vAlign w:val="center"/>
                  <w:hideMark/>
                </w:tcPr>
                <w:p w14:paraId="214A4C50"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-9.9</w:t>
                  </w:r>
                </w:p>
              </w:tc>
              <w:tc>
                <w:tcPr>
                  <w:tcW w:w="709" w:type="dxa"/>
                  <w:tcBorders>
                    <w:top w:val="nil"/>
                    <w:left w:val="nil"/>
                    <w:bottom w:val="nil"/>
                    <w:right w:val="single" w:sz="4" w:space="0" w:color="auto"/>
                  </w:tcBorders>
                  <w:shd w:val="clear" w:color="auto" w:fill="auto"/>
                  <w:noWrap/>
                  <w:vAlign w:val="center"/>
                  <w:hideMark/>
                </w:tcPr>
                <w:p w14:paraId="3A5E571B"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5.3</w:t>
                  </w:r>
                </w:p>
              </w:tc>
            </w:tr>
            <w:tr w:rsidR="00322670" w:rsidRPr="009D76D9" w14:paraId="03587781" w14:textId="77777777" w:rsidTr="00DE1FBB">
              <w:trPr>
                <w:trHeight w:val="70"/>
                <w:jc w:val="center"/>
              </w:trPr>
              <w:tc>
                <w:tcPr>
                  <w:tcW w:w="3383" w:type="dxa"/>
                  <w:tcBorders>
                    <w:top w:val="nil"/>
                    <w:left w:val="single" w:sz="4" w:space="0" w:color="auto"/>
                    <w:bottom w:val="nil"/>
                    <w:right w:val="nil"/>
                  </w:tcBorders>
                  <w:shd w:val="clear" w:color="auto" w:fill="auto"/>
                  <w:noWrap/>
                  <w:vAlign w:val="bottom"/>
                  <w:hideMark/>
                </w:tcPr>
                <w:p w14:paraId="521ED9CF" w14:textId="77777777" w:rsidR="00322670" w:rsidRPr="009D76D9" w:rsidRDefault="00322670" w:rsidP="00DE1FBB">
                  <w:pPr>
                    <w:spacing w:after="0" w:line="240" w:lineRule="auto"/>
                    <w:ind w:firstLineChars="100" w:firstLine="16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Canadá</w:t>
                  </w:r>
                </w:p>
              </w:tc>
              <w:tc>
                <w:tcPr>
                  <w:tcW w:w="1148" w:type="dxa"/>
                  <w:tcBorders>
                    <w:top w:val="nil"/>
                    <w:left w:val="nil"/>
                    <w:bottom w:val="nil"/>
                    <w:right w:val="nil"/>
                  </w:tcBorders>
                  <w:shd w:val="clear" w:color="auto" w:fill="auto"/>
                  <w:noWrap/>
                  <w:vAlign w:val="center"/>
                  <w:hideMark/>
                </w:tcPr>
                <w:p w14:paraId="0496B6E4"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1.5</w:t>
                  </w:r>
                </w:p>
              </w:tc>
              <w:tc>
                <w:tcPr>
                  <w:tcW w:w="709" w:type="dxa"/>
                  <w:tcBorders>
                    <w:top w:val="nil"/>
                    <w:left w:val="nil"/>
                    <w:bottom w:val="nil"/>
                    <w:right w:val="single" w:sz="4" w:space="0" w:color="auto"/>
                  </w:tcBorders>
                  <w:shd w:val="clear" w:color="auto" w:fill="auto"/>
                  <w:noWrap/>
                  <w:vAlign w:val="center"/>
                  <w:hideMark/>
                </w:tcPr>
                <w:p w14:paraId="24F2F064"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-5.4</w:t>
                  </w:r>
                </w:p>
              </w:tc>
              <w:tc>
                <w:tcPr>
                  <w:tcW w:w="709" w:type="dxa"/>
                  <w:tcBorders>
                    <w:top w:val="nil"/>
                    <w:left w:val="nil"/>
                    <w:bottom w:val="nil"/>
                    <w:right w:val="single" w:sz="4" w:space="0" w:color="auto"/>
                  </w:tcBorders>
                  <w:shd w:val="clear" w:color="auto" w:fill="auto"/>
                  <w:noWrap/>
                  <w:vAlign w:val="center"/>
                  <w:hideMark/>
                </w:tcPr>
                <w:p w14:paraId="16FD0293"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5.0</w:t>
                  </w:r>
                </w:p>
              </w:tc>
            </w:tr>
            <w:tr w:rsidR="00322670" w:rsidRPr="009D76D9" w14:paraId="64016AE6" w14:textId="77777777" w:rsidTr="00DE1FBB">
              <w:trPr>
                <w:trHeight w:val="78"/>
                <w:jc w:val="center"/>
              </w:trPr>
              <w:tc>
                <w:tcPr>
                  <w:tcW w:w="3383" w:type="dxa"/>
                  <w:tcBorders>
                    <w:top w:val="nil"/>
                    <w:left w:val="single" w:sz="4" w:space="0" w:color="auto"/>
                    <w:bottom w:val="nil"/>
                    <w:right w:val="nil"/>
                  </w:tcBorders>
                  <w:shd w:val="clear" w:color="auto" w:fill="auto"/>
                  <w:noWrap/>
                  <w:vAlign w:val="bottom"/>
                  <w:hideMark/>
                </w:tcPr>
                <w:p w14:paraId="73ED48E2" w14:textId="77777777" w:rsidR="00322670" w:rsidRPr="009D76D9" w:rsidRDefault="00322670" w:rsidP="00DE1FBB">
                  <w:pPr>
                    <w:spacing w:after="0" w:line="240" w:lineRule="auto"/>
                    <w:ind w:firstLineChars="100" w:firstLine="16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Otras economías avanzadas</w:t>
                  </w:r>
                </w:p>
              </w:tc>
              <w:tc>
                <w:tcPr>
                  <w:tcW w:w="1148" w:type="dxa"/>
                  <w:tcBorders>
                    <w:top w:val="nil"/>
                    <w:left w:val="nil"/>
                    <w:bottom w:val="nil"/>
                    <w:right w:val="nil"/>
                  </w:tcBorders>
                  <w:shd w:val="clear" w:color="auto" w:fill="auto"/>
                  <w:noWrap/>
                  <w:vAlign w:val="center"/>
                  <w:hideMark/>
                </w:tcPr>
                <w:p w14:paraId="7111E8B4"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1.5</w:t>
                  </w:r>
                </w:p>
              </w:tc>
              <w:tc>
                <w:tcPr>
                  <w:tcW w:w="709" w:type="dxa"/>
                  <w:tcBorders>
                    <w:top w:val="nil"/>
                    <w:left w:val="nil"/>
                    <w:bottom w:val="nil"/>
                    <w:right w:val="single" w:sz="4" w:space="0" w:color="auto"/>
                  </w:tcBorders>
                  <w:shd w:val="clear" w:color="auto" w:fill="auto"/>
                  <w:noWrap/>
                  <w:vAlign w:val="center"/>
                  <w:hideMark/>
                </w:tcPr>
                <w:p w14:paraId="57194317"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-2.1</w:t>
                  </w:r>
                </w:p>
              </w:tc>
              <w:tc>
                <w:tcPr>
                  <w:tcW w:w="709" w:type="dxa"/>
                  <w:tcBorders>
                    <w:top w:val="nil"/>
                    <w:left w:val="nil"/>
                    <w:bottom w:val="nil"/>
                    <w:right w:val="single" w:sz="4" w:space="0" w:color="auto"/>
                  </w:tcBorders>
                  <w:shd w:val="clear" w:color="auto" w:fill="auto"/>
                  <w:noWrap/>
                  <w:vAlign w:val="center"/>
                  <w:hideMark/>
                </w:tcPr>
                <w:p w14:paraId="7F2FB360"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4.4</w:t>
                  </w:r>
                </w:p>
              </w:tc>
            </w:tr>
            <w:tr w:rsidR="00322670" w:rsidRPr="009D76D9" w14:paraId="53D0683A" w14:textId="77777777" w:rsidTr="00DE1FBB">
              <w:trPr>
                <w:trHeight w:val="193"/>
                <w:jc w:val="center"/>
              </w:trPr>
              <w:tc>
                <w:tcPr>
                  <w:tcW w:w="3383" w:type="dxa"/>
                  <w:tcBorders>
                    <w:top w:val="nil"/>
                    <w:left w:val="single" w:sz="4" w:space="0" w:color="auto"/>
                    <w:bottom w:val="nil"/>
                    <w:right w:val="nil"/>
                  </w:tcBorders>
                  <w:shd w:val="clear" w:color="000000" w:fill="D9D9D9"/>
                  <w:noWrap/>
                  <w:vAlign w:val="bottom"/>
                  <w:hideMark/>
                </w:tcPr>
                <w:p w14:paraId="256EF1AB" w14:textId="77777777" w:rsidR="00322670" w:rsidRPr="009D76D9" w:rsidRDefault="00322670" w:rsidP="00B45C33">
                  <w:pPr>
                    <w:spacing w:after="0" w:line="240" w:lineRule="auto"/>
                    <w:ind w:firstLineChars="100" w:firstLine="161"/>
                    <w:rPr>
                      <w:rFonts w:ascii="Times New Roman" w:eastAsia="Times New Roman" w:hAnsi="Times New Roman" w:cs="Times New Roman"/>
                      <w:b/>
                      <w:bCs/>
                      <w:color w:val="000000"/>
                      <w:sz w:val="16"/>
                      <w:szCs w:val="16"/>
                      <w:lang w:eastAsia="es-GT"/>
                    </w:rPr>
                  </w:pPr>
                  <w:r w:rsidRPr="009D76D9">
                    <w:rPr>
                      <w:rFonts w:ascii="Times New Roman" w:eastAsia="Times New Roman" w:hAnsi="Times New Roman" w:cs="Times New Roman"/>
                      <w:b/>
                      <w:bCs/>
                      <w:color w:val="000000"/>
                      <w:sz w:val="16"/>
                      <w:szCs w:val="16"/>
                      <w:lang w:eastAsia="es-GT"/>
                    </w:rPr>
                    <w:t>Economías de mercados emergentes y en desarrollo</w:t>
                  </w:r>
                </w:p>
              </w:tc>
              <w:tc>
                <w:tcPr>
                  <w:tcW w:w="1148" w:type="dxa"/>
                  <w:tcBorders>
                    <w:top w:val="nil"/>
                    <w:left w:val="nil"/>
                    <w:bottom w:val="nil"/>
                    <w:right w:val="nil"/>
                  </w:tcBorders>
                  <w:shd w:val="clear" w:color="000000" w:fill="D9D9D9"/>
                  <w:noWrap/>
                  <w:vAlign w:val="center"/>
                  <w:hideMark/>
                </w:tcPr>
                <w:p w14:paraId="2C39E71E" w14:textId="77777777" w:rsidR="00322670" w:rsidRPr="009D76D9" w:rsidRDefault="00322670" w:rsidP="00DE1FBB">
                  <w:pPr>
                    <w:spacing w:after="0" w:line="240" w:lineRule="auto"/>
                    <w:jc w:val="center"/>
                    <w:rPr>
                      <w:rFonts w:ascii="Times New Roman" w:eastAsia="Times New Roman" w:hAnsi="Times New Roman" w:cs="Times New Roman"/>
                      <w:b/>
                      <w:bCs/>
                      <w:color w:val="000000"/>
                      <w:sz w:val="16"/>
                      <w:szCs w:val="16"/>
                      <w:lang w:eastAsia="es-GT"/>
                    </w:rPr>
                  </w:pPr>
                  <w:r w:rsidRPr="009D76D9">
                    <w:rPr>
                      <w:rFonts w:ascii="Times New Roman" w:eastAsia="Times New Roman" w:hAnsi="Times New Roman" w:cs="Times New Roman"/>
                      <w:b/>
                      <w:bCs/>
                      <w:color w:val="000000"/>
                      <w:sz w:val="16"/>
                      <w:szCs w:val="16"/>
                      <w:lang w:eastAsia="es-GT"/>
                    </w:rPr>
                    <w:t>3.7</w:t>
                  </w:r>
                </w:p>
              </w:tc>
              <w:tc>
                <w:tcPr>
                  <w:tcW w:w="709" w:type="dxa"/>
                  <w:tcBorders>
                    <w:top w:val="nil"/>
                    <w:left w:val="nil"/>
                    <w:bottom w:val="nil"/>
                    <w:right w:val="single" w:sz="4" w:space="0" w:color="auto"/>
                  </w:tcBorders>
                  <w:shd w:val="clear" w:color="000000" w:fill="D9D9D9"/>
                  <w:noWrap/>
                  <w:vAlign w:val="center"/>
                  <w:hideMark/>
                </w:tcPr>
                <w:p w14:paraId="44643401" w14:textId="77777777" w:rsidR="00322670" w:rsidRPr="009D76D9" w:rsidRDefault="00322670" w:rsidP="00DE1FBB">
                  <w:pPr>
                    <w:spacing w:after="0" w:line="240" w:lineRule="auto"/>
                    <w:jc w:val="center"/>
                    <w:rPr>
                      <w:rFonts w:ascii="Times New Roman" w:eastAsia="Times New Roman" w:hAnsi="Times New Roman" w:cs="Times New Roman"/>
                      <w:b/>
                      <w:bCs/>
                      <w:color w:val="000000"/>
                      <w:sz w:val="16"/>
                      <w:szCs w:val="16"/>
                      <w:lang w:eastAsia="es-GT"/>
                    </w:rPr>
                  </w:pPr>
                  <w:r w:rsidRPr="009D76D9">
                    <w:rPr>
                      <w:rFonts w:ascii="Times New Roman" w:eastAsia="Times New Roman" w:hAnsi="Times New Roman" w:cs="Times New Roman"/>
                      <w:b/>
                      <w:bCs/>
                      <w:color w:val="000000"/>
                      <w:sz w:val="16"/>
                      <w:szCs w:val="16"/>
                      <w:lang w:eastAsia="es-GT"/>
                    </w:rPr>
                    <w:t>-2.2</w:t>
                  </w:r>
                </w:p>
              </w:tc>
              <w:tc>
                <w:tcPr>
                  <w:tcW w:w="709" w:type="dxa"/>
                  <w:tcBorders>
                    <w:top w:val="nil"/>
                    <w:left w:val="nil"/>
                    <w:bottom w:val="nil"/>
                    <w:right w:val="single" w:sz="4" w:space="0" w:color="auto"/>
                  </w:tcBorders>
                  <w:shd w:val="clear" w:color="000000" w:fill="D9D9D9"/>
                  <w:noWrap/>
                  <w:vAlign w:val="center"/>
                  <w:hideMark/>
                </w:tcPr>
                <w:p w14:paraId="532BD67D" w14:textId="77777777" w:rsidR="00322670" w:rsidRPr="009D76D9" w:rsidRDefault="00322670" w:rsidP="00DE1FBB">
                  <w:pPr>
                    <w:spacing w:after="0" w:line="240" w:lineRule="auto"/>
                    <w:jc w:val="center"/>
                    <w:rPr>
                      <w:rFonts w:ascii="Times New Roman" w:eastAsia="Times New Roman" w:hAnsi="Times New Roman" w:cs="Times New Roman"/>
                      <w:b/>
                      <w:bCs/>
                      <w:color w:val="000000"/>
                      <w:sz w:val="16"/>
                      <w:szCs w:val="16"/>
                      <w:lang w:eastAsia="es-GT"/>
                    </w:rPr>
                  </w:pPr>
                  <w:r w:rsidRPr="009D76D9">
                    <w:rPr>
                      <w:rFonts w:ascii="Times New Roman" w:eastAsia="Times New Roman" w:hAnsi="Times New Roman" w:cs="Times New Roman"/>
                      <w:b/>
                      <w:bCs/>
                      <w:color w:val="000000"/>
                      <w:sz w:val="16"/>
                      <w:szCs w:val="16"/>
                      <w:lang w:eastAsia="es-GT"/>
                    </w:rPr>
                    <w:t>6.7</w:t>
                  </w:r>
                </w:p>
              </w:tc>
            </w:tr>
            <w:tr w:rsidR="00322670" w:rsidRPr="009D76D9" w14:paraId="65FE7EE4" w14:textId="77777777" w:rsidTr="00DE1FBB">
              <w:trPr>
                <w:trHeight w:val="125"/>
                <w:jc w:val="center"/>
              </w:trPr>
              <w:tc>
                <w:tcPr>
                  <w:tcW w:w="3383" w:type="dxa"/>
                  <w:tcBorders>
                    <w:top w:val="nil"/>
                    <w:left w:val="single" w:sz="4" w:space="0" w:color="auto"/>
                    <w:bottom w:val="nil"/>
                    <w:right w:val="nil"/>
                  </w:tcBorders>
                  <w:shd w:val="clear" w:color="auto" w:fill="auto"/>
                  <w:noWrap/>
                  <w:vAlign w:val="bottom"/>
                  <w:hideMark/>
                </w:tcPr>
                <w:p w14:paraId="7D3B6BB5" w14:textId="77777777" w:rsidR="00322670" w:rsidRPr="009D76D9" w:rsidRDefault="00322670" w:rsidP="00DE1FBB">
                  <w:pPr>
                    <w:spacing w:after="0" w:line="240" w:lineRule="auto"/>
                    <w:ind w:firstLineChars="100" w:firstLine="16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Economías emergentes y en desarrollo de Asia</w:t>
                  </w:r>
                </w:p>
              </w:tc>
              <w:tc>
                <w:tcPr>
                  <w:tcW w:w="1148" w:type="dxa"/>
                  <w:tcBorders>
                    <w:top w:val="nil"/>
                    <w:left w:val="nil"/>
                    <w:bottom w:val="nil"/>
                    <w:right w:val="nil"/>
                  </w:tcBorders>
                  <w:shd w:val="clear" w:color="auto" w:fill="auto"/>
                  <w:noWrap/>
                  <w:vAlign w:val="center"/>
                  <w:hideMark/>
                </w:tcPr>
                <w:p w14:paraId="6B9FFB82"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5.6</w:t>
                  </w:r>
                </w:p>
              </w:tc>
              <w:tc>
                <w:tcPr>
                  <w:tcW w:w="709" w:type="dxa"/>
                  <w:tcBorders>
                    <w:top w:val="nil"/>
                    <w:left w:val="nil"/>
                    <w:bottom w:val="nil"/>
                    <w:right w:val="single" w:sz="4" w:space="0" w:color="auto"/>
                  </w:tcBorders>
                  <w:shd w:val="clear" w:color="auto" w:fill="auto"/>
                  <w:noWrap/>
                  <w:vAlign w:val="center"/>
                  <w:hideMark/>
                </w:tcPr>
                <w:p w14:paraId="738094B2"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-1.0</w:t>
                  </w:r>
                </w:p>
              </w:tc>
              <w:tc>
                <w:tcPr>
                  <w:tcW w:w="709" w:type="dxa"/>
                  <w:tcBorders>
                    <w:top w:val="nil"/>
                    <w:left w:val="nil"/>
                    <w:bottom w:val="nil"/>
                    <w:right w:val="single" w:sz="4" w:space="0" w:color="auto"/>
                  </w:tcBorders>
                  <w:shd w:val="clear" w:color="auto" w:fill="auto"/>
                  <w:noWrap/>
                  <w:vAlign w:val="center"/>
                  <w:hideMark/>
                </w:tcPr>
                <w:p w14:paraId="26D57537"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8.6</w:t>
                  </w:r>
                </w:p>
              </w:tc>
            </w:tr>
            <w:tr w:rsidR="00322670" w:rsidRPr="009D76D9" w14:paraId="0718838E" w14:textId="77777777" w:rsidTr="00DE1FBB">
              <w:trPr>
                <w:trHeight w:val="100"/>
                <w:jc w:val="center"/>
              </w:trPr>
              <w:tc>
                <w:tcPr>
                  <w:tcW w:w="3383" w:type="dxa"/>
                  <w:tcBorders>
                    <w:top w:val="nil"/>
                    <w:left w:val="single" w:sz="4" w:space="0" w:color="auto"/>
                    <w:bottom w:val="nil"/>
                    <w:right w:val="nil"/>
                  </w:tcBorders>
                  <w:shd w:val="clear" w:color="auto" w:fill="auto"/>
                  <w:noWrap/>
                  <w:vAlign w:val="bottom"/>
                  <w:hideMark/>
                </w:tcPr>
                <w:p w14:paraId="6F56EEB5" w14:textId="77777777" w:rsidR="00322670" w:rsidRPr="009D76D9" w:rsidRDefault="00322670" w:rsidP="00DE1FBB">
                  <w:pPr>
                    <w:spacing w:after="0" w:line="240" w:lineRule="auto"/>
                    <w:ind w:firstLineChars="200" w:firstLine="32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China</w:t>
                  </w:r>
                </w:p>
              </w:tc>
              <w:tc>
                <w:tcPr>
                  <w:tcW w:w="1148" w:type="dxa"/>
                  <w:tcBorders>
                    <w:top w:val="nil"/>
                    <w:left w:val="nil"/>
                    <w:bottom w:val="nil"/>
                    <w:right w:val="nil"/>
                  </w:tcBorders>
                  <w:shd w:val="clear" w:color="auto" w:fill="auto"/>
                  <w:noWrap/>
                  <w:vAlign w:val="center"/>
                  <w:hideMark/>
                </w:tcPr>
                <w:p w14:paraId="75107596"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6.1</w:t>
                  </w:r>
                </w:p>
              </w:tc>
              <w:tc>
                <w:tcPr>
                  <w:tcW w:w="709" w:type="dxa"/>
                  <w:tcBorders>
                    <w:top w:val="nil"/>
                    <w:left w:val="nil"/>
                    <w:bottom w:val="nil"/>
                    <w:right w:val="single" w:sz="4" w:space="0" w:color="auto"/>
                  </w:tcBorders>
                  <w:shd w:val="clear" w:color="auto" w:fill="auto"/>
                  <w:noWrap/>
                  <w:vAlign w:val="center"/>
                  <w:hideMark/>
                </w:tcPr>
                <w:p w14:paraId="137BE19F"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2.3</w:t>
                  </w:r>
                </w:p>
              </w:tc>
              <w:tc>
                <w:tcPr>
                  <w:tcW w:w="709" w:type="dxa"/>
                  <w:tcBorders>
                    <w:top w:val="nil"/>
                    <w:left w:val="nil"/>
                    <w:bottom w:val="nil"/>
                    <w:right w:val="single" w:sz="4" w:space="0" w:color="auto"/>
                  </w:tcBorders>
                  <w:shd w:val="clear" w:color="auto" w:fill="auto"/>
                  <w:noWrap/>
                  <w:vAlign w:val="center"/>
                  <w:hideMark/>
                </w:tcPr>
                <w:p w14:paraId="128B5A6B"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8.4</w:t>
                  </w:r>
                </w:p>
              </w:tc>
            </w:tr>
            <w:tr w:rsidR="00322670" w:rsidRPr="009D76D9" w14:paraId="028D6FED" w14:textId="77777777" w:rsidTr="00DE1FBB">
              <w:trPr>
                <w:trHeight w:val="70"/>
                <w:jc w:val="center"/>
              </w:trPr>
              <w:tc>
                <w:tcPr>
                  <w:tcW w:w="3383" w:type="dxa"/>
                  <w:tcBorders>
                    <w:top w:val="nil"/>
                    <w:left w:val="single" w:sz="4" w:space="0" w:color="auto"/>
                    <w:bottom w:val="nil"/>
                    <w:right w:val="nil"/>
                  </w:tcBorders>
                  <w:shd w:val="clear" w:color="auto" w:fill="auto"/>
                  <w:noWrap/>
                  <w:vAlign w:val="bottom"/>
                  <w:hideMark/>
                </w:tcPr>
                <w:p w14:paraId="527B9967" w14:textId="77777777" w:rsidR="00322670" w:rsidRPr="009D76D9" w:rsidRDefault="00322670" w:rsidP="00DE1FBB">
                  <w:pPr>
                    <w:spacing w:after="0" w:line="240" w:lineRule="auto"/>
                    <w:ind w:firstLineChars="200" w:firstLine="32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India</w:t>
                  </w:r>
                </w:p>
              </w:tc>
              <w:tc>
                <w:tcPr>
                  <w:tcW w:w="1148" w:type="dxa"/>
                  <w:tcBorders>
                    <w:top w:val="nil"/>
                    <w:left w:val="nil"/>
                    <w:bottom w:val="nil"/>
                    <w:right w:val="nil"/>
                  </w:tcBorders>
                  <w:shd w:val="clear" w:color="auto" w:fill="auto"/>
                  <w:noWrap/>
                  <w:vAlign w:val="center"/>
                  <w:hideMark/>
                </w:tcPr>
                <w:p w14:paraId="6AB8F4CF"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4.8</w:t>
                  </w:r>
                </w:p>
              </w:tc>
              <w:tc>
                <w:tcPr>
                  <w:tcW w:w="709" w:type="dxa"/>
                  <w:tcBorders>
                    <w:top w:val="nil"/>
                    <w:left w:val="nil"/>
                    <w:bottom w:val="nil"/>
                    <w:right w:val="single" w:sz="4" w:space="0" w:color="auto"/>
                  </w:tcBorders>
                  <w:shd w:val="clear" w:color="auto" w:fill="auto"/>
                  <w:noWrap/>
                  <w:vAlign w:val="center"/>
                  <w:hideMark/>
                </w:tcPr>
                <w:p w14:paraId="549494B8"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-8.0</w:t>
                  </w:r>
                </w:p>
              </w:tc>
              <w:tc>
                <w:tcPr>
                  <w:tcW w:w="709" w:type="dxa"/>
                  <w:tcBorders>
                    <w:top w:val="nil"/>
                    <w:left w:val="nil"/>
                    <w:bottom w:val="nil"/>
                    <w:right w:val="single" w:sz="4" w:space="0" w:color="auto"/>
                  </w:tcBorders>
                  <w:shd w:val="clear" w:color="auto" w:fill="auto"/>
                  <w:noWrap/>
                  <w:vAlign w:val="center"/>
                  <w:hideMark/>
                </w:tcPr>
                <w:p w14:paraId="631A49C8"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12.5</w:t>
                  </w:r>
                </w:p>
              </w:tc>
            </w:tr>
            <w:tr w:rsidR="00322670" w:rsidRPr="009D76D9" w14:paraId="20A98854" w14:textId="77777777" w:rsidTr="00DE1FBB">
              <w:trPr>
                <w:trHeight w:val="70"/>
                <w:jc w:val="center"/>
              </w:trPr>
              <w:tc>
                <w:tcPr>
                  <w:tcW w:w="3383" w:type="dxa"/>
                  <w:tcBorders>
                    <w:top w:val="nil"/>
                    <w:left w:val="single" w:sz="4" w:space="0" w:color="auto"/>
                    <w:bottom w:val="nil"/>
                    <w:right w:val="nil"/>
                  </w:tcBorders>
                  <w:shd w:val="clear" w:color="auto" w:fill="auto"/>
                  <w:noWrap/>
                  <w:vAlign w:val="bottom"/>
                  <w:hideMark/>
                </w:tcPr>
                <w:p w14:paraId="070B8AA7" w14:textId="77777777" w:rsidR="00322670" w:rsidRPr="009D76D9" w:rsidRDefault="00322670" w:rsidP="00DE1FBB">
                  <w:pPr>
                    <w:spacing w:after="0" w:line="240" w:lineRule="auto"/>
                    <w:ind w:firstLineChars="200" w:firstLine="32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ASEAN-5</w:t>
                  </w:r>
                </w:p>
              </w:tc>
              <w:tc>
                <w:tcPr>
                  <w:tcW w:w="1148" w:type="dxa"/>
                  <w:tcBorders>
                    <w:top w:val="nil"/>
                    <w:left w:val="nil"/>
                    <w:bottom w:val="nil"/>
                    <w:right w:val="nil"/>
                  </w:tcBorders>
                  <w:shd w:val="clear" w:color="auto" w:fill="auto"/>
                  <w:noWrap/>
                  <w:vAlign w:val="center"/>
                  <w:hideMark/>
                </w:tcPr>
                <w:p w14:paraId="60D2DAF2"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4.7</w:t>
                  </w:r>
                </w:p>
              </w:tc>
              <w:tc>
                <w:tcPr>
                  <w:tcW w:w="709" w:type="dxa"/>
                  <w:tcBorders>
                    <w:top w:val="nil"/>
                    <w:left w:val="nil"/>
                    <w:bottom w:val="nil"/>
                    <w:right w:val="single" w:sz="4" w:space="0" w:color="auto"/>
                  </w:tcBorders>
                  <w:shd w:val="clear" w:color="auto" w:fill="auto"/>
                  <w:noWrap/>
                  <w:vAlign w:val="center"/>
                  <w:hideMark/>
                </w:tcPr>
                <w:p w14:paraId="1426622E"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-3.4</w:t>
                  </w:r>
                </w:p>
              </w:tc>
              <w:tc>
                <w:tcPr>
                  <w:tcW w:w="709" w:type="dxa"/>
                  <w:tcBorders>
                    <w:top w:val="nil"/>
                    <w:left w:val="nil"/>
                    <w:bottom w:val="nil"/>
                    <w:right w:val="single" w:sz="4" w:space="0" w:color="auto"/>
                  </w:tcBorders>
                  <w:shd w:val="clear" w:color="auto" w:fill="auto"/>
                  <w:noWrap/>
                  <w:vAlign w:val="center"/>
                  <w:hideMark/>
                </w:tcPr>
                <w:p w14:paraId="1F9134F6"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4.9</w:t>
                  </w:r>
                </w:p>
              </w:tc>
            </w:tr>
            <w:tr w:rsidR="00322670" w:rsidRPr="009D76D9" w14:paraId="56B7B4A6" w14:textId="77777777" w:rsidTr="00DE1FBB">
              <w:trPr>
                <w:trHeight w:val="108"/>
                <w:jc w:val="center"/>
              </w:trPr>
              <w:tc>
                <w:tcPr>
                  <w:tcW w:w="3383" w:type="dxa"/>
                  <w:tcBorders>
                    <w:top w:val="nil"/>
                    <w:left w:val="single" w:sz="4" w:space="0" w:color="auto"/>
                    <w:bottom w:val="nil"/>
                    <w:right w:val="nil"/>
                  </w:tcBorders>
                  <w:shd w:val="clear" w:color="auto" w:fill="auto"/>
                  <w:noWrap/>
                  <w:vAlign w:val="bottom"/>
                  <w:hideMark/>
                </w:tcPr>
                <w:p w14:paraId="22DFB285" w14:textId="77777777" w:rsidR="00322670" w:rsidRPr="009D76D9" w:rsidRDefault="00322670" w:rsidP="00DE1FBB">
                  <w:pPr>
                    <w:spacing w:after="0" w:line="240" w:lineRule="auto"/>
                    <w:ind w:firstLineChars="100" w:firstLine="16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Economías emergentes y en desarrollo de Europa</w:t>
                  </w:r>
                </w:p>
              </w:tc>
              <w:tc>
                <w:tcPr>
                  <w:tcW w:w="1148" w:type="dxa"/>
                  <w:tcBorders>
                    <w:top w:val="nil"/>
                    <w:left w:val="nil"/>
                    <w:bottom w:val="nil"/>
                    <w:right w:val="nil"/>
                  </w:tcBorders>
                  <w:shd w:val="clear" w:color="auto" w:fill="auto"/>
                  <w:noWrap/>
                  <w:vAlign w:val="center"/>
                  <w:hideMark/>
                </w:tcPr>
                <w:p w14:paraId="7AD04E09"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1.8</w:t>
                  </w:r>
                </w:p>
              </w:tc>
              <w:tc>
                <w:tcPr>
                  <w:tcW w:w="709" w:type="dxa"/>
                  <w:tcBorders>
                    <w:top w:val="nil"/>
                    <w:left w:val="nil"/>
                    <w:bottom w:val="nil"/>
                    <w:right w:val="single" w:sz="4" w:space="0" w:color="auto"/>
                  </w:tcBorders>
                  <w:shd w:val="clear" w:color="auto" w:fill="auto"/>
                  <w:noWrap/>
                  <w:vAlign w:val="center"/>
                  <w:hideMark/>
                </w:tcPr>
                <w:p w14:paraId="244EB88A"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-2.0</w:t>
                  </w:r>
                </w:p>
              </w:tc>
              <w:tc>
                <w:tcPr>
                  <w:tcW w:w="709" w:type="dxa"/>
                  <w:tcBorders>
                    <w:top w:val="nil"/>
                    <w:left w:val="nil"/>
                    <w:bottom w:val="nil"/>
                    <w:right w:val="single" w:sz="4" w:space="0" w:color="auto"/>
                  </w:tcBorders>
                  <w:shd w:val="clear" w:color="auto" w:fill="auto"/>
                  <w:noWrap/>
                  <w:vAlign w:val="center"/>
                  <w:hideMark/>
                </w:tcPr>
                <w:p w14:paraId="7B0A56FA"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4.4</w:t>
                  </w:r>
                </w:p>
              </w:tc>
            </w:tr>
            <w:tr w:rsidR="00322670" w:rsidRPr="009D76D9" w14:paraId="41B553C4" w14:textId="77777777" w:rsidTr="00DE1FBB">
              <w:trPr>
                <w:trHeight w:val="70"/>
                <w:jc w:val="center"/>
              </w:trPr>
              <w:tc>
                <w:tcPr>
                  <w:tcW w:w="3383" w:type="dxa"/>
                  <w:tcBorders>
                    <w:top w:val="nil"/>
                    <w:left w:val="single" w:sz="4" w:space="0" w:color="auto"/>
                    <w:bottom w:val="nil"/>
                    <w:right w:val="nil"/>
                  </w:tcBorders>
                  <w:shd w:val="clear" w:color="auto" w:fill="auto"/>
                  <w:noWrap/>
                  <w:vAlign w:val="bottom"/>
                  <w:hideMark/>
                </w:tcPr>
                <w:p w14:paraId="609A19A5" w14:textId="77777777" w:rsidR="00322670" w:rsidRPr="009D76D9" w:rsidRDefault="00322670" w:rsidP="00DE1FBB">
                  <w:pPr>
                    <w:spacing w:after="0" w:line="240" w:lineRule="auto"/>
                    <w:ind w:firstLineChars="200" w:firstLine="32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Rusia</w:t>
                  </w:r>
                </w:p>
              </w:tc>
              <w:tc>
                <w:tcPr>
                  <w:tcW w:w="1148" w:type="dxa"/>
                  <w:tcBorders>
                    <w:top w:val="nil"/>
                    <w:left w:val="nil"/>
                    <w:bottom w:val="nil"/>
                    <w:right w:val="nil"/>
                  </w:tcBorders>
                  <w:shd w:val="clear" w:color="auto" w:fill="auto"/>
                  <w:noWrap/>
                  <w:vAlign w:val="center"/>
                  <w:hideMark/>
                </w:tcPr>
                <w:p w14:paraId="12D6CAE0"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1.1</w:t>
                  </w:r>
                </w:p>
              </w:tc>
              <w:tc>
                <w:tcPr>
                  <w:tcW w:w="709" w:type="dxa"/>
                  <w:tcBorders>
                    <w:top w:val="nil"/>
                    <w:left w:val="nil"/>
                    <w:bottom w:val="nil"/>
                    <w:right w:val="single" w:sz="4" w:space="0" w:color="auto"/>
                  </w:tcBorders>
                  <w:shd w:val="clear" w:color="auto" w:fill="auto"/>
                  <w:noWrap/>
                  <w:vAlign w:val="center"/>
                  <w:hideMark/>
                </w:tcPr>
                <w:p w14:paraId="5531B77C"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-3.1</w:t>
                  </w:r>
                </w:p>
              </w:tc>
              <w:tc>
                <w:tcPr>
                  <w:tcW w:w="709" w:type="dxa"/>
                  <w:tcBorders>
                    <w:top w:val="nil"/>
                    <w:left w:val="nil"/>
                    <w:bottom w:val="nil"/>
                    <w:right w:val="single" w:sz="4" w:space="0" w:color="auto"/>
                  </w:tcBorders>
                  <w:shd w:val="clear" w:color="auto" w:fill="auto"/>
                  <w:noWrap/>
                  <w:vAlign w:val="center"/>
                  <w:hideMark/>
                </w:tcPr>
                <w:p w14:paraId="6F58EE27"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3.8</w:t>
                  </w:r>
                </w:p>
              </w:tc>
            </w:tr>
            <w:tr w:rsidR="00322670" w:rsidRPr="009D76D9" w14:paraId="1EB8EF97" w14:textId="77777777" w:rsidTr="00DE1FBB">
              <w:trPr>
                <w:trHeight w:val="169"/>
                <w:jc w:val="center"/>
              </w:trPr>
              <w:tc>
                <w:tcPr>
                  <w:tcW w:w="3383" w:type="dxa"/>
                  <w:tcBorders>
                    <w:top w:val="nil"/>
                    <w:left w:val="single" w:sz="4" w:space="0" w:color="auto"/>
                    <w:bottom w:val="nil"/>
                    <w:right w:val="nil"/>
                  </w:tcBorders>
                  <w:shd w:val="clear" w:color="000000" w:fill="D9D9D9"/>
                  <w:noWrap/>
                  <w:vAlign w:val="bottom"/>
                  <w:hideMark/>
                </w:tcPr>
                <w:p w14:paraId="645B5AF2" w14:textId="77777777" w:rsidR="00322670" w:rsidRPr="009D76D9" w:rsidRDefault="00322670" w:rsidP="00B45C33">
                  <w:pPr>
                    <w:spacing w:after="0" w:line="240" w:lineRule="auto"/>
                    <w:ind w:firstLineChars="100" w:firstLine="161"/>
                    <w:rPr>
                      <w:rFonts w:ascii="Times New Roman" w:eastAsia="Times New Roman" w:hAnsi="Times New Roman" w:cs="Times New Roman"/>
                      <w:b/>
                      <w:bCs/>
                      <w:color w:val="000000"/>
                      <w:sz w:val="16"/>
                      <w:szCs w:val="16"/>
                      <w:lang w:eastAsia="es-GT"/>
                    </w:rPr>
                  </w:pPr>
                  <w:r w:rsidRPr="009D76D9">
                    <w:rPr>
                      <w:rFonts w:ascii="Times New Roman" w:eastAsia="Times New Roman" w:hAnsi="Times New Roman" w:cs="Times New Roman"/>
                      <w:b/>
                      <w:bCs/>
                      <w:color w:val="000000"/>
                      <w:sz w:val="16"/>
                      <w:szCs w:val="16"/>
                      <w:lang w:eastAsia="es-GT"/>
                    </w:rPr>
                    <w:t>América Latina y el Caribe</w:t>
                  </w:r>
                </w:p>
              </w:tc>
              <w:tc>
                <w:tcPr>
                  <w:tcW w:w="1148" w:type="dxa"/>
                  <w:tcBorders>
                    <w:top w:val="nil"/>
                    <w:left w:val="nil"/>
                    <w:bottom w:val="nil"/>
                    <w:right w:val="nil"/>
                  </w:tcBorders>
                  <w:shd w:val="clear" w:color="000000" w:fill="D9D9D9"/>
                  <w:noWrap/>
                  <w:vAlign w:val="center"/>
                  <w:hideMark/>
                </w:tcPr>
                <w:p w14:paraId="1FBCE077" w14:textId="77777777" w:rsidR="00322670" w:rsidRPr="009D76D9" w:rsidRDefault="00322670" w:rsidP="00DE1FBB">
                  <w:pPr>
                    <w:spacing w:after="0" w:line="240" w:lineRule="auto"/>
                    <w:jc w:val="center"/>
                    <w:rPr>
                      <w:rFonts w:ascii="Times New Roman" w:eastAsia="Times New Roman" w:hAnsi="Times New Roman" w:cs="Times New Roman"/>
                      <w:b/>
                      <w:bCs/>
                      <w:color w:val="000000"/>
                      <w:sz w:val="16"/>
                      <w:szCs w:val="16"/>
                      <w:lang w:eastAsia="es-GT"/>
                    </w:rPr>
                  </w:pPr>
                  <w:r w:rsidRPr="009D76D9">
                    <w:rPr>
                      <w:rFonts w:ascii="Times New Roman" w:eastAsia="Times New Roman" w:hAnsi="Times New Roman" w:cs="Times New Roman"/>
                      <w:b/>
                      <w:bCs/>
                      <w:color w:val="000000"/>
                      <w:sz w:val="16"/>
                      <w:szCs w:val="16"/>
                      <w:lang w:eastAsia="es-GT"/>
                    </w:rPr>
                    <w:t>0.1</w:t>
                  </w:r>
                </w:p>
              </w:tc>
              <w:tc>
                <w:tcPr>
                  <w:tcW w:w="709" w:type="dxa"/>
                  <w:tcBorders>
                    <w:top w:val="nil"/>
                    <w:left w:val="nil"/>
                    <w:bottom w:val="nil"/>
                    <w:right w:val="single" w:sz="4" w:space="0" w:color="auto"/>
                  </w:tcBorders>
                  <w:shd w:val="clear" w:color="000000" w:fill="D9D9D9"/>
                  <w:noWrap/>
                  <w:vAlign w:val="center"/>
                  <w:hideMark/>
                </w:tcPr>
                <w:p w14:paraId="2BFBF3F2" w14:textId="77777777" w:rsidR="00322670" w:rsidRPr="009D76D9" w:rsidRDefault="00322670" w:rsidP="00DE1FBB">
                  <w:pPr>
                    <w:spacing w:after="0" w:line="240" w:lineRule="auto"/>
                    <w:jc w:val="center"/>
                    <w:rPr>
                      <w:rFonts w:ascii="Times New Roman" w:eastAsia="Times New Roman" w:hAnsi="Times New Roman" w:cs="Times New Roman"/>
                      <w:b/>
                      <w:bCs/>
                      <w:color w:val="000000"/>
                      <w:sz w:val="16"/>
                      <w:szCs w:val="16"/>
                      <w:lang w:eastAsia="es-GT"/>
                    </w:rPr>
                  </w:pPr>
                  <w:r w:rsidRPr="009D76D9">
                    <w:rPr>
                      <w:rFonts w:ascii="Times New Roman" w:eastAsia="Times New Roman" w:hAnsi="Times New Roman" w:cs="Times New Roman"/>
                      <w:b/>
                      <w:bCs/>
                      <w:color w:val="000000"/>
                      <w:sz w:val="16"/>
                      <w:szCs w:val="16"/>
                      <w:lang w:eastAsia="es-GT"/>
                    </w:rPr>
                    <w:t>-7.0</w:t>
                  </w:r>
                </w:p>
              </w:tc>
              <w:tc>
                <w:tcPr>
                  <w:tcW w:w="709" w:type="dxa"/>
                  <w:tcBorders>
                    <w:top w:val="nil"/>
                    <w:left w:val="nil"/>
                    <w:bottom w:val="nil"/>
                    <w:right w:val="single" w:sz="4" w:space="0" w:color="auto"/>
                  </w:tcBorders>
                  <w:shd w:val="clear" w:color="000000" w:fill="D9D9D9"/>
                  <w:noWrap/>
                  <w:vAlign w:val="center"/>
                  <w:hideMark/>
                </w:tcPr>
                <w:p w14:paraId="7BCA6606" w14:textId="77777777" w:rsidR="00322670" w:rsidRPr="009D76D9" w:rsidRDefault="00322670" w:rsidP="00DE1FBB">
                  <w:pPr>
                    <w:spacing w:after="0" w:line="240" w:lineRule="auto"/>
                    <w:jc w:val="center"/>
                    <w:rPr>
                      <w:rFonts w:ascii="Times New Roman" w:eastAsia="Times New Roman" w:hAnsi="Times New Roman" w:cs="Times New Roman"/>
                      <w:b/>
                      <w:bCs/>
                      <w:color w:val="000000"/>
                      <w:sz w:val="16"/>
                      <w:szCs w:val="16"/>
                      <w:lang w:eastAsia="es-GT"/>
                    </w:rPr>
                  </w:pPr>
                  <w:r w:rsidRPr="009D76D9">
                    <w:rPr>
                      <w:rFonts w:ascii="Times New Roman" w:eastAsia="Times New Roman" w:hAnsi="Times New Roman" w:cs="Times New Roman"/>
                      <w:b/>
                      <w:bCs/>
                      <w:color w:val="000000"/>
                      <w:sz w:val="16"/>
                      <w:szCs w:val="16"/>
                      <w:lang w:eastAsia="es-GT"/>
                    </w:rPr>
                    <w:t>4.6</w:t>
                  </w:r>
                </w:p>
              </w:tc>
            </w:tr>
            <w:tr w:rsidR="00322670" w:rsidRPr="009D76D9" w14:paraId="0BBA4917" w14:textId="77777777" w:rsidTr="00DE1FBB">
              <w:trPr>
                <w:trHeight w:val="116"/>
                <w:jc w:val="center"/>
              </w:trPr>
              <w:tc>
                <w:tcPr>
                  <w:tcW w:w="3383" w:type="dxa"/>
                  <w:tcBorders>
                    <w:top w:val="nil"/>
                    <w:left w:val="single" w:sz="4" w:space="0" w:color="auto"/>
                    <w:bottom w:val="nil"/>
                    <w:right w:val="nil"/>
                  </w:tcBorders>
                  <w:shd w:val="clear" w:color="auto" w:fill="auto"/>
                  <w:noWrap/>
                  <w:vAlign w:val="bottom"/>
                  <w:hideMark/>
                </w:tcPr>
                <w:p w14:paraId="37CC2DA0" w14:textId="77777777" w:rsidR="00322670" w:rsidRPr="009D76D9" w:rsidRDefault="00322670" w:rsidP="00DE1FBB">
                  <w:pPr>
                    <w:spacing w:after="0" w:line="240" w:lineRule="auto"/>
                    <w:ind w:firstLineChars="200" w:firstLine="32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Brasil</w:t>
                  </w:r>
                </w:p>
              </w:tc>
              <w:tc>
                <w:tcPr>
                  <w:tcW w:w="1148" w:type="dxa"/>
                  <w:tcBorders>
                    <w:top w:val="nil"/>
                    <w:left w:val="nil"/>
                    <w:bottom w:val="nil"/>
                    <w:right w:val="nil"/>
                  </w:tcBorders>
                  <w:shd w:val="clear" w:color="auto" w:fill="auto"/>
                  <w:noWrap/>
                  <w:vAlign w:val="center"/>
                  <w:hideMark/>
                </w:tcPr>
                <w:p w14:paraId="2EFF2EB0"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1.2</w:t>
                  </w:r>
                </w:p>
              </w:tc>
              <w:tc>
                <w:tcPr>
                  <w:tcW w:w="709" w:type="dxa"/>
                  <w:tcBorders>
                    <w:top w:val="nil"/>
                    <w:left w:val="nil"/>
                    <w:bottom w:val="nil"/>
                    <w:right w:val="single" w:sz="4" w:space="0" w:color="auto"/>
                  </w:tcBorders>
                  <w:shd w:val="clear" w:color="auto" w:fill="auto"/>
                  <w:noWrap/>
                  <w:vAlign w:val="center"/>
                  <w:hideMark/>
                </w:tcPr>
                <w:p w14:paraId="0EAEEE6E"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-4.1</w:t>
                  </w:r>
                </w:p>
              </w:tc>
              <w:tc>
                <w:tcPr>
                  <w:tcW w:w="709" w:type="dxa"/>
                  <w:tcBorders>
                    <w:top w:val="nil"/>
                    <w:left w:val="nil"/>
                    <w:bottom w:val="nil"/>
                    <w:right w:val="single" w:sz="4" w:space="0" w:color="auto"/>
                  </w:tcBorders>
                  <w:shd w:val="clear" w:color="auto" w:fill="auto"/>
                  <w:noWrap/>
                  <w:vAlign w:val="center"/>
                  <w:hideMark/>
                </w:tcPr>
                <w:p w14:paraId="67FDB94A"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3.7</w:t>
                  </w:r>
                </w:p>
              </w:tc>
            </w:tr>
            <w:tr w:rsidR="00322670" w:rsidRPr="009D76D9" w14:paraId="05AE191E" w14:textId="77777777" w:rsidTr="00DE1FBB">
              <w:trPr>
                <w:trHeight w:val="231"/>
                <w:jc w:val="center"/>
              </w:trPr>
              <w:tc>
                <w:tcPr>
                  <w:tcW w:w="3383" w:type="dxa"/>
                  <w:tcBorders>
                    <w:top w:val="nil"/>
                    <w:left w:val="single" w:sz="4" w:space="0" w:color="auto"/>
                    <w:bottom w:val="nil"/>
                    <w:right w:val="nil"/>
                  </w:tcBorders>
                  <w:shd w:val="clear" w:color="auto" w:fill="auto"/>
                  <w:noWrap/>
                  <w:vAlign w:val="bottom"/>
                  <w:hideMark/>
                </w:tcPr>
                <w:p w14:paraId="0492BED7" w14:textId="77777777" w:rsidR="00322670" w:rsidRPr="009D76D9" w:rsidRDefault="00322670" w:rsidP="00DE1FBB">
                  <w:pPr>
                    <w:spacing w:after="0" w:line="240" w:lineRule="auto"/>
                    <w:ind w:firstLineChars="200" w:firstLine="32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México</w:t>
                  </w:r>
                </w:p>
              </w:tc>
              <w:tc>
                <w:tcPr>
                  <w:tcW w:w="1148" w:type="dxa"/>
                  <w:tcBorders>
                    <w:top w:val="nil"/>
                    <w:left w:val="nil"/>
                    <w:bottom w:val="nil"/>
                    <w:right w:val="nil"/>
                  </w:tcBorders>
                  <w:shd w:val="clear" w:color="auto" w:fill="auto"/>
                  <w:noWrap/>
                  <w:vAlign w:val="center"/>
                  <w:hideMark/>
                </w:tcPr>
                <w:p w14:paraId="0CAFFC86"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0.0</w:t>
                  </w:r>
                </w:p>
              </w:tc>
              <w:tc>
                <w:tcPr>
                  <w:tcW w:w="709" w:type="dxa"/>
                  <w:tcBorders>
                    <w:top w:val="nil"/>
                    <w:left w:val="nil"/>
                    <w:bottom w:val="nil"/>
                    <w:right w:val="single" w:sz="4" w:space="0" w:color="auto"/>
                  </w:tcBorders>
                  <w:shd w:val="clear" w:color="auto" w:fill="auto"/>
                  <w:noWrap/>
                  <w:vAlign w:val="center"/>
                  <w:hideMark/>
                </w:tcPr>
                <w:p w14:paraId="56775FEB"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-8.2</w:t>
                  </w:r>
                </w:p>
              </w:tc>
              <w:tc>
                <w:tcPr>
                  <w:tcW w:w="709" w:type="dxa"/>
                  <w:tcBorders>
                    <w:top w:val="nil"/>
                    <w:left w:val="nil"/>
                    <w:bottom w:val="nil"/>
                    <w:right w:val="single" w:sz="4" w:space="0" w:color="auto"/>
                  </w:tcBorders>
                  <w:shd w:val="clear" w:color="auto" w:fill="auto"/>
                  <w:noWrap/>
                  <w:vAlign w:val="center"/>
                  <w:hideMark/>
                </w:tcPr>
                <w:p w14:paraId="3CA79FE6"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5.0</w:t>
                  </w:r>
                </w:p>
              </w:tc>
            </w:tr>
            <w:tr w:rsidR="00322670" w:rsidRPr="009D76D9" w14:paraId="4CC1F1E9" w14:textId="77777777" w:rsidTr="00DE1FBB">
              <w:trPr>
                <w:trHeight w:val="70"/>
                <w:jc w:val="center"/>
              </w:trPr>
              <w:tc>
                <w:tcPr>
                  <w:tcW w:w="3383" w:type="dxa"/>
                  <w:tcBorders>
                    <w:top w:val="nil"/>
                    <w:left w:val="single" w:sz="4" w:space="0" w:color="auto"/>
                    <w:bottom w:val="nil"/>
                    <w:right w:val="nil"/>
                  </w:tcBorders>
                  <w:shd w:val="clear" w:color="auto" w:fill="auto"/>
                  <w:noWrap/>
                  <w:vAlign w:val="bottom"/>
                  <w:hideMark/>
                </w:tcPr>
                <w:p w14:paraId="03065038" w14:textId="77777777" w:rsidR="00322670" w:rsidRPr="009D76D9" w:rsidRDefault="00322670" w:rsidP="00DE1FBB">
                  <w:pPr>
                    <w:spacing w:after="0" w:line="240" w:lineRule="auto"/>
                    <w:ind w:firstLineChars="100" w:firstLine="16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Oriente Medio y Asia Central</w:t>
                  </w:r>
                </w:p>
              </w:tc>
              <w:tc>
                <w:tcPr>
                  <w:tcW w:w="1148" w:type="dxa"/>
                  <w:tcBorders>
                    <w:top w:val="nil"/>
                    <w:left w:val="nil"/>
                    <w:bottom w:val="nil"/>
                    <w:right w:val="nil"/>
                  </w:tcBorders>
                  <w:shd w:val="clear" w:color="auto" w:fill="auto"/>
                  <w:noWrap/>
                  <w:vAlign w:val="center"/>
                  <w:hideMark/>
                </w:tcPr>
                <w:p w14:paraId="2440304A"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0.8</w:t>
                  </w:r>
                </w:p>
              </w:tc>
              <w:tc>
                <w:tcPr>
                  <w:tcW w:w="709" w:type="dxa"/>
                  <w:tcBorders>
                    <w:top w:val="nil"/>
                    <w:left w:val="nil"/>
                    <w:bottom w:val="nil"/>
                    <w:right w:val="single" w:sz="4" w:space="0" w:color="auto"/>
                  </w:tcBorders>
                  <w:shd w:val="clear" w:color="auto" w:fill="auto"/>
                  <w:noWrap/>
                  <w:vAlign w:val="center"/>
                  <w:hideMark/>
                </w:tcPr>
                <w:p w14:paraId="4D894659"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-2.9</w:t>
                  </w:r>
                </w:p>
              </w:tc>
              <w:tc>
                <w:tcPr>
                  <w:tcW w:w="709" w:type="dxa"/>
                  <w:tcBorders>
                    <w:top w:val="nil"/>
                    <w:left w:val="nil"/>
                    <w:bottom w:val="nil"/>
                    <w:right w:val="single" w:sz="4" w:space="0" w:color="auto"/>
                  </w:tcBorders>
                  <w:shd w:val="clear" w:color="auto" w:fill="auto"/>
                  <w:noWrap/>
                  <w:vAlign w:val="center"/>
                  <w:hideMark/>
                </w:tcPr>
                <w:p w14:paraId="265CAF68"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3.7</w:t>
                  </w:r>
                </w:p>
              </w:tc>
            </w:tr>
            <w:tr w:rsidR="00322670" w:rsidRPr="009D76D9" w14:paraId="7CE2DE10" w14:textId="77777777" w:rsidTr="00DE1FBB">
              <w:trPr>
                <w:trHeight w:val="96"/>
                <w:jc w:val="center"/>
              </w:trPr>
              <w:tc>
                <w:tcPr>
                  <w:tcW w:w="3383" w:type="dxa"/>
                  <w:tcBorders>
                    <w:top w:val="nil"/>
                    <w:left w:val="single" w:sz="4" w:space="0" w:color="auto"/>
                    <w:bottom w:val="nil"/>
                    <w:right w:val="nil"/>
                  </w:tcBorders>
                  <w:shd w:val="clear" w:color="auto" w:fill="auto"/>
                  <w:noWrap/>
                  <w:vAlign w:val="bottom"/>
                  <w:hideMark/>
                </w:tcPr>
                <w:p w14:paraId="476A5C46" w14:textId="77777777" w:rsidR="00322670" w:rsidRPr="009D76D9" w:rsidRDefault="00322670" w:rsidP="00DE1FBB">
                  <w:pPr>
                    <w:spacing w:after="0" w:line="240" w:lineRule="auto"/>
                    <w:ind w:firstLineChars="200" w:firstLine="32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Arabia Saudita</w:t>
                  </w:r>
                </w:p>
              </w:tc>
              <w:tc>
                <w:tcPr>
                  <w:tcW w:w="1148" w:type="dxa"/>
                  <w:tcBorders>
                    <w:top w:val="nil"/>
                    <w:left w:val="nil"/>
                    <w:bottom w:val="nil"/>
                    <w:right w:val="nil"/>
                  </w:tcBorders>
                  <w:shd w:val="clear" w:color="auto" w:fill="auto"/>
                  <w:noWrap/>
                  <w:vAlign w:val="center"/>
                  <w:hideMark/>
                </w:tcPr>
                <w:p w14:paraId="5662C118"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0.2</w:t>
                  </w:r>
                </w:p>
              </w:tc>
              <w:tc>
                <w:tcPr>
                  <w:tcW w:w="709" w:type="dxa"/>
                  <w:tcBorders>
                    <w:top w:val="nil"/>
                    <w:left w:val="nil"/>
                    <w:bottom w:val="nil"/>
                    <w:right w:val="single" w:sz="4" w:space="0" w:color="auto"/>
                  </w:tcBorders>
                  <w:shd w:val="clear" w:color="auto" w:fill="auto"/>
                  <w:noWrap/>
                  <w:vAlign w:val="center"/>
                  <w:hideMark/>
                </w:tcPr>
                <w:p w14:paraId="2596A37E"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-4.1</w:t>
                  </w:r>
                </w:p>
              </w:tc>
              <w:tc>
                <w:tcPr>
                  <w:tcW w:w="709" w:type="dxa"/>
                  <w:tcBorders>
                    <w:top w:val="nil"/>
                    <w:left w:val="nil"/>
                    <w:bottom w:val="nil"/>
                    <w:right w:val="single" w:sz="4" w:space="0" w:color="auto"/>
                  </w:tcBorders>
                  <w:shd w:val="clear" w:color="auto" w:fill="auto"/>
                  <w:noWrap/>
                  <w:vAlign w:val="center"/>
                  <w:hideMark/>
                </w:tcPr>
                <w:p w14:paraId="1F0AD039"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2.9</w:t>
                  </w:r>
                </w:p>
              </w:tc>
            </w:tr>
            <w:tr w:rsidR="00322670" w:rsidRPr="009D76D9" w14:paraId="18F96317" w14:textId="77777777" w:rsidTr="00DE1FBB">
              <w:trPr>
                <w:trHeight w:val="70"/>
                <w:jc w:val="center"/>
              </w:trPr>
              <w:tc>
                <w:tcPr>
                  <w:tcW w:w="3383" w:type="dxa"/>
                  <w:tcBorders>
                    <w:top w:val="nil"/>
                    <w:left w:val="single" w:sz="4" w:space="0" w:color="auto"/>
                    <w:bottom w:val="nil"/>
                    <w:right w:val="nil"/>
                  </w:tcBorders>
                  <w:shd w:val="clear" w:color="auto" w:fill="auto"/>
                  <w:noWrap/>
                  <w:vAlign w:val="bottom"/>
                  <w:hideMark/>
                </w:tcPr>
                <w:p w14:paraId="266E1755" w14:textId="77777777" w:rsidR="00322670" w:rsidRPr="009D76D9" w:rsidRDefault="00126D07" w:rsidP="00DE1FBB">
                  <w:pPr>
                    <w:spacing w:after="0" w:line="240" w:lineRule="auto"/>
                    <w:ind w:firstLineChars="100" w:firstLine="16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África</w:t>
                  </w:r>
                  <w:r w:rsidR="00322670" w:rsidRPr="009D76D9">
                    <w:rPr>
                      <w:rFonts w:ascii="Times New Roman" w:eastAsia="Times New Roman" w:hAnsi="Times New Roman" w:cs="Times New Roman"/>
                      <w:color w:val="000000"/>
                      <w:sz w:val="16"/>
                      <w:szCs w:val="16"/>
                      <w:lang w:eastAsia="es-GT"/>
                    </w:rPr>
                    <w:t xml:space="preserve"> subsahariana</w:t>
                  </w:r>
                </w:p>
              </w:tc>
              <w:tc>
                <w:tcPr>
                  <w:tcW w:w="1148" w:type="dxa"/>
                  <w:tcBorders>
                    <w:top w:val="nil"/>
                    <w:left w:val="nil"/>
                    <w:bottom w:val="nil"/>
                    <w:right w:val="nil"/>
                  </w:tcBorders>
                  <w:shd w:val="clear" w:color="auto" w:fill="auto"/>
                  <w:noWrap/>
                  <w:vAlign w:val="center"/>
                  <w:hideMark/>
                </w:tcPr>
                <w:p w14:paraId="6881D3BF"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3.3</w:t>
                  </w:r>
                </w:p>
              </w:tc>
              <w:tc>
                <w:tcPr>
                  <w:tcW w:w="709" w:type="dxa"/>
                  <w:tcBorders>
                    <w:top w:val="nil"/>
                    <w:left w:val="nil"/>
                    <w:bottom w:val="nil"/>
                    <w:right w:val="single" w:sz="4" w:space="0" w:color="auto"/>
                  </w:tcBorders>
                  <w:shd w:val="clear" w:color="auto" w:fill="auto"/>
                  <w:noWrap/>
                  <w:vAlign w:val="center"/>
                  <w:hideMark/>
                </w:tcPr>
                <w:p w14:paraId="57A5253F"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-1.9</w:t>
                  </w:r>
                </w:p>
              </w:tc>
              <w:tc>
                <w:tcPr>
                  <w:tcW w:w="709" w:type="dxa"/>
                  <w:tcBorders>
                    <w:top w:val="nil"/>
                    <w:left w:val="nil"/>
                    <w:bottom w:val="nil"/>
                    <w:right w:val="single" w:sz="4" w:space="0" w:color="auto"/>
                  </w:tcBorders>
                  <w:shd w:val="clear" w:color="auto" w:fill="auto"/>
                  <w:noWrap/>
                  <w:vAlign w:val="center"/>
                  <w:hideMark/>
                </w:tcPr>
                <w:p w14:paraId="7592BA13"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3.4</w:t>
                  </w:r>
                </w:p>
              </w:tc>
            </w:tr>
            <w:tr w:rsidR="00322670" w:rsidRPr="009D76D9" w14:paraId="0B8AD9E3" w14:textId="77777777" w:rsidTr="00DE1FBB">
              <w:trPr>
                <w:trHeight w:val="70"/>
                <w:jc w:val="center"/>
              </w:trPr>
              <w:tc>
                <w:tcPr>
                  <w:tcW w:w="3383" w:type="dxa"/>
                  <w:tcBorders>
                    <w:top w:val="nil"/>
                    <w:left w:val="single" w:sz="4" w:space="0" w:color="auto"/>
                    <w:bottom w:val="nil"/>
                    <w:right w:val="nil"/>
                  </w:tcBorders>
                  <w:shd w:val="clear" w:color="auto" w:fill="auto"/>
                  <w:noWrap/>
                  <w:vAlign w:val="bottom"/>
                  <w:hideMark/>
                </w:tcPr>
                <w:p w14:paraId="325B2A52" w14:textId="77777777" w:rsidR="00322670" w:rsidRPr="009D76D9" w:rsidRDefault="00322670" w:rsidP="00DE1FBB">
                  <w:pPr>
                    <w:spacing w:after="0" w:line="240" w:lineRule="auto"/>
                    <w:ind w:firstLineChars="200" w:firstLine="32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Nigeria</w:t>
                  </w:r>
                </w:p>
              </w:tc>
              <w:tc>
                <w:tcPr>
                  <w:tcW w:w="1148" w:type="dxa"/>
                  <w:tcBorders>
                    <w:top w:val="nil"/>
                    <w:left w:val="nil"/>
                    <w:bottom w:val="nil"/>
                    <w:right w:val="nil"/>
                  </w:tcBorders>
                  <w:shd w:val="clear" w:color="auto" w:fill="auto"/>
                  <w:noWrap/>
                  <w:vAlign w:val="center"/>
                  <w:hideMark/>
                </w:tcPr>
                <w:p w14:paraId="6E7351C5"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2.3</w:t>
                  </w:r>
                </w:p>
              </w:tc>
              <w:tc>
                <w:tcPr>
                  <w:tcW w:w="709" w:type="dxa"/>
                  <w:tcBorders>
                    <w:top w:val="nil"/>
                    <w:left w:val="nil"/>
                    <w:bottom w:val="nil"/>
                    <w:right w:val="single" w:sz="4" w:space="0" w:color="auto"/>
                  </w:tcBorders>
                  <w:shd w:val="clear" w:color="auto" w:fill="auto"/>
                  <w:noWrap/>
                  <w:vAlign w:val="center"/>
                  <w:hideMark/>
                </w:tcPr>
                <w:p w14:paraId="5914E56E"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-1.8</w:t>
                  </w:r>
                </w:p>
              </w:tc>
              <w:tc>
                <w:tcPr>
                  <w:tcW w:w="709" w:type="dxa"/>
                  <w:tcBorders>
                    <w:top w:val="nil"/>
                    <w:left w:val="nil"/>
                    <w:bottom w:val="nil"/>
                    <w:right w:val="single" w:sz="4" w:space="0" w:color="auto"/>
                  </w:tcBorders>
                  <w:shd w:val="clear" w:color="auto" w:fill="auto"/>
                  <w:noWrap/>
                  <w:vAlign w:val="center"/>
                  <w:hideMark/>
                </w:tcPr>
                <w:p w14:paraId="11B29856"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2.5</w:t>
                  </w:r>
                </w:p>
              </w:tc>
            </w:tr>
            <w:tr w:rsidR="00322670" w:rsidRPr="009D76D9" w14:paraId="59416668" w14:textId="77777777" w:rsidTr="00DE1FBB">
              <w:trPr>
                <w:trHeight w:val="118"/>
                <w:jc w:val="center"/>
              </w:trPr>
              <w:tc>
                <w:tcPr>
                  <w:tcW w:w="3383" w:type="dxa"/>
                  <w:tcBorders>
                    <w:top w:val="nil"/>
                    <w:left w:val="single" w:sz="4" w:space="0" w:color="auto"/>
                    <w:bottom w:val="single" w:sz="4" w:space="0" w:color="auto"/>
                    <w:right w:val="nil"/>
                  </w:tcBorders>
                  <w:shd w:val="clear" w:color="auto" w:fill="auto"/>
                  <w:noWrap/>
                  <w:vAlign w:val="bottom"/>
                  <w:hideMark/>
                </w:tcPr>
                <w:p w14:paraId="68D5873E" w14:textId="77777777" w:rsidR="00322670" w:rsidRPr="009D76D9" w:rsidRDefault="00322670" w:rsidP="00DE1FBB">
                  <w:pPr>
                    <w:spacing w:after="0" w:line="240" w:lineRule="auto"/>
                    <w:ind w:firstLineChars="200" w:firstLine="320"/>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Sudáfrica</w:t>
                  </w:r>
                </w:p>
              </w:tc>
              <w:tc>
                <w:tcPr>
                  <w:tcW w:w="1148" w:type="dxa"/>
                  <w:tcBorders>
                    <w:top w:val="nil"/>
                    <w:left w:val="nil"/>
                    <w:bottom w:val="single" w:sz="4" w:space="0" w:color="auto"/>
                    <w:right w:val="nil"/>
                  </w:tcBorders>
                  <w:shd w:val="clear" w:color="auto" w:fill="auto"/>
                  <w:noWrap/>
                  <w:vAlign w:val="center"/>
                  <w:hideMark/>
                </w:tcPr>
                <w:p w14:paraId="62B2550D"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0.4</w:t>
                  </w:r>
                </w:p>
              </w:tc>
              <w:tc>
                <w:tcPr>
                  <w:tcW w:w="709" w:type="dxa"/>
                  <w:tcBorders>
                    <w:top w:val="nil"/>
                    <w:left w:val="nil"/>
                    <w:bottom w:val="single" w:sz="4" w:space="0" w:color="auto"/>
                    <w:right w:val="single" w:sz="4" w:space="0" w:color="auto"/>
                  </w:tcBorders>
                  <w:shd w:val="clear" w:color="auto" w:fill="auto"/>
                  <w:noWrap/>
                  <w:vAlign w:val="center"/>
                  <w:hideMark/>
                </w:tcPr>
                <w:p w14:paraId="6E75B367"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-7.0</w:t>
                  </w:r>
                </w:p>
              </w:tc>
              <w:tc>
                <w:tcPr>
                  <w:tcW w:w="709" w:type="dxa"/>
                  <w:tcBorders>
                    <w:top w:val="nil"/>
                    <w:left w:val="nil"/>
                    <w:bottom w:val="single" w:sz="4" w:space="0" w:color="auto"/>
                    <w:right w:val="single" w:sz="4" w:space="0" w:color="auto"/>
                  </w:tcBorders>
                  <w:shd w:val="clear" w:color="auto" w:fill="auto"/>
                  <w:noWrap/>
                  <w:vAlign w:val="center"/>
                  <w:hideMark/>
                </w:tcPr>
                <w:p w14:paraId="347074E6" w14:textId="77777777" w:rsidR="00322670" w:rsidRPr="009D76D9" w:rsidRDefault="00322670" w:rsidP="00DE1FBB">
                  <w:pPr>
                    <w:spacing w:after="0" w:line="240" w:lineRule="auto"/>
                    <w:jc w:val="center"/>
                    <w:rPr>
                      <w:rFonts w:ascii="Times New Roman" w:eastAsia="Times New Roman" w:hAnsi="Times New Roman" w:cs="Times New Roman"/>
                      <w:color w:val="000000"/>
                      <w:sz w:val="16"/>
                      <w:szCs w:val="16"/>
                      <w:lang w:eastAsia="es-GT"/>
                    </w:rPr>
                  </w:pPr>
                  <w:r w:rsidRPr="009D76D9">
                    <w:rPr>
                      <w:rFonts w:ascii="Times New Roman" w:eastAsia="Times New Roman" w:hAnsi="Times New Roman" w:cs="Times New Roman"/>
                      <w:color w:val="000000"/>
                      <w:sz w:val="16"/>
                      <w:szCs w:val="16"/>
                      <w:lang w:eastAsia="es-GT"/>
                    </w:rPr>
                    <w:t>3.1</w:t>
                  </w:r>
                </w:p>
              </w:tc>
            </w:tr>
          </w:tbl>
          <w:p w14:paraId="3D028F3B" w14:textId="77777777" w:rsidR="00322670" w:rsidRDefault="00322670" w:rsidP="00DE1FBB">
            <w:pPr>
              <w:jc w:val="both"/>
              <w:rPr>
                <w:rFonts w:ascii="Times New Roman" w:hAnsi="Times New Roman" w:cs="Times New Roman"/>
                <w:color w:val="FF0000"/>
              </w:rPr>
            </w:pPr>
          </w:p>
        </w:tc>
      </w:tr>
      <w:tr w:rsidR="00322670" w14:paraId="70ED8A38" w14:textId="77777777" w:rsidTr="00DE1FBB">
        <w:tc>
          <w:tcPr>
            <w:tcW w:w="8828" w:type="dxa"/>
          </w:tcPr>
          <w:p w14:paraId="22CBC606" w14:textId="4EF0F404" w:rsidR="00322670" w:rsidRPr="00EC77E9" w:rsidRDefault="00126D07" w:rsidP="00DE1FBB">
            <w:pPr>
              <w:rPr>
                <w:rFonts w:ascii="Times New Roman" w:hAnsi="Times New Roman" w:cs="Times New Roman"/>
                <w:sz w:val="16"/>
                <w:szCs w:val="16"/>
              </w:rPr>
            </w:pPr>
            <w:r>
              <w:rPr>
                <w:rFonts w:ascii="Times New Roman" w:hAnsi="Times New Roman" w:cs="Times New Roman"/>
                <w:sz w:val="16"/>
                <w:szCs w:val="16"/>
              </w:rPr>
              <w:t xml:space="preserve">                                  </w:t>
            </w:r>
            <w:r w:rsidR="00322670" w:rsidRPr="00EC77E9">
              <w:rPr>
                <w:rFonts w:ascii="Times New Roman" w:hAnsi="Times New Roman" w:cs="Times New Roman"/>
                <w:sz w:val="16"/>
                <w:szCs w:val="16"/>
              </w:rPr>
              <w:t>Fuente: FMI</w:t>
            </w:r>
            <w:r w:rsidR="00322670">
              <w:rPr>
                <w:rFonts w:ascii="Times New Roman" w:hAnsi="Times New Roman" w:cs="Times New Roman"/>
                <w:sz w:val="16"/>
                <w:szCs w:val="16"/>
              </w:rPr>
              <w:t>, WEO abril 2021</w:t>
            </w:r>
          </w:p>
          <w:p w14:paraId="7E78875A" w14:textId="77777777" w:rsidR="00322670" w:rsidRDefault="00322670" w:rsidP="00DE1FBB">
            <w:pPr>
              <w:jc w:val="both"/>
              <w:rPr>
                <w:rFonts w:ascii="Times New Roman" w:hAnsi="Times New Roman" w:cs="Times New Roman"/>
                <w:color w:val="FF0000"/>
              </w:rPr>
            </w:pPr>
          </w:p>
        </w:tc>
      </w:tr>
    </w:tbl>
    <w:p w14:paraId="63DC705E" w14:textId="77777777" w:rsidR="00322670" w:rsidRDefault="00322670" w:rsidP="00322670">
      <w:pPr>
        <w:spacing w:after="0" w:line="240" w:lineRule="auto"/>
        <w:jc w:val="both"/>
        <w:rPr>
          <w:rFonts w:ascii="Times New Roman" w:hAnsi="Times New Roman" w:cs="Times New Roman"/>
        </w:rPr>
      </w:pPr>
    </w:p>
    <w:p w14:paraId="1ACFA0E4" w14:textId="77777777" w:rsidR="00322670" w:rsidRDefault="00322670" w:rsidP="00322670">
      <w:pPr>
        <w:spacing w:after="0" w:line="240" w:lineRule="auto"/>
        <w:jc w:val="both"/>
        <w:rPr>
          <w:rFonts w:ascii="Times New Roman" w:hAnsi="Times New Roman" w:cs="Times New Roman"/>
        </w:rPr>
      </w:pPr>
      <w:r w:rsidRPr="00983007">
        <w:rPr>
          <w:rFonts w:ascii="Times New Roman" w:hAnsi="Times New Roman" w:cs="Times New Roman"/>
        </w:rPr>
        <w:t>En Oriente Medio y</w:t>
      </w:r>
      <w:r>
        <w:rPr>
          <w:rFonts w:ascii="Times New Roman" w:hAnsi="Times New Roman" w:cs="Times New Roman"/>
        </w:rPr>
        <w:t xml:space="preserve"> Asia Central, las proyecciones </w:t>
      </w:r>
      <w:r w:rsidRPr="00983007">
        <w:rPr>
          <w:rFonts w:ascii="Times New Roman" w:hAnsi="Times New Roman" w:cs="Times New Roman"/>
        </w:rPr>
        <w:t>para 2021 se ma</w:t>
      </w:r>
      <w:r>
        <w:rPr>
          <w:rFonts w:ascii="Times New Roman" w:hAnsi="Times New Roman" w:cs="Times New Roman"/>
        </w:rPr>
        <w:t xml:space="preserve">ntienen más o menos invariadas, </w:t>
      </w:r>
      <w:r w:rsidRPr="00983007">
        <w:rPr>
          <w:rFonts w:ascii="Times New Roman" w:hAnsi="Times New Roman" w:cs="Times New Roman"/>
        </w:rPr>
        <w:t>pero reflejan diferencias s</w:t>
      </w:r>
      <w:r>
        <w:rPr>
          <w:rFonts w:ascii="Times New Roman" w:hAnsi="Times New Roman" w:cs="Times New Roman"/>
        </w:rPr>
        <w:t xml:space="preserve">ignificativas entre los países, </w:t>
      </w:r>
      <w:r w:rsidRPr="00983007">
        <w:rPr>
          <w:rFonts w:ascii="Times New Roman" w:hAnsi="Times New Roman" w:cs="Times New Roman"/>
        </w:rPr>
        <w:t xml:space="preserve">según la evolución </w:t>
      </w:r>
      <w:r>
        <w:rPr>
          <w:rFonts w:ascii="Times New Roman" w:hAnsi="Times New Roman" w:cs="Times New Roman"/>
        </w:rPr>
        <w:t xml:space="preserve">de la pandemia, las campañas de </w:t>
      </w:r>
      <w:r w:rsidRPr="00983007">
        <w:rPr>
          <w:rFonts w:ascii="Times New Roman" w:hAnsi="Times New Roman" w:cs="Times New Roman"/>
        </w:rPr>
        <w:t>vacunación, la dependen</w:t>
      </w:r>
      <w:r>
        <w:rPr>
          <w:rFonts w:ascii="Times New Roman" w:hAnsi="Times New Roman" w:cs="Times New Roman"/>
        </w:rPr>
        <w:t xml:space="preserve">cia del turismo, la trayectoria </w:t>
      </w:r>
      <w:r w:rsidRPr="00983007">
        <w:rPr>
          <w:rFonts w:ascii="Times New Roman" w:hAnsi="Times New Roman" w:cs="Times New Roman"/>
        </w:rPr>
        <w:t>d</w:t>
      </w:r>
      <w:r>
        <w:rPr>
          <w:rFonts w:ascii="Times New Roman" w:hAnsi="Times New Roman" w:cs="Times New Roman"/>
        </w:rPr>
        <w:t xml:space="preserve">e los precios del petróleo, las medidas de política y </w:t>
      </w:r>
      <w:r w:rsidRPr="00983007">
        <w:rPr>
          <w:rFonts w:ascii="Times New Roman" w:hAnsi="Times New Roman" w:cs="Times New Roman"/>
        </w:rPr>
        <w:t xml:space="preserve">su margen de acción. En promedio, los </w:t>
      </w:r>
      <w:r>
        <w:rPr>
          <w:rFonts w:ascii="Times New Roman" w:hAnsi="Times New Roman" w:cs="Times New Roman"/>
        </w:rPr>
        <w:t xml:space="preserve">países que se </w:t>
      </w:r>
      <w:r w:rsidRPr="00983007">
        <w:rPr>
          <w:rFonts w:ascii="Times New Roman" w:hAnsi="Times New Roman" w:cs="Times New Roman"/>
        </w:rPr>
        <w:t xml:space="preserve">apresuraron a vacunar </w:t>
      </w:r>
      <w:r>
        <w:rPr>
          <w:rFonts w:ascii="Times New Roman" w:hAnsi="Times New Roman" w:cs="Times New Roman"/>
        </w:rPr>
        <w:t xml:space="preserve">tienen por delante perspectivas </w:t>
      </w:r>
      <w:r w:rsidRPr="00983007">
        <w:rPr>
          <w:rFonts w:ascii="Times New Roman" w:hAnsi="Times New Roman" w:cs="Times New Roman"/>
        </w:rPr>
        <w:t>relativamente más favor</w:t>
      </w:r>
      <w:r>
        <w:rPr>
          <w:rFonts w:ascii="Times New Roman" w:hAnsi="Times New Roman" w:cs="Times New Roman"/>
        </w:rPr>
        <w:t xml:space="preserve">ables, en tanto que los Estados </w:t>
      </w:r>
      <w:r w:rsidRPr="00983007">
        <w:rPr>
          <w:rFonts w:ascii="Times New Roman" w:hAnsi="Times New Roman" w:cs="Times New Roman"/>
        </w:rPr>
        <w:t>frágiles y afectados p</w:t>
      </w:r>
      <w:r>
        <w:rPr>
          <w:rFonts w:ascii="Times New Roman" w:hAnsi="Times New Roman" w:cs="Times New Roman"/>
        </w:rPr>
        <w:t xml:space="preserve">or conflictos, que posiblemente </w:t>
      </w:r>
      <w:r w:rsidRPr="00983007">
        <w:rPr>
          <w:rFonts w:ascii="Times New Roman" w:hAnsi="Times New Roman" w:cs="Times New Roman"/>
        </w:rPr>
        <w:t xml:space="preserve">tengan que apoyarse en </w:t>
      </w:r>
      <w:r>
        <w:rPr>
          <w:rFonts w:ascii="Times New Roman" w:hAnsi="Times New Roman" w:cs="Times New Roman"/>
        </w:rPr>
        <w:t xml:space="preserve">el suministro más limitado </w:t>
      </w:r>
      <w:r w:rsidRPr="00983007">
        <w:rPr>
          <w:rFonts w:ascii="Times New Roman" w:hAnsi="Times New Roman" w:cs="Times New Roman"/>
        </w:rPr>
        <w:t>organizado por COVA</w:t>
      </w:r>
      <w:r>
        <w:rPr>
          <w:rFonts w:ascii="Times New Roman" w:hAnsi="Times New Roman" w:cs="Times New Roman"/>
        </w:rPr>
        <w:t xml:space="preserve">X, enfrentan perspectivas menos favorables. </w:t>
      </w:r>
    </w:p>
    <w:p w14:paraId="2A5BFD08" w14:textId="77777777" w:rsidR="00322670" w:rsidRDefault="00322670" w:rsidP="00322670">
      <w:pPr>
        <w:spacing w:after="0" w:line="240" w:lineRule="auto"/>
        <w:jc w:val="both"/>
        <w:rPr>
          <w:rFonts w:ascii="Times New Roman" w:hAnsi="Times New Roman" w:cs="Times New Roman"/>
        </w:rPr>
      </w:pPr>
    </w:p>
    <w:p w14:paraId="2606EA35" w14:textId="77777777" w:rsidR="00322670" w:rsidRDefault="00322670" w:rsidP="00322670">
      <w:pPr>
        <w:spacing w:after="0" w:line="240" w:lineRule="auto"/>
        <w:jc w:val="both"/>
        <w:rPr>
          <w:rFonts w:ascii="Times New Roman" w:hAnsi="Times New Roman" w:cs="Times New Roman"/>
        </w:rPr>
      </w:pPr>
      <w:r>
        <w:rPr>
          <w:rFonts w:ascii="Times New Roman" w:hAnsi="Times New Roman" w:cs="Times New Roman"/>
        </w:rPr>
        <w:t xml:space="preserve">En América Latina y el Caribe en 2021 se espera </w:t>
      </w:r>
      <w:r w:rsidRPr="00983007">
        <w:rPr>
          <w:rFonts w:ascii="Times New Roman" w:hAnsi="Times New Roman" w:cs="Times New Roman"/>
        </w:rPr>
        <w:t>una recuperación tímida y a distintas ve</w:t>
      </w:r>
      <w:r>
        <w:rPr>
          <w:rFonts w:ascii="Times New Roman" w:hAnsi="Times New Roman" w:cs="Times New Roman"/>
        </w:rPr>
        <w:t xml:space="preserve">locidades, gracias al repunte </w:t>
      </w:r>
      <w:r w:rsidRPr="00983007">
        <w:rPr>
          <w:rFonts w:ascii="Times New Roman" w:hAnsi="Times New Roman" w:cs="Times New Roman"/>
        </w:rPr>
        <w:t>de la manufactura mu</w:t>
      </w:r>
      <w:r>
        <w:rPr>
          <w:rFonts w:ascii="Times New Roman" w:hAnsi="Times New Roman" w:cs="Times New Roman"/>
        </w:rPr>
        <w:t xml:space="preserve">ndial en el segundo semestre de </w:t>
      </w:r>
      <w:r w:rsidRPr="00983007">
        <w:rPr>
          <w:rFonts w:ascii="Times New Roman" w:hAnsi="Times New Roman" w:cs="Times New Roman"/>
        </w:rPr>
        <w:t>2020, el crecimiento sup</w:t>
      </w:r>
      <w:r>
        <w:rPr>
          <w:rFonts w:ascii="Times New Roman" w:hAnsi="Times New Roman" w:cs="Times New Roman"/>
        </w:rPr>
        <w:t xml:space="preserve">eró las expectativas en algunos </w:t>
      </w:r>
      <w:r w:rsidRPr="00983007">
        <w:rPr>
          <w:rFonts w:ascii="Times New Roman" w:hAnsi="Times New Roman" w:cs="Times New Roman"/>
        </w:rPr>
        <w:t>países exportadores gra</w:t>
      </w:r>
      <w:r>
        <w:rPr>
          <w:rFonts w:ascii="Times New Roman" w:hAnsi="Times New Roman" w:cs="Times New Roman"/>
        </w:rPr>
        <w:t>ndes de la región, como Argentina, Brasil y</w:t>
      </w:r>
      <w:r w:rsidRPr="00983007">
        <w:rPr>
          <w:rFonts w:ascii="Times New Roman" w:hAnsi="Times New Roman" w:cs="Times New Roman"/>
        </w:rPr>
        <w:t xml:space="preserve"> P</w:t>
      </w:r>
      <w:r>
        <w:rPr>
          <w:rFonts w:ascii="Times New Roman" w:hAnsi="Times New Roman" w:cs="Times New Roman"/>
        </w:rPr>
        <w:t>erú, con lo cual el pronóstico para 2021 asciende a 4.6%</w:t>
      </w:r>
      <w:r w:rsidRPr="00983007">
        <w:rPr>
          <w:rFonts w:ascii="Times New Roman" w:hAnsi="Times New Roman" w:cs="Times New Roman"/>
        </w:rPr>
        <w:t>. No obstant</w:t>
      </w:r>
      <w:r>
        <w:rPr>
          <w:rFonts w:ascii="Times New Roman" w:hAnsi="Times New Roman" w:cs="Times New Roman"/>
        </w:rPr>
        <w:t xml:space="preserve">e, las perspectivas a más largo </w:t>
      </w:r>
      <w:r w:rsidRPr="00983007">
        <w:rPr>
          <w:rFonts w:ascii="Times New Roman" w:hAnsi="Times New Roman" w:cs="Times New Roman"/>
        </w:rPr>
        <w:t>plazo siguen dependien</w:t>
      </w:r>
      <w:r>
        <w:rPr>
          <w:rFonts w:ascii="Times New Roman" w:hAnsi="Times New Roman" w:cs="Times New Roman"/>
        </w:rPr>
        <w:t xml:space="preserve">do de la trayectoria de la pandemia. Con algunas excepciones, como, </w:t>
      </w:r>
      <w:r w:rsidRPr="00983007">
        <w:rPr>
          <w:rFonts w:ascii="Times New Roman" w:hAnsi="Times New Roman" w:cs="Times New Roman"/>
        </w:rPr>
        <w:t>por ejemp</w:t>
      </w:r>
      <w:r>
        <w:rPr>
          <w:rFonts w:ascii="Times New Roman" w:hAnsi="Times New Roman" w:cs="Times New Roman"/>
        </w:rPr>
        <w:t>lo, Chile, Costa Rica y México</w:t>
      </w:r>
      <w:r w:rsidRPr="00983007">
        <w:rPr>
          <w:rFonts w:ascii="Times New Roman" w:hAnsi="Times New Roman" w:cs="Times New Roman"/>
        </w:rPr>
        <w:t>, en la mayo</w:t>
      </w:r>
      <w:r>
        <w:rPr>
          <w:rFonts w:ascii="Times New Roman" w:hAnsi="Times New Roman" w:cs="Times New Roman"/>
        </w:rPr>
        <w:t xml:space="preserve">r parte de los países no se han </w:t>
      </w:r>
      <w:r w:rsidRPr="00983007">
        <w:rPr>
          <w:rFonts w:ascii="Times New Roman" w:hAnsi="Times New Roman" w:cs="Times New Roman"/>
        </w:rPr>
        <w:t xml:space="preserve">garantizado suficientes </w:t>
      </w:r>
      <w:r>
        <w:rPr>
          <w:rFonts w:ascii="Times New Roman" w:hAnsi="Times New Roman" w:cs="Times New Roman"/>
        </w:rPr>
        <w:t xml:space="preserve">vacunas para toda la población. </w:t>
      </w:r>
      <w:r w:rsidRPr="00983007">
        <w:rPr>
          <w:rFonts w:ascii="Times New Roman" w:hAnsi="Times New Roman" w:cs="Times New Roman"/>
        </w:rPr>
        <w:t>Además, las proyecci</w:t>
      </w:r>
      <w:r>
        <w:rPr>
          <w:rFonts w:ascii="Times New Roman" w:hAnsi="Times New Roman" w:cs="Times New Roman"/>
        </w:rPr>
        <w:t xml:space="preserve">ones para 2021 de las economías </w:t>
      </w:r>
      <w:r w:rsidRPr="00983007">
        <w:rPr>
          <w:rFonts w:ascii="Times New Roman" w:hAnsi="Times New Roman" w:cs="Times New Roman"/>
        </w:rPr>
        <w:t>caribeñas dependientes del turismo han sido revisadas a</w:t>
      </w:r>
      <w:r>
        <w:rPr>
          <w:rFonts w:ascii="Times New Roman" w:hAnsi="Times New Roman" w:cs="Times New Roman"/>
        </w:rPr>
        <w:t xml:space="preserve"> la baja en 1.</w:t>
      </w:r>
      <w:r w:rsidRPr="00983007">
        <w:rPr>
          <w:rFonts w:ascii="Times New Roman" w:hAnsi="Times New Roman" w:cs="Times New Roman"/>
        </w:rPr>
        <w:t>5 pun</w:t>
      </w:r>
      <w:r>
        <w:rPr>
          <w:rFonts w:ascii="Times New Roman" w:hAnsi="Times New Roman" w:cs="Times New Roman"/>
        </w:rPr>
        <w:t>tos porcentuales, a 2.</w:t>
      </w:r>
      <w:r w:rsidRPr="00983007">
        <w:rPr>
          <w:rFonts w:ascii="Times New Roman" w:hAnsi="Times New Roman" w:cs="Times New Roman"/>
        </w:rPr>
        <w:t>4%.</w:t>
      </w:r>
    </w:p>
    <w:p w14:paraId="7253C5F9" w14:textId="77777777" w:rsidR="00322670" w:rsidRPr="009E2D94" w:rsidRDefault="00322670" w:rsidP="00322670">
      <w:pPr>
        <w:spacing w:after="0" w:line="240" w:lineRule="auto"/>
        <w:jc w:val="both"/>
        <w:rPr>
          <w:rFonts w:ascii="Times New Roman" w:hAnsi="Times New Roman" w:cs="Times New Roman"/>
        </w:rPr>
      </w:pPr>
    </w:p>
    <w:p w14:paraId="12DECFAE" w14:textId="77777777" w:rsidR="00322670" w:rsidRPr="00B61D64" w:rsidRDefault="00322670" w:rsidP="001032E7">
      <w:pPr>
        <w:pStyle w:val="Prrafodelista"/>
        <w:keepNext/>
        <w:keepLines/>
        <w:numPr>
          <w:ilvl w:val="0"/>
          <w:numId w:val="29"/>
        </w:numPr>
        <w:spacing w:after="0" w:line="276" w:lineRule="auto"/>
        <w:contextualSpacing w:val="0"/>
        <w:outlineLvl w:val="2"/>
        <w:rPr>
          <w:rFonts w:ascii="Times New Roman" w:eastAsiaTheme="majorEastAsia" w:hAnsi="Times New Roman" w:cs="Times New Roman"/>
          <w:b/>
          <w:vanish/>
          <w:sz w:val="24"/>
          <w:szCs w:val="24"/>
          <w:lang w:val="es-MX"/>
        </w:rPr>
      </w:pPr>
      <w:bookmarkStart w:id="45" w:name="_Toc69803260"/>
      <w:bookmarkStart w:id="46" w:name="_Toc71110105"/>
      <w:bookmarkStart w:id="47" w:name="_Toc71724705"/>
      <w:bookmarkStart w:id="48" w:name="_Toc71792492"/>
      <w:bookmarkStart w:id="49" w:name="_Toc72489346"/>
      <w:bookmarkStart w:id="50" w:name="_Toc73093068"/>
      <w:bookmarkStart w:id="51" w:name="_Toc73095079"/>
      <w:bookmarkStart w:id="52" w:name="_Toc73095183"/>
      <w:bookmarkStart w:id="53" w:name="_Toc73513930"/>
      <w:bookmarkStart w:id="54" w:name="_Toc81571706"/>
      <w:bookmarkStart w:id="55" w:name="_Toc81571827"/>
      <w:bookmarkEnd w:id="45"/>
      <w:bookmarkEnd w:id="46"/>
      <w:bookmarkEnd w:id="47"/>
      <w:bookmarkEnd w:id="48"/>
      <w:bookmarkEnd w:id="49"/>
      <w:bookmarkEnd w:id="50"/>
      <w:bookmarkEnd w:id="51"/>
      <w:bookmarkEnd w:id="52"/>
      <w:bookmarkEnd w:id="53"/>
      <w:bookmarkEnd w:id="54"/>
      <w:bookmarkEnd w:id="55"/>
    </w:p>
    <w:p w14:paraId="7B8419AC" w14:textId="4BC1A6D5" w:rsidR="00322670" w:rsidRPr="009A135D" w:rsidRDefault="00ED116C" w:rsidP="009A135D">
      <w:pPr>
        <w:pStyle w:val="Ttulo2"/>
        <w:numPr>
          <w:ilvl w:val="1"/>
          <w:numId w:val="28"/>
        </w:numPr>
        <w:tabs>
          <w:tab w:val="left" w:pos="851"/>
        </w:tabs>
        <w:spacing w:before="0" w:line="276" w:lineRule="auto"/>
        <w:ind w:left="426"/>
        <w:rPr>
          <w:rFonts w:ascii="Times New Roman" w:hAnsi="Times New Roman" w:cs="Times New Roman"/>
          <w:color w:val="auto"/>
          <w:sz w:val="24"/>
          <w:szCs w:val="24"/>
          <w:lang w:val="es-MX"/>
        </w:rPr>
      </w:pPr>
      <w:bookmarkStart w:id="56" w:name="_Toc72489347"/>
      <w:r w:rsidRPr="004E247B">
        <w:rPr>
          <w:rFonts w:ascii="Times New Roman" w:hAnsi="Times New Roman" w:cs="Times New Roman"/>
          <w:color w:val="auto"/>
          <w:sz w:val="24"/>
          <w:szCs w:val="24"/>
          <w:lang w:val="es-MX"/>
        </w:rPr>
        <w:t xml:space="preserve"> </w:t>
      </w:r>
      <w:bookmarkStart w:id="57" w:name="_Toc81571828"/>
      <w:r w:rsidR="00322670" w:rsidRPr="004E247B">
        <w:rPr>
          <w:rFonts w:ascii="Times New Roman" w:hAnsi="Times New Roman" w:cs="Times New Roman"/>
          <w:color w:val="auto"/>
          <w:sz w:val="24"/>
          <w:szCs w:val="24"/>
          <w:lang w:val="es-MX"/>
        </w:rPr>
        <w:t>Principales socios comerciales</w:t>
      </w:r>
      <w:bookmarkEnd w:id="56"/>
      <w:bookmarkEnd w:id="57"/>
    </w:p>
    <w:p w14:paraId="49F6069A" w14:textId="77777777" w:rsidR="004E247B" w:rsidRPr="004E247B" w:rsidRDefault="004E247B" w:rsidP="004E247B">
      <w:pPr>
        <w:pStyle w:val="Prrafodelista"/>
        <w:keepNext/>
        <w:keepLines/>
        <w:numPr>
          <w:ilvl w:val="1"/>
          <w:numId w:val="29"/>
        </w:numPr>
        <w:tabs>
          <w:tab w:val="left" w:pos="993"/>
          <w:tab w:val="left" w:pos="1134"/>
        </w:tabs>
        <w:spacing w:after="0" w:line="240" w:lineRule="auto"/>
        <w:contextualSpacing w:val="0"/>
        <w:outlineLvl w:val="2"/>
        <w:rPr>
          <w:rFonts w:ascii="Times New Roman" w:eastAsiaTheme="majorEastAsia" w:hAnsi="Times New Roman" w:cs="Times New Roman"/>
          <w:b/>
          <w:vanish/>
          <w:sz w:val="24"/>
          <w:szCs w:val="24"/>
          <w:lang w:val="es-MX"/>
        </w:rPr>
      </w:pPr>
      <w:bookmarkStart w:id="58" w:name="_Toc81571708"/>
      <w:bookmarkStart w:id="59" w:name="_Toc81571829"/>
      <w:bookmarkStart w:id="60" w:name="_Toc72489348"/>
      <w:bookmarkEnd w:id="58"/>
      <w:bookmarkEnd w:id="59"/>
    </w:p>
    <w:p w14:paraId="7BE1D579" w14:textId="77777777" w:rsidR="004E247B" w:rsidRPr="004E247B" w:rsidRDefault="004E247B" w:rsidP="004E247B">
      <w:pPr>
        <w:pStyle w:val="Prrafodelista"/>
        <w:keepNext/>
        <w:keepLines/>
        <w:numPr>
          <w:ilvl w:val="1"/>
          <w:numId w:val="29"/>
        </w:numPr>
        <w:tabs>
          <w:tab w:val="left" w:pos="993"/>
          <w:tab w:val="left" w:pos="1134"/>
        </w:tabs>
        <w:spacing w:after="0" w:line="240" w:lineRule="auto"/>
        <w:contextualSpacing w:val="0"/>
        <w:outlineLvl w:val="2"/>
        <w:rPr>
          <w:rFonts w:ascii="Times New Roman" w:eastAsiaTheme="majorEastAsia" w:hAnsi="Times New Roman" w:cs="Times New Roman"/>
          <w:b/>
          <w:vanish/>
          <w:sz w:val="24"/>
          <w:szCs w:val="24"/>
          <w:lang w:val="es-MX"/>
        </w:rPr>
      </w:pPr>
      <w:bookmarkStart w:id="61" w:name="_Toc81571709"/>
      <w:bookmarkStart w:id="62" w:name="_Toc81571830"/>
      <w:bookmarkEnd w:id="61"/>
      <w:bookmarkEnd w:id="62"/>
    </w:p>
    <w:p w14:paraId="15D9E521" w14:textId="7E6821B3" w:rsidR="00322670" w:rsidRPr="002C662A" w:rsidRDefault="00322670" w:rsidP="004E247B">
      <w:pPr>
        <w:pStyle w:val="Ttulo3"/>
        <w:numPr>
          <w:ilvl w:val="2"/>
          <w:numId w:val="29"/>
        </w:numPr>
        <w:tabs>
          <w:tab w:val="left" w:pos="993"/>
          <w:tab w:val="left" w:pos="1134"/>
        </w:tabs>
        <w:spacing w:before="0" w:line="240" w:lineRule="auto"/>
        <w:ind w:left="1033"/>
        <w:rPr>
          <w:rFonts w:ascii="Times New Roman" w:hAnsi="Times New Roman" w:cs="Times New Roman"/>
          <w:b/>
          <w:color w:val="auto"/>
          <w:lang w:val="es-MX"/>
        </w:rPr>
      </w:pPr>
      <w:bookmarkStart w:id="63" w:name="_Toc81571831"/>
      <w:r w:rsidRPr="002C662A">
        <w:rPr>
          <w:rFonts w:ascii="Times New Roman" w:hAnsi="Times New Roman" w:cs="Times New Roman"/>
          <w:b/>
          <w:color w:val="auto"/>
          <w:lang w:val="es-MX"/>
        </w:rPr>
        <w:t>Estados Unidos de América</w:t>
      </w:r>
      <w:bookmarkEnd w:id="60"/>
      <w:bookmarkEnd w:id="63"/>
    </w:p>
    <w:p w14:paraId="6337F063" w14:textId="77777777" w:rsidR="00322670" w:rsidRPr="0062341C" w:rsidRDefault="00322670" w:rsidP="00322670">
      <w:pPr>
        <w:spacing w:after="0" w:line="240" w:lineRule="auto"/>
        <w:rPr>
          <w:color w:val="FF0000"/>
          <w:lang w:val="es-MX"/>
        </w:rPr>
      </w:pPr>
    </w:p>
    <w:p w14:paraId="740DF827" w14:textId="77777777" w:rsidR="00322670" w:rsidRPr="00813C95" w:rsidRDefault="00322670" w:rsidP="00322670">
      <w:pPr>
        <w:spacing w:after="0" w:line="240" w:lineRule="auto"/>
        <w:jc w:val="both"/>
        <w:rPr>
          <w:rFonts w:ascii="Times New Roman" w:hAnsi="Times New Roman" w:cs="Times New Roman"/>
        </w:rPr>
      </w:pPr>
      <w:r w:rsidRPr="00813C95">
        <w:rPr>
          <w:rFonts w:ascii="Times New Roman" w:hAnsi="Times New Roman" w:cs="Times New Roman"/>
        </w:rPr>
        <w:t>La economía</w:t>
      </w:r>
      <w:r>
        <w:rPr>
          <w:rFonts w:ascii="Times New Roman" w:hAnsi="Times New Roman" w:cs="Times New Roman"/>
        </w:rPr>
        <w:t xml:space="preserve"> de Estados Unidos crecerá</w:t>
      </w:r>
      <w:r w:rsidRPr="00813C95">
        <w:rPr>
          <w:rFonts w:ascii="Times New Roman" w:hAnsi="Times New Roman" w:cs="Times New Roman"/>
        </w:rPr>
        <w:t xml:space="preserve"> 6.4% en 2021 de acuerdo a las perspectivas del Fondo Monetario Internacional, atribuyendo dicho ritmo de recuperación al</w:t>
      </w:r>
      <w:r>
        <w:rPr>
          <w:rFonts w:ascii="Times New Roman" w:hAnsi="Times New Roman" w:cs="Times New Roman"/>
        </w:rPr>
        <w:t xml:space="preserve"> tercer</w:t>
      </w:r>
      <w:r w:rsidRPr="00813C95">
        <w:rPr>
          <w:rFonts w:ascii="Times New Roman" w:hAnsi="Times New Roman" w:cs="Times New Roman"/>
        </w:rPr>
        <w:t xml:space="preserve"> paquete de estímulo fiscal</w:t>
      </w:r>
      <w:r>
        <w:rPr>
          <w:rFonts w:ascii="Times New Roman" w:hAnsi="Times New Roman" w:cs="Times New Roman"/>
        </w:rPr>
        <w:t xml:space="preserve"> </w:t>
      </w:r>
      <w:r w:rsidRPr="00813C95">
        <w:rPr>
          <w:rFonts w:ascii="Times New Roman" w:hAnsi="Times New Roman" w:cs="Times New Roman"/>
        </w:rPr>
        <w:t>lanzado por el nuevo gobierno</w:t>
      </w:r>
      <w:r>
        <w:rPr>
          <w:rFonts w:ascii="Times New Roman" w:hAnsi="Times New Roman" w:cs="Times New Roman"/>
        </w:rPr>
        <w:t>, el plan de estímulo de US$1.9 billones incluye pagos directos de US$1,400 a los contribuyentes que tengan ingresos inferiores a los US$80,000 anuales, además de fondos para Gobiernos locales y estatales, vacunas y reaperturas de escuelas (los estímulos iniciados en 2020 tienen un monto total de US$2.6 billones, equivalente al 13% del PIB y se implementaron en 3 fases)</w:t>
      </w:r>
      <w:r w:rsidRPr="00813C95">
        <w:rPr>
          <w:rFonts w:ascii="Times New Roman" w:hAnsi="Times New Roman" w:cs="Times New Roman"/>
        </w:rPr>
        <w:t>.  La entidad indicó que espera una recuperación de sus niveles previos a la pandemia en la primera mitad de este año.  Respecto al mercado laboral, se estima que el desempleo en EEUU cierre en una tasa del 5.8% en 2021, comparado con el 8.1% de 2020.</w:t>
      </w:r>
    </w:p>
    <w:p w14:paraId="56F5E97A" w14:textId="77777777" w:rsidR="00322670" w:rsidRDefault="00322670" w:rsidP="00322670">
      <w:pPr>
        <w:spacing w:after="0" w:line="240" w:lineRule="auto"/>
        <w:jc w:val="both"/>
        <w:rPr>
          <w:rFonts w:ascii="Times New Roman" w:hAnsi="Times New Roman" w:cs="Times New Roman"/>
        </w:rPr>
      </w:pPr>
    </w:p>
    <w:p w14:paraId="330ACA28" w14:textId="77777777" w:rsidR="00322670" w:rsidRDefault="00322670" w:rsidP="00322670">
      <w:pPr>
        <w:spacing w:after="0" w:line="240" w:lineRule="auto"/>
        <w:jc w:val="both"/>
        <w:rPr>
          <w:rFonts w:ascii="Times New Roman" w:hAnsi="Times New Roman" w:cs="Times New Roman"/>
        </w:rPr>
      </w:pPr>
      <w:r>
        <w:rPr>
          <w:rFonts w:ascii="Times New Roman" w:hAnsi="Times New Roman" w:cs="Times New Roman"/>
        </w:rPr>
        <w:t xml:space="preserve">Con respecto a la inflación, en el corto plazo tenderá a acelerarse, de la mano de una recuperación de la actividad en el segundo trimestre y una demanda sostenida por el paquete de estímulos impulsados por el Gobierno.  Sin embargo, la mayoría de analistas y la Reserva Federal, coinciden en que la tasa de inflación irá a niveles cercanos a 2.6% en diciembre 2021, cuando la economía se normalice.  </w:t>
      </w:r>
      <w:r w:rsidRPr="00587792">
        <w:rPr>
          <w:rFonts w:ascii="Times New Roman" w:hAnsi="Times New Roman" w:cs="Times New Roman"/>
        </w:rPr>
        <w:t xml:space="preserve">En ese contexto, no se prevén cambios en la tasa de interés hasta </w:t>
      </w:r>
      <w:r>
        <w:rPr>
          <w:rFonts w:ascii="Times New Roman" w:hAnsi="Times New Roman" w:cs="Times New Roman"/>
        </w:rPr>
        <w:t>que no se alcance el</w:t>
      </w:r>
      <w:r w:rsidRPr="00587792">
        <w:rPr>
          <w:rFonts w:ascii="Times New Roman" w:hAnsi="Times New Roman" w:cs="Times New Roman"/>
        </w:rPr>
        <w:t xml:space="preserve"> pleno empleo y la inflación tienda a superar el 2% en forma permanente.</w:t>
      </w:r>
    </w:p>
    <w:p w14:paraId="3FFA3C65" w14:textId="77777777" w:rsidR="00322670" w:rsidRDefault="00322670" w:rsidP="00322670">
      <w:pPr>
        <w:spacing w:after="0" w:line="240" w:lineRule="auto"/>
        <w:jc w:val="both"/>
        <w:rPr>
          <w:rFonts w:ascii="Times New Roman" w:hAnsi="Times New Roman" w:cs="Times New Roman"/>
        </w:rPr>
      </w:pPr>
    </w:p>
    <w:p w14:paraId="7DEBBCB0" w14:textId="77777777" w:rsidR="00322670" w:rsidRDefault="00322670" w:rsidP="00322670">
      <w:pPr>
        <w:spacing w:after="0" w:line="240" w:lineRule="auto"/>
        <w:jc w:val="both"/>
        <w:rPr>
          <w:rFonts w:ascii="Times New Roman" w:hAnsi="Times New Roman" w:cs="Times New Roman"/>
        </w:rPr>
      </w:pPr>
      <w:r>
        <w:rPr>
          <w:rFonts w:ascii="Times New Roman" w:hAnsi="Times New Roman" w:cs="Times New Roman"/>
        </w:rPr>
        <w:t>Luego del pago del tercer paquete de estímulo fiscal, el déficit para</w:t>
      </w:r>
      <w:r w:rsidRPr="009C4F0B">
        <w:rPr>
          <w:rFonts w:ascii="Times New Roman" w:hAnsi="Times New Roman" w:cs="Times New Roman"/>
        </w:rPr>
        <w:t xml:space="preserve"> 2021 podría ubicarse cerca de 10%, el segundo más grande de la historia </w:t>
      </w:r>
      <w:r>
        <w:rPr>
          <w:rFonts w:ascii="Times New Roman" w:hAnsi="Times New Roman" w:cs="Times New Roman"/>
        </w:rPr>
        <w:t xml:space="preserve">después del registrado en 1945.  </w:t>
      </w:r>
      <w:r w:rsidRPr="009C4F0B">
        <w:rPr>
          <w:rFonts w:ascii="Times New Roman" w:hAnsi="Times New Roman" w:cs="Times New Roman"/>
        </w:rPr>
        <w:t xml:space="preserve">Mientras tanto, la razón de deuda pública a PIB podría llegar a rondar </w:t>
      </w:r>
      <w:r>
        <w:rPr>
          <w:rFonts w:ascii="Times New Roman" w:hAnsi="Times New Roman" w:cs="Times New Roman"/>
        </w:rPr>
        <w:t xml:space="preserve">los </w:t>
      </w:r>
      <w:r w:rsidRPr="009C4F0B">
        <w:rPr>
          <w:rFonts w:ascii="Times New Roman" w:hAnsi="Times New Roman" w:cs="Times New Roman"/>
        </w:rPr>
        <w:t xml:space="preserve">105% del PIB. Esto sin contar el plan de infraestructura y apoyo educativo por </w:t>
      </w:r>
      <w:r>
        <w:rPr>
          <w:rFonts w:ascii="Times New Roman" w:hAnsi="Times New Roman" w:cs="Times New Roman"/>
        </w:rPr>
        <w:t>US$</w:t>
      </w:r>
      <w:r w:rsidRPr="009C4F0B">
        <w:rPr>
          <w:rFonts w:ascii="Times New Roman" w:hAnsi="Times New Roman" w:cs="Times New Roman"/>
        </w:rPr>
        <w:t xml:space="preserve">3 billones de dólares que tiene </w:t>
      </w:r>
      <w:r>
        <w:rPr>
          <w:rFonts w:ascii="Times New Roman" w:hAnsi="Times New Roman" w:cs="Times New Roman"/>
        </w:rPr>
        <w:t xml:space="preserve">contemplado la administración Biden.  </w:t>
      </w:r>
    </w:p>
    <w:p w14:paraId="57B2AF83" w14:textId="77777777" w:rsidR="00322670" w:rsidRPr="0062341C" w:rsidRDefault="00322670" w:rsidP="00322670">
      <w:pPr>
        <w:spacing w:after="0" w:line="240" w:lineRule="auto"/>
        <w:jc w:val="both"/>
        <w:rPr>
          <w:rFonts w:ascii="Times New Roman" w:hAnsi="Times New Roman" w:cs="Times New Roman"/>
          <w:color w:val="FF0000"/>
        </w:rPr>
      </w:pPr>
    </w:p>
    <w:p w14:paraId="7D040CED" w14:textId="77777777" w:rsidR="00322670" w:rsidRPr="002C662A" w:rsidRDefault="00322670" w:rsidP="001032E7">
      <w:pPr>
        <w:pStyle w:val="Ttulo3"/>
        <w:numPr>
          <w:ilvl w:val="2"/>
          <w:numId w:val="29"/>
        </w:numPr>
        <w:tabs>
          <w:tab w:val="left" w:pos="851"/>
          <w:tab w:val="left" w:pos="1134"/>
        </w:tabs>
        <w:spacing w:before="0" w:line="240" w:lineRule="auto"/>
        <w:ind w:left="709" w:hanging="180"/>
        <w:rPr>
          <w:rFonts w:ascii="Times New Roman" w:hAnsi="Times New Roman" w:cs="Times New Roman"/>
          <w:b/>
          <w:color w:val="auto"/>
        </w:rPr>
      </w:pPr>
      <w:bookmarkStart w:id="64" w:name="_Toc72489349"/>
      <w:bookmarkStart w:id="65" w:name="_Toc81571832"/>
      <w:r w:rsidRPr="002C662A">
        <w:rPr>
          <w:rFonts w:ascii="Times New Roman" w:hAnsi="Times New Roman" w:cs="Times New Roman"/>
          <w:b/>
          <w:color w:val="auto"/>
        </w:rPr>
        <w:t>Centroamérica y República Dominicana</w:t>
      </w:r>
      <w:bookmarkEnd w:id="64"/>
      <w:bookmarkEnd w:id="65"/>
    </w:p>
    <w:p w14:paraId="1F70E639" w14:textId="77777777" w:rsidR="00322670" w:rsidRDefault="00322670" w:rsidP="00322670">
      <w:pPr>
        <w:spacing w:after="0" w:line="240" w:lineRule="auto"/>
        <w:jc w:val="both"/>
        <w:rPr>
          <w:rFonts w:ascii="Times New Roman" w:hAnsi="Times New Roman" w:cs="Times New Roman"/>
          <w:color w:val="FF0000"/>
        </w:rPr>
      </w:pPr>
    </w:p>
    <w:p w14:paraId="493CD194" w14:textId="77777777" w:rsidR="00322670" w:rsidRPr="007C6826" w:rsidRDefault="00322670" w:rsidP="00322670">
      <w:pPr>
        <w:spacing w:after="0" w:line="240" w:lineRule="auto"/>
        <w:jc w:val="both"/>
        <w:rPr>
          <w:rFonts w:ascii="Times New Roman" w:hAnsi="Times New Roman" w:cs="Times New Roman"/>
        </w:rPr>
      </w:pPr>
      <w:r>
        <w:rPr>
          <w:rFonts w:ascii="Times New Roman" w:hAnsi="Times New Roman" w:cs="Times New Roman"/>
        </w:rPr>
        <w:t>Para</w:t>
      </w:r>
      <w:r w:rsidRPr="007C6826">
        <w:rPr>
          <w:rFonts w:ascii="Times New Roman" w:hAnsi="Times New Roman" w:cs="Times New Roman"/>
        </w:rPr>
        <w:t xml:space="preserve"> 2021, el Producto Interno Bruto de la región avanzará en un 3.6 %.</w:t>
      </w:r>
      <w:r>
        <w:rPr>
          <w:rFonts w:ascii="Times New Roman" w:hAnsi="Times New Roman" w:cs="Times New Roman"/>
        </w:rPr>
        <w:t xml:space="preserve">  De acuerdo a la perspectiva del Banco Mundial, </w:t>
      </w:r>
      <w:r w:rsidRPr="007C6826">
        <w:rPr>
          <w:rFonts w:ascii="Times New Roman" w:hAnsi="Times New Roman" w:cs="Times New Roman"/>
        </w:rPr>
        <w:t>Panamá será la nación centroamericana con el mejor crecimiento para 2021, ya que se prevé que tenga un Producto Interno Bruto (PIB) de 5.1%, mientras que le seguirá El Salvador con un crecimiento de 4.6%</w:t>
      </w:r>
      <w:r>
        <w:rPr>
          <w:rFonts w:ascii="Times New Roman" w:hAnsi="Times New Roman" w:cs="Times New Roman"/>
        </w:rPr>
        <w:t xml:space="preserve">.  </w:t>
      </w:r>
      <w:r w:rsidRPr="007C6826">
        <w:rPr>
          <w:rFonts w:ascii="Times New Roman" w:hAnsi="Times New Roman" w:cs="Times New Roman"/>
        </w:rPr>
        <w:t>A pesar de que su economía es de las más robustas en Centroamérica, Costa Rica tendrá un crecimiento de 2.6% para 2021, luego de una contracción de 4.8%.</w:t>
      </w:r>
    </w:p>
    <w:p w14:paraId="3D40EF6F" w14:textId="77777777" w:rsidR="00322670" w:rsidRPr="007C6826" w:rsidRDefault="00322670" w:rsidP="00322670">
      <w:pPr>
        <w:spacing w:after="0" w:line="240" w:lineRule="auto"/>
        <w:jc w:val="both"/>
        <w:rPr>
          <w:rFonts w:ascii="Times New Roman" w:hAnsi="Times New Roman" w:cs="Times New Roman"/>
        </w:rPr>
      </w:pPr>
    </w:p>
    <w:p w14:paraId="7F2E58E6" w14:textId="77777777" w:rsidR="00322670" w:rsidRPr="007C6826" w:rsidRDefault="00322670" w:rsidP="00322670">
      <w:pPr>
        <w:spacing w:after="0" w:line="240" w:lineRule="auto"/>
        <w:jc w:val="both"/>
        <w:rPr>
          <w:rFonts w:ascii="Times New Roman" w:hAnsi="Times New Roman" w:cs="Times New Roman"/>
        </w:rPr>
      </w:pPr>
      <w:r w:rsidRPr="007C6826">
        <w:rPr>
          <w:rFonts w:ascii="Times New Roman" w:hAnsi="Times New Roman" w:cs="Times New Roman"/>
        </w:rPr>
        <w:t>Los otros dos países del Triángulo Norte Guatemala y Honduras tendrán crecimiento de 3.6% y 3.8%, respectivamente</w:t>
      </w:r>
      <w:r>
        <w:rPr>
          <w:rFonts w:ascii="Times New Roman" w:hAnsi="Times New Roman" w:cs="Times New Roman"/>
        </w:rPr>
        <w:t>, y e</w:t>
      </w:r>
      <w:r w:rsidRPr="007C6826">
        <w:rPr>
          <w:rFonts w:ascii="Times New Roman" w:hAnsi="Times New Roman" w:cs="Times New Roman"/>
        </w:rPr>
        <w:t>l Caribe, República Dominicana tendrá un crecimiento de 4.8%.</w:t>
      </w:r>
    </w:p>
    <w:p w14:paraId="30157F1E" w14:textId="77777777" w:rsidR="00322670" w:rsidRDefault="00322670" w:rsidP="00322670">
      <w:pPr>
        <w:spacing w:after="0" w:line="240" w:lineRule="auto"/>
        <w:jc w:val="both"/>
        <w:rPr>
          <w:rFonts w:ascii="Times New Roman" w:hAnsi="Times New Roman" w:cs="Times New Roman"/>
        </w:rPr>
      </w:pPr>
    </w:p>
    <w:p w14:paraId="43BA7CA3" w14:textId="77777777" w:rsidR="00E77673" w:rsidRDefault="00322670" w:rsidP="00322670">
      <w:pPr>
        <w:spacing w:after="0" w:line="240" w:lineRule="auto"/>
        <w:jc w:val="both"/>
        <w:rPr>
          <w:rFonts w:ascii="Times New Roman" w:hAnsi="Times New Roman" w:cs="Times New Roman"/>
        </w:rPr>
      </w:pPr>
      <w:r>
        <w:rPr>
          <w:rFonts w:ascii="Times New Roman" w:hAnsi="Times New Roman" w:cs="Times New Roman"/>
        </w:rPr>
        <w:t xml:space="preserve">La CEPAL, por su parte, señaló que la región Centroamericana y República Dominicana crecerá en promedio un 4.2%, en la medida que se recupere la actividad económica mundial y se restablezca la dinámica interna de consumo e inversión.   </w:t>
      </w:r>
      <w:r w:rsidRPr="00FC2BD6">
        <w:rPr>
          <w:rFonts w:ascii="Times New Roman" w:hAnsi="Times New Roman" w:cs="Times New Roman"/>
        </w:rPr>
        <w:t>En la misma línea se encuentran las proyecciones del Fond</w:t>
      </w:r>
      <w:r>
        <w:rPr>
          <w:rFonts w:ascii="Times New Roman" w:hAnsi="Times New Roman" w:cs="Times New Roman"/>
        </w:rPr>
        <w:t>o Monetario Internacional (FMI), con una proyección del crecimiento regional de</w:t>
      </w:r>
      <w:r w:rsidRPr="00FC2BD6">
        <w:rPr>
          <w:rFonts w:ascii="Times New Roman" w:hAnsi="Times New Roman" w:cs="Times New Roman"/>
        </w:rPr>
        <w:t xml:space="preserve"> 4.5%.</w:t>
      </w:r>
    </w:p>
    <w:p w14:paraId="644C51C7" w14:textId="77777777" w:rsidR="00155114" w:rsidRDefault="00155114" w:rsidP="00322670">
      <w:pPr>
        <w:spacing w:after="0" w:line="240" w:lineRule="auto"/>
        <w:jc w:val="both"/>
        <w:rPr>
          <w:rFonts w:ascii="Times New Roman" w:hAnsi="Times New Roman" w:cs="Times New Roman"/>
        </w:rPr>
      </w:pPr>
    </w:p>
    <w:p w14:paraId="5EEA33F4" w14:textId="45B1A277" w:rsidR="00155114" w:rsidRDefault="00155114" w:rsidP="00322670">
      <w:pPr>
        <w:spacing w:after="0" w:line="240" w:lineRule="auto"/>
        <w:jc w:val="both"/>
        <w:rPr>
          <w:rFonts w:ascii="Times New Roman" w:hAnsi="Times New Roman" w:cs="Times New Roman"/>
        </w:rPr>
      </w:pPr>
    </w:p>
    <w:p w14:paraId="4AB299DB" w14:textId="77777777" w:rsidR="009A135D" w:rsidRDefault="009A135D" w:rsidP="00322670">
      <w:pPr>
        <w:spacing w:after="0" w:line="240" w:lineRule="auto"/>
        <w:jc w:val="both"/>
        <w:rPr>
          <w:rFonts w:ascii="Times New Roman" w:hAnsi="Times New Roman" w:cs="Times New Roman"/>
        </w:rPr>
      </w:pPr>
    </w:p>
    <w:p w14:paraId="59D810B9" w14:textId="11EE9DC4" w:rsidR="00E77673" w:rsidRPr="00134FDC" w:rsidRDefault="00126D07" w:rsidP="00134FDC">
      <w:pPr>
        <w:pStyle w:val="Epgrafe"/>
        <w:framePr w:hSpace="141" w:wrap="around" w:vAnchor="text" w:hAnchor="page" w:x="2177" w:y="222"/>
        <w:jc w:val="center"/>
        <w:rPr>
          <w:rFonts w:ascii="Times New Roman" w:hAnsi="Times New Roman" w:cs="Times New Roman"/>
          <w:b/>
          <w:i w:val="0"/>
          <w:color w:val="auto"/>
          <w:sz w:val="20"/>
        </w:rPr>
      </w:pPr>
      <w:bookmarkStart w:id="66" w:name="_Toc81573025"/>
      <w:r w:rsidRPr="00134FDC">
        <w:rPr>
          <w:rFonts w:ascii="Times New Roman" w:hAnsi="Times New Roman" w:cs="Times New Roman"/>
          <w:b/>
          <w:color w:val="auto"/>
          <w:sz w:val="20"/>
        </w:rPr>
        <w:t xml:space="preserve">Tabla </w:t>
      </w:r>
      <w:r w:rsidRPr="00134FDC">
        <w:rPr>
          <w:rFonts w:ascii="Times New Roman" w:hAnsi="Times New Roman" w:cs="Times New Roman"/>
          <w:b/>
          <w:color w:val="auto"/>
          <w:sz w:val="20"/>
        </w:rPr>
        <w:fldChar w:fldCharType="begin"/>
      </w:r>
      <w:r w:rsidRPr="00134FDC">
        <w:rPr>
          <w:rFonts w:ascii="Times New Roman" w:hAnsi="Times New Roman" w:cs="Times New Roman"/>
          <w:b/>
          <w:color w:val="auto"/>
          <w:sz w:val="20"/>
        </w:rPr>
        <w:instrText xml:space="preserve"> SEQ Tabla \* ARABIC </w:instrText>
      </w:r>
      <w:r w:rsidRPr="00134FDC">
        <w:rPr>
          <w:rFonts w:ascii="Times New Roman" w:hAnsi="Times New Roman" w:cs="Times New Roman"/>
          <w:b/>
          <w:color w:val="auto"/>
          <w:sz w:val="20"/>
        </w:rPr>
        <w:fldChar w:fldCharType="separate"/>
      </w:r>
      <w:r w:rsidR="009E18F8">
        <w:rPr>
          <w:rFonts w:ascii="Times New Roman" w:hAnsi="Times New Roman" w:cs="Times New Roman"/>
          <w:b/>
          <w:noProof/>
          <w:color w:val="auto"/>
          <w:sz w:val="20"/>
        </w:rPr>
        <w:t>3</w:t>
      </w:r>
      <w:r w:rsidRPr="00134FDC">
        <w:rPr>
          <w:rFonts w:ascii="Times New Roman" w:hAnsi="Times New Roman" w:cs="Times New Roman"/>
          <w:b/>
          <w:color w:val="auto"/>
          <w:sz w:val="20"/>
        </w:rPr>
        <w:fldChar w:fldCharType="end"/>
      </w:r>
      <w:r w:rsidRPr="00134FDC">
        <w:rPr>
          <w:rFonts w:ascii="Times New Roman" w:hAnsi="Times New Roman" w:cs="Times New Roman"/>
          <w:b/>
          <w:color w:val="auto"/>
          <w:sz w:val="20"/>
        </w:rPr>
        <w:t xml:space="preserve"> </w:t>
      </w:r>
      <w:r w:rsidR="00E77673" w:rsidRPr="00134FDC">
        <w:rPr>
          <w:rFonts w:ascii="Times New Roman" w:hAnsi="Times New Roman" w:cs="Times New Roman"/>
          <w:b/>
          <w:color w:val="auto"/>
          <w:sz w:val="20"/>
        </w:rPr>
        <w:t>Proyecciones de crecimiento económico de Centroamericano y República Dominicana</w:t>
      </w:r>
      <w:bookmarkEnd w:id="66"/>
    </w:p>
    <w:p w14:paraId="5106776D" w14:textId="77777777" w:rsidR="00322670" w:rsidRDefault="00322670" w:rsidP="00126D07">
      <w:pPr>
        <w:pStyle w:val="Epgrafe"/>
        <w:keepNext/>
        <w:spacing w:after="0"/>
        <w:rPr>
          <w:rFonts w:ascii="Times New Roman" w:hAnsi="Times New Roman" w:cs="Times New Roman"/>
          <w:b/>
          <w:bCs/>
          <w:i w:val="0"/>
          <w:iCs w:val="0"/>
          <w:color w:val="auto"/>
          <w:sz w:val="22"/>
          <w:szCs w:val="20"/>
        </w:rPr>
      </w:pPr>
    </w:p>
    <w:tbl>
      <w:tblPr>
        <w:tblW w:w="5920" w:type="dxa"/>
        <w:jc w:val="center"/>
        <w:tblCellMar>
          <w:left w:w="70" w:type="dxa"/>
          <w:right w:w="70" w:type="dxa"/>
        </w:tblCellMar>
        <w:tblLook w:val="04A0" w:firstRow="1" w:lastRow="0" w:firstColumn="1" w:lastColumn="0" w:noHBand="0" w:noVBand="1"/>
      </w:tblPr>
      <w:tblGrid>
        <w:gridCol w:w="2320"/>
        <w:gridCol w:w="1200"/>
        <w:gridCol w:w="1200"/>
        <w:gridCol w:w="1200"/>
      </w:tblGrid>
      <w:tr w:rsidR="00322670" w:rsidRPr="004A662B" w14:paraId="5DF974D5" w14:textId="77777777" w:rsidTr="00DE1FBB">
        <w:trPr>
          <w:trHeight w:val="330"/>
          <w:jc w:val="center"/>
        </w:trPr>
        <w:tc>
          <w:tcPr>
            <w:tcW w:w="2320" w:type="dxa"/>
            <w:tcBorders>
              <w:top w:val="single" w:sz="4" w:space="0" w:color="auto"/>
              <w:left w:val="single" w:sz="4" w:space="0" w:color="auto"/>
              <w:bottom w:val="single" w:sz="4" w:space="0" w:color="auto"/>
              <w:right w:val="nil"/>
            </w:tcBorders>
            <w:shd w:val="clear" w:color="000000" w:fill="4472C4"/>
            <w:vAlign w:val="center"/>
            <w:hideMark/>
          </w:tcPr>
          <w:p w14:paraId="002071DC" w14:textId="77777777" w:rsidR="00322670" w:rsidRPr="004A662B" w:rsidRDefault="00322670" w:rsidP="00DE1FBB">
            <w:pPr>
              <w:spacing w:after="0" w:line="240" w:lineRule="auto"/>
              <w:jc w:val="center"/>
              <w:rPr>
                <w:rFonts w:ascii="Times New Roman" w:eastAsia="Times New Roman" w:hAnsi="Times New Roman" w:cs="Times New Roman"/>
                <w:b/>
                <w:bCs/>
                <w:color w:val="FFFFFF"/>
                <w:lang w:eastAsia="es-GT"/>
              </w:rPr>
            </w:pPr>
            <w:r w:rsidRPr="004A662B">
              <w:rPr>
                <w:rFonts w:ascii="Times New Roman" w:eastAsia="Times New Roman" w:hAnsi="Times New Roman" w:cs="Times New Roman"/>
                <w:b/>
                <w:bCs/>
                <w:color w:val="FFFFFF"/>
                <w:lang w:eastAsia="es-GT"/>
              </w:rPr>
              <w:t>País</w:t>
            </w:r>
          </w:p>
        </w:tc>
        <w:tc>
          <w:tcPr>
            <w:tcW w:w="1200" w:type="dxa"/>
            <w:tcBorders>
              <w:top w:val="single" w:sz="4" w:space="0" w:color="auto"/>
              <w:left w:val="nil"/>
              <w:bottom w:val="single" w:sz="4" w:space="0" w:color="auto"/>
              <w:right w:val="nil"/>
            </w:tcBorders>
            <w:shd w:val="clear" w:color="000000" w:fill="4472C4"/>
            <w:vAlign w:val="center"/>
            <w:hideMark/>
          </w:tcPr>
          <w:p w14:paraId="77BCAF8E" w14:textId="77777777" w:rsidR="00322670" w:rsidRPr="004A662B" w:rsidRDefault="00322670" w:rsidP="00DE1FBB">
            <w:pPr>
              <w:spacing w:after="0" w:line="240" w:lineRule="auto"/>
              <w:jc w:val="center"/>
              <w:rPr>
                <w:rFonts w:ascii="Times New Roman" w:eastAsia="Times New Roman" w:hAnsi="Times New Roman" w:cs="Times New Roman"/>
                <w:b/>
                <w:bCs/>
                <w:color w:val="FFFFFF"/>
                <w:lang w:eastAsia="es-GT"/>
              </w:rPr>
            </w:pPr>
            <w:r w:rsidRPr="004A662B">
              <w:rPr>
                <w:rFonts w:ascii="Times New Roman" w:eastAsia="Times New Roman" w:hAnsi="Times New Roman" w:cs="Times New Roman"/>
                <w:b/>
                <w:bCs/>
                <w:color w:val="FFFFFF"/>
                <w:lang w:eastAsia="es-GT"/>
              </w:rPr>
              <w:t>Banco Mundial</w:t>
            </w:r>
          </w:p>
        </w:tc>
        <w:tc>
          <w:tcPr>
            <w:tcW w:w="1200" w:type="dxa"/>
            <w:tcBorders>
              <w:top w:val="single" w:sz="4" w:space="0" w:color="auto"/>
              <w:left w:val="nil"/>
              <w:bottom w:val="single" w:sz="4" w:space="0" w:color="auto"/>
              <w:right w:val="nil"/>
            </w:tcBorders>
            <w:shd w:val="clear" w:color="000000" w:fill="4472C4"/>
            <w:vAlign w:val="center"/>
            <w:hideMark/>
          </w:tcPr>
          <w:p w14:paraId="1CA7C1FE" w14:textId="77777777" w:rsidR="00322670" w:rsidRPr="004A662B" w:rsidRDefault="00322670" w:rsidP="00DE1FBB">
            <w:pPr>
              <w:spacing w:after="0" w:line="240" w:lineRule="auto"/>
              <w:jc w:val="center"/>
              <w:rPr>
                <w:rFonts w:ascii="Times New Roman" w:eastAsia="Times New Roman" w:hAnsi="Times New Roman" w:cs="Times New Roman"/>
                <w:b/>
                <w:bCs/>
                <w:color w:val="FFFFFF"/>
                <w:lang w:eastAsia="es-GT"/>
              </w:rPr>
            </w:pPr>
            <w:r w:rsidRPr="004A662B">
              <w:rPr>
                <w:rFonts w:ascii="Times New Roman" w:eastAsia="Times New Roman" w:hAnsi="Times New Roman" w:cs="Times New Roman"/>
                <w:b/>
                <w:bCs/>
                <w:color w:val="FFFFFF"/>
                <w:lang w:eastAsia="es-GT"/>
              </w:rPr>
              <w:t>FMI</w:t>
            </w:r>
          </w:p>
        </w:tc>
        <w:tc>
          <w:tcPr>
            <w:tcW w:w="1200" w:type="dxa"/>
            <w:tcBorders>
              <w:top w:val="single" w:sz="4" w:space="0" w:color="auto"/>
              <w:left w:val="nil"/>
              <w:bottom w:val="single" w:sz="4" w:space="0" w:color="auto"/>
              <w:right w:val="single" w:sz="4" w:space="0" w:color="auto"/>
            </w:tcBorders>
            <w:shd w:val="clear" w:color="000000" w:fill="4472C4"/>
            <w:vAlign w:val="center"/>
            <w:hideMark/>
          </w:tcPr>
          <w:p w14:paraId="6AC9E23F" w14:textId="77777777" w:rsidR="00322670" w:rsidRPr="004A662B" w:rsidRDefault="00322670" w:rsidP="00DE1FBB">
            <w:pPr>
              <w:spacing w:after="0" w:line="240" w:lineRule="auto"/>
              <w:jc w:val="center"/>
              <w:rPr>
                <w:rFonts w:ascii="Times New Roman" w:eastAsia="Times New Roman" w:hAnsi="Times New Roman" w:cs="Times New Roman"/>
                <w:b/>
                <w:bCs/>
                <w:color w:val="FFFFFF"/>
                <w:lang w:eastAsia="es-GT"/>
              </w:rPr>
            </w:pPr>
            <w:r w:rsidRPr="004A662B">
              <w:rPr>
                <w:rFonts w:ascii="Times New Roman" w:eastAsia="Times New Roman" w:hAnsi="Times New Roman" w:cs="Times New Roman"/>
                <w:b/>
                <w:bCs/>
                <w:color w:val="FFFFFF"/>
                <w:lang w:eastAsia="es-GT"/>
              </w:rPr>
              <w:t>CEPAL</w:t>
            </w:r>
          </w:p>
        </w:tc>
      </w:tr>
      <w:tr w:rsidR="00322670" w:rsidRPr="004A662B" w14:paraId="0EC6ACD3" w14:textId="77777777" w:rsidTr="00DE1FBB">
        <w:trPr>
          <w:trHeight w:val="239"/>
          <w:jc w:val="center"/>
        </w:trPr>
        <w:tc>
          <w:tcPr>
            <w:tcW w:w="2320" w:type="dxa"/>
            <w:tcBorders>
              <w:top w:val="nil"/>
              <w:left w:val="single" w:sz="4" w:space="0" w:color="auto"/>
              <w:bottom w:val="nil"/>
              <w:right w:val="nil"/>
            </w:tcBorders>
            <w:shd w:val="clear" w:color="auto" w:fill="auto"/>
            <w:noWrap/>
            <w:vAlign w:val="bottom"/>
            <w:hideMark/>
          </w:tcPr>
          <w:p w14:paraId="46040996" w14:textId="77777777" w:rsidR="00322670" w:rsidRPr="004A662B" w:rsidRDefault="00322670" w:rsidP="00DE1FBB">
            <w:pPr>
              <w:spacing w:after="0" w:line="240" w:lineRule="auto"/>
              <w:rPr>
                <w:rFonts w:ascii="Times New Roman" w:eastAsia="Times New Roman" w:hAnsi="Times New Roman" w:cs="Times New Roman"/>
                <w:color w:val="000000"/>
                <w:sz w:val="18"/>
                <w:lang w:eastAsia="es-GT"/>
              </w:rPr>
            </w:pPr>
            <w:r w:rsidRPr="004A662B">
              <w:rPr>
                <w:rFonts w:ascii="Times New Roman" w:eastAsia="Times New Roman" w:hAnsi="Times New Roman" w:cs="Times New Roman"/>
                <w:color w:val="000000"/>
                <w:sz w:val="18"/>
                <w:lang w:eastAsia="es-GT"/>
              </w:rPr>
              <w:t>Guatemala</w:t>
            </w:r>
          </w:p>
        </w:tc>
        <w:tc>
          <w:tcPr>
            <w:tcW w:w="1200" w:type="dxa"/>
            <w:tcBorders>
              <w:top w:val="nil"/>
              <w:left w:val="nil"/>
              <w:bottom w:val="nil"/>
              <w:right w:val="nil"/>
            </w:tcBorders>
            <w:shd w:val="clear" w:color="auto" w:fill="auto"/>
            <w:noWrap/>
            <w:vAlign w:val="center"/>
            <w:hideMark/>
          </w:tcPr>
          <w:p w14:paraId="23F0A326" w14:textId="77777777" w:rsidR="00322670" w:rsidRPr="004A662B" w:rsidRDefault="00322670" w:rsidP="00DE1FBB">
            <w:pPr>
              <w:spacing w:after="0" w:line="240" w:lineRule="auto"/>
              <w:jc w:val="center"/>
              <w:rPr>
                <w:rFonts w:ascii="Times New Roman" w:eastAsia="Times New Roman" w:hAnsi="Times New Roman" w:cs="Times New Roman"/>
                <w:color w:val="000000"/>
                <w:sz w:val="18"/>
                <w:lang w:eastAsia="es-GT"/>
              </w:rPr>
            </w:pPr>
            <w:r w:rsidRPr="004A662B">
              <w:rPr>
                <w:rFonts w:ascii="Times New Roman" w:eastAsia="Times New Roman" w:hAnsi="Times New Roman" w:cs="Times New Roman"/>
                <w:color w:val="000000"/>
                <w:sz w:val="18"/>
                <w:lang w:eastAsia="es-GT"/>
              </w:rPr>
              <w:t>3.6</w:t>
            </w:r>
          </w:p>
        </w:tc>
        <w:tc>
          <w:tcPr>
            <w:tcW w:w="1200" w:type="dxa"/>
            <w:tcBorders>
              <w:top w:val="nil"/>
              <w:left w:val="nil"/>
              <w:bottom w:val="nil"/>
              <w:right w:val="nil"/>
            </w:tcBorders>
            <w:shd w:val="clear" w:color="auto" w:fill="auto"/>
            <w:noWrap/>
            <w:vAlign w:val="center"/>
            <w:hideMark/>
          </w:tcPr>
          <w:p w14:paraId="61AFB29B" w14:textId="77777777" w:rsidR="00322670" w:rsidRPr="004A662B" w:rsidRDefault="00322670" w:rsidP="00DE1FBB">
            <w:pPr>
              <w:spacing w:after="0" w:line="240" w:lineRule="auto"/>
              <w:jc w:val="center"/>
              <w:rPr>
                <w:rFonts w:ascii="Times New Roman" w:eastAsia="Times New Roman" w:hAnsi="Times New Roman" w:cs="Times New Roman"/>
                <w:color w:val="000000"/>
                <w:sz w:val="18"/>
                <w:lang w:eastAsia="es-GT"/>
              </w:rPr>
            </w:pPr>
            <w:r w:rsidRPr="004A662B">
              <w:rPr>
                <w:rFonts w:ascii="Times New Roman" w:eastAsia="Times New Roman" w:hAnsi="Times New Roman" w:cs="Times New Roman"/>
                <w:color w:val="000000"/>
                <w:sz w:val="18"/>
                <w:lang w:eastAsia="es-GT"/>
              </w:rPr>
              <w:t>4.5</w:t>
            </w:r>
          </w:p>
        </w:tc>
        <w:tc>
          <w:tcPr>
            <w:tcW w:w="1200" w:type="dxa"/>
            <w:tcBorders>
              <w:top w:val="nil"/>
              <w:left w:val="nil"/>
              <w:bottom w:val="nil"/>
              <w:right w:val="single" w:sz="4" w:space="0" w:color="auto"/>
            </w:tcBorders>
            <w:shd w:val="clear" w:color="auto" w:fill="auto"/>
            <w:noWrap/>
            <w:vAlign w:val="center"/>
            <w:hideMark/>
          </w:tcPr>
          <w:p w14:paraId="2C63E14A" w14:textId="77777777" w:rsidR="00322670" w:rsidRPr="004A662B" w:rsidRDefault="00322670" w:rsidP="00DE1FBB">
            <w:pPr>
              <w:spacing w:after="0" w:line="240" w:lineRule="auto"/>
              <w:jc w:val="center"/>
              <w:rPr>
                <w:rFonts w:ascii="Times New Roman" w:eastAsia="Times New Roman" w:hAnsi="Times New Roman" w:cs="Times New Roman"/>
                <w:color w:val="000000"/>
                <w:sz w:val="18"/>
                <w:lang w:eastAsia="es-GT"/>
              </w:rPr>
            </w:pPr>
            <w:r w:rsidRPr="004A662B">
              <w:rPr>
                <w:rFonts w:ascii="Times New Roman" w:eastAsia="Times New Roman" w:hAnsi="Times New Roman" w:cs="Times New Roman"/>
                <w:color w:val="000000"/>
                <w:sz w:val="18"/>
                <w:lang w:eastAsia="es-GT"/>
              </w:rPr>
              <w:t>3.5</w:t>
            </w:r>
          </w:p>
        </w:tc>
      </w:tr>
      <w:tr w:rsidR="00322670" w:rsidRPr="004A662B" w14:paraId="0917EC4B" w14:textId="77777777" w:rsidTr="00DE1FBB">
        <w:trPr>
          <w:trHeight w:val="111"/>
          <w:jc w:val="center"/>
        </w:trPr>
        <w:tc>
          <w:tcPr>
            <w:tcW w:w="2320" w:type="dxa"/>
            <w:tcBorders>
              <w:top w:val="nil"/>
              <w:left w:val="single" w:sz="4" w:space="0" w:color="auto"/>
              <w:bottom w:val="nil"/>
              <w:right w:val="nil"/>
            </w:tcBorders>
            <w:shd w:val="clear" w:color="auto" w:fill="auto"/>
            <w:noWrap/>
            <w:vAlign w:val="bottom"/>
            <w:hideMark/>
          </w:tcPr>
          <w:p w14:paraId="76E0E56E" w14:textId="77777777" w:rsidR="00322670" w:rsidRPr="004A662B" w:rsidRDefault="00322670" w:rsidP="00DE1FBB">
            <w:pPr>
              <w:spacing w:after="0" w:line="240" w:lineRule="auto"/>
              <w:rPr>
                <w:rFonts w:ascii="Times New Roman" w:eastAsia="Times New Roman" w:hAnsi="Times New Roman" w:cs="Times New Roman"/>
                <w:color w:val="000000"/>
                <w:sz w:val="18"/>
                <w:lang w:eastAsia="es-GT"/>
              </w:rPr>
            </w:pPr>
            <w:r w:rsidRPr="004A662B">
              <w:rPr>
                <w:rFonts w:ascii="Times New Roman" w:eastAsia="Times New Roman" w:hAnsi="Times New Roman" w:cs="Times New Roman"/>
                <w:color w:val="000000"/>
                <w:sz w:val="18"/>
                <w:lang w:eastAsia="es-GT"/>
              </w:rPr>
              <w:t>El Salvador</w:t>
            </w:r>
          </w:p>
        </w:tc>
        <w:tc>
          <w:tcPr>
            <w:tcW w:w="1200" w:type="dxa"/>
            <w:tcBorders>
              <w:top w:val="nil"/>
              <w:left w:val="nil"/>
              <w:bottom w:val="nil"/>
              <w:right w:val="nil"/>
            </w:tcBorders>
            <w:shd w:val="clear" w:color="auto" w:fill="auto"/>
            <w:noWrap/>
            <w:vAlign w:val="center"/>
            <w:hideMark/>
          </w:tcPr>
          <w:p w14:paraId="2CCE9171" w14:textId="77777777" w:rsidR="00322670" w:rsidRPr="004A662B" w:rsidRDefault="00322670" w:rsidP="00DE1FBB">
            <w:pPr>
              <w:spacing w:after="0" w:line="240" w:lineRule="auto"/>
              <w:jc w:val="center"/>
              <w:rPr>
                <w:rFonts w:ascii="Times New Roman" w:eastAsia="Times New Roman" w:hAnsi="Times New Roman" w:cs="Times New Roman"/>
                <w:color w:val="000000"/>
                <w:sz w:val="18"/>
                <w:lang w:eastAsia="es-GT"/>
              </w:rPr>
            </w:pPr>
            <w:r w:rsidRPr="004A662B">
              <w:rPr>
                <w:rFonts w:ascii="Times New Roman" w:eastAsia="Times New Roman" w:hAnsi="Times New Roman" w:cs="Times New Roman"/>
                <w:color w:val="000000"/>
                <w:sz w:val="18"/>
                <w:lang w:eastAsia="es-GT"/>
              </w:rPr>
              <w:t>4.1</w:t>
            </w:r>
          </w:p>
        </w:tc>
        <w:tc>
          <w:tcPr>
            <w:tcW w:w="1200" w:type="dxa"/>
            <w:tcBorders>
              <w:top w:val="nil"/>
              <w:left w:val="nil"/>
              <w:bottom w:val="nil"/>
              <w:right w:val="nil"/>
            </w:tcBorders>
            <w:shd w:val="clear" w:color="auto" w:fill="auto"/>
            <w:noWrap/>
            <w:vAlign w:val="center"/>
            <w:hideMark/>
          </w:tcPr>
          <w:p w14:paraId="0BAE65DC" w14:textId="77777777" w:rsidR="00322670" w:rsidRPr="004A662B" w:rsidRDefault="00322670" w:rsidP="00DE1FBB">
            <w:pPr>
              <w:spacing w:after="0" w:line="240" w:lineRule="auto"/>
              <w:jc w:val="center"/>
              <w:rPr>
                <w:rFonts w:ascii="Times New Roman" w:eastAsia="Times New Roman" w:hAnsi="Times New Roman" w:cs="Times New Roman"/>
                <w:color w:val="000000"/>
                <w:sz w:val="18"/>
                <w:lang w:eastAsia="es-GT"/>
              </w:rPr>
            </w:pPr>
            <w:r w:rsidRPr="004A662B">
              <w:rPr>
                <w:rFonts w:ascii="Times New Roman" w:eastAsia="Times New Roman" w:hAnsi="Times New Roman" w:cs="Times New Roman"/>
                <w:color w:val="000000"/>
                <w:sz w:val="18"/>
                <w:lang w:eastAsia="es-GT"/>
              </w:rPr>
              <w:t>4.2</w:t>
            </w:r>
          </w:p>
        </w:tc>
        <w:tc>
          <w:tcPr>
            <w:tcW w:w="1200" w:type="dxa"/>
            <w:tcBorders>
              <w:top w:val="nil"/>
              <w:left w:val="nil"/>
              <w:bottom w:val="nil"/>
              <w:right w:val="single" w:sz="4" w:space="0" w:color="auto"/>
            </w:tcBorders>
            <w:shd w:val="clear" w:color="auto" w:fill="auto"/>
            <w:noWrap/>
            <w:vAlign w:val="center"/>
            <w:hideMark/>
          </w:tcPr>
          <w:p w14:paraId="3C86592D" w14:textId="77777777" w:rsidR="00322670" w:rsidRPr="004A662B" w:rsidRDefault="00322670" w:rsidP="00DE1FBB">
            <w:pPr>
              <w:spacing w:after="0" w:line="240" w:lineRule="auto"/>
              <w:jc w:val="center"/>
              <w:rPr>
                <w:rFonts w:ascii="Times New Roman" w:eastAsia="Times New Roman" w:hAnsi="Times New Roman" w:cs="Times New Roman"/>
                <w:color w:val="000000"/>
                <w:sz w:val="18"/>
                <w:lang w:eastAsia="es-GT"/>
              </w:rPr>
            </w:pPr>
            <w:r w:rsidRPr="004A662B">
              <w:rPr>
                <w:rFonts w:ascii="Times New Roman" w:eastAsia="Times New Roman" w:hAnsi="Times New Roman" w:cs="Times New Roman"/>
                <w:color w:val="000000"/>
                <w:sz w:val="18"/>
                <w:lang w:eastAsia="es-GT"/>
              </w:rPr>
              <w:t>3.5</w:t>
            </w:r>
          </w:p>
        </w:tc>
      </w:tr>
      <w:tr w:rsidR="00322670" w:rsidRPr="004A662B" w14:paraId="4ACD1175" w14:textId="77777777" w:rsidTr="00DE1FBB">
        <w:trPr>
          <w:trHeight w:val="115"/>
          <w:jc w:val="center"/>
        </w:trPr>
        <w:tc>
          <w:tcPr>
            <w:tcW w:w="2320" w:type="dxa"/>
            <w:tcBorders>
              <w:top w:val="nil"/>
              <w:left w:val="single" w:sz="4" w:space="0" w:color="auto"/>
              <w:bottom w:val="nil"/>
              <w:right w:val="nil"/>
            </w:tcBorders>
            <w:shd w:val="clear" w:color="auto" w:fill="auto"/>
            <w:noWrap/>
            <w:vAlign w:val="bottom"/>
            <w:hideMark/>
          </w:tcPr>
          <w:p w14:paraId="75D09DA9" w14:textId="77777777" w:rsidR="00322670" w:rsidRPr="004A662B" w:rsidRDefault="00322670" w:rsidP="00DE1FBB">
            <w:pPr>
              <w:spacing w:after="0" w:line="240" w:lineRule="auto"/>
              <w:rPr>
                <w:rFonts w:ascii="Times New Roman" w:eastAsia="Times New Roman" w:hAnsi="Times New Roman" w:cs="Times New Roman"/>
                <w:color w:val="000000"/>
                <w:sz w:val="18"/>
                <w:lang w:eastAsia="es-GT"/>
              </w:rPr>
            </w:pPr>
            <w:r w:rsidRPr="004A662B">
              <w:rPr>
                <w:rFonts w:ascii="Times New Roman" w:eastAsia="Times New Roman" w:hAnsi="Times New Roman" w:cs="Times New Roman"/>
                <w:color w:val="000000"/>
                <w:sz w:val="18"/>
                <w:lang w:eastAsia="es-GT"/>
              </w:rPr>
              <w:t>Honduras</w:t>
            </w:r>
          </w:p>
        </w:tc>
        <w:tc>
          <w:tcPr>
            <w:tcW w:w="1200" w:type="dxa"/>
            <w:tcBorders>
              <w:top w:val="nil"/>
              <w:left w:val="nil"/>
              <w:bottom w:val="nil"/>
              <w:right w:val="nil"/>
            </w:tcBorders>
            <w:shd w:val="clear" w:color="auto" w:fill="auto"/>
            <w:noWrap/>
            <w:vAlign w:val="center"/>
            <w:hideMark/>
          </w:tcPr>
          <w:p w14:paraId="5F3D40DF" w14:textId="77777777" w:rsidR="00322670" w:rsidRPr="004A662B" w:rsidRDefault="00322670" w:rsidP="00DE1FBB">
            <w:pPr>
              <w:spacing w:after="0" w:line="240" w:lineRule="auto"/>
              <w:jc w:val="center"/>
              <w:rPr>
                <w:rFonts w:ascii="Times New Roman" w:eastAsia="Times New Roman" w:hAnsi="Times New Roman" w:cs="Times New Roman"/>
                <w:color w:val="000000"/>
                <w:sz w:val="18"/>
                <w:lang w:eastAsia="es-GT"/>
              </w:rPr>
            </w:pPr>
            <w:r w:rsidRPr="004A662B">
              <w:rPr>
                <w:rFonts w:ascii="Times New Roman" w:eastAsia="Times New Roman" w:hAnsi="Times New Roman" w:cs="Times New Roman"/>
                <w:color w:val="000000"/>
                <w:sz w:val="18"/>
                <w:lang w:eastAsia="es-GT"/>
              </w:rPr>
              <w:t>4.5</w:t>
            </w:r>
          </w:p>
        </w:tc>
        <w:tc>
          <w:tcPr>
            <w:tcW w:w="1200" w:type="dxa"/>
            <w:tcBorders>
              <w:top w:val="nil"/>
              <w:left w:val="nil"/>
              <w:bottom w:val="nil"/>
              <w:right w:val="nil"/>
            </w:tcBorders>
            <w:shd w:val="clear" w:color="auto" w:fill="auto"/>
            <w:noWrap/>
            <w:vAlign w:val="center"/>
            <w:hideMark/>
          </w:tcPr>
          <w:p w14:paraId="4BEE9B2E" w14:textId="77777777" w:rsidR="00322670" w:rsidRPr="004A662B" w:rsidRDefault="00322670" w:rsidP="00DE1FBB">
            <w:pPr>
              <w:spacing w:after="0" w:line="240" w:lineRule="auto"/>
              <w:jc w:val="center"/>
              <w:rPr>
                <w:rFonts w:ascii="Times New Roman" w:eastAsia="Times New Roman" w:hAnsi="Times New Roman" w:cs="Times New Roman"/>
                <w:color w:val="000000"/>
                <w:sz w:val="18"/>
                <w:lang w:eastAsia="es-GT"/>
              </w:rPr>
            </w:pPr>
            <w:r w:rsidRPr="004A662B">
              <w:rPr>
                <w:rFonts w:ascii="Times New Roman" w:eastAsia="Times New Roman" w:hAnsi="Times New Roman" w:cs="Times New Roman"/>
                <w:color w:val="000000"/>
                <w:sz w:val="18"/>
                <w:lang w:eastAsia="es-GT"/>
              </w:rPr>
              <w:t>4.5</w:t>
            </w:r>
          </w:p>
        </w:tc>
        <w:tc>
          <w:tcPr>
            <w:tcW w:w="1200" w:type="dxa"/>
            <w:tcBorders>
              <w:top w:val="nil"/>
              <w:left w:val="nil"/>
              <w:bottom w:val="nil"/>
              <w:right w:val="single" w:sz="4" w:space="0" w:color="auto"/>
            </w:tcBorders>
            <w:shd w:val="clear" w:color="auto" w:fill="auto"/>
            <w:noWrap/>
            <w:vAlign w:val="center"/>
            <w:hideMark/>
          </w:tcPr>
          <w:p w14:paraId="1BC40A55" w14:textId="77777777" w:rsidR="00322670" w:rsidRPr="004A662B" w:rsidRDefault="00322670" w:rsidP="00DE1FBB">
            <w:pPr>
              <w:spacing w:after="0" w:line="240" w:lineRule="auto"/>
              <w:jc w:val="center"/>
              <w:rPr>
                <w:rFonts w:ascii="Times New Roman" w:eastAsia="Times New Roman" w:hAnsi="Times New Roman" w:cs="Times New Roman"/>
                <w:color w:val="000000"/>
                <w:sz w:val="18"/>
                <w:lang w:eastAsia="es-GT"/>
              </w:rPr>
            </w:pPr>
            <w:r w:rsidRPr="004A662B">
              <w:rPr>
                <w:rFonts w:ascii="Times New Roman" w:eastAsia="Times New Roman" w:hAnsi="Times New Roman" w:cs="Times New Roman"/>
                <w:color w:val="000000"/>
                <w:sz w:val="18"/>
                <w:lang w:eastAsia="es-GT"/>
              </w:rPr>
              <w:t>4.5</w:t>
            </w:r>
          </w:p>
        </w:tc>
      </w:tr>
      <w:tr w:rsidR="00322670" w:rsidRPr="004A662B" w14:paraId="66BFA45F" w14:textId="77777777" w:rsidTr="00DE1FBB">
        <w:trPr>
          <w:trHeight w:val="87"/>
          <w:jc w:val="center"/>
        </w:trPr>
        <w:tc>
          <w:tcPr>
            <w:tcW w:w="2320" w:type="dxa"/>
            <w:tcBorders>
              <w:top w:val="nil"/>
              <w:left w:val="single" w:sz="4" w:space="0" w:color="auto"/>
              <w:bottom w:val="nil"/>
              <w:right w:val="nil"/>
            </w:tcBorders>
            <w:shd w:val="clear" w:color="auto" w:fill="auto"/>
            <w:noWrap/>
            <w:vAlign w:val="bottom"/>
            <w:hideMark/>
          </w:tcPr>
          <w:p w14:paraId="38238048" w14:textId="77777777" w:rsidR="00322670" w:rsidRPr="004A662B" w:rsidRDefault="00322670" w:rsidP="00DE1FBB">
            <w:pPr>
              <w:spacing w:after="0" w:line="240" w:lineRule="auto"/>
              <w:rPr>
                <w:rFonts w:ascii="Times New Roman" w:eastAsia="Times New Roman" w:hAnsi="Times New Roman" w:cs="Times New Roman"/>
                <w:color w:val="000000"/>
                <w:sz w:val="18"/>
                <w:lang w:eastAsia="es-GT"/>
              </w:rPr>
            </w:pPr>
            <w:r w:rsidRPr="004A662B">
              <w:rPr>
                <w:rFonts w:ascii="Times New Roman" w:eastAsia="Times New Roman" w:hAnsi="Times New Roman" w:cs="Times New Roman"/>
                <w:color w:val="000000"/>
                <w:sz w:val="18"/>
                <w:lang w:eastAsia="es-GT"/>
              </w:rPr>
              <w:t>Nicaragua</w:t>
            </w:r>
          </w:p>
        </w:tc>
        <w:tc>
          <w:tcPr>
            <w:tcW w:w="1200" w:type="dxa"/>
            <w:tcBorders>
              <w:top w:val="nil"/>
              <w:left w:val="nil"/>
              <w:bottom w:val="nil"/>
              <w:right w:val="nil"/>
            </w:tcBorders>
            <w:shd w:val="clear" w:color="auto" w:fill="auto"/>
            <w:noWrap/>
            <w:vAlign w:val="center"/>
            <w:hideMark/>
          </w:tcPr>
          <w:p w14:paraId="44FD2EA3" w14:textId="77777777" w:rsidR="00322670" w:rsidRPr="004A662B" w:rsidRDefault="00322670" w:rsidP="00DE1FBB">
            <w:pPr>
              <w:spacing w:after="0" w:line="240" w:lineRule="auto"/>
              <w:jc w:val="center"/>
              <w:rPr>
                <w:rFonts w:ascii="Times New Roman" w:eastAsia="Times New Roman" w:hAnsi="Times New Roman" w:cs="Times New Roman"/>
                <w:color w:val="000000"/>
                <w:sz w:val="18"/>
                <w:lang w:eastAsia="es-GT"/>
              </w:rPr>
            </w:pPr>
            <w:r w:rsidRPr="004A662B">
              <w:rPr>
                <w:rFonts w:ascii="Times New Roman" w:eastAsia="Times New Roman" w:hAnsi="Times New Roman" w:cs="Times New Roman"/>
                <w:color w:val="000000"/>
                <w:sz w:val="18"/>
                <w:lang w:eastAsia="es-GT"/>
              </w:rPr>
              <w:t>0.9</w:t>
            </w:r>
          </w:p>
        </w:tc>
        <w:tc>
          <w:tcPr>
            <w:tcW w:w="1200" w:type="dxa"/>
            <w:tcBorders>
              <w:top w:val="nil"/>
              <w:left w:val="nil"/>
              <w:bottom w:val="nil"/>
              <w:right w:val="nil"/>
            </w:tcBorders>
            <w:shd w:val="clear" w:color="auto" w:fill="auto"/>
            <w:noWrap/>
            <w:vAlign w:val="center"/>
            <w:hideMark/>
          </w:tcPr>
          <w:p w14:paraId="3FF2ECF2" w14:textId="77777777" w:rsidR="00322670" w:rsidRPr="004A662B" w:rsidRDefault="00322670" w:rsidP="00DE1FBB">
            <w:pPr>
              <w:spacing w:after="0" w:line="240" w:lineRule="auto"/>
              <w:jc w:val="center"/>
              <w:rPr>
                <w:rFonts w:ascii="Times New Roman" w:eastAsia="Times New Roman" w:hAnsi="Times New Roman" w:cs="Times New Roman"/>
                <w:color w:val="000000"/>
                <w:sz w:val="18"/>
                <w:lang w:eastAsia="es-GT"/>
              </w:rPr>
            </w:pPr>
            <w:r w:rsidRPr="004A662B">
              <w:rPr>
                <w:rFonts w:ascii="Times New Roman" w:eastAsia="Times New Roman" w:hAnsi="Times New Roman" w:cs="Times New Roman"/>
                <w:color w:val="000000"/>
                <w:sz w:val="18"/>
                <w:lang w:eastAsia="es-GT"/>
              </w:rPr>
              <w:t>0.2</w:t>
            </w:r>
          </w:p>
        </w:tc>
        <w:tc>
          <w:tcPr>
            <w:tcW w:w="1200" w:type="dxa"/>
            <w:tcBorders>
              <w:top w:val="nil"/>
              <w:left w:val="nil"/>
              <w:bottom w:val="nil"/>
              <w:right w:val="single" w:sz="4" w:space="0" w:color="auto"/>
            </w:tcBorders>
            <w:shd w:val="clear" w:color="auto" w:fill="auto"/>
            <w:noWrap/>
            <w:vAlign w:val="center"/>
            <w:hideMark/>
          </w:tcPr>
          <w:p w14:paraId="6578CF90" w14:textId="77777777" w:rsidR="00322670" w:rsidRPr="004A662B" w:rsidRDefault="00322670" w:rsidP="00DE1FBB">
            <w:pPr>
              <w:spacing w:after="0" w:line="240" w:lineRule="auto"/>
              <w:jc w:val="center"/>
              <w:rPr>
                <w:rFonts w:ascii="Times New Roman" w:eastAsia="Times New Roman" w:hAnsi="Times New Roman" w:cs="Times New Roman"/>
                <w:color w:val="000000"/>
                <w:sz w:val="18"/>
                <w:lang w:eastAsia="es-GT"/>
              </w:rPr>
            </w:pPr>
            <w:r w:rsidRPr="004A662B">
              <w:rPr>
                <w:rFonts w:ascii="Times New Roman" w:eastAsia="Times New Roman" w:hAnsi="Times New Roman" w:cs="Times New Roman"/>
                <w:color w:val="000000"/>
                <w:sz w:val="18"/>
                <w:lang w:eastAsia="es-GT"/>
              </w:rPr>
              <w:t>1.3</w:t>
            </w:r>
          </w:p>
        </w:tc>
      </w:tr>
      <w:tr w:rsidR="00322670" w:rsidRPr="004A662B" w14:paraId="4FCC128D" w14:textId="77777777" w:rsidTr="00DE1FBB">
        <w:trPr>
          <w:trHeight w:val="87"/>
          <w:jc w:val="center"/>
        </w:trPr>
        <w:tc>
          <w:tcPr>
            <w:tcW w:w="2320" w:type="dxa"/>
            <w:tcBorders>
              <w:top w:val="nil"/>
              <w:left w:val="single" w:sz="4" w:space="0" w:color="auto"/>
              <w:bottom w:val="nil"/>
              <w:right w:val="nil"/>
            </w:tcBorders>
            <w:shd w:val="clear" w:color="auto" w:fill="auto"/>
            <w:noWrap/>
            <w:vAlign w:val="bottom"/>
            <w:hideMark/>
          </w:tcPr>
          <w:p w14:paraId="6111C147" w14:textId="77777777" w:rsidR="00322670" w:rsidRPr="004A662B" w:rsidRDefault="00322670" w:rsidP="00DE1FBB">
            <w:pPr>
              <w:spacing w:after="0" w:line="240" w:lineRule="auto"/>
              <w:rPr>
                <w:rFonts w:ascii="Times New Roman" w:eastAsia="Times New Roman" w:hAnsi="Times New Roman" w:cs="Times New Roman"/>
                <w:color w:val="000000"/>
                <w:sz w:val="18"/>
                <w:lang w:eastAsia="es-GT"/>
              </w:rPr>
            </w:pPr>
            <w:r w:rsidRPr="004A662B">
              <w:rPr>
                <w:rFonts w:ascii="Times New Roman" w:eastAsia="Times New Roman" w:hAnsi="Times New Roman" w:cs="Times New Roman"/>
                <w:color w:val="000000"/>
                <w:sz w:val="18"/>
                <w:lang w:eastAsia="es-GT"/>
              </w:rPr>
              <w:t>Costa Rica</w:t>
            </w:r>
          </w:p>
        </w:tc>
        <w:tc>
          <w:tcPr>
            <w:tcW w:w="1200" w:type="dxa"/>
            <w:tcBorders>
              <w:top w:val="nil"/>
              <w:left w:val="nil"/>
              <w:bottom w:val="nil"/>
              <w:right w:val="nil"/>
            </w:tcBorders>
            <w:shd w:val="clear" w:color="auto" w:fill="auto"/>
            <w:noWrap/>
            <w:vAlign w:val="center"/>
            <w:hideMark/>
          </w:tcPr>
          <w:p w14:paraId="0130A8CC" w14:textId="77777777" w:rsidR="00322670" w:rsidRPr="004A662B" w:rsidRDefault="00322670" w:rsidP="00DE1FBB">
            <w:pPr>
              <w:spacing w:after="0" w:line="240" w:lineRule="auto"/>
              <w:jc w:val="center"/>
              <w:rPr>
                <w:rFonts w:ascii="Times New Roman" w:eastAsia="Times New Roman" w:hAnsi="Times New Roman" w:cs="Times New Roman"/>
                <w:color w:val="000000"/>
                <w:sz w:val="18"/>
                <w:lang w:eastAsia="es-GT"/>
              </w:rPr>
            </w:pPr>
            <w:r w:rsidRPr="004A662B">
              <w:rPr>
                <w:rFonts w:ascii="Times New Roman" w:eastAsia="Times New Roman" w:hAnsi="Times New Roman" w:cs="Times New Roman"/>
                <w:color w:val="000000"/>
                <w:sz w:val="18"/>
                <w:lang w:eastAsia="es-GT"/>
              </w:rPr>
              <w:t>2.6</w:t>
            </w:r>
          </w:p>
        </w:tc>
        <w:tc>
          <w:tcPr>
            <w:tcW w:w="1200" w:type="dxa"/>
            <w:tcBorders>
              <w:top w:val="nil"/>
              <w:left w:val="nil"/>
              <w:bottom w:val="nil"/>
              <w:right w:val="nil"/>
            </w:tcBorders>
            <w:shd w:val="clear" w:color="auto" w:fill="auto"/>
            <w:noWrap/>
            <w:vAlign w:val="center"/>
            <w:hideMark/>
          </w:tcPr>
          <w:p w14:paraId="42C85215" w14:textId="77777777" w:rsidR="00322670" w:rsidRPr="004A662B" w:rsidRDefault="00322670" w:rsidP="00DE1FBB">
            <w:pPr>
              <w:spacing w:after="0" w:line="240" w:lineRule="auto"/>
              <w:jc w:val="center"/>
              <w:rPr>
                <w:rFonts w:ascii="Times New Roman" w:eastAsia="Times New Roman" w:hAnsi="Times New Roman" w:cs="Times New Roman"/>
                <w:color w:val="000000"/>
                <w:sz w:val="18"/>
                <w:lang w:eastAsia="es-GT"/>
              </w:rPr>
            </w:pPr>
            <w:r w:rsidRPr="004A662B">
              <w:rPr>
                <w:rFonts w:ascii="Times New Roman" w:eastAsia="Times New Roman" w:hAnsi="Times New Roman" w:cs="Times New Roman"/>
                <w:color w:val="000000"/>
                <w:sz w:val="18"/>
                <w:lang w:eastAsia="es-GT"/>
              </w:rPr>
              <w:t>2.6</w:t>
            </w:r>
          </w:p>
        </w:tc>
        <w:tc>
          <w:tcPr>
            <w:tcW w:w="1200" w:type="dxa"/>
            <w:tcBorders>
              <w:top w:val="nil"/>
              <w:left w:val="nil"/>
              <w:bottom w:val="nil"/>
              <w:right w:val="single" w:sz="4" w:space="0" w:color="auto"/>
            </w:tcBorders>
            <w:shd w:val="clear" w:color="auto" w:fill="auto"/>
            <w:noWrap/>
            <w:vAlign w:val="center"/>
            <w:hideMark/>
          </w:tcPr>
          <w:p w14:paraId="1A01BD69" w14:textId="77777777" w:rsidR="00322670" w:rsidRPr="004A662B" w:rsidRDefault="00322670" w:rsidP="00DE1FBB">
            <w:pPr>
              <w:spacing w:after="0" w:line="240" w:lineRule="auto"/>
              <w:jc w:val="center"/>
              <w:rPr>
                <w:rFonts w:ascii="Times New Roman" w:eastAsia="Times New Roman" w:hAnsi="Times New Roman" w:cs="Times New Roman"/>
                <w:color w:val="000000"/>
                <w:sz w:val="18"/>
                <w:lang w:eastAsia="es-GT"/>
              </w:rPr>
            </w:pPr>
            <w:r w:rsidRPr="004A662B">
              <w:rPr>
                <w:rFonts w:ascii="Times New Roman" w:eastAsia="Times New Roman" w:hAnsi="Times New Roman" w:cs="Times New Roman"/>
                <w:color w:val="000000"/>
                <w:sz w:val="18"/>
                <w:lang w:eastAsia="es-GT"/>
              </w:rPr>
              <w:t>3.0</w:t>
            </w:r>
          </w:p>
        </w:tc>
      </w:tr>
      <w:tr w:rsidR="00322670" w:rsidRPr="004A662B" w14:paraId="521A58C8" w14:textId="77777777" w:rsidTr="00DE1FBB">
        <w:trPr>
          <w:trHeight w:val="98"/>
          <w:jc w:val="center"/>
        </w:trPr>
        <w:tc>
          <w:tcPr>
            <w:tcW w:w="2320" w:type="dxa"/>
            <w:tcBorders>
              <w:top w:val="nil"/>
              <w:left w:val="single" w:sz="4" w:space="0" w:color="auto"/>
              <w:bottom w:val="nil"/>
              <w:right w:val="nil"/>
            </w:tcBorders>
            <w:shd w:val="clear" w:color="auto" w:fill="auto"/>
            <w:noWrap/>
            <w:vAlign w:val="bottom"/>
            <w:hideMark/>
          </w:tcPr>
          <w:p w14:paraId="62F087E8" w14:textId="77777777" w:rsidR="00322670" w:rsidRPr="004A662B" w:rsidRDefault="00322670" w:rsidP="00DE1FBB">
            <w:pPr>
              <w:spacing w:after="0" w:line="240" w:lineRule="auto"/>
              <w:rPr>
                <w:rFonts w:ascii="Times New Roman" w:eastAsia="Times New Roman" w:hAnsi="Times New Roman" w:cs="Times New Roman"/>
                <w:color w:val="000000"/>
                <w:sz w:val="18"/>
                <w:lang w:eastAsia="es-GT"/>
              </w:rPr>
            </w:pPr>
            <w:r w:rsidRPr="004A662B">
              <w:rPr>
                <w:rFonts w:ascii="Times New Roman" w:eastAsia="Times New Roman" w:hAnsi="Times New Roman" w:cs="Times New Roman"/>
                <w:color w:val="000000"/>
                <w:sz w:val="18"/>
                <w:lang w:eastAsia="es-GT"/>
              </w:rPr>
              <w:t>Panamá</w:t>
            </w:r>
          </w:p>
        </w:tc>
        <w:tc>
          <w:tcPr>
            <w:tcW w:w="1200" w:type="dxa"/>
            <w:tcBorders>
              <w:top w:val="nil"/>
              <w:left w:val="nil"/>
              <w:bottom w:val="nil"/>
              <w:right w:val="nil"/>
            </w:tcBorders>
            <w:shd w:val="clear" w:color="auto" w:fill="auto"/>
            <w:noWrap/>
            <w:vAlign w:val="center"/>
            <w:hideMark/>
          </w:tcPr>
          <w:p w14:paraId="409AC392" w14:textId="77777777" w:rsidR="00322670" w:rsidRPr="004A662B" w:rsidRDefault="00322670" w:rsidP="00DE1FBB">
            <w:pPr>
              <w:spacing w:after="0" w:line="240" w:lineRule="auto"/>
              <w:jc w:val="center"/>
              <w:rPr>
                <w:rFonts w:ascii="Times New Roman" w:eastAsia="Times New Roman" w:hAnsi="Times New Roman" w:cs="Times New Roman"/>
                <w:color w:val="000000"/>
                <w:sz w:val="18"/>
                <w:lang w:eastAsia="es-GT"/>
              </w:rPr>
            </w:pPr>
            <w:r w:rsidRPr="004A662B">
              <w:rPr>
                <w:rFonts w:ascii="Times New Roman" w:eastAsia="Times New Roman" w:hAnsi="Times New Roman" w:cs="Times New Roman"/>
                <w:color w:val="000000"/>
                <w:sz w:val="18"/>
                <w:lang w:eastAsia="es-GT"/>
              </w:rPr>
              <w:t>9.9</w:t>
            </w:r>
          </w:p>
        </w:tc>
        <w:tc>
          <w:tcPr>
            <w:tcW w:w="1200" w:type="dxa"/>
            <w:tcBorders>
              <w:top w:val="nil"/>
              <w:left w:val="nil"/>
              <w:bottom w:val="nil"/>
              <w:right w:val="nil"/>
            </w:tcBorders>
            <w:shd w:val="clear" w:color="auto" w:fill="auto"/>
            <w:noWrap/>
            <w:vAlign w:val="center"/>
            <w:hideMark/>
          </w:tcPr>
          <w:p w14:paraId="0C4D8E49" w14:textId="77777777" w:rsidR="00322670" w:rsidRPr="004A662B" w:rsidRDefault="00322670" w:rsidP="00DE1FBB">
            <w:pPr>
              <w:spacing w:after="0" w:line="240" w:lineRule="auto"/>
              <w:jc w:val="center"/>
              <w:rPr>
                <w:rFonts w:ascii="Times New Roman" w:eastAsia="Times New Roman" w:hAnsi="Times New Roman" w:cs="Times New Roman"/>
                <w:color w:val="000000"/>
                <w:sz w:val="18"/>
                <w:lang w:eastAsia="es-GT"/>
              </w:rPr>
            </w:pPr>
            <w:r w:rsidRPr="004A662B">
              <w:rPr>
                <w:rFonts w:ascii="Times New Roman" w:eastAsia="Times New Roman" w:hAnsi="Times New Roman" w:cs="Times New Roman"/>
                <w:color w:val="000000"/>
                <w:sz w:val="18"/>
                <w:lang w:eastAsia="es-GT"/>
              </w:rPr>
              <w:t>5.5</w:t>
            </w:r>
          </w:p>
        </w:tc>
        <w:tc>
          <w:tcPr>
            <w:tcW w:w="1200" w:type="dxa"/>
            <w:tcBorders>
              <w:top w:val="nil"/>
              <w:left w:val="nil"/>
              <w:bottom w:val="nil"/>
              <w:right w:val="single" w:sz="4" w:space="0" w:color="auto"/>
            </w:tcBorders>
            <w:shd w:val="clear" w:color="auto" w:fill="auto"/>
            <w:noWrap/>
            <w:vAlign w:val="center"/>
            <w:hideMark/>
          </w:tcPr>
          <w:p w14:paraId="16583C9F" w14:textId="77777777" w:rsidR="00322670" w:rsidRPr="004A662B" w:rsidRDefault="00322670" w:rsidP="00DE1FBB">
            <w:pPr>
              <w:spacing w:after="0" w:line="240" w:lineRule="auto"/>
              <w:jc w:val="center"/>
              <w:rPr>
                <w:rFonts w:ascii="Times New Roman" w:eastAsia="Times New Roman" w:hAnsi="Times New Roman" w:cs="Times New Roman"/>
                <w:color w:val="000000"/>
                <w:sz w:val="18"/>
                <w:lang w:eastAsia="es-GT"/>
              </w:rPr>
            </w:pPr>
            <w:r w:rsidRPr="004A662B">
              <w:rPr>
                <w:rFonts w:ascii="Times New Roman" w:eastAsia="Times New Roman" w:hAnsi="Times New Roman" w:cs="Times New Roman"/>
                <w:color w:val="000000"/>
                <w:sz w:val="18"/>
                <w:lang w:eastAsia="es-GT"/>
              </w:rPr>
              <w:t>5.5</w:t>
            </w:r>
          </w:p>
        </w:tc>
      </w:tr>
      <w:tr w:rsidR="00322670" w:rsidRPr="004A662B" w14:paraId="32E127A1" w14:textId="77777777" w:rsidTr="00DE1FBB">
        <w:trPr>
          <w:trHeight w:val="129"/>
          <w:jc w:val="center"/>
        </w:trPr>
        <w:tc>
          <w:tcPr>
            <w:tcW w:w="2320" w:type="dxa"/>
            <w:tcBorders>
              <w:top w:val="nil"/>
              <w:left w:val="single" w:sz="4" w:space="0" w:color="auto"/>
              <w:bottom w:val="single" w:sz="4" w:space="0" w:color="auto"/>
              <w:right w:val="nil"/>
            </w:tcBorders>
            <w:shd w:val="clear" w:color="auto" w:fill="auto"/>
            <w:noWrap/>
            <w:vAlign w:val="bottom"/>
            <w:hideMark/>
          </w:tcPr>
          <w:p w14:paraId="57CCD343" w14:textId="77777777" w:rsidR="00322670" w:rsidRPr="004A662B" w:rsidRDefault="00322670" w:rsidP="00DE1FBB">
            <w:pPr>
              <w:spacing w:after="0" w:line="240" w:lineRule="auto"/>
              <w:rPr>
                <w:rFonts w:ascii="Times New Roman" w:eastAsia="Times New Roman" w:hAnsi="Times New Roman" w:cs="Times New Roman"/>
                <w:color w:val="000000"/>
                <w:sz w:val="18"/>
                <w:lang w:eastAsia="es-GT"/>
              </w:rPr>
            </w:pPr>
            <w:r w:rsidRPr="004A662B">
              <w:rPr>
                <w:rFonts w:ascii="Times New Roman" w:eastAsia="Times New Roman" w:hAnsi="Times New Roman" w:cs="Times New Roman"/>
                <w:color w:val="000000"/>
                <w:sz w:val="18"/>
                <w:lang w:eastAsia="es-GT"/>
              </w:rPr>
              <w:t>República Dominicana</w:t>
            </w:r>
          </w:p>
        </w:tc>
        <w:tc>
          <w:tcPr>
            <w:tcW w:w="1200" w:type="dxa"/>
            <w:tcBorders>
              <w:top w:val="nil"/>
              <w:left w:val="nil"/>
              <w:bottom w:val="single" w:sz="4" w:space="0" w:color="auto"/>
              <w:right w:val="nil"/>
            </w:tcBorders>
            <w:shd w:val="clear" w:color="auto" w:fill="auto"/>
            <w:noWrap/>
            <w:vAlign w:val="center"/>
            <w:hideMark/>
          </w:tcPr>
          <w:p w14:paraId="67D18CAD" w14:textId="77777777" w:rsidR="00322670" w:rsidRPr="004A662B" w:rsidRDefault="00322670" w:rsidP="00DE1FBB">
            <w:pPr>
              <w:spacing w:after="0" w:line="240" w:lineRule="auto"/>
              <w:jc w:val="center"/>
              <w:rPr>
                <w:rFonts w:ascii="Times New Roman" w:eastAsia="Times New Roman" w:hAnsi="Times New Roman" w:cs="Times New Roman"/>
                <w:color w:val="000000"/>
                <w:sz w:val="18"/>
                <w:lang w:eastAsia="es-GT"/>
              </w:rPr>
            </w:pPr>
            <w:r w:rsidRPr="004A662B">
              <w:rPr>
                <w:rFonts w:ascii="Times New Roman" w:eastAsia="Times New Roman" w:hAnsi="Times New Roman" w:cs="Times New Roman"/>
                <w:color w:val="000000"/>
                <w:sz w:val="18"/>
                <w:lang w:eastAsia="es-GT"/>
              </w:rPr>
              <w:t>4.8</w:t>
            </w:r>
          </w:p>
        </w:tc>
        <w:tc>
          <w:tcPr>
            <w:tcW w:w="1200" w:type="dxa"/>
            <w:tcBorders>
              <w:top w:val="nil"/>
              <w:left w:val="nil"/>
              <w:bottom w:val="single" w:sz="4" w:space="0" w:color="auto"/>
              <w:right w:val="nil"/>
            </w:tcBorders>
            <w:shd w:val="clear" w:color="auto" w:fill="auto"/>
            <w:noWrap/>
            <w:vAlign w:val="center"/>
            <w:hideMark/>
          </w:tcPr>
          <w:p w14:paraId="6D0EB2CB" w14:textId="77777777" w:rsidR="00322670" w:rsidRPr="004A662B" w:rsidRDefault="00322670" w:rsidP="00DE1FBB">
            <w:pPr>
              <w:spacing w:after="0" w:line="240" w:lineRule="auto"/>
              <w:jc w:val="center"/>
              <w:rPr>
                <w:rFonts w:ascii="Times New Roman" w:eastAsia="Times New Roman" w:hAnsi="Times New Roman" w:cs="Times New Roman"/>
                <w:color w:val="000000"/>
                <w:sz w:val="18"/>
                <w:lang w:eastAsia="es-GT"/>
              </w:rPr>
            </w:pPr>
            <w:r w:rsidRPr="004A662B">
              <w:rPr>
                <w:rFonts w:ascii="Times New Roman" w:eastAsia="Times New Roman" w:hAnsi="Times New Roman" w:cs="Times New Roman"/>
                <w:color w:val="000000"/>
                <w:sz w:val="18"/>
                <w:lang w:eastAsia="es-GT"/>
              </w:rPr>
              <w:t>5.5</w:t>
            </w:r>
          </w:p>
        </w:tc>
        <w:tc>
          <w:tcPr>
            <w:tcW w:w="1200" w:type="dxa"/>
            <w:tcBorders>
              <w:top w:val="nil"/>
              <w:left w:val="nil"/>
              <w:bottom w:val="single" w:sz="4" w:space="0" w:color="auto"/>
              <w:right w:val="single" w:sz="4" w:space="0" w:color="auto"/>
            </w:tcBorders>
            <w:shd w:val="clear" w:color="auto" w:fill="auto"/>
            <w:noWrap/>
            <w:vAlign w:val="center"/>
            <w:hideMark/>
          </w:tcPr>
          <w:p w14:paraId="67EE0FCD" w14:textId="77777777" w:rsidR="00322670" w:rsidRPr="004A662B" w:rsidRDefault="00322670" w:rsidP="00DE1FBB">
            <w:pPr>
              <w:spacing w:after="0" w:line="240" w:lineRule="auto"/>
              <w:jc w:val="center"/>
              <w:rPr>
                <w:rFonts w:ascii="Times New Roman" w:eastAsia="Times New Roman" w:hAnsi="Times New Roman" w:cs="Times New Roman"/>
                <w:color w:val="000000"/>
                <w:sz w:val="18"/>
                <w:lang w:eastAsia="es-GT"/>
              </w:rPr>
            </w:pPr>
            <w:r w:rsidRPr="004A662B">
              <w:rPr>
                <w:rFonts w:ascii="Times New Roman" w:eastAsia="Times New Roman" w:hAnsi="Times New Roman" w:cs="Times New Roman"/>
                <w:color w:val="000000"/>
                <w:sz w:val="18"/>
                <w:lang w:eastAsia="es-GT"/>
              </w:rPr>
              <w:t>5.0</w:t>
            </w:r>
          </w:p>
        </w:tc>
      </w:tr>
    </w:tbl>
    <w:p w14:paraId="02BA2482" w14:textId="77777777" w:rsidR="00322670" w:rsidRPr="007C6826" w:rsidRDefault="00322670" w:rsidP="00322670">
      <w:pPr>
        <w:spacing w:after="0" w:line="240" w:lineRule="auto"/>
        <w:jc w:val="both"/>
        <w:rPr>
          <w:rFonts w:ascii="Times New Roman" w:hAnsi="Times New Roman" w:cs="Times New Roman"/>
        </w:rPr>
      </w:pPr>
      <w:r w:rsidRPr="0062341C">
        <w:rPr>
          <w:rFonts w:ascii="Times New Roman" w:hAnsi="Times New Roman" w:cs="Times New Roman"/>
          <w:noProof/>
          <w:color w:val="FF0000"/>
          <w:lang w:val="es-ES" w:eastAsia="es-ES"/>
        </w:rPr>
        <mc:AlternateContent>
          <mc:Choice Requires="wps">
            <w:drawing>
              <wp:anchor distT="0" distB="0" distL="114300" distR="114300" simplePos="0" relativeHeight="251974144" behindDoc="0" locked="0" layoutInCell="1" allowOverlap="1" wp14:anchorId="784B89FB" wp14:editId="11DB3781">
                <wp:simplePos x="0" y="0"/>
                <wp:positionH relativeFrom="margin">
                  <wp:posOffset>812460</wp:posOffset>
                </wp:positionH>
                <wp:positionV relativeFrom="paragraph">
                  <wp:posOffset>6409</wp:posOffset>
                </wp:positionV>
                <wp:extent cx="4316819" cy="214630"/>
                <wp:effectExtent l="0" t="0" r="7620" b="0"/>
                <wp:wrapNone/>
                <wp:docPr id="12" name="Text Box 16"/>
                <wp:cNvGraphicFramePr/>
                <a:graphic xmlns:a="http://schemas.openxmlformats.org/drawingml/2006/main">
                  <a:graphicData uri="http://schemas.microsoft.com/office/word/2010/wordprocessingShape">
                    <wps:wsp>
                      <wps:cNvSpPr txBox="1"/>
                      <wps:spPr>
                        <a:xfrm>
                          <a:off x="0" y="0"/>
                          <a:ext cx="4316819" cy="214630"/>
                        </a:xfrm>
                        <a:prstGeom prst="rect">
                          <a:avLst/>
                        </a:prstGeom>
                        <a:solidFill>
                          <a:schemeClr val="lt1"/>
                        </a:solidFill>
                        <a:ln w="6350">
                          <a:noFill/>
                        </a:ln>
                      </wps:spPr>
                      <wps:txbx>
                        <w:txbxContent>
                          <w:p w14:paraId="7DBA4A66" w14:textId="77777777" w:rsidR="00A36CEB" w:rsidRPr="00EC77E9" w:rsidRDefault="00A36CEB" w:rsidP="00322670">
                            <w:pPr>
                              <w:spacing w:after="0"/>
                              <w:rPr>
                                <w:rFonts w:ascii="Times New Roman" w:hAnsi="Times New Roman" w:cs="Times New Roman"/>
                                <w:sz w:val="16"/>
                                <w:szCs w:val="16"/>
                              </w:rPr>
                            </w:pPr>
                            <w:r w:rsidRPr="00EC77E9">
                              <w:rPr>
                                <w:rFonts w:ascii="Times New Roman" w:hAnsi="Times New Roman" w:cs="Times New Roman"/>
                                <w:sz w:val="16"/>
                                <w:szCs w:val="16"/>
                              </w:rPr>
                              <w:t xml:space="preserve">Fuente: </w:t>
                            </w:r>
                            <w:r>
                              <w:rPr>
                                <w:rFonts w:ascii="Times New Roman" w:hAnsi="Times New Roman" w:cs="Times New Roman"/>
                                <w:sz w:val="16"/>
                                <w:szCs w:val="16"/>
                              </w:rPr>
                              <w:t>Dirección de Análisis y Política Fiscal</w:t>
                            </w:r>
                            <w:r w:rsidRPr="00EC77E9">
                              <w:rPr>
                                <w:rFonts w:ascii="Times New Roman" w:hAnsi="Times New Roman" w:cs="Times New Roman"/>
                                <w:sz w:val="16"/>
                                <w:szCs w:val="16"/>
                              </w:rPr>
                              <w:t xml:space="preserve"> con información del FMI</w:t>
                            </w:r>
                            <w:r>
                              <w:rPr>
                                <w:rFonts w:ascii="Times New Roman" w:hAnsi="Times New Roman" w:cs="Times New Roman"/>
                                <w:sz w:val="16"/>
                                <w:szCs w:val="16"/>
                              </w:rPr>
                              <w:t>, Banco Mundial y CEPAL.</w:t>
                            </w:r>
                          </w:p>
                          <w:p w14:paraId="6EC513BA" w14:textId="77777777" w:rsidR="00A36CEB" w:rsidRPr="00EC77E9" w:rsidRDefault="00A36CEB" w:rsidP="00322670">
                            <w:pPr>
                              <w:spacing w:after="0"/>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84B89FB" id="_x0000_s1030" type="#_x0000_t202" style="position:absolute;left:0;text-align:left;margin-left:63.95pt;margin-top:.5pt;width:339.9pt;height:16.9pt;z-index:25197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" fillcolor="white [3201]" stroked="f" strokeweight=".5pt">
                <v:textbox>
                  <w:txbxContent>
                    <w:p w14:paraId="7DBA4A66" w14:textId="77777777" w:rsidR="00A36CEB" w:rsidRPr="00EC77E9" w:rsidRDefault="00A36CEB" w:rsidP="00322670">
                      <w:pPr>
                        <w:spacing w:after="0"/>
                        <w:rPr>
                          <w:rFonts w:ascii="Times New Roman" w:hAnsi="Times New Roman" w:cs="Times New Roman"/>
                          <w:sz w:val="16"/>
                          <w:szCs w:val="16"/>
                        </w:rPr>
                      </w:pPr>
                      <w:r w:rsidRPr="00EC77E9">
                        <w:rPr>
                          <w:rFonts w:ascii="Times New Roman" w:hAnsi="Times New Roman" w:cs="Times New Roman"/>
                          <w:sz w:val="16"/>
                          <w:szCs w:val="16"/>
                        </w:rPr>
                        <w:t xml:space="preserve">Fuente: </w:t>
                      </w:r>
                      <w:r>
                        <w:rPr>
                          <w:rFonts w:ascii="Times New Roman" w:hAnsi="Times New Roman" w:cs="Times New Roman"/>
                          <w:sz w:val="16"/>
                          <w:szCs w:val="16"/>
                        </w:rPr>
                        <w:t>Dirección de Análisis y Política Fiscal</w:t>
                      </w:r>
                      <w:r w:rsidRPr="00EC77E9">
                        <w:rPr>
                          <w:rFonts w:ascii="Times New Roman" w:hAnsi="Times New Roman" w:cs="Times New Roman"/>
                          <w:sz w:val="16"/>
                          <w:szCs w:val="16"/>
                        </w:rPr>
                        <w:t xml:space="preserve"> con información del FMI</w:t>
                      </w:r>
                      <w:r>
                        <w:rPr>
                          <w:rFonts w:ascii="Times New Roman" w:hAnsi="Times New Roman" w:cs="Times New Roman"/>
                          <w:sz w:val="16"/>
                          <w:szCs w:val="16"/>
                        </w:rPr>
                        <w:t>, Banco Mundial y CEPAL.</w:t>
                      </w:r>
                    </w:p>
                    <w:p w14:paraId="6EC513BA" w14:textId="77777777" w:rsidR="00A36CEB" w:rsidRPr="00EC77E9" w:rsidRDefault="00A36CEB" w:rsidP="00322670">
                      <w:pPr>
                        <w:spacing w:after="0"/>
                        <w:rPr>
                          <w:rFonts w:ascii="Times New Roman" w:hAnsi="Times New Roman" w:cs="Times New Roman"/>
                          <w:sz w:val="16"/>
                          <w:szCs w:val="16"/>
                        </w:rPr>
                      </w:pPr>
                    </w:p>
                  </w:txbxContent>
                </v:textbox>
                <w10:wrap anchorx="margin"/>
              </v:shape>
            </w:pict>
          </mc:Fallback>
        </mc:AlternateContent>
      </w:r>
    </w:p>
    <w:p w14:paraId="3A173A9C" w14:textId="77777777" w:rsidR="00322670" w:rsidRPr="007C6826" w:rsidRDefault="00322670" w:rsidP="00322670">
      <w:pPr>
        <w:spacing w:after="0" w:line="240" w:lineRule="auto"/>
        <w:jc w:val="both"/>
        <w:rPr>
          <w:rFonts w:ascii="Times New Roman" w:hAnsi="Times New Roman" w:cs="Times New Roman"/>
        </w:rPr>
      </w:pPr>
    </w:p>
    <w:p w14:paraId="28305309" w14:textId="77777777" w:rsidR="00322670" w:rsidRPr="002C662A" w:rsidRDefault="00322670" w:rsidP="001032E7">
      <w:pPr>
        <w:pStyle w:val="Ttulo3"/>
        <w:numPr>
          <w:ilvl w:val="2"/>
          <w:numId w:val="29"/>
        </w:numPr>
        <w:tabs>
          <w:tab w:val="left" w:pos="1134"/>
        </w:tabs>
        <w:spacing w:before="0" w:line="240" w:lineRule="auto"/>
        <w:ind w:left="709" w:hanging="180"/>
        <w:rPr>
          <w:rFonts w:ascii="Times New Roman" w:hAnsi="Times New Roman" w:cs="Times New Roman"/>
          <w:b/>
          <w:color w:val="auto"/>
          <w:lang w:val="es-MX" w:eastAsia="es-ES"/>
        </w:rPr>
      </w:pPr>
      <w:bookmarkStart w:id="67" w:name="_Toc72489350"/>
      <w:bookmarkStart w:id="68" w:name="_Toc81571833"/>
      <w:r w:rsidRPr="002C662A">
        <w:rPr>
          <w:rFonts w:ascii="Times New Roman" w:hAnsi="Times New Roman" w:cs="Times New Roman"/>
          <w:b/>
          <w:color w:val="auto"/>
          <w:lang w:val="es-MX" w:eastAsia="es-ES"/>
        </w:rPr>
        <w:t>México</w:t>
      </w:r>
      <w:bookmarkEnd w:id="67"/>
      <w:bookmarkEnd w:id="68"/>
    </w:p>
    <w:p w14:paraId="60EE3B03" w14:textId="77777777" w:rsidR="00322670" w:rsidRDefault="00322670" w:rsidP="00322670">
      <w:pPr>
        <w:spacing w:after="0" w:line="240" w:lineRule="auto"/>
        <w:rPr>
          <w:rFonts w:ascii="Times New Roman" w:hAnsi="Times New Roman" w:cs="Times New Roman"/>
          <w:lang w:val="es-MX" w:eastAsia="es-ES"/>
        </w:rPr>
      </w:pPr>
    </w:p>
    <w:p w14:paraId="2E5ACB84" w14:textId="77777777" w:rsidR="00322670" w:rsidRDefault="00322670" w:rsidP="00322670">
      <w:pPr>
        <w:spacing w:after="0" w:line="240" w:lineRule="auto"/>
        <w:jc w:val="both"/>
        <w:rPr>
          <w:rFonts w:ascii="Times New Roman" w:hAnsi="Times New Roman" w:cs="Times New Roman"/>
        </w:rPr>
      </w:pPr>
      <w:r w:rsidRPr="00D60B89">
        <w:rPr>
          <w:rFonts w:ascii="Times New Roman" w:hAnsi="Times New Roman" w:cs="Times New Roman"/>
          <w:lang w:val="es-MX"/>
        </w:rPr>
        <w:t>El desempeño de la</w:t>
      </w:r>
      <w:r w:rsidRPr="00D60B89">
        <w:rPr>
          <w:rFonts w:ascii="Times New Roman" w:hAnsi="Times New Roman" w:cs="Times New Roman"/>
        </w:rPr>
        <w:t xml:space="preserve"> economía de México en 2021 aún está sujeto a presentar altibajos, toda ve</w:t>
      </w:r>
      <w:r>
        <w:rPr>
          <w:rFonts w:ascii="Times New Roman" w:hAnsi="Times New Roman" w:cs="Times New Roman"/>
        </w:rPr>
        <w:t>z que la pandemia sigua</w:t>
      </w:r>
      <w:r w:rsidRPr="00D60B89">
        <w:rPr>
          <w:rFonts w:ascii="Times New Roman" w:hAnsi="Times New Roman" w:cs="Times New Roman"/>
        </w:rPr>
        <w:t xml:space="preserve"> vigente</w:t>
      </w:r>
      <w:r>
        <w:rPr>
          <w:rFonts w:ascii="Times New Roman" w:hAnsi="Times New Roman" w:cs="Times New Roman"/>
        </w:rPr>
        <w:t>,</w:t>
      </w:r>
      <w:r w:rsidRPr="00D60B89">
        <w:rPr>
          <w:rFonts w:ascii="Times New Roman" w:hAnsi="Times New Roman" w:cs="Times New Roman"/>
        </w:rPr>
        <w:t xml:space="preserve"> la dinámica responderá al comportamiento diferenciado de los componentes de la demanda y de los sectores productivos.  El Fondo Monetario Internacional indicó que será un año de recuperación económica, gracias al rápido despliegue de los programas de vacunación. </w:t>
      </w:r>
      <w:r>
        <w:rPr>
          <w:rFonts w:ascii="Times New Roman" w:hAnsi="Times New Roman" w:cs="Times New Roman"/>
        </w:rPr>
        <w:t>Asi</w:t>
      </w:r>
      <w:r w:rsidRPr="00D60B89">
        <w:rPr>
          <w:rFonts w:ascii="Times New Roman" w:hAnsi="Times New Roman" w:cs="Times New Roman"/>
        </w:rPr>
        <w:t xml:space="preserve">mismo, </w:t>
      </w:r>
      <w:r>
        <w:rPr>
          <w:rFonts w:ascii="Times New Roman" w:hAnsi="Times New Roman" w:cs="Times New Roman"/>
        </w:rPr>
        <w:t>prevé un crecimiento</w:t>
      </w:r>
      <w:r w:rsidRPr="00D60B89">
        <w:rPr>
          <w:rFonts w:ascii="Times New Roman" w:hAnsi="Times New Roman" w:cs="Times New Roman"/>
        </w:rPr>
        <w:t xml:space="preserve"> del 4.</w:t>
      </w:r>
      <w:r>
        <w:rPr>
          <w:rFonts w:ascii="Times New Roman" w:hAnsi="Times New Roman" w:cs="Times New Roman"/>
        </w:rPr>
        <w:t xml:space="preserve">3% y la Secretaría de Hacienda </w:t>
      </w:r>
      <w:r w:rsidRPr="00D60B89">
        <w:rPr>
          <w:rFonts w:ascii="Times New Roman" w:hAnsi="Times New Roman" w:cs="Times New Roman"/>
        </w:rPr>
        <w:t xml:space="preserve">considera un escenario más optimista de 4.6%. En ambos casos, se hace evidente que volver a los niveles de actividad previos a la pandemia será cuestión de dos a tres años, en el mejor de los casos. La normalización del turismo y el ritmo de la recuperación de Estados Unidos, el mayor socio comercial de México, serán claves para </w:t>
      </w:r>
      <w:r>
        <w:rPr>
          <w:rFonts w:ascii="Times New Roman" w:hAnsi="Times New Roman" w:cs="Times New Roman"/>
        </w:rPr>
        <w:t>la recuperación económica</w:t>
      </w:r>
      <w:r w:rsidRPr="00D60B89">
        <w:rPr>
          <w:rFonts w:ascii="Times New Roman" w:hAnsi="Times New Roman" w:cs="Times New Roman"/>
        </w:rPr>
        <w:t>.</w:t>
      </w:r>
    </w:p>
    <w:p w14:paraId="6C3E503B" w14:textId="77777777" w:rsidR="00322670" w:rsidRDefault="00322670" w:rsidP="00322670">
      <w:pPr>
        <w:spacing w:after="0" w:line="240" w:lineRule="auto"/>
        <w:jc w:val="both"/>
        <w:rPr>
          <w:rFonts w:ascii="Times New Roman" w:hAnsi="Times New Roman" w:cs="Times New Roman"/>
        </w:rPr>
      </w:pPr>
    </w:p>
    <w:p w14:paraId="2D98DA00" w14:textId="77777777" w:rsidR="00322670" w:rsidRDefault="00322670" w:rsidP="00322670">
      <w:pPr>
        <w:spacing w:after="0" w:line="240" w:lineRule="auto"/>
        <w:jc w:val="both"/>
        <w:rPr>
          <w:rFonts w:ascii="Times New Roman" w:hAnsi="Times New Roman" w:cs="Times New Roman"/>
        </w:rPr>
      </w:pPr>
      <w:r w:rsidRPr="00D60B89">
        <w:rPr>
          <w:rFonts w:ascii="Times New Roman" w:hAnsi="Times New Roman" w:cs="Times New Roman"/>
        </w:rPr>
        <w:t xml:space="preserve">Una de las claves de la reactivación económica es el empleo, sin embargo, lo que </w:t>
      </w:r>
      <w:r>
        <w:rPr>
          <w:rFonts w:ascii="Times New Roman" w:hAnsi="Times New Roman" w:cs="Times New Roman"/>
        </w:rPr>
        <w:t>en la actualidad</w:t>
      </w:r>
      <w:r w:rsidRPr="00D60B89">
        <w:rPr>
          <w:rFonts w:ascii="Times New Roman" w:hAnsi="Times New Roman" w:cs="Times New Roman"/>
        </w:rPr>
        <w:t xml:space="preserve"> se observa es que los empleos que se reponen más fácilmente son </w:t>
      </w:r>
      <w:r>
        <w:rPr>
          <w:rFonts w:ascii="Times New Roman" w:hAnsi="Times New Roman" w:cs="Times New Roman"/>
        </w:rPr>
        <w:t xml:space="preserve">los asociados a la </w:t>
      </w:r>
      <w:r w:rsidRPr="00D60B89">
        <w:rPr>
          <w:rFonts w:ascii="Times New Roman" w:hAnsi="Times New Roman" w:cs="Times New Roman"/>
        </w:rPr>
        <w:t>economía informal. El 2021 inició con una creación de empleo débil, a pesar de tener un crecimiento positivo del empleo resulta insuficiente dada la pérdida de empleos que se dio a partir del inicio de la pandemia que mantiene una brecha de 79</w:t>
      </w:r>
      <w:r>
        <w:rPr>
          <w:rFonts w:ascii="Times New Roman" w:hAnsi="Times New Roman" w:cs="Times New Roman"/>
        </w:rPr>
        <w:t xml:space="preserve">2 mil empleos menos respecto a cuando inició la pandemia en </w:t>
      </w:r>
      <w:r w:rsidRPr="00D60B89">
        <w:rPr>
          <w:rFonts w:ascii="Times New Roman" w:hAnsi="Times New Roman" w:cs="Times New Roman"/>
        </w:rPr>
        <w:t>2020.</w:t>
      </w:r>
    </w:p>
    <w:p w14:paraId="5BF0017F" w14:textId="77777777" w:rsidR="00322670" w:rsidRDefault="00322670" w:rsidP="00322670">
      <w:pPr>
        <w:spacing w:after="0" w:line="240" w:lineRule="auto"/>
        <w:jc w:val="both"/>
        <w:rPr>
          <w:rFonts w:ascii="Times New Roman" w:hAnsi="Times New Roman" w:cs="Times New Roman"/>
        </w:rPr>
      </w:pPr>
    </w:p>
    <w:p w14:paraId="21765AA0" w14:textId="77777777" w:rsidR="00322670" w:rsidRPr="00D60B89" w:rsidRDefault="00322670" w:rsidP="00322670">
      <w:pPr>
        <w:spacing w:after="0" w:line="240" w:lineRule="auto"/>
        <w:jc w:val="both"/>
        <w:rPr>
          <w:rFonts w:ascii="Times New Roman" w:hAnsi="Times New Roman" w:cs="Times New Roman"/>
        </w:rPr>
      </w:pPr>
      <w:r w:rsidRPr="001F0A1F">
        <w:rPr>
          <w:rFonts w:ascii="Times New Roman" w:hAnsi="Times New Roman" w:cs="Times New Roman"/>
        </w:rPr>
        <w:t>El reto para México será detener la tendencia a la baja de la inversión, pero sobre todo aumentar el consumo interno el cual se ha mantenido débil desde el inicio de la pandemia. Para lograrlo es necesario generar un ambiente de confianza y fomentar programas que ayuden a la recuperación.</w:t>
      </w:r>
      <w:r>
        <w:rPr>
          <w:rFonts w:ascii="Times New Roman" w:hAnsi="Times New Roman" w:cs="Times New Roman"/>
        </w:rPr>
        <w:t xml:space="preserve">  Por su parte, l</w:t>
      </w:r>
      <w:r w:rsidRPr="00DB79BB">
        <w:rPr>
          <w:rFonts w:ascii="Times New Roman" w:hAnsi="Times New Roman" w:cs="Times New Roman"/>
        </w:rPr>
        <w:t>a producción manufacturera mexicana ya está alcanzando niveles pre</w:t>
      </w:r>
      <w:r>
        <w:rPr>
          <w:rFonts w:ascii="Times New Roman" w:hAnsi="Times New Roman" w:cs="Times New Roman"/>
        </w:rPr>
        <w:t xml:space="preserve"> </w:t>
      </w:r>
      <w:r w:rsidRPr="00DB79BB">
        <w:rPr>
          <w:rFonts w:ascii="Times New Roman" w:hAnsi="Times New Roman" w:cs="Times New Roman"/>
        </w:rPr>
        <w:t>pandémicos, mientras que el valor de las exportaciones ha superado los niveles de 2019. En cambio, la actividad minorista se mantiene por debajo de los niveles de 2019, mientras que el consumo de bienes duraderos, como los automó</w:t>
      </w:r>
      <w:r>
        <w:rPr>
          <w:rFonts w:ascii="Times New Roman" w:hAnsi="Times New Roman" w:cs="Times New Roman"/>
        </w:rPr>
        <w:t>viles, es mucho menor.</w:t>
      </w:r>
    </w:p>
    <w:p w14:paraId="547F7EC5" w14:textId="77777777" w:rsidR="00322670" w:rsidRPr="001F0A1F" w:rsidRDefault="00322670" w:rsidP="00322670">
      <w:pPr>
        <w:spacing w:after="0" w:line="240" w:lineRule="auto"/>
        <w:jc w:val="both"/>
        <w:rPr>
          <w:rFonts w:ascii="Times New Roman" w:hAnsi="Times New Roman" w:cs="Times New Roman"/>
          <w:color w:val="5B9BD5" w:themeColor="accent1"/>
          <w:lang w:eastAsia="es-ES"/>
        </w:rPr>
      </w:pPr>
    </w:p>
    <w:p w14:paraId="3A2F32D1" w14:textId="77777777" w:rsidR="00322670" w:rsidRPr="002C662A" w:rsidRDefault="00322670" w:rsidP="001032E7">
      <w:pPr>
        <w:pStyle w:val="Ttulo3"/>
        <w:numPr>
          <w:ilvl w:val="2"/>
          <w:numId w:val="29"/>
        </w:numPr>
        <w:tabs>
          <w:tab w:val="left" w:pos="1134"/>
        </w:tabs>
        <w:spacing w:before="0" w:line="240" w:lineRule="auto"/>
        <w:ind w:left="709" w:hanging="180"/>
        <w:rPr>
          <w:rFonts w:ascii="Times New Roman" w:hAnsi="Times New Roman" w:cs="Times New Roman"/>
          <w:b/>
          <w:color w:val="auto"/>
          <w:lang w:val="es-MX" w:eastAsia="es-ES"/>
        </w:rPr>
      </w:pPr>
      <w:bookmarkStart w:id="69" w:name="_Toc72489351"/>
      <w:bookmarkStart w:id="70" w:name="_Toc81571834"/>
      <w:r w:rsidRPr="002C662A">
        <w:rPr>
          <w:rFonts w:ascii="Times New Roman" w:hAnsi="Times New Roman" w:cs="Times New Roman"/>
          <w:b/>
          <w:color w:val="auto"/>
          <w:lang w:val="es-MX" w:eastAsia="es-ES"/>
        </w:rPr>
        <w:t>Zona del Euro</w:t>
      </w:r>
      <w:r>
        <w:rPr>
          <w:rFonts w:ascii="Times New Roman" w:hAnsi="Times New Roman" w:cs="Times New Roman"/>
          <w:b/>
          <w:color w:val="auto"/>
          <w:lang w:val="es-MX" w:eastAsia="es-ES"/>
        </w:rPr>
        <w:t xml:space="preserve"> y la Unión Europea</w:t>
      </w:r>
      <w:bookmarkEnd w:id="69"/>
      <w:bookmarkEnd w:id="70"/>
    </w:p>
    <w:p w14:paraId="3FBD614E" w14:textId="77777777" w:rsidR="00322670" w:rsidRDefault="00322670" w:rsidP="00322670">
      <w:pPr>
        <w:spacing w:after="0" w:line="240" w:lineRule="auto"/>
        <w:jc w:val="both"/>
        <w:rPr>
          <w:rFonts w:ascii="Times New Roman" w:hAnsi="Times New Roman" w:cs="Times New Roman"/>
          <w:color w:val="FF0000"/>
        </w:rPr>
      </w:pPr>
    </w:p>
    <w:p w14:paraId="5F4ABDF5" w14:textId="77777777" w:rsidR="00322670" w:rsidRPr="009A23BC" w:rsidRDefault="00322670" w:rsidP="00322670">
      <w:pPr>
        <w:spacing w:after="0" w:line="240" w:lineRule="auto"/>
        <w:jc w:val="both"/>
        <w:rPr>
          <w:rFonts w:ascii="Times New Roman" w:hAnsi="Times New Roman" w:cs="Times New Roman"/>
        </w:rPr>
      </w:pPr>
      <w:r w:rsidRPr="009A23BC">
        <w:rPr>
          <w:rFonts w:ascii="Times New Roman" w:hAnsi="Times New Roman" w:cs="Times New Roman"/>
        </w:rPr>
        <w:t>Según las previsiones económicas de los principales organismos internacionales, la economía de la zona del euro crecerá un 3.8% en 2021</w:t>
      </w:r>
      <w:r>
        <w:rPr>
          <w:rFonts w:ascii="Times New Roman" w:hAnsi="Times New Roman" w:cs="Times New Roman"/>
        </w:rPr>
        <w:t xml:space="preserve"> y</w:t>
      </w:r>
      <w:r w:rsidRPr="009A23BC">
        <w:rPr>
          <w:rFonts w:ascii="Times New Roman" w:hAnsi="Times New Roman" w:cs="Times New Roman"/>
        </w:rPr>
        <w:t xml:space="preserve"> el conjunto de la Unión E</w:t>
      </w:r>
      <w:r>
        <w:rPr>
          <w:rFonts w:ascii="Times New Roman" w:hAnsi="Times New Roman" w:cs="Times New Roman"/>
        </w:rPr>
        <w:t>uropea tendrá un crecimiento económico de</w:t>
      </w:r>
      <w:r w:rsidRPr="009A23BC">
        <w:rPr>
          <w:rFonts w:ascii="Times New Roman" w:hAnsi="Times New Roman" w:cs="Times New Roman"/>
        </w:rPr>
        <w:t xml:space="preserve"> 3.7% en 2021.  Las economías de la zona del euro y de la Unión Europea alcanzarían sus niveles de producción previos a la crisis antes de lo que anunciaban las previsiones económicas de 2020. En gran parte, esto obedece a que</w:t>
      </w:r>
      <w:r>
        <w:rPr>
          <w:rFonts w:ascii="Times New Roman" w:hAnsi="Times New Roman" w:cs="Times New Roman"/>
        </w:rPr>
        <w:t xml:space="preserve"> </w:t>
      </w:r>
      <w:r w:rsidRPr="009A23BC">
        <w:rPr>
          <w:rFonts w:ascii="Times New Roman" w:hAnsi="Times New Roman" w:cs="Times New Roman"/>
        </w:rPr>
        <w:t xml:space="preserve">el crecimiento cobrará un impulso mayor de lo previsto </w:t>
      </w:r>
      <w:r>
        <w:rPr>
          <w:rFonts w:ascii="Times New Roman" w:hAnsi="Times New Roman" w:cs="Times New Roman"/>
        </w:rPr>
        <w:t>a partir del</w:t>
      </w:r>
      <w:r w:rsidRPr="009A23BC">
        <w:rPr>
          <w:rFonts w:ascii="Times New Roman" w:hAnsi="Times New Roman" w:cs="Times New Roman"/>
        </w:rPr>
        <w:t xml:space="preserve"> segundo semestre de 2021.</w:t>
      </w:r>
    </w:p>
    <w:p w14:paraId="51664AED" w14:textId="77777777" w:rsidR="00322670" w:rsidRPr="009A23BC" w:rsidRDefault="00322670" w:rsidP="00322670">
      <w:pPr>
        <w:spacing w:after="0" w:line="240" w:lineRule="auto"/>
        <w:jc w:val="both"/>
        <w:rPr>
          <w:rFonts w:ascii="Times New Roman" w:hAnsi="Times New Roman" w:cs="Times New Roman"/>
        </w:rPr>
      </w:pPr>
    </w:p>
    <w:p w14:paraId="5C5547A7" w14:textId="77777777" w:rsidR="00322670" w:rsidRPr="00A0753D" w:rsidRDefault="00322670" w:rsidP="00322670">
      <w:pPr>
        <w:spacing w:after="0" w:line="240" w:lineRule="auto"/>
        <w:jc w:val="both"/>
        <w:rPr>
          <w:rFonts w:ascii="Times New Roman" w:hAnsi="Times New Roman" w:cs="Times New Roman"/>
        </w:rPr>
      </w:pPr>
      <w:r w:rsidRPr="009A23BC">
        <w:rPr>
          <w:rFonts w:ascii="Times New Roman" w:hAnsi="Times New Roman" w:cs="Times New Roman"/>
        </w:rPr>
        <w:t xml:space="preserve">Se prevé que la inflación en la zona del euro pase del 0.3% en 2020 al 1.4% en 2021, </w:t>
      </w:r>
      <w:r>
        <w:rPr>
          <w:rFonts w:ascii="Times New Roman" w:hAnsi="Times New Roman" w:cs="Times New Roman"/>
        </w:rPr>
        <w:t>y después se mantenga muy cercano a dicho nivel</w:t>
      </w:r>
      <w:r w:rsidRPr="009A23BC">
        <w:rPr>
          <w:rFonts w:ascii="Times New Roman" w:hAnsi="Times New Roman" w:cs="Times New Roman"/>
        </w:rPr>
        <w:t>; s</w:t>
      </w:r>
      <w:r>
        <w:rPr>
          <w:rFonts w:ascii="Times New Roman" w:hAnsi="Times New Roman" w:cs="Times New Roman"/>
        </w:rPr>
        <w:t>i bien se mantiene en general moderada</w:t>
      </w:r>
      <w:r w:rsidRPr="009A23BC">
        <w:rPr>
          <w:rFonts w:ascii="Times New Roman" w:hAnsi="Times New Roman" w:cs="Times New Roman"/>
        </w:rPr>
        <w:t xml:space="preserve">, tanto en la eurozona como en la Unión Europea, el retraso en la recuperación seguirá frenando las presiones de la demanda agregada sobre los precios. En 2021 podrá haber un impulso temporal al alza debido a los efectos de base positivos de la inflación energética, a los ajustes fiscales, sobre todo en Alemania y al impacto de la demanda acumulada sobre ciertas limitaciones de la oferta aún observadas. </w:t>
      </w:r>
      <w:r>
        <w:rPr>
          <w:rFonts w:ascii="Times New Roman" w:hAnsi="Times New Roman" w:cs="Times New Roman"/>
        </w:rPr>
        <w:t>Se espera que a</w:t>
      </w:r>
      <w:r w:rsidRPr="009A23BC">
        <w:rPr>
          <w:rFonts w:ascii="Times New Roman" w:hAnsi="Times New Roman" w:cs="Times New Roman"/>
        </w:rPr>
        <w:t>l ajustarse la oferta y atenuarse los efectos de base, la inflación disminuya de nuevo.</w:t>
      </w:r>
    </w:p>
    <w:p w14:paraId="4EAABE8A" w14:textId="77777777" w:rsidR="00322670" w:rsidRPr="00A21334" w:rsidRDefault="00322670" w:rsidP="00322670">
      <w:pPr>
        <w:spacing w:after="0" w:line="240" w:lineRule="auto"/>
        <w:rPr>
          <w:rFonts w:ascii="Times New Roman" w:hAnsi="Times New Roman" w:cs="Times New Roman"/>
          <w:lang w:eastAsia="es-ES"/>
        </w:rPr>
      </w:pPr>
    </w:p>
    <w:p w14:paraId="075C8B0E" w14:textId="77777777" w:rsidR="00322670" w:rsidRPr="004E247B" w:rsidRDefault="00ED116C" w:rsidP="004E247B">
      <w:pPr>
        <w:pStyle w:val="Ttulo2"/>
        <w:numPr>
          <w:ilvl w:val="1"/>
          <w:numId w:val="28"/>
        </w:numPr>
        <w:tabs>
          <w:tab w:val="left" w:pos="851"/>
        </w:tabs>
        <w:spacing w:before="0" w:line="276" w:lineRule="auto"/>
        <w:ind w:left="426"/>
        <w:rPr>
          <w:rFonts w:ascii="Times New Roman" w:hAnsi="Times New Roman" w:cs="Times New Roman"/>
          <w:color w:val="auto"/>
          <w:sz w:val="24"/>
          <w:szCs w:val="24"/>
          <w:lang w:val="es-MX"/>
        </w:rPr>
      </w:pPr>
      <w:bookmarkStart w:id="71" w:name="_Toc72489352"/>
      <w:r w:rsidRPr="004E247B">
        <w:rPr>
          <w:rFonts w:ascii="Times New Roman" w:hAnsi="Times New Roman" w:cs="Times New Roman"/>
          <w:color w:val="auto"/>
          <w:sz w:val="24"/>
          <w:szCs w:val="24"/>
          <w:lang w:val="es-MX"/>
        </w:rPr>
        <w:t xml:space="preserve"> </w:t>
      </w:r>
      <w:bookmarkStart w:id="72" w:name="_Toc81571835"/>
      <w:r w:rsidR="00322670" w:rsidRPr="004E247B">
        <w:rPr>
          <w:rFonts w:ascii="Times New Roman" w:hAnsi="Times New Roman" w:cs="Times New Roman"/>
          <w:color w:val="auto"/>
          <w:sz w:val="24"/>
          <w:szCs w:val="24"/>
          <w:lang w:val="es-MX"/>
        </w:rPr>
        <w:t>Precio del petróleo</w:t>
      </w:r>
      <w:bookmarkEnd w:id="71"/>
      <w:bookmarkEnd w:id="72"/>
    </w:p>
    <w:p w14:paraId="044F402D" w14:textId="77777777" w:rsidR="00322670" w:rsidRPr="002C662A" w:rsidRDefault="00322670" w:rsidP="00322670">
      <w:pPr>
        <w:spacing w:after="0" w:line="240" w:lineRule="auto"/>
        <w:rPr>
          <w:rFonts w:ascii="Times New Roman" w:hAnsi="Times New Roman" w:cs="Times New Roman"/>
          <w:lang w:val="es-MX" w:eastAsia="es-ES"/>
        </w:rPr>
      </w:pPr>
    </w:p>
    <w:p w14:paraId="6F5DB8A4" w14:textId="77777777" w:rsidR="00322670" w:rsidRPr="00A0753D" w:rsidRDefault="00322670" w:rsidP="00322670">
      <w:pPr>
        <w:spacing w:after="0" w:line="240" w:lineRule="auto"/>
        <w:jc w:val="both"/>
        <w:rPr>
          <w:rFonts w:ascii="Times New Roman" w:hAnsi="Times New Roman" w:cs="Times New Roman"/>
          <w:lang w:val="es-ES"/>
        </w:rPr>
      </w:pPr>
      <w:r w:rsidRPr="00A0753D">
        <w:rPr>
          <w:rFonts w:ascii="Times New Roman" w:hAnsi="Times New Roman" w:cs="Times New Roman"/>
          <w:lang w:val="es-ES"/>
        </w:rPr>
        <w:t>La Administración de Información Energética (EIA) de EE. UU. Espera que la demanda mundial de líquidos derivados del petróleo sea mayor que la oferta mundial en 2021, especialmente durante el primer trimestre, lo que provocará recortes de inventario. Como resultado, la entidad espera que el precio del petróleo crudo Brent aumente de su promedio de diciembre de 2020 de US$ 50 por barril, a un promedio de US$56 por barril en el primer trimestre de 2021. Asimismo, se espera que el precio Brent promedie entre US$51 y US$54 por b</w:t>
      </w:r>
      <w:r>
        <w:rPr>
          <w:rFonts w:ascii="Times New Roman" w:hAnsi="Times New Roman" w:cs="Times New Roman"/>
          <w:lang w:val="es-ES"/>
        </w:rPr>
        <w:t>arril trimestralmente hasta concluir el año</w:t>
      </w:r>
      <w:r w:rsidRPr="00A0753D">
        <w:rPr>
          <w:rFonts w:ascii="Times New Roman" w:hAnsi="Times New Roman" w:cs="Times New Roman"/>
          <w:lang w:val="es-ES"/>
        </w:rPr>
        <w:t>.</w:t>
      </w:r>
    </w:p>
    <w:p w14:paraId="7981518D" w14:textId="77777777" w:rsidR="00322670" w:rsidRPr="00A0753D" w:rsidRDefault="00322670" w:rsidP="00322670">
      <w:pPr>
        <w:spacing w:after="0" w:line="240" w:lineRule="auto"/>
        <w:jc w:val="both"/>
        <w:rPr>
          <w:rFonts w:ascii="Times New Roman" w:hAnsi="Times New Roman" w:cs="Times New Roman"/>
          <w:lang w:val="es-ES"/>
        </w:rPr>
      </w:pPr>
    </w:p>
    <w:p w14:paraId="712296AA" w14:textId="77777777" w:rsidR="00322670" w:rsidRDefault="00322670" w:rsidP="00322670">
      <w:pPr>
        <w:spacing w:after="0" w:line="240" w:lineRule="auto"/>
        <w:jc w:val="both"/>
        <w:rPr>
          <w:rFonts w:ascii="Times New Roman" w:hAnsi="Times New Roman" w:cs="Times New Roman"/>
          <w:lang w:val="es-ES"/>
        </w:rPr>
      </w:pPr>
      <w:r>
        <w:rPr>
          <w:rFonts w:ascii="Times New Roman" w:hAnsi="Times New Roman" w:cs="Times New Roman"/>
          <w:lang w:val="es-ES"/>
        </w:rPr>
        <w:t>La entidad también</w:t>
      </w:r>
      <w:r w:rsidRPr="00A0753D">
        <w:rPr>
          <w:rFonts w:ascii="Times New Roman" w:hAnsi="Times New Roman" w:cs="Times New Roman"/>
          <w:lang w:val="es-ES"/>
        </w:rPr>
        <w:t xml:space="preserve"> espera que el crecimiento en la producción de petróleo crudo de los miembros de la Organización de Países Exportadores de Petróleo (OPEP) y países socios (OPEP +) sea limitado debido a un acuerdo multilateral para limitar la producción. La EIA pronostica que la producción de petróleo crudo de Estados Unidos, excluyendo el Golfo de México, disminuirá en el primer trimestre de 2021 antes de aumentar hasta fines de 2022, debido al reciente aumento de casos de COVID-19 que continúan limitando la demanda mundial de petróleo en la primera mitad </w:t>
      </w:r>
      <w:r>
        <w:rPr>
          <w:rFonts w:ascii="Times New Roman" w:hAnsi="Times New Roman" w:cs="Times New Roman"/>
          <w:lang w:val="es-ES"/>
        </w:rPr>
        <w:t xml:space="preserve">de 2021. </w:t>
      </w:r>
    </w:p>
    <w:p w14:paraId="56FAEF1E" w14:textId="77777777" w:rsidR="00322670" w:rsidRDefault="00322670" w:rsidP="00322670">
      <w:pPr>
        <w:spacing w:after="0" w:line="240" w:lineRule="auto"/>
        <w:jc w:val="both"/>
        <w:rPr>
          <w:rFonts w:ascii="Times New Roman" w:hAnsi="Times New Roman" w:cs="Times New Roman"/>
          <w:lang w:val="es-ES"/>
        </w:rPr>
      </w:pPr>
    </w:p>
    <w:p w14:paraId="73B4395F" w14:textId="77777777" w:rsidR="00322670" w:rsidRDefault="00322670" w:rsidP="00322670">
      <w:pPr>
        <w:spacing w:after="0" w:line="240" w:lineRule="auto"/>
        <w:jc w:val="both"/>
        <w:rPr>
          <w:rFonts w:ascii="Times New Roman" w:hAnsi="Times New Roman" w:cs="Times New Roman"/>
          <w:lang w:val="es-ES"/>
        </w:rPr>
      </w:pPr>
      <w:r>
        <w:rPr>
          <w:rFonts w:ascii="Times New Roman" w:hAnsi="Times New Roman" w:cs="Times New Roman"/>
          <w:lang w:val="es-ES"/>
        </w:rPr>
        <w:t xml:space="preserve">El </w:t>
      </w:r>
      <w:r w:rsidRPr="00A0753D">
        <w:rPr>
          <w:rFonts w:ascii="Times New Roman" w:hAnsi="Times New Roman" w:cs="Times New Roman"/>
          <w:lang w:val="es-ES"/>
        </w:rPr>
        <w:t>FMI se prevé que los precios del petróleo suban 30% en 2021 desde el bajo nivel de base que tocaron en 2020, en parte como consecuencia de los recortes de la oferta instituidos por la OPEP+ (Organización de Países Exportadores de Petróleo, incluida Rusia y otros exportadores que no pertenecen a la OPEP).</w:t>
      </w:r>
    </w:p>
    <w:p w14:paraId="6409EBCB" w14:textId="77777777" w:rsidR="00322670" w:rsidRPr="00A0753D" w:rsidRDefault="00322670" w:rsidP="00322670">
      <w:pPr>
        <w:spacing w:after="0" w:line="240" w:lineRule="auto"/>
        <w:jc w:val="both"/>
        <w:rPr>
          <w:rFonts w:ascii="Times New Roman" w:hAnsi="Times New Roman" w:cs="Times New Roman"/>
          <w:lang w:val="es-ES"/>
        </w:rPr>
      </w:pPr>
    </w:p>
    <w:bookmarkStart w:id="73" w:name="_Toc81573055"/>
    <w:p w14:paraId="6BA7B55E" w14:textId="5FBADF29" w:rsidR="00322670" w:rsidRPr="00104139" w:rsidRDefault="00322670" w:rsidP="00134FDC">
      <w:pPr>
        <w:pStyle w:val="Epgrafe"/>
        <w:jc w:val="center"/>
        <w:rPr>
          <w:rFonts w:ascii="Times New Roman" w:hAnsi="Times New Roman" w:cs="Times New Roman"/>
          <w:b/>
          <w:i w:val="0"/>
          <w:color w:val="auto"/>
          <w:sz w:val="20"/>
        </w:rPr>
      </w:pPr>
      <w:r w:rsidRPr="00134FDC">
        <w:rPr>
          <w:rFonts w:ascii="Times New Roman" w:hAnsi="Times New Roman" w:cs="Times New Roman"/>
          <w:b/>
          <w:noProof/>
          <w:color w:val="auto"/>
          <w:sz w:val="20"/>
          <w:lang w:val="es-ES" w:eastAsia="es-ES"/>
        </w:rPr>
        <mc:AlternateContent>
          <mc:Choice Requires="wps">
            <w:drawing>
              <wp:anchor distT="0" distB="0" distL="114300" distR="114300" simplePos="0" relativeHeight="251971072" behindDoc="0" locked="0" layoutInCell="1" allowOverlap="1" wp14:anchorId="6D3D8D59" wp14:editId="21ED145A">
                <wp:simplePos x="0" y="0"/>
                <wp:positionH relativeFrom="column">
                  <wp:posOffset>3063350</wp:posOffset>
                </wp:positionH>
                <wp:positionV relativeFrom="paragraph">
                  <wp:posOffset>108640</wp:posOffset>
                </wp:positionV>
                <wp:extent cx="1494845" cy="222637"/>
                <wp:effectExtent l="0" t="0" r="0" b="6350"/>
                <wp:wrapNone/>
                <wp:docPr id="70" name="Cuadro de texto 70"/>
                <wp:cNvGraphicFramePr/>
                <a:graphic xmlns:a="http://schemas.openxmlformats.org/drawingml/2006/main">
                  <a:graphicData uri="http://schemas.microsoft.com/office/word/2010/wordprocessingShape">
                    <wps:wsp>
                      <wps:cNvSpPr txBox="1"/>
                      <wps:spPr>
                        <a:xfrm>
                          <a:off x="0" y="0"/>
                          <a:ext cx="1494845" cy="222637"/>
                        </a:xfrm>
                        <a:prstGeom prst="rect">
                          <a:avLst/>
                        </a:prstGeom>
                        <a:noFill/>
                        <a:ln w="6350">
                          <a:noFill/>
                        </a:ln>
                      </wps:spPr>
                      <wps:txbx>
                        <w:txbxContent>
                          <w:p w14:paraId="2D763BF9" w14:textId="77777777" w:rsidR="00A36CEB" w:rsidRPr="00BE2FCA" w:rsidRDefault="00A36CEB" w:rsidP="00322670">
                            <w:pPr>
                              <w:spacing w:after="0" w:line="240" w:lineRule="auto"/>
                              <w:rPr>
                                <w:rFonts w:ascii="Times New Roman" w:hAnsi="Times New Roman" w:cs="Times New Roman"/>
                                <w:sz w:val="14"/>
                              </w:rPr>
                            </w:pPr>
                            <w:r>
                              <w:rPr>
                                <w:rFonts w:ascii="Times New Roman" w:hAnsi="Times New Roman" w:cs="Times New Roman"/>
                                <w:sz w:val="14"/>
                              </w:rPr>
                              <w:t>US$ por barril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D3D8D59" id="Cuadro de texto 70" o:spid="_x0000_s1031" type="#_x0000_t202" style="position:absolute;left:0;text-align:left;margin-left:241.2pt;margin-top:8.55pt;width:117.7pt;height:17.55pt;z-index:25197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" filled="f" stroked="f" strokeweight=".5pt">
                <v:textbox>
                  <w:txbxContent>
                    <w:p w14:paraId="2D763BF9" w14:textId="77777777" w:rsidR="00A36CEB" w:rsidRPr="00BE2FCA" w:rsidRDefault="00A36CEB" w:rsidP="00322670">
                      <w:pPr>
                        <w:spacing w:after="0" w:line="240" w:lineRule="auto"/>
                        <w:rPr>
                          <w:rFonts w:ascii="Times New Roman" w:hAnsi="Times New Roman" w:cs="Times New Roman"/>
                          <w:sz w:val="14"/>
                        </w:rPr>
                      </w:pPr>
                      <w:r>
                        <w:rPr>
                          <w:rFonts w:ascii="Times New Roman" w:hAnsi="Times New Roman" w:cs="Times New Roman"/>
                          <w:sz w:val="14"/>
                        </w:rPr>
                        <w:t>US$ por barril</w:t>
                      </w:r>
                    </w:p>
                  </w:txbxContent>
                </v:textbox>
              </v:shape>
            </w:pict>
          </mc:Fallback>
        </mc:AlternateContent>
      </w:r>
      <w:r w:rsidRPr="00134FDC">
        <w:rPr>
          <w:rFonts w:ascii="Times New Roman" w:hAnsi="Times New Roman" w:cs="Times New Roman"/>
          <w:b/>
          <w:noProof/>
          <w:color w:val="auto"/>
          <w:sz w:val="20"/>
          <w:lang w:val="es-ES" w:eastAsia="es-ES"/>
        </w:rPr>
        <mc:AlternateContent>
          <mc:Choice Requires="wps">
            <w:drawing>
              <wp:anchor distT="0" distB="0" distL="114300" distR="114300" simplePos="0" relativeHeight="251970048" behindDoc="0" locked="0" layoutInCell="1" allowOverlap="1" wp14:anchorId="44F4B72D" wp14:editId="1F3274EC">
                <wp:simplePos x="0" y="0"/>
                <wp:positionH relativeFrom="column">
                  <wp:posOffset>104333</wp:posOffset>
                </wp:positionH>
                <wp:positionV relativeFrom="paragraph">
                  <wp:posOffset>107205</wp:posOffset>
                </wp:positionV>
                <wp:extent cx="1494845" cy="222637"/>
                <wp:effectExtent l="0" t="0" r="0" b="6350"/>
                <wp:wrapNone/>
                <wp:docPr id="69" name="Cuadro de texto 69"/>
                <wp:cNvGraphicFramePr/>
                <a:graphic xmlns:a="http://schemas.openxmlformats.org/drawingml/2006/main">
                  <a:graphicData uri="http://schemas.microsoft.com/office/word/2010/wordprocessingShape">
                    <wps:wsp>
                      <wps:cNvSpPr txBox="1"/>
                      <wps:spPr>
                        <a:xfrm>
                          <a:off x="0" y="0"/>
                          <a:ext cx="1494845" cy="222637"/>
                        </a:xfrm>
                        <a:prstGeom prst="rect">
                          <a:avLst/>
                        </a:prstGeom>
                        <a:noFill/>
                        <a:ln w="6350">
                          <a:noFill/>
                        </a:ln>
                      </wps:spPr>
                      <wps:txbx>
                        <w:txbxContent>
                          <w:p w14:paraId="6D3EBDCF" w14:textId="77777777" w:rsidR="00A36CEB" w:rsidRPr="00BE2FCA" w:rsidRDefault="00A36CEB" w:rsidP="00322670">
                            <w:pPr>
                              <w:spacing w:after="0" w:line="240" w:lineRule="auto"/>
                              <w:rPr>
                                <w:rFonts w:ascii="Times New Roman" w:hAnsi="Times New Roman" w:cs="Times New Roman"/>
                                <w:sz w:val="14"/>
                              </w:rPr>
                            </w:pPr>
                            <w:r w:rsidRPr="00BE2FCA">
                              <w:rPr>
                                <w:rFonts w:ascii="Times New Roman" w:hAnsi="Times New Roman" w:cs="Times New Roman"/>
                                <w:sz w:val="14"/>
                              </w:rPr>
                              <w:t>Millones de barriles por día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4F4B72D" id="Cuadro de texto 69" o:spid="_x0000_s1032" type="#_x0000_t202" style="position:absolute;left:0;text-align:left;margin-left:8.2pt;margin-top:8.45pt;width:117.7pt;height:17.55pt;z-index:25197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" filled="f" stroked="f" strokeweight=".5pt">
                <v:textbox>
                  <w:txbxContent>
                    <w:p w14:paraId="6D3EBDCF" w14:textId="77777777" w:rsidR="00A36CEB" w:rsidRPr="00BE2FCA" w:rsidRDefault="00A36CEB" w:rsidP="00322670">
                      <w:pPr>
                        <w:spacing w:after="0" w:line="240" w:lineRule="auto"/>
                        <w:rPr>
                          <w:rFonts w:ascii="Times New Roman" w:hAnsi="Times New Roman" w:cs="Times New Roman"/>
                          <w:sz w:val="14"/>
                        </w:rPr>
                      </w:pPr>
                      <w:r w:rsidRPr="00BE2FCA">
                        <w:rPr>
                          <w:rFonts w:ascii="Times New Roman" w:hAnsi="Times New Roman" w:cs="Times New Roman"/>
                          <w:sz w:val="14"/>
                        </w:rPr>
                        <w:t>Millones de barriles por día</w:t>
                      </w:r>
                    </w:p>
                  </w:txbxContent>
                </v:textbox>
              </v:shape>
            </w:pict>
          </mc:Fallback>
        </mc:AlternateContent>
      </w:r>
      <w:r w:rsidR="00134FDC" w:rsidRPr="00134FDC">
        <w:rPr>
          <w:rFonts w:ascii="Times New Roman" w:hAnsi="Times New Roman" w:cs="Times New Roman"/>
          <w:b/>
          <w:color w:val="auto"/>
          <w:sz w:val="20"/>
        </w:rPr>
        <w:t xml:space="preserve">Gráfico </w:t>
      </w:r>
      <w:r w:rsidR="00134FDC">
        <w:rPr>
          <w:rFonts w:ascii="Times New Roman" w:hAnsi="Times New Roman" w:cs="Times New Roman"/>
          <w:b/>
          <w:color w:val="auto"/>
          <w:sz w:val="20"/>
        </w:rPr>
        <w:fldChar w:fldCharType="begin"/>
      </w:r>
      <w:r w:rsidR="00134FDC">
        <w:rPr>
          <w:rFonts w:ascii="Times New Roman" w:hAnsi="Times New Roman" w:cs="Times New Roman"/>
          <w:b/>
          <w:color w:val="auto"/>
          <w:sz w:val="20"/>
        </w:rPr>
        <w:instrText xml:space="preserve"> SEQ Gráfico \* ARABIC </w:instrText>
      </w:r>
      <w:r w:rsidR="00134FDC">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5</w:t>
      </w:r>
      <w:r w:rsidR="00134FDC">
        <w:rPr>
          <w:rFonts w:ascii="Times New Roman" w:hAnsi="Times New Roman" w:cs="Times New Roman"/>
          <w:b/>
          <w:color w:val="auto"/>
          <w:sz w:val="20"/>
        </w:rPr>
        <w:fldChar w:fldCharType="end"/>
      </w:r>
      <w:r w:rsidR="00134FDC" w:rsidRPr="00134FDC">
        <w:rPr>
          <w:rFonts w:ascii="Times New Roman" w:hAnsi="Times New Roman" w:cs="Times New Roman"/>
          <w:b/>
          <w:color w:val="auto"/>
          <w:sz w:val="20"/>
        </w:rPr>
        <w:t xml:space="preserve">  </w:t>
      </w:r>
      <w:r w:rsidRPr="00104139">
        <w:rPr>
          <w:rFonts w:ascii="Times New Roman" w:hAnsi="Times New Roman" w:cs="Times New Roman"/>
          <w:b/>
          <w:i w:val="0"/>
          <w:color w:val="auto"/>
          <w:sz w:val="20"/>
        </w:rPr>
        <w:t>Precios, producción y demanda mundial de petróleo WTI</w:t>
      </w:r>
      <w:bookmarkEnd w:id="73"/>
    </w:p>
    <w:tbl>
      <w:tblPr>
        <w:tblStyle w:val="Tablaconcuadrcula"/>
        <w:tblpPr w:leftFromText="141" w:rightFromText="141"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627"/>
        <w:gridCol w:w="4351"/>
      </w:tblGrid>
      <w:tr w:rsidR="00322670" w:rsidRPr="0062341C" w14:paraId="7874A764" w14:textId="77777777" w:rsidTr="00DE1FBB">
        <w:tc>
          <w:tcPr>
            <w:tcW w:w="4438" w:type="dxa"/>
          </w:tcPr>
          <w:p w14:paraId="1BE5C333" w14:textId="77777777" w:rsidR="00322670" w:rsidRPr="0062341C" w:rsidRDefault="00322670" w:rsidP="00DE1FBB">
            <w:pPr>
              <w:spacing w:line="276" w:lineRule="auto"/>
              <w:jc w:val="both"/>
              <w:rPr>
                <w:rFonts w:ascii="Times New Roman" w:hAnsi="Times New Roman" w:cs="Times New Roman"/>
                <w:noProof/>
                <w:color w:val="FF0000"/>
              </w:rPr>
            </w:pPr>
            <w:r w:rsidRPr="0062341C">
              <w:rPr>
                <w:rFonts w:ascii="Times New Roman" w:hAnsi="Times New Roman" w:cs="Times New Roman"/>
                <w:noProof/>
                <w:color w:val="FF0000"/>
                <w:lang w:val="es-ES" w:eastAsia="es-ES"/>
              </w:rPr>
              <mc:AlternateContent>
                <mc:Choice Requires="wps">
                  <w:drawing>
                    <wp:anchor distT="0" distB="0" distL="114300" distR="114300" simplePos="0" relativeHeight="251969024" behindDoc="0" locked="0" layoutInCell="1" allowOverlap="1" wp14:anchorId="3176F051" wp14:editId="6DBC4C5C">
                      <wp:simplePos x="0" y="0"/>
                      <wp:positionH relativeFrom="column">
                        <wp:posOffset>1294</wp:posOffset>
                      </wp:positionH>
                      <wp:positionV relativeFrom="paragraph">
                        <wp:posOffset>1610468</wp:posOffset>
                      </wp:positionV>
                      <wp:extent cx="3724275" cy="241539"/>
                      <wp:effectExtent l="0" t="0" r="0" b="0"/>
                      <wp:wrapNone/>
                      <wp:docPr id="71" name="Text Box 1"/>
                      <wp:cNvGraphicFramePr/>
                      <a:graphic xmlns:a="http://schemas.openxmlformats.org/drawingml/2006/main">
                        <a:graphicData uri="http://schemas.microsoft.com/office/word/2010/wordprocessingShape">
                          <wps:wsp>
                            <wps:cNvSpPr txBox="1"/>
                            <wps:spPr>
                              <a:xfrm>
                                <a:off x="0" y="0"/>
                                <a:ext cx="3724275" cy="241539"/>
                              </a:xfrm>
                              <a:prstGeom prst="rect">
                                <a:avLst/>
                              </a:prstGeom>
                            </wps:spPr>
                            <wps:txbx>
                              <w:txbxContent>
                                <w:p w14:paraId="19174B9F" w14:textId="77777777" w:rsidR="00A36CEB" w:rsidRPr="005D60A3" w:rsidRDefault="00A36CEB" w:rsidP="00322670">
                                  <w:pPr>
                                    <w:rPr>
                                      <w:rFonts w:ascii="Times New Roman" w:hAnsi="Times New Roman" w:cs="Times New Roman"/>
                                      <w:sz w:val="24"/>
                                      <w:szCs w:val="24"/>
                                    </w:rPr>
                                  </w:pPr>
                                  <w:r w:rsidRPr="005D60A3">
                                    <w:rPr>
                                      <w:rFonts w:ascii="Times New Roman" w:hAnsi="Times New Roman" w:cs="Times New Roman"/>
                                      <w:sz w:val="16"/>
                                      <w:szCs w:val="16"/>
                                    </w:rPr>
                                    <w:t xml:space="preserve">Fuente: </w:t>
                                  </w:r>
                                  <w:r>
                                    <w:rPr>
                                      <w:rFonts w:ascii="Times New Roman" w:hAnsi="Times New Roman" w:cs="Times New Roman"/>
                                      <w:sz w:val="16"/>
                                      <w:szCs w:val="16"/>
                                    </w:rPr>
                                    <w:t xml:space="preserve">Dirección de Análisis y Política Fiscal </w:t>
                                  </w:r>
                                  <w:r w:rsidRPr="005D60A3">
                                    <w:rPr>
                                      <w:rFonts w:ascii="Times New Roman" w:hAnsi="Times New Roman" w:cs="Times New Roman"/>
                                      <w:sz w:val="16"/>
                                      <w:szCs w:val="16"/>
                                    </w:rPr>
                                    <w:t>con información de EIA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176F051" id="Text Box 1" o:spid="_x0000_s1033" type="#_x0000_t202" style="position:absolute;left:0;text-align:left;margin-left:.1pt;margin-top:126.8pt;width:293.25pt;height:19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" filled="f" stroked="f">
                      <v:textbox>
                        <w:txbxContent>
                          <w:p w14:paraId="19174B9F" w14:textId="77777777" w:rsidR="00A36CEB" w:rsidRPr="005D60A3" w:rsidRDefault="00A36CEB" w:rsidP="00322670">
                            <w:pPr>
                              <w:rPr>
                                <w:rFonts w:ascii="Times New Roman" w:hAnsi="Times New Roman" w:cs="Times New Roman"/>
                                <w:sz w:val="24"/>
                                <w:szCs w:val="24"/>
                              </w:rPr>
                            </w:pPr>
                            <w:r w:rsidRPr="005D60A3">
                              <w:rPr>
                                <w:rFonts w:ascii="Times New Roman" w:hAnsi="Times New Roman" w:cs="Times New Roman"/>
                                <w:sz w:val="16"/>
                                <w:szCs w:val="16"/>
                              </w:rPr>
                              <w:t xml:space="preserve">Fuente: </w:t>
                            </w:r>
                            <w:r>
                              <w:rPr>
                                <w:rFonts w:ascii="Times New Roman" w:hAnsi="Times New Roman" w:cs="Times New Roman"/>
                                <w:sz w:val="16"/>
                                <w:szCs w:val="16"/>
                              </w:rPr>
                              <w:t xml:space="preserve">Dirección de Análisis y Política Fiscal </w:t>
                            </w:r>
                            <w:r w:rsidRPr="005D60A3">
                              <w:rPr>
                                <w:rFonts w:ascii="Times New Roman" w:hAnsi="Times New Roman" w:cs="Times New Roman"/>
                                <w:sz w:val="16"/>
                                <w:szCs w:val="16"/>
                              </w:rPr>
                              <w:t>con información de EIA</w:t>
                            </w:r>
                          </w:p>
                        </w:txbxContent>
                      </v:textbox>
                    </v:shape>
                  </w:pict>
                </mc:Fallback>
              </mc:AlternateContent>
            </w:r>
            <w:r>
              <w:rPr>
                <w:noProof/>
                <w:lang w:val="es-ES" w:eastAsia="es-ES"/>
              </w:rPr>
              <w:drawing>
                <wp:inline distT="0" distB="0" distL="0" distR="0" wp14:anchorId="5F25D18B" wp14:editId="6BCA6253">
                  <wp:extent cx="2862469" cy="1605915"/>
                  <wp:effectExtent l="0" t="0" r="0" b="0"/>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7E2C4E" w14:textId="77777777" w:rsidR="00322670" w:rsidRPr="0062341C" w:rsidRDefault="00322670" w:rsidP="00DE1FBB">
            <w:pPr>
              <w:spacing w:line="276" w:lineRule="auto"/>
              <w:rPr>
                <w:rFonts w:ascii="Times New Roman" w:hAnsi="Times New Roman" w:cs="Times New Roman"/>
                <w:color w:val="FF0000"/>
              </w:rPr>
            </w:pPr>
          </w:p>
        </w:tc>
        <w:tc>
          <w:tcPr>
            <w:tcW w:w="4400" w:type="dxa"/>
          </w:tcPr>
          <w:p w14:paraId="7B768FB0" w14:textId="77777777" w:rsidR="00322670" w:rsidRPr="0062341C" w:rsidRDefault="00322670" w:rsidP="00DE1FBB">
            <w:pPr>
              <w:spacing w:line="276" w:lineRule="auto"/>
              <w:jc w:val="both"/>
              <w:rPr>
                <w:rFonts w:ascii="Times New Roman" w:hAnsi="Times New Roman" w:cs="Times New Roman"/>
                <w:noProof/>
                <w:color w:val="FF0000"/>
              </w:rPr>
            </w:pPr>
            <w:r>
              <w:rPr>
                <w:noProof/>
                <w:lang w:val="es-ES" w:eastAsia="es-ES"/>
              </w:rPr>
              <w:drawing>
                <wp:inline distT="0" distB="0" distL="0" distR="0" wp14:anchorId="09E50D58" wp14:editId="4E2B0290">
                  <wp:extent cx="2679589" cy="1558290"/>
                  <wp:effectExtent l="0" t="0" r="6985" b="3810"/>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E734D99" w14:textId="77777777" w:rsidR="00322670" w:rsidRPr="0062341C" w:rsidRDefault="00322670" w:rsidP="00DE1FBB">
            <w:pPr>
              <w:spacing w:line="276" w:lineRule="auto"/>
              <w:jc w:val="center"/>
              <w:rPr>
                <w:rFonts w:ascii="Times New Roman" w:hAnsi="Times New Roman" w:cs="Times New Roman"/>
                <w:color w:val="FF0000"/>
              </w:rPr>
            </w:pPr>
          </w:p>
        </w:tc>
      </w:tr>
    </w:tbl>
    <w:p w14:paraId="2E46AC1A" w14:textId="77777777" w:rsidR="00322670" w:rsidRDefault="00322670" w:rsidP="00322670">
      <w:pPr>
        <w:spacing w:after="0" w:line="240" w:lineRule="auto"/>
        <w:rPr>
          <w:lang w:val="es-MX" w:eastAsia="es-ES"/>
        </w:rPr>
      </w:pPr>
    </w:p>
    <w:p w14:paraId="68453630" w14:textId="01DCD24B" w:rsidR="00322670" w:rsidRDefault="00322670" w:rsidP="001032E7">
      <w:pPr>
        <w:pStyle w:val="Ttulo2"/>
        <w:numPr>
          <w:ilvl w:val="0"/>
          <w:numId w:val="28"/>
        </w:numPr>
        <w:tabs>
          <w:tab w:val="left" w:pos="851"/>
        </w:tabs>
        <w:spacing w:before="0"/>
        <w:ind w:left="284" w:hanging="283"/>
        <w:rPr>
          <w:rFonts w:ascii="Times New Roman" w:hAnsi="Times New Roman" w:cs="Times New Roman"/>
          <w:color w:val="auto"/>
          <w:lang w:val="es-GT"/>
        </w:rPr>
      </w:pPr>
      <w:bookmarkStart w:id="74" w:name="_Toc49939399"/>
      <w:bookmarkStart w:id="75" w:name="_Toc72489353"/>
      <w:bookmarkStart w:id="76" w:name="_Toc81571836"/>
      <w:r w:rsidRPr="00160D76">
        <w:rPr>
          <w:rFonts w:ascii="Times New Roman" w:hAnsi="Times New Roman" w:cs="Times New Roman"/>
          <w:color w:val="auto"/>
          <w:lang w:val="es-GT"/>
        </w:rPr>
        <w:t>Contexto económico nacional</w:t>
      </w:r>
      <w:bookmarkEnd w:id="74"/>
      <w:bookmarkEnd w:id="75"/>
      <w:bookmarkEnd w:id="76"/>
    </w:p>
    <w:p w14:paraId="0F7C28BE" w14:textId="77777777" w:rsidR="009A135D" w:rsidRPr="009A135D" w:rsidRDefault="009A135D" w:rsidP="009A135D">
      <w:pPr>
        <w:spacing w:after="0" w:line="240" w:lineRule="auto"/>
        <w:rPr>
          <w:lang w:eastAsia="es-ES"/>
        </w:rPr>
      </w:pPr>
    </w:p>
    <w:p w14:paraId="423CB9FC" w14:textId="77777777" w:rsidR="00322670" w:rsidRPr="00160D76" w:rsidRDefault="00322670" w:rsidP="001032E7">
      <w:pPr>
        <w:pStyle w:val="Prrafodelista"/>
        <w:keepNext/>
        <w:keepLines/>
        <w:numPr>
          <w:ilvl w:val="0"/>
          <w:numId w:val="29"/>
        </w:numPr>
        <w:tabs>
          <w:tab w:val="left" w:pos="1276"/>
          <w:tab w:val="left" w:pos="1560"/>
          <w:tab w:val="left" w:pos="1843"/>
        </w:tabs>
        <w:spacing w:before="40" w:after="0" w:line="240" w:lineRule="auto"/>
        <w:contextualSpacing w:val="0"/>
        <w:outlineLvl w:val="2"/>
        <w:rPr>
          <w:rFonts w:ascii="Times New Roman" w:eastAsiaTheme="majorEastAsia" w:hAnsi="Times New Roman" w:cs="Times New Roman"/>
          <w:b/>
          <w:vanish/>
          <w:sz w:val="24"/>
          <w:szCs w:val="24"/>
        </w:rPr>
      </w:pPr>
      <w:bookmarkStart w:id="77" w:name="_Toc48295548"/>
      <w:bookmarkStart w:id="78" w:name="_Toc48295676"/>
      <w:bookmarkStart w:id="79" w:name="_Toc48295803"/>
      <w:bookmarkStart w:id="80" w:name="_Toc48295930"/>
      <w:bookmarkStart w:id="81" w:name="_Toc48296056"/>
      <w:bookmarkStart w:id="82" w:name="_Toc48296180"/>
      <w:bookmarkStart w:id="83" w:name="_Toc48296303"/>
      <w:bookmarkStart w:id="84" w:name="_Toc48296414"/>
      <w:bookmarkStart w:id="85" w:name="_Toc48296523"/>
      <w:bookmarkStart w:id="86" w:name="_Toc48652670"/>
      <w:bookmarkStart w:id="87" w:name="_Toc48652939"/>
      <w:bookmarkStart w:id="88" w:name="_Toc48653670"/>
      <w:bookmarkStart w:id="89" w:name="_Toc48653787"/>
      <w:bookmarkStart w:id="90" w:name="_Toc48653896"/>
      <w:bookmarkStart w:id="91" w:name="_Toc48654004"/>
      <w:bookmarkStart w:id="92" w:name="_Toc49170927"/>
      <w:bookmarkStart w:id="93" w:name="_Toc49171036"/>
      <w:bookmarkStart w:id="94" w:name="_Toc49171144"/>
      <w:bookmarkStart w:id="95" w:name="_Toc49171275"/>
      <w:bookmarkStart w:id="96" w:name="_Toc49939400"/>
      <w:bookmarkStart w:id="97" w:name="_Toc71724713"/>
      <w:bookmarkStart w:id="98" w:name="_Toc71792500"/>
      <w:bookmarkStart w:id="99" w:name="_Toc72489354"/>
      <w:bookmarkStart w:id="100" w:name="_Toc73093076"/>
      <w:bookmarkStart w:id="101" w:name="_Toc73095087"/>
      <w:bookmarkStart w:id="102" w:name="_Toc73095191"/>
      <w:bookmarkStart w:id="103" w:name="_Toc73513938"/>
      <w:bookmarkStart w:id="104" w:name="_Toc81571716"/>
      <w:bookmarkStart w:id="105" w:name="_Toc81571837"/>
      <w:bookmarkStart w:id="106" w:name="_Toc16154975"/>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2EB7DDA0" w14:textId="77777777" w:rsidR="00322670" w:rsidRDefault="00ED116C" w:rsidP="009A135D">
      <w:pPr>
        <w:pStyle w:val="Ttulo3"/>
        <w:numPr>
          <w:ilvl w:val="1"/>
          <w:numId w:val="29"/>
        </w:numPr>
        <w:tabs>
          <w:tab w:val="left" w:pos="1276"/>
          <w:tab w:val="left" w:pos="1560"/>
          <w:tab w:val="left" w:pos="1843"/>
        </w:tabs>
        <w:spacing w:before="0" w:line="240" w:lineRule="auto"/>
        <w:ind w:left="567" w:hanging="360"/>
        <w:rPr>
          <w:rFonts w:ascii="Times New Roman" w:hAnsi="Times New Roman" w:cs="Times New Roman"/>
          <w:b/>
          <w:color w:val="auto"/>
        </w:rPr>
      </w:pPr>
      <w:bookmarkStart w:id="107" w:name="_Toc49939401"/>
      <w:bookmarkStart w:id="108" w:name="_Toc72489355"/>
      <w:r>
        <w:rPr>
          <w:rFonts w:ascii="Times New Roman" w:hAnsi="Times New Roman" w:cs="Times New Roman"/>
          <w:b/>
          <w:color w:val="auto"/>
        </w:rPr>
        <w:t xml:space="preserve"> </w:t>
      </w:r>
      <w:bookmarkStart w:id="109" w:name="_Toc81571838"/>
      <w:r w:rsidR="00322670" w:rsidRPr="00160D76">
        <w:rPr>
          <w:rFonts w:ascii="Times New Roman" w:hAnsi="Times New Roman" w:cs="Times New Roman"/>
          <w:b/>
          <w:color w:val="auto"/>
        </w:rPr>
        <w:t xml:space="preserve">Sector </w:t>
      </w:r>
      <w:bookmarkEnd w:id="106"/>
      <w:r w:rsidR="00322670" w:rsidRPr="00160D76">
        <w:rPr>
          <w:rFonts w:ascii="Times New Roman" w:hAnsi="Times New Roman" w:cs="Times New Roman"/>
          <w:b/>
          <w:color w:val="auto"/>
        </w:rPr>
        <w:t>real</w:t>
      </w:r>
      <w:bookmarkEnd w:id="107"/>
      <w:bookmarkEnd w:id="108"/>
      <w:bookmarkEnd w:id="109"/>
    </w:p>
    <w:p w14:paraId="5EBE1E3C" w14:textId="77777777" w:rsidR="00322670" w:rsidRPr="00F75DD4" w:rsidRDefault="00322670" w:rsidP="004E247B">
      <w:pPr>
        <w:spacing w:after="0" w:line="240" w:lineRule="auto"/>
      </w:pPr>
    </w:p>
    <w:p w14:paraId="3E9ADF34" w14:textId="77777777" w:rsidR="00322670" w:rsidRDefault="00322670" w:rsidP="009173EB">
      <w:pPr>
        <w:spacing w:after="0" w:line="240" w:lineRule="auto"/>
        <w:jc w:val="both"/>
        <w:rPr>
          <w:rFonts w:ascii="Times New Roman" w:hAnsi="Times New Roman" w:cs="Times New Roman"/>
        </w:rPr>
      </w:pPr>
      <w:r w:rsidRPr="00F75DD4">
        <w:rPr>
          <w:rFonts w:ascii="Times New Roman" w:hAnsi="Times New Roman" w:cs="Times New Roman"/>
        </w:rPr>
        <w:t>El 2020 ha sido un año atípico dado el aislamiento del resto del mundo para contener el contagio del COVID-19 restringiendo las transacciones internacionales al cerrar las fronteras del país, además de una serie de medidas como limitación a la libre locomoción, restricciones a la movilidad social y cierre de actividades económicas a finales del primer trimestre del año para evitar las aglomeraciones de las personas lo cual tuvo un impacto negativo en la economía. Entre los impactos reales fueron que se dio una fuerte contracción en el consumo privado, comercio interno y externo, así como la inversión interna, particularmente el impacto fue en el alojamiento y servicios de comida, la construcción y el transporte. Sin embargo, derivado de la reapertura de fronteras y las actividades económicas a finales de año, la contracción económica fue menos abrupta de lo estimado en el segundo trimestre por el Banco de Guatemala y respaldado por organismos internacionales como FMI, BM y CEPAL lo cual se observó con actividades económicas que tuvieron un buen resultado al final del año tales como la agricultura, suministro de electricidad, la agricultura, las actividades inmobiliarias, así como las actividades financieras aunque con un débil desempeño de la demanda interna principalmente en el primer semestre del año. En materia inflacionaria en 2020 se constituyó en una cifra superior al 2019 y de los últimos años esto a pesar de la contracción del consumo y reducción de los precios internacionales de los combustibles.</w:t>
      </w:r>
    </w:p>
    <w:p w14:paraId="5671ADF3" w14:textId="77777777" w:rsidR="00322670" w:rsidRPr="00F75DD4" w:rsidRDefault="00322670" w:rsidP="00322670">
      <w:pPr>
        <w:spacing w:after="0" w:line="240" w:lineRule="auto"/>
        <w:jc w:val="both"/>
        <w:rPr>
          <w:rFonts w:ascii="Times New Roman" w:hAnsi="Times New Roman" w:cs="Times New Roman"/>
        </w:rPr>
      </w:pPr>
    </w:p>
    <w:p w14:paraId="622B17DF" w14:textId="77777777" w:rsidR="00322670" w:rsidRPr="00160D76" w:rsidRDefault="00322670" w:rsidP="001032E7">
      <w:pPr>
        <w:pStyle w:val="Ttulo3"/>
        <w:numPr>
          <w:ilvl w:val="2"/>
          <w:numId w:val="29"/>
        </w:numPr>
        <w:tabs>
          <w:tab w:val="left" w:pos="851"/>
          <w:tab w:val="left" w:pos="993"/>
          <w:tab w:val="left" w:pos="1276"/>
          <w:tab w:val="left" w:pos="1560"/>
          <w:tab w:val="left" w:pos="1843"/>
        </w:tabs>
        <w:spacing w:before="0" w:line="240" w:lineRule="auto"/>
        <w:ind w:left="709" w:hanging="360"/>
        <w:rPr>
          <w:rFonts w:ascii="Times New Roman" w:hAnsi="Times New Roman" w:cs="Times New Roman"/>
          <w:b/>
          <w:color w:val="auto"/>
        </w:rPr>
      </w:pPr>
      <w:bookmarkStart w:id="110" w:name="_Toc49939402"/>
      <w:r>
        <w:rPr>
          <w:rFonts w:ascii="Times New Roman" w:hAnsi="Times New Roman" w:cs="Times New Roman"/>
          <w:b/>
          <w:color w:val="auto"/>
        </w:rPr>
        <w:t xml:space="preserve"> </w:t>
      </w:r>
      <w:bookmarkStart w:id="111" w:name="_Toc72489356"/>
      <w:bookmarkStart w:id="112" w:name="_Toc81571839"/>
      <w:r w:rsidRPr="00160D76">
        <w:rPr>
          <w:rFonts w:ascii="Times New Roman" w:hAnsi="Times New Roman" w:cs="Times New Roman"/>
          <w:b/>
          <w:color w:val="auto"/>
        </w:rPr>
        <w:t>Producto Interno Bruto</w:t>
      </w:r>
      <w:bookmarkEnd w:id="110"/>
      <w:bookmarkEnd w:id="111"/>
      <w:bookmarkEnd w:id="112"/>
    </w:p>
    <w:p w14:paraId="2A3FA2A0" w14:textId="77777777" w:rsidR="00322670" w:rsidRPr="00160D76" w:rsidRDefault="00322670" w:rsidP="00322670">
      <w:pPr>
        <w:spacing w:after="0" w:line="240" w:lineRule="auto"/>
        <w:jc w:val="both"/>
      </w:pPr>
    </w:p>
    <w:p w14:paraId="664E9B15" w14:textId="77777777" w:rsidR="00322670" w:rsidRPr="00160D76" w:rsidRDefault="00322670" w:rsidP="00322670">
      <w:pPr>
        <w:spacing w:after="0" w:line="240" w:lineRule="auto"/>
        <w:jc w:val="both"/>
        <w:rPr>
          <w:rFonts w:ascii="Times New Roman" w:hAnsi="Times New Roman" w:cs="Times New Roman"/>
        </w:rPr>
      </w:pPr>
      <w:r w:rsidRPr="00160D76">
        <w:rPr>
          <w:rFonts w:ascii="Times New Roman" w:hAnsi="Times New Roman" w:cs="Times New Roman"/>
        </w:rPr>
        <w:t>La actividad económica en el 2020 tuvo una contracción de 1.5%, la más baja en los últimos años derivado de la crisis por la pandemia del COVID-19</w:t>
      </w:r>
      <w:r>
        <w:rPr>
          <w:rFonts w:ascii="Times New Roman" w:hAnsi="Times New Roman" w:cs="Times New Roman"/>
        </w:rPr>
        <w:t>,</w:t>
      </w:r>
      <w:r w:rsidRPr="00160D76">
        <w:rPr>
          <w:rFonts w:ascii="Times New Roman" w:hAnsi="Times New Roman" w:cs="Times New Roman"/>
        </w:rPr>
        <w:t xml:space="preserve"> lo cual afect</w:t>
      </w:r>
      <w:r>
        <w:rPr>
          <w:rFonts w:ascii="Times New Roman" w:hAnsi="Times New Roman" w:cs="Times New Roman"/>
        </w:rPr>
        <w:t>ó</w:t>
      </w:r>
      <w:r w:rsidRPr="00160D76">
        <w:rPr>
          <w:rFonts w:ascii="Times New Roman" w:hAnsi="Times New Roman" w:cs="Times New Roman"/>
        </w:rPr>
        <w:t xml:space="preserve"> la demanda interna fundamentalmente </w:t>
      </w:r>
      <w:r>
        <w:rPr>
          <w:rFonts w:ascii="Times New Roman" w:hAnsi="Times New Roman" w:cs="Times New Roman"/>
        </w:rPr>
        <w:t xml:space="preserve">por </w:t>
      </w:r>
      <w:r w:rsidRPr="00160D76">
        <w:rPr>
          <w:rFonts w:ascii="Times New Roman" w:hAnsi="Times New Roman" w:cs="Times New Roman"/>
        </w:rPr>
        <w:t>la caída en la inversión y el consumo privado, así como también se vio afectada la demanda externa de bienes y servicios; el crecimiento económico había venido con una recuperación de 3.4% en promedio del 2017 al 2019, fruto de un dinamismo en la demanda interna particularmente el consumo privado.</w:t>
      </w:r>
    </w:p>
    <w:p w14:paraId="70A04EFD" w14:textId="77777777" w:rsidR="00322670" w:rsidRPr="00160D76" w:rsidRDefault="00322670" w:rsidP="00322670">
      <w:pPr>
        <w:spacing w:after="0" w:line="240" w:lineRule="auto"/>
        <w:jc w:val="both"/>
      </w:pPr>
      <w:r w:rsidRPr="00160D76">
        <w:t xml:space="preserve"> </w:t>
      </w:r>
    </w:p>
    <w:p w14:paraId="5103425C" w14:textId="51270E64" w:rsidR="00322670" w:rsidRPr="00160D76" w:rsidRDefault="00134FDC" w:rsidP="00134FDC">
      <w:pPr>
        <w:pStyle w:val="Epgrafe"/>
        <w:jc w:val="center"/>
        <w:rPr>
          <w:rFonts w:ascii="Times New Roman" w:hAnsi="Times New Roman" w:cs="Times New Roman"/>
          <w:b/>
          <w:bCs/>
          <w:i w:val="0"/>
          <w:iCs w:val="0"/>
          <w:color w:val="auto"/>
          <w:sz w:val="22"/>
          <w:szCs w:val="22"/>
        </w:rPr>
      </w:pPr>
      <w:bookmarkStart w:id="113" w:name="_Toc50016820"/>
      <w:bookmarkStart w:id="114" w:name="_Toc81573056"/>
      <w:r w:rsidRPr="00134FDC">
        <w:rPr>
          <w:rFonts w:ascii="Times New Roman" w:hAnsi="Times New Roman" w:cs="Times New Roman"/>
          <w:b/>
          <w:color w:val="auto"/>
          <w:sz w:val="20"/>
        </w:rPr>
        <w:t xml:space="preserve">Gráfico </w:t>
      </w:r>
      <w:r>
        <w:rPr>
          <w:rFonts w:ascii="Times New Roman" w:hAnsi="Times New Roman" w:cs="Times New Roman"/>
          <w:b/>
          <w:color w:val="auto"/>
          <w:sz w:val="20"/>
        </w:rPr>
        <w:fldChar w:fldCharType="begin"/>
      </w:r>
      <w:r>
        <w:rPr>
          <w:rFonts w:ascii="Times New Roman" w:hAnsi="Times New Roman" w:cs="Times New Roman"/>
          <w:b/>
          <w:color w:val="auto"/>
          <w:sz w:val="20"/>
        </w:rPr>
        <w:instrText xml:space="preserve"> SEQ Gráfico \* ARABIC </w:instrText>
      </w:r>
      <w:r>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6</w:t>
      </w:r>
      <w:r>
        <w:rPr>
          <w:rFonts w:ascii="Times New Roman" w:hAnsi="Times New Roman" w:cs="Times New Roman"/>
          <w:b/>
          <w:color w:val="auto"/>
          <w:sz w:val="20"/>
        </w:rPr>
        <w:fldChar w:fldCharType="end"/>
      </w:r>
      <w:r w:rsidRPr="00134FDC">
        <w:rPr>
          <w:rFonts w:ascii="Times New Roman" w:hAnsi="Times New Roman" w:cs="Times New Roman"/>
          <w:b/>
          <w:color w:val="auto"/>
          <w:sz w:val="20"/>
        </w:rPr>
        <w:t xml:space="preserve">  </w:t>
      </w:r>
      <w:r w:rsidR="00322670" w:rsidRPr="00160D76">
        <w:rPr>
          <w:rFonts w:ascii="Times New Roman" w:hAnsi="Times New Roman" w:cs="Times New Roman"/>
          <w:b/>
          <w:bCs/>
          <w:i w:val="0"/>
          <w:iCs w:val="0"/>
          <w:color w:val="auto"/>
          <w:sz w:val="22"/>
          <w:szCs w:val="22"/>
        </w:rPr>
        <w:t>Crecimiento del Producto Interno Bruto</w:t>
      </w:r>
      <w:bookmarkEnd w:id="113"/>
      <w:bookmarkEnd w:id="114"/>
    </w:p>
    <w:p w14:paraId="0515A668" w14:textId="77777777" w:rsidR="00322670" w:rsidRPr="00160D76" w:rsidRDefault="00322670" w:rsidP="00322670">
      <w:pPr>
        <w:pStyle w:val="Epgrafe"/>
        <w:keepNext/>
        <w:spacing w:after="0"/>
        <w:jc w:val="center"/>
        <w:rPr>
          <w:rFonts w:ascii="Times New Roman" w:hAnsi="Times New Roman" w:cs="Times New Roman"/>
          <w:b/>
          <w:bCs/>
          <w:i w:val="0"/>
          <w:iCs w:val="0"/>
          <w:color w:val="auto"/>
          <w:sz w:val="22"/>
          <w:szCs w:val="22"/>
        </w:rPr>
      </w:pPr>
      <w:r w:rsidRPr="00160D76">
        <w:rPr>
          <w:rFonts w:ascii="Times New Roman" w:hAnsi="Times New Roman" w:cs="Times New Roman"/>
          <w:b/>
          <w:bCs/>
          <w:i w:val="0"/>
          <w:iCs w:val="0"/>
          <w:color w:val="auto"/>
          <w:sz w:val="22"/>
          <w:szCs w:val="22"/>
        </w:rPr>
        <w:t>En términos reales</w:t>
      </w:r>
    </w:p>
    <w:p w14:paraId="2A9D953C" w14:textId="77777777" w:rsidR="00322670" w:rsidRPr="00160D76" w:rsidRDefault="00322670" w:rsidP="00322670">
      <w:pPr>
        <w:jc w:val="center"/>
        <w:rPr>
          <w:rFonts w:ascii="Times New Roman" w:hAnsi="Times New Roman" w:cs="Times New Roman"/>
          <w:b/>
          <w:bCs/>
        </w:rPr>
      </w:pPr>
      <w:r w:rsidRPr="00160D76">
        <w:rPr>
          <w:rFonts w:ascii="Times New Roman" w:hAnsi="Times New Roman" w:cs="Times New Roman"/>
          <w:b/>
          <w:bCs/>
        </w:rPr>
        <w:t>Variación interanual</w:t>
      </w:r>
    </w:p>
    <w:p w14:paraId="7A72F423" w14:textId="77777777" w:rsidR="00322670" w:rsidRPr="00160D76" w:rsidRDefault="00322670" w:rsidP="00322670">
      <w:pPr>
        <w:jc w:val="center"/>
      </w:pPr>
      <w:r w:rsidRPr="00160D76">
        <w:rPr>
          <w:noProof/>
          <w:lang w:val="es-ES" w:eastAsia="es-ES"/>
        </w:rPr>
        <w:drawing>
          <wp:inline distT="0" distB="0" distL="0" distR="0" wp14:anchorId="5BADA9D9" wp14:editId="630E2441">
            <wp:extent cx="3948113" cy="1938337"/>
            <wp:effectExtent l="0" t="0" r="0" b="5080"/>
            <wp:docPr id="26" name="Gráfico 2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038CBA1-FAB3-433A-B58E-5584C1A5E0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70CDEA6" w14:textId="77777777" w:rsidR="00322670" w:rsidRPr="00160D76" w:rsidRDefault="00322670" w:rsidP="00322670">
      <w:pPr>
        <w:spacing w:after="0" w:line="240" w:lineRule="auto"/>
        <w:jc w:val="both"/>
        <w:rPr>
          <w:rFonts w:ascii="Times New Roman" w:hAnsi="Times New Roman" w:cs="Times New Roman"/>
        </w:rPr>
      </w:pPr>
      <w:r w:rsidRPr="00160D76">
        <w:rPr>
          <w:rFonts w:ascii="Times New Roman" w:hAnsi="Times New Roman" w:cs="Times New Roman"/>
        </w:rPr>
        <w:t xml:space="preserve">El 70% del total del PIB está representada por 8 de las 18 actividades económicas, siendo estás Comercio al por mayor y menor, manufacturas, agricultura, inmobiliarias, impuestos netos, información y comunicaciones, construcción y actividades financieras. El resultado de las medidas sanitarias para contener la propagación del COVID-19 principalmente la restricción a la movilidad de personas afectaron por el lado de la oferta el funcionamiento de las actividades económicas relacionadas con servicios, las caídas principalmente se vieron en </w:t>
      </w:r>
      <w:r>
        <w:rPr>
          <w:rFonts w:ascii="Times New Roman" w:hAnsi="Times New Roman" w:cs="Times New Roman"/>
        </w:rPr>
        <w:t>las actividades de</w:t>
      </w:r>
      <w:r w:rsidRPr="00160D76">
        <w:rPr>
          <w:rFonts w:ascii="Times New Roman" w:hAnsi="Times New Roman" w:cs="Times New Roman"/>
        </w:rPr>
        <w:t xml:space="preserve"> </w:t>
      </w:r>
      <w:r>
        <w:rPr>
          <w:rFonts w:ascii="Times New Roman" w:hAnsi="Times New Roman" w:cs="Times New Roman"/>
        </w:rPr>
        <w:t>a</w:t>
      </w:r>
      <w:r w:rsidRPr="00160D76">
        <w:rPr>
          <w:rFonts w:ascii="Times New Roman" w:hAnsi="Times New Roman" w:cs="Times New Roman"/>
        </w:rPr>
        <w:t xml:space="preserve">lojamiento </w:t>
      </w:r>
      <w:r>
        <w:rPr>
          <w:rFonts w:ascii="Times New Roman" w:hAnsi="Times New Roman" w:cs="Times New Roman"/>
        </w:rPr>
        <w:t>y</w:t>
      </w:r>
      <w:r w:rsidRPr="00160D76">
        <w:rPr>
          <w:rFonts w:ascii="Times New Roman" w:hAnsi="Times New Roman" w:cs="Times New Roman"/>
        </w:rPr>
        <w:t xml:space="preserve">  servicios de comidas -24.0%, </w:t>
      </w:r>
      <w:r>
        <w:rPr>
          <w:rFonts w:ascii="Times New Roman" w:hAnsi="Times New Roman" w:cs="Times New Roman"/>
        </w:rPr>
        <w:t>t</w:t>
      </w:r>
      <w:r w:rsidRPr="00160D76">
        <w:rPr>
          <w:rFonts w:ascii="Times New Roman" w:hAnsi="Times New Roman" w:cs="Times New Roman"/>
        </w:rPr>
        <w:t xml:space="preserve">ransporte y almacenamiento con -12.9% , la </w:t>
      </w:r>
      <w:r>
        <w:rPr>
          <w:rFonts w:ascii="Times New Roman" w:hAnsi="Times New Roman" w:cs="Times New Roman"/>
        </w:rPr>
        <w:t>c</w:t>
      </w:r>
      <w:r w:rsidRPr="00160D76">
        <w:rPr>
          <w:rFonts w:ascii="Times New Roman" w:hAnsi="Times New Roman" w:cs="Times New Roman"/>
        </w:rPr>
        <w:t>onstrucción -6.2%  así como Otras actividades de servicios con -9.3%, contribuyendo en conjunto con una caída del Producto Interno Bruto en -1.7 puntos porcentuales.</w:t>
      </w:r>
    </w:p>
    <w:p w14:paraId="33C64A91" w14:textId="77777777" w:rsidR="00322670" w:rsidRPr="00160D76" w:rsidRDefault="00322670" w:rsidP="00322670">
      <w:pPr>
        <w:spacing w:after="0" w:line="240" w:lineRule="auto"/>
        <w:jc w:val="both"/>
        <w:rPr>
          <w:rFonts w:ascii="Times New Roman" w:hAnsi="Times New Roman" w:cs="Times New Roman"/>
        </w:rPr>
      </w:pPr>
    </w:p>
    <w:p w14:paraId="5927625C" w14:textId="2E07FB8E" w:rsidR="00126D07" w:rsidRPr="00134FDC" w:rsidRDefault="00126D07" w:rsidP="00126D07">
      <w:pPr>
        <w:pStyle w:val="Epgrafe"/>
        <w:keepNext/>
        <w:jc w:val="center"/>
        <w:rPr>
          <w:rFonts w:ascii="Times New Roman" w:hAnsi="Times New Roman" w:cs="Times New Roman"/>
          <w:b/>
          <w:color w:val="auto"/>
          <w:sz w:val="20"/>
        </w:rPr>
      </w:pPr>
      <w:bookmarkStart w:id="115" w:name="_Toc81573026"/>
      <w:r w:rsidRPr="00134FDC">
        <w:rPr>
          <w:rFonts w:ascii="Times New Roman" w:hAnsi="Times New Roman" w:cs="Times New Roman"/>
          <w:b/>
          <w:color w:val="auto"/>
          <w:sz w:val="20"/>
        </w:rPr>
        <w:t xml:space="preserve">Tabla </w:t>
      </w:r>
      <w:r w:rsidRPr="00134FDC">
        <w:rPr>
          <w:rFonts w:ascii="Times New Roman" w:hAnsi="Times New Roman" w:cs="Times New Roman"/>
          <w:b/>
          <w:color w:val="auto"/>
          <w:sz w:val="20"/>
        </w:rPr>
        <w:fldChar w:fldCharType="begin"/>
      </w:r>
      <w:r w:rsidRPr="00134FDC">
        <w:rPr>
          <w:rFonts w:ascii="Times New Roman" w:hAnsi="Times New Roman" w:cs="Times New Roman"/>
          <w:b/>
          <w:color w:val="auto"/>
          <w:sz w:val="20"/>
        </w:rPr>
        <w:instrText xml:space="preserve"> SEQ Tabla \* ARABIC </w:instrText>
      </w:r>
      <w:r w:rsidRPr="00134FDC">
        <w:rPr>
          <w:rFonts w:ascii="Times New Roman" w:hAnsi="Times New Roman" w:cs="Times New Roman"/>
          <w:b/>
          <w:color w:val="auto"/>
          <w:sz w:val="20"/>
        </w:rPr>
        <w:fldChar w:fldCharType="separate"/>
      </w:r>
      <w:r w:rsidR="009E18F8">
        <w:rPr>
          <w:rFonts w:ascii="Times New Roman" w:hAnsi="Times New Roman" w:cs="Times New Roman"/>
          <w:b/>
          <w:noProof/>
          <w:color w:val="auto"/>
          <w:sz w:val="20"/>
        </w:rPr>
        <w:t>4</w:t>
      </w:r>
      <w:r w:rsidRPr="00134FDC">
        <w:rPr>
          <w:rFonts w:ascii="Times New Roman" w:hAnsi="Times New Roman" w:cs="Times New Roman"/>
          <w:b/>
          <w:color w:val="auto"/>
          <w:sz w:val="20"/>
        </w:rPr>
        <w:fldChar w:fldCharType="end"/>
      </w:r>
      <w:r w:rsidRPr="00134FDC">
        <w:rPr>
          <w:rFonts w:ascii="Times New Roman" w:hAnsi="Times New Roman" w:cs="Times New Roman"/>
          <w:b/>
          <w:color w:val="auto"/>
          <w:sz w:val="20"/>
        </w:rPr>
        <w:t xml:space="preserve"> Producto Interno Bruto real por el enfoque de la producción</w:t>
      </w:r>
      <w:bookmarkEnd w:id="115"/>
    </w:p>
    <w:tbl>
      <w:tblPr>
        <w:tblStyle w:val="Tablaconcuadrcula"/>
        <w:tblpPr w:leftFromText="141" w:rightFromText="141" w:vertAnchor="text" w:horzAnchor="margin" w:tblpY="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322670" w:rsidRPr="00160D76" w14:paraId="2B611C67" w14:textId="77777777" w:rsidTr="00126D07">
        <w:trPr>
          <w:trHeight w:val="5443"/>
        </w:trPr>
        <w:tc>
          <w:tcPr>
            <w:tcW w:w="8838" w:type="dxa"/>
          </w:tcPr>
          <w:tbl>
            <w:tblPr>
              <w:tblW w:w="8617" w:type="dxa"/>
              <w:tblLook w:val="04A0" w:firstRow="1" w:lastRow="0" w:firstColumn="1" w:lastColumn="0" w:noHBand="0" w:noVBand="1"/>
            </w:tblPr>
            <w:tblGrid>
              <w:gridCol w:w="3104"/>
              <w:gridCol w:w="921"/>
              <w:gridCol w:w="759"/>
              <w:gridCol w:w="767"/>
              <w:gridCol w:w="712"/>
              <w:gridCol w:w="822"/>
              <w:gridCol w:w="766"/>
              <w:gridCol w:w="766"/>
            </w:tblGrid>
            <w:tr w:rsidR="00322670" w:rsidRPr="00160D76" w14:paraId="60314F60" w14:textId="77777777" w:rsidTr="00126D07">
              <w:trPr>
                <w:trHeight w:val="264"/>
              </w:trPr>
              <w:tc>
                <w:tcPr>
                  <w:tcW w:w="3104" w:type="dxa"/>
                  <w:tcBorders>
                    <w:top w:val="nil"/>
                    <w:left w:val="nil"/>
                    <w:bottom w:val="nil"/>
                    <w:right w:val="single" w:sz="4" w:space="0" w:color="auto"/>
                  </w:tcBorders>
                  <w:shd w:val="clear" w:color="auto" w:fill="auto"/>
                  <w:noWrap/>
                  <w:vAlign w:val="bottom"/>
                  <w:hideMark/>
                </w:tcPr>
                <w:p w14:paraId="56F53A6A" w14:textId="77777777" w:rsidR="00322670" w:rsidRPr="00160D76" w:rsidRDefault="00322670" w:rsidP="00AB0BA0">
                  <w:pPr>
                    <w:framePr w:hSpace="141" w:wrap="around" w:vAnchor="text" w:hAnchor="margin" w:y="74"/>
                    <w:spacing w:after="0" w:line="240" w:lineRule="auto"/>
                    <w:rPr>
                      <w:rFonts w:ascii="Times New Roman" w:eastAsia="Times New Roman" w:hAnsi="Times New Roman" w:cs="Times New Roman"/>
                      <w:sz w:val="24"/>
                      <w:szCs w:val="24"/>
                    </w:rPr>
                  </w:pPr>
                </w:p>
              </w:tc>
              <w:tc>
                <w:tcPr>
                  <w:tcW w:w="244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EC9EE"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b/>
                      <w:bCs/>
                      <w:sz w:val="20"/>
                      <w:szCs w:val="20"/>
                    </w:rPr>
                  </w:pPr>
                  <w:r w:rsidRPr="00160D76">
                    <w:rPr>
                      <w:rFonts w:ascii="Times" w:eastAsia="Times New Roman" w:hAnsi="Times" w:cs="Times"/>
                      <w:b/>
                      <w:bCs/>
                      <w:sz w:val="20"/>
                      <w:szCs w:val="20"/>
                    </w:rPr>
                    <w:t>Estructura</w:t>
                  </w:r>
                </w:p>
              </w:tc>
              <w:tc>
                <w:tcPr>
                  <w:tcW w:w="1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565A2"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b/>
                      <w:bCs/>
                      <w:sz w:val="20"/>
                      <w:szCs w:val="20"/>
                    </w:rPr>
                  </w:pPr>
                  <w:r w:rsidRPr="00160D76">
                    <w:rPr>
                      <w:rFonts w:ascii="Times" w:eastAsia="Times New Roman" w:hAnsi="Times" w:cs="Times"/>
                      <w:b/>
                      <w:bCs/>
                      <w:sz w:val="20"/>
                      <w:szCs w:val="20"/>
                    </w:rPr>
                    <w:t>Crecimiento</w:t>
                  </w:r>
                </w:p>
              </w:tc>
              <w:tc>
                <w:tcPr>
                  <w:tcW w:w="15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8DE34" w14:textId="77777777" w:rsidR="00322670" w:rsidRPr="00160D76" w:rsidRDefault="00322670" w:rsidP="00AB0BA0">
                  <w:pPr>
                    <w:framePr w:hSpace="141" w:wrap="around" w:vAnchor="text" w:hAnchor="margin" w:y="74"/>
                    <w:spacing w:after="0" w:line="240" w:lineRule="auto"/>
                    <w:jc w:val="center"/>
                    <w:rPr>
                      <w:rFonts w:ascii="Times New Roman" w:eastAsia="Times New Roman" w:hAnsi="Times New Roman" w:cs="Times New Roman"/>
                      <w:b/>
                      <w:bCs/>
                      <w:sz w:val="20"/>
                      <w:szCs w:val="20"/>
                    </w:rPr>
                  </w:pPr>
                  <w:r w:rsidRPr="00160D76">
                    <w:rPr>
                      <w:rFonts w:ascii="Times New Roman" w:eastAsia="Times New Roman" w:hAnsi="Times New Roman" w:cs="Times New Roman"/>
                      <w:b/>
                      <w:bCs/>
                      <w:sz w:val="20"/>
                      <w:szCs w:val="20"/>
                    </w:rPr>
                    <w:t>Contribución</w:t>
                  </w:r>
                </w:p>
              </w:tc>
            </w:tr>
            <w:tr w:rsidR="00322670" w:rsidRPr="00160D76" w14:paraId="6D59C97F" w14:textId="77777777" w:rsidTr="00126D07">
              <w:trPr>
                <w:trHeight w:val="276"/>
              </w:trPr>
              <w:tc>
                <w:tcPr>
                  <w:tcW w:w="3104"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5EBEF196" w14:textId="77777777" w:rsidR="00322670" w:rsidRPr="00160D76" w:rsidRDefault="00322670" w:rsidP="00AB0BA0">
                  <w:pPr>
                    <w:framePr w:hSpace="141" w:wrap="around" w:vAnchor="text" w:hAnchor="margin" w:y="74"/>
                    <w:spacing w:after="0" w:line="240" w:lineRule="auto"/>
                    <w:rPr>
                      <w:rFonts w:ascii="Times" w:eastAsia="Times New Roman" w:hAnsi="Times" w:cs="Times"/>
                      <w:b/>
                      <w:bCs/>
                      <w:sz w:val="20"/>
                      <w:szCs w:val="20"/>
                    </w:rPr>
                  </w:pPr>
                  <w:r w:rsidRPr="00160D76">
                    <w:rPr>
                      <w:rFonts w:ascii="Times" w:eastAsia="Times New Roman" w:hAnsi="Times" w:cs="Times"/>
                      <w:b/>
                      <w:bCs/>
                      <w:sz w:val="20"/>
                      <w:szCs w:val="20"/>
                    </w:rPr>
                    <w:t>Actividad Económica</w:t>
                  </w:r>
                </w:p>
              </w:tc>
              <w:tc>
                <w:tcPr>
                  <w:tcW w:w="921" w:type="dxa"/>
                  <w:tcBorders>
                    <w:top w:val="nil"/>
                    <w:left w:val="nil"/>
                    <w:bottom w:val="nil"/>
                    <w:right w:val="nil"/>
                  </w:tcBorders>
                  <w:shd w:val="clear" w:color="auto" w:fill="auto"/>
                  <w:noWrap/>
                  <w:vAlign w:val="bottom"/>
                  <w:hideMark/>
                </w:tcPr>
                <w:p w14:paraId="5E46EDEB"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b/>
                      <w:bCs/>
                      <w:sz w:val="20"/>
                      <w:szCs w:val="20"/>
                    </w:rPr>
                  </w:pPr>
                  <w:r w:rsidRPr="00160D76">
                    <w:rPr>
                      <w:rFonts w:ascii="Times" w:eastAsia="Times New Roman" w:hAnsi="Times" w:cs="Times"/>
                      <w:b/>
                      <w:bCs/>
                      <w:sz w:val="20"/>
                      <w:szCs w:val="20"/>
                    </w:rPr>
                    <w:t>2018</w:t>
                  </w:r>
                </w:p>
              </w:tc>
              <w:tc>
                <w:tcPr>
                  <w:tcW w:w="759" w:type="dxa"/>
                  <w:tcBorders>
                    <w:top w:val="nil"/>
                    <w:left w:val="nil"/>
                    <w:bottom w:val="nil"/>
                    <w:right w:val="nil"/>
                  </w:tcBorders>
                  <w:shd w:val="clear" w:color="auto" w:fill="auto"/>
                  <w:noWrap/>
                  <w:vAlign w:val="bottom"/>
                  <w:hideMark/>
                </w:tcPr>
                <w:p w14:paraId="622235D2"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b/>
                      <w:bCs/>
                      <w:sz w:val="20"/>
                      <w:szCs w:val="20"/>
                    </w:rPr>
                  </w:pPr>
                  <w:r w:rsidRPr="00160D76">
                    <w:rPr>
                      <w:rFonts w:ascii="Times" w:eastAsia="Times New Roman" w:hAnsi="Times" w:cs="Times"/>
                      <w:b/>
                      <w:bCs/>
                      <w:sz w:val="20"/>
                      <w:szCs w:val="20"/>
                    </w:rPr>
                    <w:t>2019</w:t>
                  </w:r>
                </w:p>
              </w:tc>
              <w:tc>
                <w:tcPr>
                  <w:tcW w:w="767" w:type="dxa"/>
                  <w:tcBorders>
                    <w:top w:val="nil"/>
                    <w:left w:val="nil"/>
                    <w:bottom w:val="nil"/>
                    <w:right w:val="single" w:sz="4" w:space="0" w:color="auto"/>
                  </w:tcBorders>
                  <w:shd w:val="clear" w:color="auto" w:fill="auto"/>
                  <w:noWrap/>
                  <w:vAlign w:val="bottom"/>
                  <w:hideMark/>
                </w:tcPr>
                <w:p w14:paraId="5577B73E"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b/>
                      <w:bCs/>
                      <w:sz w:val="20"/>
                      <w:szCs w:val="20"/>
                    </w:rPr>
                  </w:pPr>
                  <w:r w:rsidRPr="00160D76">
                    <w:rPr>
                      <w:rFonts w:ascii="Times" w:eastAsia="Times New Roman" w:hAnsi="Times" w:cs="Times"/>
                      <w:b/>
                      <w:bCs/>
                      <w:sz w:val="20"/>
                      <w:szCs w:val="20"/>
                    </w:rPr>
                    <w:t>2020</w:t>
                  </w:r>
                </w:p>
              </w:tc>
              <w:tc>
                <w:tcPr>
                  <w:tcW w:w="712" w:type="dxa"/>
                  <w:tcBorders>
                    <w:top w:val="nil"/>
                    <w:left w:val="nil"/>
                    <w:bottom w:val="double" w:sz="6" w:space="0" w:color="auto"/>
                    <w:right w:val="nil"/>
                  </w:tcBorders>
                  <w:shd w:val="clear" w:color="auto" w:fill="auto"/>
                  <w:noWrap/>
                  <w:vAlign w:val="bottom"/>
                  <w:hideMark/>
                </w:tcPr>
                <w:p w14:paraId="6CBDAC53"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b/>
                      <w:bCs/>
                      <w:sz w:val="20"/>
                      <w:szCs w:val="20"/>
                    </w:rPr>
                  </w:pPr>
                  <w:r w:rsidRPr="00160D76">
                    <w:rPr>
                      <w:rFonts w:ascii="Times" w:eastAsia="Times New Roman" w:hAnsi="Times" w:cs="Times"/>
                      <w:b/>
                      <w:bCs/>
                      <w:sz w:val="20"/>
                      <w:szCs w:val="20"/>
                    </w:rPr>
                    <w:t>2019</w:t>
                  </w:r>
                </w:p>
              </w:tc>
              <w:tc>
                <w:tcPr>
                  <w:tcW w:w="822" w:type="dxa"/>
                  <w:tcBorders>
                    <w:top w:val="nil"/>
                    <w:left w:val="nil"/>
                    <w:bottom w:val="double" w:sz="6" w:space="0" w:color="auto"/>
                    <w:right w:val="single" w:sz="4" w:space="0" w:color="auto"/>
                  </w:tcBorders>
                  <w:shd w:val="clear" w:color="auto" w:fill="auto"/>
                  <w:noWrap/>
                  <w:vAlign w:val="bottom"/>
                  <w:hideMark/>
                </w:tcPr>
                <w:p w14:paraId="4388CE15"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b/>
                      <w:bCs/>
                      <w:sz w:val="20"/>
                      <w:szCs w:val="20"/>
                    </w:rPr>
                  </w:pPr>
                  <w:r w:rsidRPr="00160D76">
                    <w:rPr>
                      <w:rFonts w:ascii="Times" w:eastAsia="Times New Roman" w:hAnsi="Times" w:cs="Times"/>
                      <w:b/>
                      <w:bCs/>
                      <w:sz w:val="20"/>
                      <w:szCs w:val="20"/>
                    </w:rPr>
                    <w:t>2020</w:t>
                  </w:r>
                </w:p>
              </w:tc>
              <w:tc>
                <w:tcPr>
                  <w:tcW w:w="766" w:type="dxa"/>
                  <w:tcBorders>
                    <w:top w:val="nil"/>
                    <w:left w:val="nil"/>
                    <w:bottom w:val="double" w:sz="6" w:space="0" w:color="auto"/>
                    <w:right w:val="nil"/>
                  </w:tcBorders>
                  <w:shd w:val="clear" w:color="auto" w:fill="auto"/>
                  <w:noWrap/>
                  <w:vAlign w:val="bottom"/>
                  <w:hideMark/>
                </w:tcPr>
                <w:p w14:paraId="7256E50D"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b/>
                      <w:bCs/>
                      <w:sz w:val="20"/>
                      <w:szCs w:val="20"/>
                    </w:rPr>
                  </w:pPr>
                  <w:r w:rsidRPr="00160D76">
                    <w:rPr>
                      <w:rFonts w:ascii="Times" w:eastAsia="Times New Roman" w:hAnsi="Times" w:cs="Times"/>
                      <w:b/>
                      <w:bCs/>
                      <w:sz w:val="20"/>
                      <w:szCs w:val="20"/>
                    </w:rPr>
                    <w:t>2019</w:t>
                  </w:r>
                </w:p>
              </w:tc>
              <w:tc>
                <w:tcPr>
                  <w:tcW w:w="766" w:type="dxa"/>
                  <w:tcBorders>
                    <w:top w:val="nil"/>
                    <w:left w:val="nil"/>
                    <w:bottom w:val="double" w:sz="6" w:space="0" w:color="auto"/>
                    <w:right w:val="single" w:sz="4" w:space="0" w:color="auto"/>
                  </w:tcBorders>
                  <w:shd w:val="clear" w:color="auto" w:fill="auto"/>
                  <w:noWrap/>
                  <w:vAlign w:val="bottom"/>
                  <w:hideMark/>
                </w:tcPr>
                <w:p w14:paraId="0A9E135F"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b/>
                      <w:bCs/>
                      <w:sz w:val="20"/>
                      <w:szCs w:val="20"/>
                    </w:rPr>
                  </w:pPr>
                  <w:r w:rsidRPr="00160D76">
                    <w:rPr>
                      <w:rFonts w:ascii="Times" w:eastAsia="Times New Roman" w:hAnsi="Times" w:cs="Times"/>
                      <w:b/>
                      <w:bCs/>
                      <w:sz w:val="20"/>
                      <w:szCs w:val="20"/>
                    </w:rPr>
                    <w:t>2020</w:t>
                  </w:r>
                </w:p>
              </w:tc>
            </w:tr>
            <w:tr w:rsidR="00322670" w:rsidRPr="00160D76" w14:paraId="19D51A7C" w14:textId="77777777" w:rsidTr="00126D07">
              <w:trPr>
                <w:trHeight w:val="516"/>
              </w:trPr>
              <w:tc>
                <w:tcPr>
                  <w:tcW w:w="3104" w:type="dxa"/>
                  <w:tcBorders>
                    <w:top w:val="nil"/>
                    <w:left w:val="single" w:sz="4" w:space="0" w:color="auto"/>
                    <w:bottom w:val="nil"/>
                    <w:right w:val="single" w:sz="4" w:space="0" w:color="auto"/>
                  </w:tcBorders>
                  <w:shd w:val="clear" w:color="auto" w:fill="auto"/>
                  <w:vAlign w:val="center"/>
                  <w:hideMark/>
                </w:tcPr>
                <w:p w14:paraId="289410DD" w14:textId="77777777" w:rsidR="00322670" w:rsidRPr="00160D76" w:rsidRDefault="00322670" w:rsidP="00AB0BA0">
                  <w:pPr>
                    <w:framePr w:hSpace="141" w:wrap="around" w:vAnchor="text" w:hAnchor="margin" w:y="74"/>
                    <w:spacing w:after="0" w:line="240" w:lineRule="auto"/>
                    <w:rPr>
                      <w:rFonts w:ascii="Times" w:eastAsia="Times New Roman" w:hAnsi="Times" w:cs="Times"/>
                      <w:sz w:val="16"/>
                      <w:szCs w:val="16"/>
                    </w:rPr>
                  </w:pPr>
                  <w:r w:rsidRPr="00160D76">
                    <w:rPr>
                      <w:rFonts w:ascii="Times" w:eastAsia="Times New Roman" w:hAnsi="Times" w:cs="Times"/>
                      <w:sz w:val="16"/>
                      <w:szCs w:val="16"/>
                    </w:rPr>
                    <w:t>Agricultura, ganadería, silvicultura y pesca</w:t>
                  </w:r>
                </w:p>
              </w:tc>
              <w:tc>
                <w:tcPr>
                  <w:tcW w:w="921" w:type="dxa"/>
                  <w:tcBorders>
                    <w:top w:val="single" w:sz="4" w:space="0" w:color="auto"/>
                    <w:left w:val="nil"/>
                    <w:bottom w:val="nil"/>
                    <w:right w:val="nil"/>
                  </w:tcBorders>
                  <w:shd w:val="clear" w:color="auto" w:fill="auto"/>
                  <w:noWrap/>
                  <w:vAlign w:val="center"/>
                  <w:hideMark/>
                </w:tcPr>
                <w:p w14:paraId="5357AE59"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9.8%</w:t>
                  </w:r>
                </w:p>
              </w:tc>
              <w:tc>
                <w:tcPr>
                  <w:tcW w:w="759" w:type="dxa"/>
                  <w:tcBorders>
                    <w:top w:val="single" w:sz="4" w:space="0" w:color="auto"/>
                    <w:left w:val="nil"/>
                    <w:bottom w:val="nil"/>
                    <w:right w:val="nil"/>
                  </w:tcBorders>
                  <w:shd w:val="clear" w:color="auto" w:fill="auto"/>
                  <w:noWrap/>
                  <w:vAlign w:val="center"/>
                  <w:hideMark/>
                </w:tcPr>
                <w:p w14:paraId="65C871C8"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9.7%</w:t>
                  </w:r>
                </w:p>
              </w:tc>
              <w:tc>
                <w:tcPr>
                  <w:tcW w:w="767" w:type="dxa"/>
                  <w:tcBorders>
                    <w:top w:val="single" w:sz="4" w:space="0" w:color="auto"/>
                    <w:left w:val="nil"/>
                    <w:bottom w:val="nil"/>
                    <w:right w:val="single" w:sz="4" w:space="0" w:color="auto"/>
                  </w:tcBorders>
                  <w:shd w:val="clear" w:color="auto" w:fill="auto"/>
                  <w:noWrap/>
                  <w:vAlign w:val="center"/>
                  <w:hideMark/>
                </w:tcPr>
                <w:p w14:paraId="55C2039C"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10.1%</w:t>
                  </w:r>
                </w:p>
              </w:tc>
              <w:tc>
                <w:tcPr>
                  <w:tcW w:w="712" w:type="dxa"/>
                  <w:tcBorders>
                    <w:top w:val="nil"/>
                    <w:left w:val="nil"/>
                    <w:bottom w:val="nil"/>
                    <w:right w:val="nil"/>
                  </w:tcBorders>
                  <w:shd w:val="clear" w:color="auto" w:fill="auto"/>
                  <w:noWrap/>
                  <w:vAlign w:val="center"/>
                  <w:hideMark/>
                </w:tcPr>
                <w:p w14:paraId="0F115E7A"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2.1%</w:t>
                  </w:r>
                </w:p>
              </w:tc>
              <w:tc>
                <w:tcPr>
                  <w:tcW w:w="822" w:type="dxa"/>
                  <w:tcBorders>
                    <w:top w:val="nil"/>
                    <w:left w:val="nil"/>
                    <w:bottom w:val="nil"/>
                    <w:right w:val="single" w:sz="4" w:space="0" w:color="auto"/>
                  </w:tcBorders>
                  <w:shd w:val="clear" w:color="auto" w:fill="auto"/>
                  <w:noWrap/>
                  <w:vAlign w:val="center"/>
                  <w:hideMark/>
                </w:tcPr>
                <w:p w14:paraId="286229E4"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2.9%</w:t>
                  </w:r>
                </w:p>
              </w:tc>
              <w:tc>
                <w:tcPr>
                  <w:tcW w:w="766" w:type="dxa"/>
                  <w:tcBorders>
                    <w:top w:val="nil"/>
                    <w:left w:val="nil"/>
                    <w:bottom w:val="nil"/>
                    <w:right w:val="nil"/>
                  </w:tcBorders>
                  <w:shd w:val="clear" w:color="auto" w:fill="auto"/>
                  <w:noWrap/>
                  <w:vAlign w:val="center"/>
                  <w:hideMark/>
                </w:tcPr>
                <w:p w14:paraId="58EDD2D0"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0.2%</w:t>
                  </w:r>
                </w:p>
              </w:tc>
              <w:tc>
                <w:tcPr>
                  <w:tcW w:w="766" w:type="dxa"/>
                  <w:tcBorders>
                    <w:top w:val="nil"/>
                    <w:left w:val="nil"/>
                    <w:bottom w:val="nil"/>
                    <w:right w:val="single" w:sz="4" w:space="0" w:color="auto"/>
                  </w:tcBorders>
                  <w:shd w:val="clear" w:color="auto" w:fill="auto"/>
                  <w:noWrap/>
                  <w:vAlign w:val="center"/>
                  <w:hideMark/>
                </w:tcPr>
                <w:p w14:paraId="36BD5E3D"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0.3%</w:t>
                  </w:r>
                </w:p>
              </w:tc>
            </w:tr>
            <w:tr w:rsidR="00322670" w:rsidRPr="00160D76" w14:paraId="1A86784E" w14:textId="77777777" w:rsidTr="00126D07">
              <w:trPr>
                <w:trHeight w:val="264"/>
              </w:trPr>
              <w:tc>
                <w:tcPr>
                  <w:tcW w:w="3104" w:type="dxa"/>
                  <w:tcBorders>
                    <w:top w:val="nil"/>
                    <w:left w:val="single" w:sz="4" w:space="0" w:color="auto"/>
                    <w:bottom w:val="nil"/>
                    <w:right w:val="single" w:sz="4" w:space="0" w:color="auto"/>
                  </w:tcBorders>
                  <w:shd w:val="clear" w:color="auto" w:fill="auto"/>
                  <w:noWrap/>
                  <w:vAlign w:val="center"/>
                  <w:hideMark/>
                </w:tcPr>
                <w:p w14:paraId="1F65D619" w14:textId="77777777" w:rsidR="00322670" w:rsidRPr="00160D76" w:rsidRDefault="00322670" w:rsidP="00AB0BA0">
                  <w:pPr>
                    <w:framePr w:hSpace="141" w:wrap="around" w:vAnchor="text" w:hAnchor="margin" w:y="74"/>
                    <w:spacing w:after="0" w:line="240" w:lineRule="auto"/>
                    <w:rPr>
                      <w:rFonts w:ascii="Times" w:eastAsia="Times New Roman" w:hAnsi="Times" w:cs="Times"/>
                      <w:sz w:val="16"/>
                      <w:szCs w:val="16"/>
                    </w:rPr>
                  </w:pPr>
                  <w:r w:rsidRPr="00160D76">
                    <w:rPr>
                      <w:rFonts w:ascii="Times" w:eastAsia="Times New Roman" w:hAnsi="Times" w:cs="Times"/>
                      <w:sz w:val="16"/>
                      <w:szCs w:val="16"/>
                    </w:rPr>
                    <w:t>Explotación de minas y canteras</w:t>
                  </w:r>
                </w:p>
              </w:tc>
              <w:tc>
                <w:tcPr>
                  <w:tcW w:w="921" w:type="dxa"/>
                  <w:tcBorders>
                    <w:top w:val="nil"/>
                    <w:left w:val="nil"/>
                    <w:bottom w:val="nil"/>
                    <w:right w:val="nil"/>
                  </w:tcBorders>
                  <w:shd w:val="clear" w:color="auto" w:fill="auto"/>
                  <w:noWrap/>
                  <w:vAlign w:val="center"/>
                  <w:hideMark/>
                </w:tcPr>
                <w:p w14:paraId="20D348C3"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0.8%</w:t>
                  </w:r>
                </w:p>
              </w:tc>
              <w:tc>
                <w:tcPr>
                  <w:tcW w:w="759" w:type="dxa"/>
                  <w:tcBorders>
                    <w:top w:val="nil"/>
                    <w:left w:val="nil"/>
                    <w:bottom w:val="nil"/>
                    <w:right w:val="nil"/>
                  </w:tcBorders>
                  <w:shd w:val="clear" w:color="auto" w:fill="auto"/>
                  <w:noWrap/>
                  <w:vAlign w:val="center"/>
                  <w:hideMark/>
                </w:tcPr>
                <w:p w14:paraId="649B25D9"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0.8%</w:t>
                  </w:r>
                </w:p>
              </w:tc>
              <w:tc>
                <w:tcPr>
                  <w:tcW w:w="767" w:type="dxa"/>
                  <w:tcBorders>
                    <w:top w:val="nil"/>
                    <w:left w:val="nil"/>
                    <w:bottom w:val="nil"/>
                    <w:right w:val="single" w:sz="4" w:space="0" w:color="auto"/>
                  </w:tcBorders>
                  <w:shd w:val="clear" w:color="auto" w:fill="auto"/>
                  <w:noWrap/>
                  <w:vAlign w:val="center"/>
                  <w:hideMark/>
                </w:tcPr>
                <w:p w14:paraId="2F07DAD6"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0.8%</w:t>
                  </w:r>
                </w:p>
              </w:tc>
              <w:tc>
                <w:tcPr>
                  <w:tcW w:w="712" w:type="dxa"/>
                  <w:tcBorders>
                    <w:top w:val="nil"/>
                    <w:left w:val="nil"/>
                    <w:bottom w:val="nil"/>
                    <w:right w:val="nil"/>
                  </w:tcBorders>
                  <w:shd w:val="clear" w:color="auto" w:fill="auto"/>
                  <w:noWrap/>
                  <w:vAlign w:val="center"/>
                  <w:hideMark/>
                </w:tcPr>
                <w:p w14:paraId="5B6317E3"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2.8%</w:t>
                  </w:r>
                </w:p>
              </w:tc>
              <w:tc>
                <w:tcPr>
                  <w:tcW w:w="822" w:type="dxa"/>
                  <w:tcBorders>
                    <w:top w:val="nil"/>
                    <w:left w:val="nil"/>
                    <w:bottom w:val="nil"/>
                    <w:right w:val="single" w:sz="4" w:space="0" w:color="auto"/>
                  </w:tcBorders>
                  <w:shd w:val="clear" w:color="auto" w:fill="auto"/>
                  <w:noWrap/>
                  <w:vAlign w:val="center"/>
                  <w:hideMark/>
                </w:tcPr>
                <w:p w14:paraId="039838A2"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-1.6%</w:t>
                  </w:r>
                </w:p>
              </w:tc>
              <w:tc>
                <w:tcPr>
                  <w:tcW w:w="766" w:type="dxa"/>
                  <w:tcBorders>
                    <w:top w:val="nil"/>
                    <w:left w:val="nil"/>
                    <w:bottom w:val="nil"/>
                    <w:right w:val="nil"/>
                  </w:tcBorders>
                  <w:shd w:val="clear" w:color="auto" w:fill="auto"/>
                  <w:noWrap/>
                  <w:vAlign w:val="center"/>
                  <w:hideMark/>
                </w:tcPr>
                <w:p w14:paraId="01C1582D"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0.0%</w:t>
                  </w:r>
                </w:p>
              </w:tc>
              <w:tc>
                <w:tcPr>
                  <w:tcW w:w="766" w:type="dxa"/>
                  <w:tcBorders>
                    <w:top w:val="nil"/>
                    <w:left w:val="nil"/>
                    <w:bottom w:val="nil"/>
                    <w:right w:val="single" w:sz="4" w:space="0" w:color="auto"/>
                  </w:tcBorders>
                  <w:shd w:val="clear" w:color="auto" w:fill="auto"/>
                  <w:noWrap/>
                  <w:vAlign w:val="center"/>
                  <w:hideMark/>
                </w:tcPr>
                <w:p w14:paraId="71606819"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0.0%</w:t>
                  </w:r>
                </w:p>
              </w:tc>
            </w:tr>
            <w:tr w:rsidR="00322670" w:rsidRPr="00160D76" w14:paraId="3DB4902C" w14:textId="77777777" w:rsidTr="00126D07">
              <w:trPr>
                <w:trHeight w:val="264"/>
              </w:trPr>
              <w:tc>
                <w:tcPr>
                  <w:tcW w:w="3104" w:type="dxa"/>
                  <w:tcBorders>
                    <w:top w:val="nil"/>
                    <w:left w:val="single" w:sz="4" w:space="0" w:color="auto"/>
                    <w:bottom w:val="nil"/>
                    <w:right w:val="single" w:sz="4" w:space="0" w:color="auto"/>
                  </w:tcBorders>
                  <w:shd w:val="clear" w:color="auto" w:fill="auto"/>
                  <w:noWrap/>
                  <w:vAlign w:val="center"/>
                  <w:hideMark/>
                </w:tcPr>
                <w:p w14:paraId="33C1FE10" w14:textId="77777777" w:rsidR="00322670" w:rsidRPr="00160D76" w:rsidRDefault="00322670" w:rsidP="00AB0BA0">
                  <w:pPr>
                    <w:framePr w:hSpace="141" w:wrap="around" w:vAnchor="text" w:hAnchor="margin" w:y="74"/>
                    <w:spacing w:after="0" w:line="240" w:lineRule="auto"/>
                    <w:rPr>
                      <w:rFonts w:ascii="Times" w:eastAsia="Times New Roman" w:hAnsi="Times" w:cs="Times"/>
                      <w:sz w:val="16"/>
                      <w:szCs w:val="16"/>
                    </w:rPr>
                  </w:pPr>
                  <w:r w:rsidRPr="00160D76">
                    <w:rPr>
                      <w:rFonts w:ascii="Times" w:eastAsia="Times New Roman" w:hAnsi="Times" w:cs="Times"/>
                      <w:sz w:val="16"/>
                      <w:szCs w:val="16"/>
                    </w:rPr>
                    <w:t>Industrias manufactureras</w:t>
                  </w:r>
                </w:p>
              </w:tc>
              <w:tc>
                <w:tcPr>
                  <w:tcW w:w="921" w:type="dxa"/>
                  <w:tcBorders>
                    <w:top w:val="nil"/>
                    <w:left w:val="nil"/>
                    <w:bottom w:val="nil"/>
                    <w:right w:val="nil"/>
                  </w:tcBorders>
                  <w:shd w:val="clear" w:color="auto" w:fill="auto"/>
                  <w:noWrap/>
                  <w:vAlign w:val="center"/>
                  <w:hideMark/>
                </w:tcPr>
                <w:p w14:paraId="343C685B"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14.2%</w:t>
                  </w:r>
                </w:p>
              </w:tc>
              <w:tc>
                <w:tcPr>
                  <w:tcW w:w="759" w:type="dxa"/>
                  <w:tcBorders>
                    <w:top w:val="nil"/>
                    <w:left w:val="nil"/>
                    <w:bottom w:val="nil"/>
                    <w:right w:val="nil"/>
                  </w:tcBorders>
                  <w:shd w:val="clear" w:color="auto" w:fill="auto"/>
                  <w:noWrap/>
                  <w:vAlign w:val="center"/>
                  <w:hideMark/>
                </w:tcPr>
                <w:p w14:paraId="0C7C3BE9"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14.1%</w:t>
                  </w:r>
                </w:p>
              </w:tc>
              <w:tc>
                <w:tcPr>
                  <w:tcW w:w="767" w:type="dxa"/>
                  <w:tcBorders>
                    <w:top w:val="nil"/>
                    <w:left w:val="nil"/>
                    <w:bottom w:val="nil"/>
                    <w:right w:val="single" w:sz="4" w:space="0" w:color="auto"/>
                  </w:tcBorders>
                  <w:shd w:val="clear" w:color="auto" w:fill="auto"/>
                  <w:noWrap/>
                  <w:vAlign w:val="center"/>
                  <w:hideMark/>
                </w:tcPr>
                <w:p w14:paraId="15130CC0"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14.3%</w:t>
                  </w:r>
                </w:p>
              </w:tc>
              <w:tc>
                <w:tcPr>
                  <w:tcW w:w="712" w:type="dxa"/>
                  <w:tcBorders>
                    <w:top w:val="nil"/>
                    <w:left w:val="nil"/>
                    <w:bottom w:val="nil"/>
                    <w:right w:val="nil"/>
                  </w:tcBorders>
                  <w:shd w:val="clear" w:color="auto" w:fill="auto"/>
                  <w:noWrap/>
                  <w:vAlign w:val="center"/>
                  <w:hideMark/>
                </w:tcPr>
                <w:p w14:paraId="16DCD095"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3.1%</w:t>
                  </w:r>
                </w:p>
              </w:tc>
              <w:tc>
                <w:tcPr>
                  <w:tcW w:w="822" w:type="dxa"/>
                  <w:tcBorders>
                    <w:top w:val="nil"/>
                    <w:left w:val="nil"/>
                    <w:bottom w:val="nil"/>
                    <w:right w:val="single" w:sz="4" w:space="0" w:color="auto"/>
                  </w:tcBorders>
                  <w:shd w:val="clear" w:color="auto" w:fill="auto"/>
                  <w:noWrap/>
                  <w:vAlign w:val="center"/>
                  <w:hideMark/>
                </w:tcPr>
                <w:p w14:paraId="303AABC3"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-0.2%</w:t>
                  </w:r>
                </w:p>
              </w:tc>
              <w:tc>
                <w:tcPr>
                  <w:tcW w:w="766" w:type="dxa"/>
                  <w:tcBorders>
                    <w:top w:val="nil"/>
                    <w:left w:val="nil"/>
                    <w:bottom w:val="nil"/>
                    <w:right w:val="nil"/>
                  </w:tcBorders>
                  <w:shd w:val="clear" w:color="auto" w:fill="auto"/>
                  <w:noWrap/>
                  <w:vAlign w:val="center"/>
                  <w:hideMark/>
                </w:tcPr>
                <w:p w14:paraId="55DC2431"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0.4%</w:t>
                  </w:r>
                </w:p>
              </w:tc>
              <w:tc>
                <w:tcPr>
                  <w:tcW w:w="766" w:type="dxa"/>
                  <w:tcBorders>
                    <w:top w:val="nil"/>
                    <w:left w:val="nil"/>
                    <w:bottom w:val="nil"/>
                    <w:right w:val="single" w:sz="4" w:space="0" w:color="auto"/>
                  </w:tcBorders>
                  <w:shd w:val="clear" w:color="auto" w:fill="auto"/>
                  <w:noWrap/>
                  <w:vAlign w:val="center"/>
                  <w:hideMark/>
                </w:tcPr>
                <w:p w14:paraId="79654929"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0.0%</w:t>
                  </w:r>
                </w:p>
              </w:tc>
            </w:tr>
            <w:tr w:rsidR="00322670" w:rsidRPr="00160D76" w14:paraId="2871C431" w14:textId="77777777" w:rsidTr="00126D07">
              <w:trPr>
                <w:trHeight w:val="540"/>
              </w:trPr>
              <w:tc>
                <w:tcPr>
                  <w:tcW w:w="3104" w:type="dxa"/>
                  <w:tcBorders>
                    <w:top w:val="nil"/>
                    <w:left w:val="single" w:sz="4" w:space="0" w:color="auto"/>
                    <w:bottom w:val="nil"/>
                    <w:right w:val="single" w:sz="4" w:space="0" w:color="auto"/>
                  </w:tcBorders>
                  <w:shd w:val="clear" w:color="auto" w:fill="auto"/>
                  <w:vAlign w:val="center"/>
                  <w:hideMark/>
                </w:tcPr>
                <w:p w14:paraId="530BBF93" w14:textId="77777777" w:rsidR="00322670" w:rsidRPr="00160D76" w:rsidRDefault="00322670" w:rsidP="00AB0BA0">
                  <w:pPr>
                    <w:framePr w:hSpace="141" w:wrap="around" w:vAnchor="text" w:hAnchor="margin" w:y="74"/>
                    <w:spacing w:after="0" w:line="240" w:lineRule="auto"/>
                    <w:rPr>
                      <w:rFonts w:ascii="Times" w:eastAsia="Times New Roman" w:hAnsi="Times" w:cs="Times"/>
                      <w:sz w:val="16"/>
                      <w:szCs w:val="16"/>
                    </w:rPr>
                  </w:pPr>
                  <w:r w:rsidRPr="00160D76">
                    <w:rPr>
                      <w:rFonts w:ascii="Times" w:eastAsia="Times New Roman" w:hAnsi="Times" w:cs="Times"/>
                      <w:sz w:val="16"/>
                      <w:szCs w:val="16"/>
                    </w:rPr>
                    <w:t>Suministro de electricidad, agua y servicios de saneamiento</w:t>
                  </w:r>
                </w:p>
              </w:tc>
              <w:tc>
                <w:tcPr>
                  <w:tcW w:w="921" w:type="dxa"/>
                  <w:tcBorders>
                    <w:top w:val="nil"/>
                    <w:left w:val="nil"/>
                    <w:bottom w:val="nil"/>
                    <w:right w:val="nil"/>
                  </w:tcBorders>
                  <w:shd w:val="clear" w:color="auto" w:fill="auto"/>
                  <w:noWrap/>
                  <w:vAlign w:val="center"/>
                  <w:hideMark/>
                </w:tcPr>
                <w:p w14:paraId="04C15135"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2.9%</w:t>
                  </w:r>
                </w:p>
              </w:tc>
              <w:tc>
                <w:tcPr>
                  <w:tcW w:w="759" w:type="dxa"/>
                  <w:tcBorders>
                    <w:top w:val="nil"/>
                    <w:left w:val="nil"/>
                    <w:bottom w:val="nil"/>
                    <w:right w:val="nil"/>
                  </w:tcBorders>
                  <w:shd w:val="clear" w:color="auto" w:fill="auto"/>
                  <w:noWrap/>
                  <w:vAlign w:val="center"/>
                  <w:hideMark/>
                </w:tcPr>
                <w:p w14:paraId="075519D3"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2.7%</w:t>
                  </w:r>
                </w:p>
              </w:tc>
              <w:tc>
                <w:tcPr>
                  <w:tcW w:w="767" w:type="dxa"/>
                  <w:tcBorders>
                    <w:top w:val="nil"/>
                    <w:left w:val="nil"/>
                    <w:bottom w:val="nil"/>
                    <w:right w:val="single" w:sz="4" w:space="0" w:color="auto"/>
                  </w:tcBorders>
                  <w:shd w:val="clear" w:color="auto" w:fill="auto"/>
                  <w:noWrap/>
                  <w:vAlign w:val="center"/>
                  <w:hideMark/>
                </w:tcPr>
                <w:p w14:paraId="66CC76A3"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2.8%</w:t>
                  </w:r>
                </w:p>
              </w:tc>
              <w:tc>
                <w:tcPr>
                  <w:tcW w:w="712" w:type="dxa"/>
                  <w:tcBorders>
                    <w:top w:val="nil"/>
                    <w:left w:val="nil"/>
                    <w:bottom w:val="nil"/>
                    <w:right w:val="nil"/>
                  </w:tcBorders>
                  <w:shd w:val="clear" w:color="auto" w:fill="auto"/>
                  <w:noWrap/>
                  <w:vAlign w:val="center"/>
                  <w:hideMark/>
                </w:tcPr>
                <w:p w14:paraId="4CF033E4"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-1.3%</w:t>
                  </w:r>
                </w:p>
              </w:tc>
              <w:tc>
                <w:tcPr>
                  <w:tcW w:w="822" w:type="dxa"/>
                  <w:tcBorders>
                    <w:top w:val="nil"/>
                    <w:left w:val="nil"/>
                    <w:bottom w:val="nil"/>
                    <w:right w:val="single" w:sz="4" w:space="0" w:color="auto"/>
                  </w:tcBorders>
                  <w:shd w:val="clear" w:color="auto" w:fill="auto"/>
                  <w:noWrap/>
                  <w:vAlign w:val="center"/>
                  <w:hideMark/>
                </w:tcPr>
                <w:p w14:paraId="36038227"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2.2%</w:t>
                  </w:r>
                </w:p>
              </w:tc>
              <w:tc>
                <w:tcPr>
                  <w:tcW w:w="766" w:type="dxa"/>
                  <w:tcBorders>
                    <w:top w:val="nil"/>
                    <w:left w:val="nil"/>
                    <w:bottom w:val="nil"/>
                    <w:right w:val="nil"/>
                  </w:tcBorders>
                  <w:shd w:val="clear" w:color="auto" w:fill="auto"/>
                  <w:noWrap/>
                  <w:vAlign w:val="center"/>
                  <w:hideMark/>
                </w:tcPr>
                <w:p w14:paraId="3FA4E138"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0.0%</w:t>
                  </w:r>
                </w:p>
              </w:tc>
              <w:tc>
                <w:tcPr>
                  <w:tcW w:w="766" w:type="dxa"/>
                  <w:tcBorders>
                    <w:top w:val="nil"/>
                    <w:left w:val="nil"/>
                    <w:bottom w:val="nil"/>
                    <w:right w:val="single" w:sz="4" w:space="0" w:color="auto"/>
                  </w:tcBorders>
                  <w:shd w:val="clear" w:color="auto" w:fill="auto"/>
                  <w:noWrap/>
                  <w:vAlign w:val="center"/>
                  <w:hideMark/>
                </w:tcPr>
                <w:p w14:paraId="3360ED06"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0.1%</w:t>
                  </w:r>
                </w:p>
              </w:tc>
            </w:tr>
            <w:tr w:rsidR="00322670" w:rsidRPr="00160D76" w14:paraId="49D737F4" w14:textId="77777777" w:rsidTr="00126D07">
              <w:trPr>
                <w:trHeight w:val="264"/>
              </w:trPr>
              <w:tc>
                <w:tcPr>
                  <w:tcW w:w="3104" w:type="dxa"/>
                  <w:tcBorders>
                    <w:top w:val="nil"/>
                    <w:left w:val="single" w:sz="4" w:space="0" w:color="auto"/>
                    <w:bottom w:val="nil"/>
                    <w:right w:val="single" w:sz="4" w:space="0" w:color="auto"/>
                  </w:tcBorders>
                  <w:shd w:val="clear" w:color="auto" w:fill="auto"/>
                  <w:noWrap/>
                  <w:vAlign w:val="center"/>
                  <w:hideMark/>
                </w:tcPr>
                <w:p w14:paraId="2F804A71" w14:textId="77777777" w:rsidR="00322670" w:rsidRPr="00160D76" w:rsidRDefault="00322670" w:rsidP="00AB0BA0">
                  <w:pPr>
                    <w:framePr w:hSpace="141" w:wrap="around" w:vAnchor="text" w:hAnchor="margin" w:y="74"/>
                    <w:spacing w:after="0" w:line="240" w:lineRule="auto"/>
                    <w:rPr>
                      <w:rFonts w:ascii="Times" w:eastAsia="Times New Roman" w:hAnsi="Times" w:cs="Times"/>
                      <w:sz w:val="16"/>
                      <w:szCs w:val="16"/>
                    </w:rPr>
                  </w:pPr>
                  <w:r w:rsidRPr="00160D76">
                    <w:rPr>
                      <w:rFonts w:ascii="Times" w:eastAsia="Times New Roman" w:hAnsi="Times" w:cs="Times"/>
                      <w:sz w:val="16"/>
                      <w:szCs w:val="16"/>
                    </w:rPr>
                    <w:t>Construcción</w:t>
                  </w:r>
                </w:p>
              </w:tc>
              <w:tc>
                <w:tcPr>
                  <w:tcW w:w="921" w:type="dxa"/>
                  <w:tcBorders>
                    <w:top w:val="nil"/>
                    <w:left w:val="nil"/>
                    <w:bottom w:val="nil"/>
                    <w:right w:val="nil"/>
                  </w:tcBorders>
                  <w:shd w:val="clear" w:color="auto" w:fill="auto"/>
                  <w:noWrap/>
                  <w:vAlign w:val="center"/>
                  <w:hideMark/>
                </w:tcPr>
                <w:p w14:paraId="67B4A531"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4.2%</w:t>
                  </w:r>
                </w:p>
              </w:tc>
              <w:tc>
                <w:tcPr>
                  <w:tcW w:w="759" w:type="dxa"/>
                  <w:tcBorders>
                    <w:top w:val="nil"/>
                    <w:left w:val="nil"/>
                    <w:bottom w:val="nil"/>
                    <w:right w:val="nil"/>
                  </w:tcBorders>
                  <w:shd w:val="clear" w:color="auto" w:fill="auto"/>
                  <w:noWrap/>
                  <w:vAlign w:val="center"/>
                  <w:hideMark/>
                </w:tcPr>
                <w:p w14:paraId="18324855"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4.5%</w:t>
                  </w:r>
                </w:p>
              </w:tc>
              <w:tc>
                <w:tcPr>
                  <w:tcW w:w="767" w:type="dxa"/>
                  <w:tcBorders>
                    <w:top w:val="nil"/>
                    <w:left w:val="nil"/>
                    <w:bottom w:val="nil"/>
                    <w:right w:val="single" w:sz="4" w:space="0" w:color="auto"/>
                  </w:tcBorders>
                  <w:shd w:val="clear" w:color="auto" w:fill="auto"/>
                  <w:noWrap/>
                  <w:vAlign w:val="center"/>
                  <w:hideMark/>
                </w:tcPr>
                <w:p w14:paraId="5C0D9E33"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4.3%</w:t>
                  </w:r>
                </w:p>
              </w:tc>
              <w:tc>
                <w:tcPr>
                  <w:tcW w:w="712" w:type="dxa"/>
                  <w:tcBorders>
                    <w:top w:val="nil"/>
                    <w:left w:val="nil"/>
                    <w:bottom w:val="nil"/>
                    <w:right w:val="nil"/>
                  </w:tcBorders>
                  <w:shd w:val="clear" w:color="auto" w:fill="auto"/>
                  <w:noWrap/>
                  <w:vAlign w:val="center"/>
                  <w:hideMark/>
                </w:tcPr>
                <w:p w14:paraId="117AE2A5"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9.5%</w:t>
                  </w:r>
                </w:p>
              </w:tc>
              <w:tc>
                <w:tcPr>
                  <w:tcW w:w="822" w:type="dxa"/>
                  <w:tcBorders>
                    <w:top w:val="nil"/>
                    <w:left w:val="nil"/>
                    <w:bottom w:val="nil"/>
                    <w:right w:val="single" w:sz="4" w:space="0" w:color="auto"/>
                  </w:tcBorders>
                  <w:shd w:val="clear" w:color="auto" w:fill="auto"/>
                  <w:noWrap/>
                  <w:vAlign w:val="center"/>
                  <w:hideMark/>
                </w:tcPr>
                <w:p w14:paraId="32559ECC"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-6.2%</w:t>
                  </w:r>
                </w:p>
              </w:tc>
              <w:tc>
                <w:tcPr>
                  <w:tcW w:w="766" w:type="dxa"/>
                  <w:tcBorders>
                    <w:top w:val="nil"/>
                    <w:left w:val="nil"/>
                    <w:bottom w:val="nil"/>
                    <w:right w:val="nil"/>
                  </w:tcBorders>
                  <w:shd w:val="clear" w:color="auto" w:fill="auto"/>
                  <w:noWrap/>
                  <w:vAlign w:val="center"/>
                  <w:hideMark/>
                </w:tcPr>
                <w:p w14:paraId="19B9BD32"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0.4%</w:t>
                  </w:r>
                </w:p>
              </w:tc>
              <w:tc>
                <w:tcPr>
                  <w:tcW w:w="766" w:type="dxa"/>
                  <w:tcBorders>
                    <w:top w:val="nil"/>
                    <w:left w:val="nil"/>
                    <w:bottom w:val="nil"/>
                    <w:right w:val="single" w:sz="4" w:space="0" w:color="auto"/>
                  </w:tcBorders>
                  <w:shd w:val="clear" w:color="auto" w:fill="auto"/>
                  <w:noWrap/>
                  <w:vAlign w:val="center"/>
                  <w:hideMark/>
                </w:tcPr>
                <w:p w14:paraId="059BECC7"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-0.3%</w:t>
                  </w:r>
                </w:p>
              </w:tc>
            </w:tr>
            <w:tr w:rsidR="00322670" w:rsidRPr="00160D76" w14:paraId="12937B3E" w14:textId="77777777" w:rsidTr="00126D07">
              <w:trPr>
                <w:trHeight w:val="828"/>
              </w:trPr>
              <w:tc>
                <w:tcPr>
                  <w:tcW w:w="3104" w:type="dxa"/>
                  <w:tcBorders>
                    <w:top w:val="nil"/>
                    <w:left w:val="single" w:sz="4" w:space="0" w:color="auto"/>
                    <w:bottom w:val="nil"/>
                    <w:right w:val="single" w:sz="4" w:space="0" w:color="auto"/>
                  </w:tcBorders>
                  <w:shd w:val="clear" w:color="auto" w:fill="auto"/>
                  <w:vAlign w:val="center"/>
                  <w:hideMark/>
                </w:tcPr>
                <w:p w14:paraId="608A652E" w14:textId="77777777" w:rsidR="00322670" w:rsidRPr="00160D76" w:rsidRDefault="00322670" w:rsidP="00AB0BA0">
                  <w:pPr>
                    <w:framePr w:hSpace="141" w:wrap="around" w:vAnchor="text" w:hAnchor="margin" w:y="74"/>
                    <w:spacing w:after="0" w:line="240" w:lineRule="auto"/>
                    <w:rPr>
                      <w:rFonts w:ascii="Times" w:eastAsia="Times New Roman" w:hAnsi="Times" w:cs="Times"/>
                      <w:sz w:val="16"/>
                      <w:szCs w:val="16"/>
                    </w:rPr>
                  </w:pPr>
                  <w:r w:rsidRPr="00160D76">
                    <w:rPr>
                      <w:rFonts w:ascii="Times" w:eastAsia="Times New Roman" w:hAnsi="Times" w:cs="Times"/>
                      <w:sz w:val="16"/>
                      <w:szCs w:val="16"/>
                    </w:rPr>
                    <w:t>Comercio al por mayor y al por menor; mantenimiento y reparación de vehículos automotores y motocicletas</w:t>
                  </w:r>
                </w:p>
              </w:tc>
              <w:tc>
                <w:tcPr>
                  <w:tcW w:w="921" w:type="dxa"/>
                  <w:tcBorders>
                    <w:top w:val="nil"/>
                    <w:left w:val="nil"/>
                    <w:bottom w:val="nil"/>
                    <w:right w:val="nil"/>
                  </w:tcBorders>
                  <w:shd w:val="clear" w:color="auto" w:fill="auto"/>
                  <w:noWrap/>
                  <w:vAlign w:val="center"/>
                  <w:hideMark/>
                </w:tcPr>
                <w:p w14:paraId="385871E0"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18.0%</w:t>
                  </w:r>
                </w:p>
              </w:tc>
              <w:tc>
                <w:tcPr>
                  <w:tcW w:w="759" w:type="dxa"/>
                  <w:tcBorders>
                    <w:top w:val="nil"/>
                    <w:left w:val="nil"/>
                    <w:bottom w:val="nil"/>
                    <w:right w:val="nil"/>
                  </w:tcBorders>
                  <w:shd w:val="clear" w:color="auto" w:fill="auto"/>
                  <w:noWrap/>
                  <w:vAlign w:val="center"/>
                  <w:hideMark/>
                </w:tcPr>
                <w:p w14:paraId="341561E3"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18.0%</w:t>
                  </w:r>
                </w:p>
              </w:tc>
              <w:tc>
                <w:tcPr>
                  <w:tcW w:w="767" w:type="dxa"/>
                  <w:tcBorders>
                    <w:top w:val="nil"/>
                    <w:left w:val="nil"/>
                    <w:bottom w:val="nil"/>
                    <w:right w:val="single" w:sz="4" w:space="0" w:color="auto"/>
                  </w:tcBorders>
                  <w:shd w:val="clear" w:color="auto" w:fill="auto"/>
                  <w:noWrap/>
                  <w:vAlign w:val="center"/>
                  <w:hideMark/>
                </w:tcPr>
                <w:p w14:paraId="33590E31"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18.2%</w:t>
                  </w:r>
                </w:p>
              </w:tc>
              <w:tc>
                <w:tcPr>
                  <w:tcW w:w="712" w:type="dxa"/>
                  <w:tcBorders>
                    <w:top w:val="nil"/>
                    <w:left w:val="nil"/>
                    <w:bottom w:val="nil"/>
                    <w:right w:val="nil"/>
                  </w:tcBorders>
                  <w:shd w:val="clear" w:color="auto" w:fill="auto"/>
                  <w:noWrap/>
                  <w:vAlign w:val="center"/>
                  <w:hideMark/>
                </w:tcPr>
                <w:p w14:paraId="7A8247A3"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3.7%</w:t>
                  </w:r>
                </w:p>
              </w:tc>
              <w:tc>
                <w:tcPr>
                  <w:tcW w:w="822" w:type="dxa"/>
                  <w:tcBorders>
                    <w:top w:val="nil"/>
                    <w:left w:val="nil"/>
                    <w:bottom w:val="nil"/>
                    <w:right w:val="single" w:sz="4" w:space="0" w:color="auto"/>
                  </w:tcBorders>
                  <w:shd w:val="clear" w:color="auto" w:fill="auto"/>
                  <w:noWrap/>
                  <w:vAlign w:val="center"/>
                  <w:hideMark/>
                </w:tcPr>
                <w:p w14:paraId="7303303F"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-0.5%</w:t>
                  </w:r>
                </w:p>
              </w:tc>
              <w:tc>
                <w:tcPr>
                  <w:tcW w:w="766" w:type="dxa"/>
                  <w:tcBorders>
                    <w:top w:val="nil"/>
                    <w:left w:val="nil"/>
                    <w:bottom w:val="nil"/>
                    <w:right w:val="nil"/>
                  </w:tcBorders>
                  <w:shd w:val="clear" w:color="auto" w:fill="auto"/>
                  <w:noWrap/>
                  <w:vAlign w:val="center"/>
                  <w:hideMark/>
                </w:tcPr>
                <w:p w14:paraId="5C5EE0CA"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0.7%</w:t>
                  </w:r>
                </w:p>
              </w:tc>
              <w:tc>
                <w:tcPr>
                  <w:tcW w:w="766" w:type="dxa"/>
                  <w:tcBorders>
                    <w:top w:val="nil"/>
                    <w:left w:val="nil"/>
                    <w:bottom w:val="nil"/>
                    <w:right w:val="single" w:sz="4" w:space="0" w:color="auto"/>
                  </w:tcBorders>
                  <w:shd w:val="clear" w:color="auto" w:fill="auto"/>
                  <w:noWrap/>
                  <w:vAlign w:val="center"/>
                  <w:hideMark/>
                </w:tcPr>
                <w:p w14:paraId="3EE2819F"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-0.1%</w:t>
                  </w:r>
                </w:p>
              </w:tc>
            </w:tr>
            <w:tr w:rsidR="00322670" w:rsidRPr="00160D76" w14:paraId="1DF5F752" w14:textId="77777777" w:rsidTr="00126D07">
              <w:trPr>
                <w:trHeight w:val="264"/>
              </w:trPr>
              <w:tc>
                <w:tcPr>
                  <w:tcW w:w="3104" w:type="dxa"/>
                  <w:tcBorders>
                    <w:top w:val="nil"/>
                    <w:left w:val="single" w:sz="4" w:space="0" w:color="auto"/>
                    <w:bottom w:val="nil"/>
                    <w:right w:val="single" w:sz="4" w:space="0" w:color="auto"/>
                  </w:tcBorders>
                  <w:shd w:val="clear" w:color="auto" w:fill="auto"/>
                  <w:noWrap/>
                  <w:vAlign w:val="center"/>
                  <w:hideMark/>
                </w:tcPr>
                <w:p w14:paraId="3EEBC221" w14:textId="77777777" w:rsidR="00322670" w:rsidRPr="00160D76" w:rsidRDefault="00322670" w:rsidP="00AB0BA0">
                  <w:pPr>
                    <w:framePr w:hSpace="141" w:wrap="around" w:vAnchor="text" w:hAnchor="margin" w:y="74"/>
                    <w:spacing w:after="0" w:line="240" w:lineRule="auto"/>
                    <w:rPr>
                      <w:rFonts w:ascii="Times" w:eastAsia="Times New Roman" w:hAnsi="Times" w:cs="Times"/>
                      <w:sz w:val="16"/>
                      <w:szCs w:val="16"/>
                    </w:rPr>
                  </w:pPr>
                  <w:r w:rsidRPr="00160D76">
                    <w:rPr>
                      <w:rFonts w:ascii="Times" w:eastAsia="Times New Roman" w:hAnsi="Times" w:cs="Times"/>
                      <w:sz w:val="16"/>
                      <w:szCs w:val="16"/>
                    </w:rPr>
                    <w:t>Transporte y almacenamiento</w:t>
                  </w:r>
                </w:p>
              </w:tc>
              <w:tc>
                <w:tcPr>
                  <w:tcW w:w="921" w:type="dxa"/>
                  <w:tcBorders>
                    <w:top w:val="nil"/>
                    <w:left w:val="nil"/>
                    <w:bottom w:val="nil"/>
                    <w:right w:val="nil"/>
                  </w:tcBorders>
                  <w:shd w:val="clear" w:color="auto" w:fill="auto"/>
                  <w:noWrap/>
                  <w:vAlign w:val="center"/>
                  <w:hideMark/>
                </w:tcPr>
                <w:p w14:paraId="75834633"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2.7%</w:t>
                  </w:r>
                </w:p>
              </w:tc>
              <w:tc>
                <w:tcPr>
                  <w:tcW w:w="759" w:type="dxa"/>
                  <w:tcBorders>
                    <w:top w:val="nil"/>
                    <w:left w:val="nil"/>
                    <w:bottom w:val="nil"/>
                    <w:right w:val="nil"/>
                  </w:tcBorders>
                  <w:shd w:val="clear" w:color="auto" w:fill="auto"/>
                  <w:noWrap/>
                  <w:vAlign w:val="center"/>
                  <w:hideMark/>
                </w:tcPr>
                <w:p w14:paraId="4829070A"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2.7%</w:t>
                  </w:r>
                </w:p>
              </w:tc>
              <w:tc>
                <w:tcPr>
                  <w:tcW w:w="767" w:type="dxa"/>
                  <w:tcBorders>
                    <w:top w:val="nil"/>
                    <w:left w:val="nil"/>
                    <w:bottom w:val="nil"/>
                    <w:right w:val="single" w:sz="4" w:space="0" w:color="auto"/>
                  </w:tcBorders>
                  <w:shd w:val="clear" w:color="auto" w:fill="auto"/>
                  <w:noWrap/>
                  <w:vAlign w:val="center"/>
                  <w:hideMark/>
                </w:tcPr>
                <w:p w14:paraId="68FFF5DA"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2.3%</w:t>
                  </w:r>
                </w:p>
              </w:tc>
              <w:tc>
                <w:tcPr>
                  <w:tcW w:w="712" w:type="dxa"/>
                  <w:tcBorders>
                    <w:top w:val="nil"/>
                    <w:left w:val="nil"/>
                    <w:bottom w:val="nil"/>
                    <w:right w:val="nil"/>
                  </w:tcBorders>
                  <w:shd w:val="clear" w:color="auto" w:fill="auto"/>
                  <w:noWrap/>
                  <w:vAlign w:val="center"/>
                  <w:hideMark/>
                </w:tcPr>
                <w:p w14:paraId="3E87A9A0"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2.7%</w:t>
                  </w:r>
                </w:p>
              </w:tc>
              <w:tc>
                <w:tcPr>
                  <w:tcW w:w="822" w:type="dxa"/>
                  <w:tcBorders>
                    <w:top w:val="nil"/>
                    <w:left w:val="nil"/>
                    <w:bottom w:val="nil"/>
                    <w:right w:val="single" w:sz="4" w:space="0" w:color="auto"/>
                  </w:tcBorders>
                  <w:shd w:val="clear" w:color="auto" w:fill="auto"/>
                  <w:noWrap/>
                  <w:vAlign w:val="center"/>
                  <w:hideMark/>
                </w:tcPr>
                <w:p w14:paraId="75833B82"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-12.9%</w:t>
                  </w:r>
                </w:p>
              </w:tc>
              <w:tc>
                <w:tcPr>
                  <w:tcW w:w="766" w:type="dxa"/>
                  <w:tcBorders>
                    <w:top w:val="nil"/>
                    <w:left w:val="nil"/>
                    <w:bottom w:val="nil"/>
                    <w:right w:val="nil"/>
                  </w:tcBorders>
                  <w:shd w:val="clear" w:color="auto" w:fill="auto"/>
                  <w:noWrap/>
                  <w:vAlign w:val="center"/>
                  <w:hideMark/>
                </w:tcPr>
                <w:p w14:paraId="468EE901"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0.1%</w:t>
                  </w:r>
                </w:p>
              </w:tc>
              <w:tc>
                <w:tcPr>
                  <w:tcW w:w="766" w:type="dxa"/>
                  <w:tcBorders>
                    <w:top w:val="nil"/>
                    <w:left w:val="nil"/>
                    <w:bottom w:val="nil"/>
                    <w:right w:val="single" w:sz="4" w:space="0" w:color="auto"/>
                  </w:tcBorders>
                  <w:shd w:val="clear" w:color="auto" w:fill="auto"/>
                  <w:noWrap/>
                  <w:vAlign w:val="center"/>
                  <w:hideMark/>
                </w:tcPr>
                <w:p w14:paraId="738DB216"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-0.3%</w:t>
                  </w:r>
                </w:p>
              </w:tc>
            </w:tr>
            <w:tr w:rsidR="00322670" w:rsidRPr="00160D76" w14:paraId="3BE6D4F8" w14:textId="77777777" w:rsidTr="00126D07">
              <w:trPr>
                <w:trHeight w:val="540"/>
              </w:trPr>
              <w:tc>
                <w:tcPr>
                  <w:tcW w:w="3104" w:type="dxa"/>
                  <w:tcBorders>
                    <w:top w:val="nil"/>
                    <w:left w:val="single" w:sz="4" w:space="0" w:color="auto"/>
                    <w:bottom w:val="nil"/>
                    <w:right w:val="single" w:sz="4" w:space="0" w:color="auto"/>
                  </w:tcBorders>
                  <w:shd w:val="clear" w:color="auto" w:fill="auto"/>
                  <w:vAlign w:val="center"/>
                  <w:hideMark/>
                </w:tcPr>
                <w:p w14:paraId="001DCC0D" w14:textId="77777777" w:rsidR="00322670" w:rsidRPr="00160D76" w:rsidRDefault="00322670" w:rsidP="00AB0BA0">
                  <w:pPr>
                    <w:framePr w:hSpace="141" w:wrap="around" w:vAnchor="text" w:hAnchor="margin" w:y="74"/>
                    <w:spacing w:after="0" w:line="240" w:lineRule="auto"/>
                    <w:rPr>
                      <w:rFonts w:ascii="Times" w:eastAsia="Times New Roman" w:hAnsi="Times" w:cs="Times"/>
                      <w:sz w:val="16"/>
                      <w:szCs w:val="16"/>
                    </w:rPr>
                  </w:pPr>
                  <w:r w:rsidRPr="00160D76">
                    <w:rPr>
                      <w:rFonts w:ascii="Times" w:eastAsia="Times New Roman" w:hAnsi="Times" w:cs="Times"/>
                      <w:sz w:val="16"/>
                      <w:szCs w:val="16"/>
                    </w:rPr>
                    <w:t>Actividades de alojamiento y de servicio de comidas</w:t>
                  </w:r>
                </w:p>
              </w:tc>
              <w:tc>
                <w:tcPr>
                  <w:tcW w:w="921" w:type="dxa"/>
                  <w:tcBorders>
                    <w:top w:val="nil"/>
                    <w:left w:val="nil"/>
                    <w:bottom w:val="nil"/>
                    <w:right w:val="nil"/>
                  </w:tcBorders>
                  <w:shd w:val="clear" w:color="auto" w:fill="auto"/>
                  <w:noWrap/>
                  <w:vAlign w:val="center"/>
                  <w:hideMark/>
                </w:tcPr>
                <w:p w14:paraId="1229B83C"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3.0%</w:t>
                  </w:r>
                </w:p>
              </w:tc>
              <w:tc>
                <w:tcPr>
                  <w:tcW w:w="759" w:type="dxa"/>
                  <w:tcBorders>
                    <w:top w:val="nil"/>
                    <w:left w:val="nil"/>
                    <w:bottom w:val="nil"/>
                    <w:right w:val="nil"/>
                  </w:tcBorders>
                  <w:shd w:val="clear" w:color="auto" w:fill="auto"/>
                  <w:noWrap/>
                  <w:vAlign w:val="center"/>
                  <w:hideMark/>
                </w:tcPr>
                <w:p w14:paraId="658DA166"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3.0%</w:t>
                  </w:r>
                </w:p>
              </w:tc>
              <w:tc>
                <w:tcPr>
                  <w:tcW w:w="767" w:type="dxa"/>
                  <w:tcBorders>
                    <w:top w:val="nil"/>
                    <w:left w:val="nil"/>
                    <w:bottom w:val="nil"/>
                    <w:right w:val="single" w:sz="4" w:space="0" w:color="auto"/>
                  </w:tcBorders>
                  <w:shd w:val="clear" w:color="auto" w:fill="auto"/>
                  <w:noWrap/>
                  <w:vAlign w:val="center"/>
                  <w:hideMark/>
                </w:tcPr>
                <w:p w14:paraId="0575B8D4"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2.3%</w:t>
                  </w:r>
                </w:p>
              </w:tc>
              <w:tc>
                <w:tcPr>
                  <w:tcW w:w="712" w:type="dxa"/>
                  <w:tcBorders>
                    <w:top w:val="nil"/>
                    <w:left w:val="nil"/>
                    <w:bottom w:val="nil"/>
                    <w:right w:val="nil"/>
                  </w:tcBorders>
                  <w:shd w:val="clear" w:color="auto" w:fill="auto"/>
                  <w:noWrap/>
                  <w:vAlign w:val="center"/>
                  <w:hideMark/>
                </w:tcPr>
                <w:p w14:paraId="104062DA"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6.9%</w:t>
                  </w:r>
                </w:p>
              </w:tc>
              <w:tc>
                <w:tcPr>
                  <w:tcW w:w="822" w:type="dxa"/>
                  <w:tcBorders>
                    <w:top w:val="nil"/>
                    <w:left w:val="nil"/>
                    <w:bottom w:val="nil"/>
                    <w:right w:val="single" w:sz="4" w:space="0" w:color="auto"/>
                  </w:tcBorders>
                  <w:shd w:val="clear" w:color="auto" w:fill="auto"/>
                  <w:noWrap/>
                  <w:vAlign w:val="center"/>
                  <w:hideMark/>
                </w:tcPr>
                <w:p w14:paraId="111D03C3"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-24.0%</w:t>
                  </w:r>
                </w:p>
              </w:tc>
              <w:tc>
                <w:tcPr>
                  <w:tcW w:w="766" w:type="dxa"/>
                  <w:tcBorders>
                    <w:top w:val="nil"/>
                    <w:left w:val="nil"/>
                    <w:bottom w:val="nil"/>
                    <w:right w:val="nil"/>
                  </w:tcBorders>
                  <w:shd w:val="clear" w:color="auto" w:fill="auto"/>
                  <w:noWrap/>
                  <w:vAlign w:val="center"/>
                  <w:hideMark/>
                </w:tcPr>
                <w:p w14:paraId="21261D05"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0.2%</w:t>
                  </w:r>
                </w:p>
              </w:tc>
              <w:tc>
                <w:tcPr>
                  <w:tcW w:w="766" w:type="dxa"/>
                  <w:tcBorders>
                    <w:top w:val="nil"/>
                    <w:left w:val="nil"/>
                    <w:bottom w:val="nil"/>
                    <w:right w:val="single" w:sz="4" w:space="0" w:color="auto"/>
                  </w:tcBorders>
                  <w:shd w:val="clear" w:color="auto" w:fill="auto"/>
                  <w:noWrap/>
                  <w:vAlign w:val="center"/>
                  <w:hideMark/>
                </w:tcPr>
                <w:p w14:paraId="4E33FFBD"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-0.7%</w:t>
                  </w:r>
                </w:p>
              </w:tc>
            </w:tr>
            <w:tr w:rsidR="00322670" w:rsidRPr="00160D76" w14:paraId="4239F12B" w14:textId="77777777" w:rsidTr="00126D07">
              <w:trPr>
                <w:trHeight w:val="264"/>
              </w:trPr>
              <w:tc>
                <w:tcPr>
                  <w:tcW w:w="3104" w:type="dxa"/>
                  <w:tcBorders>
                    <w:top w:val="nil"/>
                    <w:left w:val="single" w:sz="4" w:space="0" w:color="auto"/>
                    <w:bottom w:val="nil"/>
                    <w:right w:val="single" w:sz="4" w:space="0" w:color="auto"/>
                  </w:tcBorders>
                  <w:shd w:val="clear" w:color="auto" w:fill="auto"/>
                  <w:noWrap/>
                  <w:vAlign w:val="center"/>
                  <w:hideMark/>
                </w:tcPr>
                <w:p w14:paraId="218509BC" w14:textId="77777777" w:rsidR="00322670" w:rsidRPr="00160D76" w:rsidRDefault="00322670" w:rsidP="00AB0BA0">
                  <w:pPr>
                    <w:framePr w:hSpace="141" w:wrap="around" w:vAnchor="text" w:hAnchor="margin" w:y="74"/>
                    <w:spacing w:after="0" w:line="240" w:lineRule="auto"/>
                    <w:rPr>
                      <w:rFonts w:ascii="Times" w:eastAsia="Times New Roman" w:hAnsi="Times" w:cs="Times"/>
                      <w:sz w:val="16"/>
                      <w:szCs w:val="16"/>
                    </w:rPr>
                  </w:pPr>
                  <w:r w:rsidRPr="00160D76">
                    <w:rPr>
                      <w:rFonts w:ascii="Times" w:eastAsia="Times New Roman" w:hAnsi="Times" w:cs="Times"/>
                      <w:sz w:val="16"/>
                      <w:szCs w:val="16"/>
                    </w:rPr>
                    <w:t>Información y comunicaciones</w:t>
                  </w:r>
                </w:p>
              </w:tc>
              <w:tc>
                <w:tcPr>
                  <w:tcW w:w="921" w:type="dxa"/>
                  <w:tcBorders>
                    <w:top w:val="nil"/>
                    <w:left w:val="nil"/>
                    <w:bottom w:val="nil"/>
                    <w:right w:val="nil"/>
                  </w:tcBorders>
                  <w:shd w:val="clear" w:color="auto" w:fill="auto"/>
                  <w:noWrap/>
                  <w:vAlign w:val="center"/>
                  <w:hideMark/>
                </w:tcPr>
                <w:p w14:paraId="07D32A65"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4.7%</w:t>
                  </w:r>
                </w:p>
              </w:tc>
              <w:tc>
                <w:tcPr>
                  <w:tcW w:w="759" w:type="dxa"/>
                  <w:tcBorders>
                    <w:top w:val="nil"/>
                    <w:left w:val="nil"/>
                    <w:bottom w:val="nil"/>
                    <w:right w:val="nil"/>
                  </w:tcBorders>
                  <w:shd w:val="clear" w:color="auto" w:fill="auto"/>
                  <w:noWrap/>
                  <w:vAlign w:val="center"/>
                  <w:hideMark/>
                </w:tcPr>
                <w:p w14:paraId="4B0E27E7"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4.8%</w:t>
                  </w:r>
                </w:p>
              </w:tc>
              <w:tc>
                <w:tcPr>
                  <w:tcW w:w="767" w:type="dxa"/>
                  <w:tcBorders>
                    <w:top w:val="nil"/>
                    <w:left w:val="nil"/>
                    <w:bottom w:val="nil"/>
                    <w:right w:val="single" w:sz="4" w:space="0" w:color="auto"/>
                  </w:tcBorders>
                  <w:shd w:val="clear" w:color="auto" w:fill="auto"/>
                  <w:noWrap/>
                  <w:vAlign w:val="center"/>
                  <w:hideMark/>
                </w:tcPr>
                <w:p w14:paraId="791DA022"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4.9%</w:t>
                  </w:r>
                </w:p>
              </w:tc>
              <w:tc>
                <w:tcPr>
                  <w:tcW w:w="712" w:type="dxa"/>
                  <w:tcBorders>
                    <w:top w:val="nil"/>
                    <w:left w:val="nil"/>
                    <w:bottom w:val="nil"/>
                    <w:right w:val="nil"/>
                  </w:tcBorders>
                  <w:shd w:val="clear" w:color="auto" w:fill="auto"/>
                  <w:noWrap/>
                  <w:vAlign w:val="center"/>
                  <w:hideMark/>
                </w:tcPr>
                <w:p w14:paraId="009522AE"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4.4%</w:t>
                  </w:r>
                </w:p>
              </w:tc>
              <w:tc>
                <w:tcPr>
                  <w:tcW w:w="822" w:type="dxa"/>
                  <w:tcBorders>
                    <w:top w:val="nil"/>
                    <w:left w:val="nil"/>
                    <w:bottom w:val="nil"/>
                    <w:right w:val="single" w:sz="4" w:space="0" w:color="auto"/>
                  </w:tcBorders>
                  <w:shd w:val="clear" w:color="auto" w:fill="auto"/>
                  <w:noWrap/>
                  <w:vAlign w:val="center"/>
                  <w:hideMark/>
                </w:tcPr>
                <w:p w14:paraId="74601718"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1.4%</w:t>
                  </w:r>
                </w:p>
              </w:tc>
              <w:tc>
                <w:tcPr>
                  <w:tcW w:w="766" w:type="dxa"/>
                  <w:tcBorders>
                    <w:top w:val="nil"/>
                    <w:left w:val="nil"/>
                    <w:bottom w:val="nil"/>
                    <w:right w:val="nil"/>
                  </w:tcBorders>
                  <w:shd w:val="clear" w:color="auto" w:fill="auto"/>
                  <w:noWrap/>
                  <w:vAlign w:val="center"/>
                  <w:hideMark/>
                </w:tcPr>
                <w:p w14:paraId="2562E22B"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0.2%</w:t>
                  </w:r>
                </w:p>
              </w:tc>
              <w:tc>
                <w:tcPr>
                  <w:tcW w:w="766" w:type="dxa"/>
                  <w:tcBorders>
                    <w:top w:val="nil"/>
                    <w:left w:val="nil"/>
                    <w:bottom w:val="nil"/>
                    <w:right w:val="single" w:sz="4" w:space="0" w:color="auto"/>
                  </w:tcBorders>
                  <w:shd w:val="clear" w:color="auto" w:fill="auto"/>
                  <w:noWrap/>
                  <w:vAlign w:val="center"/>
                  <w:hideMark/>
                </w:tcPr>
                <w:p w14:paraId="5D8B4098"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0.1%</w:t>
                  </w:r>
                </w:p>
              </w:tc>
            </w:tr>
            <w:tr w:rsidR="00322670" w:rsidRPr="00160D76" w14:paraId="4D7FDB36" w14:textId="77777777" w:rsidTr="00126D07">
              <w:trPr>
                <w:trHeight w:val="264"/>
              </w:trPr>
              <w:tc>
                <w:tcPr>
                  <w:tcW w:w="3104" w:type="dxa"/>
                  <w:tcBorders>
                    <w:top w:val="nil"/>
                    <w:left w:val="single" w:sz="4" w:space="0" w:color="auto"/>
                    <w:bottom w:val="nil"/>
                    <w:right w:val="single" w:sz="4" w:space="0" w:color="auto"/>
                  </w:tcBorders>
                  <w:shd w:val="clear" w:color="auto" w:fill="auto"/>
                  <w:noWrap/>
                  <w:vAlign w:val="center"/>
                  <w:hideMark/>
                </w:tcPr>
                <w:p w14:paraId="43E5D251" w14:textId="77777777" w:rsidR="00322670" w:rsidRPr="00160D76" w:rsidRDefault="00322670" w:rsidP="00AB0BA0">
                  <w:pPr>
                    <w:framePr w:hSpace="141" w:wrap="around" w:vAnchor="text" w:hAnchor="margin" w:y="74"/>
                    <w:spacing w:after="0" w:line="240" w:lineRule="auto"/>
                    <w:rPr>
                      <w:rFonts w:ascii="Times" w:eastAsia="Times New Roman" w:hAnsi="Times" w:cs="Times"/>
                      <w:sz w:val="16"/>
                      <w:szCs w:val="16"/>
                    </w:rPr>
                  </w:pPr>
                  <w:r w:rsidRPr="00160D76">
                    <w:rPr>
                      <w:rFonts w:ascii="Times" w:eastAsia="Times New Roman" w:hAnsi="Times" w:cs="Times"/>
                      <w:sz w:val="16"/>
                      <w:szCs w:val="16"/>
                    </w:rPr>
                    <w:t>Actividades financieras y de seguros</w:t>
                  </w:r>
                </w:p>
              </w:tc>
              <w:tc>
                <w:tcPr>
                  <w:tcW w:w="921" w:type="dxa"/>
                  <w:tcBorders>
                    <w:top w:val="nil"/>
                    <w:left w:val="nil"/>
                    <w:bottom w:val="nil"/>
                    <w:right w:val="nil"/>
                  </w:tcBorders>
                  <w:shd w:val="clear" w:color="auto" w:fill="auto"/>
                  <w:noWrap/>
                  <w:vAlign w:val="center"/>
                  <w:hideMark/>
                </w:tcPr>
                <w:p w14:paraId="62C24324"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3.8%</w:t>
                  </w:r>
                </w:p>
              </w:tc>
              <w:tc>
                <w:tcPr>
                  <w:tcW w:w="759" w:type="dxa"/>
                  <w:tcBorders>
                    <w:top w:val="nil"/>
                    <w:left w:val="nil"/>
                    <w:bottom w:val="nil"/>
                    <w:right w:val="nil"/>
                  </w:tcBorders>
                  <w:shd w:val="clear" w:color="auto" w:fill="auto"/>
                  <w:noWrap/>
                  <w:vAlign w:val="center"/>
                  <w:hideMark/>
                </w:tcPr>
                <w:p w14:paraId="5196B47D"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3.9%</w:t>
                  </w:r>
                </w:p>
              </w:tc>
              <w:tc>
                <w:tcPr>
                  <w:tcW w:w="767" w:type="dxa"/>
                  <w:tcBorders>
                    <w:top w:val="nil"/>
                    <w:left w:val="nil"/>
                    <w:bottom w:val="nil"/>
                    <w:right w:val="single" w:sz="4" w:space="0" w:color="auto"/>
                  </w:tcBorders>
                  <w:shd w:val="clear" w:color="auto" w:fill="auto"/>
                  <w:noWrap/>
                  <w:vAlign w:val="center"/>
                  <w:hideMark/>
                </w:tcPr>
                <w:p w14:paraId="1D96F548"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4.1%</w:t>
                  </w:r>
                </w:p>
              </w:tc>
              <w:tc>
                <w:tcPr>
                  <w:tcW w:w="712" w:type="dxa"/>
                  <w:tcBorders>
                    <w:top w:val="nil"/>
                    <w:left w:val="nil"/>
                    <w:bottom w:val="nil"/>
                    <w:right w:val="nil"/>
                  </w:tcBorders>
                  <w:shd w:val="clear" w:color="auto" w:fill="auto"/>
                  <w:noWrap/>
                  <w:vAlign w:val="center"/>
                  <w:hideMark/>
                </w:tcPr>
                <w:p w14:paraId="434C84C7"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7.1%</w:t>
                  </w:r>
                </w:p>
              </w:tc>
              <w:tc>
                <w:tcPr>
                  <w:tcW w:w="822" w:type="dxa"/>
                  <w:tcBorders>
                    <w:top w:val="nil"/>
                    <w:left w:val="nil"/>
                    <w:bottom w:val="nil"/>
                    <w:right w:val="single" w:sz="4" w:space="0" w:color="auto"/>
                  </w:tcBorders>
                  <w:shd w:val="clear" w:color="auto" w:fill="auto"/>
                  <w:noWrap/>
                  <w:vAlign w:val="center"/>
                  <w:hideMark/>
                </w:tcPr>
                <w:p w14:paraId="698E93EB"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3.4%</w:t>
                  </w:r>
                </w:p>
              </w:tc>
              <w:tc>
                <w:tcPr>
                  <w:tcW w:w="766" w:type="dxa"/>
                  <w:tcBorders>
                    <w:top w:val="nil"/>
                    <w:left w:val="nil"/>
                    <w:bottom w:val="nil"/>
                    <w:right w:val="nil"/>
                  </w:tcBorders>
                  <w:shd w:val="clear" w:color="auto" w:fill="auto"/>
                  <w:noWrap/>
                  <w:vAlign w:val="center"/>
                  <w:hideMark/>
                </w:tcPr>
                <w:p w14:paraId="1DCD7F1B"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0.3%</w:t>
                  </w:r>
                </w:p>
              </w:tc>
              <w:tc>
                <w:tcPr>
                  <w:tcW w:w="766" w:type="dxa"/>
                  <w:tcBorders>
                    <w:top w:val="nil"/>
                    <w:left w:val="nil"/>
                    <w:bottom w:val="nil"/>
                    <w:right w:val="single" w:sz="4" w:space="0" w:color="auto"/>
                  </w:tcBorders>
                  <w:shd w:val="clear" w:color="auto" w:fill="auto"/>
                  <w:noWrap/>
                  <w:vAlign w:val="center"/>
                  <w:hideMark/>
                </w:tcPr>
                <w:p w14:paraId="6F91F563"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0.1%</w:t>
                  </w:r>
                </w:p>
              </w:tc>
            </w:tr>
            <w:tr w:rsidR="00322670" w:rsidRPr="00160D76" w14:paraId="481EF44B" w14:textId="77777777" w:rsidTr="00126D07">
              <w:trPr>
                <w:trHeight w:val="264"/>
              </w:trPr>
              <w:tc>
                <w:tcPr>
                  <w:tcW w:w="3104" w:type="dxa"/>
                  <w:tcBorders>
                    <w:top w:val="nil"/>
                    <w:left w:val="single" w:sz="4" w:space="0" w:color="auto"/>
                    <w:bottom w:val="nil"/>
                    <w:right w:val="single" w:sz="4" w:space="0" w:color="auto"/>
                  </w:tcBorders>
                  <w:shd w:val="clear" w:color="auto" w:fill="auto"/>
                  <w:noWrap/>
                  <w:vAlign w:val="center"/>
                  <w:hideMark/>
                </w:tcPr>
                <w:p w14:paraId="3D099763" w14:textId="77777777" w:rsidR="00322670" w:rsidRPr="00160D76" w:rsidRDefault="00322670" w:rsidP="00AB0BA0">
                  <w:pPr>
                    <w:framePr w:hSpace="141" w:wrap="around" w:vAnchor="text" w:hAnchor="margin" w:y="74"/>
                    <w:spacing w:after="0" w:line="240" w:lineRule="auto"/>
                    <w:rPr>
                      <w:rFonts w:ascii="Times" w:eastAsia="Times New Roman" w:hAnsi="Times" w:cs="Times"/>
                      <w:sz w:val="16"/>
                      <w:szCs w:val="16"/>
                    </w:rPr>
                  </w:pPr>
                  <w:r w:rsidRPr="00160D76">
                    <w:rPr>
                      <w:rFonts w:ascii="Times" w:eastAsia="Times New Roman" w:hAnsi="Times" w:cs="Times"/>
                      <w:sz w:val="16"/>
                      <w:szCs w:val="16"/>
                    </w:rPr>
                    <w:t>Actividades inmobiliarias</w:t>
                  </w:r>
                </w:p>
              </w:tc>
              <w:tc>
                <w:tcPr>
                  <w:tcW w:w="921" w:type="dxa"/>
                  <w:tcBorders>
                    <w:top w:val="nil"/>
                    <w:left w:val="nil"/>
                    <w:bottom w:val="nil"/>
                    <w:right w:val="nil"/>
                  </w:tcBorders>
                  <w:shd w:val="clear" w:color="auto" w:fill="auto"/>
                  <w:noWrap/>
                  <w:vAlign w:val="center"/>
                  <w:hideMark/>
                </w:tcPr>
                <w:p w14:paraId="3401729A"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8.9%</w:t>
                  </w:r>
                </w:p>
              </w:tc>
              <w:tc>
                <w:tcPr>
                  <w:tcW w:w="759" w:type="dxa"/>
                  <w:tcBorders>
                    <w:top w:val="nil"/>
                    <w:left w:val="nil"/>
                    <w:bottom w:val="nil"/>
                    <w:right w:val="nil"/>
                  </w:tcBorders>
                  <w:shd w:val="clear" w:color="auto" w:fill="auto"/>
                  <w:noWrap/>
                  <w:vAlign w:val="center"/>
                  <w:hideMark/>
                </w:tcPr>
                <w:p w14:paraId="36965C48"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8.9%</w:t>
                  </w:r>
                </w:p>
              </w:tc>
              <w:tc>
                <w:tcPr>
                  <w:tcW w:w="767" w:type="dxa"/>
                  <w:tcBorders>
                    <w:top w:val="nil"/>
                    <w:left w:val="nil"/>
                    <w:bottom w:val="nil"/>
                    <w:right w:val="single" w:sz="4" w:space="0" w:color="auto"/>
                  </w:tcBorders>
                  <w:shd w:val="clear" w:color="auto" w:fill="auto"/>
                  <w:noWrap/>
                  <w:vAlign w:val="center"/>
                  <w:hideMark/>
                </w:tcPr>
                <w:p w14:paraId="415F03EF"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9.4%</w:t>
                  </w:r>
                </w:p>
              </w:tc>
              <w:tc>
                <w:tcPr>
                  <w:tcW w:w="712" w:type="dxa"/>
                  <w:tcBorders>
                    <w:top w:val="nil"/>
                    <w:left w:val="nil"/>
                    <w:bottom w:val="nil"/>
                    <w:right w:val="nil"/>
                  </w:tcBorders>
                  <w:shd w:val="clear" w:color="auto" w:fill="auto"/>
                  <w:noWrap/>
                  <w:vAlign w:val="center"/>
                  <w:hideMark/>
                </w:tcPr>
                <w:p w14:paraId="7526B021"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4.3%</w:t>
                  </w:r>
                </w:p>
              </w:tc>
              <w:tc>
                <w:tcPr>
                  <w:tcW w:w="822" w:type="dxa"/>
                  <w:tcBorders>
                    <w:top w:val="nil"/>
                    <w:left w:val="nil"/>
                    <w:bottom w:val="nil"/>
                    <w:right w:val="single" w:sz="4" w:space="0" w:color="auto"/>
                  </w:tcBorders>
                  <w:shd w:val="clear" w:color="auto" w:fill="auto"/>
                  <w:noWrap/>
                  <w:vAlign w:val="center"/>
                  <w:hideMark/>
                </w:tcPr>
                <w:p w14:paraId="683FC6B1"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3.1%</w:t>
                  </w:r>
                </w:p>
              </w:tc>
              <w:tc>
                <w:tcPr>
                  <w:tcW w:w="766" w:type="dxa"/>
                  <w:tcBorders>
                    <w:top w:val="nil"/>
                    <w:left w:val="nil"/>
                    <w:bottom w:val="nil"/>
                    <w:right w:val="nil"/>
                  </w:tcBorders>
                  <w:shd w:val="clear" w:color="auto" w:fill="auto"/>
                  <w:noWrap/>
                  <w:vAlign w:val="center"/>
                  <w:hideMark/>
                </w:tcPr>
                <w:p w14:paraId="71B652EF"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0.4%</w:t>
                  </w:r>
                </w:p>
              </w:tc>
              <w:tc>
                <w:tcPr>
                  <w:tcW w:w="766" w:type="dxa"/>
                  <w:tcBorders>
                    <w:top w:val="nil"/>
                    <w:left w:val="nil"/>
                    <w:bottom w:val="nil"/>
                    <w:right w:val="single" w:sz="4" w:space="0" w:color="auto"/>
                  </w:tcBorders>
                  <w:shd w:val="clear" w:color="auto" w:fill="auto"/>
                  <w:noWrap/>
                  <w:vAlign w:val="center"/>
                  <w:hideMark/>
                </w:tcPr>
                <w:p w14:paraId="7A988478"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0.3%</w:t>
                  </w:r>
                </w:p>
              </w:tc>
            </w:tr>
            <w:tr w:rsidR="00322670" w:rsidRPr="00160D76" w14:paraId="563F5D9B" w14:textId="77777777" w:rsidTr="00126D07">
              <w:trPr>
                <w:trHeight w:val="504"/>
              </w:trPr>
              <w:tc>
                <w:tcPr>
                  <w:tcW w:w="3104" w:type="dxa"/>
                  <w:tcBorders>
                    <w:top w:val="nil"/>
                    <w:left w:val="single" w:sz="4" w:space="0" w:color="auto"/>
                    <w:bottom w:val="nil"/>
                    <w:right w:val="single" w:sz="4" w:space="0" w:color="auto"/>
                  </w:tcBorders>
                  <w:shd w:val="clear" w:color="auto" w:fill="auto"/>
                  <w:vAlign w:val="center"/>
                  <w:hideMark/>
                </w:tcPr>
                <w:p w14:paraId="668EAF18" w14:textId="77777777" w:rsidR="00322670" w:rsidRPr="00160D76" w:rsidRDefault="00322670" w:rsidP="00AB0BA0">
                  <w:pPr>
                    <w:framePr w:hSpace="141" w:wrap="around" w:vAnchor="text" w:hAnchor="margin" w:y="74"/>
                    <w:spacing w:after="0" w:line="240" w:lineRule="auto"/>
                    <w:rPr>
                      <w:rFonts w:ascii="Times" w:eastAsia="Times New Roman" w:hAnsi="Times" w:cs="Times"/>
                      <w:sz w:val="16"/>
                      <w:szCs w:val="16"/>
                    </w:rPr>
                  </w:pPr>
                  <w:r w:rsidRPr="00160D76">
                    <w:rPr>
                      <w:rFonts w:ascii="Times" w:eastAsia="Times New Roman" w:hAnsi="Times" w:cs="Times"/>
                      <w:sz w:val="16"/>
                      <w:szCs w:val="16"/>
                    </w:rPr>
                    <w:t>Actividades profesionales, científicas y técnicas</w:t>
                  </w:r>
                </w:p>
              </w:tc>
              <w:tc>
                <w:tcPr>
                  <w:tcW w:w="921" w:type="dxa"/>
                  <w:tcBorders>
                    <w:top w:val="nil"/>
                    <w:left w:val="nil"/>
                    <w:bottom w:val="nil"/>
                    <w:right w:val="nil"/>
                  </w:tcBorders>
                  <w:shd w:val="clear" w:color="auto" w:fill="auto"/>
                  <w:noWrap/>
                  <w:vAlign w:val="center"/>
                  <w:hideMark/>
                </w:tcPr>
                <w:p w14:paraId="0AE0215C"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2.5%</w:t>
                  </w:r>
                </w:p>
              </w:tc>
              <w:tc>
                <w:tcPr>
                  <w:tcW w:w="759" w:type="dxa"/>
                  <w:tcBorders>
                    <w:top w:val="nil"/>
                    <w:left w:val="nil"/>
                    <w:bottom w:val="nil"/>
                    <w:right w:val="nil"/>
                  </w:tcBorders>
                  <w:shd w:val="clear" w:color="auto" w:fill="auto"/>
                  <w:noWrap/>
                  <w:vAlign w:val="center"/>
                  <w:hideMark/>
                </w:tcPr>
                <w:p w14:paraId="536C80A4"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2.5%</w:t>
                  </w:r>
                </w:p>
              </w:tc>
              <w:tc>
                <w:tcPr>
                  <w:tcW w:w="767" w:type="dxa"/>
                  <w:tcBorders>
                    <w:top w:val="nil"/>
                    <w:left w:val="nil"/>
                    <w:bottom w:val="nil"/>
                    <w:right w:val="single" w:sz="4" w:space="0" w:color="auto"/>
                  </w:tcBorders>
                  <w:shd w:val="clear" w:color="auto" w:fill="auto"/>
                  <w:noWrap/>
                  <w:vAlign w:val="center"/>
                  <w:hideMark/>
                </w:tcPr>
                <w:p w14:paraId="048FF297"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2.5%</w:t>
                  </w:r>
                </w:p>
              </w:tc>
              <w:tc>
                <w:tcPr>
                  <w:tcW w:w="712" w:type="dxa"/>
                  <w:tcBorders>
                    <w:top w:val="nil"/>
                    <w:left w:val="nil"/>
                    <w:bottom w:val="nil"/>
                    <w:right w:val="nil"/>
                  </w:tcBorders>
                  <w:shd w:val="clear" w:color="auto" w:fill="auto"/>
                  <w:noWrap/>
                  <w:vAlign w:val="center"/>
                  <w:hideMark/>
                </w:tcPr>
                <w:p w14:paraId="215A4A9F"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3.8%</w:t>
                  </w:r>
                </w:p>
              </w:tc>
              <w:tc>
                <w:tcPr>
                  <w:tcW w:w="822" w:type="dxa"/>
                  <w:tcBorders>
                    <w:top w:val="nil"/>
                    <w:left w:val="nil"/>
                    <w:bottom w:val="nil"/>
                    <w:right w:val="single" w:sz="4" w:space="0" w:color="auto"/>
                  </w:tcBorders>
                  <w:shd w:val="clear" w:color="auto" w:fill="auto"/>
                  <w:noWrap/>
                  <w:vAlign w:val="center"/>
                  <w:hideMark/>
                </w:tcPr>
                <w:p w14:paraId="1FED7F58"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-2.1%</w:t>
                  </w:r>
                </w:p>
              </w:tc>
              <w:tc>
                <w:tcPr>
                  <w:tcW w:w="766" w:type="dxa"/>
                  <w:tcBorders>
                    <w:top w:val="nil"/>
                    <w:left w:val="nil"/>
                    <w:bottom w:val="nil"/>
                    <w:right w:val="nil"/>
                  </w:tcBorders>
                  <w:shd w:val="clear" w:color="auto" w:fill="auto"/>
                  <w:noWrap/>
                  <w:vAlign w:val="center"/>
                  <w:hideMark/>
                </w:tcPr>
                <w:p w14:paraId="753B14AE"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0.1%</w:t>
                  </w:r>
                </w:p>
              </w:tc>
              <w:tc>
                <w:tcPr>
                  <w:tcW w:w="766" w:type="dxa"/>
                  <w:tcBorders>
                    <w:top w:val="nil"/>
                    <w:left w:val="nil"/>
                    <w:bottom w:val="nil"/>
                    <w:right w:val="single" w:sz="4" w:space="0" w:color="auto"/>
                  </w:tcBorders>
                  <w:shd w:val="clear" w:color="auto" w:fill="auto"/>
                  <w:noWrap/>
                  <w:vAlign w:val="center"/>
                  <w:hideMark/>
                </w:tcPr>
                <w:p w14:paraId="76953C83"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-0.1%</w:t>
                  </w:r>
                </w:p>
              </w:tc>
            </w:tr>
            <w:tr w:rsidR="00322670" w:rsidRPr="00160D76" w14:paraId="0E28D7E9" w14:textId="77777777" w:rsidTr="00126D07">
              <w:trPr>
                <w:trHeight w:val="504"/>
              </w:trPr>
              <w:tc>
                <w:tcPr>
                  <w:tcW w:w="3104" w:type="dxa"/>
                  <w:tcBorders>
                    <w:top w:val="nil"/>
                    <w:left w:val="single" w:sz="4" w:space="0" w:color="auto"/>
                    <w:bottom w:val="nil"/>
                    <w:right w:val="single" w:sz="4" w:space="0" w:color="auto"/>
                  </w:tcBorders>
                  <w:shd w:val="clear" w:color="auto" w:fill="auto"/>
                  <w:vAlign w:val="center"/>
                  <w:hideMark/>
                </w:tcPr>
                <w:p w14:paraId="57F6F26D" w14:textId="77777777" w:rsidR="00322670" w:rsidRPr="00160D76" w:rsidRDefault="00322670" w:rsidP="00AB0BA0">
                  <w:pPr>
                    <w:framePr w:hSpace="141" w:wrap="around" w:vAnchor="text" w:hAnchor="margin" w:y="74"/>
                    <w:spacing w:after="0" w:line="240" w:lineRule="auto"/>
                    <w:rPr>
                      <w:rFonts w:ascii="Times" w:eastAsia="Times New Roman" w:hAnsi="Times" w:cs="Times"/>
                      <w:sz w:val="16"/>
                      <w:szCs w:val="16"/>
                    </w:rPr>
                  </w:pPr>
                  <w:r w:rsidRPr="00160D76">
                    <w:rPr>
                      <w:rFonts w:ascii="Times" w:eastAsia="Times New Roman" w:hAnsi="Times" w:cs="Times"/>
                      <w:sz w:val="16"/>
                      <w:szCs w:val="16"/>
                    </w:rPr>
                    <w:t>Actividades de servicios administrativos y de apoyo</w:t>
                  </w:r>
                </w:p>
              </w:tc>
              <w:tc>
                <w:tcPr>
                  <w:tcW w:w="921" w:type="dxa"/>
                  <w:tcBorders>
                    <w:top w:val="nil"/>
                    <w:left w:val="nil"/>
                    <w:bottom w:val="nil"/>
                    <w:right w:val="nil"/>
                  </w:tcBorders>
                  <w:shd w:val="clear" w:color="auto" w:fill="auto"/>
                  <w:noWrap/>
                  <w:vAlign w:val="center"/>
                  <w:hideMark/>
                </w:tcPr>
                <w:p w14:paraId="37BF27C0"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3.5%</w:t>
                  </w:r>
                </w:p>
              </w:tc>
              <w:tc>
                <w:tcPr>
                  <w:tcW w:w="759" w:type="dxa"/>
                  <w:tcBorders>
                    <w:top w:val="nil"/>
                    <w:left w:val="nil"/>
                    <w:bottom w:val="nil"/>
                    <w:right w:val="nil"/>
                  </w:tcBorders>
                  <w:shd w:val="clear" w:color="auto" w:fill="auto"/>
                  <w:noWrap/>
                  <w:vAlign w:val="center"/>
                  <w:hideMark/>
                </w:tcPr>
                <w:p w14:paraId="3B64B6A9"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3.5%</w:t>
                  </w:r>
                </w:p>
              </w:tc>
              <w:tc>
                <w:tcPr>
                  <w:tcW w:w="767" w:type="dxa"/>
                  <w:tcBorders>
                    <w:top w:val="nil"/>
                    <w:left w:val="nil"/>
                    <w:bottom w:val="nil"/>
                    <w:right w:val="single" w:sz="4" w:space="0" w:color="auto"/>
                  </w:tcBorders>
                  <w:shd w:val="clear" w:color="auto" w:fill="auto"/>
                  <w:noWrap/>
                  <w:vAlign w:val="center"/>
                  <w:hideMark/>
                </w:tcPr>
                <w:p w14:paraId="21C036EE"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3.5%</w:t>
                  </w:r>
                </w:p>
              </w:tc>
              <w:tc>
                <w:tcPr>
                  <w:tcW w:w="712" w:type="dxa"/>
                  <w:tcBorders>
                    <w:top w:val="nil"/>
                    <w:left w:val="nil"/>
                    <w:bottom w:val="nil"/>
                    <w:right w:val="nil"/>
                  </w:tcBorders>
                  <w:shd w:val="clear" w:color="auto" w:fill="auto"/>
                  <w:noWrap/>
                  <w:vAlign w:val="center"/>
                  <w:hideMark/>
                </w:tcPr>
                <w:p w14:paraId="66081184"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2.9%</w:t>
                  </w:r>
                </w:p>
              </w:tc>
              <w:tc>
                <w:tcPr>
                  <w:tcW w:w="822" w:type="dxa"/>
                  <w:tcBorders>
                    <w:top w:val="nil"/>
                    <w:left w:val="nil"/>
                    <w:bottom w:val="nil"/>
                    <w:right w:val="single" w:sz="4" w:space="0" w:color="auto"/>
                  </w:tcBorders>
                  <w:shd w:val="clear" w:color="auto" w:fill="auto"/>
                  <w:noWrap/>
                  <w:vAlign w:val="center"/>
                  <w:hideMark/>
                </w:tcPr>
                <w:p w14:paraId="5E94D29D"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-0.1%</w:t>
                  </w:r>
                </w:p>
              </w:tc>
              <w:tc>
                <w:tcPr>
                  <w:tcW w:w="766" w:type="dxa"/>
                  <w:tcBorders>
                    <w:top w:val="nil"/>
                    <w:left w:val="nil"/>
                    <w:bottom w:val="nil"/>
                    <w:right w:val="nil"/>
                  </w:tcBorders>
                  <w:shd w:val="clear" w:color="auto" w:fill="auto"/>
                  <w:noWrap/>
                  <w:vAlign w:val="center"/>
                  <w:hideMark/>
                </w:tcPr>
                <w:p w14:paraId="0E60ACD3"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0.1%</w:t>
                  </w:r>
                </w:p>
              </w:tc>
              <w:tc>
                <w:tcPr>
                  <w:tcW w:w="766" w:type="dxa"/>
                  <w:tcBorders>
                    <w:top w:val="nil"/>
                    <w:left w:val="nil"/>
                    <w:bottom w:val="nil"/>
                    <w:right w:val="single" w:sz="4" w:space="0" w:color="auto"/>
                  </w:tcBorders>
                  <w:shd w:val="clear" w:color="auto" w:fill="auto"/>
                  <w:noWrap/>
                  <w:vAlign w:val="center"/>
                  <w:hideMark/>
                </w:tcPr>
                <w:p w14:paraId="2DD2E1B0"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0.0%</w:t>
                  </w:r>
                </w:p>
              </w:tc>
            </w:tr>
            <w:tr w:rsidR="00322670" w:rsidRPr="00160D76" w14:paraId="33B4E7FA" w14:textId="77777777" w:rsidTr="00126D07">
              <w:trPr>
                <w:trHeight w:val="828"/>
              </w:trPr>
              <w:tc>
                <w:tcPr>
                  <w:tcW w:w="3104" w:type="dxa"/>
                  <w:tcBorders>
                    <w:top w:val="nil"/>
                    <w:left w:val="single" w:sz="4" w:space="0" w:color="auto"/>
                    <w:bottom w:val="nil"/>
                    <w:right w:val="single" w:sz="4" w:space="0" w:color="auto"/>
                  </w:tcBorders>
                  <w:shd w:val="clear" w:color="auto" w:fill="auto"/>
                  <w:vAlign w:val="center"/>
                  <w:hideMark/>
                </w:tcPr>
                <w:p w14:paraId="4FEFB73F" w14:textId="77777777" w:rsidR="00322670" w:rsidRPr="00160D76" w:rsidRDefault="00322670" w:rsidP="00AB0BA0">
                  <w:pPr>
                    <w:framePr w:hSpace="141" w:wrap="around" w:vAnchor="text" w:hAnchor="margin" w:y="74"/>
                    <w:spacing w:after="0" w:line="240" w:lineRule="auto"/>
                    <w:rPr>
                      <w:rFonts w:ascii="Times" w:eastAsia="Times New Roman" w:hAnsi="Times" w:cs="Times"/>
                      <w:sz w:val="16"/>
                      <w:szCs w:val="16"/>
                    </w:rPr>
                  </w:pPr>
                  <w:r w:rsidRPr="00160D76">
                    <w:rPr>
                      <w:rFonts w:ascii="Times" w:eastAsia="Times New Roman" w:hAnsi="Times" w:cs="Times"/>
                      <w:sz w:val="16"/>
                      <w:szCs w:val="16"/>
                    </w:rPr>
                    <w:t>Administración pública y defensa; planes de seguridad social de afiliación obligatoria</w:t>
                  </w:r>
                </w:p>
              </w:tc>
              <w:tc>
                <w:tcPr>
                  <w:tcW w:w="921" w:type="dxa"/>
                  <w:tcBorders>
                    <w:top w:val="nil"/>
                    <w:left w:val="nil"/>
                    <w:bottom w:val="nil"/>
                    <w:right w:val="nil"/>
                  </w:tcBorders>
                  <w:shd w:val="clear" w:color="auto" w:fill="auto"/>
                  <w:noWrap/>
                  <w:vAlign w:val="center"/>
                  <w:hideMark/>
                </w:tcPr>
                <w:p w14:paraId="3A55CF2B"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4.0%</w:t>
                  </w:r>
                </w:p>
              </w:tc>
              <w:tc>
                <w:tcPr>
                  <w:tcW w:w="759" w:type="dxa"/>
                  <w:tcBorders>
                    <w:top w:val="nil"/>
                    <w:left w:val="nil"/>
                    <w:bottom w:val="nil"/>
                    <w:right w:val="nil"/>
                  </w:tcBorders>
                  <w:shd w:val="clear" w:color="auto" w:fill="auto"/>
                  <w:noWrap/>
                  <w:vAlign w:val="center"/>
                  <w:hideMark/>
                </w:tcPr>
                <w:p w14:paraId="08F971F3"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4.0%</w:t>
                  </w:r>
                </w:p>
              </w:tc>
              <w:tc>
                <w:tcPr>
                  <w:tcW w:w="767" w:type="dxa"/>
                  <w:tcBorders>
                    <w:top w:val="nil"/>
                    <w:left w:val="nil"/>
                    <w:bottom w:val="nil"/>
                    <w:right w:val="single" w:sz="4" w:space="0" w:color="auto"/>
                  </w:tcBorders>
                  <w:shd w:val="clear" w:color="auto" w:fill="auto"/>
                  <w:noWrap/>
                  <w:vAlign w:val="center"/>
                  <w:hideMark/>
                </w:tcPr>
                <w:p w14:paraId="64953C22"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4.1%</w:t>
                  </w:r>
                </w:p>
              </w:tc>
              <w:tc>
                <w:tcPr>
                  <w:tcW w:w="712" w:type="dxa"/>
                  <w:tcBorders>
                    <w:top w:val="nil"/>
                    <w:left w:val="nil"/>
                    <w:bottom w:val="nil"/>
                    <w:right w:val="nil"/>
                  </w:tcBorders>
                  <w:shd w:val="clear" w:color="auto" w:fill="auto"/>
                  <w:noWrap/>
                  <w:vAlign w:val="center"/>
                  <w:hideMark/>
                </w:tcPr>
                <w:p w14:paraId="4C30E1C8"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2.3%</w:t>
                  </w:r>
                </w:p>
              </w:tc>
              <w:tc>
                <w:tcPr>
                  <w:tcW w:w="822" w:type="dxa"/>
                  <w:tcBorders>
                    <w:top w:val="nil"/>
                    <w:left w:val="nil"/>
                    <w:bottom w:val="nil"/>
                    <w:right w:val="single" w:sz="4" w:space="0" w:color="auto"/>
                  </w:tcBorders>
                  <w:shd w:val="clear" w:color="auto" w:fill="auto"/>
                  <w:noWrap/>
                  <w:vAlign w:val="center"/>
                  <w:hideMark/>
                </w:tcPr>
                <w:p w14:paraId="0A52920C"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1.0%</w:t>
                  </w:r>
                </w:p>
              </w:tc>
              <w:tc>
                <w:tcPr>
                  <w:tcW w:w="766" w:type="dxa"/>
                  <w:tcBorders>
                    <w:top w:val="nil"/>
                    <w:left w:val="nil"/>
                    <w:bottom w:val="nil"/>
                    <w:right w:val="nil"/>
                  </w:tcBorders>
                  <w:shd w:val="clear" w:color="auto" w:fill="auto"/>
                  <w:noWrap/>
                  <w:vAlign w:val="center"/>
                  <w:hideMark/>
                </w:tcPr>
                <w:p w14:paraId="1CB9886A"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0.1%</w:t>
                  </w:r>
                </w:p>
              </w:tc>
              <w:tc>
                <w:tcPr>
                  <w:tcW w:w="766" w:type="dxa"/>
                  <w:tcBorders>
                    <w:top w:val="nil"/>
                    <w:left w:val="nil"/>
                    <w:bottom w:val="nil"/>
                    <w:right w:val="single" w:sz="4" w:space="0" w:color="auto"/>
                  </w:tcBorders>
                  <w:shd w:val="clear" w:color="auto" w:fill="auto"/>
                  <w:noWrap/>
                  <w:vAlign w:val="center"/>
                  <w:hideMark/>
                </w:tcPr>
                <w:p w14:paraId="14B30AE0"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0.0%</w:t>
                  </w:r>
                </w:p>
              </w:tc>
            </w:tr>
            <w:tr w:rsidR="00322670" w:rsidRPr="00160D76" w14:paraId="51A9BB28" w14:textId="77777777" w:rsidTr="00126D07">
              <w:trPr>
                <w:trHeight w:val="264"/>
              </w:trPr>
              <w:tc>
                <w:tcPr>
                  <w:tcW w:w="3104" w:type="dxa"/>
                  <w:tcBorders>
                    <w:top w:val="nil"/>
                    <w:left w:val="single" w:sz="4" w:space="0" w:color="auto"/>
                    <w:bottom w:val="nil"/>
                    <w:right w:val="single" w:sz="4" w:space="0" w:color="auto"/>
                  </w:tcBorders>
                  <w:shd w:val="clear" w:color="auto" w:fill="auto"/>
                  <w:noWrap/>
                  <w:vAlign w:val="center"/>
                  <w:hideMark/>
                </w:tcPr>
                <w:p w14:paraId="3E3428ED" w14:textId="77777777" w:rsidR="00322670" w:rsidRPr="00160D76" w:rsidRDefault="00322670" w:rsidP="00AB0BA0">
                  <w:pPr>
                    <w:framePr w:hSpace="141" w:wrap="around" w:vAnchor="text" w:hAnchor="margin" w:y="74"/>
                    <w:spacing w:after="0" w:line="240" w:lineRule="auto"/>
                    <w:rPr>
                      <w:rFonts w:ascii="Times" w:eastAsia="Times New Roman" w:hAnsi="Times" w:cs="Times"/>
                      <w:sz w:val="16"/>
                      <w:szCs w:val="16"/>
                    </w:rPr>
                  </w:pPr>
                  <w:r w:rsidRPr="00160D76">
                    <w:rPr>
                      <w:rFonts w:ascii="Times" w:eastAsia="Times New Roman" w:hAnsi="Times" w:cs="Times"/>
                      <w:sz w:val="16"/>
                      <w:szCs w:val="16"/>
                    </w:rPr>
                    <w:t>Enseñanza</w:t>
                  </w:r>
                </w:p>
              </w:tc>
              <w:tc>
                <w:tcPr>
                  <w:tcW w:w="921" w:type="dxa"/>
                  <w:tcBorders>
                    <w:top w:val="nil"/>
                    <w:left w:val="nil"/>
                    <w:bottom w:val="nil"/>
                    <w:right w:val="nil"/>
                  </w:tcBorders>
                  <w:shd w:val="clear" w:color="auto" w:fill="auto"/>
                  <w:noWrap/>
                  <w:vAlign w:val="center"/>
                  <w:hideMark/>
                </w:tcPr>
                <w:p w14:paraId="7212F465"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3.9%</w:t>
                  </w:r>
                </w:p>
              </w:tc>
              <w:tc>
                <w:tcPr>
                  <w:tcW w:w="759" w:type="dxa"/>
                  <w:tcBorders>
                    <w:top w:val="nil"/>
                    <w:left w:val="nil"/>
                    <w:bottom w:val="nil"/>
                    <w:right w:val="nil"/>
                  </w:tcBorders>
                  <w:shd w:val="clear" w:color="auto" w:fill="auto"/>
                  <w:noWrap/>
                  <w:vAlign w:val="center"/>
                  <w:hideMark/>
                </w:tcPr>
                <w:p w14:paraId="5C36C0E6"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3.8%</w:t>
                  </w:r>
                </w:p>
              </w:tc>
              <w:tc>
                <w:tcPr>
                  <w:tcW w:w="767" w:type="dxa"/>
                  <w:tcBorders>
                    <w:top w:val="nil"/>
                    <w:left w:val="nil"/>
                    <w:bottom w:val="nil"/>
                    <w:right w:val="single" w:sz="4" w:space="0" w:color="auto"/>
                  </w:tcBorders>
                  <w:shd w:val="clear" w:color="auto" w:fill="auto"/>
                  <w:noWrap/>
                  <w:vAlign w:val="center"/>
                  <w:hideMark/>
                </w:tcPr>
                <w:p w14:paraId="3B931B49"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3.7%</w:t>
                  </w:r>
                </w:p>
              </w:tc>
              <w:tc>
                <w:tcPr>
                  <w:tcW w:w="712" w:type="dxa"/>
                  <w:tcBorders>
                    <w:top w:val="nil"/>
                    <w:left w:val="nil"/>
                    <w:bottom w:val="nil"/>
                    <w:right w:val="nil"/>
                  </w:tcBorders>
                  <w:shd w:val="clear" w:color="auto" w:fill="auto"/>
                  <w:noWrap/>
                  <w:vAlign w:val="center"/>
                  <w:hideMark/>
                </w:tcPr>
                <w:p w14:paraId="158A904C"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0.8%</w:t>
                  </w:r>
                </w:p>
              </w:tc>
              <w:tc>
                <w:tcPr>
                  <w:tcW w:w="822" w:type="dxa"/>
                  <w:tcBorders>
                    <w:top w:val="nil"/>
                    <w:left w:val="nil"/>
                    <w:bottom w:val="nil"/>
                    <w:right w:val="single" w:sz="4" w:space="0" w:color="auto"/>
                  </w:tcBorders>
                  <w:shd w:val="clear" w:color="auto" w:fill="auto"/>
                  <w:noWrap/>
                  <w:vAlign w:val="center"/>
                  <w:hideMark/>
                </w:tcPr>
                <w:p w14:paraId="7FCE5FBD"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-2.4%</w:t>
                  </w:r>
                </w:p>
              </w:tc>
              <w:tc>
                <w:tcPr>
                  <w:tcW w:w="766" w:type="dxa"/>
                  <w:tcBorders>
                    <w:top w:val="nil"/>
                    <w:left w:val="nil"/>
                    <w:bottom w:val="nil"/>
                    <w:right w:val="nil"/>
                  </w:tcBorders>
                  <w:shd w:val="clear" w:color="auto" w:fill="auto"/>
                  <w:noWrap/>
                  <w:vAlign w:val="center"/>
                  <w:hideMark/>
                </w:tcPr>
                <w:p w14:paraId="2B3BD557"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0.0%</w:t>
                  </w:r>
                </w:p>
              </w:tc>
              <w:tc>
                <w:tcPr>
                  <w:tcW w:w="766" w:type="dxa"/>
                  <w:tcBorders>
                    <w:top w:val="nil"/>
                    <w:left w:val="nil"/>
                    <w:bottom w:val="nil"/>
                    <w:right w:val="single" w:sz="4" w:space="0" w:color="auto"/>
                  </w:tcBorders>
                  <w:shd w:val="clear" w:color="auto" w:fill="auto"/>
                  <w:noWrap/>
                  <w:vAlign w:val="center"/>
                  <w:hideMark/>
                </w:tcPr>
                <w:p w14:paraId="317431DD"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-0.1%</w:t>
                  </w:r>
                </w:p>
              </w:tc>
            </w:tr>
            <w:tr w:rsidR="00322670" w:rsidRPr="00160D76" w14:paraId="2A3D5A13" w14:textId="77777777" w:rsidTr="00126D07">
              <w:trPr>
                <w:trHeight w:val="540"/>
              </w:trPr>
              <w:tc>
                <w:tcPr>
                  <w:tcW w:w="3104" w:type="dxa"/>
                  <w:tcBorders>
                    <w:top w:val="nil"/>
                    <w:left w:val="single" w:sz="4" w:space="0" w:color="auto"/>
                    <w:bottom w:val="nil"/>
                    <w:right w:val="single" w:sz="4" w:space="0" w:color="auto"/>
                  </w:tcBorders>
                  <w:shd w:val="clear" w:color="auto" w:fill="auto"/>
                  <w:vAlign w:val="center"/>
                  <w:hideMark/>
                </w:tcPr>
                <w:p w14:paraId="777DDF7E" w14:textId="77777777" w:rsidR="00322670" w:rsidRPr="00160D76" w:rsidRDefault="00322670" w:rsidP="00AB0BA0">
                  <w:pPr>
                    <w:framePr w:hSpace="141" w:wrap="around" w:vAnchor="text" w:hAnchor="margin" w:y="74"/>
                    <w:spacing w:after="0" w:line="240" w:lineRule="auto"/>
                    <w:rPr>
                      <w:rFonts w:ascii="Times" w:eastAsia="Times New Roman" w:hAnsi="Times" w:cs="Times"/>
                      <w:sz w:val="16"/>
                      <w:szCs w:val="16"/>
                    </w:rPr>
                  </w:pPr>
                  <w:r w:rsidRPr="00160D76">
                    <w:rPr>
                      <w:rFonts w:ascii="Times" w:eastAsia="Times New Roman" w:hAnsi="Times" w:cs="Times"/>
                      <w:sz w:val="16"/>
                      <w:szCs w:val="16"/>
                    </w:rPr>
                    <w:t>Actividades de atención de la salud humana y de asistencia social</w:t>
                  </w:r>
                </w:p>
              </w:tc>
              <w:tc>
                <w:tcPr>
                  <w:tcW w:w="921" w:type="dxa"/>
                  <w:tcBorders>
                    <w:top w:val="nil"/>
                    <w:left w:val="nil"/>
                    <w:bottom w:val="nil"/>
                    <w:right w:val="nil"/>
                  </w:tcBorders>
                  <w:shd w:val="clear" w:color="auto" w:fill="auto"/>
                  <w:noWrap/>
                  <w:vAlign w:val="center"/>
                  <w:hideMark/>
                </w:tcPr>
                <w:p w14:paraId="32F3EF8B"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2.4%</w:t>
                  </w:r>
                </w:p>
              </w:tc>
              <w:tc>
                <w:tcPr>
                  <w:tcW w:w="759" w:type="dxa"/>
                  <w:tcBorders>
                    <w:top w:val="nil"/>
                    <w:left w:val="nil"/>
                    <w:bottom w:val="nil"/>
                    <w:right w:val="nil"/>
                  </w:tcBorders>
                  <w:shd w:val="clear" w:color="auto" w:fill="auto"/>
                  <w:noWrap/>
                  <w:vAlign w:val="center"/>
                  <w:hideMark/>
                </w:tcPr>
                <w:p w14:paraId="53396A42"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2.4%</w:t>
                  </w:r>
                </w:p>
              </w:tc>
              <w:tc>
                <w:tcPr>
                  <w:tcW w:w="767" w:type="dxa"/>
                  <w:tcBorders>
                    <w:top w:val="nil"/>
                    <w:left w:val="nil"/>
                    <w:bottom w:val="nil"/>
                    <w:right w:val="single" w:sz="4" w:space="0" w:color="auto"/>
                  </w:tcBorders>
                  <w:shd w:val="clear" w:color="auto" w:fill="auto"/>
                  <w:noWrap/>
                  <w:vAlign w:val="center"/>
                  <w:hideMark/>
                </w:tcPr>
                <w:p w14:paraId="5CAE39BF"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2.5%</w:t>
                  </w:r>
                </w:p>
              </w:tc>
              <w:tc>
                <w:tcPr>
                  <w:tcW w:w="712" w:type="dxa"/>
                  <w:tcBorders>
                    <w:top w:val="nil"/>
                    <w:left w:val="nil"/>
                    <w:bottom w:val="nil"/>
                    <w:right w:val="nil"/>
                  </w:tcBorders>
                  <w:shd w:val="clear" w:color="auto" w:fill="auto"/>
                  <w:noWrap/>
                  <w:vAlign w:val="center"/>
                  <w:hideMark/>
                </w:tcPr>
                <w:p w14:paraId="22EA3113"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4.4%</w:t>
                  </w:r>
                </w:p>
              </w:tc>
              <w:tc>
                <w:tcPr>
                  <w:tcW w:w="822" w:type="dxa"/>
                  <w:tcBorders>
                    <w:top w:val="nil"/>
                    <w:left w:val="nil"/>
                    <w:bottom w:val="nil"/>
                    <w:right w:val="single" w:sz="4" w:space="0" w:color="auto"/>
                  </w:tcBorders>
                  <w:shd w:val="clear" w:color="auto" w:fill="auto"/>
                  <w:noWrap/>
                  <w:vAlign w:val="center"/>
                  <w:hideMark/>
                </w:tcPr>
                <w:p w14:paraId="0D6973D5"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-0.2%</w:t>
                  </w:r>
                </w:p>
              </w:tc>
              <w:tc>
                <w:tcPr>
                  <w:tcW w:w="766" w:type="dxa"/>
                  <w:tcBorders>
                    <w:top w:val="nil"/>
                    <w:left w:val="nil"/>
                    <w:bottom w:val="nil"/>
                    <w:right w:val="nil"/>
                  </w:tcBorders>
                  <w:shd w:val="clear" w:color="auto" w:fill="auto"/>
                  <w:noWrap/>
                  <w:vAlign w:val="center"/>
                  <w:hideMark/>
                </w:tcPr>
                <w:p w14:paraId="218D6243"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0.1%</w:t>
                  </w:r>
                </w:p>
              </w:tc>
              <w:tc>
                <w:tcPr>
                  <w:tcW w:w="766" w:type="dxa"/>
                  <w:tcBorders>
                    <w:top w:val="nil"/>
                    <w:left w:val="nil"/>
                    <w:bottom w:val="nil"/>
                    <w:right w:val="single" w:sz="4" w:space="0" w:color="auto"/>
                  </w:tcBorders>
                  <w:shd w:val="clear" w:color="auto" w:fill="auto"/>
                  <w:noWrap/>
                  <w:vAlign w:val="center"/>
                  <w:hideMark/>
                </w:tcPr>
                <w:p w14:paraId="47FF5A70"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0.0%</w:t>
                  </w:r>
                </w:p>
              </w:tc>
            </w:tr>
            <w:tr w:rsidR="00322670" w:rsidRPr="00160D76" w14:paraId="2BD6DDC7" w14:textId="77777777" w:rsidTr="00126D07">
              <w:trPr>
                <w:trHeight w:val="264"/>
              </w:trPr>
              <w:tc>
                <w:tcPr>
                  <w:tcW w:w="3104" w:type="dxa"/>
                  <w:tcBorders>
                    <w:top w:val="nil"/>
                    <w:left w:val="single" w:sz="4" w:space="0" w:color="auto"/>
                    <w:bottom w:val="nil"/>
                    <w:right w:val="single" w:sz="4" w:space="0" w:color="auto"/>
                  </w:tcBorders>
                  <w:shd w:val="clear" w:color="auto" w:fill="auto"/>
                  <w:noWrap/>
                  <w:vAlign w:val="center"/>
                  <w:hideMark/>
                </w:tcPr>
                <w:p w14:paraId="0EB54726" w14:textId="77777777" w:rsidR="00322670" w:rsidRPr="00160D76" w:rsidRDefault="00322670" w:rsidP="00AB0BA0">
                  <w:pPr>
                    <w:framePr w:hSpace="141" w:wrap="around" w:vAnchor="text" w:hAnchor="margin" w:y="74"/>
                    <w:spacing w:after="0" w:line="240" w:lineRule="auto"/>
                    <w:rPr>
                      <w:rFonts w:ascii="Times" w:eastAsia="Times New Roman" w:hAnsi="Times" w:cs="Times"/>
                      <w:sz w:val="16"/>
                      <w:szCs w:val="16"/>
                    </w:rPr>
                  </w:pPr>
                  <w:r w:rsidRPr="00160D76">
                    <w:rPr>
                      <w:rFonts w:ascii="Times" w:eastAsia="Times New Roman" w:hAnsi="Times" w:cs="Times"/>
                      <w:sz w:val="16"/>
                      <w:szCs w:val="16"/>
                    </w:rPr>
                    <w:t>Otras actividades de servicios</w:t>
                  </w:r>
                </w:p>
              </w:tc>
              <w:tc>
                <w:tcPr>
                  <w:tcW w:w="921" w:type="dxa"/>
                  <w:tcBorders>
                    <w:top w:val="nil"/>
                    <w:left w:val="nil"/>
                    <w:bottom w:val="nil"/>
                    <w:right w:val="nil"/>
                  </w:tcBorders>
                  <w:shd w:val="clear" w:color="auto" w:fill="auto"/>
                  <w:noWrap/>
                  <w:vAlign w:val="center"/>
                  <w:hideMark/>
                </w:tcPr>
                <w:p w14:paraId="5B7731C7"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4.0%</w:t>
                  </w:r>
                </w:p>
              </w:tc>
              <w:tc>
                <w:tcPr>
                  <w:tcW w:w="759" w:type="dxa"/>
                  <w:tcBorders>
                    <w:top w:val="nil"/>
                    <w:left w:val="nil"/>
                    <w:bottom w:val="nil"/>
                    <w:right w:val="nil"/>
                  </w:tcBorders>
                  <w:shd w:val="clear" w:color="auto" w:fill="auto"/>
                  <w:noWrap/>
                  <w:vAlign w:val="center"/>
                  <w:hideMark/>
                </w:tcPr>
                <w:p w14:paraId="06BD893F"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3.9%</w:t>
                  </w:r>
                </w:p>
              </w:tc>
              <w:tc>
                <w:tcPr>
                  <w:tcW w:w="767" w:type="dxa"/>
                  <w:tcBorders>
                    <w:top w:val="nil"/>
                    <w:left w:val="nil"/>
                    <w:bottom w:val="nil"/>
                    <w:right w:val="single" w:sz="4" w:space="0" w:color="auto"/>
                  </w:tcBorders>
                  <w:shd w:val="clear" w:color="auto" w:fill="auto"/>
                  <w:noWrap/>
                  <w:vAlign w:val="center"/>
                  <w:hideMark/>
                </w:tcPr>
                <w:p w14:paraId="3046E338"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3.6%</w:t>
                  </w:r>
                </w:p>
              </w:tc>
              <w:tc>
                <w:tcPr>
                  <w:tcW w:w="712" w:type="dxa"/>
                  <w:tcBorders>
                    <w:top w:val="nil"/>
                    <w:left w:val="nil"/>
                    <w:bottom w:val="nil"/>
                    <w:right w:val="nil"/>
                  </w:tcBorders>
                  <w:shd w:val="clear" w:color="auto" w:fill="auto"/>
                  <w:noWrap/>
                  <w:vAlign w:val="center"/>
                  <w:hideMark/>
                </w:tcPr>
                <w:p w14:paraId="2A87B110"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3.0%</w:t>
                  </w:r>
                </w:p>
              </w:tc>
              <w:tc>
                <w:tcPr>
                  <w:tcW w:w="822" w:type="dxa"/>
                  <w:tcBorders>
                    <w:top w:val="nil"/>
                    <w:left w:val="nil"/>
                    <w:bottom w:val="nil"/>
                    <w:right w:val="single" w:sz="4" w:space="0" w:color="auto"/>
                  </w:tcBorders>
                  <w:shd w:val="clear" w:color="auto" w:fill="auto"/>
                  <w:noWrap/>
                  <w:vAlign w:val="center"/>
                  <w:hideMark/>
                </w:tcPr>
                <w:p w14:paraId="32A084DC"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-9.3%</w:t>
                  </w:r>
                </w:p>
              </w:tc>
              <w:tc>
                <w:tcPr>
                  <w:tcW w:w="766" w:type="dxa"/>
                  <w:tcBorders>
                    <w:top w:val="nil"/>
                    <w:left w:val="nil"/>
                    <w:bottom w:val="nil"/>
                    <w:right w:val="nil"/>
                  </w:tcBorders>
                  <w:shd w:val="clear" w:color="auto" w:fill="auto"/>
                  <w:noWrap/>
                  <w:vAlign w:val="center"/>
                  <w:hideMark/>
                </w:tcPr>
                <w:p w14:paraId="5315C1CA"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0.1%</w:t>
                  </w:r>
                </w:p>
              </w:tc>
              <w:tc>
                <w:tcPr>
                  <w:tcW w:w="766" w:type="dxa"/>
                  <w:tcBorders>
                    <w:top w:val="nil"/>
                    <w:left w:val="nil"/>
                    <w:bottom w:val="nil"/>
                    <w:right w:val="single" w:sz="4" w:space="0" w:color="auto"/>
                  </w:tcBorders>
                  <w:shd w:val="clear" w:color="auto" w:fill="auto"/>
                  <w:noWrap/>
                  <w:vAlign w:val="center"/>
                  <w:hideMark/>
                </w:tcPr>
                <w:p w14:paraId="04B8425F"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-0.4%</w:t>
                  </w:r>
                </w:p>
              </w:tc>
            </w:tr>
            <w:tr w:rsidR="00322670" w:rsidRPr="00160D76" w14:paraId="32D21C07" w14:textId="77777777" w:rsidTr="00126D07">
              <w:trPr>
                <w:trHeight w:val="540"/>
              </w:trPr>
              <w:tc>
                <w:tcPr>
                  <w:tcW w:w="3104" w:type="dxa"/>
                  <w:tcBorders>
                    <w:top w:val="nil"/>
                    <w:left w:val="single" w:sz="4" w:space="0" w:color="auto"/>
                    <w:bottom w:val="nil"/>
                    <w:right w:val="single" w:sz="4" w:space="0" w:color="auto"/>
                  </w:tcBorders>
                  <w:shd w:val="clear" w:color="auto" w:fill="auto"/>
                  <w:vAlign w:val="center"/>
                  <w:hideMark/>
                </w:tcPr>
                <w:p w14:paraId="6D06D5A9" w14:textId="77777777" w:rsidR="00322670" w:rsidRPr="00160D76" w:rsidRDefault="00322670" w:rsidP="00AB0BA0">
                  <w:pPr>
                    <w:framePr w:hSpace="141" w:wrap="around" w:vAnchor="text" w:hAnchor="margin" w:y="74"/>
                    <w:spacing w:after="0" w:line="240" w:lineRule="auto"/>
                    <w:rPr>
                      <w:rFonts w:ascii="Times" w:eastAsia="Times New Roman" w:hAnsi="Times" w:cs="Times"/>
                      <w:sz w:val="16"/>
                      <w:szCs w:val="16"/>
                    </w:rPr>
                  </w:pPr>
                  <w:r w:rsidRPr="00160D76">
                    <w:rPr>
                      <w:rFonts w:ascii="Times" w:eastAsia="Times New Roman" w:hAnsi="Times" w:cs="Times"/>
                      <w:sz w:val="16"/>
                      <w:szCs w:val="16"/>
                    </w:rPr>
                    <w:t>Impuestos netos de subvenciones a los productos</w:t>
                  </w:r>
                </w:p>
              </w:tc>
              <w:tc>
                <w:tcPr>
                  <w:tcW w:w="921" w:type="dxa"/>
                  <w:tcBorders>
                    <w:top w:val="nil"/>
                    <w:left w:val="nil"/>
                    <w:bottom w:val="nil"/>
                    <w:right w:val="nil"/>
                  </w:tcBorders>
                  <w:shd w:val="clear" w:color="auto" w:fill="auto"/>
                  <w:noWrap/>
                  <w:vAlign w:val="center"/>
                  <w:hideMark/>
                </w:tcPr>
                <w:p w14:paraId="3A3FA157"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6.2%</w:t>
                  </w:r>
                </w:p>
              </w:tc>
              <w:tc>
                <w:tcPr>
                  <w:tcW w:w="759" w:type="dxa"/>
                  <w:tcBorders>
                    <w:top w:val="nil"/>
                    <w:left w:val="nil"/>
                    <w:bottom w:val="nil"/>
                    <w:right w:val="nil"/>
                  </w:tcBorders>
                  <w:shd w:val="clear" w:color="auto" w:fill="auto"/>
                  <w:noWrap/>
                  <w:vAlign w:val="center"/>
                  <w:hideMark/>
                </w:tcPr>
                <w:p w14:paraId="361D64A4"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6.4%</w:t>
                  </w:r>
                </w:p>
              </w:tc>
              <w:tc>
                <w:tcPr>
                  <w:tcW w:w="767" w:type="dxa"/>
                  <w:tcBorders>
                    <w:top w:val="nil"/>
                    <w:left w:val="nil"/>
                    <w:bottom w:val="nil"/>
                    <w:right w:val="single" w:sz="4" w:space="0" w:color="auto"/>
                  </w:tcBorders>
                  <w:shd w:val="clear" w:color="auto" w:fill="auto"/>
                  <w:noWrap/>
                  <w:vAlign w:val="center"/>
                  <w:hideMark/>
                </w:tcPr>
                <w:p w14:paraId="20AABFD9"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6.3%</w:t>
                  </w:r>
                </w:p>
              </w:tc>
              <w:tc>
                <w:tcPr>
                  <w:tcW w:w="712" w:type="dxa"/>
                  <w:tcBorders>
                    <w:top w:val="nil"/>
                    <w:left w:val="nil"/>
                    <w:bottom w:val="nil"/>
                    <w:right w:val="nil"/>
                  </w:tcBorders>
                  <w:shd w:val="clear" w:color="auto" w:fill="auto"/>
                  <w:noWrap/>
                  <w:vAlign w:val="center"/>
                  <w:hideMark/>
                </w:tcPr>
                <w:p w14:paraId="518E9A42"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6.8%</w:t>
                  </w:r>
                </w:p>
              </w:tc>
              <w:tc>
                <w:tcPr>
                  <w:tcW w:w="822" w:type="dxa"/>
                  <w:tcBorders>
                    <w:top w:val="nil"/>
                    <w:left w:val="nil"/>
                    <w:bottom w:val="nil"/>
                    <w:right w:val="single" w:sz="4" w:space="0" w:color="auto"/>
                  </w:tcBorders>
                  <w:shd w:val="clear" w:color="auto" w:fill="auto"/>
                  <w:noWrap/>
                  <w:vAlign w:val="center"/>
                  <w:hideMark/>
                </w:tcPr>
                <w:p w14:paraId="66C0B92E"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-2.9%</w:t>
                  </w:r>
                </w:p>
              </w:tc>
              <w:tc>
                <w:tcPr>
                  <w:tcW w:w="766" w:type="dxa"/>
                  <w:tcBorders>
                    <w:top w:val="nil"/>
                    <w:left w:val="nil"/>
                    <w:bottom w:val="nil"/>
                    <w:right w:val="nil"/>
                  </w:tcBorders>
                  <w:shd w:val="clear" w:color="auto" w:fill="auto"/>
                  <w:noWrap/>
                  <w:vAlign w:val="center"/>
                  <w:hideMark/>
                </w:tcPr>
                <w:p w14:paraId="0A8D066F"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0.4%</w:t>
                  </w:r>
                </w:p>
              </w:tc>
              <w:tc>
                <w:tcPr>
                  <w:tcW w:w="766" w:type="dxa"/>
                  <w:tcBorders>
                    <w:top w:val="nil"/>
                    <w:left w:val="nil"/>
                    <w:bottom w:val="nil"/>
                    <w:right w:val="single" w:sz="4" w:space="0" w:color="auto"/>
                  </w:tcBorders>
                  <w:shd w:val="clear" w:color="auto" w:fill="auto"/>
                  <w:noWrap/>
                  <w:vAlign w:val="center"/>
                  <w:hideMark/>
                </w:tcPr>
                <w:p w14:paraId="5F3C994E"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-0.2%</w:t>
                  </w:r>
                </w:p>
              </w:tc>
            </w:tr>
            <w:tr w:rsidR="00322670" w:rsidRPr="00160D76" w14:paraId="0B202393" w14:textId="77777777" w:rsidTr="00126D07">
              <w:trPr>
                <w:trHeight w:val="264"/>
              </w:trPr>
              <w:tc>
                <w:tcPr>
                  <w:tcW w:w="3104" w:type="dxa"/>
                  <w:tcBorders>
                    <w:top w:val="nil"/>
                    <w:left w:val="single" w:sz="4" w:space="0" w:color="auto"/>
                    <w:bottom w:val="single" w:sz="4" w:space="0" w:color="auto"/>
                    <w:right w:val="single" w:sz="4" w:space="0" w:color="auto"/>
                  </w:tcBorders>
                  <w:shd w:val="clear" w:color="auto" w:fill="auto"/>
                  <w:noWrap/>
                  <w:vAlign w:val="center"/>
                  <w:hideMark/>
                </w:tcPr>
                <w:p w14:paraId="418A1874" w14:textId="77777777" w:rsidR="00322670" w:rsidRPr="00160D76" w:rsidRDefault="00322670" w:rsidP="00AB0BA0">
                  <w:pPr>
                    <w:framePr w:hSpace="141" w:wrap="around" w:vAnchor="text" w:hAnchor="margin" w:y="74"/>
                    <w:spacing w:after="0" w:line="240" w:lineRule="auto"/>
                    <w:rPr>
                      <w:rFonts w:ascii="Times" w:eastAsia="Times New Roman" w:hAnsi="Times" w:cs="Times"/>
                      <w:b/>
                      <w:bCs/>
                      <w:sz w:val="16"/>
                      <w:szCs w:val="16"/>
                    </w:rPr>
                  </w:pPr>
                  <w:r w:rsidRPr="00160D76">
                    <w:rPr>
                      <w:rFonts w:ascii="Times" w:eastAsia="Times New Roman" w:hAnsi="Times" w:cs="Times"/>
                      <w:b/>
                      <w:bCs/>
                      <w:sz w:val="16"/>
                      <w:szCs w:val="16"/>
                    </w:rPr>
                    <w:t>Producto Interno Bruto</w:t>
                  </w:r>
                </w:p>
              </w:tc>
              <w:tc>
                <w:tcPr>
                  <w:tcW w:w="921" w:type="dxa"/>
                  <w:tcBorders>
                    <w:top w:val="nil"/>
                    <w:left w:val="nil"/>
                    <w:bottom w:val="single" w:sz="4" w:space="0" w:color="auto"/>
                    <w:right w:val="nil"/>
                  </w:tcBorders>
                  <w:shd w:val="clear" w:color="auto" w:fill="auto"/>
                  <w:noWrap/>
                  <w:vAlign w:val="center"/>
                  <w:hideMark/>
                </w:tcPr>
                <w:p w14:paraId="69D8E0CC"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b/>
                      <w:bCs/>
                      <w:sz w:val="16"/>
                      <w:szCs w:val="16"/>
                    </w:rPr>
                  </w:pPr>
                  <w:r w:rsidRPr="00160D76">
                    <w:rPr>
                      <w:rFonts w:ascii="Times" w:eastAsia="Times New Roman" w:hAnsi="Times" w:cs="Times"/>
                      <w:b/>
                      <w:bCs/>
                      <w:sz w:val="16"/>
                      <w:szCs w:val="16"/>
                    </w:rPr>
                    <w:t>100%</w:t>
                  </w:r>
                </w:p>
              </w:tc>
              <w:tc>
                <w:tcPr>
                  <w:tcW w:w="759" w:type="dxa"/>
                  <w:tcBorders>
                    <w:top w:val="nil"/>
                    <w:left w:val="nil"/>
                    <w:bottom w:val="single" w:sz="4" w:space="0" w:color="auto"/>
                    <w:right w:val="nil"/>
                  </w:tcBorders>
                  <w:shd w:val="clear" w:color="auto" w:fill="auto"/>
                  <w:noWrap/>
                  <w:vAlign w:val="center"/>
                  <w:hideMark/>
                </w:tcPr>
                <w:p w14:paraId="4034D6F7"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b/>
                      <w:bCs/>
                      <w:sz w:val="16"/>
                      <w:szCs w:val="16"/>
                    </w:rPr>
                  </w:pPr>
                  <w:r w:rsidRPr="00160D76">
                    <w:rPr>
                      <w:rFonts w:ascii="Times" w:eastAsia="Times New Roman" w:hAnsi="Times" w:cs="Times"/>
                      <w:b/>
                      <w:bCs/>
                      <w:sz w:val="16"/>
                      <w:szCs w:val="16"/>
                    </w:rPr>
                    <w:t>100%</w:t>
                  </w:r>
                </w:p>
              </w:tc>
              <w:tc>
                <w:tcPr>
                  <w:tcW w:w="767" w:type="dxa"/>
                  <w:tcBorders>
                    <w:top w:val="nil"/>
                    <w:left w:val="nil"/>
                    <w:bottom w:val="single" w:sz="4" w:space="0" w:color="auto"/>
                    <w:right w:val="single" w:sz="4" w:space="0" w:color="auto"/>
                  </w:tcBorders>
                  <w:shd w:val="clear" w:color="auto" w:fill="auto"/>
                  <w:noWrap/>
                  <w:vAlign w:val="center"/>
                  <w:hideMark/>
                </w:tcPr>
                <w:p w14:paraId="462787F0"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b/>
                      <w:bCs/>
                      <w:sz w:val="16"/>
                      <w:szCs w:val="16"/>
                    </w:rPr>
                  </w:pPr>
                  <w:r w:rsidRPr="00160D76">
                    <w:rPr>
                      <w:rFonts w:ascii="Times" w:eastAsia="Times New Roman" w:hAnsi="Times" w:cs="Times"/>
                      <w:b/>
                      <w:bCs/>
                      <w:sz w:val="16"/>
                      <w:szCs w:val="16"/>
                    </w:rPr>
                    <w:t>100%</w:t>
                  </w:r>
                </w:p>
              </w:tc>
              <w:tc>
                <w:tcPr>
                  <w:tcW w:w="712" w:type="dxa"/>
                  <w:tcBorders>
                    <w:top w:val="nil"/>
                    <w:left w:val="nil"/>
                    <w:bottom w:val="single" w:sz="4" w:space="0" w:color="auto"/>
                    <w:right w:val="nil"/>
                  </w:tcBorders>
                  <w:shd w:val="clear" w:color="auto" w:fill="auto"/>
                  <w:noWrap/>
                  <w:vAlign w:val="center"/>
                  <w:hideMark/>
                </w:tcPr>
                <w:p w14:paraId="7596E397"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b/>
                      <w:bCs/>
                      <w:sz w:val="16"/>
                      <w:szCs w:val="16"/>
                    </w:rPr>
                  </w:pPr>
                  <w:r w:rsidRPr="00160D76">
                    <w:rPr>
                      <w:rFonts w:ascii="Times" w:eastAsia="Times New Roman" w:hAnsi="Times" w:cs="Times"/>
                      <w:b/>
                      <w:bCs/>
                      <w:sz w:val="16"/>
                      <w:szCs w:val="16"/>
                    </w:rPr>
                    <w:t>3.9%</w:t>
                  </w:r>
                </w:p>
              </w:tc>
              <w:tc>
                <w:tcPr>
                  <w:tcW w:w="822" w:type="dxa"/>
                  <w:tcBorders>
                    <w:top w:val="nil"/>
                    <w:left w:val="nil"/>
                    <w:bottom w:val="single" w:sz="4" w:space="0" w:color="auto"/>
                    <w:right w:val="single" w:sz="4" w:space="0" w:color="auto"/>
                  </w:tcBorders>
                  <w:shd w:val="clear" w:color="auto" w:fill="auto"/>
                  <w:noWrap/>
                  <w:vAlign w:val="center"/>
                  <w:hideMark/>
                </w:tcPr>
                <w:p w14:paraId="38A61D27"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b/>
                      <w:bCs/>
                      <w:sz w:val="16"/>
                      <w:szCs w:val="16"/>
                    </w:rPr>
                  </w:pPr>
                  <w:r w:rsidRPr="00160D76">
                    <w:rPr>
                      <w:rFonts w:ascii="Times" w:eastAsia="Times New Roman" w:hAnsi="Times" w:cs="Times"/>
                      <w:b/>
                      <w:bCs/>
                      <w:sz w:val="16"/>
                      <w:szCs w:val="16"/>
                    </w:rPr>
                    <w:t>-1.5%</w:t>
                  </w:r>
                </w:p>
              </w:tc>
              <w:tc>
                <w:tcPr>
                  <w:tcW w:w="766" w:type="dxa"/>
                  <w:tcBorders>
                    <w:top w:val="nil"/>
                    <w:left w:val="nil"/>
                    <w:bottom w:val="single" w:sz="4" w:space="0" w:color="auto"/>
                    <w:right w:val="nil"/>
                  </w:tcBorders>
                  <w:shd w:val="clear" w:color="auto" w:fill="auto"/>
                  <w:noWrap/>
                  <w:vAlign w:val="center"/>
                  <w:hideMark/>
                </w:tcPr>
                <w:p w14:paraId="57B94067"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b/>
                      <w:bCs/>
                      <w:sz w:val="16"/>
                      <w:szCs w:val="16"/>
                    </w:rPr>
                  </w:pPr>
                  <w:r w:rsidRPr="00160D76">
                    <w:rPr>
                      <w:rFonts w:ascii="Times" w:eastAsia="Times New Roman" w:hAnsi="Times" w:cs="Times"/>
                      <w:b/>
                      <w:bCs/>
                      <w:sz w:val="16"/>
                      <w:szCs w:val="16"/>
                    </w:rPr>
                    <w:t> </w:t>
                  </w:r>
                </w:p>
              </w:tc>
              <w:tc>
                <w:tcPr>
                  <w:tcW w:w="766" w:type="dxa"/>
                  <w:tcBorders>
                    <w:top w:val="nil"/>
                    <w:left w:val="nil"/>
                    <w:bottom w:val="single" w:sz="4" w:space="0" w:color="auto"/>
                    <w:right w:val="single" w:sz="4" w:space="0" w:color="auto"/>
                  </w:tcBorders>
                  <w:shd w:val="clear" w:color="auto" w:fill="auto"/>
                  <w:noWrap/>
                  <w:vAlign w:val="center"/>
                  <w:hideMark/>
                </w:tcPr>
                <w:p w14:paraId="78E88415" w14:textId="77777777" w:rsidR="00322670" w:rsidRPr="00160D76" w:rsidRDefault="00322670" w:rsidP="00AB0BA0">
                  <w:pPr>
                    <w:framePr w:hSpace="141" w:wrap="around" w:vAnchor="text" w:hAnchor="margin" w:y="74"/>
                    <w:spacing w:after="0" w:line="240" w:lineRule="auto"/>
                    <w:jc w:val="center"/>
                    <w:rPr>
                      <w:rFonts w:ascii="Times" w:eastAsia="Times New Roman" w:hAnsi="Times" w:cs="Times"/>
                      <w:b/>
                      <w:bCs/>
                      <w:sz w:val="16"/>
                      <w:szCs w:val="16"/>
                    </w:rPr>
                  </w:pPr>
                  <w:r w:rsidRPr="00160D76">
                    <w:rPr>
                      <w:rFonts w:ascii="Times" w:eastAsia="Times New Roman" w:hAnsi="Times" w:cs="Times"/>
                      <w:b/>
                      <w:bCs/>
                      <w:sz w:val="16"/>
                      <w:szCs w:val="16"/>
                    </w:rPr>
                    <w:t> </w:t>
                  </w:r>
                </w:p>
              </w:tc>
            </w:tr>
          </w:tbl>
          <w:p w14:paraId="6B018150" w14:textId="77777777" w:rsidR="00322670" w:rsidRDefault="00322670" w:rsidP="00DE1FBB">
            <w:pPr>
              <w:spacing w:line="276" w:lineRule="auto"/>
              <w:jc w:val="both"/>
              <w:rPr>
                <w:rFonts w:ascii="Times New Roman" w:hAnsi="Times New Roman" w:cs="Times New Roman"/>
              </w:rPr>
            </w:pPr>
            <w:r w:rsidRPr="00160D76">
              <w:rPr>
                <w:rFonts w:ascii="Times New Roman" w:hAnsi="Times New Roman" w:cs="Times New Roman"/>
                <w:noProof/>
                <w:lang w:val="es-ES" w:eastAsia="es-ES"/>
              </w:rPr>
              <mc:AlternateContent>
                <mc:Choice Requires="wps">
                  <w:drawing>
                    <wp:anchor distT="0" distB="0" distL="114300" distR="114300" simplePos="0" relativeHeight="251975168" behindDoc="0" locked="0" layoutInCell="1" allowOverlap="1" wp14:anchorId="7E193623" wp14:editId="3091B891">
                      <wp:simplePos x="0" y="0"/>
                      <wp:positionH relativeFrom="margin">
                        <wp:posOffset>-62009</wp:posOffset>
                      </wp:positionH>
                      <wp:positionV relativeFrom="paragraph">
                        <wp:posOffset>5080</wp:posOffset>
                      </wp:positionV>
                      <wp:extent cx="4657725" cy="465455"/>
                      <wp:effectExtent l="0" t="0" r="9525" b="0"/>
                      <wp:wrapNone/>
                      <wp:docPr id="81" name="Text Box 41"/>
                      <wp:cNvGraphicFramePr/>
                      <a:graphic xmlns:a="http://schemas.openxmlformats.org/drawingml/2006/main">
                        <a:graphicData uri="http://schemas.microsoft.com/office/word/2010/wordprocessingShape">
                          <wps:wsp>
                            <wps:cNvSpPr txBox="1"/>
                            <wps:spPr>
                              <a:xfrm>
                                <a:off x="0" y="0"/>
                                <a:ext cx="4657725" cy="465455"/>
                              </a:xfrm>
                              <a:prstGeom prst="rect">
                                <a:avLst/>
                              </a:prstGeom>
                              <a:solidFill>
                                <a:schemeClr val="lt1"/>
                              </a:solidFill>
                              <a:ln w="6350">
                                <a:noFill/>
                              </a:ln>
                            </wps:spPr>
                            <wps:txbx>
                              <w:txbxContent>
                                <w:p w14:paraId="3D3C0D46" w14:textId="0801E99F" w:rsidR="00A36CEB" w:rsidRDefault="00A36CEB" w:rsidP="00322670">
                                  <w:pPr>
                                    <w:spacing w:after="0"/>
                                    <w:rPr>
                                      <w:rFonts w:ascii="Times New Roman" w:hAnsi="Times New Roman" w:cs="Times New Roman"/>
                                      <w:sz w:val="16"/>
                                      <w:szCs w:val="16"/>
                                    </w:rPr>
                                  </w:pPr>
                                  <w:r>
                                    <w:rPr>
                                      <w:rFonts w:ascii="Times New Roman" w:hAnsi="Times New Roman" w:cs="Times New Roman"/>
                                      <w:sz w:val="16"/>
                                      <w:szCs w:val="16"/>
                                    </w:rPr>
                                    <w:t>Fuente: Banco de Guatemala.</w:t>
                                  </w:r>
                                </w:p>
                                <w:p w14:paraId="43D609C0" w14:textId="77777777" w:rsidR="00A36CEB" w:rsidRDefault="00A36CEB" w:rsidP="00322670">
                                  <w:pPr>
                                    <w:spacing w:after="0"/>
                                    <w:rPr>
                                      <w:rFonts w:ascii="Times New Roman" w:hAnsi="Times New Roman" w:cs="Times New Roman"/>
                                      <w:sz w:val="16"/>
                                      <w:szCs w:val="16"/>
                                    </w:rPr>
                                  </w:pPr>
                                  <w:r>
                                    <w:rPr>
                                      <w:rFonts w:ascii="Times New Roman" w:hAnsi="Times New Roman" w:cs="Times New Roman"/>
                                      <w:sz w:val="16"/>
                                      <w:szCs w:val="16"/>
                                    </w:rPr>
                                    <w:t xml:space="preserve">La diferencia entre la suma de los componentes y el total del PIB es por la discrepancia de la base móvil 2013 </w:t>
                                  </w:r>
                                </w:p>
                                <w:p w14:paraId="0540E3FE" w14:textId="77777777" w:rsidR="00A36CEB" w:rsidRPr="005F5A97" w:rsidRDefault="00A36CEB" w:rsidP="00322670">
                                  <w:pPr>
                                    <w:spacing w:after="0"/>
                                    <w:rPr>
                                      <w:rFonts w:ascii="Times New Roman" w:hAnsi="Times New Roman" w:cs="Times New Roman"/>
                                      <w:sz w:val="16"/>
                                      <w:szCs w:val="16"/>
                                    </w:rPr>
                                  </w:pPr>
                                  <w:r>
                                    <w:rPr>
                                      <w:rFonts w:ascii="Times New Roman" w:hAnsi="Times New Roman" w:cs="Times New Roman"/>
                                      <w:sz w:val="16"/>
                                      <w:szCs w:val="16"/>
                                    </w:rPr>
                                    <w:t>y por los impuestos netos de subvenciones a los productos.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E193623" id="Text Box 41" o:spid="_x0000_s1034" type="#_x0000_t202" style="position:absolute;left:0;text-align:left;margin-left:-4.9pt;margin-top:.4pt;width:366.75pt;height:36.65pt;z-index:25197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" fillcolor="white [3201]" stroked="f" strokeweight=".5pt">
                      <v:textbox>
                        <w:txbxContent>
                          <w:p w14:paraId="3D3C0D46" w14:textId="0801E99F" w:rsidR="00A36CEB" w:rsidRDefault="00A36CEB" w:rsidP="00322670">
                            <w:pPr>
                              <w:spacing w:after="0"/>
                              <w:rPr>
                                <w:rFonts w:ascii="Times New Roman" w:hAnsi="Times New Roman" w:cs="Times New Roman"/>
                                <w:sz w:val="16"/>
                                <w:szCs w:val="16"/>
                              </w:rPr>
                            </w:pPr>
                            <w:r>
                              <w:rPr>
                                <w:rFonts w:ascii="Times New Roman" w:hAnsi="Times New Roman" w:cs="Times New Roman"/>
                                <w:sz w:val="16"/>
                                <w:szCs w:val="16"/>
                              </w:rPr>
                              <w:t>Fuente: Banco de Guatemala.</w:t>
                            </w:r>
                          </w:p>
                          <w:p w14:paraId="43D609C0" w14:textId="77777777" w:rsidR="00A36CEB" w:rsidRDefault="00A36CEB" w:rsidP="00322670">
                            <w:pPr>
                              <w:spacing w:after="0"/>
                              <w:rPr>
                                <w:rFonts w:ascii="Times New Roman" w:hAnsi="Times New Roman" w:cs="Times New Roman"/>
                                <w:sz w:val="16"/>
                                <w:szCs w:val="16"/>
                              </w:rPr>
                            </w:pPr>
                            <w:r>
                              <w:rPr>
                                <w:rFonts w:ascii="Times New Roman" w:hAnsi="Times New Roman" w:cs="Times New Roman"/>
                                <w:sz w:val="16"/>
                                <w:szCs w:val="16"/>
                              </w:rPr>
                              <w:t xml:space="preserve">La diferencia entre la suma de los componentes y el total del PIB es por la discrepancia de la base móvil 2013 </w:t>
                            </w:r>
                          </w:p>
                          <w:p w14:paraId="0540E3FE" w14:textId="77777777" w:rsidR="00A36CEB" w:rsidRPr="005F5A97" w:rsidRDefault="00A36CEB" w:rsidP="00322670">
                            <w:pPr>
                              <w:spacing w:after="0"/>
                              <w:rPr>
                                <w:rFonts w:ascii="Times New Roman" w:hAnsi="Times New Roman" w:cs="Times New Roman"/>
                                <w:sz w:val="16"/>
                                <w:szCs w:val="16"/>
                              </w:rPr>
                            </w:pPr>
                            <w:r>
                              <w:rPr>
                                <w:rFonts w:ascii="Times New Roman" w:hAnsi="Times New Roman" w:cs="Times New Roman"/>
                                <w:sz w:val="16"/>
                                <w:szCs w:val="16"/>
                              </w:rPr>
                              <w:t>y por los impuestos netos de subvenciones a los productos.</w:t>
                            </w:r>
                          </w:p>
                        </w:txbxContent>
                      </v:textbox>
                      <w10:wrap anchorx="margin"/>
                    </v:shape>
                  </w:pict>
                </mc:Fallback>
              </mc:AlternateContent>
            </w:r>
          </w:p>
          <w:p w14:paraId="33CABBC5" w14:textId="77777777" w:rsidR="00322670" w:rsidRPr="00384E40" w:rsidRDefault="00322670" w:rsidP="00DE1FBB">
            <w:pPr>
              <w:rPr>
                <w:rFonts w:ascii="Times New Roman" w:hAnsi="Times New Roman" w:cs="Times New Roman"/>
              </w:rPr>
            </w:pPr>
          </w:p>
          <w:p w14:paraId="03924904" w14:textId="77777777" w:rsidR="00322670" w:rsidRDefault="00322670" w:rsidP="00DE1FBB">
            <w:pPr>
              <w:rPr>
                <w:rFonts w:ascii="Times New Roman" w:hAnsi="Times New Roman" w:cs="Times New Roman"/>
              </w:rPr>
            </w:pPr>
          </w:p>
          <w:p w14:paraId="1E07C6C4" w14:textId="77777777" w:rsidR="00322670" w:rsidRPr="00384E40" w:rsidRDefault="00322670" w:rsidP="00DE1FBB">
            <w:pPr>
              <w:jc w:val="both"/>
              <w:rPr>
                <w:rFonts w:ascii="Times New Roman" w:hAnsi="Times New Roman" w:cs="Times New Roman"/>
              </w:rPr>
            </w:pPr>
          </w:p>
        </w:tc>
      </w:tr>
    </w:tbl>
    <w:p w14:paraId="478B7508" w14:textId="77777777" w:rsidR="00322670" w:rsidRPr="00160D76" w:rsidRDefault="00322670" w:rsidP="00322670">
      <w:pPr>
        <w:spacing w:after="0" w:line="240" w:lineRule="auto"/>
        <w:jc w:val="both"/>
        <w:rPr>
          <w:rFonts w:ascii="Times New Roman" w:hAnsi="Times New Roman" w:cs="Times New Roman"/>
        </w:rPr>
      </w:pPr>
      <w:r w:rsidRPr="00160D76">
        <w:rPr>
          <w:rFonts w:ascii="Times New Roman" w:hAnsi="Times New Roman" w:cs="Times New Roman"/>
        </w:rPr>
        <w:t xml:space="preserve">Las actividades más representativas que a pesar de la situación económica lograron mantener una variación positiva respecto del año anterior fueron las </w:t>
      </w:r>
      <w:r>
        <w:rPr>
          <w:rFonts w:ascii="Times New Roman" w:hAnsi="Times New Roman" w:cs="Times New Roman"/>
        </w:rPr>
        <w:t>a</w:t>
      </w:r>
      <w:r w:rsidRPr="00160D76">
        <w:rPr>
          <w:rFonts w:ascii="Times New Roman" w:hAnsi="Times New Roman" w:cs="Times New Roman"/>
        </w:rPr>
        <w:t xml:space="preserve">ctividades financieras y de seguros con 3.4%, las actividades inmobiliarias con 3.1%, la agricultura, ganadería, silvicultura y pesca con 2.9% así como también el suministro de electricidad, agua y servicios de saneamiento con 2.2% aunque las que contribuyeron más fuertemente en este grupo de actividades económicas fueron la de Agricultura e Inmobiliarias,  las cuales contrarrestaron la contracción económica con 0.6 puntos porcentuales en conjunto. Otras actividades que contribuyeron de manera positiva, aunque reducida en la actividad económica fueron la Información y comunicaciones, </w:t>
      </w:r>
      <w:r>
        <w:rPr>
          <w:rFonts w:ascii="Times New Roman" w:hAnsi="Times New Roman" w:cs="Times New Roman"/>
        </w:rPr>
        <w:t>f</w:t>
      </w:r>
      <w:r w:rsidRPr="00160D76">
        <w:rPr>
          <w:rFonts w:ascii="Times New Roman" w:hAnsi="Times New Roman" w:cs="Times New Roman"/>
        </w:rPr>
        <w:t>inancieras y seguros y Administración pública, en conjunto 0.2 puntos porcentuales</w:t>
      </w:r>
    </w:p>
    <w:p w14:paraId="4C159709" w14:textId="77777777" w:rsidR="00322670" w:rsidRPr="00160D76" w:rsidRDefault="00322670" w:rsidP="00322670">
      <w:pPr>
        <w:spacing w:after="0" w:line="240" w:lineRule="auto"/>
        <w:jc w:val="both"/>
        <w:rPr>
          <w:rFonts w:ascii="Times New Roman" w:hAnsi="Times New Roman" w:cs="Times New Roman"/>
        </w:rPr>
      </w:pPr>
    </w:p>
    <w:p w14:paraId="63032547" w14:textId="25D4927A" w:rsidR="00322670" w:rsidRDefault="00322670" w:rsidP="00B51812">
      <w:pPr>
        <w:spacing w:after="0" w:line="240" w:lineRule="auto"/>
        <w:jc w:val="both"/>
        <w:rPr>
          <w:rFonts w:ascii="Times New Roman" w:hAnsi="Times New Roman" w:cs="Times New Roman"/>
        </w:rPr>
      </w:pPr>
      <w:r w:rsidRPr="00160D76">
        <w:rPr>
          <w:rFonts w:ascii="Times New Roman" w:hAnsi="Times New Roman" w:cs="Times New Roman"/>
        </w:rPr>
        <w:t>Es importante observar que históricamente el comercio y la industria manufacturera son dos actividades que han tenido más representación dentro del producto 18.</w:t>
      </w:r>
      <w:r>
        <w:rPr>
          <w:rFonts w:ascii="Times New Roman" w:hAnsi="Times New Roman" w:cs="Times New Roman"/>
        </w:rPr>
        <w:t>1</w:t>
      </w:r>
      <w:r w:rsidRPr="00160D76">
        <w:rPr>
          <w:rFonts w:ascii="Times New Roman" w:hAnsi="Times New Roman" w:cs="Times New Roman"/>
        </w:rPr>
        <w:t>% y 14.2% respectivamente en promedio en los últimos tres años, además que en el 2019 contribuyeron con 0.7, 0.4 puntos porcentuales en el Producto Interno Bruto, sin embargo en el 2020 fueron las actividades económicas que tuvieron fuerte impacto por la crisis ya que su contribución en este año fue de -0.1 y -0.03 puntos porcentuales, derivado a que el primero de ellos paso de un crecimiento de 2019 a 2020 de 3.7% a</w:t>
      </w:r>
      <w:r w:rsidR="00B51812">
        <w:rPr>
          <w:rFonts w:ascii="Times New Roman" w:hAnsi="Times New Roman" w:cs="Times New Roman"/>
        </w:rPr>
        <w:t xml:space="preserve"> </w:t>
      </w:r>
      <w:r w:rsidRPr="00160D76">
        <w:rPr>
          <w:rFonts w:ascii="Times New Roman" w:hAnsi="Times New Roman" w:cs="Times New Roman"/>
        </w:rPr>
        <w:t>-0.5% y el segundo de ellos paso de 3.1% a -0.2%, respectivamente, lo cual afect</w:t>
      </w:r>
      <w:r>
        <w:rPr>
          <w:rFonts w:ascii="Times New Roman" w:hAnsi="Times New Roman" w:cs="Times New Roman"/>
        </w:rPr>
        <w:t>ó</w:t>
      </w:r>
      <w:r w:rsidRPr="00160D76">
        <w:rPr>
          <w:rFonts w:ascii="Times New Roman" w:hAnsi="Times New Roman" w:cs="Times New Roman"/>
        </w:rPr>
        <w:t xml:space="preserve"> de manera significativa.</w:t>
      </w:r>
    </w:p>
    <w:p w14:paraId="67042ACF" w14:textId="77777777" w:rsidR="00B51812" w:rsidRDefault="00B51812" w:rsidP="00B51812">
      <w:pPr>
        <w:spacing w:after="0" w:line="240" w:lineRule="auto"/>
        <w:jc w:val="both"/>
        <w:rPr>
          <w:rFonts w:ascii="Times New Roman" w:hAnsi="Times New Roman" w:cs="Times New Roman"/>
        </w:rPr>
      </w:pPr>
    </w:p>
    <w:p w14:paraId="0ABA118D" w14:textId="77777777" w:rsidR="00322670" w:rsidRPr="00160D76" w:rsidRDefault="00322670" w:rsidP="000E31EA">
      <w:pPr>
        <w:spacing w:after="0" w:line="240" w:lineRule="auto"/>
        <w:jc w:val="both"/>
        <w:rPr>
          <w:rFonts w:ascii="Times New Roman" w:hAnsi="Times New Roman" w:cs="Times New Roman"/>
        </w:rPr>
      </w:pPr>
      <w:r w:rsidRPr="00160D76">
        <w:rPr>
          <w:rFonts w:ascii="Times New Roman" w:hAnsi="Times New Roman" w:cs="Times New Roman"/>
        </w:rPr>
        <w:t>Referente al Producto Interno Bruto Real por el enfoque del gasto reporta una caída de la inversión de 5.9% en 2020 respecto a un crecimiento de 8.7% en 2019 esto como resultado de que la inversión pública cayó 30.8% en este año</w:t>
      </w:r>
      <w:r>
        <w:rPr>
          <w:rFonts w:ascii="Times New Roman" w:hAnsi="Times New Roman" w:cs="Times New Roman"/>
        </w:rPr>
        <w:t>,</w:t>
      </w:r>
      <w:r w:rsidRPr="00160D76">
        <w:rPr>
          <w:rFonts w:ascii="Times New Roman" w:hAnsi="Times New Roman" w:cs="Times New Roman"/>
        </w:rPr>
        <w:t xml:space="preserve"> después que en el año </w:t>
      </w:r>
      <w:r>
        <w:rPr>
          <w:rFonts w:ascii="Times New Roman" w:hAnsi="Times New Roman" w:cs="Times New Roman"/>
        </w:rPr>
        <w:t>previo</w:t>
      </w:r>
      <w:r w:rsidRPr="00160D76">
        <w:rPr>
          <w:rFonts w:ascii="Times New Roman" w:hAnsi="Times New Roman" w:cs="Times New Roman"/>
        </w:rPr>
        <w:t xml:space="preserve"> creci</w:t>
      </w:r>
      <w:r>
        <w:rPr>
          <w:rFonts w:ascii="Times New Roman" w:hAnsi="Times New Roman" w:cs="Times New Roman"/>
        </w:rPr>
        <w:t>ó</w:t>
      </w:r>
      <w:r w:rsidRPr="00160D76">
        <w:rPr>
          <w:rFonts w:ascii="Times New Roman" w:hAnsi="Times New Roman" w:cs="Times New Roman"/>
        </w:rPr>
        <w:t xml:space="preserve"> 32.7%, además la inversión privada pas</w:t>
      </w:r>
      <w:r>
        <w:rPr>
          <w:rFonts w:ascii="Times New Roman" w:hAnsi="Times New Roman" w:cs="Times New Roman"/>
        </w:rPr>
        <w:t>ó</w:t>
      </w:r>
      <w:r w:rsidRPr="00160D76">
        <w:rPr>
          <w:rFonts w:ascii="Times New Roman" w:hAnsi="Times New Roman" w:cs="Times New Roman"/>
        </w:rPr>
        <w:t xml:space="preserve"> de un crecimiento de 5.7% en 2019 a una caída de 2.1% este año, la contribución negativa de la inversión en este año fue de 0.9 puntos porcentuales. El consumo por su parte report</w:t>
      </w:r>
      <w:r>
        <w:rPr>
          <w:rFonts w:ascii="Times New Roman" w:hAnsi="Times New Roman" w:cs="Times New Roman"/>
        </w:rPr>
        <w:t>ó</w:t>
      </w:r>
      <w:r w:rsidRPr="00160D76">
        <w:rPr>
          <w:rFonts w:ascii="Times New Roman" w:hAnsi="Times New Roman" w:cs="Times New Roman"/>
        </w:rPr>
        <w:t xml:space="preserve"> una caída de 0.7% en 2020 respecto a un crecimiento de 4.3% del año anterior, esto es significativo derivado a que el consumo explica la mayor parte del PIB ya que pas</w:t>
      </w:r>
      <w:r>
        <w:rPr>
          <w:rFonts w:ascii="Times New Roman" w:hAnsi="Times New Roman" w:cs="Times New Roman"/>
        </w:rPr>
        <w:t>ó</w:t>
      </w:r>
      <w:r w:rsidRPr="00160D76">
        <w:rPr>
          <w:rFonts w:ascii="Times New Roman" w:hAnsi="Times New Roman" w:cs="Times New Roman"/>
        </w:rPr>
        <w:t xml:space="preserve"> de tener una contribución positiva de 4.2% en 2019 a una negativa de 0.7% en </w:t>
      </w:r>
      <w:r>
        <w:rPr>
          <w:rFonts w:ascii="Times New Roman" w:hAnsi="Times New Roman" w:cs="Times New Roman"/>
        </w:rPr>
        <w:t>2020</w:t>
      </w:r>
      <w:r w:rsidRPr="00160D76">
        <w:rPr>
          <w:rFonts w:ascii="Times New Roman" w:hAnsi="Times New Roman" w:cs="Times New Roman"/>
        </w:rPr>
        <w:t>, es decir</w:t>
      </w:r>
      <w:r>
        <w:rPr>
          <w:rFonts w:ascii="Times New Roman" w:hAnsi="Times New Roman" w:cs="Times New Roman"/>
        </w:rPr>
        <w:t>,</w:t>
      </w:r>
      <w:r w:rsidRPr="00160D76">
        <w:rPr>
          <w:rFonts w:ascii="Times New Roman" w:hAnsi="Times New Roman" w:cs="Times New Roman"/>
        </w:rPr>
        <w:t xml:space="preserve"> una reducción en la contribución de 4.9 puntos porcentuales.</w:t>
      </w:r>
    </w:p>
    <w:p w14:paraId="1F401243" w14:textId="77777777" w:rsidR="00322670" w:rsidRPr="00160D76" w:rsidRDefault="00322670" w:rsidP="000E31EA">
      <w:pPr>
        <w:spacing w:after="0" w:line="240" w:lineRule="auto"/>
        <w:jc w:val="both"/>
        <w:rPr>
          <w:rFonts w:ascii="Times New Roman" w:hAnsi="Times New Roman" w:cs="Times New Roman"/>
        </w:rPr>
      </w:pPr>
    </w:p>
    <w:p w14:paraId="7809451D" w14:textId="77777777" w:rsidR="00322670" w:rsidRDefault="00322670" w:rsidP="000E31EA">
      <w:pPr>
        <w:spacing w:after="0" w:line="240" w:lineRule="auto"/>
        <w:jc w:val="both"/>
        <w:rPr>
          <w:rFonts w:ascii="Times New Roman" w:hAnsi="Times New Roman" w:cs="Times New Roman"/>
        </w:rPr>
      </w:pPr>
      <w:r w:rsidRPr="00160D76">
        <w:rPr>
          <w:rFonts w:ascii="Times New Roman" w:hAnsi="Times New Roman" w:cs="Times New Roman"/>
        </w:rPr>
        <w:t>El rubro que represent</w:t>
      </w:r>
      <w:r>
        <w:rPr>
          <w:rFonts w:ascii="Times New Roman" w:hAnsi="Times New Roman" w:cs="Times New Roman"/>
        </w:rPr>
        <w:t>ó</w:t>
      </w:r>
      <w:r w:rsidRPr="00160D76">
        <w:rPr>
          <w:rFonts w:ascii="Times New Roman" w:hAnsi="Times New Roman" w:cs="Times New Roman"/>
        </w:rPr>
        <w:t xml:space="preserve"> el mayor impacto en contribución negativa en el presente año fueron las importaciones con 1.6 puntos porcentuales</w:t>
      </w:r>
      <w:r>
        <w:rPr>
          <w:rFonts w:ascii="Times New Roman" w:hAnsi="Times New Roman" w:cs="Times New Roman"/>
        </w:rPr>
        <w:t>,</w:t>
      </w:r>
      <w:r w:rsidRPr="00160D76">
        <w:rPr>
          <w:rFonts w:ascii="Times New Roman" w:hAnsi="Times New Roman" w:cs="Times New Roman"/>
        </w:rPr>
        <w:t xml:space="preserve"> esto derivado a que </w:t>
      </w:r>
      <w:r>
        <w:rPr>
          <w:rFonts w:ascii="Times New Roman" w:hAnsi="Times New Roman" w:cs="Times New Roman"/>
        </w:rPr>
        <w:t xml:space="preserve">se </w:t>
      </w:r>
      <w:r w:rsidRPr="00160D76">
        <w:rPr>
          <w:rFonts w:ascii="Times New Roman" w:hAnsi="Times New Roman" w:cs="Times New Roman"/>
        </w:rPr>
        <w:t>report</w:t>
      </w:r>
      <w:r>
        <w:rPr>
          <w:rFonts w:ascii="Times New Roman" w:hAnsi="Times New Roman" w:cs="Times New Roman"/>
        </w:rPr>
        <w:t>ó</w:t>
      </w:r>
      <w:r w:rsidRPr="00160D76">
        <w:rPr>
          <w:rFonts w:ascii="Times New Roman" w:hAnsi="Times New Roman" w:cs="Times New Roman"/>
        </w:rPr>
        <w:t xml:space="preserve"> una caída de 4.6% en 2020 respecto a un crecimiento de 4.9% en 2019; de igual manea las exportaciones cayeron 4.4% en el </w:t>
      </w:r>
      <w:r>
        <w:rPr>
          <w:rFonts w:ascii="Times New Roman" w:hAnsi="Times New Roman" w:cs="Times New Roman"/>
        </w:rPr>
        <w:t xml:space="preserve">2020 </w:t>
      </w:r>
      <w:r w:rsidRPr="00160D76">
        <w:rPr>
          <w:rFonts w:ascii="Times New Roman" w:hAnsi="Times New Roman" w:cs="Times New Roman"/>
        </w:rPr>
        <w:t>después que el 2019 habían crecido 0.1%</w:t>
      </w:r>
      <w:r>
        <w:rPr>
          <w:rFonts w:ascii="Times New Roman" w:hAnsi="Times New Roman" w:cs="Times New Roman"/>
        </w:rPr>
        <w:t xml:space="preserve"> y su</w:t>
      </w:r>
      <w:r w:rsidRPr="00160D76">
        <w:rPr>
          <w:rFonts w:ascii="Times New Roman" w:hAnsi="Times New Roman" w:cs="Times New Roman"/>
        </w:rPr>
        <w:t xml:space="preserve"> impacto de la contribución en el Producto Interno Bruto fue de -0.9 puntos porcentuales.</w:t>
      </w:r>
    </w:p>
    <w:p w14:paraId="16AD7342" w14:textId="62DC565F" w:rsidR="000971C3" w:rsidRPr="00134FDC" w:rsidRDefault="000971C3" w:rsidP="00134FDC">
      <w:pPr>
        <w:pStyle w:val="Epgrafe"/>
        <w:keepNext/>
        <w:framePr w:hSpace="141" w:wrap="around" w:vAnchor="text" w:hAnchor="page" w:x="3667" w:y="348"/>
        <w:spacing w:after="0"/>
        <w:jc w:val="center"/>
        <w:rPr>
          <w:rFonts w:ascii="Times New Roman" w:hAnsi="Times New Roman" w:cs="Times New Roman"/>
          <w:b/>
          <w:color w:val="auto"/>
          <w:sz w:val="20"/>
        </w:rPr>
      </w:pPr>
      <w:bookmarkStart w:id="116" w:name="_Toc81573027"/>
      <w:r w:rsidRPr="00134FDC">
        <w:rPr>
          <w:rFonts w:ascii="Times New Roman" w:hAnsi="Times New Roman" w:cs="Times New Roman"/>
          <w:b/>
          <w:color w:val="auto"/>
          <w:sz w:val="20"/>
        </w:rPr>
        <w:t xml:space="preserve">Tabla </w:t>
      </w:r>
      <w:r w:rsidRPr="00134FDC">
        <w:rPr>
          <w:rFonts w:ascii="Times New Roman" w:hAnsi="Times New Roman" w:cs="Times New Roman"/>
          <w:b/>
          <w:color w:val="auto"/>
          <w:sz w:val="20"/>
        </w:rPr>
        <w:fldChar w:fldCharType="begin"/>
      </w:r>
      <w:r w:rsidRPr="00134FDC">
        <w:rPr>
          <w:rFonts w:ascii="Times New Roman" w:hAnsi="Times New Roman" w:cs="Times New Roman"/>
          <w:b/>
          <w:color w:val="auto"/>
          <w:sz w:val="20"/>
        </w:rPr>
        <w:instrText xml:space="preserve"> SEQ Tabla \* ARABIC </w:instrText>
      </w:r>
      <w:r w:rsidRPr="00134FDC">
        <w:rPr>
          <w:rFonts w:ascii="Times New Roman" w:hAnsi="Times New Roman" w:cs="Times New Roman"/>
          <w:b/>
          <w:color w:val="auto"/>
          <w:sz w:val="20"/>
        </w:rPr>
        <w:fldChar w:fldCharType="separate"/>
      </w:r>
      <w:r w:rsidR="009E18F8">
        <w:rPr>
          <w:rFonts w:ascii="Times New Roman" w:hAnsi="Times New Roman" w:cs="Times New Roman"/>
          <w:b/>
          <w:noProof/>
          <w:color w:val="auto"/>
          <w:sz w:val="20"/>
        </w:rPr>
        <w:t>5</w:t>
      </w:r>
      <w:r w:rsidRPr="00134FDC">
        <w:rPr>
          <w:rFonts w:ascii="Times New Roman" w:hAnsi="Times New Roman" w:cs="Times New Roman"/>
          <w:b/>
          <w:color w:val="auto"/>
          <w:sz w:val="20"/>
        </w:rPr>
        <w:fldChar w:fldCharType="end"/>
      </w:r>
      <w:r w:rsidRPr="00134FDC">
        <w:rPr>
          <w:rFonts w:ascii="Times New Roman" w:hAnsi="Times New Roman" w:cs="Times New Roman"/>
          <w:b/>
          <w:color w:val="auto"/>
          <w:sz w:val="20"/>
        </w:rPr>
        <w:t xml:space="preserve"> Producto interno bruto real por enfoque del Gasto</w:t>
      </w:r>
      <w:bookmarkEnd w:id="116"/>
    </w:p>
    <w:p w14:paraId="172B590F" w14:textId="77777777" w:rsidR="00E77673" w:rsidRDefault="00E77673" w:rsidP="000E31EA">
      <w:pPr>
        <w:spacing w:after="0" w:line="240" w:lineRule="auto"/>
        <w:jc w:val="both"/>
        <w:rPr>
          <w:rFonts w:ascii="Times New Roman" w:hAnsi="Times New Roman"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322670" w14:paraId="46495A19" w14:textId="77777777" w:rsidTr="00DE1FBB">
        <w:tc>
          <w:tcPr>
            <w:tcW w:w="8828" w:type="dxa"/>
          </w:tcPr>
          <w:tbl>
            <w:tblPr>
              <w:tblW w:w="7859" w:type="dxa"/>
              <w:jc w:val="center"/>
              <w:tblLook w:val="04A0" w:firstRow="1" w:lastRow="0" w:firstColumn="1" w:lastColumn="0" w:noHBand="0" w:noVBand="1"/>
            </w:tblPr>
            <w:tblGrid>
              <w:gridCol w:w="2626"/>
              <w:gridCol w:w="749"/>
              <w:gridCol w:w="741"/>
              <w:gridCol w:w="749"/>
              <w:gridCol w:w="748"/>
              <w:gridCol w:w="749"/>
              <w:gridCol w:w="748"/>
              <w:gridCol w:w="749"/>
            </w:tblGrid>
            <w:tr w:rsidR="00322670" w:rsidRPr="00160D76" w14:paraId="623B2F05" w14:textId="77777777" w:rsidTr="00DE1FBB">
              <w:trPr>
                <w:trHeight w:val="260"/>
                <w:jc w:val="center"/>
              </w:trPr>
              <w:tc>
                <w:tcPr>
                  <w:tcW w:w="2626" w:type="dxa"/>
                  <w:tcBorders>
                    <w:top w:val="nil"/>
                    <w:left w:val="nil"/>
                    <w:bottom w:val="single" w:sz="4" w:space="0" w:color="auto"/>
                    <w:right w:val="nil"/>
                  </w:tcBorders>
                  <w:shd w:val="clear" w:color="auto" w:fill="auto"/>
                  <w:noWrap/>
                  <w:vAlign w:val="bottom"/>
                  <w:hideMark/>
                </w:tcPr>
                <w:p w14:paraId="7504631F" w14:textId="77777777" w:rsidR="00322670" w:rsidRPr="00160D76" w:rsidRDefault="00322670" w:rsidP="00DE1FBB">
                  <w:pPr>
                    <w:spacing w:after="0" w:line="240" w:lineRule="auto"/>
                    <w:rPr>
                      <w:rFonts w:ascii="Times New Roman" w:eastAsia="Times New Roman" w:hAnsi="Times New Roman" w:cs="Times New Roman"/>
                      <w:sz w:val="24"/>
                      <w:szCs w:val="24"/>
                    </w:rPr>
                  </w:pPr>
                </w:p>
              </w:tc>
              <w:tc>
                <w:tcPr>
                  <w:tcW w:w="2239" w:type="dxa"/>
                  <w:gridSpan w:val="3"/>
                  <w:tcBorders>
                    <w:top w:val="nil"/>
                    <w:left w:val="nil"/>
                    <w:bottom w:val="single" w:sz="4" w:space="0" w:color="auto"/>
                    <w:right w:val="nil"/>
                  </w:tcBorders>
                  <w:shd w:val="clear" w:color="auto" w:fill="auto"/>
                  <w:noWrap/>
                  <w:vAlign w:val="bottom"/>
                  <w:hideMark/>
                </w:tcPr>
                <w:p w14:paraId="445B91D3" w14:textId="77777777" w:rsidR="00322670" w:rsidRPr="00160D76" w:rsidRDefault="00322670" w:rsidP="00DE1FBB">
                  <w:pPr>
                    <w:spacing w:after="0" w:line="240" w:lineRule="auto"/>
                    <w:jc w:val="center"/>
                    <w:rPr>
                      <w:rFonts w:ascii="Times" w:eastAsia="Times New Roman" w:hAnsi="Times" w:cs="Times"/>
                      <w:b/>
                      <w:bCs/>
                      <w:sz w:val="20"/>
                      <w:szCs w:val="20"/>
                    </w:rPr>
                  </w:pPr>
                  <w:r w:rsidRPr="00160D76">
                    <w:rPr>
                      <w:rFonts w:ascii="Times" w:eastAsia="Times New Roman" w:hAnsi="Times" w:cs="Times"/>
                      <w:b/>
                      <w:bCs/>
                      <w:sz w:val="20"/>
                      <w:szCs w:val="20"/>
                    </w:rPr>
                    <w:t>Estructura</w:t>
                  </w:r>
                </w:p>
              </w:tc>
              <w:tc>
                <w:tcPr>
                  <w:tcW w:w="1497" w:type="dxa"/>
                  <w:gridSpan w:val="2"/>
                  <w:tcBorders>
                    <w:top w:val="nil"/>
                    <w:left w:val="nil"/>
                    <w:bottom w:val="single" w:sz="4" w:space="0" w:color="auto"/>
                    <w:right w:val="nil"/>
                  </w:tcBorders>
                  <w:shd w:val="clear" w:color="auto" w:fill="auto"/>
                  <w:noWrap/>
                  <w:vAlign w:val="bottom"/>
                  <w:hideMark/>
                </w:tcPr>
                <w:p w14:paraId="07F62558" w14:textId="77777777" w:rsidR="00322670" w:rsidRPr="00160D76" w:rsidRDefault="00322670" w:rsidP="00DE1FBB">
                  <w:pPr>
                    <w:spacing w:after="0" w:line="240" w:lineRule="auto"/>
                    <w:jc w:val="center"/>
                    <w:rPr>
                      <w:rFonts w:ascii="Times" w:eastAsia="Times New Roman" w:hAnsi="Times" w:cs="Times"/>
                      <w:b/>
                      <w:bCs/>
                      <w:sz w:val="20"/>
                      <w:szCs w:val="20"/>
                    </w:rPr>
                  </w:pPr>
                  <w:r w:rsidRPr="00160D76">
                    <w:rPr>
                      <w:rFonts w:ascii="Times" w:eastAsia="Times New Roman" w:hAnsi="Times" w:cs="Times"/>
                      <w:b/>
                      <w:bCs/>
                      <w:sz w:val="20"/>
                      <w:szCs w:val="20"/>
                    </w:rPr>
                    <w:t>Crecimiento</w:t>
                  </w:r>
                </w:p>
              </w:tc>
              <w:tc>
                <w:tcPr>
                  <w:tcW w:w="1497" w:type="dxa"/>
                  <w:gridSpan w:val="2"/>
                  <w:tcBorders>
                    <w:top w:val="nil"/>
                    <w:left w:val="nil"/>
                    <w:bottom w:val="single" w:sz="4" w:space="0" w:color="auto"/>
                    <w:right w:val="nil"/>
                  </w:tcBorders>
                  <w:shd w:val="clear" w:color="auto" w:fill="auto"/>
                  <w:noWrap/>
                  <w:vAlign w:val="bottom"/>
                  <w:hideMark/>
                </w:tcPr>
                <w:p w14:paraId="090364B5" w14:textId="77777777" w:rsidR="00322670" w:rsidRPr="00160D76" w:rsidRDefault="00322670" w:rsidP="00DE1FBB">
                  <w:pPr>
                    <w:spacing w:after="0" w:line="240" w:lineRule="auto"/>
                    <w:jc w:val="center"/>
                    <w:rPr>
                      <w:rFonts w:ascii="Times New Roman" w:eastAsia="Times New Roman" w:hAnsi="Times New Roman" w:cs="Times New Roman"/>
                      <w:b/>
                      <w:bCs/>
                      <w:sz w:val="20"/>
                      <w:szCs w:val="20"/>
                    </w:rPr>
                  </w:pPr>
                  <w:r w:rsidRPr="00160D76">
                    <w:rPr>
                      <w:rFonts w:ascii="Times New Roman" w:eastAsia="Times New Roman" w:hAnsi="Times New Roman" w:cs="Times New Roman"/>
                      <w:b/>
                      <w:bCs/>
                      <w:sz w:val="20"/>
                      <w:szCs w:val="20"/>
                    </w:rPr>
                    <w:t>Contribución</w:t>
                  </w:r>
                </w:p>
              </w:tc>
            </w:tr>
            <w:tr w:rsidR="00322670" w:rsidRPr="00160D76" w14:paraId="145F95EE" w14:textId="77777777" w:rsidTr="00DE1FBB">
              <w:trPr>
                <w:trHeight w:val="260"/>
                <w:jc w:val="center"/>
              </w:trPr>
              <w:tc>
                <w:tcPr>
                  <w:tcW w:w="262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1387C6A9" w14:textId="77777777" w:rsidR="00322670" w:rsidRPr="00160D76" w:rsidRDefault="00322670" w:rsidP="00DE1FBB">
                  <w:pPr>
                    <w:spacing w:after="0" w:line="240" w:lineRule="auto"/>
                    <w:rPr>
                      <w:rFonts w:ascii="Times" w:eastAsia="Times New Roman" w:hAnsi="Times" w:cs="Times"/>
                      <w:b/>
                      <w:bCs/>
                      <w:sz w:val="20"/>
                      <w:szCs w:val="20"/>
                    </w:rPr>
                  </w:pPr>
                  <w:r w:rsidRPr="00160D76">
                    <w:rPr>
                      <w:rFonts w:ascii="Times" w:eastAsia="Times New Roman" w:hAnsi="Times" w:cs="Times"/>
                      <w:b/>
                      <w:bCs/>
                      <w:sz w:val="20"/>
                      <w:szCs w:val="20"/>
                    </w:rPr>
                    <w:t>Concepto</w:t>
                  </w:r>
                </w:p>
              </w:tc>
              <w:tc>
                <w:tcPr>
                  <w:tcW w:w="749" w:type="dxa"/>
                  <w:tcBorders>
                    <w:top w:val="single" w:sz="4" w:space="0" w:color="auto"/>
                    <w:left w:val="nil"/>
                    <w:bottom w:val="nil"/>
                    <w:right w:val="nil"/>
                  </w:tcBorders>
                  <w:shd w:val="clear" w:color="auto" w:fill="auto"/>
                  <w:noWrap/>
                  <w:vAlign w:val="bottom"/>
                  <w:hideMark/>
                </w:tcPr>
                <w:p w14:paraId="5ADCEDD3" w14:textId="77777777" w:rsidR="00322670" w:rsidRPr="00160D76" w:rsidRDefault="00322670" w:rsidP="00DE1FBB">
                  <w:pPr>
                    <w:spacing w:after="0" w:line="240" w:lineRule="auto"/>
                    <w:jc w:val="center"/>
                    <w:rPr>
                      <w:rFonts w:ascii="Times" w:eastAsia="Times New Roman" w:hAnsi="Times" w:cs="Times"/>
                      <w:b/>
                      <w:bCs/>
                      <w:sz w:val="20"/>
                      <w:szCs w:val="20"/>
                    </w:rPr>
                  </w:pPr>
                  <w:r w:rsidRPr="00160D76">
                    <w:rPr>
                      <w:rFonts w:ascii="Times" w:eastAsia="Times New Roman" w:hAnsi="Times" w:cs="Times"/>
                      <w:b/>
                      <w:bCs/>
                      <w:sz w:val="20"/>
                      <w:szCs w:val="20"/>
                    </w:rPr>
                    <w:t>2018</w:t>
                  </w:r>
                </w:p>
              </w:tc>
              <w:tc>
                <w:tcPr>
                  <w:tcW w:w="741" w:type="dxa"/>
                  <w:tcBorders>
                    <w:top w:val="single" w:sz="4" w:space="0" w:color="auto"/>
                    <w:left w:val="nil"/>
                    <w:bottom w:val="nil"/>
                    <w:right w:val="nil"/>
                  </w:tcBorders>
                  <w:shd w:val="clear" w:color="auto" w:fill="auto"/>
                  <w:noWrap/>
                  <w:vAlign w:val="bottom"/>
                  <w:hideMark/>
                </w:tcPr>
                <w:p w14:paraId="689CACD7" w14:textId="77777777" w:rsidR="00322670" w:rsidRPr="00160D76" w:rsidRDefault="00322670" w:rsidP="00DE1FBB">
                  <w:pPr>
                    <w:spacing w:after="0" w:line="240" w:lineRule="auto"/>
                    <w:jc w:val="center"/>
                    <w:rPr>
                      <w:rFonts w:ascii="Times" w:eastAsia="Times New Roman" w:hAnsi="Times" w:cs="Times"/>
                      <w:b/>
                      <w:bCs/>
                      <w:sz w:val="20"/>
                      <w:szCs w:val="20"/>
                    </w:rPr>
                  </w:pPr>
                  <w:r w:rsidRPr="00160D76">
                    <w:rPr>
                      <w:rFonts w:ascii="Times" w:eastAsia="Times New Roman" w:hAnsi="Times" w:cs="Times"/>
                      <w:b/>
                      <w:bCs/>
                      <w:sz w:val="20"/>
                      <w:szCs w:val="20"/>
                    </w:rPr>
                    <w:t>2019</w:t>
                  </w:r>
                </w:p>
              </w:tc>
              <w:tc>
                <w:tcPr>
                  <w:tcW w:w="748" w:type="dxa"/>
                  <w:tcBorders>
                    <w:top w:val="single" w:sz="4" w:space="0" w:color="auto"/>
                    <w:left w:val="nil"/>
                    <w:bottom w:val="nil"/>
                    <w:right w:val="single" w:sz="4" w:space="0" w:color="auto"/>
                  </w:tcBorders>
                  <w:shd w:val="clear" w:color="auto" w:fill="auto"/>
                  <w:noWrap/>
                  <w:vAlign w:val="bottom"/>
                  <w:hideMark/>
                </w:tcPr>
                <w:p w14:paraId="5D9F913D" w14:textId="77777777" w:rsidR="00322670" w:rsidRPr="00160D76" w:rsidRDefault="00322670" w:rsidP="00DE1FBB">
                  <w:pPr>
                    <w:spacing w:after="0" w:line="240" w:lineRule="auto"/>
                    <w:jc w:val="center"/>
                    <w:rPr>
                      <w:rFonts w:ascii="Times" w:eastAsia="Times New Roman" w:hAnsi="Times" w:cs="Times"/>
                      <w:b/>
                      <w:bCs/>
                      <w:sz w:val="20"/>
                      <w:szCs w:val="20"/>
                    </w:rPr>
                  </w:pPr>
                  <w:r w:rsidRPr="00160D76">
                    <w:rPr>
                      <w:rFonts w:ascii="Times" w:eastAsia="Times New Roman" w:hAnsi="Times" w:cs="Times"/>
                      <w:b/>
                      <w:bCs/>
                      <w:sz w:val="20"/>
                      <w:szCs w:val="20"/>
                    </w:rPr>
                    <w:t>2020</w:t>
                  </w:r>
                </w:p>
              </w:tc>
              <w:tc>
                <w:tcPr>
                  <w:tcW w:w="748" w:type="dxa"/>
                  <w:tcBorders>
                    <w:top w:val="single" w:sz="4" w:space="0" w:color="auto"/>
                    <w:left w:val="nil"/>
                    <w:bottom w:val="double" w:sz="6" w:space="0" w:color="auto"/>
                    <w:right w:val="nil"/>
                  </w:tcBorders>
                  <w:shd w:val="clear" w:color="auto" w:fill="auto"/>
                  <w:noWrap/>
                  <w:vAlign w:val="bottom"/>
                  <w:hideMark/>
                </w:tcPr>
                <w:p w14:paraId="4D93C8E5" w14:textId="77777777" w:rsidR="00322670" w:rsidRPr="00160D76" w:rsidRDefault="00322670" w:rsidP="00DE1FBB">
                  <w:pPr>
                    <w:spacing w:after="0" w:line="240" w:lineRule="auto"/>
                    <w:jc w:val="center"/>
                    <w:rPr>
                      <w:rFonts w:ascii="Times" w:eastAsia="Times New Roman" w:hAnsi="Times" w:cs="Times"/>
                      <w:b/>
                      <w:bCs/>
                      <w:sz w:val="20"/>
                      <w:szCs w:val="20"/>
                    </w:rPr>
                  </w:pPr>
                  <w:r w:rsidRPr="00160D76">
                    <w:rPr>
                      <w:rFonts w:ascii="Times" w:eastAsia="Times New Roman" w:hAnsi="Times" w:cs="Times"/>
                      <w:b/>
                      <w:bCs/>
                      <w:sz w:val="20"/>
                      <w:szCs w:val="20"/>
                    </w:rPr>
                    <w:t>2019</w:t>
                  </w:r>
                </w:p>
              </w:tc>
              <w:tc>
                <w:tcPr>
                  <w:tcW w:w="748" w:type="dxa"/>
                  <w:tcBorders>
                    <w:top w:val="single" w:sz="4" w:space="0" w:color="auto"/>
                    <w:left w:val="nil"/>
                    <w:bottom w:val="double" w:sz="6" w:space="0" w:color="auto"/>
                    <w:right w:val="single" w:sz="4" w:space="0" w:color="auto"/>
                  </w:tcBorders>
                  <w:shd w:val="clear" w:color="auto" w:fill="auto"/>
                  <w:noWrap/>
                  <w:vAlign w:val="bottom"/>
                  <w:hideMark/>
                </w:tcPr>
                <w:p w14:paraId="398EDD12" w14:textId="77777777" w:rsidR="00322670" w:rsidRPr="00160D76" w:rsidRDefault="00322670" w:rsidP="00DE1FBB">
                  <w:pPr>
                    <w:spacing w:after="0" w:line="240" w:lineRule="auto"/>
                    <w:jc w:val="center"/>
                    <w:rPr>
                      <w:rFonts w:ascii="Times" w:eastAsia="Times New Roman" w:hAnsi="Times" w:cs="Times"/>
                      <w:b/>
                      <w:bCs/>
                      <w:sz w:val="20"/>
                      <w:szCs w:val="20"/>
                    </w:rPr>
                  </w:pPr>
                  <w:r w:rsidRPr="00160D76">
                    <w:rPr>
                      <w:rFonts w:ascii="Times" w:eastAsia="Times New Roman" w:hAnsi="Times" w:cs="Times"/>
                      <w:b/>
                      <w:bCs/>
                      <w:sz w:val="20"/>
                      <w:szCs w:val="20"/>
                    </w:rPr>
                    <w:t>2020</w:t>
                  </w:r>
                </w:p>
              </w:tc>
              <w:tc>
                <w:tcPr>
                  <w:tcW w:w="748" w:type="dxa"/>
                  <w:tcBorders>
                    <w:top w:val="single" w:sz="4" w:space="0" w:color="auto"/>
                    <w:left w:val="nil"/>
                    <w:bottom w:val="double" w:sz="6" w:space="0" w:color="auto"/>
                    <w:right w:val="nil"/>
                  </w:tcBorders>
                  <w:shd w:val="clear" w:color="auto" w:fill="auto"/>
                  <w:noWrap/>
                  <w:vAlign w:val="bottom"/>
                  <w:hideMark/>
                </w:tcPr>
                <w:p w14:paraId="38C3DA40" w14:textId="77777777" w:rsidR="00322670" w:rsidRPr="00160D76" w:rsidRDefault="00322670" w:rsidP="00DE1FBB">
                  <w:pPr>
                    <w:spacing w:after="0" w:line="240" w:lineRule="auto"/>
                    <w:jc w:val="center"/>
                    <w:rPr>
                      <w:rFonts w:ascii="Times" w:eastAsia="Times New Roman" w:hAnsi="Times" w:cs="Times"/>
                      <w:b/>
                      <w:bCs/>
                      <w:sz w:val="20"/>
                      <w:szCs w:val="20"/>
                    </w:rPr>
                  </w:pPr>
                  <w:r w:rsidRPr="00160D76">
                    <w:rPr>
                      <w:rFonts w:ascii="Times" w:eastAsia="Times New Roman" w:hAnsi="Times" w:cs="Times"/>
                      <w:b/>
                      <w:bCs/>
                      <w:sz w:val="20"/>
                      <w:szCs w:val="20"/>
                    </w:rPr>
                    <w:t>2019</w:t>
                  </w:r>
                </w:p>
              </w:tc>
              <w:tc>
                <w:tcPr>
                  <w:tcW w:w="748" w:type="dxa"/>
                  <w:tcBorders>
                    <w:top w:val="single" w:sz="4" w:space="0" w:color="auto"/>
                    <w:left w:val="nil"/>
                    <w:bottom w:val="double" w:sz="6" w:space="0" w:color="auto"/>
                    <w:right w:val="single" w:sz="4" w:space="0" w:color="auto"/>
                  </w:tcBorders>
                  <w:shd w:val="clear" w:color="auto" w:fill="auto"/>
                  <w:noWrap/>
                  <w:vAlign w:val="bottom"/>
                  <w:hideMark/>
                </w:tcPr>
                <w:p w14:paraId="4C989381" w14:textId="77777777" w:rsidR="00322670" w:rsidRPr="00160D76" w:rsidRDefault="00322670" w:rsidP="00DE1FBB">
                  <w:pPr>
                    <w:spacing w:after="0" w:line="240" w:lineRule="auto"/>
                    <w:jc w:val="center"/>
                    <w:rPr>
                      <w:rFonts w:ascii="Times" w:eastAsia="Times New Roman" w:hAnsi="Times" w:cs="Times"/>
                      <w:b/>
                      <w:bCs/>
                      <w:sz w:val="20"/>
                      <w:szCs w:val="20"/>
                    </w:rPr>
                  </w:pPr>
                  <w:r w:rsidRPr="00160D76">
                    <w:rPr>
                      <w:rFonts w:ascii="Times" w:eastAsia="Times New Roman" w:hAnsi="Times" w:cs="Times"/>
                      <w:b/>
                      <w:bCs/>
                      <w:sz w:val="20"/>
                      <w:szCs w:val="20"/>
                    </w:rPr>
                    <w:t>2020</w:t>
                  </w:r>
                </w:p>
              </w:tc>
            </w:tr>
            <w:tr w:rsidR="00322670" w:rsidRPr="00160D76" w14:paraId="16FF92DE" w14:textId="77777777" w:rsidTr="00DE1FBB">
              <w:trPr>
                <w:trHeight w:val="260"/>
                <w:jc w:val="center"/>
              </w:trPr>
              <w:tc>
                <w:tcPr>
                  <w:tcW w:w="2626" w:type="dxa"/>
                  <w:tcBorders>
                    <w:top w:val="nil"/>
                    <w:left w:val="single" w:sz="4" w:space="0" w:color="auto"/>
                    <w:bottom w:val="nil"/>
                    <w:right w:val="single" w:sz="4" w:space="0" w:color="auto"/>
                  </w:tcBorders>
                  <w:shd w:val="clear" w:color="auto" w:fill="auto"/>
                  <w:vAlign w:val="center"/>
                  <w:hideMark/>
                </w:tcPr>
                <w:p w14:paraId="32078BAD" w14:textId="77777777" w:rsidR="00322670" w:rsidRPr="00160D76" w:rsidRDefault="00322670" w:rsidP="00DE1FBB">
                  <w:pPr>
                    <w:spacing w:after="0" w:line="240" w:lineRule="auto"/>
                    <w:rPr>
                      <w:rFonts w:ascii="Times" w:eastAsia="Times New Roman" w:hAnsi="Times" w:cs="Times"/>
                      <w:sz w:val="16"/>
                      <w:szCs w:val="16"/>
                    </w:rPr>
                  </w:pPr>
                  <w:r w:rsidRPr="00160D76">
                    <w:rPr>
                      <w:rFonts w:ascii="Times" w:eastAsia="Times New Roman" w:hAnsi="Times" w:cs="Times"/>
                      <w:sz w:val="16"/>
                      <w:szCs w:val="16"/>
                    </w:rPr>
                    <w:t>Gasto de consumo final</w:t>
                  </w:r>
                </w:p>
              </w:tc>
              <w:tc>
                <w:tcPr>
                  <w:tcW w:w="749" w:type="dxa"/>
                  <w:tcBorders>
                    <w:top w:val="single" w:sz="4" w:space="0" w:color="auto"/>
                    <w:left w:val="nil"/>
                    <w:bottom w:val="nil"/>
                    <w:right w:val="nil"/>
                  </w:tcBorders>
                  <w:shd w:val="clear" w:color="auto" w:fill="auto"/>
                  <w:noWrap/>
                  <w:vAlign w:val="center"/>
                  <w:hideMark/>
                </w:tcPr>
                <w:p w14:paraId="668638DF"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98.5%</w:t>
                  </w:r>
                </w:p>
              </w:tc>
              <w:tc>
                <w:tcPr>
                  <w:tcW w:w="741" w:type="dxa"/>
                  <w:tcBorders>
                    <w:top w:val="single" w:sz="4" w:space="0" w:color="auto"/>
                    <w:left w:val="nil"/>
                    <w:bottom w:val="nil"/>
                    <w:right w:val="nil"/>
                  </w:tcBorders>
                  <w:shd w:val="clear" w:color="auto" w:fill="auto"/>
                  <w:noWrap/>
                  <w:vAlign w:val="center"/>
                  <w:hideMark/>
                </w:tcPr>
                <w:p w14:paraId="4640B8B9"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98.9%</w:t>
                  </w:r>
                </w:p>
              </w:tc>
              <w:tc>
                <w:tcPr>
                  <w:tcW w:w="748" w:type="dxa"/>
                  <w:tcBorders>
                    <w:top w:val="single" w:sz="4" w:space="0" w:color="auto"/>
                    <w:left w:val="nil"/>
                    <w:bottom w:val="nil"/>
                    <w:right w:val="single" w:sz="4" w:space="0" w:color="auto"/>
                  </w:tcBorders>
                  <w:shd w:val="clear" w:color="auto" w:fill="auto"/>
                  <w:noWrap/>
                  <w:vAlign w:val="center"/>
                  <w:hideMark/>
                </w:tcPr>
                <w:p w14:paraId="3BFB78C2"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99.7%</w:t>
                  </w:r>
                </w:p>
              </w:tc>
              <w:tc>
                <w:tcPr>
                  <w:tcW w:w="748" w:type="dxa"/>
                  <w:tcBorders>
                    <w:top w:val="nil"/>
                    <w:left w:val="nil"/>
                    <w:bottom w:val="nil"/>
                    <w:right w:val="nil"/>
                  </w:tcBorders>
                  <w:shd w:val="clear" w:color="auto" w:fill="auto"/>
                  <w:noWrap/>
                  <w:vAlign w:val="center"/>
                  <w:hideMark/>
                </w:tcPr>
                <w:p w14:paraId="3954855E"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4.3%</w:t>
                  </w:r>
                </w:p>
              </w:tc>
              <w:tc>
                <w:tcPr>
                  <w:tcW w:w="748" w:type="dxa"/>
                  <w:tcBorders>
                    <w:top w:val="nil"/>
                    <w:left w:val="nil"/>
                    <w:bottom w:val="nil"/>
                    <w:right w:val="single" w:sz="4" w:space="0" w:color="auto"/>
                  </w:tcBorders>
                  <w:shd w:val="clear" w:color="auto" w:fill="auto"/>
                  <w:noWrap/>
                  <w:vAlign w:val="center"/>
                  <w:hideMark/>
                </w:tcPr>
                <w:p w14:paraId="7A8D2749"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-0.7%</w:t>
                  </w:r>
                </w:p>
              </w:tc>
              <w:tc>
                <w:tcPr>
                  <w:tcW w:w="748" w:type="dxa"/>
                  <w:tcBorders>
                    <w:top w:val="nil"/>
                    <w:left w:val="nil"/>
                    <w:bottom w:val="nil"/>
                    <w:right w:val="nil"/>
                  </w:tcBorders>
                  <w:shd w:val="clear" w:color="auto" w:fill="auto"/>
                  <w:noWrap/>
                  <w:vAlign w:val="center"/>
                  <w:hideMark/>
                </w:tcPr>
                <w:p w14:paraId="142907F2"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4.2%</w:t>
                  </w:r>
                </w:p>
              </w:tc>
              <w:tc>
                <w:tcPr>
                  <w:tcW w:w="748" w:type="dxa"/>
                  <w:tcBorders>
                    <w:top w:val="nil"/>
                    <w:left w:val="nil"/>
                    <w:bottom w:val="nil"/>
                    <w:right w:val="single" w:sz="4" w:space="0" w:color="auto"/>
                  </w:tcBorders>
                  <w:shd w:val="clear" w:color="auto" w:fill="auto"/>
                  <w:noWrap/>
                  <w:vAlign w:val="center"/>
                  <w:hideMark/>
                </w:tcPr>
                <w:p w14:paraId="05227C1A"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-0.7%</w:t>
                  </w:r>
                </w:p>
              </w:tc>
            </w:tr>
            <w:tr w:rsidR="00322670" w:rsidRPr="00160D76" w14:paraId="0C7CC03F" w14:textId="77777777" w:rsidTr="00DE1FBB">
              <w:trPr>
                <w:trHeight w:val="260"/>
                <w:jc w:val="center"/>
              </w:trPr>
              <w:tc>
                <w:tcPr>
                  <w:tcW w:w="2626" w:type="dxa"/>
                  <w:tcBorders>
                    <w:top w:val="nil"/>
                    <w:left w:val="single" w:sz="4" w:space="0" w:color="auto"/>
                    <w:bottom w:val="nil"/>
                    <w:right w:val="single" w:sz="4" w:space="0" w:color="auto"/>
                  </w:tcBorders>
                  <w:shd w:val="clear" w:color="auto" w:fill="auto"/>
                  <w:noWrap/>
                  <w:vAlign w:val="center"/>
                  <w:hideMark/>
                </w:tcPr>
                <w:p w14:paraId="65B20292" w14:textId="77777777" w:rsidR="00322670" w:rsidRPr="00160D76" w:rsidRDefault="00322670" w:rsidP="00DE1FBB">
                  <w:pPr>
                    <w:spacing w:after="0" w:line="240" w:lineRule="auto"/>
                    <w:rPr>
                      <w:rFonts w:ascii="Times" w:eastAsia="Times New Roman" w:hAnsi="Times" w:cs="Times"/>
                      <w:sz w:val="16"/>
                      <w:szCs w:val="16"/>
                    </w:rPr>
                  </w:pPr>
                  <w:r w:rsidRPr="00160D76">
                    <w:rPr>
                      <w:rFonts w:ascii="Times" w:eastAsia="Times New Roman" w:hAnsi="Times" w:cs="Times"/>
                      <w:sz w:val="16"/>
                      <w:szCs w:val="16"/>
                    </w:rPr>
                    <w:t xml:space="preserve">Formación bruta de capital fijo </w:t>
                  </w:r>
                </w:p>
              </w:tc>
              <w:tc>
                <w:tcPr>
                  <w:tcW w:w="749" w:type="dxa"/>
                  <w:tcBorders>
                    <w:top w:val="nil"/>
                    <w:left w:val="nil"/>
                    <w:bottom w:val="nil"/>
                    <w:right w:val="nil"/>
                  </w:tcBorders>
                  <w:shd w:val="clear" w:color="auto" w:fill="auto"/>
                  <w:noWrap/>
                  <w:vAlign w:val="center"/>
                  <w:hideMark/>
                </w:tcPr>
                <w:p w14:paraId="79199685"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13.9%</w:t>
                  </w:r>
                </w:p>
              </w:tc>
              <w:tc>
                <w:tcPr>
                  <w:tcW w:w="741" w:type="dxa"/>
                  <w:tcBorders>
                    <w:top w:val="nil"/>
                    <w:left w:val="nil"/>
                    <w:bottom w:val="nil"/>
                    <w:right w:val="nil"/>
                  </w:tcBorders>
                  <w:shd w:val="clear" w:color="auto" w:fill="auto"/>
                  <w:noWrap/>
                  <w:vAlign w:val="center"/>
                  <w:hideMark/>
                </w:tcPr>
                <w:p w14:paraId="65B05357"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14.6%</w:t>
                  </w:r>
                </w:p>
              </w:tc>
              <w:tc>
                <w:tcPr>
                  <w:tcW w:w="748" w:type="dxa"/>
                  <w:tcBorders>
                    <w:top w:val="nil"/>
                    <w:left w:val="nil"/>
                    <w:bottom w:val="nil"/>
                    <w:right w:val="single" w:sz="4" w:space="0" w:color="auto"/>
                  </w:tcBorders>
                  <w:shd w:val="clear" w:color="auto" w:fill="auto"/>
                  <w:noWrap/>
                  <w:vAlign w:val="center"/>
                  <w:hideMark/>
                </w:tcPr>
                <w:p w14:paraId="387A2784"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13.9%</w:t>
                  </w:r>
                </w:p>
              </w:tc>
              <w:tc>
                <w:tcPr>
                  <w:tcW w:w="748" w:type="dxa"/>
                  <w:tcBorders>
                    <w:top w:val="nil"/>
                    <w:left w:val="nil"/>
                    <w:bottom w:val="nil"/>
                    <w:right w:val="nil"/>
                  </w:tcBorders>
                  <w:shd w:val="clear" w:color="auto" w:fill="auto"/>
                  <w:noWrap/>
                  <w:vAlign w:val="center"/>
                  <w:hideMark/>
                </w:tcPr>
                <w:p w14:paraId="414AD6E8"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8.7%</w:t>
                  </w:r>
                </w:p>
              </w:tc>
              <w:tc>
                <w:tcPr>
                  <w:tcW w:w="748" w:type="dxa"/>
                  <w:tcBorders>
                    <w:top w:val="nil"/>
                    <w:left w:val="nil"/>
                    <w:bottom w:val="nil"/>
                    <w:right w:val="single" w:sz="4" w:space="0" w:color="auto"/>
                  </w:tcBorders>
                  <w:shd w:val="clear" w:color="auto" w:fill="auto"/>
                  <w:noWrap/>
                  <w:vAlign w:val="center"/>
                  <w:hideMark/>
                </w:tcPr>
                <w:p w14:paraId="6F2367F5"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-5.9%</w:t>
                  </w:r>
                </w:p>
              </w:tc>
              <w:tc>
                <w:tcPr>
                  <w:tcW w:w="748" w:type="dxa"/>
                  <w:tcBorders>
                    <w:top w:val="nil"/>
                    <w:left w:val="nil"/>
                    <w:bottom w:val="nil"/>
                    <w:right w:val="nil"/>
                  </w:tcBorders>
                  <w:shd w:val="clear" w:color="auto" w:fill="auto"/>
                  <w:noWrap/>
                  <w:vAlign w:val="center"/>
                  <w:hideMark/>
                </w:tcPr>
                <w:p w14:paraId="3C580E80"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1.2%</w:t>
                  </w:r>
                </w:p>
              </w:tc>
              <w:tc>
                <w:tcPr>
                  <w:tcW w:w="748" w:type="dxa"/>
                  <w:tcBorders>
                    <w:top w:val="nil"/>
                    <w:left w:val="nil"/>
                    <w:bottom w:val="nil"/>
                    <w:right w:val="single" w:sz="4" w:space="0" w:color="auto"/>
                  </w:tcBorders>
                  <w:shd w:val="clear" w:color="auto" w:fill="auto"/>
                  <w:noWrap/>
                  <w:vAlign w:val="center"/>
                  <w:hideMark/>
                </w:tcPr>
                <w:p w14:paraId="19311EF1"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-0.9%</w:t>
                  </w:r>
                </w:p>
              </w:tc>
            </w:tr>
            <w:tr w:rsidR="00322670" w:rsidRPr="00160D76" w14:paraId="3FD81992" w14:textId="77777777" w:rsidTr="00DE1FBB">
              <w:trPr>
                <w:trHeight w:val="260"/>
                <w:jc w:val="center"/>
              </w:trPr>
              <w:tc>
                <w:tcPr>
                  <w:tcW w:w="2626" w:type="dxa"/>
                  <w:tcBorders>
                    <w:top w:val="nil"/>
                    <w:left w:val="single" w:sz="4" w:space="0" w:color="auto"/>
                    <w:bottom w:val="nil"/>
                    <w:right w:val="single" w:sz="4" w:space="0" w:color="auto"/>
                  </w:tcBorders>
                  <w:shd w:val="clear" w:color="auto" w:fill="auto"/>
                  <w:noWrap/>
                  <w:vAlign w:val="center"/>
                  <w:hideMark/>
                </w:tcPr>
                <w:p w14:paraId="28E7E94F" w14:textId="77777777" w:rsidR="00322670" w:rsidRPr="00160D76" w:rsidRDefault="00322670" w:rsidP="00DE1FBB">
                  <w:pPr>
                    <w:spacing w:after="0" w:line="240" w:lineRule="auto"/>
                    <w:rPr>
                      <w:rFonts w:ascii="Times" w:eastAsia="Times New Roman" w:hAnsi="Times" w:cs="Times"/>
                      <w:sz w:val="16"/>
                      <w:szCs w:val="16"/>
                    </w:rPr>
                  </w:pPr>
                  <w:r w:rsidRPr="00160D76">
                    <w:rPr>
                      <w:rFonts w:ascii="Times" w:eastAsia="Times New Roman" w:hAnsi="Times" w:cs="Times"/>
                      <w:sz w:val="16"/>
                      <w:szCs w:val="16"/>
                    </w:rPr>
                    <w:t>Exportación de bienes y servicios</w:t>
                  </w:r>
                </w:p>
              </w:tc>
              <w:tc>
                <w:tcPr>
                  <w:tcW w:w="749" w:type="dxa"/>
                  <w:tcBorders>
                    <w:top w:val="nil"/>
                    <w:left w:val="nil"/>
                    <w:bottom w:val="nil"/>
                    <w:right w:val="nil"/>
                  </w:tcBorders>
                  <w:shd w:val="clear" w:color="auto" w:fill="auto"/>
                  <w:noWrap/>
                  <w:vAlign w:val="center"/>
                  <w:hideMark/>
                </w:tcPr>
                <w:p w14:paraId="63EE4CEB"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21.1%</w:t>
                  </w:r>
                </w:p>
              </w:tc>
              <w:tc>
                <w:tcPr>
                  <w:tcW w:w="741" w:type="dxa"/>
                  <w:tcBorders>
                    <w:top w:val="nil"/>
                    <w:left w:val="nil"/>
                    <w:bottom w:val="nil"/>
                    <w:right w:val="nil"/>
                  </w:tcBorders>
                  <w:shd w:val="clear" w:color="auto" w:fill="auto"/>
                  <w:noWrap/>
                  <w:vAlign w:val="center"/>
                  <w:hideMark/>
                </w:tcPr>
                <w:p w14:paraId="4809CFAD"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20.3%</w:t>
                  </w:r>
                </w:p>
              </w:tc>
              <w:tc>
                <w:tcPr>
                  <w:tcW w:w="748" w:type="dxa"/>
                  <w:tcBorders>
                    <w:top w:val="nil"/>
                    <w:left w:val="nil"/>
                    <w:bottom w:val="nil"/>
                    <w:right w:val="single" w:sz="4" w:space="0" w:color="auto"/>
                  </w:tcBorders>
                  <w:shd w:val="clear" w:color="auto" w:fill="auto"/>
                  <w:noWrap/>
                  <w:vAlign w:val="center"/>
                  <w:hideMark/>
                </w:tcPr>
                <w:p w14:paraId="3B7106CD"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19.7%</w:t>
                  </w:r>
                </w:p>
              </w:tc>
              <w:tc>
                <w:tcPr>
                  <w:tcW w:w="748" w:type="dxa"/>
                  <w:tcBorders>
                    <w:top w:val="nil"/>
                    <w:left w:val="nil"/>
                    <w:bottom w:val="nil"/>
                    <w:right w:val="nil"/>
                  </w:tcBorders>
                  <w:shd w:val="clear" w:color="auto" w:fill="auto"/>
                  <w:noWrap/>
                  <w:vAlign w:val="center"/>
                  <w:hideMark/>
                </w:tcPr>
                <w:p w14:paraId="7A1EAFF9"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0.1%</w:t>
                  </w:r>
                </w:p>
              </w:tc>
              <w:tc>
                <w:tcPr>
                  <w:tcW w:w="748" w:type="dxa"/>
                  <w:tcBorders>
                    <w:top w:val="nil"/>
                    <w:left w:val="nil"/>
                    <w:bottom w:val="nil"/>
                    <w:right w:val="single" w:sz="4" w:space="0" w:color="auto"/>
                  </w:tcBorders>
                  <w:shd w:val="clear" w:color="auto" w:fill="auto"/>
                  <w:noWrap/>
                  <w:vAlign w:val="center"/>
                  <w:hideMark/>
                </w:tcPr>
                <w:p w14:paraId="0651EAEE"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-4.4%</w:t>
                  </w:r>
                </w:p>
              </w:tc>
              <w:tc>
                <w:tcPr>
                  <w:tcW w:w="748" w:type="dxa"/>
                  <w:tcBorders>
                    <w:top w:val="nil"/>
                    <w:left w:val="nil"/>
                    <w:bottom w:val="nil"/>
                    <w:right w:val="nil"/>
                  </w:tcBorders>
                  <w:shd w:val="clear" w:color="auto" w:fill="auto"/>
                  <w:noWrap/>
                  <w:vAlign w:val="center"/>
                  <w:hideMark/>
                </w:tcPr>
                <w:p w14:paraId="0FAE6F86"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0.0%</w:t>
                  </w:r>
                </w:p>
              </w:tc>
              <w:tc>
                <w:tcPr>
                  <w:tcW w:w="748" w:type="dxa"/>
                  <w:tcBorders>
                    <w:top w:val="nil"/>
                    <w:left w:val="nil"/>
                    <w:bottom w:val="nil"/>
                    <w:right w:val="single" w:sz="4" w:space="0" w:color="auto"/>
                  </w:tcBorders>
                  <w:shd w:val="clear" w:color="auto" w:fill="auto"/>
                  <w:noWrap/>
                  <w:vAlign w:val="center"/>
                  <w:hideMark/>
                </w:tcPr>
                <w:p w14:paraId="31F930F6"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-0.9%</w:t>
                  </w:r>
                </w:p>
              </w:tc>
            </w:tr>
            <w:tr w:rsidR="00322670" w:rsidRPr="00160D76" w14:paraId="2F1F78FE" w14:textId="77777777" w:rsidTr="00DE1FBB">
              <w:trPr>
                <w:trHeight w:val="260"/>
                <w:jc w:val="center"/>
              </w:trPr>
              <w:tc>
                <w:tcPr>
                  <w:tcW w:w="2626" w:type="dxa"/>
                  <w:tcBorders>
                    <w:top w:val="nil"/>
                    <w:left w:val="single" w:sz="4" w:space="0" w:color="auto"/>
                    <w:bottom w:val="nil"/>
                    <w:right w:val="single" w:sz="4" w:space="0" w:color="auto"/>
                  </w:tcBorders>
                  <w:shd w:val="clear" w:color="auto" w:fill="auto"/>
                  <w:vAlign w:val="center"/>
                  <w:hideMark/>
                </w:tcPr>
                <w:p w14:paraId="6059C576" w14:textId="77777777" w:rsidR="00322670" w:rsidRPr="00160D76" w:rsidRDefault="00322670" w:rsidP="00DE1FBB">
                  <w:pPr>
                    <w:spacing w:after="0" w:line="240" w:lineRule="auto"/>
                    <w:rPr>
                      <w:rFonts w:ascii="Times" w:eastAsia="Times New Roman" w:hAnsi="Times" w:cs="Times"/>
                      <w:sz w:val="16"/>
                      <w:szCs w:val="16"/>
                    </w:rPr>
                  </w:pPr>
                  <w:r w:rsidRPr="00160D76">
                    <w:rPr>
                      <w:rFonts w:ascii="Times" w:eastAsia="Times New Roman" w:hAnsi="Times" w:cs="Times"/>
                      <w:sz w:val="16"/>
                      <w:szCs w:val="16"/>
                    </w:rPr>
                    <w:t>Importación de bienes y servicios</w:t>
                  </w:r>
                </w:p>
              </w:tc>
              <w:tc>
                <w:tcPr>
                  <w:tcW w:w="749" w:type="dxa"/>
                  <w:tcBorders>
                    <w:top w:val="nil"/>
                    <w:left w:val="nil"/>
                    <w:bottom w:val="nil"/>
                    <w:right w:val="nil"/>
                  </w:tcBorders>
                  <w:shd w:val="clear" w:color="auto" w:fill="auto"/>
                  <w:noWrap/>
                  <w:vAlign w:val="center"/>
                  <w:hideMark/>
                </w:tcPr>
                <w:p w14:paraId="6EF92E62"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33.7%</w:t>
                  </w:r>
                </w:p>
              </w:tc>
              <w:tc>
                <w:tcPr>
                  <w:tcW w:w="741" w:type="dxa"/>
                  <w:tcBorders>
                    <w:top w:val="nil"/>
                    <w:left w:val="nil"/>
                    <w:bottom w:val="nil"/>
                    <w:right w:val="nil"/>
                  </w:tcBorders>
                  <w:shd w:val="clear" w:color="auto" w:fill="auto"/>
                  <w:noWrap/>
                  <w:vAlign w:val="center"/>
                  <w:hideMark/>
                </w:tcPr>
                <w:p w14:paraId="687562BB"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34.1%</w:t>
                  </w:r>
                </w:p>
              </w:tc>
              <w:tc>
                <w:tcPr>
                  <w:tcW w:w="748" w:type="dxa"/>
                  <w:tcBorders>
                    <w:top w:val="nil"/>
                    <w:left w:val="nil"/>
                    <w:bottom w:val="nil"/>
                    <w:right w:val="single" w:sz="4" w:space="0" w:color="auto"/>
                  </w:tcBorders>
                  <w:shd w:val="clear" w:color="auto" w:fill="auto"/>
                  <w:noWrap/>
                  <w:vAlign w:val="center"/>
                  <w:hideMark/>
                </w:tcPr>
                <w:p w14:paraId="7A5986F5"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33.0%</w:t>
                  </w:r>
                </w:p>
              </w:tc>
              <w:tc>
                <w:tcPr>
                  <w:tcW w:w="748" w:type="dxa"/>
                  <w:tcBorders>
                    <w:top w:val="nil"/>
                    <w:left w:val="nil"/>
                    <w:bottom w:val="nil"/>
                    <w:right w:val="nil"/>
                  </w:tcBorders>
                  <w:shd w:val="clear" w:color="auto" w:fill="auto"/>
                  <w:noWrap/>
                  <w:vAlign w:val="center"/>
                  <w:hideMark/>
                </w:tcPr>
                <w:p w14:paraId="579B5BD7"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4.9%</w:t>
                  </w:r>
                </w:p>
              </w:tc>
              <w:tc>
                <w:tcPr>
                  <w:tcW w:w="748" w:type="dxa"/>
                  <w:tcBorders>
                    <w:top w:val="nil"/>
                    <w:left w:val="nil"/>
                    <w:bottom w:val="nil"/>
                    <w:right w:val="single" w:sz="4" w:space="0" w:color="auto"/>
                  </w:tcBorders>
                  <w:shd w:val="clear" w:color="auto" w:fill="auto"/>
                  <w:noWrap/>
                  <w:vAlign w:val="center"/>
                  <w:hideMark/>
                </w:tcPr>
                <w:p w14:paraId="7E1F243D"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-4.6%</w:t>
                  </w:r>
                </w:p>
              </w:tc>
              <w:tc>
                <w:tcPr>
                  <w:tcW w:w="748" w:type="dxa"/>
                  <w:tcBorders>
                    <w:top w:val="nil"/>
                    <w:left w:val="nil"/>
                    <w:bottom w:val="nil"/>
                    <w:right w:val="nil"/>
                  </w:tcBorders>
                  <w:shd w:val="clear" w:color="auto" w:fill="auto"/>
                  <w:noWrap/>
                  <w:vAlign w:val="center"/>
                  <w:hideMark/>
                </w:tcPr>
                <w:p w14:paraId="0BBE2FE6"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1.7%</w:t>
                  </w:r>
                </w:p>
              </w:tc>
              <w:tc>
                <w:tcPr>
                  <w:tcW w:w="748" w:type="dxa"/>
                  <w:tcBorders>
                    <w:top w:val="nil"/>
                    <w:left w:val="nil"/>
                    <w:bottom w:val="nil"/>
                    <w:right w:val="single" w:sz="4" w:space="0" w:color="auto"/>
                  </w:tcBorders>
                  <w:shd w:val="clear" w:color="auto" w:fill="auto"/>
                  <w:noWrap/>
                  <w:vAlign w:val="center"/>
                  <w:hideMark/>
                </w:tcPr>
                <w:p w14:paraId="1A404839"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-1.6%</w:t>
                  </w:r>
                </w:p>
              </w:tc>
            </w:tr>
            <w:tr w:rsidR="00322670" w:rsidRPr="00160D76" w14:paraId="3DF6C23D" w14:textId="77777777" w:rsidTr="00DE1FBB">
              <w:trPr>
                <w:trHeight w:val="260"/>
                <w:jc w:val="center"/>
              </w:trPr>
              <w:tc>
                <w:tcPr>
                  <w:tcW w:w="2626" w:type="dxa"/>
                  <w:tcBorders>
                    <w:top w:val="nil"/>
                    <w:left w:val="single" w:sz="4" w:space="0" w:color="auto"/>
                    <w:bottom w:val="single" w:sz="4" w:space="0" w:color="auto"/>
                    <w:right w:val="single" w:sz="4" w:space="0" w:color="auto"/>
                  </w:tcBorders>
                  <w:shd w:val="clear" w:color="auto" w:fill="auto"/>
                  <w:noWrap/>
                  <w:vAlign w:val="center"/>
                  <w:hideMark/>
                </w:tcPr>
                <w:p w14:paraId="65716A49" w14:textId="77777777" w:rsidR="00322670" w:rsidRPr="00160D76" w:rsidRDefault="00322670" w:rsidP="00DE1FBB">
                  <w:pPr>
                    <w:spacing w:after="0" w:line="240" w:lineRule="auto"/>
                    <w:rPr>
                      <w:rFonts w:ascii="Times" w:eastAsia="Times New Roman" w:hAnsi="Times" w:cs="Times"/>
                      <w:sz w:val="16"/>
                      <w:szCs w:val="16"/>
                    </w:rPr>
                  </w:pPr>
                  <w:r w:rsidRPr="00160D76">
                    <w:rPr>
                      <w:rFonts w:ascii="Times" w:eastAsia="Times New Roman" w:hAnsi="Times" w:cs="Times"/>
                      <w:sz w:val="16"/>
                      <w:szCs w:val="16"/>
                    </w:rPr>
                    <w:t>Producto Interno Bruto (1+2+3+4-5)</w:t>
                  </w:r>
                </w:p>
              </w:tc>
              <w:tc>
                <w:tcPr>
                  <w:tcW w:w="749" w:type="dxa"/>
                  <w:tcBorders>
                    <w:top w:val="nil"/>
                    <w:left w:val="nil"/>
                    <w:bottom w:val="single" w:sz="4" w:space="0" w:color="auto"/>
                    <w:right w:val="nil"/>
                  </w:tcBorders>
                  <w:shd w:val="clear" w:color="auto" w:fill="auto"/>
                  <w:noWrap/>
                  <w:vAlign w:val="center"/>
                  <w:hideMark/>
                </w:tcPr>
                <w:p w14:paraId="4B074D55"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100.0%</w:t>
                  </w:r>
                </w:p>
              </w:tc>
              <w:tc>
                <w:tcPr>
                  <w:tcW w:w="741" w:type="dxa"/>
                  <w:tcBorders>
                    <w:top w:val="nil"/>
                    <w:left w:val="nil"/>
                    <w:bottom w:val="single" w:sz="4" w:space="0" w:color="auto"/>
                    <w:right w:val="nil"/>
                  </w:tcBorders>
                  <w:shd w:val="clear" w:color="auto" w:fill="auto"/>
                  <w:noWrap/>
                  <w:vAlign w:val="center"/>
                  <w:hideMark/>
                </w:tcPr>
                <w:p w14:paraId="722E9569"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100.0%</w:t>
                  </w:r>
                </w:p>
              </w:tc>
              <w:tc>
                <w:tcPr>
                  <w:tcW w:w="748" w:type="dxa"/>
                  <w:tcBorders>
                    <w:top w:val="nil"/>
                    <w:left w:val="nil"/>
                    <w:bottom w:val="single" w:sz="4" w:space="0" w:color="auto"/>
                    <w:right w:val="single" w:sz="4" w:space="0" w:color="auto"/>
                  </w:tcBorders>
                  <w:shd w:val="clear" w:color="auto" w:fill="auto"/>
                  <w:noWrap/>
                  <w:vAlign w:val="center"/>
                  <w:hideMark/>
                </w:tcPr>
                <w:p w14:paraId="0026CDB1"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100.0%</w:t>
                  </w:r>
                </w:p>
              </w:tc>
              <w:tc>
                <w:tcPr>
                  <w:tcW w:w="748" w:type="dxa"/>
                  <w:tcBorders>
                    <w:top w:val="nil"/>
                    <w:left w:val="nil"/>
                    <w:bottom w:val="single" w:sz="4" w:space="0" w:color="auto"/>
                    <w:right w:val="nil"/>
                  </w:tcBorders>
                  <w:shd w:val="clear" w:color="auto" w:fill="auto"/>
                  <w:noWrap/>
                  <w:vAlign w:val="center"/>
                  <w:hideMark/>
                </w:tcPr>
                <w:p w14:paraId="6BADAC2E"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3.9%</w:t>
                  </w:r>
                </w:p>
              </w:tc>
              <w:tc>
                <w:tcPr>
                  <w:tcW w:w="748" w:type="dxa"/>
                  <w:tcBorders>
                    <w:top w:val="nil"/>
                    <w:left w:val="nil"/>
                    <w:bottom w:val="single" w:sz="4" w:space="0" w:color="auto"/>
                    <w:right w:val="single" w:sz="4" w:space="0" w:color="auto"/>
                  </w:tcBorders>
                  <w:shd w:val="clear" w:color="auto" w:fill="auto"/>
                  <w:noWrap/>
                  <w:vAlign w:val="center"/>
                  <w:hideMark/>
                </w:tcPr>
                <w:p w14:paraId="00B3595A"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-1.5%</w:t>
                  </w:r>
                </w:p>
              </w:tc>
              <w:tc>
                <w:tcPr>
                  <w:tcW w:w="748" w:type="dxa"/>
                  <w:tcBorders>
                    <w:top w:val="nil"/>
                    <w:left w:val="nil"/>
                    <w:bottom w:val="single" w:sz="4" w:space="0" w:color="auto"/>
                    <w:right w:val="nil"/>
                  </w:tcBorders>
                  <w:shd w:val="clear" w:color="auto" w:fill="auto"/>
                  <w:noWrap/>
                  <w:vAlign w:val="center"/>
                  <w:hideMark/>
                </w:tcPr>
                <w:p w14:paraId="7B777E20" w14:textId="77777777" w:rsidR="00322670" w:rsidRPr="00160D76" w:rsidRDefault="00322670" w:rsidP="00DE1FBB">
                  <w:pPr>
                    <w:spacing w:after="0" w:line="240" w:lineRule="auto"/>
                    <w:jc w:val="center"/>
                    <w:rPr>
                      <w:rFonts w:ascii="Times" w:eastAsia="Times New Roman" w:hAnsi="Times" w:cs="Times"/>
                      <w:sz w:val="16"/>
                      <w:szCs w:val="16"/>
                    </w:rPr>
                  </w:pPr>
                </w:p>
              </w:tc>
              <w:tc>
                <w:tcPr>
                  <w:tcW w:w="748" w:type="dxa"/>
                  <w:tcBorders>
                    <w:top w:val="nil"/>
                    <w:left w:val="nil"/>
                    <w:bottom w:val="single" w:sz="4" w:space="0" w:color="auto"/>
                    <w:right w:val="single" w:sz="4" w:space="0" w:color="auto"/>
                  </w:tcBorders>
                  <w:shd w:val="clear" w:color="auto" w:fill="auto"/>
                  <w:noWrap/>
                  <w:vAlign w:val="center"/>
                  <w:hideMark/>
                </w:tcPr>
                <w:p w14:paraId="322E86D1" w14:textId="77777777" w:rsidR="00322670" w:rsidRPr="00160D76" w:rsidRDefault="00322670" w:rsidP="00DE1FBB">
                  <w:pPr>
                    <w:spacing w:after="0" w:line="240" w:lineRule="auto"/>
                    <w:jc w:val="center"/>
                    <w:rPr>
                      <w:rFonts w:ascii="Times" w:eastAsia="Times New Roman" w:hAnsi="Times" w:cs="Times"/>
                      <w:sz w:val="16"/>
                      <w:szCs w:val="16"/>
                    </w:rPr>
                  </w:pPr>
                  <w:r w:rsidRPr="00160D76">
                    <w:rPr>
                      <w:rFonts w:ascii="Times" w:eastAsia="Times New Roman" w:hAnsi="Times" w:cs="Times"/>
                      <w:sz w:val="16"/>
                      <w:szCs w:val="16"/>
                    </w:rPr>
                    <w:t> </w:t>
                  </w:r>
                </w:p>
              </w:tc>
            </w:tr>
          </w:tbl>
          <w:p w14:paraId="3E866E7C" w14:textId="77777777" w:rsidR="00322670" w:rsidRDefault="00322670" w:rsidP="00DE1FBB">
            <w:pPr>
              <w:jc w:val="both"/>
              <w:rPr>
                <w:rFonts w:ascii="Times New Roman" w:hAnsi="Times New Roman" w:cs="Times New Roman"/>
              </w:rPr>
            </w:pPr>
          </w:p>
        </w:tc>
      </w:tr>
      <w:tr w:rsidR="00322670" w14:paraId="253DDBE3" w14:textId="77777777" w:rsidTr="00DE1FBB">
        <w:tc>
          <w:tcPr>
            <w:tcW w:w="8828" w:type="dxa"/>
          </w:tcPr>
          <w:p w14:paraId="07123CC3" w14:textId="3EABE2A7" w:rsidR="00322670" w:rsidRDefault="00322670" w:rsidP="00DE1FBB">
            <w:pPr>
              <w:rPr>
                <w:rFonts w:ascii="Times New Roman" w:hAnsi="Times New Roman" w:cs="Times New Roman"/>
                <w:sz w:val="16"/>
                <w:szCs w:val="16"/>
              </w:rPr>
            </w:pPr>
            <w:r w:rsidRPr="005F5A97">
              <w:rPr>
                <w:rFonts w:ascii="Times New Roman" w:hAnsi="Times New Roman" w:cs="Times New Roman"/>
                <w:sz w:val="16"/>
                <w:szCs w:val="16"/>
              </w:rPr>
              <w:t xml:space="preserve">Fuente: </w:t>
            </w:r>
            <w:r w:rsidR="009206E2">
              <w:rPr>
                <w:rFonts w:ascii="Times New Roman" w:hAnsi="Times New Roman" w:cs="Times New Roman"/>
                <w:sz w:val="16"/>
                <w:szCs w:val="16"/>
              </w:rPr>
              <w:t>Banco de Guatemala</w:t>
            </w:r>
            <w:r>
              <w:rPr>
                <w:rFonts w:ascii="Times New Roman" w:hAnsi="Times New Roman" w:cs="Times New Roman"/>
                <w:sz w:val="16"/>
                <w:szCs w:val="16"/>
              </w:rPr>
              <w:t>.</w:t>
            </w:r>
          </w:p>
          <w:p w14:paraId="61B1C9D9" w14:textId="77777777" w:rsidR="00322670" w:rsidRDefault="00322670" w:rsidP="00DE1FBB">
            <w:pPr>
              <w:rPr>
                <w:rFonts w:ascii="Times New Roman" w:hAnsi="Times New Roman" w:cs="Times New Roman"/>
                <w:sz w:val="16"/>
                <w:szCs w:val="16"/>
              </w:rPr>
            </w:pPr>
            <w:r>
              <w:rPr>
                <w:rFonts w:ascii="Times New Roman" w:hAnsi="Times New Roman" w:cs="Times New Roman"/>
                <w:sz w:val="16"/>
                <w:szCs w:val="16"/>
              </w:rPr>
              <w:t xml:space="preserve">La diferencia entre la suma de los componentes y el total del PIB es por la discrepancia de la base móvil 2013 </w:t>
            </w:r>
          </w:p>
          <w:p w14:paraId="7C996ED5" w14:textId="77777777" w:rsidR="00322670" w:rsidRDefault="00322670" w:rsidP="00DE1FBB">
            <w:pPr>
              <w:jc w:val="both"/>
              <w:rPr>
                <w:rFonts w:ascii="Times New Roman" w:hAnsi="Times New Roman" w:cs="Times New Roman"/>
              </w:rPr>
            </w:pPr>
          </w:p>
        </w:tc>
      </w:tr>
    </w:tbl>
    <w:p w14:paraId="51296CB4" w14:textId="77777777" w:rsidR="00322670" w:rsidRPr="00160D76" w:rsidRDefault="005135D3" w:rsidP="00322670">
      <w:pPr>
        <w:spacing w:after="0" w:line="240" w:lineRule="auto"/>
        <w:jc w:val="both"/>
        <w:rPr>
          <w:rFonts w:ascii="Times New Roman" w:hAnsi="Times New Roman" w:cs="Times New Roman"/>
        </w:rPr>
      </w:pPr>
      <w:r>
        <w:rPr>
          <w:rFonts w:ascii="Times New Roman" w:hAnsi="Times New Roman" w:cs="Times New Roman"/>
        </w:rPr>
        <w:t>Entre los</w:t>
      </w:r>
      <w:r w:rsidRPr="00160D76">
        <w:rPr>
          <w:rFonts w:ascii="Times New Roman" w:hAnsi="Times New Roman" w:cs="Times New Roman"/>
        </w:rPr>
        <w:t xml:space="preserve"> componentes de la demanda interna, la mayor parte del crecimiento económico de los últimos años se observa </w:t>
      </w:r>
      <w:r>
        <w:rPr>
          <w:rFonts w:ascii="Times New Roman" w:hAnsi="Times New Roman" w:cs="Times New Roman"/>
        </w:rPr>
        <w:t>en el</w:t>
      </w:r>
      <w:r w:rsidRPr="00160D76">
        <w:rPr>
          <w:rFonts w:ascii="Times New Roman" w:hAnsi="Times New Roman" w:cs="Times New Roman"/>
        </w:rPr>
        <w:t xml:space="preserve"> consumo y </w:t>
      </w:r>
      <w:r>
        <w:rPr>
          <w:rFonts w:ascii="Times New Roman" w:hAnsi="Times New Roman" w:cs="Times New Roman"/>
        </w:rPr>
        <w:t xml:space="preserve">en </w:t>
      </w:r>
      <w:r w:rsidRPr="00160D76">
        <w:rPr>
          <w:rFonts w:ascii="Times New Roman" w:hAnsi="Times New Roman" w:cs="Times New Roman"/>
        </w:rPr>
        <w:t xml:space="preserve">la formación bruta de capital </w:t>
      </w:r>
      <w:r>
        <w:rPr>
          <w:rFonts w:ascii="Times New Roman" w:hAnsi="Times New Roman" w:cs="Times New Roman"/>
        </w:rPr>
        <w:t>del</w:t>
      </w:r>
      <w:r w:rsidRPr="00160D76">
        <w:rPr>
          <w:rFonts w:ascii="Times New Roman" w:hAnsi="Times New Roman" w:cs="Times New Roman"/>
        </w:rPr>
        <w:t xml:space="preserve"> sector privado, de tal manera que en los años 2015-2020 el promedio </w:t>
      </w:r>
      <w:r>
        <w:rPr>
          <w:rFonts w:ascii="Times New Roman" w:hAnsi="Times New Roman" w:cs="Times New Roman"/>
        </w:rPr>
        <w:t>se ubicó entre</w:t>
      </w:r>
      <w:r w:rsidRPr="00160D76">
        <w:rPr>
          <w:rFonts w:ascii="Times New Roman" w:hAnsi="Times New Roman" w:cs="Times New Roman"/>
        </w:rPr>
        <w:t xml:space="preserve"> 87.7% y de 90.1%, respectivamente.</w:t>
      </w:r>
    </w:p>
    <w:p w14:paraId="3D3C1C0B" w14:textId="77777777" w:rsidR="00322670" w:rsidRPr="00160D76" w:rsidRDefault="00322670" w:rsidP="00322670">
      <w:pPr>
        <w:pStyle w:val="Tabla"/>
        <w:framePr w:wrap="around"/>
        <w:rPr>
          <w:i/>
        </w:rPr>
      </w:pPr>
    </w:p>
    <w:p w14:paraId="460CA5FE" w14:textId="77777777" w:rsidR="00322670" w:rsidRPr="005135D3" w:rsidRDefault="00322670" w:rsidP="00322670">
      <w:pPr>
        <w:spacing w:after="0" w:line="240" w:lineRule="auto"/>
        <w:jc w:val="both"/>
        <w:rPr>
          <w:rFonts w:ascii="Times New Roman" w:hAnsi="Times New Roman" w:cs="Times New Roman"/>
          <w:sz w:val="4"/>
        </w:rPr>
      </w:pPr>
    </w:p>
    <w:p w14:paraId="6E48CC80" w14:textId="77777777" w:rsidR="005135D3" w:rsidRPr="00160D76" w:rsidRDefault="005135D3" w:rsidP="00322670">
      <w:pPr>
        <w:spacing w:after="0" w:line="240" w:lineRule="auto"/>
        <w:jc w:val="both"/>
        <w:rPr>
          <w:rFonts w:ascii="Times New Roman" w:hAnsi="Times New Roman" w:cs="Times New Roman"/>
        </w:rPr>
      </w:pPr>
    </w:p>
    <w:p w14:paraId="79DA326C" w14:textId="435432B3" w:rsidR="00322670" w:rsidRPr="00160D76" w:rsidRDefault="00322670" w:rsidP="00322670">
      <w:pPr>
        <w:spacing w:after="0" w:line="240" w:lineRule="auto"/>
        <w:jc w:val="both"/>
        <w:rPr>
          <w:rFonts w:ascii="Times New Roman" w:hAnsi="Times New Roman" w:cs="Times New Roman"/>
        </w:rPr>
      </w:pPr>
      <w:r w:rsidRPr="00160D76">
        <w:rPr>
          <w:rFonts w:ascii="Times New Roman" w:hAnsi="Times New Roman" w:cs="Times New Roman"/>
        </w:rPr>
        <w:t xml:space="preserve">En 2020, la construcción </w:t>
      </w:r>
      <w:r w:rsidR="00B51812">
        <w:rPr>
          <w:rFonts w:ascii="Times New Roman" w:hAnsi="Times New Roman" w:cs="Times New Roman"/>
        </w:rPr>
        <w:t xml:space="preserve">fue </w:t>
      </w:r>
      <w:r w:rsidRPr="00160D76">
        <w:rPr>
          <w:rFonts w:ascii="Times New Roman" w:hAnsi="Times New Roman" w:cs="Times New Roman"/>
        </w:rPr>
        <w:t xml:space="preserve">el rubro más representativo de la formación bruta de capital, siendo dicho </w:t>
      </w:r>
      <w:r>
        <w:rPr>
          <w:rFonts w:ascii="Times New Roman" w:hAnsi="Times New Roman" w:cs="Times New Roman"/>
        </w:rPr>
        <w:t>d</w:t>
      </w:r>
      <w:r w:rsidRPr="00160D76">
        <w:rPr>
          <w:rFonts w:ascii="Times New Roman" w:hAnsi="Times New Roman" w:cs="Times New Roman"/>
        </w:rPr>
        <w:t>el 59.7% del total, mayor en 2.4 puntos porcentuales al promedio del 2015-2019. Sin embargo, la caída de la construcción en la formación bruta de capital fue de 8.9% en el 2020 en comparación al crecimiento de 11.1% en 2019, es decir</w:t>
      </w:r>
      <w:r>
        <w:rPr>
          <w:rFonts w:ascii="Times New Roman" w:hAnsi="Times New Roman" w:cs="Times New Roman"/>
        </w:rPr>
        <w:t>,</w:t>
      </w:r>
      <w:r w:rsidRPr="00160D76">
        <w:rPr>
          <w:rFonts w:ascii="Times New Roman" w:hAnsi="Times New Roman" w:cs="Times New Roman"/>
        </w:rPr>
        <w:t xml:space="preserve"> una diferencia de 20.1 puntos porcentuales respecto del año anterior</w:t>
      </w:r>
      <w:r>
        <w:rPr>
          <w:rFonts w:ascii="Times New Roman" w:hAnsi="Times New Roman" w:cs="Times New Roman"/>
        </w:rPr>
        <w:t>.  Asimismo,</w:t>
      </w:r>
      <w:r w:rsidRPr="00160D76">
        <w:rPr>
          <w:rFonts w:ascii="Times New Roman" w:hAnsi="Times New Roman" w:cs="Times New Roman"/>
        </w:rPr>
        <w:t xml:space="preserve"> la</w:t>
      </w:r>
      <w:r>
        <w:rPr>
          <w:rFonts w:ascii="Times New Roman" w:hAnsi="Times New Roman" w:cs="Times New Roman"/>
        </w:rPr>
        <w:t>s</w:t>
      </w:r>
      <w:r w:rsidRPr="00160D76">
        <w:rPr>
          <w:rFonts w:ascii="Times New Roman" w:hAnsi="Times New Roman" w:cs="Times New Roman"/>
        </w:rPr>
        <w:t xml:space="preserve"> máquina</w:t>
      </w:r>
      <w:r>
        <w:rPr>
          <w:rFonts w:ascii="Times New Roman" w:hAnsi="Times New Roman" w:cs="Times New Roman"/>
        </w:rPr>
        <w:t>s</w:t>
      </w:r>
      <w:r w:rsidRPr="00160D76">
        <w:rPr>
          <w:rFonts w:ascii="Times New Roman" w:hAnsi="Times New Roman" w:cs="Times New Roman"/>
        </w:rPr>
        <w:t xml:space="preserve"> y equipo cay</w:t>
      </w:r>
      <w:r>
        <w:rPr>
          <w:rFonts w:ascii="Times New Roman" w:hAnsi="Times New Roman" w:cs="Times New Roman"/>
        </w:rPr>
        <w:t>eron</w:t>
      </w:r>
      <w:r w:rsidRPr="00160D76">
        <w:rPr>
          <w:rFonts w:ascii="Times New Roman" w:hAnsi="Times New Roman" w:cs="Times New Roman"/>
        </w:rPr>
        <w:t xml:space="preserve"> 10.6% en 2020 en comparación al crecimiento de 4.9% de 2019, también tuvo una diferencia significativa respecto al año anterior de 15.5 puntos porcentuales.</w:t>
      </w:r>
    </w:p>
    <w:p w14:paraId="42CD570A" w14:textId="77777777" w:rsidR="005135D3" w:rsidRDefault="005135D3" w:rsidP="00322670">
      <w:pPr>
        <w:spacing w:after="0" w:line="240" w:lineRule="auto"/>
        <w:jc w:val="both"/>
        <w:rPr>
          <w:rFonts w:ascii="Times New Roman" w:hAnsi="Times New Roman" w:cs="Times New Roman"/>
          <w:b/>
          <w:bCs/>
        </w:rPr>
      </w:pPr>
    </w:p>
    <w:p w14:paraId="5A90F392" w14:textId="77777777" w:rsidR="00ED116C" w:rsidRDefault="00ED116C" w:rsidP="00322670">
      <w:pPr>
        <w:spacing w:after="0" w:line="240" w:lineRule="auto"/>
        <w:jc w:val="both"/>
        <w:rPr>
          <w:rFonts w:ascii="Times New Roman" w:hAnsi="Times New Roman" w:cs="Times New Roman"/>
          <w:b/>
          <w:bCs/>
        </w:rPr>
      </w:pPr>
    </w:p>
    <w:p w14:paraId="0E1BDE31" w14:textId="77A64E4B" w:rsidR="00155114" w:rsidRDefault="00155114" w:rsidP="00322670">
      <w:pPr>
        <w:spacing w:after="0" w:line="240" w:lineRule="auto"/>
        <w:jc w:val="both"/>
        <w:rPr>
          <w:rFonts w:ascii="Times New Roman" w:hAnsi="Times New Roman" w:cs="Times New Roman"/>
          <w:b/>
          <w:bCs/>
        </w:rPr>
      </w:pPr>
    </w:p>
    <w:p w14:paraId="42168D14" w14:textId="77777777" w:rsidR="009A135D" w:rsidRPr="00160D76" w:rsidRDefault="009A135D" w:rsidP="00322670">
      <w:pPr>
        <w:spacing w:after="0" w:line="240" w:lineRule="auto"/>
        <w:jc w:val="both"/>
        <w:rPr>
          <w:rFonts w:ascii="Times New Roman" w:hAnsi="Times New Roman" w:cs="Times New Roman"/>
          <w:b/>
          <w:bCs/>
        </w:rPr>
      </w:pPr>
    </w:p>
    <w:p w14:paraId="5E27C787" w14:textId="5002BF0F" w:rsidR="00322670" w:rsidRPr="00134FDC" w:rsidRDefault="00134FDC" w:rsidP="009A135D">
      <w:pPr>
        <w:pStyle w:val="Epgrafe"/>
        <w:spacing w:after="0"/>
        <w:jc w:val="center"/>
        <w:rPr>
          <w:rFonts w:ascii="Times New Roman" w:hAnsi="Times New Roman" w:cs="Times New Roman"/>
          <w:b/>
          <w:bCs/>
          <w:color w:val="auto"/>
          <w:sz w:val="20"/>
        </w:rPr>
      </w:pPr>
      <w:bookmarkStart w:id="117" w:name="_Toc81573057"/>
      <w:r w:rsidRPr="00134FDC">
        <w:rPr>
          <w:rFonts w:ascii="Times New Roman" w:hAnsi="Times New Roman" w:cs="Times New Roman"/>
          <w:b/>
          <w:color w:val="auto"/>
          <w:sz w:val="20"/>
        </w:rPr>
        <w:t xml:space="preserve">Gráfico </w:t>
      </w:r>
      <w:r>
        <w:rPr>
          <w:rFonts w:ascii="Times New Roman" w:hAnsi="Times New Roman" w:cs="Times New Roman"/>
          <w:b/>
          <w:color w:val="auto"/>
          <w:sz w:val="20"/>
        </w:rPr>
        <w:fldChar w:fldCharType="begin"/>
      </w:r>
      <w:r>
        <w:rPr>
          <w:rFonts w:ascii="Times New Roman" w:hAnsi="Times New Roman" w:cs="Times New Roman"/>
          <w:b/>
          <w:color w:val="auto"/>
          <w:sz w:val="20"/>
        </w:rPr>
        <w:instrText xml:space="preserve"> SEQ Gráfico \* ARABIC </w:instrText>
      </w:r>
      <w:r>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7</w:t>
      </w:r>
      <w:r>
        <w:rPr>
          <w:rFonts w:ascii="Times New Roman" w:hAnsi="Times New Roman" w:cs="Times New Roman"/>
          <w:b/>
          <w:color w:val="auto"/>
          <w:sz w:val="20"/>
        </w:rPr>
        <w:fldChar w:fldCharType="end"/>
      </w:r>
      <w:r w:rsidRPr="00134FDC">
        <w:rPr>
          <w:rFonts w:ascii="Times New Roman" w:hAnsi="Times New Roman" w:cs="Times New Roman"/>
          <w:b/>
          <w:color w:val="auto"/>
          <w:sz w:val="20"/>
        </w:rPr>
        <w:t xml:space="preserve"> </w:t>
      </w:r>
      <w:r w:rsidR="00322670" w:rsidRPr="00134FDC">
        <w:rPr>
          <w:rFonts w:ascii="Times New Roman" w:hAnsi="Times New Roman" w:cs="Times New Roman"/>
          <w:b/>
          <w:bCs/>
          <w:color w:val="auto"/>
          <w:sz w:val="20"/>
        </w:rPr>
        <w:t>Consumo y formación bruta de capital</w:t>
      </w:r>
      <w:bookmarkEnd w:id="117"/>
    </w:p>
    <w:tbl>
      <w:tblPr>
        <w:tblStyle w:val="Tablaconcuadrcula"/>
        <w:tblW w:w="9526"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5134"/>
      </w:tblGrid>
      <w:tr w:rsidR="00322670" w:rsidRPr="00160D76" w14:paraId="1C097742" w14:textId="77777777" w:rsidTr="00DE1FBB">
        <w:trPr>
          <w:trHeight w:val="3544"/>
        </w:trPr>
        <w:tc>
          <w:tcPr>
            <w:tcW w:w="4390" w:type="dxa"/>
          </w:tcPr>
          <w:p w14:paraId="371E7C0E" w14:textId="77777777" w:rsidR="00322670" w:rsidRPr="00160D76" w:rsidRDefault="00322670" w:rsidP="00DE1FBB">
            <w:pPr>
              <w:spacing w:line="276" w:lineRule="auto"/>
              <w:jc w:val="center"/>
              <w:rPr>
                <w:rFonts w:ascii="Times New Roman" w:hAnsi="Times New Roman" w:cs="Times New Roman"/>
              </w:rPr>
            </w:pPr>
            <w:r w:rsidRPr="00160D76">
              <w:rPr>
                <w:noProof/>
                <w:lang w:val="es-ES" w:eastAsia="es-ES"/>
              </w:rPr>
              <w:drawing>
                <wp:inline distT="0" distB="0" distL="0" distR="0" wp14:anchorId="0D778317" wp14:editId="61625C2E">
                  <wp:extent cx="2651760" cy="2644140"/>
                  <wp:effectExtent l="0" t="0" r="0" b="3810"/>
                  <wp:docPr id="30" name="Gráfico 3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6675EF4-00F8-4716-B3D2-59BE1862A5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5136" w:type="dxa"/>
          </w:tcPr>
          <w:p w14:paraId="278A0226" w14:textId="77777777" w:rsidR="00322670" w:rsidRPr="00160D76" w:rsidRDefault="00322670" w:rsidP="00DE1FBB">
            <w:pPr>
              <w:spacing w:line="276" w:lineRule="auto"/>
              <w:rPr>
                <w:rFonts w:ascii="Times New Roman" w:hAnsi="Times New Roman" w:cs="Times New Roman"/>
              </w:rPr>
            </w:pPr>
            <w:r w:rsidRPr="00160D76">
              <w:rPr>
                <w:noProof/>
                <w:lang w:val="es-ES" w:eastAsia="es-ES"/>
              </w:rPr>
              <w:drawing>
                <wp:inline distT="0" distB="0" distL="0" distR="0" wp14:anchorId="5FC4B82E" wp14:editId="157731D2">
                  <wp:extent cx="2590800" cy="2575560"/>
                  <wp:effectExtent l="0" t="0" r="0" b="0"/>
                  <wp:docPr id="13" name="Gráfico 1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C1A5925-CFEB-49CA-9955-5DD0ABA562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4813635" w14:textId="77777777" w:rsidR="00322670" w:rsidRPr="00160D76" w:rsidRDefault="00322670" w:rsidP="00DE1FBB">
            <w:pPr>
              <w:spacing w:line="276" w:lineRule="auto"/>
              <w:rPr>
                <w:rFonts w:ascii="Times New Roman" w:hAnsi="Times New Roman" w:cs="Times New Roman"/>
              </w:rPr>
            </w:pPr>
          </w:p>
        </w:tc>
      </w:tr>
    </w:tbl>
    <w:p w14:paraId="3230D6F3" w14:textId="77777777" w:rsidR="00322670" w:rsidRPr="00160D76" w:rsidRDefault="00322670" w:rsidP="001032E7">
      <w:pPr>
        <w:pStyle w:val="Ttulo3"/>
        <w:numPr>
          <w:ilvl w:val="2"/>
          <w:numId w:val="29"/>
        </w:numPr>
        <w:tabs>
          <w:tab w:val="left" w:pos="993"/>
          <w:tab w:val="left" w:pos="1276"/>
          <w:tab w:val="left" w:pos="1560"/>
          <w:tab w:val="left" w:pos="1843"/>
        </w:tabs>
        <w:spacing w:before="0" w:line="240" w:lineRule="auto"/>
        <w:ind w:left="709" w:hanging="360"/>
        <w:rPr>
          <w:rFonts w:ascii="Times New Roman" w:hAnsi="Times New Roman" w:cs="Times New Roman"/>
          <w:b/>
          <w:color w:val="auto"/>
        </w:rPr>
      </w:pPr>
      <w:bookmarkStart w:id="118" w:name="_Toc49939403"/>
      <w:r>
        <w:rPr>
          <w:rFonts w:ascii="Times New Roman" w:hAnsi="Times New Roman" w:cs="Times New Roman"/>
          <w:b/>
          <w:color w:val="auto"/>
        </w:rPr>
        <w:t xml:space="preserve"> </w:t>
      </w:r>
      <w:bookmarkStart w:id="119" w:name="_Toc72489357"/>
      <w:bookmarkStart w:id="120" w:name="_Toc81571840"/>
      <w:r w:rsidRPr="00160D76">
        <w:rPr>
          <w:rFonts w:ascii="Times New Roman" w:hAnsi="Times New Roman" w:cs="Times New Roman"/>
          <w:b/>
          <w:color w:val="auto"/>
        </w:rPr>
        <w:t>Ritmo inflacionario</w:t>
      </w:r>
      <w:bookmarkEnd w:id="118"/>
      <w:bookmarkEnd w:id="119"/>
      <w:bookmarkEnd w:id="120"/>
    </w:p>
    <w:p w14:paraId="16B2F60E" w14:textId="77777777" w:rsidR="00322670" w:rsidRPr="00160D76" w:rsidRDefault="00322670" w:rsidP="00322670">
      <w:pPr>
        <w:spacing w:after="0" w:line="240" w:lineRule="auto"/>
        <w:jc w:val="both"/>
        <w:rPr>
          <w:rFonts w:ascii="Times New Roman" w:hAnsi="Times New Roman" w:cs="Times New Roman"/>
          <w:highlight w:val="yellow"/>
        </w:rPr>
      </w:pPr>
    </w:p>
    <w:p w14:paraId="6A963F64" w14:textId="77777777" w:rsidR="00322670" w:rsidRPr="00160D76" w:rsidRDefault="00322670" w:rsidP="005135D3">
      <w:pPr>
        <w:spacing w:after="0" w:line="240" w:lineRule="auto"/>
        <w:jc w:val="both"/>
        <w:rPr>
          <w:rFonts w:ascii="Times New Roman" w:hAnsi="Times New Roman" w:cs="Times New Roman"/>
        </w:rPr>
      </w:pPr>
      <w:r w:rsidRPr="00160D76">
        <w:rPr>
          <w:rFonts w:ascii="Times New Roman" w:hAnsi="Times New Roman" w:cs="Times New Roman"/>
        </w:rPr>
        <w:t>La inflación interanual del 2020 se ubicó 4.8% cerca del límite superior del rango de la meta fijada por el Banco de Guatemala de 4% +-1%</w:t>
      </w:r>
      <w:r>
        <w:rPr>
          <w:rFonts w:ascii="Times New Roman" w:hAnsi="Times New Roman" w:cs="Times New Roman"/>
        </w:rPr>
        <w:t>, y</w:t>
      </w:r>
      <w:r w:rsidRPr="00160D76">
        <w:rPr>
          <w:rFonts w:ascii="Times New Roman" w:hAnsi="Times New Roman" w:cs="Times New Roman"/>
        </w:rPr>
        <w:t xml:space="preserve"> mayor al 3.4% % del 2019 en 1.4 puntos porcentuales</w:t>
      </w:r>
      <w:r>
        <w:rPr>
          <w:rFonts w:ascii="Times New Roman" w:hAnsi="Times New Roman" w:cs="Times New Roman"/>
        </w:rPr>
        <w:t xml:space="preserve">. </w:t>
      </w:r>
      <w:r w:rsidRPr="00160D76">
        <w:rPr>
          <w:rFonts w:ascii="Times New Roman" w:hAnsi="Times New Roman" w:cs="Times New Roman"/>
        </w:rPr>
        <w:t xml:space="preserve"> </w:t>
      </w:r>
      <w:r>
        <w:rPr>
          <w:rFonts w:ascii="Times New Roman" w:hAnsi="Times New Roman" w:cs="Times New Roman"/>
        </w:rPr>
        <w:t>N</w:t>
      </w:r>
      <w:r w:rsidRPr="00160D76">
        <w:rPr>
          <w:rFonts w:ascii="Times New Roman" w:hAnsi="Times New Roman" w:cs="Times New Roman"/>
        </w:rPr>
        <w:t>o obstante, la inflación durante el periodo 2010-2020 ronda el 4.2% muy cercana a la meta explicita de inflación lo cual indica que se ha logrado mantener la estabilidad de la inflación en los últimos años.</w:t>
      </w:r>
    </w:p>
    <w:p w14:paraId="210AC409" w14:textId="77777777" w:rsidR="00322670" w:rsidRPr="00160D76" w:rsidRDefault="00322670" w:rsidP="005135D3">
      <w:pPr>
        <w:spacing w:after="0" w:line="240" w:lineRule="auto"/>
        <w:jc w:val="both"/>
        <w:rPr>
          <w:rFonts w:ascii="Times New Roman" w:hAnsi="Times New Roman" w:cs="Times New Roman"/>
        </w:rPr>
      </w:pPr>
    </w:p>
    <w:p w14:paraId="350F458B" w14:textId="1F16CD07" w:rsidR="00322670" w:rsidRDefault="00322670" w:rsidP="005135D3">
      <w:pPr>
        <w:spacing w:after="0" w:line="240" w:lineRule="auto"/>
        <w:jc w:val="both"/>
        <w:rPr>
          <w:rFonts w:ascii="Times New Roman" w:hAnsi="Times New Roman" w:cs="Times New Roman"/>
        </w:rPr>
      </w:pPr>
      <w:r w:rsidRPr="00160D76">
        <w:rPr>
          <w:rFonts w:ascii="Times New Roman" w:hAnsi="Times New Roman" w:cs="Times New Roman"/>
        </w:rPr>
        <w:t xml:space="preserve">El crecimiento que se dio en </w:t>
      </w:r>
      <w:r>
        <w:rPr>
          <w:rFonts w:ascii="Times New Roman" w:hAnsi="Times New Roman" w:cs="Times New Roman"/>
        </w:rPr>
        <w:t>2020</w:t>
      </w:r>
      <w:r w:rsidRPr="00160D76">
        <w:rPr>
          <w:rFonts w:ascii="Times New Roman" w:hAnsi="Times New Roman" w:cs="Times New Roman"/>
        </w:rPr>
        <w:t xml:space="preserve"> fue derivado de la emisión de nuevos fondos para apoyar a las personas más afectadas por </w:t>
      </w:r>
      <w:r>
        <w:rPr>
          <w:rFonts w:ascii="Times New Roman" w:hAnsi="Times New Roman" w:cs="Times New Roman"/>
        </w:rPr>
        <w:t>la</w:t>
      </w:r>
      <w:r w:rsidRPr="00160D76">
        <w:rPr>
          <w:rFonts w:ascii="Times New Roman" w:hAnsi="Times New Roman" w:cs="Times New Roman"/>
        </w:rPr>
        <w:t xml:space="preserve"> pandemia, lo cual alter</w:t>
      </w:r>
      <w:r>
        <w:rPr>
          <w:rFonts w:ascii="Times New Roman" w:hAnsi="Times New Roman" w:cs="Times New Roman"/>
        </w:rPr>
        <w:t>ó</w:t>
      </w:r>
      <w:r w:rsidRPr="00160D76">
        <w:rPr>
          <w:rFonts w:ascii="Times New Roman" w:hAnsi="Times New Roman" w:cs="Times New Roman"/>
        </w:rPr>
        <w:t xml:space="preserve"> la trayectoria en materia inflacionaria</w:t>
      </w:r>
      <w:r>
        <w:rPr>
          <w:rFonts w:ascii="Times New Roman" w:hAnsi="Times New Roman" w:cs="Times New Roman"/>
        </w:rPr>
        <w:t xml:space="preserve"> además de que los estímulos de la política monetaria y en el dólar, lo que causo que el precio de las materias primas incrementara, dicho aumento causó que la inflación importada de Guatemala incrementará y tuviera incidencia en el valor de transporte, la producción de alimentos y otras manufacturas diversas que se producen localmente;</w:t>
      </w:r>
      <w:r w:rsidRPr="00160D76">
        <w:rPr>
          <w:rFonts w:ascii="Times New Roman" w:hAnsi="Times New Roman" w:cs="Times New Roman"/>
        </w:rPr>
        <w:t xml:space="preserve"> al observar la inflación interanual por división de gastos observamos que el Transporte </w:t>
      </w:r>
      <w:r>
        <w:rPr>
          <w:rFonts w:ascii="Times New Roman" w:hAnsi="Times New Roman" w:cs="Times New Roman"/>
        </w:rPr>
        <w:t xml:space="preserve">tuvo una inflación de </w:t>
      </w:r>
      <w:r w:rsidRPr="00160D76">
        <w:rPr>
          <w:rFonts w:ascii="Times New Roman" w:hAnsi="Times New Roman" w:cs="Times New Roman"/>
        </w:rPr>
        <w:t>9.9%</w:t>
      </w:r>
      <w:r>
        <w:rPr>
          <w:rFonts w:ascii="Times New Roman" w:hAnsi="Times New Roman" w:cs="Times New Roman"/>
        </w:rPr>
        <w:t xml:space="preserve"> en comparación al 5.4% del año anterior,</w:t>
      </w:r>
      <w:r w:rsidRPr="00160D76">
        <w:rPr>
          <w:rFonts w:ascii="Times New Roman" w:hAnsi="Times New Roman" w:cs="Times New Roman"/>
        </w:rPr>
        <w:t xml:space="preserve"> </w:t>
      </w:r>
      <w:r>
        <w:rPr>
          <w:rFonts w:ascii="Times New Roman" w:hAnsi="Times New Roman" w:cs="Times New Roman"/>
        </w:rPr>
        <w:t>el mayor alza de todas las divisiones de gastos, dentro de esta división fueron el servicio de bus extraurbano y urbano los que registraron un alza de 59.4% y 47.1%, respectivamente; los registraron la mayor reducción porcentual en sus precios a nivel interanual fueron el diésel 18.</w:t>
      </w:r>
      <w:r w:rsidR="00B51812">
        <w:rPr>
          <w:rFonts w:ascii="Times New Roman" w:hAnsi="Times New Roman" w:cs="Times New Roman"/>
        </w:rPr>
        <w:t>7</w:t>
      </w:r>
      <w:r>
        <w:rPr>
          <w:rFonts w:ascii="Times New Roman" w:hAnsi="Times New Roman" w:cs="Times New Roman"/>
        </w:rPr>
        <w:t>%, gasolina superior en -11.8%, gasolina regular -11.</w:t>
      </w:r>
      <w:r w:rsidR="00B51812">
        <w:rPr>
          <w:rFonts w:ascii="Times New Roman" w:hAnsi="Times New Roman" w:cs="Times New Roman"/>
        </w:rPr>
        <w:t>4</w:t>
      </w:r>
      <w:r>
        <w:rPr>
          <w:rFonts w:ascii="Times New Roman" w:hAnsi="Times New Roman" w:cs="Times New Roman"/>
        </w:rPr>
        <w:t>% y el gas propano en -9.</w:t>
      </w:r>
      <w:r w:rsidR="00B51812">
        <w:rPr>
          <w:rFonts w:ascii="Times New Roman" w:hAnsi="Times New Roman" w:cs="Times New Roman"/>
        </w:rPr>
        <w:t>9</w:t>
      </w:r>
      <w:r>
        <w:rPr>
          <w:rFonts w:ascii="Times New Roman" w:hAnsi="Times New Roman" w:cs="Times New Roman"/>
        </w:rPr>
        <w:t xml:space="preserve">%. Los </w:t>
      </w:r>
      <w:r w:rsidRPr="00160D76">
        <w:rPr>
          <w:rFonts w:ascii="Times New Roman" w:hAnsi="Times New Roman" w:cs="Times New Roman"/>
        </w:rPr>
        <w:t xml:space="preserve">Alimentos y bebidas </w:t>
      </w:r>
      <w:r>
        <w:rPr>
          <w:rFonts w:ascii="Times New Roman" w:hAnsi="Times New Roman" w:cs="Times New Roman"/>
        </w:rPr>
        <w:t xml:space="preserve">fueron la segunda división con mayor alza creciendo </w:t>
      </w:r>
      <w:r w:rsidRPr="00160D76">
        <w:rPr>
          <w:rFonts w:ascii="Times New Roman" w:hAnsi="Times New Roman" w:cs="Times New Roman"/>
        </w:rPr>
        <w:t>8.7%</w:t>
      </w:r>
      <w:r>
        <w:rPr>
          <w:rFonts w:ascii="Times New Roman" w:hAnsi="Times New Roman" w:cs="Times New Roman"/>
        </w:rPr>
        <w:t xml:space="preserve"> de los cuales reflejan el güisquil y la papa un alza de 63.3% y 34.</w:t>
      </w:r>
      <w:r w:rsidR="00B51812">
        <w:rPr>
          <w:rFonts w:ascii="Times New Roman" w:hAnsi="Times New Roman" w:cs="Times New Roman"/>
        </w:rPr>
        <w:t>9</w:t>
      </w:r>
      <w:r>
        <w:rPr>
          <w:rFonts w:ascii="Times New Roman" w:hAnsi="Times New Roman" w:cs="Times New Roman"/>
        </w:rPr>
        <w:t>% así como también sufrieron un alza significativa otras verduras como el güicoy, legumbres y hortalizas en 31.4% y 30.3%, además del frijol y cebolla con 24.8% y 24.7%; las frutas con más impacto fueron la naranja y el banano con 27.6% y 24.5%, respectivamente</w:t>
      </w:r>
      <w:r w:rsidRPr="00160D76">
        <w:rPr>
          <w:rFonts w:ascii="Times New Roman" w:hAnsi="Times New Roman" w:cs="Times New Roman"/>
        </w:rPr>
        <w:t>. Por su parte</w:t>
      </w:r>
      <w:r>
        <w:rPr>
          <w:rFonts w:ascii="Times New Roman" w:hAnsi="Times New Roman" w:cs="Times New Roman"/>
        </w:rPr>
        <w:t>,</w:t>
      </w:r>
      <w:r w:rsidRPr="00160D76">
        <w:rPr>
          <w:rFonts w:ascii="Times New Roman" w:hAnsi="Times New Roman" w:cs="Times New Roman"/>
        </w:rPr>
        <w:t xml:space="preserve"> la</w:t>
      </w:r>
      <w:r>
        <w:rPr>
          <w:rFonts w:ascii="Times New Roman" w:hAnsi="Times New Roman" w:cs="Times New Roman"/>
        </w:rPr>
        <w:t>s</w:t>
      </w:r>
      <w:r w:rsidRPr="00160D76">
        <w:rPr>
          <w:rFonts w:ascii="Times New Roman" w:hAnsi="Times New Roman" w:cs="Times New Roman"/>
        </w:rPr>
        <w:t xml:space="preserve"> divisi</w:t>
      </w:r>
      <w:r>
        <w:rPr>
          <w:rFonts w:ascii="Times New Roman" w:hAnsi="Times New Roman" w:cs="Times New Roman"/>
        </w:rPr>
        <w:t>ones</w:t>
      </w:r>
      <w:r w:rsidRPr="00160D76">
        <w:rPr>
          <w:rFonts w:ascii="Times New Roman" w:hAnsi="Times New Roman" w:cs="Times New Roman"/>
        </w:rPr>
        <w:t xml:space="preserve"> que menos impacto tuvieron fueron</w:t>
      </w:r>
      <w:r>
        <w:rPr>
          <w:rFonts w:ascii="Times New Roman" w:hAnsi="Times New Roman" w:cs="Times New Roman"/>
        </w:rPr>
        <w:t xml:space="preserve">: </w:t>
      </w:r>
      <w:r w:rsidRPr="00160D76">
        <w:rPr>
          <w:rFonts w:ascii="Times New Roman" w:hAnsi="Times New Roman" w:cs="Times New Roman"/>
        </w:rPr>
        <w:t xml:space="preserve">vivienda, agua, electricidad, gas con 0.7%; </w:t>
      </w:r>
      <w:r>
        <w:rPr>
          <w:rFonts w:ascii="Times New Roman" w:hAnsi="Times New Roman" w:cs="Times New Roman"/>
        </w:rPr>
        <w:t>c</w:t>
      </w:r>
      <w:r w:rsidRPr="00160D76">
        <w:rPr>
          <w:rFonts w:ascii="Times New Roman" w:hAnsi="Times New Roman" w:cs="Times New Roman"/>
        </w:rPr>
        <w:t>omunicaciones con 1.9% Bienes y servicios diversos con 0.6%.</w:t>
      </w:r>
    </w:p>
    <w:p w14:paraId="25EBA8C9" w14:textId="77777777" w:rsidR="00322670" w:rsidRDefault="00322670" w:rsidP="005135D3">
      <w:pPr>
        <w:spacing w:after="0" w:line="240" w:lineRule="auto"/>
        <w:jc w:val="both"/>
        <w:rPr>
          <w:rFonts w:ascii="Times New Roman" w:hAnsi="Times New Roman" w:cs="Times New Roman"/>
        </w:rPr>
      </w:pPr>
    </w:p>
    <w:p w14:paraId="5CB6DED7" w14:textId="77777777" w:rsidR="00322670" w:rsidRDefault="00322670" w:rsidP="005135D3">
      <w:pPr>
        <w:spacing w:after="0" w:line="240" w:lineRule="auto"/>
        <w:jc w:val="both"/>
        <w:rPr>
          <w:rFonts w:ascii="Times New Roman" w:hAnsi="Times New Roman" w:cs="Times New Roman"/>
        </w:rPr>
      </w:pPr>
      <w:r>
        <w:rPr>
          <w:rFonts w:ascii="Times New Roman" w:hAnsi="Times New Roman" w:cs="Times New Roman"/>
        </w:rPr>
        <w:t>Los principales gastos básicos que registraron la mayor incidencia a nivel interanual fueron el güisquil 0.91%, servicio de bus extraurbano 0.87%, cebolla 0.49%, entre otros. Las principales incidencias negativas se presentaron en gasolina superior -0.15%, servicio de transporte aéreo -0.08% y gas propano -0.08%.</w:t>
      </w:r>
    </w:p>
    <w:p w14:paraId="1C6ADB40" w14:textId="57D92CF6" w:rsidR="00155114" w:rsidRDefault="00155114" w:rsidP="005135D3">
      <w:pPr>
        <w:spacing w:after="0" w:line="240" w:lineRule="auto"/>
        <w:jc w:val="both"/>
        <w:rPr>
          <w:rFonts w:ascii="Times New Roman" w:hAnsi="Times New Roman" w:cs="Times New Roman"/>
          <w:b/>
          <w:i/>
          <w:sz w:val="20"/>
        </w:rPr>
      </w:pPr>
    </w:p>
    <w:p w14:paraId="419EC2CB" w14:textId="77777777" w:rsidR="009A135D" w:rsidRPr="00160D76" w:rsidRDefault="009A135D" w:rsidP="005135D3">
      <w:pPr>
        <w:spacing w:after="0" w:line="240" w:lineRule="auto"/>
        <w:jc w:val="both"/>
        <w:rPr>
          <w:rFonts w:ascii="Times New Roman" w:hAnsi="Times New Roman" w:cs="Times New Roman"/>
          <w:b/>
          <w:i/>
          <w:sz w:val="20"/>
        </w:rPr>
      </w:pPr>
    </w:p>
    <w:p w14:paraId="4A69E3EA" w14:textId="47BB2186" w:rsidR="00322670" w:rsidRPr="00AD2DB3" w:rsidRDefault="00134FDC" w:rsidP="00134FDC">
      <w:pPr>
        <w:pStyle w:val="Epgrafe"/>
        <w:jc w:val="center"/>
        <w:rPr>
          <w:rFonts w:ascii="Times New Roman" w:hAnsi="Times New Roman" w:cs="Times New Roman"/>
          <w:b/>
          <w:i w:val="0"/>
          <w:color w:val="auto"/>
          <w:sz w:val="20"/>
        </w:rPr>
      </w:pPr>
      <w:bookmarkStart w:id="121" w:name="_Toc81573058"/>
      <w:r w:rsidRPr="00134FDC">
        <w:rPr>
          <w:rFonts w:ascii="Times New Roman" w:hAnsi="Times New Roman" w:cs="Times New Roman"/>
          <w:b/>
          <w:color w:val="auto"/>
          <w:sz w:val="20"/>
        </w:rPr>
        <w:t xml:space="preserve">Gráfico </w:t>
      </w:r>
      <w:r>
        <w:rPr>
          <w:rFonts w:ascii="Times New Roman" w:hAnsi="Times New Roman" w:cs="Times New Roman"/>
          <w:b/>
          <w:color w:val="auto"/>
          <w:sz w:val="20"/>
        </w:rPr>
        <w:fldChar w:fldCharType="begin"/>
      </w:r>
      <w:r>
        <w:rPr>
          <w:rFonts w:ascii="Times New Roman" w:hAnsi="Times New Roman" w:cs="Times New Roman"/>
          <w:b/>
          <w:color w:val="auto"/>
          <w:sz w:val="20"/>
        </w:rPr>
        <w:instrText xml:space="preserve"> SEQ Gráfico \* ARABIC </w:instrText>
      </w:r>
      <w:r>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8</w:t>
      </w:r>
      <w:r>
        <w:rPr>
          <w:rFonts w:ascii="Times New Roman" w:hAnsi="Times New Roman" w:cs="Times New Roman"/>
          <w:b/>
          <w:color w:val="auto"/>
          <w:sz w:val="20"/>
        </w:rPr>
        <w:fldChar w:fldCharType="end"/>
      </w:r>
      <w:r w:rsidRPr="00134FDC">
        <w:rPr>
          <w:rFonts w:ascii="Times New Roman" w:hAnsi="Times New Roman" w:cs="Times New Roman"/>
          <w:b/>
          <w:color w:val="auto"/>
          <w:sz w:val="20"/>
        </w:rPr>
        <w:t xml:space="preserve"> </w:t>
      </w:r>
      <w:r w:rsidR="00322670" w:rsidRPr="00160D76">
        <w:rPr>
          <w:rFonts w:ascii="Times New Roman" w:hAnsi="Times New Roman" w:cs="Times New Roman"/>
          <w:b/>
          <w:i w:val="0"/>
          <w:color w:val="auto"/>
          <w:sz w:val="20"/>
        </w:rPr>
        <w:t>Inflación</w:t>
      </w:r>
      <w:bookmarkEnd w:id="121"/>
    </w:p>
    <w:p w14:paraId="5B5974A7" w14:textId="77777777" w:rsidR="00322670" w:rsidRPr="00160D76" w:rsidRDefault="00322670" w:rsidP="00322670">
      <w:pPr>
        <w:spacing w:after="0" w:line="240" w:lineRule="auto"/>
        <w:jc w:val="both"/>
        <w:rPr>
          <w:noProof/>
        </w:rPr>
      </w:pPr>
      <w:r w:rsidRPr="00160D76">
        <w:rPr>
          <w:noProof/>
          <w:lang w:val="es-ES" w:eastAsia="es-ES"/>
        </w:rPr>
        <w:drawing>
          <wp:inline distT="0" distB="0" distL="0" distR="0" wp14:anchorId="1801AC0A" wp14:editId="18BF085A">
            <wp:extent cx="2914650" cy="2278380"/>
            <wp:effectExtent l="0" t="0" r="0" b="7620"/>
            <wp:docPr id="31" name="Gráfico 3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9AE94FD-D43A-40D3-9FEF-3CD42D2C45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160D76">
        <w:rPr>
          <w:noProof/>
        </w:rPr>
        <w:t xml:space="preserve"> </w:t>
      </w:r>
      <w:r w:rsidRPr="00160D76">
        <w:rPr>
          <w:noProof/>
          <w:lang w:val="es-ES" w:eastAsia="es-ES"/>
        </w:rPr>
        <w:drawing>
          <wp:inline distT="0" distB="0" distL="0" distR="0" wp14:anchorId="763C9E24" wp14:editId="73B02DF9">
            <wp:extent cx="2623820" cy="2279650"/>
            <wp:effectExtent l="0" t="0" r="5080" b="6350"/>
            <wp:docPr id="98" name="Gráfico 9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BC66DBF-C2B5-4596-A7EE-5D768BBF63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1DD130C" w14:textId="77777777" w:rsidR="00322670" w:rsidRDefault="00322670" w:rsidP="00322670">
      <w:pPr>
        <w:spacing w:after="0" w:line="240" w:lineRule="auto"/>
        <w:jc w:val="both"/>
        <w:rPr>
          <w:rFonts w:ascii="Times New Roman" w:hAnsi="Times New Roman" w:cs="Times New Roman"/>
          <w:noProof/>
          <w:sz w:val="16"/>
          <w:szCs w:val="16"/>
        </w:rPr>
      </w:pPr>
      <w:r w:rsidRPr="00160D76">
        <w:rPr>
          <w:rFonts w:ascii="Times New Roman" w:hAnsi="Times New Roman" w:cs="Times New Roman"/>
          <w:noProof/>
          <w:sz w:val="16"/>
          <w:szCs w:val="16"/>
        </w:rPr>
        <w:t xml:space="preserve">Fuente: </w:t>
      </w:r>
      <w:r>
        <w:rPr>
          <w:rFonts w:ascii="Times New Roman" w:hAnsi="Times New Roman" w:cs="Times New Roman"/>
          <w:noProof/>
          <w:sz w:val="16"/>
          <w:szCs w:val="16"/>
        </w:rPr>
        <w:t>Dirección de Análisis y Política Fiscal</w:t>
      </w:r>
      <w:r w:rsidRPr="00160D76">
        <w:rPr>
          <w:rFonts w:ascii="Times New Roman" w:hAnsi="Times New Roman" w:cs="Times New Roman"/>
          <w:noProof/>
          <w:sz w:val="16"/>
          <w:szCs w:val="16"/>
        </w:rPr>
        <w:t xml:space="preserve"> con información del INE</w:t>
      </w:r>
      <w:r>
        <w:rPr>
          <w:rFonts w:ascii="Times New Roman" w:hAnsi="Times New Roman" w:cs="Times New Roman"/>
          <w:noProof/>
          <w:sz w:val="16"/>
          <w:szCs w:val="16"/>
        </w:rPr>
        <w:t>.</w:t>
      </w:r>
    </w:p>
    <w:p w14:paraId="693067CF" w14:textId="77777777" w:rsidR="00322670" w:rsidRDefault="00322670" w:rsidP="00322670">
      <w:pPr>
        <w:spacing w:after="0" w:line="240" w:lineRule="auto"/>
        <w:jc w:val="both"/>
        <w:rPr>
          <w:rFonts w:ascii="Times New Roman" w:hAnsi="Times New Roman" w:cs="Times New Roman"/>
          <w:noProof/>
          <w:sz w:val="16"/>
          <w:szCs w:val="16"/>
        </w:rPr>
      </w:pPr>
    </w:p>
    <w:p w14:paraId="010B4FBD" w14:textId="77777777" w:rsidR="00322670" w:rsidRDefault="00322670" w:rsidP="00322670">
      <w:pPr>
        <w:spacing w:after="0" w:line="240" w:lineRule="auto"/>
        <w:jc w:val="both"/>
        <w:rPr>
          <w:rFonts w:ascii="Times New Roman" w:hAnsi="Times New Roman" w:cs="Times New Roman"/>
          <w:noProof/>
          <w:sz w:val="16"/>
          <w:szCs w:val="16"/>
        </w:rPr>
      </w:pPr>
    </w:p>
    <w:p w14:paraId="29FEA97A" w14:textId="77777777" w:rsidR="00322670" w:rsidRDefault="00322670" w:rsidP="00322670">
      <w:pPr>
        <w:spacing w:after="0" w:line="240" w:lineRule="auto"/>
        <w:jc w:val="both"/>
        <w:rPr>
          <w:rFonts w:ascii="Times New Roman" w:hAnsi="Times New Roman" w:cs="Times New Roman"/>
        </w:rPr>
      </w:pPr>
      <w:r w:rsidRPr="00893706">
        <w:rPr>
          <w:rFonts w:ascii="Times New Roman" w:hAnsi="Times New Roman" w:cs="Times New Roman"/>
        </w:rPr>
        <w:t xml:space="preserve">En 2020 el poder adquisitivo del Quetzal </w:t>
      </w:r>
      <w:r>
        <w:rPr>
          <w:rFonts w:ascii="Times New Roman" w:hAnsi="Times New Roman" w:cs="Times New Roman"/>
        </w:rPr>
        <w:t>que refiere a la capacidad económica para adquirir bienes y servicios este s</w:t>
      </w:r>
      <w:r w:rsidRPr="00893706">
        <w:rPr>
          <w:rFonts w:ascii="Times New Roman" w:hAnsi="Times New Roman" w:cs="Times New Roman"/>
        </w:rPr>
        <w:t>e ubicó en Q.0.67; perdiendo 33 centavos con relación al peri</w:t>
      </w:r>
      <w:r>
        <w:rPr>
          <w:rFonts w:ascii="Times New Roman" w:hAnsi="Times New Roman" w:cs="Times New Roman"/>
        </w:rPr>
        <w:t>o</w:t>
      </w:r>
      <w:r w:rsidRPr="00893706">
        <w:rPr>
          <w:rFonts w:ascii="Times New Roman" w:hAnsi="Times New Roman" w:cs="Times New Roman"/>
        </w:rPr>
        <w:t>do base diciembre 2010, y 4 respecto a diciembre de 2019.</w:t>
      </w:r>
    </w:p>
    <w:p w14:paraId="29B8806B" w14:textId="77777777" w:rsidR="00322670" w:rsidRPr="00893706" w:rsidRDefault="00322670" w:rsidP="00322670">
      <w:pPr>
        <w:spacing w:after="0" w:line="240" w:lineRule="auto"/>
        <w:jc w:val="both"/>
        <w:rPr>
          <w:rFonts w:ascii="Times New Roman" w:hAnsi="Times New Roman" w:cs="Times New Roman"/>
        </w:rPr>
      </w:pPr>
    </w:p>
    <w:p w14:paraId="262358B6" w14:textId="77777777" w:rsidR="00322670" w:rsidRPr="00160D76" w:rsidRDefault="00322670" w:rsidP="001032E7">
      <w:pPr>
        <w:pStyle w:val="Ttulo3"/>
        <w:numPr>
          <w:ilvl w:val="2"/>
          <w:numId w:val="29"/>
        </w:numPr>
        <w:tabs>
          <w:tab w:val="left" w:pos="993"/>
          <w:tab w:val="left" w:pos="1276"/>
          <w:tab w:val="left" w:pos="1560"/>
          <w:tab w:val="left" w:pos="1843"/>
        </w:tabs>
        <w:spacing w:before="0" w:line="240" w:lineRule="auto"/>
        <w:ind w:left="709" w:hanging="360"/>
        <w:rPr>
          <w:rFonts w:ascii="Times New Roman" w:hAnsi="Times New Roman" w:cs="Times New Roman"/>
          <w:b/>
          <w:color w:val="auto"/>
        </w:rPr>
      </w:pPr>
      <w:bookmarkStart w:id="122" w:name="_Toc72489358"/>
      <w:bookmarkStart w:id="123" w:name="_Toc81571841"/>
      <w:r w:rsidRPr="00160D76">
        <w:rPr>
          <w:rFonts w:ascii="Times New Roman" w:hAnsi="Times New Roman" w:cs="Times New Roman"/>
          <w:b/>
          <w:color w:val="auto"/>
        </w:rPr>
        <w:t>Desempleo</w:t>
      </w:r>
      <w:bookmarkEnd w:id="122"/>
      <w:bookmarkEnd w:id="123"/>
    </w:p>
    <w:p w14:paraId="350EF30E" w14:textId="77777777" w:rsidR="00322670" w:rsidRPr="00160D76" w:rsidRDefault="00322670" w:rsidP="00155114">
      <w:pPr>
        <w:spacing w:after="0"/>
      </w:pPr>
    </w:p>
    <w:p w14:paraId="198F335F" w14:textId="77777777" w:rsidR="00322670" w:rsidRDefault="00322670" w:rsidP="009173EB">
      <w:pPr>
        <w:spacing w:line="240" w:lineRule="auto"/>
        <w:jc w:val="both"/>
        <w:rPr>
          <w:rFonts w:ascii="Times New Roman" w:hAnsi="Times New Roman" w:cs="Times New Roman"/>
        </w:rPr>
      </w:pPr>
      <w:r w:rsidRPr="00160D76">
        <w:rPr>
          <w:rFonts w:ascii="Times New Roman" w:hAnsi="Times New Roman" w:cs="Times New Roman"/>
        </w:rPr>
        <w:t>Una alternativa para analizar la evolución del desempleo derivado de la falta de estadísticas específicas</w:t>
      </w:r>
      <w:r>
        <w:rPr>
          <w:rFonts w:ascii="Times New Roman" w:hAnsi="Times New Roman" w:cs="Times New Roman"/>
        </w:rPr>
        <w:t xml:space="preserve"> puede ser mediante las cifras</w:t>
      </w:r>
      <w:r w:rsidRPr="00160D76">
        <w:rPr>
          <w:rFonts w:ascii="Times New Roman" w:hAnsi="Times New Roman" w:cs="Times New Roman"/>
        </w:rPr>
        <w:t xml:space="preserve"> </w:t>
      </w:r>
      <w:r>
        <w:rPr>
          <w:rFonts w:ascii="Times New Roman" w:hAnsi="Times New Roman" w:cs="Times New Roman"/>
        </w:rPr>
        <w:t>d</w:t>
      </w:r>
      <w:r w:rsidRPr="00160D76">
        <w:rPr>
          <w:rFonts w:ascii="Times New Roman" w:hAnsi="Times New Roman" w:cs="Times New Roman"/>
        </w:rPr>
        <w:t>el empleo formal</w:t>
      </w:r>
      <w:r>
        <w:rPr>
          <w:rFonts w:ascii="Times New Roman" w:hAnsi="Times New Roman" w:cs="Times New Roman"/>
        </w:rPr>
        <w:t>, medido</w:t>
      </w:r>
      <w:r w:rsidRPr="00160D76">
        <w:rPr>
          <w:rFonts w:ascii="Times New Roman" w:hAnsi="Times New Roman" w:cs="Times New Roman"/>
        </w:rPr>
        <w:t xml:space="preserve"> a través de la variación en el número total de afiliados que cotizan en el sistema de seguridad social del Instituto Guatemalteco de Seguridad Social -IGSS-. </w:t>
      </w:r>
    </w:p>
    <w:p w14:paraId="25B28616" w14:textId="088FBF57" w:rsidR="00322670" w:rsidRDefault="00322670" w:rsidP="009173EB">
      <w:pPr>
        <w:spacing w:after="0" w:line="240" w:lineRule="auto"/>
        <w:jc w:val="both"/>
        <w:rPr>
          <w:rFonts w:ascii="Times New Roman" w:hAnsi="Times New Roman" w:cs="Times New Roman"/>
        </w:rPr>
      </w:pPr>
      <w:r w:rsidRPr="00160D76">
        <w:rPr>
          <w:rFonts w:ascii="Times New Roman" w:hAnsi="Times New Roman" w:cs="Times New Roman"/>
        </w:rPr>
        <w:t>La tendencia de los cotizantes al IGSS era creciente hasta finales del 2019 sin embargo a partir de la situación derivada por la pandemia disminuy</w:t>
      </w:r>
      <w:r>
        <w:rPr>
          <w:rFonts w:ascii="Times New Roman" w:hAnsi="Times New Roman" w:cs="Times New Roman"/>
        </w:rPr>
        <w:t>ó</w:t>
      </w:r>
      <w:r w:rsidRPr="00160D76">
        <w:rPr>
          <w:rFonts w:ascii="Times New Roman" w:hAnsi="Times New Roman" w:cs="Times New Roman"/>
        </w:rPr>
        <w:t xml:space="preserve"> significativamente, incluso por debajo de los niveles del 2015 coincidiendo con las restricciones que se impusieron a partir del segundo trimestre del 2020 por lo que el nivel bajo de 1,392,154 a 1,230,894 </w:t>
      </w:r>
      <w:r>
        <w:rPr>
          <w:rFonts w:ascii="Times New Roman" w:hAnsi="Times New Roman" w:cs="Times New Roman"/>
        </w:rPr>
        <w:t xml:space="preserve">cotizantes </w:t>
      </w:r>
      <w:r w:rsidRPr="00160D76">
        <w:rPr>
          <w:rFonts w:ascii="Times New Roman" w:hAnsi="Times New Roman" w:cs="Times New Roman"/>
        </w:rPr>
        <w:t xml:space="preserve">a mediados de año, sin embargo dicho indicador </w:t>
      </w:r>
      <w:r>
        <w:rPr>
          <w:rFonts w:ascii="Times New Roman" w:hAnsi="Times New Roman" w:cs="Times New Roman"/>
        </w:rPr>
        <w:t xml:space="preserve">inicio la recuperación de </w:t>
      </w:r>
      <w:r w:rsidRPr="00160D76">
        <w:rPr>
          <w:rFonts w:ascii="Times New Roman" w:hAnsi="Times New Roman" w:cs="Times New Roman"/>
        </w:rPr>
        <w:t>su nivel</w:t>
      </w:r>
      <w:r>
        <w:rPr>
          <w:rFonts w:ascii="Times New Roman" w:hAnsi="Times New Roman" w:cs="Times New Roman"/>
        </w:rPr>
        <w:t xml:space="preserve">, </w:t>
      </w:r>
      <w:r w:rsidRPr="00160D76">
        <w:rPr>
          <w:rFonts w:ascii="Times New Roman" w:hAnsi="Times New Roman" w:cs="Times New Roman"/>
        </w:rPr>
        <w:t xml:space="preserve"> a finales del año llego a 1,347,205</w:t>
      </w:r>
      <w:r>
        <w:rPr>
          <w:rFonts w:ascii="Times New Roman" w:hAnsi="Times New Roman" w:cs="Times New Roman"/>
        </w:rPr>
        <w:t xml:space="preserve"> cotizantes;</w:t>
      </w:r>
      <w:r w:rsidRPr="00160D76">
        <w:rPr>
          <w:rFonts w:ascii="Times New Roman" w:hAnsi="Times New Roman" w:cs="Times New Roman"/>
        </w:rPr>
        <w:t xml:space="preserve"> es decir</w:t>
      </w:r>
      <w:r>
        <w:rPr>
          <w:rFonts w:ascii="Times New Roman" w:hAnsi="Times New Roman" w:cs="Times New Roman"/>
        </w:rPr>
        <w:t>,</w:t>
      </w:r>
      <w:r w:rsidRPr="00160D76">
        <w:rPr>
          <w:rFonts w:ascii="Times New Roman" w:hAnsi="Times New Roman" w:cs="Times New Roman"/>
        </w:rPr>
        <w:t xml:space="preserve"> a nivel de tasas de variación interanual cay</w:t>
      </w:r>
      <w:r>
        <w:rPr>
          <w:rFonts w:ascii="Times New Roman" w:hAnsi="Times New Roman" w:cs="Times New Roman"/>
        </w:rPr>
        <w:t>ó</w:t>
      </w:r>
      <w:r w:rsidRPr="00160D76">
        <w:rPr>
          <w:rFonts w:ascii="Times New Roman" w:hAnsi="Times New Roman" w:cs="Times New Roman"/>
        </w:rPr>
        <w:t xml:space="preserve"> de niveles del 3.28% antes de la crisis a -8.31% en la crisis. </w:t>
      </w:r>
    </w:p>
    <w:p w14:paraId="0DAC2C99" w14:textId="77777777" w:rsidR="009173EB" w:rsidRDefault="009173EB" w:rsidP="009173EB">
      <w:pPr>
        <w:spacing w:after="0" w:line="240" w:lineRule="auto"/>
        <w:jc w:val="both"/>
        <w:rPr>
          <w:rFonts w:ascii="Times New Roman" w:hAnsi="Times New Roman" w:cs="Times New Roman"/>
        </w:rPr>
      </w:pPr>
    </w:p>
    <w:p w14:paraId="4CCECF86" w14:textId="40C89A36" w:rsidR="00322670" w:rsidRPr="00160D76" w:rsidRDefault="00134FDC" w:rsidP="00155114">
      <w:pPr>
        <w:pStyle w:val="Epgrafe"/>
        <w:spacing w:after="0"/>
        <w:jc w:val="center"/>
        <w:rPr>
          <w:rFonts w:ascii="Times New Roman" w:hAnsi="Times New Roman" w:cs="Times New Roman"/>
          <w:b/>
          <w:bCs/>
          <w:i w:val="0"/>
          <w:iCs w:val="0"/>
          <w:color w:val="auto"/>
          <w:sz w:val="22"/>
          <w:szCs w:val="22"/>
        </w:rPr>
      </w:pPr>
      <w:bookmarkStart w:id="124" w:name="_Toc81573059"/>
      <w:r w:rsidRPr="00134FDC">
        <w:rPr>
          <w:rFonts w:ascii="Times New Roman" w:hAnsi="Times New Roman" w:cs="Times New Roman"/>
          <w:b/>
          <w:color w:val="auto"/>
          <w:sz w:val="20"/>
        </w:rPr>
        <w:t xml:space="preserve">Gráfico </w:t>
      </w:r>
      <w:r>
        <w:rPr>
          <w:rFonts w:ascii="Times New Roman" w:hAnsi="Times New Roman" w:cs="Times New Roman"/>
          <w:b/>
          <w:color w:val="auto"/>
          <w:sz w:val="20"/>
        </w:rPr>
        <w:fldChar w:fldCharType="begin"/>
      </w:r>
      <w:r>
        <w:rPr>
          <w:rFonts w:ascii="Times New Roman" w:hAnsi="Times New Roman" w:cs="Times New Roman"/>
          <w:b/>
          <w:color w:val="auto"/>
          <w:sz w:val="20"/>
        </w:rPr>
        <w:instrText xml:space="preserve"> SEQ Gráfico \* ARABIC </w:instrText>
      </w:r>
      <w:r>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9</w:t>
      </w:r>
      <w:r>
        <w:rPr>
          <w:rFonts w:ascii="Times New Roman" w:hAnsi="Times New Roman" w:cs="Times New Roman"/>
          <w:b/>
          <w:color w:val="auto"/>
          <w:sz w:val="20"/>
        </w:rPr>
        <w:fldChar w:fldCharType="end"/>
      </w:r>
      <w:r w:rsidRPr="00134FDC">
        <w:rPr>
          <w:rFonts w:ascii="Times New Roman" w:hAnsi="Times New Roman" w:cs="Times New Roman"/>
          <w:b/>
          <w:color w:val="auto"/>
          <w:sz w:val="20"/>
        </w:rPr>
        <w:t xml:space="preserve">  </w:t>
      </w:r>
      <w:r w:rsidR="00322670" w:rsidRPr="00160D76">
        <w:rPr>
          <w:rFonts w:ascii="Times New Roman" w:hAnsi="Times New Roman" w:cs="Times New Roman"/>
          <w:b/>
          <w:bCs/>
          <w:i w:val="0"/>
          <w:iCs w:val="0"/>
          <w:color w:val="auto"/>
          <w:sz w:val="22"/>
          <w:szCs w:val="22"/>
        </w:rPr>
        <w:t>Número de cotizantes al IGSS</w:t>
      </w:r>
      <w:bookmarkEnd w:id="124"/>
    </w:p>
    <w:p w14:paraId="34FC1B7D" w14:textId="77777777" w:rsidR="00322670" w:rsidRPr="00384E40" w:rsidRDefault="00322670" w:rsidP="00155114">
      <w:pPr>
        <w:spacing w:after="0" w:line="240" w:lineRule="auto"/>
        <w:jc w:val="center"/>
        <w:rPr>
          <w:rFonts w:ascii="Times New Roman" w:hAnsi="Times New Roman" w:cs="Times New Roman"/>
        </w:rPr>
      </w:pPr>
      <w:r w:rsidRPr="00384E40">
        <w:rPr>
          <w:rFonts w:ascii="Times New Roman" w:hAnsi="Times New Roman" w:cs="Times New Roman"/>
        </w:rPr>
        <w:t>Enero 2015-diciembre 2020</w:t>
      </w:r>
    </w:p>
    <w:p w14:paraId="46B75770" w14:textId="77777777" w:rsidR="00322670" w:rsidRPr="00160D76" w:rsidRDefault="00322670" w:rsidP="009173EB">
      <w:pPr>
        <w:spacing w:after="0" w:line="240" w:lineRule="auto"/>
        <w:jc w:val="center"/>
        <w:rPr>
          <w:rFonts w:ascii="Times New Roman" w:hAnsi="Times New Roman" w:cs="Times New Roman"/>
        </w:rPr>
      </w:pPr>
      <w:r w:rsidRPr="00160D76">
        <w:rPr>
          <w:noProof/>
          <w:lang w:val="es-ES" w:eastAsia="es-ES"/>
        </w:rPr>
        <w:drawing>
          <wp:inline distT="0" distB="0" distL="0" distR="0" wp14:anchorId="20F75DE1" wp14:editId="48E09C06">
            <wp:extent cx="4124960" cy="1863305"/>
            <wp:effectExtent l="0" t="0" r="8890" b="3810"/>
            <wp:docPr id="15" name="Gráfico 1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A3A4630-9831-42E3-9EAA-058754212E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ADA9E2D" w14:textId="784FA44A" w:rsidR="00322670" w:rsidRDefault="00155114" w:rsidP="00322670">
      <w:pPr>
        <w:spacing w:after="0" w:line="240" w:lineRule="auto"/>
        <w:jc w:val="both"/>
        <w:rPr>
          <w:rFonts w:ascii="Times New Roman" w:hAnsi="Times New Roman" w:cs="Times New Roman"/>
          <w:noProof/>
          <w:sz w:val="16"/>
          <w:szCs w:val="16"/>
        </w:rPr>
      </w:pPr>
      <w:r>
        <w:rPr>
          <w:rFonts w:ascii="Times New Roman" w:hAnsi="Times New Roman" w:cs="Times New Roman"/>
          <w:noProof/>
          <w:sz w:val="16"/>
          <w:szCs w:val="16"/>
        </w:rPr>
        <w:t xml:space="preserve">                            </w:t>
      </w:r>
      <w:r w:rsidR="00322670" w:rsidRPr="00160D76">
        <w:rPr>
          <w:rFonts w:ascii="Times New Roman" w:hAnsi="Times New Roman" w:cs="Times New Roman"/>
          <w:noProof/>
          <w:sz w:val="16"/>
          <w:szCs w:val="16"/>
        </w:rPr>
        <w:t xml:space="preserve">Fuente: </w:t>
      </w:r>
      <w:r w:rsidR="00322670">
        <w:rPr>
          <w:rFonts w:ascii="Times New Roman" w:hAnsi="Times New Roman" w:cs="Times New Roman"/>
          <w:noProof/>
          <w:sz w:val="16"/>
          <w:szCs w:val="16"/>
        </w:rPr>
        <w:t>Dirección de Análisis y Política Fiscal</w:t>
      </w:r>
      <w:r w:rsidR="00322670" w:rsidRPr="00160D76">
        <w:rPr>
          <w:rFonts w:ascii="Times New Roman" w:hAnsi="Times New Roman" w:cs="Times New Roman"/>
          <w:noProof/>
          <w:sz w:val="16"/>
          <w:szCs w:val="16"/>
        </w:rPr>
        <w:t xml:space="preserve"> con información del IGSS</w:t>
      </w:r>
      <w:r w:rsidR="00322670">
        <w:rPr>
          <w:rFonts w:ascii="Times New Roman" w:hAnsi="Times New Roman" w:cs="Times New Roman"/>
          <w:noProof/>
          <w:sz w:val="16"/>
          <w:szCs w:val="16"/>
        </w:rPr>
        <w:t>.</w:t>
      </w:r>
    </w:p>
    <w:p w14:paraId="5FF321DA" w14:textId="77777777" w:rsidR="00322670" w:rsidRDefault="00ED116C" w:rsidP="001032E7">
      <w:pPr>
        <w:pStyle w:val="Ttulo3"/>
        <w:numPr>
          <w:ilvl w:val="1"/>
          <w:numId w:val="29"/>
        </w:numPr>
        <w:tabs>
          <w:tab w:val="left" w:pos="1276"/>
          <w:tab w:val="left" w:pos="1560"/>
          <w:tab w:val="left" w:pos="1843"/>
        </w:tabs>
        <w:spacing w:line="240" w:lineRule="auto"/>
        <w:ind w:left="567" w:hanging="360"/>
        <w:rPr>
          <w:rFonts w:ascii="Times New Roman" w:hAnsi="Times New Roman" w:cs="Times New Roman"/>
          <w:b/>
          <w:color w:val="auto"/>
        </w:rPr>
      </w:pPr>
      <w:bookmarkStart w:id="125" w:name="_Toc72489359"/>
      <w:r>
        <w:rPr>
          <w:rFonts w:ascii="Times New Roman" w:hAnsi="Times New Roman" w:cs="Times New Roman"/>
          <w:b/>
          <w:color w:val="auto"/>
        </w:rPr>
        <w:t xml:space="preserve">  </w:t>
      </w:r>
      <w:bookmarkStart w:id="126" w:name="_Toc81571842"/>
      <w:r w:rsidR="00322670" w:rsidRPr="00AD2DB3">
        <w:rPr>
          <w:rFonts w:ascii="Times New Roman" w:hAnsi="Times New Roman" w:cs="Times New Roman"/>
          <w:b/>
          <w:color w:val="auto"/>
        </w:rPr>
        <w:t>Sector monetario 2019-2020</w:t>
      </w:r>
      <w:bookmarkEnd w:id="125"/>
      <w:bookmarkEnd w:id="126"/>
    </w:p>
    <w:p w14:paraId="0D668BA1" w14:textId="77777777" w:rsidR="00322670" w:rsidRPr="00AD2DB3" w:rsidRDefault="00322670" w:rsidP="00ED116C">
      <w:pPr>
        <w:spacing w:after="0" w:line="240" w:lineRule="auto"/>
      </w:pPr>
    </w:p>
    <w:p w14:paraId="32075464" w14:textId="77777777" w:rsidR="00322670" w:rsidRDefault="00322670" w:rsidP="00ED116C">
      <w:pPr>
        <w:spacing w:after="0" w:line="240" w:lineRule="auto"/>
        <w:jc w:val="both"/>
        <w:rPr>
          <w:rFonts w:ascii="Times New Roman" w:hAnsi="Times New Roman" w:cs="Times New Roman"/>
        </w:rPr>
      </w:pPr>
      <w:r>
        <w:rPr>
          <w:rFonts w:ascii="Times New Roman" w:hAnsi="Times New Roman" w:cs="Times New Roman"/>
        </w:rPr>
        <w:t>En el 2020 los agregados monetarios y de crédito mostraron un mayor crecimiento que en el 2019. Esto se debió al aumento en la incertidumbre por los efectos negativos de la pandemia Covid-19 y a las restricciones aplicadas a nivel nacional para contener la propagación de esta, esto incidió en el comportamiento de los agentes económicos aumentando su preferencia por liquidez, así como cambios en el comportamiento en el crédito del sector bancario a los distintos sectores económicos. Otros factores que tuvieron incidencia sobre las variables monetarias fueron las políticas fiscales para el apoyo económico como lo fueron las distintas transferencias hacia los hogares y los fondos para créditos para el sector privado, además de las políticas monetarias como la reducción de la tasa de interés, la flexibilización de</w:t>
      </w:r>
      <w:r w:rsidR="00ED116C">
        <w:rPr>
          <w:rFonts w:ascii="Times New Roman" w:hAnsi="Times New Roman" w:cs="Times New Roman"/>
        </w:rPr>
        <w:t>l encaje bancario, entre otras.</w:t>
      </w:r>
    </w:p>
    <w:p w14:paraId="5E3D3CF2" w14:textId="77777777" w:rsidR="00ED116C" w:rsidRPr="009D1908" w:rsidRDefault="00ED116C" w:rsidP="00ED116C">
      <w:pPr>
        <w:spacing w:after="0" w:line="240" w:lineRule="auto"/>
        <w:jc w:val="both"/>
        <w:rPr>
          <w:rFonts w:ascii="Times New Roman" w:hAnsi="Times New Roman" w:cs="Times New Roman"/>
        </w:rPr>
      </w:pPr>
    </w:p>
    <w:p w14:paraId="6E57E7BA" w14:textId="77777777" w:rsidR="00322670" w:rsidRDefault="00322670" w:rsidP="001032E7">
      <w:pPr>
        <w:pStyle w:val="Ttulo3"/>
        <w:numPr>
          <w:ilvl w:val="2"/>
          <w:numId w:val="29"/>
        </w:numPr>
        <w:tabs>
          <w:tab w:val="left" w:pos="993"/>
          <w:tab w:val="left" w:pos="1276"/>
          <w:tab w:val="left" w:pos="1560"/>
          <w:tab w:val="left" w:pos="1843"/>
        </w:tabs>
        <w:spacing w:before="0" w:line="240" w:lineRule="auto"/>
        <w:ind w:left="709" w:hanging="360"/>
        <w:rPr>
          <w:rFonts w:ascii="Times New Roman" w:hAnsi="Times New Roman" w:cs="Times New Roman"/>
          <w:b/>
          <w:color w:val="auto"/>
        </w:rPr>
      </w:pPr>
      <w:r>
        <w:rPr>
          <w:rFonts w:ascii="Times New Roman" w:hAnsi="Times New Roman" w:cs="Times New Roman"/>
          <w:b/>
          <w:color w:val="auto"/>
        </w:rPr>
        <w:t xml:space="preserve"> </w:t>
      </w:r>
      <w:bookmarkStart w:id="127" w:name="_Toc72489360"/>
      <w:bookmarkStart w:id="128" w:name="_Toc81571843"/>
      <w:r w:rsidRPr="00AD2DB3">
        <w:rPr>
          <w:rFonts w:ascii="Times New Roman" w:hAnsi="Times New Roman" w:cs="Times New Roman"/>
          <w:b/>
          <w:color w:val="auto"/>
        </w:rPr>
        <w:t>Emisión monetaria y los medios de pago</w:t>
      </w:r>
      <w:bookmarkEnd w:id="127"/>
      <w:bookmarkEnd w:id="128"/>
    </w:p>
    <w:p w14:paraId="3D61C647" w14:textId="77777777" w:rsidR="00322670" w:rsidRPr="00AD2DB3" w:rsidRDefault="00322670" w:rsidP="00ED116C">
      <w:pPr>
        <w:spacing w:after="0" w:line="240" w:lineRule="auto"/>
      </w:pPr>
    </w:p>
    <w:p w14:paraId="6B00676F" w14:textId="77777777" w:rsidR="00322670" w:rsidRDefault="00322670" w:rsidP="000971C3">
      <w:pPr>
        <w:spacing w:after="0" w:line="240" w:lineRule="auto"/>
        <w:jc w:val="both"/>
        <w:rPr>
          <w:rFonts w:ascii="Times New Roman" w:hAnsi="Times New Roman" w:cs="Times New Roman"/>
        </w:rPr>
      </w:pPr>
      <w:r>
        <w:rPr>
          <w:rFonts w:ascii="Times New Roman" w:hAnsi="Times New Roman" w:cs="Times New Roman"/>
        </w:rPr>
        <w:t>En el 2019 la emisión monetaria fue bastante dinámica, principalmente por el componente tendencial de la serie que se fundamenta con el crecimiento económico y la inflación, además de los componentes estacionales que inciden sobre la demanda de dinero. Este comportamiento se vio reflejado hasta la segunda quincena de marzo, en el cual la emisión monetaria tuvo un crecimiento mayor al tendencial. Dicho comportamiento fue generado por la incertidumbre experimentada por la propagación de la pandemia en el país, lo cual fomentó a que los agentes aumentaran la preferencia de poseer efectivo como medida de precaución, así como lo fueron las restricciones en los horarios que limitaron el acceso a los servicios financieros por las medidas de distanciamiento social. Por lo indicado anteriormente, la emisión monetaria en 2020 tuvo un crecimiento interanual de 25.9%, 10.6 puntos porcentuales mayor al crecimiento del año 2019. El numerario en circulación explicó la mayoría del crecimiento de la emisión monetaria, mientras que la caja de los bancos tuvo un crecimiento similar al de años anteriores.</w:t>
      </w:r>
    </w:p>
    <w:p w14:paraId="098CFEC5" w14:textId="77777777" w:rsidR="000971C3" w:rsidRDefault="000971C3" w:rsidP="000971C3">
      <w:pPr>
        <w:spacing w:after="0" w:line="240" w:lineRule="auto"/>
        <w:jc w:val="both"/>
        <w:rPr>
          <w:rFonts w:ascii="Times New Roman" w:hAnsi="Times New Roman" w:cs="Times New Roman"/>
        </w:rPr>
      </w:pPr>
    </w:p>
    <w:p w14:paraId="01167F59" w14:textId="12BD6A8C" w:rsidR="00322670" w:rsidRDefault="00322670" w:rsidP="000971C3">
      <w:pPr>
        <w:spacing w:after="0" w:line="240" w:lineRule="auto"/>
        <w:jc w:val="both"/>
        <w:rPr>
          <w:rFonts w:ascii="Times New Roman" w:hAnsi="Times New Roman" w:cs="Times New Roman"/>
        </w:rPr>
      </w:pPr>
      <w:r>
        <w:rPr>
          <w:rFonts w:ascii="Times New Roman" w:hAnsi="Times New Roman" w:cs="Times New Roman"/>
        </w:rPr>
        <w:t>El comportamiento de la emisión monetaria está relacionado con la preferencia por billetes y monedas que puede ser aproximado por el coeficiente de preferencia de liquidez, el cual tuvo un promedio de 18.9% en 2020, mayor al coeficiente promedio de 2019 que se ubicó en 17.3%.</w:t>
      </w:r>
      <w:r w:rsidRPr="00CD172C">
        <w:rPr>
          <w:rFonts w:ascii="Times New Roman" w:hAnsi="Times New Roman" w:cs="Times New Roman"/>
          <w:color w:val="FF0000"/>
        </w:rPr>
        <w:t xml:space="preserve"> </w:t>
      </w:r>
      <w:r>
        <w:rPr>
          <w:rFonts w:ascii="Times New Roman" w:hAnsi="Times New Roman" w:cs="Times New Roman"/>
        </w:rPr>
        <w:t>La preferencia de liquidez se produjo por la incertidumbre de la pandemia, por el incremento moderado en las remesas que aumentó la disponibilidad de recursos de los hogares, entre otros. Otros factores que tuvieron un impacto en la emisión monetaria fueron los programas de apoyo económicos del gobierno, de los cuales algunos programas fueron implementados por medio del sistema bancario y los cajeros automáticos, entre los cuales destacaron el bono familia, el apoyo a la economía informal, el fondo de crédito para capital de trabajo, el fondo de protección del empleo, el subsidio a la energía eléctrica, entre otros programas. Asimismo, por parte de la política monetaria se usaron medidas temporales para inyectar liquidez y se flexibilizó el computo del encaje bancario con el fin de apoyar al sistema financiero y mitigar los efectos negativos de la pandemia en el mismo.</w:t>
      </w:r>
    </w:p>
    <w:p w14:paraId="57201A26" w14:textId="77777777" w:rsidR="000971C3" w:rsidRDefault="000971C3" w:rsidP="000971C3">
      <w:pPr>
        <w:spacing w:after="0" w:line="240" w:lineRule="auto"/>
        <w:jc w:val="both"/>
        <w:rPr>
          <w:rFonts w:ascii="Times New Roman" w:hAnsi="Times New Roman" w:cs="Times New Roman"/>
        </w:rPr>
      </w:pPr>
    </w:p>
    <w:p w14:paraId="05981314" w14:textId="77777777" w:rsidR="00322670" w:rsidRDefault="00322670" w:rsidP="000971C3">
      <w:pPr>
        <w:spacing w:after="0" w:line="240" w:lineRule="auto"/>
        <w:jc w:val="both"/>
        <w:rPr>
          <w:rFonts w:ascii="Times New Roman" w:hAnsi="Times New Roman" w:cs="Times New Roman"/>
        </w:rPr>
      </w:pPr>
      <w:r>
        <w:rPr>
          <w:rFonts w:ascii="Times New Roman" w:hAnsi="Times New Roman" w:cs="Times New Roman"/>
        </w:rPr>
        <w:t>Los medios de pago en 2020 se situaron en Q330,788.4 millones de quetzales, presentando una tasa de crecimiento anual de 18.7%, mayor en 8.9 puntos porcentuales que la tasa de crecimiento del 2019. En el 2020, el cuasidinero en moneda nacional representó el 45.2% de la participación de los medios de pagos, seguido por los depósitos monetarios en moneda nacional que representan el 21.9% y el numerario en circulación 15.0%.</w:t>
      </w:r>
    </w:p>
    <w:p w14:paraId="36209B17" w14:textId="77777777" w:rsidR="000971C3" w:rsidRDefault="000971C3" w:rsidP="000971C3">
      <w:pPr>
        <w:spacing w:after="0" w:line="240" w:lineRule="auto"/>
        <w:jc w:val="both"/>
        <w:rPr>
          <w:rFonts w:ascii="Times New Roman" w:hAnsi="Times New Roman" w:cs="Times New Roman"/>
        </w:rPr>
      </w:pPr>
    </w:p>
    <w:p w14:paraId="1BEA9D5F" w14:textId="77777777" w:rsidR="00155114" w:rsidRDefault="00155114" w:rsidP="000971C3">
      <w:pPr>
        <w:spacing w:after="0" w:line="240" w:lineRule="auto"/>
        <w:jc w:val="both"/>
        <w:rPr>
          <w:rFonts w:ascii="Times New Roman" w:hAnsi="Times New Roman" w:cs="Times New Roman"/>
        </w:rPr>
      </w:pPr>
    </w:p>
    <w:p w14:paraId="12A3FB17" w14:textId="14A16C1A" w:rsidR="00155114" w:rsidRDefault="00155114" w:rsidP="000971C3">
      <w:pPr>
        <w:spacing w:after="0" w:line="240" w:lineRule="auto"/>
        <w:jc w:val="both"/>
        <w:rPr>
          <w:rFonts w:ascii="Times New Roman" w:hAnsi="Times New Roman" w:cs="Times New Roman"/>
        </w:rPr>
      </w:pPr>
    </w:p>
    <w:p w14:paraId="0FBCCD48" w14:textId="77777777" w:rsidR="009173EB" w:rsidRDefault="009173EB" w:rsidP="000971C3">
      <w:pPr>
        <w:spacing w:after="0" w:line="240" w:lineRule="auto"/>
        <w:jc w:val="both"/>
        <w:rPr>
          <w:rFonts w:ascii="Times New Roman" w:hAnsi="Times New Roman" w:cs="Times New Roman"/>
        </w:rPr>
      </w:pPr>
    </w:p>
    <w:p w14:paraId="5B3BAF29" w14:textId="77777777" w:rsidR="009206E2" w:rsidRDefault="009206E2" w:rsidP="000971C3">
      <w:pPr>
        <w:spacing w:after="0" w:line="240" w:lineRule="auto"/>
        <w:jc w:val="both"/>
        <w:rPr>
          <w:rFonts w:ascii="Times New Roman" w:hAnsi="Times New Roman" w:cs="Times New Roman"/>
        </w:rPr>
      </w:pPr>
    </w:p>
    <w:p w14:paraId="37E44FF6" w14:textId="16880C60" w:rsidR="00134FDC" w:rsidRPr="00155114" w:rsidRDefault="00134FDC" w:rsidP="00155114">
      <w:pPr>
        <w:jc w:val="center"/>
        <w:rPr>
          <w:rFonts w:ascii="Times New Roman" w:hAnsi="Times New Roman" w:cs="Times New Roman"/>
          <w:b/>
          <w:bCs/>
        </w:rPr>
      </w:pPr>
      <w:bookmarkStart w:id="129" w:name="_Toc81573060"/>
      <w:r w:rsidRPr="00134FDC">
        <w:rPr>
          <w:rFonts w:ascii="Times New Roman" w:hAnsi="Times New Roman" w:cs="Times New Roman"/>
          <w:b/>
          <w:i/>
          <w:sz w:val="20"/>
        </w:rPr>
        <w:t xml:space="preserve">Gráfico </w:t>
      </w:r>
      <w:r w:rsidRPr="00134FDC">
        <w:rPr>
          <w:rFonts w:ascii="Times New Roman" w:hAnsi="Times New Roman" w:cs="Times New Roman"/>
          <w:b/>
          <w:i/>
          <w:sz w:val="20"/>
        </w:rPr>
        <w:fldChar w:fldCharType="begin"/>
      </w:r>
      <w:r w:rsidRPr="00134FDC">
        <w:rPr>
          <w:rFonts w:ascii="Times New Roman" w:hAnsi="Times New Roman" w:cs="Times New Roman"/>
          <w:b/>
          <w:i/>
          <w:sz w:val="20"/>
        </w:rPr>
        <w:instrText xml:space="preserve"> SEQ Gráfico \* ARABIC </w:instrText>
      </w:r>
      <w:r w:rsidRPr="00134FDC">
        <w:rPr>
          <w:rFonts w:ascii="Times New Roman" w:hAnsi="Times New Roman" w:cs="Times New Roman"/>
          <w:b/>
          <w:i/>
          <w:sz w:val="20"/>
        </w:rPr>
        <w:fldChar w:fldCharType="separate"/>
      </w:r>
      <w:r w:rsidR="00D6529D">
        <w:rPr>
          <w:rFonts w:ascii="Times New Roman" w:hAnsi="Times New Roman" w:cs="Times New Roman"/>
          <w:b/>
          <w:i/>
          <w:noProof/>
          <w:sz w:val="20"/>
        </w:rPr>
        <w:t>10</w:t>
      </w:r>
      <w:r w:rsidRPr="00134FDC">
        <w:rPr>
          <w:rFonts w:ascii="Times New Roman" w:hAnsi="Times New Roman" w:cs="Times New Roman"/>
          <w:b/>
          <w:i/>
          <w:sz w:val="20"/>
        </w:rPr>
        <w:fldChar w:fldCharType="end"/>
      </w:r>
      <w:r w:rsidRPr="00134FDC">
        <w:rPr>
          <w:rFonts w:ascii="Times New Roman" w:hAnsi="Times New Roman" w:cs="Times New Roman"/>
          <w:b/>
          <w:i/>
          <w:sz w:val="20"/>
        </w:rPr>
        <w:t xml:space="preserve">  </w:t>
      </w:r>
      <w:r>
        <w:rPr>
          <w:rFonts w:ascii="Times New Roman" w:hAnsi="Times New Roman" w:cs="Times New Roman"/>
          <w:b/>
          <w:bCs/>
        </w:rPr>
        <w:t>Coeficiente de preferencia de liquidez y contribución al crecimiento de los medios de pago (en porcentaje)</w:t>
      </w:r>
      <w:bookmarkEnd w:id="129"/>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515"/>
      </w:tblGrid>
      <w:tr w:rsidR="00322670" w14:paraId="3EC68638" w14:textId="77777777" w:rsidTr="00DE1FBB">
        <w:tc>
          <w:tcPr>
            <w:tcW w:w="8838" w:type="dxa"/>
            <w:gridSpan w:val="2"/>
          </w:tcPr>
          <w:p w14:paraId="4CDC6975" w14:textId="77777777" w:rsidR="00322670" w:rsidRPr="00CA7BDF" w:rsidRDefault="00322670" w:rsidP="00134FDC">
            <w:pPr>
              <w:rPr>
                <w:rFonts w:ascii="Times New Roman" w:hAnsi="Times New Roman" w:cs="Times New Roman"/>
                <w:b/>
                <w:bCs/>
                <w:sz w:val="10"/>
                <w:szCs w:val="10"/>
              </w:rPr>
            </w:pPr>
          </w:p>
        </w:tc>
      </w:tr>
      <w:tr w:rsidR="00322670" w14:paraId="25D9ED48" w14:textId="77777777" w:rsidTr="00134FDC">
        <w:tc>
          <w:tcPr>
            <w:tcW w:w="4431" w:type="dxa"/>
          </w:tcPr>
          <w:p w14:paraId="6117EE94" w14:textId="77777777" w:rsidR="00322670" w:rsidRPr="00CA7BDF" w:rsidRDefault="00322670" w:rsidP="00DE1FBB">
            <w:pPr>
              <w:jc w:val="center"/>
              <w:rPr>
                <w:rFonts w:ascii="Times New Roman" w:hAnsi="Times New Roman" w:cs="Times New Roman"/>
                <w:b/>
                <w:bCs/>
                <w:sz w:val="20"/>
                <w:szCs w:val="20"/>
              </w:rPr>
            </w:pPr>
            <w:r>
              <w:rPr>
                <w:rFonts w:ascii="Times New Roman" w:hAnsi="Times New Roman" w:cs="Times New Roman"/>
                <w:b/>
                <w:bCs/>
                <w:sz w:val="20"/>
                <w:szCs w:val="20"/>
              </w:rPr>
              <w:t>Coeficiente de preferencia de liquidez</w:t>
            </w:r>
          </w:p>
        </w:tc>
        <w:tc>
          <w:tcPr>
            <w:tcW w:w="4407" w:type="dxa"/>
          </w:tcPr>
          <w:p w14:paraId="6E28949B" w14:textId="77777777" w:rsidR="00322670" w:rsidRPr="00CA7BDF" w:rsidRDefault="00322670" w:rsidP="00DE1FBB">
            <w:pPr>
              <w:jc w:val="center"/>
              <w:rPr>
                <w:rFonts w:ascii="Times New Roman" w:hAnsi="Times New Roman" w:cs="Times New Roman"/>
                <w:b/>
                <w:bCs/>
                <w:sz w:val="20"/>
                <w:szCs w:val="20"/>
              </w:rPr>
            </w:pPr>
            <w:r>
              <w:rPr>
                <w:rFonts w:ascii="Times New Roman" w:hAnsi="Times New Roman" w:cs="Times New Roman"/>
                <w:b/>
                <w:bCs/>
                <w:sz w:val="20"/>
                <w:szCs w:val="20"/>
              </w:rPr>
              <w:t>Contribución al crecimiento de los medios de pago</w:t>
            </w:r>
          </w:p>
        </w:tc>
      </w:tr>
      <w:tr w:rsidR="00322670" w14:paraId="43F4E76A" w14:textId="77777777" w:rsidTr="00134FDC">
        <w:tblPrEx>
          <w:tblCellMar>
            <w:left w:w="70" w:type="dxa"/>
            <w:right w:w="70" w:type="dxa"/>
          </w:tblCellMar>
        </w:tblPrEx>
        <w:tc>
          <w:tcPr>
            <w:tcW w:w="4431" w:type="dxa"/>
          </w:tcPr>
          <w:p w14:paraId="34709715" w14:textId="77777777" w:rsidR="00322670" w:rsidRDefault="00322670" w:rsidP="00DE1FBB">
            <w:r>
              <w:rPr>
                <w:noProof/>
                <w:lang w:val="es-ES" w:eastAsia="es-ES"/>
              </w:rPr>
              <w:drawing>
                <wp:inline distT="0" distB="0" distL="0" distR="0" wp14:anchorId="44478D0F" wp14:editId="6BCE61AD">
                  <wp:extent cx="2894455" cy="2485037"/>
                  <wp:effectExtent l="0" t="0" r="1270" b="0"/>
                  <wp:docPr id="34" name="Gráfico 3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B2AFA2F-4AC3-4A88-8C3F-0CCCA0E5EF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407" w:type="dxa"/>
          </w:tcPr>
          <w:p w14:paraId="5E60D5BF" w14:textId="77777777" w:rsidR="00322670" w:rsidRPr="0031007A" w:rsidRDefault="00322670" w:rsidP="00DE1FBB">
            <w:pPr>
              <w:rPr>
                <w:rFonts w:ascii="Times New Roman" w:hAnsi="Times New Roman" w:cs="Times New Roman"/>
              </w:rPr>
            </w:pPr>
            <w:r w:rsidRPr="0031007A">
              <w:rPr>
                <w:rFonts w:ascii="Times New Roman" w:hAnsi="Times New Roman" w:cs="Times New Roman"/>
                <w:noProof/>
                <w:lang w:val="es-ES" w:eastAsia="es-ES"/>
              </w:rPr>
              <w:drawing>
                <wp:inline distT="0" distB="0" distL="0" distR="0" wp14:anchorId="4CBF3304" wp14:editId="67861F55">
                  <wp:extent cx="2880000" cy="2518095"/>
                  <wp:effectExtent l="0" t="0" r="0" b="0"/>
                  <wp:docPr id="35" name="Gráfico 3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7E3B513-C013-4004-8D38-7A3698D144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322670" w14:paraId="4EB7F26B" w14:textId="77777777" w:rsidTr="00DE1FBB">
        <w:tc>
          <w:tcPr>
            <w:tcW w:w="8838" w:type="dxa"/>
            <w:gridSpan w:val="2"/>
          </w:tcPr>
          <w:p w14:paraId="255E9DFC" w14:textId="77777777" w:rsidR="00322670" w:rsidRPr="00F61CBF" w:rsidRDefault="00322670" w:rsidP="00DE1FBB">
            <w:pPr>
              <w:rPr>
                <w:rFonts w:ascii="Times New Roman" w:hAnsi="Times New Roman" w:cs="Times New Roman"/>
                <w:sz w:val="16"/>
                <w:szCs w:val="16"/>
              </w:rPr>
            </w:pPr>
            <w:r w:rsidRPr="00F61CBF">
              <w:rPr>
                <w:rFonts w:ascii="Times New Roman" w:hAnsi="Times New Roman" w:cs="Times New Roman"/>
                <w:sz w:val="16"/>
                <w:szCs w:val="16"/>
              </w:rPr>
              <w:t xml:space="preserve">Fuente: Dirección de Análisis y Política Fiscal con información del </w:t>
            </w:r>
            <w:r>
              <w:rPr>
                <w:rFonts w:ascii="Times New Roman" w:hAnsi="Times New Roman" w:cs="Times New Roman"/>
                <w:sz w:val="16"/>
                <w:szCs w:val="16"/>
              </w:rPr>
              <w:t>BANGUAT.</w:t>
            </w:r>
          </w:p>
          <w:p w14:paraId="39DF832C" w14:textId="77777777" w:rsidR="00322670" w:rsidRPr="00CA7BDF" w:rsidRDefault="00322670" w:rsidP="00DE1FBB">
            <w:pPr>
              <w:rPr>
                <w:rFonts w:ascii="Times New Roman" w:hAnsi="Times New Roman" w:cs="Times New Roman"/>
                <w:sz w:val="18"/>
                <w:szCs w:val="18"/>
              </w:rPr>
            </w:pPr>
            <w:r w:rsidRPr="00F61CBF">
              <w:rPr>
                <w:rFonts w:ascii="Times New Roman" w:hAnsi="Times New Roman" w:cs="Times New Roman"/>
                <w:sz w:val="16"/>
                <w:szCs w:val="16"/>
              </w:rPr>
              <w:t>Nota: El coeficiente de preferencia de liquidez se calculó como el numerario en circulación como proporción de los depósitos totales</w:t>
            </w:r>
          </w:p>
        </w:tc>
      </w:tr>
    </w:tbl>
    <w:p w14:paraId="01DBDEFF" w14:textId="77777777" w:rsidR="00322670" w:rsidRDefault="00322670" w:rsidP="00322670">
      <w:pPr>
        <w:jc w:val="both"/>
        <w:rPr>
          <w:rFonts w:ascii="Times New Roman" w:hAnsi="Times New Roman" w:cs="Times New Roman"/>
        </w:rPr>
      </w:pPr>
      <w:r>
        <w:rPr>
          <w:rFonts w:ascii="Times New Roman" w:hAnsi="Times New Roman" w:cs="Times New Roman"/>
        </w:rPr>
        <w:t xml:space="preserve"> </w:t>
      </w:r>
    </w:p>
    <w:p w14:paraId="6B06943B" w14:textId="77777777" w:rsidR="00322670" w:rsidRDefault="00322670" w:rsidP="005135D3">
      <w:pPr>
        <w:spacing w:after="0" w:line="240" w:lineRule="auto"/>
        <w:jc w:val="both"/>
        <w:rPr>
          <w:rFonts w:ascii="Times New Roman" w:hAnsi="Times New Roman" w:cs="Times New Roman"/>
        </w:rPr>
      </w:pPr>
      <w:r>
        <w:rPr>
          <w:rFonts w:ascii="Times New Roman" w:hAnsi="Times New Roman" w:cs="Times New Roman"/>
        </w:rPr>
        <w:t>La mayor contribución del crecimiento de los medios de pago en el 2020 fue por el alto crecimiento en el cuasidinero (12.6%) de moneda nacional, que, dado su alta participación del total, contribuyó con 5.8 puntos porcentuales. Asimismo, los depósitos monetarios en moneda nacional tuvieron un crecimiento de 23.5% y por su participación mencionada anteriormente, contribuyó 5.2 puntos porcentuales. El numerario en circulación tuvo una contribución de 4.4 puntos porcentuales en el total del crecimiento de los medios de pago. Por último, los medios de pago en moneda extranjera tuvieron una contribuc</w:t>
      </w:r>
      <w:r w:rsidR="005135D3">
        <w:rPr>
          <w:rFonts w:ascii="Times New Roman" w:hAnsi="Times New Roman" w:cs="Times New Roman"/>
        </w:rPr>
        <w:t>ión de 3.3 puntos porcentuales.</w:t>
      </w:r>
    </w:p>
    <w:p w14:paraId="76719318" w14:textId="77777777" w:rsidR="005135D3" w:rsidRDefault="005135D3" w:rsidP="005135D3">
      <w:pPr>
        <w:spacing w:after="0" w:line="240" w:lineRule="auto"/>
        <w:jc w:val="both"/>
        <w:rPr>
          <w:rFonts w:ascii="Times New Roman" w:hAnsi="Times New Roman" w:cs="Times New Roman"/>
        </w:rPr>
      </w:pPr>
    </w:p>
    <w:p w14:paraId="7E24F3A1" w14:textId="77777777" w:rsidR="00322670" w:rsidRDefault="00322670" w:rsidP="001032E7">
      <w:pPr>
        <w:pStyle w:val="Ttulo3"/>
        <w:numPr>
          <w:ilvl w:val="2"/>
          <w:numId w:val="29"/>
        </w:numPr>
        <w:tabs>
          <w:tab w:val="left" w:pos="993"/>
          <w:tab w:val="left" w:pos="1276"/>
          <w:tab w:val="left" w:pos="1560"/>
          <w:tab w:val="left" w:pos="1843"/>
        </w:tabs>
        <w:spacing w:before="0" w:line="240" w:lineRule="auto"/>
        <w:ind w:left="709" w:hanging="360"/>
        <w:rPr>
          <w:rFonts w:ascii="Times New Roman" w:hAnsi="Times New Roman" w:cs="Times New Roman"/>
          <w:b/>
          <w:color w:val="auto"/>
        </w:rPr>
      </w:pPr>
      <w:r>
        <w:rPr>
          <w:rFonts w:ascii="Times New Roman" w:hAnsi="Times New Roman" w:cs="Times New Roman"/>
          <w:b/>
          <w:color w:val="auto"/>
        </w:rPr>
        <w:t xml:space="preserve"> </w:t>
      </w:r>
      <w:bookmarkStart w:id="130" w:name="_Toc72489361"/>
      <w:bookmarkStart w:id="131" w:name="_Toc81571844"/>
      <w:r w:rsidRPr="00AD2DB3">
        <w:rPr>
          <w:rFonts w:ascii="Times New Roman" w:hAnsi="Times New Roman" w:cs="Times New Roman"/>
          <w:b/>
          <w:color w:val="auto"/>
        </w:rPr>
        <w:t>Crédito del sistema bancario al sector privado</w:t>
      </w:r>
      <w:bookmarkEnd w:id="130"/>
      <w:bookmarkEnd w:id="131"/>
    </w:p>
    <w:p w14:paraId="6AA367B0" w14:textId="77777777" w:rsidR="00322670" w:rsidRPr="00AD2DB3" w:rsidRDefault="00322670" w:rsidP="005135D3">
      <w:pPr>
        <w:spacing w:after="0" w:line="240" w:lineRule="auto"/>
      </w:pPr>
    </w:p>
    <w:p w14:paraId="19CDC30D" w14:textId="77777777" w:rsidR="00322670" w:rsidRDefault="00322670" w:rsidP="005135D3">
      <w:pPr>
        <w:spacing w:after="0" w:line="240" w:lineRule="auto"/>
        <w:jc w:val="both"/>
        <w:rPr>
          <w:rFonts w:ascii="Times New Roman" w:hAnsi="Times New Roman" w:cs="Times New Roman"/>
        </w:rPr>
      </w:pPr>
      <w:r>
        <w:rPr>
          <w:rFonts w:ascii="Times New Roman" w:hAnsi="Times New Roman" w:cs="Times New Roman"/>
        </w:rPr>
        <w:t>El crédito del sistema bancario al sector privado representa una de las mayores fuentes de financiamiento para cada actividad económica. A partir del segundo semestre del año 2019 la tasa de crecimiento mostró una ralentización, en el primer trimestre de 2020 dicha tasa mostraba una mejora, sin embargo, a partir de finales de marzo al igual que otras variables monetarias el crédito del sistema bancario mostró un alto crecimiento esto debido al incremento en la demanda de crédito por la baja de los ingresos de las empresas dadas las restricciones para la contención de la pandemia en territorio nacional. Asimismo, el crédito recibió un impulso como consecuencia de la baja en la tasa de interés de política monetarias, así como las medidas temporales de la Junta monetaria para reducir la falta de liquidez de los deudores y la flexibilización del encaje bancario que liberó más recursos a la economía.</w:t>
      </w:r>
    </w:p>
    <w:p w14:paraId="05C083B9" w14:textId="77777777" w:rsidR="005135D3" w:rsidRDefault="005135D3" w:rsidP="005135D3">
      <w:pPr>
        <w:spacing w:after="0" w:line="240" w:lineRule="auto"/>
        <w:jc w:val="both"/>
        <w:rPr>
          <w:rFonts w:ascii="Times New Roman" w:hAnsi="Times New Roman" w:cs="Times New Roman"/>
        </w:rPr>
      </w:pPr>
    </w:p>
    <w:p w14:paraId="4589F3F3" w14:textId="77777777" w:rsidR="00322670" w:rsidRDefault="00322670" w:rsidP="005135D3">
      <w:pPr>
        <w:spacing w:line="240" w:lineRule="auto"/>
        <w:jc w:val="both"/>
        <w:rPr>
          <w:rFonts w:ascii="Times New Roman" w:hAnsi="Times New Roman" w:cs="Times New Roman"/>
        </w:rPr>
      </w:pPr>
      <w:r>
        <w:rPr>
          <w:rFonts w:ascii="Times New Roman" w:hAnsi="Times New Roman" w:cs="Times New Roman"/>
        </w:rPr>
        <w:t>El crédito del sistema bancario tuvo una tasa de crecimiento interanual de 6.6% en diciembre de 2020, mayor en 1.7 puntos porcentuales que el crecimiento de 2019. El crédito en moneda nacional representó 64.5% del total, estructura que ha sido estable en los últimos años, su crecimiento interanual presentó una leve ralentización de junio a septiembre. No obstante, el crédito en moneda nacional mejoró en el último trimestre cerrando con una tasa de crecimiento de 7.8%. Por su parte el crédito en moneda extranjera tuvo una disminución en la tasa de variación interanual a partir del segundo semestre de 2019 incluso mostrando valores negativos de noviembre 2019 a febrero 2020, posteriormente el crecimiento mejoró hasta ubicarse en 4.4% en diciembre de 2020.</w:t>
      </w:r>
    </w:p>
    <w:p w14:paraId="58607D67" w14:textId="77777777" w:rsidR="00322670" w:rsidRPr="00B100D4" w:rsidRDefault="00322670" w:rsidP="005135D3">
      <w:pPr>
        <w:spacing w:after="0" w:line="240" w:lineRule="auto"/>
        <w:jc w:val="both"/>
        <w:rPr>
          <w:rFonts w:ascii="Times New Roman" w:hAnsi="Times New Roman" w:cs="Times New Roman"/>
        </w:rPr>
      </w:pPr>
      <w:r>
        <w:rPr>
          <w:rFonts w:ascii="Times New Roman" w:hAnsi="Times New Roman" w:cs="Times New Roman"/>
        </w:rPr>
        <w:t>Por actividad económica el crédito del consumo en 2020 presentó una participación de 35.1% del total, su tasa de crecimiento disminuyó a partir del inicio de la pandemia y mostró una recuperación hasta ubicarse en 5.7% en diciembre de 2020. El crecimiento interanual del crédito de consumo en tarjetas de créditos presentó una mayor pendiente negativa, de tal manera que presentó un cierre con 2.9% en diciembre de 2020. Por su parte, el crédito del comercio que representó el 14.2% tuvo un crecimiento interanual en 2020 de 1.5%, bastante menor en comparación al crecimiento de 7.9% del 2019. El crédito en industrias manufactureras en 2020 presentó una mejora en su tasa de variación interanual de 4.5 puntos porcentuales en relación con la tasa de 2020, de tal manera que su valor se situó en 5.0%. El crédito en las actividades de alojamiento tuvo un mayor crecimiento en el 2020 (3.0%) en relación con el 2019 (1.8%), lo cual muestra la mayor necesidad de financiamiento que tuvieron en el año 2020 por los efectos negativos de la pandemia en el sector del turismo. Por su parte, el crédito en el sector construcción mostro un crecimiento continuo en los últimos dos años, hasta alcanzar un valor de 16.6% en diciembre de 2020.</w:t>
      </w:r>
    </w:p>
    <w:p w14:paraId="08B7C73E" w14:textId="77777777" w:rsidR="00322670" w:rsidRDefault="00322670" w:rsidP="005135D3">
      <w:pPr>
        <w:spacing w:after="0" w:line="240" w:lineRule="auto"/>
        <w:jc w:val="both"/>
        <w:rPr>
          <w:rFonts w:ascii="Times New Roman" w:hAnsi="Times New Roman" w:cs="Times New Roman"/>
          <w:b/>
          <w:bCs/>
        </w:rPr>
      </w:pPr>
    </w:p>
    <w:p w14:paraId="0D633B71" w14:textId="77777777" w:rsidR="00322670" w:rsidRDefault="00322670" w:rsidP="005135D3">
      <w:pPr>
        <w:spacing w:after="0" w:line="240" w:lineRule="auto"/>
        <w:jc w:val="both"/>
        <w:rPr>
          <w:rFonts w:ascii="Times New Roman" w:hAnsi="Times New Roman" w:cs="Times New Roman"/>
        </w:rPr>
      </w:pPr>
      <w:r>
        <w:rPr>
          <w:rFonts w:ascii="Times New Roman" w:hAnsi="Times New Roman" w:cs="Times New Roman"/>
        </w:rPr>
        <w:t xml:space="preserve">Por último, es importante destacar que del crecimiento del crédito del sistema bancario al sector privado (6.6%) que se mencionó con anterioridad, cuyo incremento es equivalente a Q12,721.5 millones, el gobierno contribuyó en este aumento en Q2,633.0 millones equivalente a una incidencia en el crecimiento del crédito al sector privado de 1.4 puntos porcentuales. De la intervención realizada por el gobierno destacan: Q243.97 millones colocados por el Fondo del Protección de Capitales, Q 1,989.00 millones del Fondo de Crédito para Capital de Trabajo y Q400.00 millones del Fondo para la micro, pequeña y mediana empresa. </w:t>
      </w:r>
    </w:p>
    <w:p w14:paraId="32EC0E15" w14:textId="77777777" w:rsidR="005135D3" w:rsidRDefault="005135D3" w:rsidP="005135D3">
      <w:pPr>
        <w:spacing w:after="0" w:line="240" w:lineRule="auto"/>
        <w:jc w:val="both"/>
        <w:rPr>
          <w:rFonts w:ascii="Times New Roman" w:hAnsi="Times New Roman" w:cs="Times New Roman"/>
        </w:rPr>
      </w:pPr>
    </w:p>
    <w:p w14:paraId="24E4FFAA" w14:textId="06BEA329" w:rsidR="00134FDC" w:rsidRPr="00134FDC" w:rsidRDefault="00134FDC" w:rsidP="00134FDC">
      <w:pPr>
        <w:pStyle w:val="Epgrafe"/>
        <w:keepNext/>
        <w:jc w:val="center"/>
        <w:rPr>
          <w:rFonts w:ascii="Times New Roman" w:hAnsi="Times New Roman" w:cs="Times New Roman"/>
          <w:b/>
          <w:color w:val="auto"/>
          <w:sz w:val="20"/>
        </w:rPr>
      </w:pPr>
      <w:bookmarkStart w:id="132" w:name="_Toc81573061"/>
      <w:r w:rsidRPr="00134FDC">
        <w:rPr>
          <w:rFonts w:ascii="Times New Roman" w:hAnsi="Times New Roman" w:cs="Times New Roman"/>
          <w:b/>
          <w:color w:val="auto"/>
          <w:sz w:val="20"/>
        </w:rPr>
        <w:t xml:space="preserve">Gráfico </w:t>
      </w:r>
      <w:r w:rsidRPr="00134FDC">
        <w:rPr>
          <w:rFonts w:ascii="Times New Roman" w:hAnsi="Times New Roman" w:cs="Times New Roman"/>
          <w:b/>
          <w:color w:val="auto"/>
          <w:sz w:val="20"/>
        </w:rPr>
        <w:fldChar w:fldCharType="begin"/>
      </w:r>
      <w:r w:rsidRPr="00134FDC">
        <w:rPr>
          <w:rFonts w:ascii="Times New Roman" w:hAnsi="Times New Roman" w:cs="Times New Roman"/>
          <w:b/>
          <w:color w:val="auto"/>
          <w:sz w:val="20"/>
        </w:rPr>
        <w:instrText xml:space="preserve"> SEQ Gráfico \* ARABIC </w:instrText>
      </w:r>
      <w:r w:rsidRPr="00134FDC">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11</w:t>
      </w:r>
      <w:r w:rsidRPr="00134FDC">
        <w:rPr>
          <w:rFonts w:ascii="Times New Roman" w:hAnsi="Times New Roman" w:cs="Times New Roman"/>
          <w:b/>
          <w:color w:val="auto"/>
          <w:sz w:val="20"/>
        </w:rPr>
        <w:fldChar w:fldCharType="end"/>
      </w:r>
      <w:r w:rsidRPr="00134FDC">
        <w:rPr>
          <w:rFonts w:ascii="Times New Roman" w:hAnsi="Times New Roman" w:cs="Times New Roman"/>
          <w:b/>
          <w:color w:val="auto"/>
          <w:sz w:val="20"/>
        </w:rPr>
        <w:t xml:space="preserve">  </w:t>
      </w:r>
      <w:r w:rsidRPr="00134FDC">
        <w:rPr>
          <w:rFonts w:ascii="Times New Roman" w:hAnsi="Times New Roman" w:cs="Times New Roman"/>
          <w:b/>
          <w:bCs/>
          <w:i w:val="0"/>
          <w:color w:val="auto"/>
          <w:sz w:val="20"/>
        </w:rPr>
        <w:t>Crecimiento interanual del crédito del sistema bancario</w:t>
      </w:r>
      <w:bookmarkEnd w:id="132"/>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378"/>
      </w:tblGrid>
      <w:tr w:rsidR="00322670" w14:paraId="7109A1E8" w14:textId="77777777" w:rsidTr="00DE1FBB">
        <w:tc>
          <w:tcPr>
            <w:tcW w:w="8838" w:type="dxa"/>
            <w:gridSpan w:val="2"/>
          </w:tcPr>
          <w:p w14:paraId="0030F3E7" w14:textId="77777777" w:rsidR="00322670" w:rsidRPr="00CA7BDF" w:rsidRDefault="00322670" w:rsidP="00DE1FBB">
            <w:pPr>
              <w:jc w:val="center"/>
              <w:rPr>
                <w:rFonts w:ascii="Times New Roman" w:hAnsi="Times New Roman" w:cs="Times New Roman"/>
                <w:b/>
                <w:bCs/>
                <w:sz w:val="10"/>
                <w:szCs w:val="10"/>
              </w:rPr>
            </w:pPr>
          </w:p>
        </w:tc>
      </w:tr>
      <w:tr w:rsidR="00322670" w14:paraId="06B1AE5E" w14:textId="77777777" w:rsidTr="00134FDC">
        <w:tc>
          <w:tcPr>
            <w:tcW w:w="4564" w:type="dxa"/>
          </w:tcPr>
          <w:p w14:paraId="19953BF1" w14:textId="77777777" w:rsidR="00322670" w:rsidRPr="00CA7BDF" w:rsidRDefault="00322670" w:rsidP="00DE1FBB">
            <w:pPr>
              <w:jc w:val="center"/>
              <w:rPr>
                <w:rFonts w:ascii="Times New Roman" w:hAnsi="Times New Roman" w:cs="Times New Roman"/>
                <w:b/>
                <w:bCs/>
                <w:sz w:val="20"/>
                <w:szCs w:val="20"/>
              </w:rPr>
            </w:pPr>
            <w:r>
              <w:rPr>
                <w:rFonts w:ascii="Times New Roman" w:hAnsi="Times New Roman" w:cs="Times New Roman"/>
                <w:b/>
                <w:bCs/>
                <w:sz w:val="20"/>
                <w:szCs w:val="20"/>
              </w:rPr>
              <w:t>Por tipo de moneda</w:t>
            </w:r>
          </w:p>
        </w:tc>
        <w:tc>
          <w:tcPr>
            <w:tcW w:w="4274" w:type="dxa"/>
          </w:tcPr>
          <w:p w14:paraId="0D295BC1" w14:textId="77777777" w:rsidR="00322670" w:rsidRPr="00CA7BDF" w:rsidRDefault="00322670" w:rsidP="00DE1FBB">
            <w:pPr>
              <w:jc w:val="center"/>
              <w:rPr>
                <w:rFonts w:ascii="Times New Roman" w:hAnsi="Times New Roman" w:cs="Times New Roman"/>
                <w:b/>
                <w:bCs/>
                <w:sz w:val="20"/>
                <w:szCs w:val="20"/>
              </w:rPr>
            </w:pPr>
            <w:r>
              <w:rPr>
                <w:rFonts w:ascii="Times New Roman" w:hAnsi="Times New Roman" w:cs="Times New Roman"/>
                <w:b/>
                <w:bCs/>
                <w:sz w:val="20"/>
                <w:szCs w:val="20"/>
              </w:rPr>
              <w:t>Por actividad económica</w:t>
            </w:r>
          </w:p>
        </w:tc>
      </w:tr>
      <w:tr w:rsidR="00322670" w14:paraId="389BABF1" w14:textId="77777777" w:rsidTr="00134FDC">
        <w:tblPrEx>
          <w:tblCellMar>
            <w:left w:w="70" w:type="dxa"/>
            <w:right w:w="70" w:type="dxa"/>
          </w:tblCellMar>
        </w:tblPrEx>
        <w:tc>
          <w:tcPr>
            <w:tcW w:w="4564" w:type="dxa"/>
          </w:tcPr>
          <w:p w14:paraId="697B08EA" w14:textId="77777777" w:rsidR="00322670" w:rsidRDefault="00322670" w:rsidP="00DE1FBB">
            <w:r>
              <w:rPr>
                <w:noProof/>
                <w:lang w:val="es-ES" w:eastAsia="es-ES"/>
              </w:rPr>
              <w:drawing>
                <wp:inline distT="0" distB="0" distL="0" distR="0" wp14:anchorId="658B0426" wp14:editId="1F6CF8E4">
                  <wp:extent cx="2894666" cy="2417521"/>
                  <wp:effectExtent l="0" t="0" r="1270" b="1905"/>
                  <wp:docPr id="36" name="Gráfico 3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944CE3D-3590-4F48-843B-BAF49DFFC0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274" w:type="dxa"/>
          </w:tcPr>
          <w:p w14:paraId="3011DEC3" w14:textId="77777777" w:rsidR="00322670" w:rsidRPr="0031007A" w:rsidRDefault="00322670" w:rsidP="00DE1FBB">
            <w:pPr>
              <w:rPr>
                <w:rFonts w:ascii="Times New Roman" w:hAnsi="Times New Roman" w:cs="Times New Roman"/>
              </w:rPr>
            </w:pPr>
            <w:r>
              <w:rPr>
                <w:noProof/>
                <w:lang w:val="es-ES" w:eastAsia="es-ES"/>
              </w:rPr>
              <w:drawing>
                <wp:inline distT="0" distB="0" distL="0" distR="0" wp14:anchorId="0D7DE200" wp14:editId="329503B8">
                  <wp:extent cx="2705010" cy="2411186"/>
                  <wp:effectExtent l="0" t="0" r="635"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27172" cy="2430941"/>
                          </a:xfrm>
                          <a:prstGeom prst="rect">
                            <a:avLst/>
                          </a:prstGeom>
                        </pic:spPr>
                      </pic:pic>
                    </a:graphicData>
                  </a:graphic>
                </wp:inline>
              </w:drawing>
            </w:r>
          </w:p>
        </w:tc>
      </w:tr>
      <w:tr w:rsidR="00322670" w14:paraId="483C8487" w14:textId="77777777" w:rsidTr="00DE1FBB">
        <w:tc>
          <w:tcPr>
            <w:tcW w:w="8838" w:type="dxa"/>
            <w:gridSpan w:val="2"/>
          </w:tcPr>
          <w:p w14:paraId="472012DE" w14:textId="77777777" w:rsidR="00322670" w:rsidRPr="00F61CBF" w:rsidRDefault="00322670" w:rsidP="00DE1FBB">
            <w:pPr>
              <w:rPr>
                <w:rFonts w:ascii="Times New Roman" w:hAnsi="Times New Roman" w:cs="Times New Roman"/>
                <w:sz w:val="16"/>
                <w:szCs w:val="16"/>
              </w:rPr>
            </w:pPr>
            <w:r w:rsidRPr="00F61CBF">
              <w:rPr>
                <w:rFonts w:ascii="Times New Roman" w:hAnsi="Times New Roman" w:cs="Times New Roman"/>
                <w:sz w:val="16"/>
                <w:szCs w:val="16"/>
              </w:rPr>
              <w:t xml:space="preserve">Fuente: Dirección de Análisis y Política Fiscal con información del </w:t>
            </w:r>
            <w:r>
              <w:rPr>
                <w:rFonts w:ascii="Times New Roman" w:hAnsi="Times New Roman" w:cs="Times New Roman"/>
                <w:sz w:val="16"/>
                <w:szCs w:val="16"/>
              </w:rPr>
              <w:t>BANGUAT..</w:t>
            </w:r>
          </w:p>
          <w:p w14:paraId="3480B214" w14:textId="77777777" w:rsidR="00322670" w:rsidRPr="00CA7BDF" w:rsidRDefault="00322670" w:rsidP="00DE1FBB">
            <w:pPr>
              <w:rPr>
                <w:rFonts w:ascii="Times New Roman" w:hAnsi="Times New Roman" w:cs="Times New Roman"/>
                <w:sz w:val="18"/>
                <w:szCs w:val="18"/>
              </w:rPr>
            </w:pPr>
            <w:r w:rsidRPr="00F61CBF">
              <w:rPr>
                <w:rFonts w:ascii="Times New Roman" w:hAnsi="Times New Roman" w:cs="Times New Roman"/>
                <w:sz w:val="16"/>
                <w:szCs w:val="16"/>
              </w:rPr>
              <w:t>Nota: Los puntos rojos indican los puntos máximos y mínimos de cada serie. La línea roja punteada indica el eje en cero.</w:t>
            </w:r>
          </w:p>
        </w:tc>
      </w:tr>
    </w:tbl>
    <w:p w14:paraId="54B51206" w14:textId="77777777" w:rsidR="00322670" w:rsidRPr="00646CA8" w:rsidRDefault="00322670" w:rsidP="005135D3">
      <w:pPr>
        <w:spacing w:after="0" w:line="240" w:lineRule="auto"/>
        <w:jc w:val="both"/>
        <w:rPr>
          <w:rFonts w:ascii="Times New Roman" w:hAnsi="Times New Roman" w:cs="Times New Roman"/>
        </w:rPr>
      </w:pPr>
    </w:p>
    <w:p w14:paraId="418147FF" w14:textId="77777777" w:rsidR="00322670" w:rsidRDefault="00322670" w:rsidP="001032E7">
      <w:pPr>
        <w:pStyle w:val="Ttulo3"/>
        <w:numPr>
          <w:ilvl w:val="2"/>
          <w:numId w:val="29"/>
        </w:numPr>
        <w:tabs>
          <w:tab w:val="left" w:pos="993"/>
          <w:tab w:val="left" w:pos="1276"/>
          <w:tab w:val="left" w:pos="1560"/>
          <w:tab w:val="left" w:pos="1843"/>
        </w:tabs>
        <w:spacing w:before="0" w:line="240" w:lineRule="auto"/>
        <w:ind w:left="709" w:hanging="360"/>
        <w:rPr>
          <w:rFonts w:ascii="Times New Roman" w:hAnsi="Times New Roman" w:cs="Times New Roman"/>
          <w:b/>
          <w:color w:val="auto"/>
        </w:rPr>
      </w:pPr>
      <w:bookmarkStart w:id="133" w:name="_Toc72489362"/>
      <w:bookmarkStart w:id="134" w:name="_Toc81571845"/>
      <w:r w:rsidRPr="00AD2DB3">
        <w:rPr>
          <w:rFonts w:ascii="Times New Roman" w:hAnsi="Times New Roman" w:cs="Times New Roman"/>
          <w:b/>
          <w:color w:val="auto"/>
        </w:rPr>
        <w:t>Tasa de interés líder de política monetaria</w:t>
      </w:r>
      <w:bookmarkEnd w:id="133"/>
      <w:bookmarkEnd w:id="134"/>
    </w:p>
    <w:p w14:paraId="17B3D6FC" w14:textId="77777777" w:rsidR="00322670" w:rsidRPr="00AD2DB3" w:rsidRDefault="00322670" w:rsidP="005135D3">
      <w:pPr>
        <w:spacing w:after="0" w:line="240" w:lineRule="auto"/>
      </w:pPr>
    </w:p>
    <w:p w14:paraId="694B30C0" w14:textId="77777777" w:rsidR="005135D3" w:rsidRDefault="00322670" w:rsidP="005135D3">
      <w:pPr>
        <w:spacing w:after="0" w:line="240" w:lineRule="auto"/>
        <w:jc w:val="both"/>
        <w:rPr>
          <w:rFonts w:ascii="Times New Roman" w:hAnsi="Times New Roman" w:cs="Times New Roman"/>
        </w:rPr>
      </w:pPr>
      <w:r>
        <w:rPr>
          <w:rFonts w:ascii="Times New Roman" w:hAnsi="Times New Roman" w:cs="Times New Roman"/>
        </w:rPr>
        <w:t>En el 2019 la Junta monetaria en todas las sesiones decidió mantener la tasa de interés en 2.75%, siendo este el mismo nivel que estuvo desde finales del 2017 dado que se tenían las perspectivas de un ritmo moderado de la actividad económica mundial y con riesgos a la baja persistentes. En el 2020 derivado del deterioro de las condiciones económicas internas y externas por la expansión de la pandemia y la incertidumbre derivada de la misma, la Junta monetaria decidió disminuir 50 puntos básicos la tasa de interés el 19 de marzo y posteriormente otras dos disminuciones de 25 puntos básicos en sesiones celebradas a finales de junio. Desde entonces la tasa de interés se mantuvo en 1.75% en lo que restó del 2020.</w:t>
      </w:r>
    </w:p>
    <w:p w14:paraId="049A203A" w14:textId="77777777" w:rsidR="005135D3" w:rsidRDefault="005135D3" w:rsidP="005135D3">
      <w:pPr>
        <w:spacing w:after="0" w:line="240" w:lineRule="auto"/>
        <w:jc w:val="both"/>
        <w:rPr>
          <w:rFonts w:ascii="Times New Roman" w:hAnsi="Times New Roman" w:cs="Times New Roman"/>
        </w:rPr>
      </w:pPr>
    </w:p>
    <w:p w14:paraId="27D308D2" w14:textId="77777777" w:rsidR="00322670" w:rsidRDefault="00322670" w:rsidP="005135D3">
      <w:pPr>
        <w:spacing w:after="0" w:line="240" w:lineRule="auto"/>
        <w:jc w:val="both"/>
        <w:rPr>
          <w:rFonts w:ascii="Times New Roman" w:hAnsi="Times New Roman" w:cs="Times New Roman"/>
        </w:rPr>
      </w:pPr>
      <w:r>
        <w:rPr>
          <w:rFonts w:ascii="Times New Roman" w:hAnsi="Times New Roman" w:cs="Times New Roman"/>
        </w:rPr>
        <w:t>Entre los factores que se consideraron para disminuir la tasa de interés de política monetaria en el 2020 destacaban en el ámbito de la economía externa la políticas fiscales y monetarias extraordinarias y sin precedentes de las mayorías de países, la reapertura económica gradual y las perspectivas sobre los avances de las vacunas. Por otro lado, se consideró también que el precio del petróleo se mantuvo en sus mínimos históricos en los meses de marzo - abril y su leve recuperación en el transcurso del 2020 que se mantuvo a niveles muy bajos en comparación del 2019. Entre los factores del sector interno se consideraron la recuperación en los indicadores de corto plazo en el segundo semestre como lo fue el IMAE, las exportaciones, importaciones, el índice de confianza de la actividad económica y las remesas familiares. Lo anterior se debió en su mayor parte a la reapertura gradual de la economía nacional y de los principales socios comerciales.</w:t>
      </w:r>
    </w:p>
    <w:p w14:paraId="66061928" w14:textId="77777777" w:rsidR="00322670" w:rsidRPr="00B06A8A" w:rsidRDefault="00322670" w:rsidP="005135D3">
      <w:pPr>
        <w:spacing w:after="0" w:line="240" w:lineRule="auto"/>
        <w:jc w:val="both"/>
        <w:rPr>
          <w:rFonts w:ascii="Times New Roman" w:hAnsi="Times New Roman" w:cs="Times New Roman"/>
        </w:rPr>
      </w:pPr>
    </w:p>
    <w:p w14:paraId="13000E91" w14:textId="77777777" w:rsidR="00322670" w:rsidRDefault="00ED116C" w:rsidP="009A135D">
      <w:pPr>
        <w:pStyle w:val="Ttulo3"/>
        <w:numPr>
          <w:ilvl w:val="1"/>
          <w:numId w:val="29"/>
        </w:numPr>
        <w:tabs>
          <w:tab w:val="left" w:pos="1276"/>
          <w:tab w:val="left" w:pos="1560"/>
          <w:tab w:val="left" w:pos="1843"/>
        </w:tabs>
        <w:spacing w:line="240" w:lineRule="auto"/>
        <w:ind w:left="426" w:hanging="360"/>
        <w:rPr>
          <w:rFonts w:ascii="Times New Roman" w:hAnsi="Times New Roman" w:cs="Times New Roman"/>
          <w:b/>
          <w:color w:val="auto"/>
        </w:rPr>
      </w:pPr>
      <w:bookmarkStart w:id="135" w:name="_Toc72489363"/>
      <w:r>
        <w:rPr>
          <w:rFonts w:ascii="Times New Roman" w:hAnsi="Times New Roman" w:cs="Times New Roman"/>
          <w:b/>
          <w:color w:val="auto"/>
        </w:rPr>
        <w:t xml:space="preserve"> </w:t>
      </w:r>
      <w:bookmarkStart w:id="136" w:name="_Toc81571846"/>
      <w:r w:rsidR="00322670" w:rsidRPr="00AD2DB3">
        <w:rPr>
          <w:rFonts w:ascii="Times New Roman" w:hAnsi="Times New Roman" w:cs="Times New Roman"/>
          <w:b/>
          <w:color w:val="auto"/>
        </w:rPr>
        <w:t>Sector externo 2019-2020</w:t>
      </w:r>
      <w:bookmarkEnd w:id="135"/>
      <w:bookmarkEnd w:id="136"/>
    </w:p>
    <w:p w14:paraId="043B8DE5" w14:textId="77777777" w:rsidR="00322670" w:rsidRPr="00AD2DB3" w:rsidRDefault="00322670" w:rsidP="00ED116C">
      <w:pPr>
        <w:spacing w:after="0" w:line="240" w:lineRule="auto"/>
      </w:pPr>
    </w:p>
    <w:p w14:paraId="7BBF4D06" w14:textId="77777777" w:rsidR="00322670" w:rsidRDefault="00322670" w:rsidP="00ED116C">
      <w:pPr>
        <w:spacing w:after="0" w:line="240" w:lineRule="auto"/>
        <w:jc w:val="both"/>
        <w:rPr>
          <w:rFonts w:ascii="Times New Roman" w:hAnsi="Times New Roman" w:cs="Times New Roman"/>
        </w:rPr>
      </w:pPr>
      <w:r>
        <w:rPr>
          <w:rFonts w:ascii="Times New Roman" w:hAnsi="Times New Roman" w:cs="Times New Roman"/>
        </w:rPr>
        <w:t xml:space="preserve">El sector externo de la economía nacional sufrió diversas distorsiones desde el 2019 por las tensiones comerciales y en el 2020 por la pandemia Covid-19 que afectó tanto la demanda externa como la demanda interna por las restricciones impuestas a nivel nacional para contener su propagación. A pesar de la disminución de la demanda externa las exportaciones presentaron un leve crecimiento debido a las exportaciones de bienes de agricultura, en los que destacó el cardamomo. Por otro lado, aumentó en el desempleo de E.E.U.U, las remesas tuvieron repercusiones negativas, no obstante, estas se recuperaron en el segundo trimestre mostrando un crecimiento de 7.9%, lo cual explica la mayor parte del superávit de la cuenta corriente. </w:t>
      </w:r>
    </w:p>
    <w:p w14:paraId="74FAE047" w14:textId="77777777" w:rsidR="00ED116C" w:rsidRPr="00B35067" w:rsidRDefault="00ED116C" w:rsidP="00ED116C">
      <w:pPr>
        <w:spacing w:after="0" w:line="240" w:lineRule="auto"/>
        <w:jc w:val="both"/>
        <w:rPr>
          <w:rFonts w:ascii="Times New Roman" w:hAnsi="Times New Roman" w:cs="Times New Roman"/>
        </w:rPr>
      </w:pPr>
    </w:p>
    <w:p w14:paraId="577B02CC" w14:textId="77777777" w:rsidR="00322670" w:rsidRDefault="00322670" w:rsidP="001032E7">
      <w:pPr>
        <w:pStyle w:val="Ttulo3"/>
        <w:numPr>
          <w:ilvl w:val="2"/>
          <w:numId w:val="29"/>
        </w:numPr>
        <w:tabs>
          <w:tab w:val="left" w:pos="993"/>
          <w:tab w:val="left" w:pos="1276"/>
          <w:tab w:val="left" w:pos="1560"/>
          <w:tab w:val="left" w:pos="1843"/>
        </w:tabs>
        <w:spacing w:before="0" w:line="240" w:lineRule="auto"/>
        <w:ind w:left="709" w:hanging="360"/>
        <w:rPr>
          <w:rFonts w:ascii="Times New Roman" w:hAnsi="Times New Roman" w:cs="Times New Roman"/>
          <w:b/>
          <w:color w:val="auto"/>
        </w:rPr>
      </w:pPr>
      <w:bookmarkStart w:id="137" w:name="_Toc72489364"/>
      <w:bookmarkStart w:id="138" w:name="_Toc81571847"/>
      <w:r w:rsidRPr="00AD2DB3">
        <w:rPr>
          <w:rFonts w:ascii="Times New Roman" w:hAnsi="Times New Roman" w:cs="Times New Roman"/>
          <w:b/>
          <w:color w:val="auto"/>
        </w:rPr>
        <w:t>Balanza de pagos</w:t>
      </w:r>
      <w:bookmarkEnd w:id="137"/>
      <w:bookmarkEnd w:id="138"/>
    </w:p>
    <w:p w14:paraId="25272174" w14:textId="77777777" w:rsidR="00322670" w:rsidRPr="00AD2DB3" w:rsidRDefault="00322670" w:rsidP="005135D3">
      <w:pPr>
        <w:spacing w:after="0" w:line="240" w:lineRule="auto"/>
      </w:pPr>
    </w:p>
    <w:p w14:paraId="693B34B5" w14:textId="77777777" w:rsidR="00322670" w:rsidRDefault="00322670" w:rsidP="005135D3">
      <w:pPr>
        <w:spacing w:after="0" w:line="240" w:lineRule="auto"/>
        <w:jc w:val="both"/>
        <w:rPr>
          <w:rFonts w:ascii="Times New Roman" w:hAnsi="Times New Roman" w:cs="Times New Roman"/>
        </w:rPr>
      </w:pPr>
      <w:r w:rsidRPr="00477622">
        <w:rPr>
          <w:rFonts w:ascii="Times New Roman" w:hAnsi="Times New Roman" w:cs="Times New Roman"/>
        </w:rPr>
        <w:t xml:space="preserve">En el 2019 el saldo de la cuenta corriente </w:t>
      </w:r>
      <w:r>
        <w:rPr>
          <w:rFonts w:ascii="Times New Roman" w:hAnsi="Times New Roman" w:cs="Times New Roman"/>
        </w:rPr>
        <w:t>fue superavitario por US$1,791.8 millones. Asimismo, el saldo de la balanza comercial fue deficitario por US$7,917.5 millones en 2019, un déficit mayor que el de los años previos y fue explicada por la ralentización en el crecimiento de las exportaciones de bienes y servicios derivada de la disminución en el crecimiento del comercio mundial por las continuas tensiones comerciales experimentadas en ese año. El ingreso primario que registra las rentas de los factores de la producción registró un déficit de US$1,411.6 millones, y la cuenta secundaria tuvo un saldo superavitario de US$11,120.3 millones, que fue la razón principal del superávit de cuenta corriente  dado que fue lo suficientemente grande para cubrir los déficit de la balanza comercial y del ingreso primario y aun así generar superávit, el rubro de la cuenta secundaria de la cual se derivaron dicho superávit fueron los créditos por transferencias personales. El saldo de la cuenta de capital fue de US$0.7 millones y fue poco representativa como proporción del PIB. El préstamo neto otorgado a los no residentes fue de US$1,791.8 millones, el saldo de la cuenta financiera fue de US$1,028.4 millones incluyendo el aumentó en los activos de reservas y los errores y omisiones representaron -1.0% con respecto al PIB.</w:t>
      </w:r>
    </w:p>
    <w:p w14:paraId="1F61EE3B" w14:textId="77777777" w:rsidR="005135D3" w:rsidRDefault="005135D3" w:rsidP="005135D3">
      <w:pPr>
        <w:spacing w:after="0" w:line="240" w:lineRule="auto"/>
        <w:jc w:val="both"/>
        <w:rPr>
          <w:rFonts w:ascii="Times New Roman" w:hAnsi="Times New Roman" w:cs="Times New Roman"/>
        </w:rPr>
      </w:pPr>
    </w:p>
    <w:p w14:paraId="0AFD052F" w14:textId="77777777" w:rsidR="00322670" w:rsidRDefault="00322670" w:rsidP="005135D3">
      <w:pPr>
        <w:spacing w:line="240" w:lineRule="auto"/>
        <w:jc w:val="both"/>
        <w:rPr>
          <w:rFonts w:ascii="Times New Roman" w:hAnsi="Times New Roman" w:cs="Times New Roman"/>
        </w:rPr>
      </w:pPr>
      <w:r>
        <w:rPr>
          <w:rFonts w:ascii="Times New Roman" w:hAnsi="Times New Roman" w:cs="Times New Roman"/>
        </w:rPr>
        <w:t>En 2020 la pandemia afectó en gran manera la actividad económica mundial y nacional, lo cual tuvo gran incidencia en la balanza de pagos. El saldo de la cuenta corriente fue superavitario por US$4,249.0 millones, El mayor registrado en la última década, en parte esto se debe a que el saldo deficitario de la balanza comercial disminuyó US$1,740.5 millones en 2020 con respecto al saldo de 2019, ubicándose en US$6,177.0 millones, esto se explica principalmente por la disminución en las importaciones nacionales debido a la baja en la demanda interna por las restricciones aplicadas por la pandemia y por la incertidumbre generada en los agentes económicos. El ingreso primario registró un déficit de US$1,398.3 millones, mostrando menores cambios con respecto el saldo de 2019. A pesar de todas las disrupciones en la economía externa y la caída del crecimiento económico de EE.UU. el ingreso secundario mostró un superávit en 2020 de US$ 11,824.3 millones, mayor en US$704.0 millones que en 2019 debido al crecimiento de las remesas. La cuenta de capital no mostró registros en el 2020, por lo tanto, el préstamo neto otorgado a los no residentes equivale al saldo de cuenta corriente. Por último, la cuenta financiera tuvo un saldo de US$3,438.9 millones y los errores y omisiones representaron -1.0% del PIB.</w:t>
      </w:r>
    </w:p>
    <w:p w14:paraId="27BC94F2" w14:textId="77777777" w:rsidR="00056D1A" w:rsidRDefault="00056D1A" w:rsidP="00056D1A">
      <w:pPr>
        <w:spacing w:after="0" w:line="240" w:lineRule="auto"/>
        <w:jc w:val="both"/>
        <w:rPr>
          <w:rFonts w:ascii="Times New Roman" w:hAnsi="Times New Roman" w:cs="Times New Roman"/>
        </w:rPr>
      </w:pPr>
    </w:p>
    <w:p w14:paraId="08AADC96" w14:textId="6DFD4B62" w:rsidR="00056D1A" w:rsidRPr="00056D1A" w:rsidRDefault="00056D1A" w:rsidP="00056D1A">
      <w:pPr>
        <w:pStyle w:val="Epgrafe"/>
        <w:keepNext/>
        <w:framePr w:hSpace="141" w:wrap="around" w:vAnchor="text" w:hAnchor="page" w:x="4831" w:y="-160"/>
        <w:rPr>
          <w:rFonts w:ascii="Times New Roman" w:hAnsi="Times New Roman" w:cs="Times New Roman"/>
          <w:b/>
          <w:color w:val="auto"/>
          <w:sz w:val="20"/>
        </w:rPr>
      </w:pPr>
      <w:bookmarkStart w:id="139" w:name="_Toc81573028"/>
      <w:r w:rsidRPr="00056D1A">
        <w:rPr>
          <w:rFonts w:ascii="Times New Roman" w:hAnsi="Times New Roman" w:cs="Times New Roman"/>
          <w:b/>
          <w:color w:val="auto"/>
          <w:sz w:val="20"/>
        </w:rPr>
        <w:t xml:space="preserve">Tabla </w:t>
      </w:r>
      <w:r w:rsidRPr="00056D1A">
        <w:rPr>
          <w:rFonts w:ascii="Times New Roman" w:hAnsi="Times New Roman" w:cs="Times New Roman"/>
          <w:b/>
          <w:color w:val="auto"/>
          <w:sz w:val="20"/>
        </w:rPr>
        <w:fldChar w:fldCharType="begin"/>
      </w:r>
      <w:r w:rsidRPr="00056D1A">
        <w:rPr>
          <w:rFonts w:ascii="Times New Roman" w:hAnsi="Times New Roman" w:cs="Times New Roman"/>
          <w:b/>
          <w:color w:val="auto"/>
          <w:sz w:val="20"/>
        </w:rPr>
        <w:instrText xml:space="preserve"> SEQ Tabla \* ARABIC </w:instrText>
      </w:r>
      <w:r w:rsidRPr="00056D1A">
        <w:rPr>
          <w:rFonts w:ascii="Times New Roman" w:hAnsi="Times New Roman" w:cs="Times New Roman"/>
          <w:b/>
          <w:color w:val="auto"/>
          <w:sz w:val="20"/>
        </w:rPr>
        <w:fldChar w:fldCharType="separate"/>
      </w:r>
      <w:r w:rsidR="009E18F8">
        <w:rPr>
          <w:rFonts w:ascii="Times New Roman" w:hAnsi="Times New Roman" w:cs="Times New Roman"/>
          <w:b/>
          <w:noProof/>
          <w:color w:val="auto"/>
          <w:sz w:val="20"/>
        </w:rPr>
        <w:t>6</w:t>
      </w:r>
      <w:r w:rsidRPr="00056D1A">
        <w:rPr>
          <w:rFonts w:ascii="Times New Roman" w:hAnsi="Times New Roman" w:cs="Times New Roman"/>
          <w:b/>
          <w:color w:val="auto"/>
          <w:sz w:val="20"/>
        </w:rPr>
        <w:fldChar w:fldCharType="end"/>
      </w:r>
      <w:r w:rsidRPr="00056D1A">
        <w:rPr>
          <w:rFonts w:ascii="Times New Roman" w:hAnsi="Times New Roman" w:cs="Times New Roman"/>
          <w:b/>
          <w:color w:val="auto"/>
          <w:sz w:val="20"/>
        </w:rPr>
        <w:t xml:space="preserve"> Balanza</w:t>
      </w:r>
      <w:r w:rsidRPr="00056D1A">
        <w:rPr>
          <w:rFonts w:ascii="Times New Roman" w:hAnsi="Times New Roman" w:cs="Times New Roman"/>
          <w:b/>
          <w:iCs w:val="0"/>
          <w:color w:val="auto"/>
          <w:sz w:val="20"/>
        </w:rPr>
        <w:t xml:space="preserve"> de pagos</w:t>
      </w:r>
      <w:bookmarkEnd w:id="139"/>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322670" w14:paraId="47AFBFF4" w14:textId="77777777" w:rsidTr="000971C3">
        <w:tc>
          <w:tcPr>
            <w:tcW w:w="8838" w:type="dxa"/>
          </w:tcPr>
          <w:p w14:paraId="1DDD23B6" w14:textId="77777777" w:rsidR="00322670" w:rsidRDefault="00322670" w:rsidP="00DE1FBB">
            <w:pPr>
              <w:jc w:val="center"/>
              <w:rPr>
                <w:rFonts w:ascii="Times New Roman" w:hAnsi="Times New Roman" w:cs="Times New Roman"/>
                <w:b/>
                <w:bCs/>
              </w:rPr>
            </w:pPr>
            <w:r w:rsidRPr="00375030">
              <w:rPr>
                <w:rFonts w:ascii="Times New Roman" w:hAnsi="Times New Roman" w:cs="Times New Roman"/>
                <w:b/>
                <w:bCs/>
                <w:noProof/>
                <w:lang w:val="es-ES" w:eastAsia="es-ES"/>
              </w:rPr>
              <w:drawing>
                <wp:inline distT="0" distB="0" distL="0" distR="0" wp14:anchorId="769437C6" wp14:editId="19BC68DC">
                  <wp:extent cx="5532120" cy="1935480"/>
                  <wp:effectExtent l="0" t="0" r="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32120" cy="1935480"/>
                          </a:xfrm>
                          <a:prstGeom prst="rect">
                            <a:avLst/>
                          </a:prstGeom>
                          <a:noFill/>
                          <a:ln>
                            <a:noFill/>
                          </a:ln>
                        </pic:spPr>
                      </pic:pic>
                    </a:graphicData>
                  </a:graphic>
                </wp:inline>
              </w:drawing>
            </w:r>
          </w:p>
        </w:tc>
      </w:tr>
      <w:tr w:rsidR="00322670" w14:paraId="4FF6A823" w14:textId="77777777" w:rsidTr="000971C3">
        <w:tc>
          <w:tcPr>
            <w:tcW w:w="8838" w:type="dxa"/>
          </w:tcPr>
          <w:p w14:paraId="3C63CE61" w14:textId="77777777" w:rsidR="00322670" w:rsidRDefault="00322670" w:rsidP="00DE1FBB">
            <w:pPr>
              <w:rPr>
                <w:rFonts w:ascii="Times New Roman" w:hAnsi="Times New Roman" w:cs="Times New Roman"/>
                <w:sz w:val="16"/>
                <w:szCs w:val="16"/>
              </w:rPr>
            </w:pPr>
            <w:r w:rsidRPr="00895951">
              <w:rPr>
                <w:rFonts w:ascii="Times New Roman" w:hAnsi="Times New Roman" w:cs="Times New Roman"/>
                <w:sz w:val="16"/>
                <w:szCs w:val="16"/>
              </w:rPr>
              <w:t xml:space="preserve">Fuente: Dirección de Análisis y Política Fiscal con información de </w:t>
            </w:r>
            <w:r>
              <w:rPr>
                <w:rFonts w:ascii="Times New Roman" w:hAnsi="Times New Roman" w:cs="Times New Roman"/>
                <w:sz w:val="16"/>
                <w:szCs w:val="16"/>
              </w:rPr>
              <w:t>BANGUAT.</w:t>
            </w:r>
          </w:p>
          <w:p w14:paraId="5BF137CD" w14:textId="77777777" w:rsidR="00322670" w:rsidRPr="00895951" w:rsidRDefault="00322670" w:rsidP="00DE1FBB">
            <w:pPr>
              <w:rPr>
                <w:rFonts w:ascii="Times New Roman" w:hAnsi="Times New Roman" w:cs="Times New Roman"/>
                <w:sz w:val="16"/>
                <w:szCs w:val="16"/>
              </w:rPr>
            </w:pPr>
            <w:r>
              <w:rPr>
                <w:rFonts w:ascii="Times New Roman" w:hAnsi="Times New Roman" w:cs="Times New Roman"/>
                <w:sz w:val="16"/>
                <w:szCs w:val="16"/>
              </w:rPr>
              <w:t>p: preliminar.</w:t>
            </w:r>
          </w:p>
        </w:tc>
      </w:tr>
    </w:tbl>
    <w:p w14:paraId="449D1970" w14:textId="77777777" w:rsidR="00322670" w:rsidRDefault="00322670" w:rsidP="00ED116C">
      <w:pPr>
        <w:spacing w:after="0" w:line="240" w:lineRule="auto"/>
        <w:jc w:val="both"/>
        <w:rPr>
          <w:rFonts w:ascii="Times New Roman" w:hAnsi="Times New Roman" w:cs="Times New Roman"/>
        </w:rPr>
      </w:pPr>
    </w:p>
    <w:p w14:paraId="59E5A58B" w14:textId="77777777" w:rsidR="00322670" w:rsidRDefault="00322670" w:rsidP="001032E7">
      <w:pPr>
        <w:pStyle w:val="Ttulo3"/>
        <w:numPr>
          <w:ilvl w:val="2"/>
          <w:numId w:val="29"/>
        </w:numPr>
        <w:tabs>
          <w:tab w:val="left" w:pos="993"/>
          <w:tab w:val="left" w:pos="1276"/>
          <w:tab w:val="left" w:pos="1560"/>
          <w:tab w:val="left" w:pos="1843"/>
        </w:tabs>
        <w:spacing w:before="0" w:line="240" w:lineRule="auto"/>
        <w:ind w:left="709" w:hanging="360"/>
        <w:rPr>
          <w:rFonts w:ascii="Times New Roman" w:hAnsi="Times New Roman" w:cs="Times New Roman"/>
          <w:b/>
          <w:color w:val="auto"/>
        </w:rPr>
      </w:pPr>
      <w:bookmarkStart w:id="140" w:name="_Toc72489365"/>
      <w:bookmarkStart w:id="141" w:name="_Toc81571848"/>
      <w:r w:rsidRPr="00AD2DB3">
        <w:rPr>
          <w:rFonts w:ascii="Times New Roman" w:hAnsi="Times New Roman" w:cs="Times New Roman"/>
          <w:b/>
          <w:color w:val="auto"/>
        </w:rPr>
        <w:t>Balanza comercial</w:t>
      </w:r>
      <w:bookmarkEnd w:id="140"/>
      <w:bookmarkEnd w:id="141"/>
      <w:r w:rsidRPr="00AD2DB3">
        <w:rPr>
          <w:rFonts w:ascii="Times New Roman" w:hAnsi="Times New Roman" w:cs="Times New Roman"/>
          <w:b/>
          <w:color w:val="auto"/>
        </w:rPr>
        <w:t xml:space="preserve"> </w:t>
      </w:r>
    </w:p>
    <w:p w14:paraId="5A0CA6C0" w14:textId="77777777" w:rsidR="00322670" w:rsidRPr="00A53591" w:rsidRDefault="00322670" w:rsidP="00ED116C">
      <w:pPr>
        <w:spacing w:after="0" w:line="240" w:lineRule="auto"/>
      </w:pPr>
    </w:p>
    <w:p w14:paraId="32660B1D" w14:textId="77777777" w:rsidR="00322670" w:rsidRDefault="00322670" w:rsidP="005135D3">
      <w:pPr>
        <w:spacing w:after="0" w:line="240" w:lineRule="auto"/>
        <w:jc w:val="both"/>
        <w:rPr>
          <w:rFonts w:ascii="Times New Roman" w:hAnsi="Times New Roman" w:cs="Times New Roman"/>
          <w:noProof/>
        </w:rPr>
      </w:pPr>
      <w:r>
        <w:rPr>
          <w:rFonts w:ascii="Times New Roman" w:hAnsi="Times New Roman" w:cs="Times New Roman"/>
          <w:noProof/>
        </w:rPr>
        <w:t>Las exportaciones e importaciones de bienes representan la mayor parte del total. Las exportaciones de bienes tuvieron un crecimiento de 2.8% en 2019 y de 6.0% en 2020, por su lado la importaciones de bienes registraron una tasa de crecimiento de 1.5% en 2019 y -8.1% en el 2020. Previo a mostrar el análisis sobre las exportaciones e importaciones de bienes que se derivan de las estadisticas  de comercio exterior es importante indicar que estos datos discrepan con los de la balanza de pagos, esta diferencia se encuentra detallada en los cuadros de conciliación del Banco de Guatemala. Los rubros de la conciliación que  contienen la mayor parte de la diferencia en las exportaciones de bienes son la manufactura de insumo propiedad de otros con un monto negativo de US$1,092.9 millones y US$855.3 millones para 2019 y 2020 respectivamente, y los bienes cuya propiedad se trapasa en los depósitos aduaneros con un monto negativo de US$384.4 millones y US$293.1 millones para 2019 y 2020. Por el lado de las importaciones, los principales  rubros en la conciliación son el ajuste CIF/FOB por -US$1,319.6 millones y -1,301.1 millones en 2019 y 2020 respectivamente y la manufactura de insumos propiedad de otros por -US$470.0 millones y  -US369.4 millones para 2019 y 2020 de forma respectiva.</w:t>
      </w:r>
    </w:p>
    <w:p w14:paraId="0FC51894" w14:textId="77777777" w:rsidR="005135D3" w:rsidRDefault="005135D3" w:rsidP="005135D3">
      <w:pPr>
        <w:spacing w:after="0" w:line="240" w:lineRule="auto"/>
        <w:jc w:val="both"/>
        <w:rPr>
          <w:rFonts w:ascii="Times New Roman" w:hAnsi="Times New Roman" w:cs="Times New Roman"/>
          <w:noProof/>
        </w:rPr>
      </w:pPr>
    </w:p>
    <w:p w14:paraId="174C8C5B" w14:textId="77777777" w:rsidR="00322670" w:rsidRDefault="00322670" w:rsidP="005135D3">
      <w:pPr>
        <w:spacing w:after="0" w:line="240" w:lineRule="auto"/>
        <w:jc w:val="both"/>
        <w:rPr>
          <w:rFonts w:ascii="Times New Roman" w:hAnsi="Times New Roman" w:cs="Times New Roman"/>
        </w:rPr>
      </w:pPr>
      <w:r>
        <w:rPr>
          <w:rFonts w:ascii="Times New Roman" w:hAnsi="Times New Roman" w:cs="Times New Roman"/>
        </w:rPr>
        <w:t>Las exportaciones FOB según comercio exterior fueron de US$11,169.6 millones en 2019 y de US$11,514.4 millones en 2020. La tasa de crecimiento en 2019 fue de 1.8% mostrando la ralentización del comercio mundial experimentada en este año. Asimismo, la tasa de crecimiento para el 2020 se ubicó en 3.1%, a pesar de la contracción económica mundial, dicho incremento estuvo asociado a la demanda externa de bienes de agricultura que se mantuvo por tener una menor elasticidad con respecto al ingreso en comparación de los bienes industriales.</w:t>
      </w:r>
    </w:p>
    <w:p w14:paraId="6EB14770" w14:textId="77777777" w:rsidR="005135D3" w:rsidRDefault="005135D3" w:rsidP="005135D3">
      <w:pPr>
        <w:spacing w:after="0" w:line="240" w:lineRule="auto"/>
        <w:jc w:val="both"/>
        <w:rPr>
          <w:rFonts w:ascii="Times New Roman" w:hAnsi="Times New Roman" w:cs="Times New Roman"/>
        </w:rPr>
      </w:pPr>
    </w:p>
    <w:p w14:paraId="220E7F5D" w14:textId="77777777" w:rsidR="00322670" w:rsidRDefault="00322670" w:rsidP="005135D3">
      <w:pPr>
        <w:spacing w:after="0" w:line="240" w:lineRule="auto"/>
        <w:jc w:val="both"/>
        <w:rPr>
          <w:rFonts w:ascii="Times New Roman" w:hAnsi="Times New Roman" w:cs="Times New Roman"/>
        </w:rPr>
      </w:pPr>
      <w:r>
        <w:rPr>
          <w:rFonts w:ascii="Times New Roman" w:hAnsi="Times New Roman" w:cs="Times New Roman"/>
        </w:rPr>
        <w:t>En 2019 el principal producto que contribuyó al crecimiento de las exportaciones FOB fue el cardamomo, a pesar de haber representado únicamente el 5.8% de las exportaciones totales, estas tuvieron un crecimiento de 49.3%, por lo que su contribución al crecimiento total fue de 1.9%. Otros productos que también tuvieron un crecimiento significativo en 2019 fue el hierro y el acero con 18.8%, las manufacturas de papel y cartón de 11.3%, los productos farmacéuticos de 8.9% y los materiales textiles de 6.0%. Sin embargo, el crecimiento de las exportaciones mostró una ralentización dado a la disminución en las grasas y aceite comestibles de 13.5%, en las frutas frescas, secas o congeladas de 5.3%, en los artículos de vestuario de 3.6%, entre otros productos. El principal destino de las exportaciones FOB con respecto al total de 2019 fue EE. UU. de 35.1%, Centroamérica</w:t>
      </w:r>
      <w:r>
        <w:rPr>
          <w:rStyle w:val="Refdenotaalpie"/>
          <w:rFonts w:ascii="Times New Roman" w:hAnsi="Times New Roman" w:cs="Times New Roman"/>
        </w:rPr>
        <w:footnoteReference w:id="1"/>
      </w:r>
      <w:r>
        <w:rPr>
          <w:rFonts w:ascii="Times New Roman" w:hAnsi="Times New Roman" w:cs="Times New Roman"/>
        </w:rPr>
        <w:t xml:space="preserve"> de 32.8%, México de 4.6%, Países Bajos de 3.3% y Canadá de 1.5%.</w:t>
      </w:r>
    </w:p>
    <w:p w14:paraId="2138C703" w14:textId="0FA82C51" w:rsidR="000971C3" w:rsidRPr="00056D1A" w:rsidRDefault="000971C3" w:rsidP="000971C3">
      <w:pPr>
        <w:pStyle w:val="Epgrafe"/>
        <w:framePr w:hSpace="141" w:wrap="around" w:vAnchor="text" w:hAnchor="page" w:x="3053" w:y="318"/>
        <w:jc w:val="center"/>
        <w:rPr>
          <w:rFonts w:ascii="Times New Roman" w:hAnsi="Times New Roman" w:cs="Times New Roman"/>
          <w:b/>
          <w:iCs w:val="0"/>
          <w:color w:val="auto"/>
          <w:sz w:val="20"/>
        </w:rPr>
      </w:pPr>
      <w:bookmarkStart w:id="142" w:name="_Toc81573029"/>
      <w:r w:rsidRPr="00056D1A">
        <w:rPr>
          <w:rFonts w:ascii="Times New Roman" w:hAnsi="Times New Roman" w:cs="Times New Roman"/>
          <w:b/>
          <w:color w:val="auto"/>
          <w:sz w:val="20"/>
        </w:rPr>
        <w:t xml:space="preserve">Tabla </w:t>
      </w:r>
      <w:r w:rsidRPr="00056D1A">
        <w:rPr>
          <w:rFonts w:ascii="Times New Roman" w:hAnsi="Times New Roman" w:cs="Times New Roman"/>
          <w:b/>
          <w:color w:val="auto"/>
          <w:sz w:val="20"/>
        </w:rPr>
        <w:fldChar w:fldCharType="begin"/>
      </w:r>
      <w:r w:rsidRPr="00056D1A">
        <w:rPr>
          <w:rFonts w:ascii="Times New Roman" w:hAnsi="Times New Roman" w:cs="Times New Roman"/>
          <w:b/>
          <w:color w:val="auto"/>
          <w:sz w:val="20"/>
        </w:rPr>
        <w:instrText xml:space="preserve"> SEQ Tabla \* ARABIC </w:instrText>
      </w:r>
      <w:r w:rsidRPr="00056D1A">
        <w:rPr>
          <w:rFonts w:ascii="Times New Roman" w:hAnsi="Times New Roman" w:cs="Times New Roman"/>
          <w:b/>
          <w:color w:val="auto"/>
          <w:sz w:val="20"/>
        </w:rPr>
        <w:fldChar w:fldCharType="separate"/>
      </w:r>
      <w:r w:rsidR="009E18F8">
        <w:rPr>
          <w:rFonts w:ascii="Times New Roman" w:hAnsi="Times New Roman" w:cs="Times New Roman"/>
          <w:b/>
          <w:noProof/>
          <w:color w:val="auto"/>
          <w:sz w:val="20"/>
        </w:rPr>
        <w:t>7</w:t>
      </w:r>
      <w:r w:rsidRPr="00056D1A">
        <w:rPr>
          <w:rFonts w:ascii="Times New Roman" w:hAnsi="Times New Roman" w:cs="Times New Roman"/>
          <w:b/>
          <w:color w:val="auto"/>
          <w:sz w:val="20"/>
        </w:rPr>
        <w:fldChar w:fldCharType="end"/>
      </w:r>
      <w:r w:rsidRPr="00056D1A">
        <w:rPr>
          <w:rFonts w:ascii="Times New Roman" w:hAnsi="Times New Roman" w:cs="Times New Roman"/>
          <w:b/>
          <w:color w:val="auto"/>
          <w:sz w:val="20"/>
        </w:rPr>
        <w:t xml:space="preserve"> </w:t>
      </w:r>
      <w:r w:rsidRPr="00056D1A">
        <w:rPr>
          <w:rFonts w:ascii="Times New Roman" w:hAnsi="Times New Roman" w:cs="Times New Roman"/>
          <w:b/>
          <w:iCs w:val="0"/>
          <w:color w:val="auto"/>
          <w:sz w:val="20"/>
        </w:rPr>
        <w:t>Estructura y crecimiento de las Exportaciones FOB según comercio exterior</w:t>
      </w:r>
      <w:bookmarkEnd w:id="142"/>
    </w:p>
    <w:p w14:paraId="1A3788B9" w14:textId="77777777" w:rsidR="005135D3" w:rsidRDefault="005135D3" w:rsidP="005135D3">
      <w:pPr>
        <w:spacing w:after="0" w:line="240" w:lineRule="auto"/>
        <w:jc w:val="both"/>
        <w:rPr>
          <w:rFonts w:ascii="Times New Roman" w:hAnsi="Times New Roman"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6"/>
      </w:tblGrid>
      <w:tr w:rsidR="00322670" w14:paraId="056194F1" w14:textId="77777777" w:rsidTr="00DE1FBB">
        <w:tc>
          <w:tcPr>
            <w:tcW w:w="8838" w:type="dxa"/>
          </w:tcPr>
          <w:p w14:paraId="5F84D162" w14:textId="77777777" w:rsidR="00322670" w:rsidRDefault="00322670" w:rsidP="00DE1FBB">
            <w:pPr>
              <w:jc w:val="both"/>
              <w:rPr>
                <w:rFonts w:ascii="Times New Roman" w:hAnsi="Times New Roman" w:cs="Times New Roman"/>
                <w:noProof/>
              </w:rPr>
            </w:pPr>
            <w:r w:rsidRPr="00DF1EAB">
              <w:rPr>
                <w:noProof/>
                <w:lang w:val="es-ES" w:eastAsia="es-ES"/>
              </w:rPr>
              <w:drawing>
                <wp:inline distT="0" distB="0" distL="0" distR="0" wp14:anchorId="5EDDF77B" wp14:editId="6C0F908B">
                  <wp:extent cx="5543550" cy="413893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3550" cy="4138930"/>
                          </a:xfrm>
                          <a:prstGeom prst="rect">
                            <a:avLst/>
                          </a:prstGeom>
                          <a:noFill/>
                          <a:ln>
                            <a:noFill/>
                          </a:ln>
                        </pic:spPr>
                      </pic:pic>
                    </a:graphicData>
                  </a:graphic>
                </wp:inline>
              </w:drawing>
            </w:r>
          </w:p>
        </w:tc>
      </w:tr>
      <w:tr w:rsidR="00322670" w14:paraId="3F135655" w14:textId="77777777" w:rsidTr="00DE1FBB">
        <w:tc>
          <w:tcPr>
            <w:tcW w:w="8838" w:type="dxa"/>
          </w:tcPr>
          <w:p w14:paraId="0B9B8A17" w14:textId="77777777" w:rsidR="00322670" w:rsidRDefault="00322670" w:rsidP="00DE1FBB">
            <w:pPr>
              <w:jc w:val="both"/>
              <w:rPr>
                <w:rFonts w:ascii="Times New Roman" w:hAnsi="Times New Roman" w:cs="Times New Roman"/>
                <w:noProof/>
                <w:sz w:val="16"/>
                <w:szCs w:val="16"/>
              </w:rPr>
            </w:pPr>
            <w:r w:rsidRPr="00DF1EAB">
              <w:rPr>
                <w:rFonts w:ascii="Times New Roman" w:hAnsi="Times New Roman" w:cs="Times New Roman"/>
                <w:noProof/>
                <w:sz w:val="16"/>
                <w:szCs w:val="16"/>
              </w:rPr>
              <w:t xml:space="preserve">Fuente: Dirección </w:t>
            </w:r>
            <w:r>
              <w:rPr>
                <w:rFonts w:ascii="Times New Roman" w:hAnsi="Times New Roman" w:cs="Times New Roman"/>
                <w:noProof/>
                <w:sz w:val="16"/>
                <w:szCs w:val="16"/>
              </w:rPr>
              <w:t>de</w:t>
            </w:r>
            <w:r w:rsidRPr="00DF1EAB">
              <w:rPr>
                <w:rFonts w:ascii="Times New Roman" w:hAnsi="Times New Roman" w:cs="Times New Roman"/>
                <w:noProof/>
                <w:sz w:val="16"/>
                <w:szCs w:val="16"/>
              </w:rPr>
              <w:t xml:space="preserve"> Análisis </w:t>
            </w:r>
            <w:r>
              <w:rPr>
                <w:rFonts w:ascii="Times New Roman" w:hAnsi="Times New Roman" w:cs="Times New Roman"/>
                <w:noProof/>
                <w:sz w:val="16"/>
                <w:szCs w:val="16"/>
              </w:rPr>
              <w:t xml:space="preserve">y Política </w:t>
            </w:r>
            <w:r w:rsidRPr="00DF1EAB">
              <w:rPr>
                <w:rFonts w:ascii="Times New Roman" w:hAnsi="Times New Roman" w:cs="Times New Roman"/>
                <w:noProof/>
                <w:sz w:val="16"/>
                <w:szCs w:val="16"/>
              </w:rPr>
              <w:t xml:space="preserve">Fiscal con información de </w:t>
            </w:r>
            <w:r>
              <w:rPr>
                <w:rFonts w:ascii="Times New Roman" w:hAnsi="Times New Roman" w:cs="Times New Roman"/>
                <w:noProof/>
                <w:sz w:val="16"/>
                <w:szCs w:val="16"/>
              </w:rPr>
              <w:t>BANGUAT.</w:t>
            </w:r>
          </w:p>
          <w:p w14:paraId="352EE0FA" w14:textId="7634A36D" w:rsidR="00B51812" w:rsidRDefault="00B51812" w:rsidP="00DE1FBB">
            <w:pPr>
              <w:jc w:val="both"/>
              <w:rPr>
                <w:rFonts w:ascii="Times New Roman" w:hAnsi="Times New Roman" w:cs="Times New Roman"/>
                <w:noProof/>
                <w:sz w:val="16"/>
                <w:szCs w:val="16"/>
              </w:rPr>
            </w:pPr>
            <w:r>
              <w:rPr>
                <w:rFonts w:ascii="Times New Roman" w:hAnsi="Times New Roman" w:cs="Times New Roman"/>
                <w:noProof/>
                <w:sz w:val="16"/>
                <w:szCs w:val="16"/>
              </w:rPr>
              <w:t>Nota: La escala es de color rojo, blanco y azul, hacer referencia de los valores más bajos a los más altos.</w:t>
            </w:r>
          </w:p>
          <w:p w14:paraId="690D5218" w14:textId="4EAF4675" w:rsidR="00322670" w:rsidRPr="00DF1EAB" w:rsidRDefault="00322670" w:rsidP="00DE1FBB">
            <w:pPr>
              <w:jc w:val="both"/>
              <w:rPr>
                <w:rFonts w:ascii="Times New Roman" w:hAnsi="Times New Roman" w:cs="Times New Roman"/>
                <w:noProof/>
                <w:sz w:val="16"/>
                <w:szCs w:val="16"/>
              </w:rPr>
            </w:pPr>
            <w:r>
              <w:rPr>
                <w:rFonts w:ascii="Times New Roman" w:hAnsi="Times New Roman" w:cs="Times New Roman"/>
                <w:noProof/>
                <w:sz w:val="16"/>
                <w:szCs w:val="16"/>
              </w:rPr>
              <w:t>p: preliminar.</w:t>
            </w:r>
          </w:p>
        </w:tc>
      </w:tr>
    </w:tbl>
    <w:p w14:paraId="63E3DF22" w14:textId="77777777" w:rsidR="00322670" w:rsidRDefault="00322670" w:rsidP="005135D3">
      <w:pPr>
        <w:spacing w:after="0" w:line="240" w:lineRule="auto"/>
        <w:jc w:val="both"/>
        <w:rPr>
          <w:rFonts w:ascii="Times New Roman" w:hAnsi="Times New Roman" w:cs="Times New Roman"/>
        </w:rPr>
      </w:pPr>
    </w:p>
    <w:p w14:paraId="37F3F68A" w14:textId="77777777" w:rsidR="00322670" w:rsidRDefault="00322670" w:rsidP="005135D3">
      <w:pPr>
        <w:spacing w:after="0" w:line="240" w:lineRule="auto"/>
        <w:jc w:val="both"/>
        <w:rPr>
          <w:rFonts w:ascii="Times New Roman" w:hAnsi="Times New Roman" w:cs="Times New Roman"/>
        </w:rPr>
      </w:pPr>
      <w:r>
        <w:rPr>
          <w:rFonts w:ascii="Times New Roman" w:hAnsi="Times New Roman" w:cs="Times New Roman"/>
        </w:rPr>
        <w:t>De la misma forma el cardamomo tuvo la mayor contribución al crecimiento de las exportaciones FOB en 2020 ubicándose en 4.4%, dado que su estructura porcentual aumentó a 9.9% y su crecimiento fue de 75.4% con respecto al 2019. Otros productos que mostraron un crecimiento significativo a pesar de la pandemia fueron el hierro y acero de 20.9%, las grasas y aceites comestibles de 19.5%, preparados a base de cereales 18.6%, los productos farmacéuticos de 12.2%, los materiales plásticos y su manufactura de 8.5%, entre otros productos. Los productos que tuvieron una disminución significativa en 2020 fue la Azúcar de 17.0%, las bebidas líquidos alcohólicos y vinagres de 14.3%, los artículos de vestuario de 13.2%, los materiales textiles de 4.4%, entre otros productos. El principal destino de las exportaciones FOB en 2020 fue EE.UU. (32.2%), dichas exportaciones disminuyeron 3.5% con respecto al 2019. De la misma forma las exportaciones a México y Canadá disminuyeron 16.6% y 11.1% respectivamente en 2020. Por otro lado, las exportaciones aumentaron hacia Países Bajos (15.6%), China (26.3%), Japón (33.5%), entre otros países (16.3%).</w:t>
      </w:r>
    </w:p>
    <w:p w14:paraId="2545E826" w14:textId="77777777" w:rsidR="005135D3" w:rsidRDefault="005135D3" w:rsidP="005135D3">
      <w:pPr>
        <w:spacing w:after="0" w:line="240" w:lineRule="auto"/>
        <w:jc w:val="both"/>
        <w:rPr>
          <w:rFonts w:ascii="Times New Roman" w:hAnsi="Times New Roman" w:cs="Times New Roman"/>
        </w:rPr>
      </w:pPr>
    </w:p>
    <w:p w14:paraId="05E7AF62" w14:textId="26EADDC4" w:rsidR="00322670" w:rsidRDefault="00322670" w:rsidP="005135D3">
      <w:pPr>
        <w:spacing w:after="0" w:line="240" w:lineRule="auto"/>
        <w:jc w:val="both"/>
        <w:rPr>
          <w:rFonts w:ascii="Times New Roman" w:hAnsi="Times New Roman" w:cs="Times New Roman"/>
        </w:rPr>
      </w:pPr>
      <w:r>
        <w:rPr>
          <w:rFonts w:ascii="Times New Roman" w:hAnsi="Times New Roman" w:cs="Times New Roman"/>
        </w:rPr>
        <w:t>Las importaciones CIF según comercio exterior fueron de US$19,881.7 millones en 2019 y US$18,206.5 millones en 2020. La tasa de crecimiento fue de 1.1% y -8.4% para 2019 y 2020 respectivamente. En 2019 lo productos que tuvieron un aumento en su tasa de crecimiento fueron los aparatos transmisores y receptores de 13.9%, leche y otros productos lácteos de 7.6%, máquinas y aparatos mecánicos para usos electrotécnicos de 3.3%, entre otros productos. Por otro lado, las manufacturas de papel y cartón tuvieron una contracción de 9.0%, los materiales plásticos y sus manufacturas de 4.6%, los productos diver</w:t>
      </w:r>
      <w:r w:rsidR="005135D3">
        <w:rPr>
          <w:rFonts w:ascii="Times New Roman" w:hAnsi="Times New Roman" w:cs="Times New Roman"/>
        </w:rPr>
        <w:t>sos de la industria química 4.3</w:t>
      </w:r>
      <w:r>
        <w:rPr>
          <w:rFonts w:ascii="Times New Roman" w:hAnsi="Times New Roman" w:cs="Times New Roman"/>
        </w:rPr>
        <w:t>%, los materiales textiles 3.7%, entre otros. Los principales países vendedores en 2019 fueron EE.UU. (37.0%), Centroamérica (15.2%), México (11.0%), C</w:t>
      </w:r>
      <w:r w:rsidR="00ED116C">
        <w:rPr>
          <w:rFonts w:ascii="Times New Roman" w:hAnsi="Times New Roman" w:cs="Times New Roman"/>
        </w:rPr>
        <w:t>hina (11.2%) y Colombia (3.0%).</w:t>
      </w:r>
    </w:p>
    <w:p w14:paraId="243FF136" w14:textId="77777777" w:rsidR="001101B9" w:rsidRDefault="001101B9" w:rsidP="001101B9">
      <w:pPr>
        <w:spacing w:after="0" w:line="240" w:lineRule="auto"/>
        <w:jc w:val="both"/>
        <w:rPr>
          <w:rFonts w:ascii="Times New Roman" w:hAnsi="Times New Roman" w:cs="Times New Roman"/>
        </w:rPr>
      </w:pPr>
    </w:p>
    <w:p w14:paraId="44155758" w14:textId="270FA0EB" w:rsidR="000971C3" w:rsidRPr="00056D1A" w:rsidRDefault="000971C3" w:rsidP="00056D1A">
      <w:pPr>
        <w:pStyle w:val="Epgrafe"/>
        <w:keepNext/>
        <w:framePr w:hSpace="141" w:wrap="around" w:vAnchor="text" w:hAnchor="margin" w:y="74"/>
        <w:spacing w:after="0"/>
        <w:jc w:val="center"/>
        <w:rPr>
          <w:rFonts w:ascii="Times New Roman" w:hAnsi="Times New Roman" w:cs="Times New Roman"/>
          <w:b/>
          <w:sz w:val="20"/>
        </w:rPr>
      </w:pPr>
      <w:bookmarkStart w:id="143" w:name="_Toc81573030"/>
      <w:r w:rsidRPr="00056D1A">
        <w:rPr>
          <w:rFonts w:ascii="Times New Roman" w:hAnsi="Times New Roman" w:cs="Times New Roman"/>
          <w:b/>
          <w:color w:val="auto"/>
          <w:sz w:val="20"/>
        </w:rPr>
        <w:t xml:space="preserve">Tabla </w:t>
      </w:r>
      <w:r w:rsidRPr="00056D1A">
        <w:rPr>
          <w:rFonts w:ascii="Times New Roman" w:hAnsi="Times New Roman" w:cs="Times New Roman"/>
          <w:b/>
          <w:color w:val="auto"/>
          <w:sz w:val="20"/>
        </w:rPr>
        <w:fldChar w:fldCharType="begin"/>
      </w:r>
      <w:r w:rsidRPr="00056D1A">
        <w:rPr>
          <w:rFonts w:ascii="Times New Roman" w:hAnsi="Times New Roman" w:cs="Times New Roman"/>
          <w:b/>
          <w:color w:val="auto"/>
          <w:sz w:val="20"/>
        </w:rPr>
        <w:instrText xml:space="preserve"> SEQ Tabla \* ARABIC </w:instrText>
      </w:r>
      <w:r w:rsidRPr="00056D1A">
        <w:rPr>
          <w:rFonts w:ascii="Times New Roman" w:hAnsi="Times New Roman" w:cs="Times New Roman"/>
          <w:b/>
          <w:color w:val="auto"/>
          <w:sz w:val="20"/>
        </w:rPr>
        <w:fldChar w:fldCharType="separate"/>
      </w:r>
      <w:r w:rsidR="009E18F8">
        <w:rPr>
          <w:rFonts w:ascii="Times New Roman" w:hAnsi="Times New Roman" w:cs="Times New Roman"/>
          <w:b/>
          <w:noProof/>
          <w:color w:val="auto"/>
          <w:sz w:val="20"/>
        </w:rPr>
        <w:t>8</w:t>
      </w:r>
      <w:r w:rsidRPr="00056D1A">
        <w:rPr>
          <w:rFonts w:ascii="Times New Roman" w:hAnsi="Times New Roman" w:cs="Times New Roman"/>
          <w:b/>
          <w:color w:val="auto"/>
          <w:sz w:val="20"/>
        </w:rPr>
        <w:fldChar w:fldCharType="end"/>
      </w:r>
      <w:r w:rsidR="00894DDD" w:rsidRPr="00056D1A">
        <w:rPr>
          <w:rFonts w:ascii="Times New Roman" w:hAnsi="Times New Roman" w:cs="Times New Roman"/>
          <w:b/>
          <w:color w:val="auto"/>
          <w:sz w:val="20"/>
        </w:rPr>
        <w:t xml:space="preserve"> </w:t>
      </w:r>
      <w:r w:rsidR="00894DDD" w:rsidRPr="00056D1A">
        <w:rPr>
          <w:rFonts w:ascii="Times New Roman" w:hAnsi="Times New Roman" w:cs="Times New Roman"/>
          <w:b/>
          <w:noProof/>
          <w:color w:val="auto"/>
          <w:sz w:val="20"/>
        </w:rPr>
        <w:t xml:space="preserve">Estructura y </w:t>
      </w:r>
      <w:r w:rsidR="00894DDD" w:rsidRPr="00056D1A">
        <w:rPr>
          <w:rFonts w:ascii="Times New Roman" w:hAnsi="Times New Roman" w:cs="Times New Roman"/>
          <w:b/>
          <w:iCs w:val="0"/>
          <w:color w:val="auto"/>
          <w:sz w:val="20"/>
        </w:rPr>
        <w:t>crecimiento</w:t>
      </w:r>
      <w:r w:rsidR="00894DDD" w:rsidRPr="00056D1A">
        <w:rPr>
          <w:rFonts w:ascii="Times New Roman" w:hAnsi="Times New Roman" w:cs="Times New Roman"/>
          <w:b/>
          <w:noProof/>
          <w:color w:val="auto"/>
          <w:sz w:val="20"/>
        </w:rPr>
        <w:t xml:space="preserve"> de las Importaciones CIF según comercio exterior</w:t>
      </w:r>
      <w:bookmarkEnd w:id="143"/>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322670" w14:paraId="6FC84CCF" w14:textId="77777777" w:rsidTr="00DE1FBB">
        <w:tc>
          <w:tcPr>
            <w:tcW w:w="8828" w:type="dxa"/>
          </w:tcPr>
          <w:p w14:paraId="01C4A3B0" w14:textId="77777777" w:rsidR="00322670" w:rsidRDefault="00322670" w:rsidP="00056D1A">
            <w:pPr>
              <w:pStyle w:val="Epgrafe"/>
              <w:framePr w:hSpace="141" w:wrap="around" w:vAnchor="text" w:hAnchor="margin" w:y="74"/>
              <w:spacing w:after="0"/>
              <w:rPr>
                <w:rFonts w:ascii="Times New Roman" w:hAnsi="Times New Roman" w:cs="Times New Roman"/>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6"/>
      </w:tblGrid>
      <w:tr w:rsidR="00322670" w14:paraId="58EA8FAE" w14:textId="77777777" w:rsidTr="00DE1FBB">
        <w:tc>
          <w:tcPr>
            <w:tcW w:w="8828" w:type="dxa"/>
          </w:tcPr>
          <w:p w14:paraId="7237920A" w14:textId="77777777" w:rsidR="00322670" w:rsidRDefault="00322670" w:rsidP="00DE1FBB">
            <w:pPr>
              <w:jc w:val="both"/>
              <w:rPr>
                <w:rFonts w:ascii="Times New Roman" w:hAnsi="Times New Roman" w:cs="Times New Roman"/>
              </w:rPr>
            </w:pPr>
            <w:r w:rsidRPr="00DF1EAB">
              <w:rPr>
                <w:rFonts w:ascii="Times New Roman" w:hAnsi="Times New Roman" w:cs="Times New Roman"/>
                <w:noProof/>
                <w:lang w:val="es-ES" w:eastAsia="es-ES"/>
              </w:rPr>
              <w:drawing>
                <wp:inline distT="0" distB="0" distL="0" distR="0" wp14:anchorId="3EFB1B69" wp14:editId="2C290F6C">
                  <wp:extent cx="5556250" cy="4240530"/>
                  <wp:effectExtent l="0" t="0" r="635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6250" cy="4240530"/>
                          </a:xfrm>
                          <a:prstGeom prst="rect">
                            <a:avLst/>
                          </a:prstGeom>
                          <a:noFill/>
                          <a:ln>
                            <a:noFill/>
                          </a:ln>
                        </pic:spPr>
                      </pic:pic>
                    </a:graphicData>
                  </a:graphic>
                </wp:inline>
              </w:drawing>
            </w:r>
          </w:p>
        </w:tc>
      </w:tr>
      <w:tr w:rsidR="00322670" w14:paraId="6159F67C" w14:textId="77777777" w:rsidTr="00DE1FBB">
        <w:tc>
          <w:tcPr>
            <w:tcW w:w="8828" w:type="dxa"/>
          </w:tcPr>
          <w:p w14:paraId="3996DE67" w14:textId="77777777" w:rsidR="00322670" w:rsidRPr="00DF1EAB" w:rsidRDefault="00322670" w:rsidP="00DE1FBB">
            <w:pPr>
              <w:jc w:val="both"/>
              <w:rPr>
                <w:rFonts w:ascii="Times New Roman" w:hAnsi="Times New Roman" w:cs="Times New Roman"/>
                <w:sz w:val="16"/>
                <w:szCs w:val="16"/>
              </w:rPr>
            </w:pPr>
            <w:r w:rsidRPr="00DF1EAB">
              <w:rPr>
                <w:rFonts w:ascii="Times New Roman" w:hAnsi="Times New Roman" w:cs="Times New Roman"/>
                <w:sz w:val="16"/>
                <w:szCs w:val="16"/>
              </w:rPr>
              <w:t xml:space="preserve">Fuente: Dirección de Análisis y Política Fiscal según información de </w:t>
            </w:r>
            <w:r>
              <w:rPr>
                <w:rFonts w:ascii="Times New Roman" w:hAnsi="Times New Roman" w:cs="Times New Roman"/>
                <w:sz w:val="16"/>
                <w:szCs w:val="16"/>
              </w:rPr>
              <w:t>BANGUAT.</w:t>
            </w:r>
          </w:p>
          <w:p w14:paraId="0BFA58D3" w14:textId="086CE606" w:rsidR="00B51812" w:rsidRDefault="00B51812" w:rsidP="00B51812">
            <w:pPr>
              <w:jc w:val="both"/>
              <w:rPr>
                <w:rFonts w:ascii="Times New Roman" w:hAnsi="Times New Roman" w:cs="Times New Roman"/>
                <w:noProof/>
                <w:sz w:val="16"/>
                <w:szCs w:val="16"/>
              </w:rPr>
            </w:pPr>
            <w:r>
              <w:rPr>
                <w:rFonts w:ascii="Times New Roman" w:hAnsi="Times New Roman" w:cs="Times New Roman"/>
                <w:noProof/>
                <w:sz w:val="16"/>
                <w:szCs w:val="16"/>
              </w:rPr>
              <w:t>Nota: La escala es de color rojo, blanco y azul, hace referencia de los valores más bajos a los más altos.</w:t>
            </w:r>
          </w:p>
          <w:p w14:paraId="6BDEE73D" w14:textId="3094B69E" w:rsidR="00322670" w:rsidRDefault="00322670" w:rsidP="00DE1FBB">
            <w:pPr>
              <w:jc w:val="both"/>
              <w:rPr>
                <w:rFonts w:ascii="Times New Roman" w:hAnsi="Times New Roman" w:cs="Times New Roman"/>
              </w:rPr>
            </w:pPr>
            <w:r w:rsidRPr="00DF1EAB">
              <w:rPr>
                <w:rFonts w:ascii="Times New Roman" w:hAnsi="Times New Roman" w:cs="Times New Roman"/>
                <w:sz w:val="16"/>
                <w:szCs w:val="16"/>
              </w:rPr>
              <w:t>p: Preliminar</w:t>
            </w:r>
          </w:p>
        </w:tc>
      </w:tr>
    </w:tbl>
    <w:p w14:paraId="5351DF78" w14:textId="77777777" w:rsidR="00322670" w:rsidRPr="00373A5D" w:rsidRDefault="00322670" w:rsidP="005135D3">
      <w:pPr>
        <w:spacing w:after="0" w:line="240" w:lineRule="auto"/>
        <w:jc w:val="both"/>
        <w:rPr>
          <w:rFonts w:ascii="Times New Roman" w:hAnsi="Times New Roman" w:cs="Times New Roman"/>
        </w:rPr>
      </w:pPr>
    </w:p>
    <w:p w14:paraId="06F6D211" w14:textId="77777777" w:rsidR="00322670" w:rsidRDefault="00322670" w:rsidP="005135D3">
      <w:pPr>
        <w:spacing w:after="0" w:line="240" w:lineRule="auto"/>
        <w:jc w:val="both"/>
        <w:rPr>
          <w:rFonts w:ascii="Times New Roman" w:hAnsi="Times New Roman" w:cs="Times New Roman"/>
        </w:rPr>
      </w:pPr>
      <w:r>
        <w:rPr>
          <w:rFonts w:ascii="Times New Roman" w:hAnsi="Times New Roman" w:cs="Times New Roman"/>
        </w:rPr>
        <w:t>En 2020 la caída de la demanda externa de petróleo y la falta de acuerdos en los principales países productores del mismo contribuyeron a que su precio se redujera considerablemente. Dados los factores externos mencionados e incluyendo la disminución de la demanda interna de combustibles derivado de las restricciones nacionales por la pandemia se tradujeron en una fuerte disminución en la importación de gasolina y diésel de 32.4% y 37.3% respectivamente. Otras distorsiones en la demanda interna como lo fueron los cambios en los patrones de consumo e inversión y la disminución renta disponible de los hogares afectaron a otros productos de importación que registraron tasas de variación negativas, entre los cuales se encuentran los materiales textiles de 17.9%, la</w:t>
      </w:r>
      <w:r w:rsidR="00F1645D">
        <w:rPr>
          <w:rFonts w:ascii="Times New Roman" w:hAnsi="Times New Roman" w:cs="Times New Roman"/>
        </w:rPr>
        <w:t>s</w:t>
      </w:r>
      <w:r>
        <w:rPr>
          <w:rFonts w:ascii="Times New Roman" w:hAnsi="Times New Roman" w:cs="Times New Roman"/>
        </w:rPr>
        <w:t xml:space="preserve"> manufacturas de papel y cartón de 17.2%, los vehículos y material de transporte 14.7%, papel y cartón de 8.0%, los aparatos transmisores y receptores de 4.9%, entre otros productos. Entre los pocos productos que tuvieron un aumento en el crecimiento se encuentran las manufacturas diversas de 21.8%, los productos diversos de la industria química de 8.2%, los productos farmacéuticos de 4.1% y la leche y otros productos lácteos de 2.4%.</w:t>
      </w:r>
    </w:p>
    <w:p w14:paraId="45E596FD" w14:textId="77777777" w:rsidR="001101B9" w:rsidRDefault="001101B9" w:rsidP="005135D3">
      <w:pPr>
        <w:spacing w:after="0" w:line="240" w:lineRule="auto"/>
        <w:jc w:val="both"/>
        <w:rPr>
          <w:rFonts w:ascii="Times New Roman" w:hAnsi="Times New Roman" w:cs="Times New Roman"/>
        </w:rPr>
      </w:pPr>
    </w:p>
    <w:p w14:paraId="13DE4653" w14:textId="77777777" w:rsidR="00322670" w:rsidRDefault="00322670" w:rsidP="005135D3">
      <w:pPr>
        <w:spacing w:after="0" w:line="240" w:lineRule="auto"/>
        <w:jc w:val="both"/>
        <w:rPr>
          <w:rFonts w:ascii="Times New Roman" w:hAnsi="Times New Roman" w:cs="Times New Roman"/>
        </w:rPr>
      </w:pPr>
      <w:r w:rsidRPr="00B244AA">
        <w:rPr>
          <w:rFonts w:ascii="Times New Roman" w:hAnsi="Times New Roman" w:cs="Times New Roman"/>
        </w:rPr>
        <w:t>E</w:t>
      </w:r>
      <w:r>
        <w:rPr>
          <w:rFonts w:ascii="Times New Roman" w:hAnsi="Times New Roman" w:cs="Times New Roman"/>
        </w:rPr>
        <w:t>l principal socio comercial de Guatemala en las importaciones también es EE. UU, su participación en las importaciones CIF totales fue de 37.0% y 34.5% para 2019 y 2020 respectivamente. Asimismo, las importaciones de EE.UU. tuvieron una contracción en 2019 y 2020 de 1.4% y 14.7% respectivamente. Por otro lado, las importaciones también disminuyeron en 2020 con Centroamérica (3.5%), México (3.1%), Corea del Sur (11.0%), Colombia (30.3%), Japón (18.3%) y otros países (4.5%). Entre los pocos países con los que se tuvo una mejora en el crecimiento de las importaciones en 2020 se encuentra China (1.1%) e India (1.2%).</w:t>
      </w:r>
    </w:p>
    <w:p w14:paraId="513C8C88" w14:textId="77777777" w:rsidR="001101B9" w:rsidRDefault="001101B9" w:rsidP="001101B9">
      <w:pPr>
        <w:spacing w:after="0" w:line="240" w:lineRule="auto"/>
        <w:jc w:val="both"/>
        <w:rPr>
          <w:rFonts w:ascii="Times New Roman" w:hAnsi="Times New Roman" w:cs="Times New Roman"/>
        </w:rPr>
      </w:pPr>
    </w:p>
    <w:p w14:paraId="1AE827F5" w14:textId="77777777" w:rsidR="00322670" w:rsidRDefault="00322670" w:rsidP="001101B9">
      <w:pPr>
        <w:spacing w:after="0" w:line="240" w:lineRule="auto"/>
        <w:jc w:val="both"/>
        <w:rPr>
          <w:rFonts w:ascii="Times New Roman" w:hAnsi="Times New Roman" w:cs="Times New Roman"/>
        </w:rPr>
      </w:pPr>
      <w:r>
        <w:rPr>
          <w:rFonts w:ascii="Times New Roman" w:hAnsi="Times New Roman" w:cs="Times New Roman"/>
        </w:rPr>
        <w:t>Del total de exportaciones en 2019 y 2020 los servicios representaron 27.1% y 19.9% respectivamente. En los mismos años las exportaciones de servicios disminuyeron 0.7% en 2019 y 29.3% en 2020. En 2019 la principal razón de dicha disminución fue el rubro de otros servicios empresariales, el cual disminuyó 14.6% con respecto al 2018. De las exportaciones de servicios en 2020 los principales rubros que fueron afectados en su tasa de crecimiento por los efectos negativos de la pandemia fueron los servicios de viajes (-75.7%), los servicios de manufactura sobre insumos (-22.0%), los servicios de transporte (-18.1%), los servicios de telecomunicaciones, informática e información (-6.8%), entre otros servicios poco representativos según la estructura porcentual. Por otro lado, hubo servicios en 2020 que aumentaron su tasa de crecimiento como lo fueron los otros servicios empresariales (34.9%), los servicios financieros (1.0%) y los servicios de seguros y pensiones (11.6%).</w:t>
      </w:r>
    </w:p>
    <w:p w14:paraId="5751A0B8" w14:textId="77777777" w:rsidR="00155114" w:rsidRDefault="00155114" w:rsidP="001101B9">
      <w:pPr>
        <w:spacing w:after="0" w:line="240" w:lineRule="auto"/>
        <w:jc w:val="both"/>
        <w:rPr>
          <w:rFonts w:ascii="Times New Roman" w:hAnsi="Times New Roman" w:cs="Times New Roman"/>
        </w:rPr>
      </w:pPr>
    </w:p>
    <w:p w14:paraId="718F8DF4" w14:textId="6914B84E" w:rsidR="00056D1A" w:rsidRPr="00056D1A" w:rsidRDefault="00056D1A" w:rsidP="00155114">
      <w:pPr>
        <w:spacing w:after="0" w:line="240" w:lineRule="auto"/>
        <w:jc w:val="center"/>
        <w:rPr>
          <w:rFonts w:ascii="Times New Roman" w:hAnsi="Times New Roman" w:cs="Times New Roman"/>
          <w:b/>
          <w:bCs/>
          <w:sz w:val="20"/>
        </w:rPr>
      </w:pPr>
      <w:bookmarkStart w:id="144" w:name="_Toc81573062"/>
      <w:r w:rsidRPr="00056D1A">
        <w:rPr>
          <w:rFonts w:ascii="Times New Roman" w:hAnsi="Times New Roman" w:cs="Times New Roman"/>
          <w:b/>
          <w:i/>
          <w:sz w:val="20"/>
        </w:rPr>
        <w:t xml:space="preserve">Gráfico </w:t>
      </w:r>
      <w:r w:rsidRPr="00056D1A">
        <w:rPr>
          <w:rFonts w:ascii="Times New Roman" w:hAnsi="Times New Roman" w:cs="Times New Roman"/>
          <w:b/>
          <w:i/>
          <w:sz w:val="20"/>
        </w:rPr>
        <w:fldChar w:fldCharType="begin"/>
      </w:r>
      <w:r w:rsidRPr="00056D1A">
        <w:rPr>
          <w:rFonts w:ascii="Times New Roman" w:hAnsi="Times New Roman" w:cs="Times New Roman"/>
          <w:b/>
          <w:i/>
          <w:sz w:val="20"/>
        </w:rPr>
        <w:instrText xml:space="preserve"> SEQ Gráfico \* ARABIC </w:instrText>
      </w:r>
      <w:r w:rsidRPr="00056D1A">
        <w:rPr>
          <w:rFonts w:ascii="Times New Roman" w:hAnsi="Times New Roman" w:cs="Times New Roman"/>
          <w:b/>
          <w:i/>
          <w:sz w:val="20"/>
        </w:rPr>
        <w:fldChar w:fldCharType="separate"/>
      </w:r>
      <w:r w:rsidR="00D6529D">
        <w:rPr>
          <w:rFonts w:ascii="Times New Roman" w:hAnsi="Times New Roman" w:cs="Times New Roman"/>
          <w:b/>
          <w:i/>
          <w:noProof/>
          <w:sz w:val="20"/>
        </w:rPr>
        <w:t>12</w:t>
      </w:r>
      <w:r w:rsidRPr="00056D1A">
        <w:rPr>
          <w:rFonts w:ascii="Times New Roman" w:hAnsi="Times New Roman" w:cs="Times New Roman"/>
          <w:b/>
          <w:i/>
          <w:sz w:val="20"/>
        </w:rPr>
        <w:fldChar w:fldCharType="end"/>
      </w:r>
      <w:r w:rsidRPr="00056D1A">
        <w:rPr>
          <w:rFonts w:ascii="Times New Roman" w:hAnsi="Times New Roman" w:cs="Times New Roman"/>
          <w:b/>
          <w:i/>
          <w:sz w:val="20"/>
        </w:rPr>
        <w:t xml:space="preserve"> </w:t>
      </w:r>
      <w:r w:rsidRPr="00056D1A">
        <w:rPr>
          <w:rFonts w:ascii="Times New Roman" w:hAnsi="Times New Roman" w:cs="Times New Roman"/>
          <w:b/>
          <w:sz w:val="20"/>
        </w:rPr>
        <w:t xml:space="preserve"> </w:t>
      </w:r>
      <w:r w:rsidRPr="00155114">
        <w:rPr>
          <w:rFonts w:ascii="Times New Roman" w:hAnsi="Times New Roman" w:cs="Times New Roman"/>
          <w:b/>
          <w:bCs/>
        </w:rPr>
        <w:t>Balanza de servicios de transporte y viajes en millones de dólares</w:t>
      </w:r>
      <w:bookmarkEnd w:id="144"/>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527"/>
      </w:tblGrid>
      <w:tr w:rsidR="00322670" w14:paraId="2EA53D7E" w14:textId="77777777" w:rsidTr="00DE1FBB">
        <w:tc>
          <w:tcPr>
            <w:tcW w:w="8838" w:type="dxa"/>
            <w:gridSpan w:val="2"/>
          </w:tcPr>
          <w:p w14:paraId="2B45C50D" w14:textId="77777777" w:rsidR="00322670" w:rsidRPr="00CA7BDF" w:rsidRDefault="00322670" w:rsidP="00056D1A">
            <w:pPr>
              <w:jc w:val="center"/>
              <w:rPr>
                <w:rFonts w:ascii="Times New Roman" w:hAnsi="Times New Roman" w:cs="Times New Roman"/>
                <w:b/>
                <w:bCs/>
                <w:sz w:val="10"/>
                <w:szCs w:val="10"/>
              </w:rPr>
            </w:pPr>
          </w:p>
        </w:tc>
      </w:tr>
      <w:tr w:rsidR="00322670" w14:paraId="4A9A78A1" w14:textId="77777777" w:rsidTr="00056D1A">
        <w:tc>
          <w:tcPr>
            <w:tcW w:w="4419" w:type="dxa"/>
          </w:tcPr>
          <w:p w14:paraId="1434E657" w14:textId="77777777" w:rsidR="00322670" w:rsidRPr="00CA7BDF" w:rsidRDefault="00322670" w:rsidP="00DE1FBB">
            <w:pPr>
              <w:jc w:val="center"/>
              <w:rPr>
                <w:rFonts w:ascii="Times New Roman" w:hAnsi="Times New Roman" w:cs="Times New Roman"/>
                <w:b/>
                <w:bCs/>
                <w:sz w:val="20"/>
                <w:szCs w:val="20"/>
              </w:rPr>
            </w:pPr>
            <w:r w:rsidRPr="00CA7BDF">
              <w:rPr>
                <w:rFonts w:ascii="Times New Roman" w:hAnsi="Times New Roman" w:cs="Times New Roman"/>
                <w:b/>
                <w:bCs/>
                <w:sz w:val="20"/>
                <w:szCs w:val="20"/>
              </w:rPr>
              <w:t>Servicio de transporte</w:t>
            </w:r>
          </w:p>
        </w:tc>
        <w:tc>
          <w:tcPr>
            <w:tcW w:w="4419" w:type="dxa"/>
          </w:tcPr>
          <w:p w14:paraId="4C7549BB" w14:textId="77777777" w:rsidR="00322670" w:rsidRPr="00CA7BDF" w:rsidRDefault="00322670" w:rsidP="00DE1FBB">
            <w:pPr>
              <w:jc w:val="center"/>
              <w:rPr>
                <w:rFonts w:ascii="Times New Roman" w:hAnsi="Times New Roman" w:cs="Times New Roman"/>
                <w:b/>
                <w:bCs/>
                <w:sz w:val="20"/>
                <w:szCs w:val="20"/>
              </w:rPr>
            </w:pPr>
            <w:r w:rsidRPr="00CA7BDF">
              <w:rPr>
                <w:rFonts w:ascii="Times New Roman" w:hAnsi="Times New Roman" w:cs="Times New Roman"/>
                <w:b/>
                <w:bCs/>
                <w:sz w:val="20"/>
                <w:szCs w:val="20"/>
              </w:rPr>
              <w:t>Servicio de viajes</w:t>
            </w:r>
          </w:p>
        </w:tc>
      </w:tr>
      <w:tr w:rsidR="00322670" w14:paraId="2B1CE934" w14:textId="77777777" w:rsidTr="00056D1A">
        <w:tblPrEx>
          <w:tblCellMar>
            <w:left w:w="70" w:type="dxa"/>
            <w:right w:w="70" w:type="dxa"/>
          </w:tblCellMar>
        </w:tblPrEx>
        <w:tc>
          <w:tcPr>
            <w:tcW w:w="4419" w:type="dxa"/>
          </w:tcPr>
          <w:p w14:paraId="23128F55" w14:textId="77777777" w:rsidR="00322670" w:rsidRDefault="00322670" w:rsidP="00DE1FBB">
            <w:r>
              <w:rPr>
                <w:noProof/>
                <w:lang w:val="es-ES" w:eastAsia="es-ES"/>
              </w:rPr>
              <w:drawing>
                <wp:inline distT="0" distB="0" distL="0" distR="0" wp14:anchorId="2FF4B043" wp14:editId="3E415D81">
                  <wp:extent cx="2889250" cy="1992701"/>
                  <wp:effectExtent l="0" t="0" r="6350" b="7620"/>
                  <wp:docPr id="41" name="Gráfico 4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16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419" w:type="dxa"/>
          </w:tcPr>
          <w:p w14:paraId="1A11775D" w14:textId="77777777" w:rsidR="00322670" w:rsidRDefault="00322670" w:rsidP="00DE1FBB">
            <w:r>
              <w:rPr>
                <w:noProof/>
                <w:lang w:val="es-ES" w:eastAsia="es-ES"/>
              </w:rPr>
              <w:drawing>
                <wp:inline distT="0" distB="0" distL="0" distR="0" wp14:anchorId="71038BA7" wp14:editId="6CACEB56">
                  <wp:extent cx="2896235" cy="1992630"/>
                  <wp:effectExtent l="0" t="0" r="0" b="7620"/>
                  <wp:docPr id="46" name="Gráfico 4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16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322670" w14:paraId="7220A883" w14:textId="77777777" w:rsidTr="00DE1FBB">
        <w:tc>
          <w:tcPr>
            <w:tcW w:w="8838" w:type="dxa"/>
            <w:gridSpan w:val="2"/>
          </w:tcPr>
          <w:p w14:paraId="0F2B2F22" w14:textId="77777777" w:rsidR="00322670" w:rsidRDefault="00322670" w:rsidP="00DE1FBB">
            <w:pPr>
              <w:rPr>
                <w:rFonts w:ascii="Times New Roman" w:hAnsi="Times New Roman" w:cs="Times New Roman"/>
                <w:sz w:val="16"/>
                <w:szCs w:val="16"/>
              </w:rPr>
            </w:pPr>
            <w:r w:rsidRPr="00895951">
              <w:rPr>
                <w:rFonts w:ascii="Times New Roman" w:hAnsi="Times New Roman" w:cs="Times New Roman"/>
                <w:sz w:val="16"/>
                <w:szCs w:val="16"/>
              </w:rPr>
              <w:t xml:space="preserve">Fuente: </w:t>
            </w:r>
            <w:r>
              <w:rPr>
                <w:rFonts w:ascii="Times New Roman" w:hAnsi="Times New Roman" w:cs="Times New Roman"/>
                <w:sz w:val="16"/>
                <w:szCs w:val="16"/>
              </w:rPr>
              <w:t>Dirección de Análisis y Política Fiscal</w:t>
            </w:r>
            <w:r w:rsidRPr="00895951">
              <w:rPr>
                <w:rFonts w:ascii="Times New Roman" w:hAnsi="Times New Roman" w:cs="Times New Roman"/>
                <w:sz w:val="16"/>
                <w:szCs w:val="16"/>
              </w:rPr>
              <w:t xml:space="preserve"> con información del </w:t>
            </w:r>
            <w:r>
              <w:rPr>
                <w:rFonts w:ascii="Times New Roman" w:hAnsi="Times New Roman" w:cs="Times New Roman"/>
                <w:sz w:val="16"/>
                <w:szCs w:val="16"/>
              </w:rPr>
              <w:t>BANGUAT.</w:t>
            </w:r>
          </w:p>
          <w:p w14:paraId="06BBEA85" w14:textId="77777777" w:rsidR="00322670" w:rsidRPr="00895951" w:rsidRDefault="00322670" w:rsidP="00DE1FBB">
            <w:pPr>
              <w:rPr>
                <w:rFonts w:ascii="Times New Roman" w:hAnsi="Times New Roman" w:cs="Times New Roman"/>
                <w:sz w:val="16"/>
                <w:szCs w:val="16"/>
              </w:rPr>
            </w:pPr>
            <w:r>
              <w:rPr>
                <w:rFonts w:ascii="Times New Roman" w:hAnsi="Times New Roman" w:cs="Times New Roman"/>
                <w:sz w:val="16"/>
                <w:szCs w:val="16"/>
              </w:rPr>
              <w:t>p: preliminar.</w:t>
            </w:r>
          </w:p>
        </w:tc>
      </w:tr>
    </w:tbl>
    <w:p w14:paraId="69ED8C45" w14:textId="77777777" w:rsidR="00322670" w:rsidRDefault="00322670" w:rsidP="001101B9">
      <w:pPr>
        <w:spacing w:after="0" w:line="240" w:lineRule="auto"/>
        <w:jc w:val="both"/>
        <w:rPr>
          <w:rFonts w:ascii="Times New Roman" w:hAnsi="Times New Roman" w:cs="Times New Roman"/>
        </w:rPr>
      </w:pPr>
    </w:p>
    <w:p w14:paraId="418DEAC4" w14:textId="67C6FA6E" w:rsidR="00BA1953" w:rsidRDefault="00322670" w:rsidP="001101B9">
      <w:pPr>
        <w:spacing w:after="0" w:line="240" w:lineRule="auto"/>
        <w:jc w:val="both"/>
        <w:rPr>
          <w:rFonts w:ascii="Times New Roman" w:hAnsi="Times New Roman" w:cs="Times New Roman"/>
        </w:rPr>
      </w:pPr>
      <w:r>
        <w:rPr>
          <w:rFonts w:ascii="Times New Roman" w:hAnsi="Times New Roman" w:cs="Times New Roman"/>
        </w:rPr>
        <w:t>Por el lado de las importaciones los servicios representaron una proporción menor que en las exportaciones, siendo estas 16.9% y 14.8% para 2019 y 2020 respectivamente. En el año 2019 los servicios registraron un crecimiento de 2.5% y en 2020 una disminución de 21.4%. En 2019 el rubro que hizo una mayor contribución al crecimiento fue el transporte dado que representó el 41.7% del total de las importaciones de servicios y tuvo un crecimiento de 6.3% en dicho año. De las importaciones de servicios de 2020 los rubros más afectados en su tasa de crecimiento fueron los servicios viajes (-68.5%), los servicios de transporte (-15.7%), los servicios financieros (-11.7%), los servicios personales, culturales y recreativos (-10.5%), entre otros servicios. Asimismo, existieron rubros de importaciones de servicios que registraron crecimientos positivos como lo son los servicios del gobierno (26.6%), los servicios de cargos por la propiedad intelectual (7.3%), los servicios de telecomunicaciones e informática (6.1%) y otros servicios empresariales (2.7%).</w:t>
      </w:r>
    </w:p>
    <w:p w14:paraId="109CD718" w14:textId="6BF47F78" w:rsidR="00BA1953" w:rsidRDefault="00BA1953" w:rsidP="001101B9">
      <w:pPr>
        <w:spacing w:after="0" w:line="240" w:lineRule="auto"/>
        <w:jc w:val="both"/>
        <w:rPr>
          <w:rFonts w:ascii="Times New Roman" w:hAnsi="Times New Roman" w:cs="Times New Roman"/>
        </w:rPr>
      </w:pPr>
    </w:p>
    <w:tbl>
      <w:tblPr>
        <w:tblpPr w:leftFromText="141" w:rightFromText="141" w:vertAnchor="text" w:horzAnchor="margin" w:tblpXSpec="center" w:tblpY="66"/>
        <w:tblW w:w="89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DD6EE" w:themeFill="accent1" w:themeFillTint="66"/>
        <w:tblLayout w:type="fixed"/>
        <w:tblLook w:val="04A0" w:firstRow="1" w:lastRow="0" w:firstColumn="1" w:lastColumn="0" w:noHBand="0" w:noVBand="1"/>
      </w:tblPr>
      <w:tblGrid>
        <w:gridCol w:w="8931"/>
      </w:tblGrid>
      <w:tr w:rsidR="00BA1953" w:rsidRPr="002B72F6" w14:paraId="5C8B4F9C" w14:textId="77777777" w:rsidTr="009A135D">
        <w:trPr>
          <w:trHeight w:val="8191"/>
        </w:trPr>
        <w:tc>
          <w:tcPr>
            <w:tcW w:w="8931" w:type="dxa"/>
            <w:shd w:val="clear" w:color="auto" w:fill="BDD6EE" w:themeFill="accent1" w:themeFillTint="66"/>
          </w:tcPr>
          <w:p w14:paraId="67B10E85" w14:textId="6E0E7DF2" w:rsidR="00BA1953" w:rsidRPr="0003793F" w:rsidRDefault="008263E6" w:rsidP="00E63F4C">
            <w:pPr>
              <w:jc w:val="center"/>
              <w:rPr>
                <w:rFonts w:ascii="Times New Roman" w:hAnsi="Times New Roman" w:cs="Times New Roman"/>
                <w:b/>
                <w:bCs/>
              </w:rPr>
            </w:pPr>
            <w:r>
              <w:rPr>
                <w:rFonts w:ascii="Times New Roman" w:hAnsi="Times New Roman" w:cs="Times New Roman"/>
                <w:b/>
                <w:bCs/>
              </w:rPr>
              <w:t xml:space="preserve">Recuadro 1. </w:t>
            </w:r>
            <w:r w:rsidR="00BA1953" w:rsidRPr="0003793F">
              <w:rPr>
                <w:rFonts w:ascii="Times New Roman" w:hAnsi="Times New Roman" w:cs="Times New Roman"/>
                <w:b/>
                <w:bCs/>
              </w:rPr>
              <w:t>Tipo de cambio real de Guatemala</w:t>
            </w:r>
          </w:p>
          <w:p w14:paraId="0E86F66F" w14:textId="77777777" w:rsidR="00BA1953" w:rsidRPr="0003793F" w:rsidRDefault="00BA1953" w:rsidP="00E63F4C">
            <w:pPr>
              <w:jc w:val="both"/>
              <w:rPr>
                <w:rFonts w:ascii="Times New Roman" w:hAnsi="Times New Roman" w:cs="Times New Roman"/>
              </w:rPr>
            </w:pPr>
            <w:r w:rsidRPr="0003793F">
              <w:rPr>
                <w:rFonts w:ascii="Times New Roman" w:hAnsi="Times New Roman" w:cs="Times New Roman"/>
              </w:rPr>
              <w:t>El tipo de cambio real es un indicador de competitividad de los bienes y servicios nacional</w:t>
            </w:r>
            <w:r>
              <w:rPr>
                <w:rFonts w:ascii="Times New Roman" w:hAnsi="Times New Roman" w:cs="Times New Roman"/>
              </w:rPr>
              <w:t>es</w:t>
            </w:r>
            <w:r w:rsidRPr="0003793F">
              <w:rPr>
                <w:rFonts w:ascii="Times New Roman" w:hAnsi="Times New Roman" w:cs="Times New Roman"/>
              </w:rPr>
              <w:t xml:space="preserve"> con respecto a los del resto del mundo. Un incremento en el tipo de cambio real se considera una depreciación real y se interpreta como un aumento del poder adquisitivo de los bienes nacionales con respecto a los del resto del mundo. Por lo tanto, una depreciación real de la moneda interna aumenta la demanda de bienes interiores (exportaciones) y disminuye la demanda de bienes del resto del mundo (importaciones) lo cual incrementa la demanda agregada.</w:t>
            </w:r>
          </w:p>
          <w:p w14:paraId="6AA8CC4D" w14:textId="77777777" w:rsidR="00BA1953" w:rsidRPr="0003793F" w:rsidRDefault="00BA1953" w:rsidP="00E63F4C">
            <w:pPr>
              <w:jc w:val="both"/>
              <w:rPr>
                <w:rFonts w:ascii="Times New Roman" w:hAnsi="Times New Roman" w:cs="Times New Roman"/>
              </w:rPr>
            </w:pPr>
            <w:r w:rsidRPr="0003793F">
              <w:rPr>
                <w:rFonts w:ascii="Times New Roman" w:hAnsi="Times New Roman" w:cs="Times New Roman"/>
              </w:rPr>
              <w:t xml:space="preserve">Además de las importaciones reales, el tipo de cambio real tiene incidencia en la brecha del producto, ambas variables macroeconómicas fundamentales para la proyección de los ingresos tributarios y por lo tanto en el diseño de la política fiscal. Por este motivo se realizó una estimación del índice de tipo de cambio real siguiendo de cerca la metodología sugerida por </w:t>
            </w:r>
            <w:sdt>
              <w:sdtPr>
                <w:rPr>
                  <w:rFonts w:ascii="Times New Roman" w:hAnsi="Times New Roman" w:cs="Times New Roman"/>
                </w:rPr>
                <w:id w:val="-346175199"/>
                <w:citation/>
              </w:sdtPr>
              <w:sdtEndPr/>
              <w:sdtContent>
                <w:r w:rsidRPr="0003793F">
                  <w:rPr>
                    <w:rFonts w:ascii="Times New Roman" w:hAnsi="Times New Roman" w:cs="Times New Roman"/>
                  </w:rPr>
                  <w:fldChar w:fldCharType="begin"/>
                </w:r>
                <w:r w:rsidRPr="0003793F">
                  <w:rPr>
                    <w:rFonts w:ascii="Times New Roman" w:hAnsi="Times New Roman" w:cs="Times New Roman"/>
                  </w:rPr>
                  <w:instrText xml:space="preserve"> CITATION Sec16 \l 4106 </w:instrText>
                </w:r>
                <w:r w:rsidRPr="0003793F">
                  <w:rPr>
                    <w:rFonts w:ascii="Times New Roman" w:hAnsi="Times New Roman" w:cs="Times New Roman"/>
                  </w:rPr>
                  <w:fldChar w:fldCharType="separate"/>
                </w:r>
                <w:r w:rsidRPr="0003793F">
                  <w:rPr>
                    <w:rFonts w:ascii="Times New Roman" w:hAnsi="Times New Roman" w:cs="Times New Roman"/>
                    <w:noProof/>
                  </w:rPr>
                  <w:t>(Secretaría Ejecutiva del Consejo Monetario Centroamericano, 2016)</w:t>
                </w:r>
                <w:r w:rsidRPr="0003793F">
                  <w:rPr>
                    <w:rFonts w:ascii="Times New Roman" w:hAnsi="Times New Roman" w:cs="Times New Roman"/>
                  </w:rPr>
                  <w:fldChar w:fldCharType="end"/>
                </w:r>
              </w:sdtContent>
            </w:sdt>
            <w:r w:rsidRPr="0003793F">
              <w:rPr>
                <w:rFonts w:ascii="Times New Roman" w:hAnsi="Times New Roman" w:cs="Times New Roman"/>
              </w:rPr>
              <w:t>. La expresión del índice de tipo de cambio real es la siguiente:</w:t>
            </w:r>
          </w:p>
          <w:p w14:paraId="68B286DA" w14:textId="77777777" w:rsidR="00BA1953" w:rsidRPr="008A5948" w:rsidRDefault="00BA1953" w:rsidP="00E63F4C">
            <w:pPr>
              <w:jc w:val="both"/>
              <w:rPr>
                <w:rFonts w:eastAsiaTheme="minorEastAsia"/>
              </w:rPr>
            </w:pPr>
            <m:oMathPara>
              <m:oMath>
                <m:r>
                  <w:rPr>
                    <w:rFonts w:ascii="Cambria Math" w:eastAsiaTheme="minorEastAsia" w:hAnsi="Cambria Math"/>
                  </w:rPr>
                  <m:t>ITCR=</m:t>
                </m:r>
                <m:f>
                  <m:fPr>
                    <m:ctrlPr>
                      <w:rPr>
                        <w:rFonts w:ascii="Cambria Math" w:eastAsiaTheme="minorEastAsia"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t</m:t>
                        </m:r>
                      </m:sub>
                    </m:sSub>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t</m:t>
                        </m:r>
                      </m:sub>
                      <m:sup>
                        <m:r>
                          <w:rPr>
                            <w:rFonts w:ascii="Cambria Math" w:eastAsiaTheme="minorEastAsia" w:hAnsi="Cambria Math"/>
                          </w:rPr>
                          <m:t>*</m:t>
                        </m:r>
                      </m:sup>
                    </m:sSubSup>
                  </m:num>
                  <m:den>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m:t>
                        </m:r>
                      </m:sub>
                    </m:sSub>
                  </m:den>
                </m:f>
              </m:oMath>
            </m:oMathPara>
          </w:p>
          <w:p w14:paraId="23EC5414" w14:textId="77777777" w:rsidR="00BA1953" w:rsidRPr="0003793F" w:rsidRDefault="00BA1953" w:rsidP="00E63F4C">
            <w:pPr>
              <w:jc w:val="both"/>
              <w:rPr>
                <w:rFonts w:ascii="Times New Roman" w:eastAsiaTheme="minorEastAsia" w:hAnsi="Times New Roman" w:cs="Times New Roman"/>
              </w:rPr>
            </w:pPr>
            <w:r w:rsidRPr="0003793F">
              <w:rPr>
                <w:rFonts w:ascii="Times New Roman" w:eastAsiaTheme="minorEastAsia" w:hAnsi="Times New Roman" w:cs="Times New Roman"/>
              </w:rPr>
              <w:t>De la cual:</w:t>
            </w:r>
          </w:p>
          <w:p w14:paraId="3C6258E9" w14:textId="77777777" w:rsidR="00BA1953" w:rsidRDefault="006D2997" w:rsidP="00E63F4C">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t</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it</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i0</m:t>
                      </m:r>
                    </m:sub>
                  </m:sSub>
                </m:den>
              </m:f>
            </m:oMath>
            <w:r w:rsidR="00BA1953">
              <w:rPr>
                <w:rFonts w:eastAsiaTheme="minorEastAsia"/>
              </w:rPr>
              <w:t xml:space="preserve">    ,       </w:t>
            </w:r>
            <m:oMath>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m:t>
                  </m:r>
                </m:sup>
              </m:sSup>
              <m:r>
                <w:rPr>
                  <w:rFonts w:ascii="Cambria Math" w:eastAsiaTheme="minorEastAsia" w:hAnsi="Cambria Math"/>
                </w:rPr>
                <m:t xml:space="preserve">= </m:t>
              </m:r>
              <m:nary>
                <m:naryPr>
                  <m:chr m:val="∏"/>
                  <m:limLoc m:val="undOvr"/>
                  <m:ctrlPr>
                    <w:rPr>
                      <w:rFonts w:ascii="Cambria Math" w:eastAsiaTheme="minorEastAsia" w:hAnsi="Cambria Math"/>
                      <w:i/>
                    </w:rPr>
                  </m:ctrlPr>
                </m:naryPr>
                <m:sub>
                  <m:r>
                    <w:rPr>
                      <w:rFonts w:ascii="Cambria Math" w:eastAsiaTheme="minorEastAsia" w:hAnsi="Cambria Math"/>
                    </w:rPr>
                    <m:t>j≠i</m:t>
                  </m:r>
                </m:sub>
                <m:sup>
                  <m:r>
                    <w:rPr>
                      <w:rFonts w:ascii="Cambria Math" w:eastAsiaTheme="minorEastAsia" w:hAnsi="Cambria Math"/>
                    </w:rPr>
                    <m:t>N</m:t>
                  </m:r>
                </m:sup>
                <m:e>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jt</m:t>
                                  </m:r>
                                </m:sub>
                              </m:sSub>
                              <m:r>
                                <m:rPr>
                                  <m:lit/>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j0</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jt</m:t>
                                  </m:r>
                                </m:sub>
                              </m:sSub>
                              <m:r>
                                <m:rPr>
                                  <m:lit/>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j0</m:t>
                                  </m:r>
                                </m:sub>
                              </m:sSub>
                            </m:den>
                          </m:f>
                        </m:e>
                      </m:d>
                    </m:e>
                    <m:sup>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jt</m:t>
                          </m:r>
                        </m:sub>
                      </m:sSub>
                    </m:sup>
                  </m:sSup>
                </m:e>
              </m:nary>
            </m:oMath>
            <w:r w:rsidR="00BA1953">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it</m:t>
                      </m:r>
                    </m:sub>
                  </m:sSub>
                </m:num>
                <m:den>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i0</m:t>
                      </m:r>
                    </m:sub>
                  </m:sSub>
                </m:den>
              </m:f>
            </m:oMath>
          </w:p>
          <w:p w14:paraId="23F9ADBA" w14:textId="77777777" w:rsidR="00BA1953" w:rsidRPr="0003793F" w:rsidRDefault="006D2997" w:rsidP="00E63F4C">
            <w:pPr>
              <w:jc w:val="both"/>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t</m:t>
                  </m:r>
                </m:sub>
              </m:sSub>
            </m:oMath>
            <w:r w:rsidR="00BA1953" w:rsidRPr="0003793F">
              <w:rPr>
                <w:rFonts w:ascii="Times New Roman" w:eastAsiaTheme="minorEastAsia" w:hAnsi="Times New Roman" w:cs="Times New Roman"/>
              </w:rPr>
              <w:t xml:space="preserve"> es el tipo de cambio de cada país por un dólar, </w:t>
            </w:r>
            <m:oMath>
              <m:sSup>
                <m:sSupPr>
                  <m:ctrlPr>
                    <w:rPr>
                      <w:rFonts w:ascii="Cambria Math" w:eastAsiaTheme="minorEastAsia" w:hAnsi="Cambria Math" w:cs="Times New Roman"/>
                      <w:i/>
                    </w:rPr>
                  </m:ctrlPr>
                </m:sSupPr>
                <m:e>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t</m:t>
                      </m:r>
                    </m:sub>
                  </m:sSub>
                </m:e>
                <m:sup>
                  <m:r>
                    <w:rPr>
                      <w:rFonts w:ascii="Cambria Math" w:eastAsiaTheme="minorEastAsia" w:hAnsi="Cambria Math" w:cs="Times New Roman"/>
                    </w:rPr>
                    <m:t>*</m:t>
                  </m:r>
                </m:sup>
              </m:sSup>
            </m:oMath>
            <w:r w:rsidR="00BA1953" w:rsidRPr="0003793F">
              <w:rPr>
                <w:rFonts w:ascii="Times New Roman" w:eastAsiaTheme="minorEastAsia" w:hAnsi="Times New Roman" w:cs="Times New Roman"/>
              </w:rPr>
              <w:t xml:space="preserve"> son los precios ponderados de las cestas de bienes de los socios comerciales en dólares y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t</m:t>
                  </m:r>
                </m:sub>
              </m:sSub>
            </m:oMath>
            <w:r w:rsidR="00BA1953" w:rsidRPr="0003793F">
              <w:rPr>
                <w:rFonts w:ascii="Times New Roman" w:eastAsiaTheme="minorEastAsia" w:hAnsi="Times New Roman" w:cs="Times New Roman"/>
              </w:rPr>
              <w:t xml:space="preserve"> los precios de la cesta nacional. Además, </w:t>
            </w:r>
            <m:oMath>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jt</m:t>
                  </m:r>
                </m:sub>
              </m:sSub>
            </m:oMath>
            <w:r w:rsidR="00BA1953" w:rsidRPr="0003793F">
              <w:rPr>
                <w:rFonts w:ascii="Times New Roman" w:eastAsiaTheme="minorEastAsia" w:hAnsi="Times New Roman" w:cs="Times New Roman"/>
              </w:rPr>
              <w:t xml:space="preserve"> es el ponderador de cada </w:t>
            </w:r>
            <m:oMath>
              <m:r>
                <w:rPr>
                  <w:rFonts w:ascii="Cambria Math" w:eastAsiaTheme="minorEastAsia" w:hAnsi="Cambria Math" w:cs="Times New Roman"/>
                </w:rPr>
                <m:t>j</m:t>
              </m:r>
            </m:oMath>
            <w:r w:rsidR="00BA1953" w:rsidRPr="0003793F">
              <w:rPr>
                <w:rFonts w:ascii="Times New Roman" w:eastAsiaTheme="minorEastAsia" w:hAnsi="Times New Roman" w:cs="Times New Roman"/>
              </w:rPr>
              <w:t xml:space="preserve"> socio comercial y es importante indicar que el tipo de cambio y los precios de las cestas de bienes se normalizan al periodo </w:t>
            </w:r>
            <m:oMath>
              <m:r>
                <w:rPr>
                  <w:rFonts w:ascii="Cambria Math" w:eastAsiaTheme="minorEastAsia" w:hAnsi="Cambria Math" w:cs="Times New Roman"/>
                </w:rPr>
                <m:t>t=0</m:t>
              </m:r>
            </m:oMath>
            <w:r w:rsidR="00BA1953" w:rsidRPr="0003793F">
              <w:rPr>
                <w:rFonts w:ascii="Times New Roman" w:eastAsiaTheme="minorEastAsia" w:hAnsi="Times New Roman" w:cs="Times New Roman"/>
              </w:rPr>
              <w:t>.</w:t>
            </w:r>
          </w:p>
          <w:p w14:paraId="3C8A6C32" w14:textId="270F13CF" w:rsidR="00BA1953" w:rsidRDefault="00BA1953" w:rsidP="00E63F4C">
            <w:pPr>
              <w:jc w:val="both"/>
              <w:rPr>
                <w:rFonts w:ascii="Times New Roman" w:eastAsiaTheme="minorEastAsia" w:hAnsi="Times New Roman" w:cs="Times New Roman"/>
              </w:rPr>
            </w:pPr>
            <w:r w:rsidRPr="0003793F">
              <w:rPr>
                <w:rFonts w:ascii="Times New Roman" w:eastAsiaTheme="minorEastAsia" w:hAnsi="Times New Roman" w:cs="Times New Roman"/>
              </w:rPr>
              <w:t xml:space="preserve">Para calcular los ponderadores para cada periodo </w:t>
            </w:r>
            <m:oMath>
              <m:r>
                <w:rPr>
                  <w:rFonts w:ascii="Cambria Math" w:eastAsiaTheme="minorEastAsia" w:hAnsi="Cambria Math" w:cs="Times New Roman"/>
                </w:rPr>
                <m:t>t</m:t>
              </m:r>
            </m:oMath>
            <w:r w:rsidRPr="0003793F">
              <w:rPr>
                <w:rFonts w:ascii="Times New Roman" w:eastAsiaTheme="minorEastAsia" w:hAnsi="Times New Roman" w:cs="Times New Roman"/>
              </w:rPr>
              <w:t xml:space="preserve"> se utilizó la información publicada por país de 1980-2020 de la base de datos de la Dirección de Estadísticas de Comercio (DOTS por sus siglas en inglés) del FMI y la información de los socios comerciales con respecto a los índices de precios de consumidor y el tipo de cambio se obtuvo de las Estadísticas Financieras Internacional</w:t>
            </w:r>
            <w:r>
              <w:rPr>
                <w:rFonts w:ascii="Times New Roman" w:eastAsiaTheme="minorEastAsia" w:hAnsi="Times New Roman" w:cs="Times New Roman"/>
              </w:rPr>
              <w:t>es</w:t>
            </w:r>
            <w:r w:rsidRPr="0003793F">
              <w:rPr>
                <w:rFonts w:ascii="Times New Roman" w:eastAsiaTheme="minorEastAsia" w:hAnsi="Times New Roman" w:cs="Times New Roman"/>
              </w:rPr>
              <w:t xml:space="preserve"> del FMI (IFS por sus siglas en inglés.)</w:t>
            </w:r>
          </w:p>
          <w:p w14:paraId="1864C41A" w14:textId="11698841" w:rsidR="008263E6" w:rsidRDefault="008263E6" w:rsidP="008263E6">
            <w:pPr>
              <w:jc w:val="both"/>
              <w:rPr>
                <w:rFonts w:ascii="Times New Roman" w:eastAsiaTheme="minorEastAsia" w:hAnsi="Times New Roman" w:cs="Times New Roman"/>
              </w:rPr>
            </w:pPr>
            <w:r w:rsidRPr="0003793F">
              <w:rPr>
                <w:rFonts w:ascii="Times New Roman" w:eastAsiaTheme="minorEastAsia" w:hAnsi="Times New Roman" w:cs="Times New Roman"/>
              </w:rPr>
              <w:t>Como se observa en el gráfico, el índice de tipo de cambio real ha tenido una tendencia a la apreciación en las últimas décadas, lo cual refleja una pérdida de competitividad al disminuir el poder adquisitivo de los bienes internos</w:t>
            </w:r>
            <w:r>
              <w:rPr>
                <w:rFonts w:ascii="Times New Roman" w:eastAsiaTheme="minorEastAsia" w:hAnsi="Times New Roman" w:cs="Times New Roman"/>
              </w:rPr>
              <w:t>,</w:t>
            </w:r>
            <w:r w:rsidRPr="0003793F">
              <w:rPr>
                <w:rFonts w:ascii="Times New Roman" w:eastAsiaTheme="minorEastAsia" w:hAnsi="Times New Roman" w:cs="Times New Roman"/>
              </w:rPr>
              <w:t xml:space="preserve"> lo cual </w:t>
            </w:r>
            <w:r>
              <w:rPr>
                <w:rFonts w:ascii="Times New Roman" w:eastAsiaTheme="minorEastAsia" w:hAnsi="Times New Roman" w:cs="Times New Roman"/>
              </w:rPr>
              <w:t xml:space="preserve">se </w:t>
            </w:r>
            <w:r w:rsidRPr="0003793F">
              <w:rPr>
                <w:rFonts w:ascii="Times New Roman" w:eastAsiaTheme="minorEastAsia" w:hAnsi="Times New Roman" w:cs="Times New Roman"/>
              </w:rPr>
              <w:t>explica porque se ha observado un crecimiento mayor de las importaciones que el de las exportaciones.</w:t>
            </w:r>
          </w:p>
          <w:p w14:paraId="1BFC757C" w14:textId="3F33E58C" w:rsidR="008263E6" w:rsidRDefault="008263E6" w:rsidP="008263E6">
            <w:pPr>
              <w:jc w:val="both"/>
              <w:rPr>
                <w:rFonts w:ascii="Times New Roman" w:eastAsiaTheme="minorEastAsia" w:hAnsi="Times New Roman" w:cs="Times New Roman"/>
              </w:rPr>
            </w:pPr>
          </w:p>
          <w:p w14:paraId="2CC5AD12" w14:textId="5C9FE807" w:rsidR="008263E6" w:rsidRDefault="008263E6" w:rsidP="008263E6">
            <w:pPr>
              <w:jc w:val="both"/>
              <w:rPr>
                <w:rFonts w:ascii="Times New Roman" w:eastAsiaTheme="minorEastAsia" w:hAnsi="Times New Roman" w:cs="Times New Roman"/>
              </w:rPr>
            </w:pPr>
          </w:p>
          <w:p w14:paraId="7D9543F5" w14:textId="77777777" w:rsidR="009A135D" w:rsidRPr="0003793F" w:rsidRDefault="009A135D" w:rsidP="009A135D">
            <w:pPr>
              <w:spacing w:after="0" w:line="240" w:lineRule="auto"/>
              <w:jc w:val="both"/>
              <w:rPr>
                <w:rFonts w:ascii="Times New Roman" w:eastAsiaTheme="minorEastAsia" w:hAnsi="Times New Roman" w:cs="Times New Roman"/>
              </w:rPr>
            </w:pPr>
          </w:p>
          <w:tbl>
            <w:tblPr>
              <w:tblStyle w:val="Tablaconcuadrcula"/>
              <w:tblW w:w="8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9"/>
              <w:gridCol w:w="4329"/>
            </w:tblGrid>
            <w:tr w:rsidR="00BA1953" w14:paraId="45C91214" w14:textId="77777777" w:rsidTr="008263E6">
              <w:trPr>
                <w:trHeight w:val="254"/>
              </w:trPr>
              <w:tc>
                <w:tcPr>
                  <w:tcW w:w="8658" w:type="dxa"/>
                  <w:gridSpan w:val="2"/>
                </w:tcPr>
                <w:p w14:paraId="256599C6" w14:textId="77777777" w:rsidR="00BA1953" w:rsidRPr="003646C8" w:rsidRDefault="00BA1953" w:rsidP="006D2997">
                  <w:pPr>
                    <w:framePr w:hSpace="141" w:wrap="around" w:vAnchor="text" w:hAnchor="margin" w:xAlign="center" w:y="66"/>
                    <w:jc w:val="center"/>
                    <w:rPr>
                      <w:rFonts w:ascii="Times New Roman" w:eastAsiaTheme="minorEastAsia" w:hAnsi="Times New Roman" w:cs="Times New Roman"/>
                      <w:b/>
                      <w:bCs/>
                    </w:rPr>
                  </w:pPr>
                  <w:r w:rsidRPr="003646C8">
                    <w:rPr>
                      <w:rFonts w:ascii="Times New Roman" w:eastAsiaTheme="minorEastAsia" w:hAnsi="Times New Roman" w:cs="Times New Roman"/>
                      <w:b/>
                      <w:bCs/>
                    </w:rPr>
                    <w:t>Gráfico ##. Índice de tipo de cambio real</w:t>
                  </w:r>
                </w:p>
              </w:tc>
            </w:tr>
            <w:tr w:rsidR="00BA1953" w14:paraId="1DCF51EE" w14:textId="77777777" w:rsidTr="008263E6">
              <w:trPr>
                <w:trHeight w:val="254"/>
              </w:trPr>
              <w:tc>
                <w:tcPr>
                  <w:tcW w:w="4329" w:type="dxa"/>
                </w:tcPr>
                <w:p w14:paraId="4DC7583D" w14:textId="77777777" w:rsidR="00BA1953" w:rsidRPr="003646C8" w:rsidRDefault="00BA1953" w:rsidP="006D2997">
                  <w:pPr>
                    <w:framePr w:hSpace="141" w:wrap="around" w:vAnchor="text" w:hAnchor="margin" w:xAlign="center" w:y="66"/>
                    <w:jc w:val="center"/>
                    <w:rPr>
                      <w:rFonts w:ascii="Times New Roman" w:eastAsiaTheme="minorEastAsia" w:hAnsi="Times New Roman" w:cs="Times New Roman"/>
                      <w:b/>
                      <w:bCs/>
                    </w:rPr>
                  </w:pPr>
                  <w:r w:rsidRPr="003646C8">
                    <w:rPr>
                      <w:rFonts w:ascii="Times New Roman" w:eastAsiaTheme="minorEastAsia" w:hAnsi="Times New Roman" w:cs="Times New Roman"/>
                      <w:b/>
                      <w:bCs/>
                    </w:rPr>
                    <w:t>Índice de tipo de cambio real (ITCR)</w:t>
                  </w:r>
                </w:p>
              </w:tc>
              <w:tc>
                <w:tcPr>
                  <w:tcW w:w="4329" w:type="dxa"/>
                </w:tcPr>
                <w:p w14:paraId="7391073B" w14:textId="77777777" w:rsidR="00BA1953" w:rsidRPr="003646C8" w:rsidRDefault="00BA1953" w:rsidP="006D2997">
                  <w:pPr>
                    <w:framePr w:hSpace="141" w:wrap="around" w:vAnchor="text" w:hAnchor="margin" w:xAlign="center" w:y="66"/>
                    <w:jc w:val="center"/>
                    <w:rPr>
                      <w:rFonts w:ascii="Times New Roman" w:eastAsiaTheme="minorEastAsia" w:hAnsi="Times New Roman" w:cs="Times New Roman"/>
                      <w:b/>
                      <w:bCs/>
                    </w:rPr>
                  </w:pPr>
                  <w:r w:rsidRPr="003646C8">
                    <w:rPr>
                      <w:rFonts w:ascii="Times New Roman" w:eastAsiaTheme="minorEastAsia" w:hAnsi="Times New Roman" w:cs="Times New Roman"/>
                      <w:b/>
                      <w:bCs/>
                    </w:rPr>
                    <w:t>Apreciación o Depreciación del ITCR</w:t>
                  </w:r>
                </w:p>
              </w:tc>
            </w:tr>
            <w:tr w:rsidR="00BA1953" w14:paraId="0128A392" w14:textId="77777777" w:rsidTr="008263E6">
              <w:tblPrEx>
                <w:tblCellMar>
                  <w:left w:w="70" w:type="dxa"/>
                  <w:right w:w="70" w:type="dxa"/>
                </w:tblCellMar>
              </w:tblPrEx>
              <w:trPr>
                <w:trHeight w:val="3377"/>
              </w:trPr>
              <w:tc>
                <w:tcPr>
                  <w:tcW w:w="4329" w:type="dxa"/>
                </w:tcPr>
                <w:p w14:paraId="3586D5BA" w14:textId="77777777" w:rsidR="00BA1953" w:rsidRDefault="00BA1953" w:rsidP="006D2997">
                  <w:pPr>
                    <w:framePr w:hSpace="141" w:wrap="around" w:vAnchor="text" w:hAnchor="margin" w:xAlign="center" w:y="66"/>
                    <w:rPr>
                      <w:rFonts w:eastAsiaTheme="minorEastAsia"/>
                    </w:rPr>
                  </w:pPr>
                  <w:r>
                    <w:rPr>
                      <w:noProof/>
                      <w:lang w:val="es-ES" w:eastAsia="es-ES"/>
                    </w:rPr>
                    <w:drawing>
                      <wp:inline distT="0" distB="0" distL="0" distR="0" wp14:anchorId="677A0483" wp14:editId="40CD3B67">
                        <wp:extent cx="2673985" cy="2053087"/>
                        <wp:effectExtent l="0" t="0" r="0" b="4445"/>
                        <wp:docPr id="107" name="Gráfico 10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C46F8A4-8961-43CF-A569-F9D8A3FBCF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329" w:type="dxa"/>
                </w:tcPr>
                <w:p w14:paraId="10C2183D" w14:textId="77777777" w:rsidR="00BA1953" w:rsidRDefault="00BA1953" w:rsidP="006D2997">
                  <w:pPr>
                    <w:framePr w:hSpace="141" w:wrap="around" w:vAnchor="text" w:hAnchor="margin" w:xAlign="center" w:y="66"/>
                    <w:jc w:val="center"/>
                    <w:rPr>
                      <w:rFonts w:eastAsiaTheme="minorEastAsia"/>
                    </w:rPr>
                  </w:pPr>
                  <w:r>
                    <w:rPr>
                      <w:noProof/>
                      <w:lang w:val="es-ES" w:eastAsia="es-ES"/>
                    </w:rPr>
                    <w:drawing>
                      <wp:inline distT="0" distB="0" distL="0" distR="0" wp14:anchorId="1B17BC2A" wp14:editId="1C6CAD52">
                        <wp:extent cx="2519680" cy="2122098"/>
                        <wp:effectExtent l="0" t="0" r="0" b="0"/>
                        <wp:docPr id="108" name="Gráfico 10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8A7ABED-EDD5-416D-B7B0-FDDDFF5593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BA1953" w14:paraId="1F7FB1C6" w14:textId="77777777" w:rsidTr="008263E6">
              <w:trPr>
                <w:trHeight w:val="239"/>
              </w:trPr>
              <w:tc>
                <w:tcPr>
                  <w:tcW w:w="8658" w:type="dxa"/>
                  <w:gridSpan w:val="2"/>
                </w:tcPr>
                <w:p w14:paraId="0F17CF7D" w14:textId="77777777" w:rsidR="00BA1953" w:rsidRPr="003646C8" w:rsidRDefault="00BA1953" w:rsidP="006D2997">
                  <w:pPr>
                    <w:framePr w:hSpace="141" w:wrap="around" w:vAnchor="text" w:hAnchor="margin" w:xAlign="center" w:y="66"/>
                    <w:jc w:val="both"/>
                    <w:rPr>
                      <w:rFonts w:ascii="Times New Roman" w:eastAsiaTheme="minorEastAsia" w:hAnsi="Times New Roman" w:cs="Times New Roman"/>
                      <w:sz w:val="20"/>
                      <w:szCs w:val="20"/>
                    </w:rPr>
                  </w:pPr>
                  <w:r w:rsidRPr="009A135D">
                    <w:rPr>
                      <w:rFonts w:ascii="Times New Roman" w:eastAsiaTheme="minorEastAsia" w:hAnsi="Times New Roman" w:cs="Times New Roman"/>
                      <w:sz w:val="16"/>
                      <w:szCs w:val="20"/>
                    </w:rPr>
                    <w:t>Fuente: Dirección de Análisis y Política Fiscal</w:t>
                  </w:r>
                </w:p>
              </w:tc>
            </w:tr>
          </w:tbl>
          <w:p w14:paraId="00D3C33A" w14:textId="77777777" w:rsidR="00BA1953" w:rsidRPr="0007501F" w:rsidRDefault="00BA1953" w:rsidP="009A135D">
            <w:pPr>
              <w:spacing w:after="0" w:line="240" w:lineRule="auto"/>
              <w:jc w:val="both"/>
              <w:rPr>
                <w:rFonts w:eastAsiaTheme="minorEastAsia"/>
              </w:rPr>
            </w:pPr>
          </w:p>
          <w:p w14:paraId="16A8A63E" w14:textId="14BEC30F" w:rsidR="00BA1953" w:rsidRDefault="00BA1953" w:rsidP="009A135D">
            <w:pPr>
              <w:spacing w:after="0" w:line="240" w:lineRule="auto"/>
              <w:jc w:val="both"/>
              <w:rPr>
                <w:rFonts w:ascii="Times New Roman" w:eastAsiaTheme="minorEastAsia" w:hAnsi="Times New Roman" w:cs="Times New Roman"/>
              </w:rPr>
            </w:pPr>
            <w:r w:rsidRPr="0003793F">
              <w:rPr>
                <w:rFonts w:ascii="Times New Roman" w:eastAsiaTheme="minorEastAsia" w:hAnsi="Times New Roman" w:cs="Times New Roman"/>
              </w:rPr>
              <w:t xml:space="preserve">Por otro lado, de la expresión del tipo de cambio real se separó el efecto de los precios relativos </w:t>
            </w:r>
            <m:oMath>
              <m:nary>
                <m:naryPr>
                  <m:chr m:val="∏"/>
                  <m:limLoc m:val="undOvr"/>
                  <m:ctrlPr>
                    <w:rPr>
                      <w:rFonts w:ascii="Cambria Math" w:eastAsiaTheme="minorEastAsia" w:hAnsi="Cambria Math" w:cs="Times New Roman"/>
                      <w:i/>
                    </w:rPr>
                  </m:ctrlPr>
                </m:naryPr>
                <m:sub>
                  <m:r>
                    <w:rPr>
                      <w:rFonts w:ascii="Cambria Math" w:eastAsiaTheme="minorEastAsia" w:hAnsi="Cambria Math" w:cs="Times New Roman"/>
                    </w:rPr>
                    <m:t>j≠i</m:t>
                  </m:r>
                </m:sub>
                <m:sup>
                  <m:r>
                    <w:rPr>
                      <w:rFonts w:ascii="Cambria Math" w:eastAsiaTheme="minorEastAsia" w:hAnsi="Cambria Math" w:cs="Times New Roman"/>
                    </w:rPr>
                    <m:t>N</m:t>
                  </m:r>
                </m:sup>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jt</m:t>
                              </m:r>
                            </m:sub>
                          </m:sSub>
                          <m:r>
                            <m:rPr>
                              <m:lit/>
                            </m:rP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j0</m:t>
                              </m:r>
                            </m:sub>
                          </m:sSub>
                        </m:e>
                      </m:d>
                    </m:e>
                    <m:sup>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jt</m:t>
                          </m:r>
                        </m:sub>
                      </m:sSub>
                    </m:sup>
                  </m:sSup>
                </m:e>
              </m:nary>
              <m:r>
                <m:rPr>
                  <m:lit/>
                </m:rPr>
                <w:rPr>
                  <w:rFonts w:ascii="Cambria Math" w:eastAsiaTheme="minorEastAsia" w:hAnsi="Cambria Math" w:cs="Times New Roman"/>
                </w:rPr>
                <m:t>/</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it</m:t>
                      </m:r>
                    </m:sub>
                  </m:sSub>
                  <m:r>
                    <m:rPr>
                      <m:lit/>
                    </m:rP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io</m:t>
                      </m:r>
                    </m:sub>
                  </m:sSub>
                </m:e>
              </m:d>
            </m:oMath>
            <w:r w:rsidRPr="0003793F">
              <w:rPr>
                <w:rFonts w:ascii="Times New Roman" w:eastAsiaTheme="minorEastAsia" w:hAnsi="Times New Roman" w:cs="Times New Roman"/>
              </w:rPr>
              <w:t xml:space="preserve"> y del tipo de cambio real relativo inverso </w:t>
            </w: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t</m:t>
                  </m:r>
                </m:sub>
              </m:sSub>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jt</m:t>
                          </m:r>
                        </m:sub>
                      </m:sSub>
                      <m:r>
                        <m:rPr>
                          <m:lit/>
                        </m:rP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j0</m:t>
                          </m:r>
                        </m:sub>
                      </m:sSub>
                    </m:e>
                  </m:d>
                </m:e>
                <m:sup>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jt</m:t>
                      </m:r>
                    </m:sub>
                  </m:sSub>
                </m:sup>
              </m:sSup>
            </m:oMath>
            <w:r w:rsidRPr="0003793F">
              <w:rPr>
                <w:rFonts w:ascii="Times New Roman" w:eastAsiaTheme="minorEastAsia" w:hAnsi="Times New Roman" w:cs="Times New Roman"/>
              </w:rPr>
              <w:t>, en el caso de los precios relativos</w:t>
            </w:r>
            <w:r>
              <w:rPr>
                <w:rFonts w:ascii="Times New Roman" w:eastAsiaTheme="minorEastAsia" w:hAnsi="Times New Roman" w:cs="Times New Roman"/>
              </w:rPr>
              <w:t>,</w:t>
            </w:r>
            <w:r w:rsidRPr="0003793F">
              <w:rPr>
                <w:rFonts w:ascii="Times New Roman" w:eastAsiaTheme="minorEastAsia" w:hAnsi="Times New Roman" w:cs="Times New Roman"/>
              </w:rPr>
              <w:t xml:space="preserve"> una mayor inflación de los precios nacionales en comparación a los socios realiza presiones a la apreciación y en el caso del tipo de cambio real relativo inverso indica que si el aumento del tipo de cambio con respecto al dólar de los socios comerciales es mayor que el nacional significan presiones a la apreciación dado que el poder adquisitivo del quetzal aumenta en los países socios en comparación al nacional.</w:t>
            </w:r>
          </w:p>
          <w:p w14:paraId="754DDC0E" w14:textId="77777777" w:rsidR="009A135D" w:rsidRPr="0003793F" w:rsidRDefault="009A135D" w:rsidP="009A135D">
            <w:pPr>
              <w:spacing w:after="0" w:line="240" w:lineRule="auto"/>
              <w:jc w:val="both"/>
              <w:rPr>
                <w:rFonts w:ascii="Times New Roman" w:eastAsiaTheme="minorEastAsia" w:hAnsi="Times New Roman" w:cs="Times New Roman"/>
              </w:rPr>
            </w:pPr>
          </w:p>
          <w:p w14:paraId="5EFE4AE0" w14:textId="77777777" w:rsidR="00BA1953" w:rsidRPr="004B2491" w:rsidRDefault="00BA1953" w:rsidP="009A135D">
            <w:pPr>
              <w:spacing w:after="0" w:line="240" w:lineRule="auto"/>
              <w:jc w:val="both"/>
              <w:rPr>
                <w:rFonts w:ascii="Times New Roman" w:eastAsiaTheme="minorEastAsia" w:hAnsi="Times New Roman" w:cs="Times New Roman"/>
              </w:rPr>
            </w:pPr>
            <w:r w:rsidRPr="0003793F">
              <w:rPr>
                <w:rFonts w:ascii="Times New Roman" w:eastAsiaTheme="minorEastAsia" w:hAnsi="Times New Roman" w:cs="Times New Roman"/>
              </w:rPr>
              <w:t>Se utilizó logaritmos de los precios relativos y del tipo de cambio relativo inverso para obtener la contribución a la apreciación o depreciación en cada año desde el 2004. Se observa que la contribución de los precios relativos ha sido diversa a lo largo del tiempo. Para el tipo de cambio real inverso se observa un patrón constante hacia la apreciación en su contribución, esto se debe a que la tendencia del tipo de cambio nacional ha sido más estable que el de países como México, Costa Rica, Colombia, entre otros que han tenido una tendencia definida hacia la depreciación.</w:t>
            </w:r>
          </w:p>
        </w:tc>
      </w:tr>
    </w:tbl>
    <w:p w14:paraId="64E2A335" w14:textId="1F455596" w:rsidR="00322670" w:rsidRPr="00AD2DB3" w:rsidRDefault="00322670" w:rsidP="001101B9">
      <w:pPr>
        <w:spacing w:after="0" w:line="240" w:lineRule="auto"/>
        <w:jc w:val="both"/>
        <w:rPr>
          <w:rFonts w:ascii="Times New Roman" w:hAnsi="Times New Roman" w:cs="Times New Roman"/>
        </w:rPr>
      </w:pPr>
    </w:p>
    <w:p w14:paraId="659C1E90" w14:textId="77777777" w:rsidR="00322670" w:rsidRDefault="00322670" w:rsidP="001032E7">
      <w:pPr>
        <w:pStyle w:val="Ttulo3"/>
        <w:numPr>
          <w:ilvl w:val="2"/>
          <w:numId w:val="29"/>
        </w:numPr>
        <w:tabs>
          <w:tab w:val="left" w:pos="993"/>
          <w:tab w:val="left" w:pos="1560"/>
          <w:tab w:val="left" w:pos="1843"/>
        </w:tabs>
        <w:spacing w:before="0" w:line="240" w:lineRule="auto"/>
        <w:ind w:left="709" w:hanging="360"/>
        <w:rPr>
          <w:rFonts w:ascii="Times New Roman" w:hAnsi="Times New Roman" w:cs="Times New Roman"/>
          <w:b/>
          <w:color w:val="auto"/>
        </w:rPr>
      </w:pPr>
      <w:bookmarkStart w:id="145" w:name="_Toc72489366"/>
      <w:bookmarkStart w:id="146" w:name="_Toc81571849"/>
      <w:r w:rsidRPr="00AD2DB3">
        <w:rPr>
          <w:rFonts w:ascii="Times New Roman" w:hAnsi="Times New Roman" w:cs="Times New Roman"/>
          <w:b/>
          <w:color w:val="auto"/>
        </w:rPr>
        <w:t>Ingreso primario y secundario</w:t>
      </w:r>
      <w:bookmarkEnd w:id="145"/>
      <w:bookmarkEnd w:id="146"/>
    </w:p>
    <w:p w14:paraId="314D733F" w14:textId="77777777" w:rsidR="00322670" w:rsidRPr="00AD2DB3" w:rsidRDefault="00322670" w:rsidP="001101B9">
      <w:pPr>
        <w:spacing w:after="0" w:line="240" w:lineRule="auto"/>
      </w:pPr>
    </w:p>
    <w:p w14:paraId="034B182C" w14:textId="77777777" w:rsidR="00322670" w:rsidRDefault="00322670" w:rsidP="005135D3">
      <w:pPr>
        <w:spacing w:after="0" w:line="240" w:lineRule="auto"/>
        <w:jc w:val="both"/>
        <w:rPr>
          <w:rFonts w:ascii="Times New Roman" w:hAnsi="Times New Roman" w:cs="Times New Roman"/>
        </w:rPr>
      </w:pPr>
      <w:r>
        <w:rPr>
          <w:rFonts w:ascii="Times New Roman" w:hAnsi="Times New Roman" w:cs="Times New Roman"/>
        </w:rPr>
        <w:t>El ingreso primario ha tenido saldo deficitario en las últimas dos décadas, en 2019 y 2020 este se ubicó en US$1,411.6 millones y 1,398.3 millones respectivamente, esto se debió principalmente por el déficit de las rentas a la inversión, las cuales en 2019 y 2020 registraron un déficit de US$1,513.6 y de US$1,493.2 millones correspondientemente. La mayor parte del déficit de rentas a la inversión se explican por los débitos de las utilidades reinvertidas de la inversión extranjera directa que en 2019 ascendieron a US$769.1 millones y en 2020 a US$711.8 millones, así como los débitos por intereses de largo plazo de la inversión en cartera que registraron montos de US$290.4 millones y US$423.2 millones para 2019 y 2020 respectivamente. Por otro lado, l</w:t>
      </w:r>
      <w:r w:rsidRPr="00D33E16">
        <w:rPr>
          <w:rFonts w:ascii="Times New Roman" w:hAnsi="Times New Roman" w:cs="Times New Roman"/>
        </w:rPr>
        <w:t xml:space="preserve">a remuneración hacia los empleados </w:t>
      </w:r>
      <w:r>
        <w:rPr>
          <w:rFonts w:ascii="Times New Roman" w:hAnsi="Times New Roman" w:cs="Times New Roman"/>
        </w:rPr>
        <w:t>registró</w:t>
      </w:r>
      <w:r w:rsidRPr="00D33E16">
        <w:rPr>
          <w:rFonts w:ascii="Times New Roman" w:hAnsi="Times New Roman" w:cs="Times New Roman"/>
        </w:rPr>
        <w:t xml:space="preserve"> un superávit de US$101.2 millones en 2019 y</w:t>
      </w:r>
      <w:r>
        <w:rPr>
          <w:rFonts w:ascii="Times New Roman" w:hAnsi="Times New Roman" w:cs="Times New Roman"/>
        </w:rPr>
        <w:t xml:space="preserve"> US$94.1 millones en 2020. </w:t>
      </w:r>
    </w:p>
    <w:p w14:paraId="72EB131E" w14:textId="77777777" w:rsidR="005135D3" w:rsidRDefault="005135D3" w:rsidP="005135D3">
      <w:pPr>
        <w:spacing w:after="0" w:line="240" w:lineRule="auto"/>
        <w:jc w:val="both"/>
        <w:rPr>
          <w:rFonts w:ascii="Times New Roman" w:hAnsi="Times New Roman" w:cs="Times New Roman"/>
        </w:rPr>
      </w:pPr>
    </w:p>
    <w:p w14:paraId="3F495C83" w14:textId="77777777" w:rsidR="00322670" w:rsidRDefault="00322670" w:rsidP="005135D3">
      <w:pPr>
        <w:spacing w:after="0" w:line="240" w:lineRule="auto"/>
        <w:jc w:val="both"/>
        <w:rPr>
          <w:rFonts w:ascii="Times New Roman" w:hAnsi="Times New Roman" w:cs="Times New Roman"/>
        </w:rPr>
      </w:pPr>
      <w:r>
        <w:rPr>
          <w:rFonts w:ascii="Times New Roman" w:hAnsi="Times New Roman" w:cs="Times New Roman"/>
        </w:rPr>
        <w:t xml:space="preserve">El superávit del ingreso secundario es la razón por la cual se han registrado superávits en la cuenta corriente desde 2016. Una pequeña parte se debe a los créditos por impuestos corrientes del Gobierno General que en 2019 se registraron en US$323.8 millones y en 2020 estuvieron en US$328.4 millones. El crédito por remesas familiares en 2019 y 2020 fue de US$10,508.3 millones y US$11,340.4 millones respectivamente. En ambos años los créditos por remesas superaron el monto agregado del déficit de la balanza comercial y del ingreso primario, esto a pesar de que en 2020 el empleo y desempleo de EE.UU. se redujo considerablemente por los efectos en actividad económica por la pandemia. </w:t>
      </w:r>
    </w:p>
    <w:p w14:paraId="7C6EECAC" w14:textId="77777777" w:rsidR="005135D3" w:rsidRDefault="005135D3" w:rsidP="005135D3">
      <w:pPr>
        <w:spacing w:after="0" w:line="240" w:lineRule="auto"/>
        <w:jc w:val="both"/>
        <w:rPr>
          <w:rFonts w:ascii="Times New Roman" w:hAnsi="Times New Roman" w:cs="Times New Roman"/>
        </w:rPr>
      </w:pPr>
    </w:p>
    <w:p w14:paraId="467A6F94" w14:textId="77777777" w:rsidR="00155114" w:rsidRDefault="00322670" w:rsidP="00155114">
      <w:pPr>
        <w:tabs>
          <w:tab w:val="left" w:pos="3465"/>
        </w:tabs>
        <w:spacing w:after="0" w:line="240" w:lineRule="auto"/>
        <w:jc w:val="both"/>
        <w:rPr>
          <w:rFonts w:ascii="Times New Roman" w:hAnsi="Times New Roman" w:cs="Times New Roman"/>
        </w:rPr>
      </w:pPr>
      <w:r>
        <w:rPr>
          <w:rFonts w:ascii="Times New Roman" w:hAnsi="Times New Roman" w:cs="Times New Roman"/>
        </w:rPr>
        <w:t xml:space="preserve">Las remesas familiares representaron 13.6% y 14.3% con respecto al PIB en 2019 y 2020 respectivamente. La tasa de crecimiento de las remesas en promedio del 2015 al 2019 fue de 13.6%, y en 2020 dicha tasa se ubicó en 7.9%, siendo esto un crecimiento extraordinario tomando en cuenta que según datos preliminares del Banco Mundial las remesas mundiales se reducirían en 7.0% en 2020. </w:t>
      </w:r>
      <w:r w:rsidRPr="004133EB">
        <w:rPr>
          <w:rFonts w:ascii="Times New Roman" w:hAnsi="Times New Roman" w:cs="Times New Roman"/>
        </w:rPr>
        <w:t>Asimismo, los países remitentes de las remesas familiares son Estados Unidos (90.5%), México (3.1%), Canadá (1.7%) y el restante de otros países, esto según información del Banco Mundial, del total de las remesas recibidas en Guatemala en el año 2017. Dicha estructura ha tenido el mismo comportamiento en años anteriores y se prevé que permanecerá en el mediano plazo.</w:t>
      </w:r>
    </w:p>
    <w:p w14:paraId="62176C96" w14:textId="1E4C2C47" w:rsidR="00155114" w:rsidRDefault="00155114" w:rsidP="00155114">
      <w:pPr>
        <w:tabs>
          <w:tab w:val="left" w:pos="3465"/>
        </w:tabs>
        <w:spacing w:after="0" w:line="240" w:lineRule="auto"/>
        <w:jc w:val="both"/>
        <w:rPr>
          <w:rFonts w:ascii="Times New Roman" w:hAnsi="Times New Roman" w:cs="Times New Roman"/>
        </w:rPr>
      </w:pPr>
    </w:p>
    <w:p w14:paraId="37AD9EF1" w14:textId="04A6A2D5" w:rsidR="00056D1A" w:rsidRPr="00056D1A" w:rsidRDefault="00056D1A" w:rsidP="00155114">
      <w:pPr>
        <w:spacing w:after="0" w:line="240" w:lineRule="auto"/>
        <w:jc w:val="center"/>
        <w:rPr>
          <w:rFonts w:ascii="Times New Roman" w:hAnsi="Times New Roman" w:cs="Times New Roman"/>
          <w:b/>
          <w:bCs/>
        </w:rPr>
      </w:pPr>
      <w:bookmarkStart w:id="147" w:name="_Toc81573063"/>
      <w:r w:rsidRPr="00056D1A">
        <w:rPr>
          <w:rFonts w:ascii="Times New Roman" w:hAnsi="Times New Roman" w:cs="Times New Roman"/>
          <w:b/>
          <w:i/>
        </w:rPr>
        <w:t xml:space="preserve">Gráfico </w:t>
      </w:r>
      <w:r w:rsidRPr="00056D1A">
        <w:rPr>
          <w:rFonts w:ascii="Times New Roman" w:hAnsi="Times New Roman" w:cs="Times New Roman"/>
          <w:b/>
          <w:i/>
        </w:rPr>
        <w:fldChar w:fldCharType="begin"/>
      </w:r>
      <w:r w:rsidRPr="00056D1A">
        <w:rPr>
          <w:rFonts w:ascii="Times New Roman" w:hAnsi="Times New Roman" w:cs="Times New Roman"/>
          <w:b/>
          <w:i/>
        </w:rPr>
        <w:instrText xml:space="preserve"> SEQ Gráfico \* ARABIC </w:instrText>
      </w:r>
      <w:r w:rsidRPr="00056D1A">
        <w:rPr>
          <w:rFonts w:ascii="Times New Roman" w:hAnsi="Times New Roman" w:cs="Times New Roman"/>
          <w:b/>
          <w:i/>
        </w:rPr>
        <w:fldChar w:fldCharType="separate"/>
      </w:r>
      <w:r w:rsidR="00D6529D">
        <w:rPr>
          <w:rFonts w:ascii="Times New Roman" w:hAnsi="Times New Roman" w:cs="Times New Roman"/>
          <w:b/>
          <w:i/>
          <w:noProof/>
        </w:rPr>
        <w:t>13</w:t>
      </w:r>
      <w:r w:rsidRPr="00056D1A">
        <w:rPr>
          <w:rFonts w:ascii="Times New Roman" w:hAnsi="Times New Roman" w:cs="Times New Roman"/>
          <w:b/>
          <w:i/>
        </w:rPr>
        <w:fldChar w:fldCharType="end"/>
      </w:r>
      <w:r w:rsidRPr="00056D1A">
        <w:rPr>
          <w:rFonts w:ascii="Times New Roman" w:hAnsi="Times New Roman" w:cs="Times New Roman"/>
          <w:b/>
          <w:i/>
        </w:rPr>
        <w:t xml:space="preserve"> </w:t>
      </w:r>
      <w:r w:rsidRPr="00056D1A">
        <w:rPr>
          <w:rFonts w:ascii="Times New Roman" w:hAnsi="Times New Roman" w:cs="Times New Roman"/>
          <w:b/>
        </w:rPr>
        <w:t xml:space="preserve"> </w:t>
      </w:r>
      <w:r>
        <w:rPr>
          <w:rFonts w:ascii="Times New Roman" w:hAnsi="Times New Roman" w:cs="Times New Roman"/>
          <w:b/>
          <w:bCs/>
        </w:rPr>
        <w:t>Remesas familiares</w:t>
      </w:r>
      <w:bookmarkEnd w:id="147"/>
      <w:r>
        <w:rPr>
          <w:rFonts w:ascii="Times New Roman" w:hAnsi="Times New Roman" w:cs="Times New Roman"/>
          <w:b/>
          <w:bC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378"/>
      </w:tblGrid>
      <w:tr w:rsidR="00322670" w14:paraId="08B7494C" w14:textId="77777777" w:rsidTr="00DE1FBB">
        <w:tc>
          <w:tcPr>
            <w:tcW w:w="8838" w:type="dxa"/>
            <w:gridSpan w:val="2"/>
          </w:tcPr>
          <w:p w14:paraId="1AB76556" w14:textId="77777777" w:rsidR="00322670" w:rsidRPr="00CA7BDF" w:rsidRDefault="00322670" w:rsidP="00056D1A">
            <w:pPr>
              <w:jc w:val="center"/>
              <w:rPr>
                <w:rFonts w:ascii="Times New Roman" w:hAnsi="Times New Roman" w:cs="Times New Roman"/>
                <w:b/>
                <w:bCs/>
                <w:sz w:val="10"/>
                <w:szCs w:val="10"/>
              </w:rPr>
            </w:pPr>
          </w:p>
        </w:tc>
      </w:tr>
      <w:tr w:rsidR="00322670" w14:paraId="33B3F69A" w14:textId="77777777" w:rsidTr="00DE1FBB">
        <w:tc>
          <w:tcPr>
            <w:tcW w:w="4564" w:type="dxa"/>
          </w:tcPr>
          <w:p w14:paraId="7A838CCC" w14:textId="77777777" w:rsidR="00322670" w:rsidRPr="00CA7BDF" w:rsidRDefault="00322670" w:rsidP="00DE1FBB">
            <w:pPr>
              <w:jc w:val="center"/>
              <w:rPr>
                <w:rFonts w:ascii="Times New Roman" w:hAnsi="Times New Roman" w:cs="Times New Roman"/>
                <w:b/>
                <w:bCs/>
                <w:sz w:val="20"/>
                <w:szCs w:val="20"/>
              </w:rPr>
            </w:pPr>
            <w:r>
              <w:rPr>
                <w:rFonts w:ascii="Times New Roman" w:hAnsi="Times New Roman" w:cs="Times New Roman"/>
                <w:b/>
                <w:bCs/>
                <w:sz w:val="20"/>
                <w:szCs w:val="20"/>
              </w:rPr>
              <w:t>Como porcentaje del PIB</w:t>
            </w:r>
          </w:p>
        </w:tc>
        <w:tc>
          <w:tcPr>
            <w:tcW w:w="4274" w:type="dxa"/>
          </w:tcPr>
          <w:p w14:paraId="23BD640C" w14:textId="77777777" w:rsidR="00322670" w:rsidRPr="00CA7BDF" w:rsidRDefault="00322670" w:rsidP="00DE1FBB">
            <w:pPr>
              <w:jc w:val="center"/>
              <w:rPr>
                <w:rFonts w:ascii="Times New Roman" w:hAnsi="Times New Roman" w:cs="Times New Roman"/>
                <w:b/>
                <w:bCs/>
                <w:sz w:val="20"/>
                <w:szCs w:val="20"/>
              </w:rPr>
            </w:pPr>
            <w:r>
              <w:rPr>
                <w:rFonts w:ascii="Times New Roman" w:hAnsi="Times New Roman" w:cs="Times New Roman"/>
                <w:b/>
                <w:bCs/>
                <w:sz w:val="20"/>
                <w:szCs w:val="20"/>
              </w:rPr>
              <w:t>Variación porcentual</w:t>
            </w:r>
          </w:p>
        </w:tc>
      </w:tr>
      <w:tr w:rsidR="00322670" w14:paraId="71E2ECDC" w14:textId="77777777" w:rsidTr="00DE1FBB">
        <w:tblPrEx>
          <w:tblCellMar>
            <w:left w:w="70" w:type="dxa"/>
            <w:right w:w="70" w:type="dxa"/>
          </w:tblCellMar>
        </w:tblPrEx>
        <w:tc>
          <w:tcPr>
            <w:tcW w:w="4564" w:type="dxa"/>
          </w:tcPr>
          <w:p w14:paraId="1A084E69" w14:textId="77777777" w:rsidR="00322670" w:rsidRDefault="00322670" w:rsidP="00DE1FBB">
            <w:r>
              <w:rPr>
                <w:noProof/>
                <w:lang w:val="es-ES" w:eastAsia="es-ES"/>
              </w:rPr>
              <w:drawing>
                <wp:inline distT="0" distB="0" distL="0" distR="0" wp14:anchorId="2ACDF33F" wp14:editId="1041E089">
                  <wp:extent cx="2891155" cy="1690777"/>
                  <wp:effectExtent l="0" t="0" r="4445" b="5080"/>
                  <wp:docPr id="47" name="Gráfico 4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16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274" w:type="dxa"/>
          </w:tcPr>
          <w:p w14:paraId="4BB4CB2A" w14:textId="77777777" w:rsidR="00322670" w:rsidRPr="00052542" w:rsidRDefault="00322670" w:rsidP="00DE1FBB">
            <w:pPr>
              <w:rPr>
                <w:rFonts w:ascii="Times New Roman" w:hAnsi="Times New Roman" w:cs="Times New Roman"/>
              </w:rPr>
            </w:pPr>
            <w:r>
              <w:rPr>
                <w:noProof/>
                <w:lang w:val="es-ES" w:eastAsia="es-ES"/>
              </w:rPr>
              <w:drawing>
                <wp:inline distT="0" distB="0" distL="0" distR="0" wp14:anchorId="3416983D" wp14:editId="4A4F8EA8">
                  <wp:extent cx="2705100" cy="1837426"/>
                  <wp:effectExtent l="0" t="0" r="0" b="0"/>
                  <wp:docPr id="48" name="Gráfico 4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15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322670" w14:paraId="55357EC9" w14:textId="77777777" w:rsidTr="00DE1FBB">
        <w:tc>
          <w:tcPr>
            <w:tcW w:w="8838" w:type="dxa"/>
            <w:gridSpan w:val="2"/>
          </w:tcPr>
          <w:p w14:paraId="29A5B5A0" w14:textId="77777777" w:rsidR="00322670" w:rsidRPr="00CA7BDF" w:rsidRDefault="00322670" w:rsidP="00DE1FBB">
            <w:pPr>
              <w:rPr>
                <w:rFonts w:ascii="Times New Roman" w:hAnsi="Times New Roman" w:cs="Times New Roman"/>
                <w:sz w:val="18"/>
                <w:szCs w:val="18"/>
              </w:rPr>
            </w:pPr>
            <w:r w:rsidRPr="00CA7BDF">
              <w:rPr>
                <w:rFonts w:ascii="Times New Roman" w:hAnsi="Times New Roman" w:cs="Times New Roman"/>
                <w:sz w:val="18"/>
                <w:szCs w:val="18"/>
              </w:rPr>
              <w:t xml:space="preserve">Fuente: </w:t>
            </w:r>
            <w:r>
              <w:rPr>
                <w:rFonts w:ascii="Times New Roman" w:hAnsi="Times New Roman" w:cs="Times New Roman"/>
                <w:sz w:val="18"/>
                <w:szCs w:val="18"/>
              </w:rPr>
              <w:t>Dirección de Análisis y Política Fiscal</w:t>
            </w:r>
            <w:r w:rsidRPr="00CA7BDF">
              <w:rPr>
                <w:rFonts w:ascii="Times New Roman" w:hAnsi="Times New Roman" w:cs="Times New Roman"/>
                <w:sz w:val="18"/>
                <w:szCs w:val="18"/>
              </w:rPr>
              <w:t xml:space="preserve"> con información del </w:t>
            </w:r>
            <w:r>
              <w:rPr>
                <w:rFonts w:ascii="Times New Roman" w:hAnsi="Times New Roman" w:cs="Times New Roman"/>
                <w:sz w:val="18"/>
                <w:szCs w:val="18"/>
              </w:rPr>
              <w:t>BANGUAT.</w:t>
            </w:r>
          </w:p>
        </w:tc>
      </w:tr>
    </w:tbl>
    <w:p w14:paraId="3BCB6AE0" w14:textId="77777777" w:rsidR="00E16EB9" w:rsidRDefault="00E16EB9" w:rsidP="009A135D">
      <w:pPr>
        <w:spacing w:after="0" w:line="240" w:lineRule="auto"/>
        <w:rPr>
          <w:rFonts w:ascii="Times New Roman" w:hAnsi="Times New Roman" w:cs="Times New Roman"/>
          <w:b/>
        </w:rPr>
      </w:pPr>
      <w:bookmarkStart w:id="148" w:name="_Toc72489367"/>
    </w:p>
    <w:p w14:paraId="41BF6E2C" w14:textId="79B1F9DC" w:rsidR="00322670" w:rsidRDefault="00322670" w:rsidP="001032E7">
      <w:pPr>
        <w:pStyle w:val="Ttulo3"/>
        <w:numPr>
          <w:ilvl w:val="2"/>
          <w:numId w:val="29"/>
        </w:numPr>
        <w:tabs>
          <w:tab w:val="left" w:pos="993"/>
          <w:tab w:val="left" w:pos="1560"/>
          <w:tab w:val="left" w:pos="1843"/>
        </w:tabs>
        <w:spacing w:before="0" w:line="240" w:lineRule="auto"/>
        <w:ind w:left="709" w:hanging="360"/>
        <w:rPr>
          <w:rFonts w:ascii="Times New Roman" w:hAnsi="Times New Roman" w:cs="Times New Roman"/>
          <w:b/>
          <w:color w:val="auto"/>
        </w:rPr>
      </w:pPr>
      <w:bookmarkStart w:id="149" w:name="_Toc81571850"/>
      <w:r w:rsidRPr="00AD2DB3">
        <w:rPr>
          <w:rFonts w:ascii="Times New Roman" w:hAnsi="Times New Roman" w:cs="Times New Roman"/>
          <w:b/>
          <w:color w:val="auto"/>
        </w:rPr>
        <w:t>Cuenta financiera</w:t>
      </w:r>
      <w:bookmarkEnd w:id="148"/>
      <w:bookmarkEnd w:id="149"/>
    </w:p>
    <w:p w14:paraId="67F26068" w14:textId="77777777" w:rsidR="00322670" w:rsidRPr="00AD2DB3" w:rsidRDefault="00322670" w:rsidP="005135D3">
      <w:pPr>
        <w:spacing w:after="0" w:line="240" w:lineRule="auto"/>
      </w:pPr>
    </w:p>
    <w:p w14:paraId="58695683" w14:textId="77777777" w:rsidR="00322670" w:rsidRDefault="00322670" w:rsidP="005135D3">
      <w:pPr>
        <w:tabs>
          <w:tab w:val="left" w:pos="3465"/>
        </w:tabs>
        <w:spacing w:after="0" w:line="240" w:lineRule="auto"/>
        <w:jc w:val="both"/>
        <w:rPr>
          <w:rFonts w:ascii="Times New Roman" w:hAnsi="Times New Roman" w:cs="Times New Roman"/>
        </w:rPr>
      </w:pPr>
      <w:r w:rsidRPr="004133EB">
        <w:rPr>
          <w:rFonts w:ascii="Times New Roman" w:hAnsi="Times New Roman" w:cs="Times New Roman"/>
        </w:rPr>
        <w:t xml:space="preserve">En </w:t>
      </w:r>
      <w:r>
        <w:rPr>
          <w:rFonts w:ascii="Times New Roman" w:hAnsi="Times New Roman" w:cs="Times New Roman"/>
        </w:rPr>
        <w:t xml:space="preserve">2019 </w:t>
      </w:r>
      <w:r w:rsidRPr="004133EB">
        <w:rPr>
          <w:rFonts w:ascii="Times New Roman" w:hAnsi="Times New Roman" w:cs="Times New Roman"/>
        </w:rPr>
        <w:t>la cuenta financiera registró una adquisición de activos financieros netos por US$</w:t>
      </w:r>
      <w:r>
        <w:rPr>
          <w:rFonts w:ascii="Times New Roman" w:hAnsi="Times New Roman" w:cs="Times New Roman"/>
        </w:rPr>
        <w:t>112.4</w:t>
      </w:r>
      <w:r w:rsidRPr="004133EB">
        <w:rPr>
          <w:rFonts w:ascii="Times New Roman" w:hAnsi="Times New Roman" w:cs="Times New Roman"/>
        </w:rPr>
        <w:t xml:space="preserve"> millones</w:t>
      </w:r>
      <w:r>
        <w:rPr>
          <w:rFonts w:ascii="Times New Roman" w:hAnsi="Times New Roman" w:cs="Times New Roman"/>
        </w:rPr>
        <w:t xml:space="preserve"> y en 2020 las adquisiciones aumentaron a US$1,114.2 millones, esto debido a que incrementó la otra inversión de monedas y depósitos, de los préstamos y de los créditos y anticipos comerciales en el exterior. La adquisición de pasivos netos disminuyó de US$882.3 en 2019 a U$863.9 en 2020 esto debido a una disminución de US$59.5 millones en la inversión extranjera directa en 2020, la cual se situó en US$915.2 millones, y además de una disminución en los pasivos por otra inversión de préstamos. Los activos de reserva incrementaron considerablemente dado que estos pasaron de US$1,798.2 millones en 2019 a US$3,188.5 millones en 2020, el valor más alto en las últimas dos décadas.</w:t>
      </w:r>
    </w:p>
    <w:p w14:paraId="5C28CC89" w14:textId="77777777" w:rsidR="00322670" w:rsidRPr="005949F1" w:rsidRDefault="00322670" w:rsidP="005135D3">
      <w:pPr>
        <w:tabs>
          <w:tab w:val="left" w:pos="3465"/>
        </w:tabs>
        <w:spacing w:after="0" w:line="240" w:lineRule="auto"/>
        <w:jc w:val="both"/>
        <w:rPr>
          <w:rFonts w:ascii="Times New Roman" w:hAnsi="Times New Roman" w:cs="Times New Roman"/>
        </w:rPr>
      </w:pPr>
    </w:p>
    <w:p w14:paraId="243B81A8" w14:textId="58E4406D" w:rsidR="00322670" w:rsidRDefault="00322670" w:rsidP="005135D3">
      <w:pPr>
        <w:tabs>
          <w:tab w:val="left" w:pos="3465"/>
        </w:tabs>
        <w:spacing w:after="0" w:line="240" w:lineRule="auto"/>
        <w:jc w:val="both"/>
        <w:rPr>
          <w:rFonts w:ascii="Times New Roman" w:hAnsi="Times New Roman" w:cs="Times New Roman"/>
        </w:rPr>
      </w:pPr>
      <w:r w:rsidRPr="004133EB">
        <w:rPr>
          <w:rFonts w:ascii="Times New Roman" w:hAnsi="Times New Roman" w:cs="Times New Roman"/>
        </w:rPr>
        <w:t>El flujo de inversión extranjera directa (IED) se ha deteriorado en los últimos años, dicha inversión ha tenido una tasa de crecimiento con alta variación desde el año 2012 en adelante, registrándose un máximo de 16.5% en el año 2013, seguido de u</w:t>
      </w:r>
      <w:r>
        <w:rPr>
          <w:rFonts w:ascii="Times New Roman" w:hAnsi="Times New Roman" w:cs="Times New Roman"/>
        </w:rPr>
        <w:t xml:space="preserve">na contracción </w:t>
      </w:r>
      <w:r w:rsidRPr="004133EB">
        <w:rPr>
          <w:rFonts w:ascii="Times New Roman" w:hAnsi="Times New Roman" w:cs="Times New Roman"/>
        </w:rPr>
        <w:t xml:space="preserve">anual que permaneció hasta el año </w:t>
      </w:r>
      <w:r>
        <w:rPr>
          <w:rFonts w:ascii="Times New Roman" w:hAnsi="Times New Roman" w:cs="Times New Roman"/>
        </w:rPr>
        <w:t>2019 en donde esta registró una tasa de variación de -0.6%</w:t>
      </w:r>
      <w:r w:rsidRPr="004133EB">
        <w:rPr>
          <w:rFonts w:ascii="Times New Roman" w:hAnsi="Times New Roman" w:cs="Times New Roman"/>
        </w:rPr>
        <w:t xml:space="preserve">. En el año </w:t>
      </w:r>
      <w:r>
        <w:rPr>
          <w:rFonts w:ascii="Times New Roman" w:hAnsi="Times New Roman" w:cs="Times New Roman"/>
        </w:rPr>
        <w:t>2020</w:t>
      </w:r>
      <w:r w:rsidRPr="004133EB">
        <w:rPr>
          <w:rFonts w:ascii="Times New Roman" w:hAnsi="Times New Roman" w:cs="Times New Roman"/>
        </w:rPr>
        <w:t xml:space="preserve"> </w:t>
      </w:r>
      <w:r>
        <w:rPr>
          <w:rFonts w:ascii="Times New Roman" w:hAnsi="Times New Roman" w:cs="Times New Roman"/>
        </w:rPr>
        <w:t>la IED se contrajo nuevamente en 6.1%. En 2020 los flujos provinieron principalmente de EE.UU. (21.3%), Colombia (21.1%), Panamá (13.0%), Rusia (8.2%) y México (6.2%), y las actividades económicas en las que se utilizaron fueron las actividades financieras y de seguros (29.7%), las industrias manufactureras (23.9%), el comercio y reparación de vehículos (17.8%), suministro de electricidad, agua y saneamiento (15.7%), entre otras actividades (12.8%)</w:t>
      </w:r>
      <w:r w:rsidR="009173EB">
        <w:rPr>
          <w:rFonts w:ascii="Times New Roman" w:hAnsi="Times New Roman" w:cs="Times New Roman"/>
        </w:rPr>
        <w:t>.</w:t>
      </w:r>
    </w:p>
    <w:p w14:paraId="19E9D45D" w14:textId="77777777" w:rsidR="00322670" w:rsidRPr="00D45A38" w:rsidRDefault="00322670" w:rsidP="00322670">
      <w:pPr>
        <w:tabs>
          <w:tab w:val="left" w:pos="3465"/>
        </w:tabs>
        <w:spacing w:after="0" w:line="240" w:lineRule="auto"/>
        <w:jc w:val="both"/>
        <w:rPr>
          <w:rFonts w:ascii="Times New Roman" w:hAnsi="Times New Roman"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38"/>
      </w:tblGrid>
      <w:tr w:rsidR="00322670" w14:paraId="2BDD0CFC" w14:textId="77777777" w:rsidTr="00DE1FBB">
        <w:tc>
          <w:tcPr>
            <w:tcW w:w="8838" w:type="dxa"/>
            <w:gridSpan w:val="2"/>
          </w:tcPr>
          <w:p w14:paraId="3A84AE74" w14:textId="73D81E1B" w:rsidR="00056D1A" w:rsidRPr="00155114" w:rsidRDefault="00056D1A" w:rsidP="00155114">
            <w:pPr>
              <w:jc w:val="center"/>
              <w:rPr>
                <w:rFonts w:ascii="Times New Roman" w:hAnsi="Times New Roman" w:cs="Times New Roman"/>
                <w:b/>
                <w:bCs/>
              </w:rPr>
            </w:pPr>
            <w:bookmarkStart w:id="150" w:name="_Toc81573064"/>
            <w:r w:rsidRPr="00056D1A">
              <w:rPr>
                <w:rFonts w:ascii="Times New Roman" w:hAnsi="Times New Roman" w:cs="Times New Roman"/>
                <w:b/>
                <w:i/>
              </w:rPr>
              <w:t xml:space="preserve">Gráfico </w:t>
            </w:r>
            <w:r w:rsidRPr="00056D1A">
              <w:rPr>
                <w:rFonts w:ascii="Times New Roman" w:hAnsi="Times New Roman" w:cs="Times New Roman"/>
                <w:b/>
                <w:i/>
              </w:rPr>
              <w:fldChar w:fldCharType="begin"/>
            </w:r>
            <w:r w:rsidRPr="00056D1A">
              <w:rPr>
                <w:rFonts w:ascii="Times New Roman" w:hAnsi="Times New Roman" w:cs="Times New Roman"/>
                <w:b/>
                <w:i/>
              </w:rPr>
              <w:instrText xml:space="preserve"> SEQ Gráfico \* ARABIC </w:instrText>
            </w:r>
            <w:r w:rsidRPr="00056D1A">
              <w:rPr>
                <w:rFonts w:ascii="Times New Roman" w:hAnsi="Times New Roman" w:cs="Times New Roman"/>
                <w:b/>
                <w:i/>
              </w:rPr>
              <w:fldChar w:fldCharType="separate"/>
            </w:r>
            <w:r w:rsidR="00D6529D">
              <w:rPr>
                <w:rFonts w:ascii="Times New Roman" w:hAnsi="Times New Roman" w:cs="Times New Roman"/>
                <w:b/>
                <w:i/>
                <w:noProof/>
              </w:rPr>
              <w:t>14</w:t>
            </w:r>
            <w:r w:rsidRPr="00056D1A">
              <w:rPr>
                <w:rFonts w:ascii="Times New Roman" w:hAnsi="Times New Roman" w:cs="Times New Roman"/>
                <w:b/>
                <w:i/>
              </w:rPr>
              <w:fldChar w:fldCharType="end"/>
            </w:r>
            <w:r w:rsidRPr="00056D1A">
              <w:rPr>
                <w:rFonts w:ascii="Times New Roman" w:hAnsi="Times New Roman" w:cs="Times New Roman"/>
              </w:rPr>
              <w:t xml:space="preserve"> </w:t>
            </w:r>
            <w:r w:rsidRPr="00056D1A">
              <w:rPr>
                <w:rFonts w:ascii="Times New Roman" w:hAnsi="Times New Roman" w:cs="Times New Roman"/>
                <w:b/>
                <w:bCs/>
              </w:rPr>
              <w:t>Estructura porcentual de la inversión extranjera directa</w:t>
            </w:r>
            <w:bookmarkEnd w:id="150"/>
            <w:r w:rsidR="00155114">
              <w:rPr>
                <w:rFonts w:ascii="Times New Roman" w:hAnsi="Times New Roman" w:cs="Times New Roman"/>
                <w:b/>
                <w:bCs/>
              </w:rPr>
              <w:t xml:space="preserve"> </w:t>
            </w:r>
          </w:p>
          <w:p w14:paraId="0F257A9A" w14:textId="77777777" w:rsidR="00322670" w:rsidRPr="00CA7BDF" w:rsidRDefault="00322670" w:rsidP="00056D1A">
            <w:pPr>
              <w:jc w:val="center"/>
              <w:rPr>
                <w:rFonts w:ascii="Times New Roman" w:hAnsi="Times New Roman" w:cs="Times New Roman"/>
                <w:b/>
                <w:bCs/>
                <w:sz w:val="10"/>
                <w:szCs w:val="10"/>
              </w:rPr>
            </w:pPr>
          </w:p>
        </w:tc>
      </w:tr>
      <w:tr w:rsidR="00322670" w14:paraId="4DE3190D" w14:textId="77777777" w:rsidTr="00DE1FBB">
        <w:tc>
          <w:tcPr>
            <w:tcW w:w="4678" w:type="dxa"/>
          </w:tcPr>
          <w:p w14:paraId="5A47EB5F" w14:textId="77777777" w:rsidR="00322670" w:rsidRPr="00CA7BDF" w:rsidRDefault="00322670" w:rsidP="00DE1FBB">
            <w:pPr>
              <w:jc w:val="center"/>
              <w:rPr>
                <w:rFonts w:ascii="Times New Roman" w:hAnsi="Times New Roman" w:cs="Times New Roman"/>
                <w:b/>
                <w:bCs/>
                <w:sz w:val="20"/>
                <w:szCs w:val="20"/>
              </w:rPr>
            </w:pPr>
            <w:r>
              <w:rPr>
                <w:rFonts w:ascii="Times New Roman" w:hAnsi="Times New Roman" w:cs="Times New Roman"/>
                <w:b/>
                <w:bCs/>
                <w:sz w:val="20"/>
                <w:szCs w:val="20"/>
              </w:rPr>
              <w:t>Por país</w:t>
            </w:r>
          </w:p>
        </w:tc>
        <w:tc>
          <w:tcPr>
            <w:tcW w:w="4160" w:type="dxa"/>
          </w:tcPr>
          <w:p w14:paraId="141D94D3" w14:textId="77777777" w:rsidR="00322670" w:rsidRPr="00CA7BDF" w:rsidRDefault="00322670" w:rsidP="00DE1FBB">
            <w:pPr>
              <w:jc w:val="center"/>
              <w:rPr>
                <w:rFonts w:ascii="Times New Roman" w:hAnsi="Times New Roman" w:cs="Times New Roman"/>
                <w:b/>
                <w:bCs/>
                <w:sz w:val="20"/>
                <w:szCs w:val="20"/>
              </w:rPr>
            </w:pPr>
            <w:r>
              <w:rPr>
                <w:rFonts w:ascii="Times New Roman" w:hAnsi="Times New Roman" w:cs="Times New Roman"/>
                <w:b/>
                <w:bCs/>
                <w:sz w:val="20"/>
                <w:szCs w:val="20"/>
              </w:rPr>
              <w:t>Por actividad económica</w:t>
            </w:r>
          </w:p>
        </w:tc>
      </w:tr>
      <w:tr w:rsidR="00322670" w14:paraId="0EB9AA28" w14:textId="77777777" w:rsidTr="00DE1FBB">
        <w:tblPrEx>
          <w:tblCellMar>
            <w:left w:w="70" w:type="dxa"/>
            <w:right w:w="70" w:type="dxa"/>
          </w:tblCellMar>
        </w:tblPrEx>
        <w:tc>
          <w:tcPr>
            <w:tcW w:w="4678" w:type="dxa"/>
          </w:tcPr>
          <w:p w14:paraId="1C44DC9E" w14:textId="77777777" w:rsidR="00322670" w:rsidRDefault="00322670" w:rsidP="00DE1FBB">
            <w:pPr>
              <w:jc w:val="center"/>
            </w:pPr>
            <w:r>
              <w:rPr>
                <w:noProof/>
                <w:lang w:val="es-ES" w:eastAsia="es-ES"/>
              </w:rPr>
              <w:drawing>
                <wp:inline distT="0" distB="0" distL="0" distR="0" wp14:anchorId="2F496B7A" wp14:editId="6920A748">
                  <wp:extent cx="2881630" cy="1923691"/>
                  <wp:effectExtent l="0" t="0" r="0" b="635"/>
                  <wp:docPr id="22" name="Gráfico 2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16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4160" w:type="dxa"/>
          </w:tcPr>
          <w:p w14:paraId="18D06B86" w14:textId="77777777" w:rsidR="00322670" w:rsidRDefault="00322670" w:rsidP="00DE1FBB">
            <w:r>
              <w:rPr>
                <w:noProof/>
                <w:lang w:val="es-ES" w:eastAsia="es-ES"/>
              </w:rPr>
              <w:drawing>
                <wp:inline distT="0" distB="0" distL="0" distR="0" wp14:anchorId="3E8DEE01" wp14:editId="24BE76B6">
                  <wp:extent cx="2891155" cy="1923415"/>
                  <wp:effectExtent l="0" t="0" r="4445" b="635"/>
                  <wp:docPr id="23" name="Gráfico 2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16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322670" w14:paraId="5449477E" w14:textId="77777777" w:rsidTr="00DE1FBB">
        <w:tc>
          <w:tcPr>
            <w:tcW w:w="8838" w:type="dxa"/>
            <w:gridSpan w:val="2"/>
          </w:tcPr>
          <w:p w14:paraId="03C17609" w14:textId="77777777" w:rsidR="00322670" w:rsidRDefault="00322670" w:rsidP="00DE1FBB">
            <w:pPr>
              <w:rPr>
                <w:rFonts w:ascii="Times New Roman" w:hAnsi="Times New Roman" w:cs="Times New Roman"/>
                <w:sz w:val="18"/>
                <w:szCs w:val="18"/>
              </w:rPr>
            </w:pPr>
            <w:r w:rsidRPr="00CA7BDF">
              <w:rPr>
                <w:rFonts w:ascii="Times New Roman" w:hAnsi="Times New Roman" w:cs="Times New Roman"/>
                <w:sz w:val="18"/>
                <w:szCs w:val="18"/>
              </w:rPr>
              <w:t xml:space="preserve">Fuente: </w:t>
            </w:r>
            <w:r>
              <w:rPr>
                <w:rFonts w:ascii="Times New Roman" w:hAnsi="Times New Roman" w:cs="Times New Roman"/>
                <w:sz w:val="18"/>
                <w:szCs w:val="18"/>
              </w:rPr>
              <w:t>Dirección de Análisis y Política Fiscal</w:t>
            </w:r>
            <w:r w:rsidRPr="00CA7BDF">
              <w:rPr>
                <w:rFonts w:ascii="Times New Roman" w:hAnsi="Times New Roman" w:cs="Times New Roman"/>
                <w:sz w:val="18"/>
                <w:szCs w:val="18"/>
              </w:rPr>
              <w:t xml:space="preserve"> con información del </w:t>
            </w:r>
            <w:r>
              <w:rPr>
                <w:rFonts w:ascii="Times New Roman" w:hAnsi="Times New Roman" w:cs="Times New Roman"/>
                <w:sz w:val="18"/>
                <w:szCs w:val="18"/>
              </w:rPr>
              <w:t>BANGUAT.</w:t>
            </w:r>
          </w:p>
          <w:p w14:paraId="2FD9DEE8" w14:textId="77777777" w:rsidR="00322670" w:rsidRPr="00CA7BDF" w:rsidRDefault="00322670" w:rsidP="00DE1FBB">
            <w:pPr>
              <w:rPr>
                <w:rFonts w:ascii="Times New Roman" w:hAnsi="Times New Roman" w:cs="Times New Roman"/>
                <w:sz w:val="18"/>
                <w:szCs w:val="18"/>
              </w:rPr>
            </w:pPr>
            <w:r>
              <w:rPr>
                <w:rFonts w:ascii="Times New Roman" w:hAnsi="Times New Roman" w:cs="Times New Roman"/>
                <w:sz w:val="18"/>
                <w:szCs w:val="18"/>
              </w:rPr>
              <w:t>p: preliminar.</w:t>
            </w:r>
          </w:p>
        </w:tc>
      </w:tr>
    </w:tbl>
    <w:p w14:paraId="1A48851E" w14:textId="77777777" w:rsidR="00322670" w:rsidRDefault="00322670" w:rsidP="00816636">
      <w:pPr>
        <w:tabs>
          <w:tab w:val="left" w:pos="3132"/>
        </w:tabs>
        <w:spacing w:after="0" w:line="240" w:lineRule="auto"/>
        <w:rPr>
          <w:rFonts w:ascii="Times New Roman" w:hAnsi="Times New Roman" w:cs="Times New Roman"/>
          <w:b/>
          <w:bCs/>
        </w:rPr>
      </w:pPr>
    </w:p>
    <w:p w14:paraId="6B27894B" w14:textId="77777777" w:rsidR="00322670" w:rsidRDefault="00322670" w:rsidP="001032E7">
      <w:pPr>
        <w:pStyle w:val="Ttulo3"/>
        <w:numPr>
          <w:ilvl w:val="2"/>
          <w:numId w:val="29"/>
        </w:numPr>
        <w:tabs>
          <w:tab w:val="left" w:pos="993"/>
          <w:tab w:val="left" w:pos="1276"/>
          <w:tab w:val="left" w:pos="1560"/>
          <w:tab w:val="left" w:pos="1843"/>
        </w:tabs>
        <w:spacing w:before="0" w:line="240" w:lineRule="auto"/>
        <w:ind w:left="709" w:hanging="360"/>
        <w:rPr>
          <w:rFonts w:ascii="Times New Roman" w:hAnsi="Times New Roman" w:cs="Times New Roman"/>
          <w:b/>
          <w:color w:val="auto"/>
        </w:rPr>
      </w:pPr>
      <w:bookmarkStart w:id="151" w:name="_Toc72489368"/>
      <w:bookmarkStart w:id="152" w:name="_Toc81571851"/>
      <w:r w:rsidRPr="00AD2DB3">
        <w:rPr>
          <w:rFonts w:ascii="Times New Roman" w:hAnsi="Times New Roman" w:cs="Times New Roman"/>
          <w:b/>
          <w:color w:val="auto"/>
        </w:rPr>
        <w:t>Tipo de cambio</w:t>
      </w:r>
      <w:bookmarkEnd w:id="151"/>
      <w:bookmarkEnd w:id="152"/>
      <w:r w:rsidRPr="00AD2DB3">
        <w:rPr>
          <w:rFonts w:ascii="Times New Roman" w:hAnsi="Times New Roman" w:cs="Times New Roman"/>
          <w:b/>
          <w:color w:val="auto"/>
        </w:rPr>
        <w:t xml:space="preserve"> </w:t>
      </w:r>
    </w:p>
    <w:p w14:paraId="66CAE154" w14:textId="77777777" w:rsidR="00322670" w:rsidRPr="00AD2DB3" w:rsidRDefault="00322670" w:rsidP="005135D3">
      <w:pPr>
        <w:spacing w:after="0" w:line="240" w:lineRule="auto"/>
      </w:pPr>
    </w:p>
    <w:p w14:paraId="103340B0" w14:textId="77777777" w:rsidR="00322670" w:rsidRDefault="00322670" w:rsidP="005135D3">
      <w:pPr>
        <w:pStyle w:val="Sinespaciado"/>
        <w:jc w:val="both"/>
        <w:rPr>
          <w:rFonts w:ascii="Times New Roman" w:hAnsi="Times New Roman" w:cs="Times New Roman"/>
        </w:rPr>
      </w:pPr>
      <w:r w:rsidRPr="004133EB">
        <w:rPr>
          <w:rFonts w:ascii="Times New Roman" w:hAnsi="Times New Roman" w:cs="Times New Roman"/>
        </w:rPr>
        <w:t xml:space="preserve">El tipo de cambio nominal </w:t>
      </w:r>
      <w:r>
        <w:rPr>
          <w:rFonts w:ascii="Times New Roman" w:hAnsi="Times New Roman" w:cs="Times New Roman"/>
        </w:rPr>
        <w:t>de referencia de fin de año</w:t>
      </w:r>
      <w:r w:rsidRPr="004133EB">
        <w:rPr>
          <w:rFonts w:ascii="Times New Roman" w:hAnsi="Times New Roman" w:cs="Times New Roman"/>
        </w:rPr>
        <w:t xml:space="preserve"> tuvo una tendencia a la apreciación desde el año </w:t>
      </w:r>
      <w:r>
        <w:rPr>
          <w:rFonts w:ascii="Times New Roman" w:hAnsi="Times New Roman" w:cs="Times New Roman"/>
        </w:rPr>
        <w:t>2012</w:t>
      </w:r>
      <w:r w:rsidRPr="004133EB">
        <w:rPr>
          <w:rFonts w:ascii="Times New Roman" w:hAnsi="Times New Roman" w:cs="Times New Roman"/>
        </w:rPr>
        <w:t xml:space="preserve"> hasta el año 2017, en donde paso de Q.</w:t>
      </w:r>
      <w:r>
        <w:rPr>
          <w:rFonts w:ascii="Times New Roman" w:hAnsi="Times New Roman" w:cs="Times New Roman"/>
        </w:rPr>
        <w:t>7.90</w:t>
      </w:r>
      <w:r w:rsidRPr="004133EB">
        <w:rPr>
          <w:rFonts w:ascii="Times New Roman" w:hAnsi="Times New Roman" w:cs="Times New Roman"/>
        </w:rPr>
        <w:t xml:space="preserve"> a Q7.3</w:t>
      </w:r>
      <w:r>
        <w:rPr>
          <w:rFonts w:ascii="Times New Roman" w:hAnsi="Times New Roman" w:cs="Times New Roman"/>
        </w:rPr>
        <w:t>4</w:t>
      </w:r>
      <w:r w:rsidR="008C7DE1">
        <w:rPr>
          <w:rFonts w:ascii="Times New Roman" w:hAnsi="Times New Roman" w:cs="Times New Roman"/>
        </w:rPr>
        <w:t xml:space="preserve"> l</w:t>
      </w:r>
      <w:r w:rsidRPr="004133EB">
        <w:rPr>
          <w:rFonts w:ascii="Times New Roman" w:hAnsi="Times New Roman" w:cs="Times New Roman"/>
        </w:rPr>
        <w:t xml:space="preserve">a razón principal fue el fuerte crecimiento de los ingresos de divisas por remesas familiares y por qué en ese periodo se tuvo un crecimiento positivo en promedio de las exportaciones. Sin embargo, en los últimos años el crecimiento de las importaciones ha sido mayor al de las exportaciones en promedio, por lo cual se ha </w:t>
      </w:r>
      <w:r w:rsidRPr="001101B9">
        <w:rPr>
          <w:rFonts w:ascii="Times New Roman" w:hAnsi="Times New Roman" w:cs="Times New Roman"/>
        </w:rPr>
        <w:t>atenuado la brecha de la balanza comercial tanto en la balanza de pagos como en la balanza cambiaria, por lo que la tendencia cambió hacia la depreciación en el año 2017, de tal manera que en el 2017 el tipo de cambio se deprecio 5.3% en el 2018 y se apreció 0.5% levemente en el 2019.</w:t>
      </w:r>
      <w:r w:rsidRPr="004133EB">
        <w:rPr>
          <w:rFonts w:ascii="Times New Roman" w:hAnsi="Times New Roman" w:cs="Times New Roman"/>
        </w:rPr>
        <w:t xml:space="preserve"> </w:t>
      </w:r>
    </w:p>
    <w:p w14:paraId="19456C5E" w14:textId="77777777" w:rsidR="00322670" w:rsidRDefault="00322670" w:rsidP="005135D3">
      <w:pPr>
        <w:spacing w:after="0" w:line="240" w:lineRule="auto"/>
        <w:jc w:val="both"/>
        <w:rPr>
          <w:rFonts w:ascii="Times New Roman" w:hAnsi="Times New Roman" w:cs="Times New Roman"/>
        </w:rPr>
      </w:pPr>
    </w:p>
    <w:p w14:paraId="3B1399E2" w14:textId="5ABC6531" w:rsidR="009A135D" w:rsidRDefault="00322670" w:rsidP="00816636">
      <w:pPr>
        <w:spacing w:after="0" w:line="240" w:lineRule="auto"/>
        <w:jc w:val="both"/>
        <w:rPr>
          <w:rFonts w:ascii="Times New Roman" w:hAnsi="Times New Roman" w:cs="Times New Roman"/>
        </w:rPr>
      </w:pPr>
      <w:r w:rsidRPr="00871DC9">
        <w:rPr>
          <w:rFonts w:ascii="Times New Roman" w:hAnsi="Times New Roman" w:cs="Times New Roman"/>
        </w:rPr>
        <w:t>El tipo de cambio de referencia con respecto al dólar se registró en Q7.</w:t>
      </w:r>
      <w:r>
        <w:rPr>
          <w:rFonts w:ascii="Times New Roman" w:hAnsi="Times New Roman" w:cs="Times New Roman"/>
        </w:rPr>
        <w:t>79</w:t>
      </w:r>
      <w:r w:rsidRPr="00871DC9">
        <w:rPr>
          <w:rFonts w:ascii="Times New Roman" w:hAnsi="Times New Roman" w:cs="Times New Roman"/>
        </w:rPr>
        <w:t xml:space="preserve"> al </w:t>
      </w:r>
      <w:r>
        <w:rPr>
          <w:rFonts w:ascii="Times New Roman" w:hAnsi="Times New Roman" w:cs="Times New Roman"/>
        </w:rPr>
        <w:t>31</w:t>
      </w:r>
      <w:r w:rsidRPr="00871DC9">
        <w:rPr>
          <w:rFonts w:ascii="Times New Roman" w:hAnsi="Times New Roman" w:cs="Times New Roman"/>
        </w:rPr>
        <w:t xml:space="preserve"> de </w:t>
      </w:r>
      <w:r>
        <w:rPr>
          <w:rFonts w:ascii="Times New Roman" w:hAnsi="Times New Roman" w:cs="Times New Roman"/>
        </w:rPr>
        <w:t>diciembre</w:t>
      </w:r>
      <w:r w:rsidRPr="00871DC9">
        <w:rPr>
          <w:rFonts w:ascii="Times New Roman" w:hAnsi="Times New Roman" w:cs="Times New Roman"/>
        </w:rPr>
        <w:t xml:space="preserve"> de 2020, con una depreciación de 1.</w:t>
      </w:r>
      <w:r>
        <w:rPr>
          <w:rFonts w:ascii="Times New Roman" w:hAnsi="Times New Roman" w:cs="Times New Roman"/>
        </w:rPr>
        <w:t>2</w:t>
      </w:r>
      <w:r w:rsidRPr="00871DC9">
        <w:rPr>
          <w:rFonts w:ascii="Times New Roman" w:hAnsi="Times New Roman" w:cs="Times New Roman"/>
        </w:rPr>
        <w:t xml:space="preserve">% con respecto al registrado el último día del año 2019. La tendencia de la depreciación se </w:t>
      </w:r>
      <w:r>
        <w:rPr>
          <w:rFonts w:ascii="Times New Roman" w:hAnsi="Times New Roman" w:cs="Times New Roman"/>
        </w:rPr>
        <w:t>mantuvo</w:t>
      </w:r>
      <w:r w:rsidRPr="00871DC9">
        <w:rPr>
          <w:rFonts w:ascii="Times New Roman" w:hAnsi="Times New Roman" w:cs="Times New Roman"/>
        </w:rPr>
        <w:t xml:space="preserve"> en el </w:t>
      </w:r>
      <w:r>
        <w:rPr>
          <w:rFonts w:ascii="Times New Roman" w:hAnsi="Times New Roman" w:cs="Times New Roman"/>
        </w:rPr>
        <w:t>este</w:t>
      </w:r>
      <w:r w:rsidRPr="00871DC9">
        <w:rPr>
          <w:rFonts w:ascii="Times New Roman" w:hAnsi="Times New Roman" w:cs="Times New Roman"/>
        </w:rPr>
        <w:t xml:space="preserve"> año a pesar de la recuperación de las exportaciones y remesas, además de la disminución de las importaciones, es importante indicar también que el Banco de Guatemala </w:t>
      </w:r>
      <w:r>
        <w:rPr>
          <w:rFonts w:ascii="Times New Roman" w:hAnsi="Times New Roman" w:cs="Times New Roman"/>
        </w:rPr>
        <w:t>participó en el mercado en 2020 con compras de US$2,511.3 millones, de las cuales US$7.34.0 millones fueron por acumulación de reservas y US$111.3 mi</w:t>
      </w:r>
      <w:r w:rsidR="00816636">
        <w:rPr>
          <w:rFonts w:ascii="Times New Roman" w:hAnsi="Times New Roman" w:cs="Times New Roman"/>
        </w:rPr>
        <w:t>llones por volatilidad inusual.</w:t>
      </w:r>
    </w:p>
    <w:p w14:paraId="0882E351" w14:textId="77777777" w:rsidR="00816636" w:rsidRDefault="00816636" w:rsidP="00816636">
      <w:pPr>
        <w:spacing w:after="0" w:line="240" w:lineRule="auto"/>
        <w:jc w:val="both"/>
        <w:rPr>
          <w:rFonts w:ascii="Times New Roman" w:hAnsi="Times New Roman" w:cs="Times New Roman"/>
        </w:rPr>
      </w:pPr>
    </w:p>
    <w:p w14:paraId="00550032" w14:textId="79D718BA" w:rsidR="00056D1A" w:rsidRPr="00155114" w:rsidRDefault="00056D1A" w:rsidP="00155114">
      <w:pPr>
        <w:jc w:val="center"/>
        <w:rPr>
          <w:rFonts w:ascii="Times New Roman" w:hAnsi="Times New Roman" w:cs="Times New Roman"/>
          <w:b/>
          <w:bCs/>
        </w:rPr>
      </w:pPr>
      <w:bookmarkStart w:id="153" w:name="_Toc81573065"/>
      <w:r w:rsidRPr="00056D1A">
        <w:rPr>
          <w:rFonts w:ascii="Times New Roman" w:hAnsi="Times New Roman" w:cs="Times New Roman"/>
          <w:b/>
          <w:i/>
        </w:rPr>
        <w:t xml:space="preserve">Gráfico </w:t>
      </w:r>
      <w:r w:rsidRPr="00056D1A">
        <w:rPr>
          <w:rFonts w:ascii="Times New Roman" w:hAnsi="Times New Roman" w:cs="Times New Roman"/>
          <w:b/>
          <w:i/>
        </w:rPr>
        <w:fldChar w:fldCharType="begin"/>
      </w:r>
      <w:r w:rsidRPr="00056D1A">
        <w:rPr>
          <w:rFonts w:ascii="Times New Roman" w:hAnsi="Times New Roman" w:cs="Times New Roman"/>
          <w:b/>
          <w:i/>
        </w:rPr>
        <w:instrText xml:space="preserve"> SEQ Gráfico \* ARABIC </w:instrText>
      </w:r>
      <w:r w:rsidRPr="00056D1A">
        <w:rPr>
          <w:rFonts w:ascii="Times New Roman" w:hAnsi="Times New Roman" w:cs="Times New Roman"/>
          <w:b/>
          <w:i/>
        </w:rPr>
        <w:fldChar w:fldCharType="separate"/>
      </w:r>
      <w:r w:rsidR="00D6529D">
        <w:rPr>
          <w:rFonts w:ascii="Times New Roman" w:hAnsi="Times New Roman" w:cs="Times New Roman"/>
          <w:b/>
          <w:i/>
          <w:noProof/>
        </w:rPr>
        <w:t>15</w:t>
      </w:r>
      <w:r w:rsidRPr="00056D1A">
        <w:rPr>
          <w:rFonts w:ascii="Times New Roman" w:hAnsi="Times New Roman" w:cs="Times New Roman"/>
          <w:b/>
          <w:i/>
        </w:rPr>
        <w:fldChar w:fldCharType="end"/>
      </w:r>
      <w:r w:rsidRPr="00056D1A">
        <w:rPr>
          <w:rFonts w:ascii="Times New Roman" w:hAnsi="Times New Roman" w:cs="Times New Roman"/>
          <w:b/>
          <w:i/>
        </w:rPr>
        <w:t xml:space="preserve">  </w:t>
      </w:r>
      <w:r w:rsidRPr="00056D1A">
        <w:rPr>
          <w:rFonts w:ascii="Times New Roman" w:hAnsi="Times New Roman" w:cs="Times New Roman"/>
          <w:b/>
          <w:bCs/>
        </w:rPr>
        <w:t>Tipo de cambio de referencia (Q/$)</w:t>
      </w:r>
      <w:bookmarkEnd w:id="153"/>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513"/>
      </w:tblGrid>
      <w:tr w:rsidR="00322670" w14:paraId="0C8BBF84" w14:textId="77777777" w:rsidTr="00816636">
        <w:trPr>
          <w:trHeight w:val="177"/>
        </w:trPr>
        <w:tc>
          <w:tcPr>
            <w:tcW w:w="4378" w:type="dxa"/>
          </w:tcPr>
          <w:p w14:paraId="5F6E4F6A" w14:textId="77777777" w:rsidR="00322670" w:rsidRPr="00CA7BDF" w:rsidRDefault="00322670" w:rsidP="00DE1FBB">
            <w:pPr>
              <w:jc w:val="center"/>
              <w:rPr>
                <w:rFonts w:ascii="Times New Roman" w:hAnsi="Times New Roman" w:cs="Times New Roman"/>
                <w:b/>
                <w:bCs/>
                <w:sz w:val="20"/>
                <w:szCs w:val="20"/>
              </w:rPr>
            </w:pPr>
            <w:r>
              <w:rPr>
                <w:rFonts w:ascii="Times New Roman" w:hAnsi="Times New Roman" w:cs="Times New Roman"/>
                <w:b/>
                <w:bCs/>
                <w:sz w:val="20"/>
                <w:szCs w:val="20"/>
              </w:rPr>
              <w:t>Último día del año 2012-2020</w:t>
            </w:r>
          </w:p>
        </w:tc>
        <w:tc>
          <w:tcPr>
            <w:tcW w:w="4351" w:type="dxa"/>
          </w:tcPr>
          <w:p w14:paraId="25E991D1" w14:textId="77777777" w:rsidR="00322670" w:rsidRPr="00CA7BDF" w:rsidRDefault="00322670" w:rsidP="00DE1FBB">
            <w:pPr>
              <w:jc w:val="center"/>
              <w:rPr>
                <w:rFonts w:ascii="Times New Roman" w:hAnsi="Times New Roman" w:cs="Times New Roman"/>
                <w:b/>
                <w:bCs/>
                <w:sz w:val="20"/>
                <w:szCs w:val="20"/>
              </w:rPr>
            </w:pPr>
            <w:r>
              <w:rPr>
                <w:rFonts w:ascii="Times New Roman" w:hAnsi="Times New Roman" w:cs="Times New Roman"/>
                <w:b/>
                <w:bCs/>
                <w:sz w:val="20"/>
                <w:szCs w:val="20"/>
              </w:rPr>
              <w:t>En el año 2020</w:t>
            </w:r>
          </w:p>
        </w:tc>
      </w:tr>
      <w:tr w:rsidR="00322670" w14:paraId="437B9F5D" w14:textId="77777777" w:rsidTr="00816636">
        <w:tblPrEx>
          <w:tblCellMar>
            <w:left w:w="70" w:type="dxa"/>
            <w:right w:w="70" w:type="dxa"/>
          </w:tblCellMar>
        </w:tblPrEx>
        <w:trPr>
          <w:trHeight w:val="2670"/>
        </w:trPr>
        <w:tc>
          <w:tcPr>
            <w:tcW w:w="4378" w:type="dxa"/>
          </w:tcPr>
          <w:p w14:paraId="683EF475" w14:textId="77777777" w:rsidR="00322670" w:rsidRDefault="00322670" w:rsidP="00DE1FBB">
            <w:pPr>
              <w:jc w:val="center"/>
            </w:pPr>
            <w:r>
              <w:rPr>
                <w:noProof/>
                <w:lang w:val="es-ES" w:eastAsia="es-ES"/>
              </w:rPr>
              <w:drawing>
                <wp:inline distT="0" distB="0" distL="0" distR="0" wp14:anchorId="5712C21E" wp14:editId="39DCD9C4">
                  <wp:extent cx="2884805" cy="2018581"/>
                  <wp:effectExtent l="0" t="0" r="0" b="1270"/>
                  <wp:docPr id="25" name="Gráfico 2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7FD608A-FB0D-4130-AD43-04FB4204AE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4351" w:type="dxa"/>
          </w:tcPr>
          <w:p w14:paraId="52350D9C" w14:textId="13E6A657" w:rsidR="00322670" w:rsidRDefault="009A135D" w:rsidP="00DE1FBB">
            <w:r>
              <w:rPr>
                <w:noProof/>
                <w:lang w:val="es-ES" w:eastAsia="es-ES"/>
              </w:rPr>
              <w:drawing>
                <wp:inline distT="0" distB="0" distL="0" distR="0" wp14:anchorId="12881AF8" wp14:editId="689B1023">
                  <wp:extent cx="2866390" cy="1828800"/>
                  <wp:effectExtent l="0" t="0" r="0" b="0"/>
                  <wp:docPr id="49" name="Gráfico 4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0F102D2-61D5-47E8-A950-74C38F853B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8580318" w14:textId="59EF6BA7" w:rsidR="00322670" w:rsidRPr="00CA1127" w:rsidRDefault="00322670" w:rsidP="00DE1FBB"/>
        </w:tc>
      </w:tr>
      <w:tr w:rsidR="00322670" w14:paraId="4D1D7F55" w14:textId="77777777" w:rsidTr="00816636">
        <w:trPr>
          <w:trHeight w:val="156"/>
        </w:trPr>
        <w:tc>
          <w:tcPr>
            <w:tcW w:w="8729" w:type="dxa"/>
            <w:gridSpan w:val="2"/>
          </w:tcPr>
          <w:p w14:paraId="789D7EFC" w14:textId="77777777" w:rsidR="00322670" w:rsidRPr="00816636" w:rsidRDefault="00322670" w:rsidP="00DE1FBB">
            <w:pPr>
              <w:rPr>
                <w:rFonts w:ascii="Times New Roman" w:hAnsi="Times New Roman" w:cs="Times New Roman"/>
                <w:sz w:val="16"/>
                <w:szCs w:val="18"/>
              </w:rPr>
            </w:pPr>
            <w:r w:rsidRPr="00816636">
              <w:rPr>
                <w:rFonts w:ascii="Times New Roman" w:hAnsi="Times New Roman" w:cs="Times New Roman"/>
                <w:sz w:val="16"/>
                <w:szCs w:val="18"/>
              </w:rPr>
              <w:t>Fuente: Elaboración DAPF con información del BANGUAT.</w:t>
            </w:r>
          </w:p>
        </w:tc>
      </w:tr>
    </w:tbl>
    <w:p w14:paraId="7FAACE65" w14:textId="77777777" w:rsidR="00322670" w:rsidRPr="009206E2" w:rsidRDefault="00322670" w:rsidP="00322670">
      <w:pPr>
        <w:spacing w:after="0" w:line="240" w:lineRule="auto"/>
        <w:jc w:val="both"/>
        <w:rPr>
          <w:rFonts w:ascii="Times New Roman" w:hAnsi="Times New Roman" w:cs="Times New Roman"/>
          <w:noProof/>
          <w:szCs w:val="16"/>
        </w:rPr>
      </w:pPr>
    </w:p>
    <w:p w14:paraId="56BCF5D2" w14:textId="77777777" w:rsidR="00322670" w:rsidRDefault="00322670" w:rsidP="001032E7">
      <w:pPr>
        <w:pStyle w:val="Ttulo2"/>
        <w:numPr>
          <w:ilvl w:val="0"/>
          <w:numId w:val="28"/>
        </w:numPr>
        <w:tabs>
          <w:tab w:val="left" w:pos="851"/>
        </w:tabs>
        <w:spacing w:before="0"/>
        <w:ind w:left="284" w:hanging="283"/>
        <w:rPr>
          <w:rFonts w:ascii="Times New Roman" w:hAnsi="Times New Roman" w:cs="Times New Roman"/>
          <w:color w:val="auto"/>
          <w:lang w:val="es-GT"/>
        </w:rPr>
      </w:pPr>
      <w:bookmarkStart w:id="154" w:name="_Toc49939411"/>
      <w:bookmarkStart w:id="155" w:name="_Toc72489369"/>
      <w:bookmarkStart w:id="156" w:name="_Toc81571852"/>
      <w:r w:rsidRPr="00160D76">
        <w:rPr>
          <w:rFonts w:ascii="Times New Roman" w:hAnsi="Times New Roman" w:cs="Times New Roman"/>
          <w:color w:val="auto"/>
          <w:lang w:val="es-GT"/>
        </w:rPr>
        <w:t>Escenario macroeconómico 2021</w:t>
      </w:r>
      <w:bookmarkEnd w:id="154"/>
      <w:bookmarkEnd w:id="155"/>
      <w:bookmarkEnd w:id="156"/>
    </w:p>
    <w:p w14:paraId="2A2F6051" w14:textId="77777777" w:rsidR="00322670" w:rsidRPr="00155114" w:rsidRDefault="00322670" w:rsidP="001101B9">
      <w:pPr>
        <w:spacing w:after="0" w:line="240" w:lineRule="auto"/>
        <w:rPr>
          <w:sz w:val="18"/>
          <w:lang w:eastAsia="es-ES"/>
        </w:rPr>
      </w:pPr>
    </w:p>
    <w:p w14:paraId="768ED3E5" w14:textId="77777777" w:rsidR="00322670" w:rsidRDefault="00322670" w:rsidP="001032E7">
      <w:pPr>
        <w:pStyle w:val="Ttulo2"/>
        <w:numPr>
          <w:ilvl w:val="1"/>
          <w:numId w:val="28"/>
        </w:numPr>
        <w:tabs>
          <w:tab w:val="left" w:pos="851"/>
        </w:tabs>
        <w:spacing w:before="0"/>
        <w:ind w:left="567"/>
        <w:rPr>
          <w:rFonts w:ascii="Times New Roman" w:hAnsi="Times New Roman" w:cs="Times New Roman"/>
          <w:color w:val="auto"/>
          <w:lang w:val="es-GT"/>
        </w:rPr>
      </w:pPr>
      <w:r w:rsidRPr="00160D76">
        <w:rPr>
          <w:rFonts w:ascii="Times New Roman" w:hAnsi="Times New Roman" w:cs="Times New Roman"/>
          <w:color w:val="auto"/>
          <w:lang w:val="es-GT"/>
        </w:rPr>
        <w:t xml:space="preserve"> </w:t>
      </w:r>
      <w:r w:rsidRPr="00437824">
        <w:rPr>
          <w:rFonts w:ascii="Times New Roman" w:hAnsi="Times New Roman" w:cs="Times New Roman"/>
          <w:color w:val="auto"/>
          <w:lang w:val="es-GT"/>
        </w:rPr>
        <w:t xml:space="preserve"> </w:t>
      </w:r>
      <w:bookmarkStart w:id="157" w:name="_Toc72489370"/>
      <w:bookmarkStart w:id="158" w:name="_Toc81571853"/>
      <w:r>
        <w:rPr>
          <w:rFonts w:ascii="Times New Roman" w:hAnsi="Times New Roman" w:cs="Times New Roman"/>
          <w:color w:val="auto"/>
          <w:lang w:val="es-GT"/>
        </w:rPr>
        <w:t>Sector real</w:t>
      </w:r>
      <w:bookmarkEnd w:id="157"/>
      <w:bookmarkEnd w:id="158"/>
    </w:p>
    <w:p w14:paraId="6063FB8A" w14:textId="77777777" w:rsidR="00322670" w:rsidRDefault="00322670" w:rsidP="001101B9">
      <w:pPr>
        <w:spacing w:after="0" w:line="240" w:lineRule="auto"/>
        <w:rPr>
          <w:lang w:eastAsia="es-ES"/>
        </w:rPr>
      </w:pPr>
    </w:p>
    <w:p w14:paraId="71553C4E" w14:textId="325A809E" w:rsidR="00816636" w:rsidRDefault="00322670" w:rsidP="009173EB">
      <w:pPr>
        <w:spacing w:after="0" w:line="240" w:lineRule="auto"/>
        <w:jc w:val="both"/>
        <w:rPr>
          <w:rFonts w:ascii="Times New Roman" w:hAnsi="Times New Roman" w:cs="Times New Roman"/>
        </w:rPr>
      </w:pPr>
      <w:r>
        <w:rPr>
          <w:rFonts w:ascii="Times New Roman" w:hAnsi="Times New Roman" w:cs="Times New Roman"/>
        </w:rPr>
        <w:t>La</w:t>
      </w:r>
      <w:r w:rsidRPr="00594EF6">
        <w:rPr>
          <w:rFonts w:ascii="Times New Roman" w:hAnsi="Times New Roman" w:cs="Times New Roman"/>
        </w:rPr>
        <w:t xml:space="preserve"> economía se recupe</w:t>
      </w:r>
      <w:r>
        <w:rPr>
          <w:rFonts w:ascii="Times New Roman" w:hAnsi="Times New Roman" w:cs="Times New Roman"/>
        </w:rPr>
        <w:t>rará</w:t>
      </w:r>
      <w:r w:rsidRPr="00594EF6">
        <w:rPr>
          <w:rFonts w:ascii="Times New Roman" w:hAnsi="Times New Roman" w:cs="Times New Roman"/>
        </w:rPr>
        <w:t xml:space="preserve"> </w:t>
      </w:r>
      <w:r>
        <w:rPr>
          <w:rFonts w:ascii="Times New Roman" w:hAnsi="Times New Roman" w:cs="Times New Roman"/>
        </w:rPr>
        <w:t xml:space="preserve">en 2021 </w:t>
      </w:r>
      <w:r w:rsidRPr="00594EF6">
        <w:rPr>
          <w:rFonts w:ascii="Times New Roman" w:hAnsi="Times New Roman" w:cs="Times New Roman"/>
        </w:rPr>
        <w:t>de manera representativa después de la fuerte caída en el año anterior</w:t>
      </w:r>
      <w:r>
        <w:rPr>
          <w:rFonts w:ascii="Times New Roman" w:hAnsi="Times New Roman" w:cs="Times New Roman"/>
        </w:rPr>
        <w:t xml:space="preserve">, lo cual </w:t>
      </w:r>
      <w:r w:rsidRPr="00594EF6">
        <w:rPr>
          <w:rFonts w:ascii="Times New Roman" w:hAnsi="Times New Roman" w:cs="Times New Roman"/>
        </w:rPr>
        <w:t xml:space="preserve">se deberá principalmente a la eliminación de las </w:t>
      </w:r>
      <w:r>
        <w:rPr>
          <w:rFonts w:ascii="Times New Roman" w:hAnsi="Times New Roman" w:cs="Times New Roman"/>
        </w:rPr>
        <w:t xml:space="preserve">restricciones que se habían realizado en 2020 para detener los contagios del COVID-19, </w:t>
      </w:r>
      <w:r w:rsidRPr="00594EF6">
        <w:rPr>
          <w:rFonts w:ascii="Times New Roman" w:hAnsi="Times New Roman" w:cs="Times New Roman"/>
        </w:rPr>
        <w:t>por lo que se observar</w:t>
      </w:r>
      <w:r>
        <w:rPr>
          <w:rFonts w:ascii="Times New Roman" w:hAnsi="Times New Roman" w:cs="Times New Roman"/>
        </w:rPr>
        <w:t>á</w:t>
      </w:r>
      <w:r w:rsidRPr="00594EF6">
        <w:rPr>
          <w:rFonts w:ascii="Times New Roman" w:hAnsi="Times New Roman" w:cs="Times New Roman"/>
        </w:rPr>
        <w:t xml:space="preserve"> un crecimiento de la demanda interna</w:t>
      </w:r>
      <w:r>
        <w:rPr>
          <w:rFonts w:ascii="Times New Roman" w:hAnsi="Times New Roman" w:cs="Times New Roman"/>
        </w:rPr>
        <w:t xml:space="preserve"> impulsada por el consumo </w:t>
      </w:r>
      <w:r w:rsidR="00816636">
        <w:rPr>
          <w:rFonts w:ascii="Times New Roman" w:hAnsi="Times New Roman" w:cs="Times New Roman"/>
        </w:rPr>
        <w:t>privado principalmente.  S</w:t>
      </w:r>
      <w:r>
        <w:rPr>
          <w:rFonts w:ascii="Times New Roman" w:hAnsi="Times New Roman" w:cs="Times New Roman"/>
        </w:rPr>
        <w:t xml:space="preserve">e espera que el comercio exterior continúe impulsado por la recuperación de la demanda tanto externa como interna; por el lado de la inversión se observan muy buenas expectativas por parte del panel de analistas privados; </w:t>
      </w:r>
      <w:r w:rsidRPr="00594EF6">
        <w:rPr>
          <w:rFonts w:ascii="Times New Roman" w:hAnsi="Times New Roman" w:cs="Times New Roman"/>
        </w:rPr>
        <w:t>por parte de la oferta observaremos recuperación d</w:t>
      </w:r>
      <w:r w:rsidR="00816636">
        <w:rPr>
          <w:rFonts w:ascii="Times New Roman" w:hAnsi="Times New Roman" w:cs="Times New Roman"/>
        </w:rPr>
        <w:t xml:space="preserve">e las actividades de servicios, </w:t>
      </w:r>
      <w:r w:rsidR="00816636" w:rsidRPr="00594EF6">
        <w:rPr>
          <w:rFonts w:ascii="Times New Roman" w:hAnsi="Times New Roman" w:cs="Times New Roman"/>
        </w:rPr>
        <w:t>construcción, transporte</w:t>
      </w:r>
      <w:r w:rsidRPr="00594EF6">
        <w:rPr>
          <w:rFonts w:ascii="Times New Roman" w:hAnsi="Times New Roman" w:cs="Times New Roman"/>
        </w:rPr>
        <w:t xml:space="preserve"> y las actividades financieras</w:t>
      </w:r>
      <w:r w:rsidR="00816636">
        <w:rPr>
          <w:rFonts w:ascii="Times New Roman" w:hAnsi="Times New Roman" w:cs="Times New Roman"/>
        </w:rPr>
        <w:t xml:space="preserve">.  </w:t>
      </w:r>
      <w:r w:rsidR="009173EB">
        <w:rPr>
          <w:rFonts w:ascii="Times New Roman" w:hAnsi="Times New Roman" w:cs="Times New Roman"/>
        </w:rPr>
        <w:t>Asimismo,</w:t>
      </w:r>
      <w:r>
        <w:rPr>
          <w:rFonts w:ascii="Times New Roman" w:hAnsi="Times New Roman" w:cs="Times New Roman"/>
        </w:rPr>
        <w:t xml:space="preserve"> </w:t>
      </w:r>
      <w:r w:rsidRPr="00594EF6">
        <w:rPr>
          <w:rFonts w:ascii="Times New Roman" w:hAnsi="Times New Roman" w:cs="Times New Roman"/>
        </w:rPr>
        <w:t>en un crecimiento en la industria manufacturera, agricultura y actividades inmobiliarias</w:t>
      </w:r>
      <w:r>
        <w:rPr>
          <w:rFonts w:ascii="Times New Roman" w:hAnsi="Times New Roman" w:cs="Times New Roman"/>
        </w:rPr>
        <w:t xml:space="preserve">. </w:t>
      </w:r>
    </w:p>
    <w:p w14:paraId="17F43C7B" w14:textId="77777777" w:rsidR="00816636" w:rsidRDefault="00816636" w:rsidP="009173EB">
      <w:pPr>
        <w:spacing w:after="0" w:line="240" w:lineRule="auto"/>
        <w:jc w:val="both"/>
        <w:rPr>
          <w:rFonts w:ascii="Times New Roman" w:hAnsi="Times New Roman" w:cs="Times New Roman"/>
        </w:rPr>
      </w:pPr>
    </w:p>
    <w:p w14:paraId="76B5C701" w14:textId="5BE5BF99" w:rsidR="00322670" w:rsidRDefault="00322670" w:rsidP="009173EB">
      <w:pPr>
        <w:spacing w:after="0" w:line="240" w:lineRule="auto"/>
        <w:jc w:val="both"/>
        <w:rPr>
          <w:rFonts w:ascii="Times New Roman" w:hAnsi="Times New Roman" w:cs="Times New Roman"/>
        </w:rPr>
      </w:pPr>
      <w:r>
        <w:rPr>
          <w:rFonts w:ascii="Times New Roman" w:hAnsi="Times New Roman" w:cs="Times New Roman"/>
        </w:rPr>
        <w:t xml:space="preserve">Con ello se prevé una recuperación del empleo, la reactivación del turismo además de un crecimiento representativo de las remesas familiares. Se espera una </w:t>
      </w:r>
      <w:r w:rsidRPr="00160D76">
        <w:rPr>
          <w:rFonts w:ascii="Times New Roman" w:hAnsi="Times New Roman" w:cs="Times New Roman"/>
        </w:rPr>
        <w:t>trayectoria</w:t>
      </w:r>
      <w:r>
        <w:rPr>
          <w:rFonts w:ascii="Times New Roman" w:hAnsi="Times New Roman" w:cs="Times New Roman"/>
        </w:rPr>
        <w:t xml:space="preserve"> futura</w:t>
      </w:r>
      <w:r w:rsidRPr="00160D76">
        <w:rPr>
          <w:rFonts w:ascii="Times New Roman" w:hAnsi="Times New Roman" w:cs="Times New Roman"/>
        </w:rPr>
        <w:t xml:space="preserve"> de la inflación</w:t>
      </w:r>
      <w:r>
        <w:rPr>
          <w:rFonts w:ascii="Times New Roman" w:hAnsi="Times New Roman" w:cs="Times New Roman"/>
        </w:rPr>
        <w:t xml:space="preserve"> con</w:t>
      </w:r>
      <w:r w:rsidRPr="00160D76">
        <w:rPr>
          <w:rFonts w:ascii="Times New Roman" w:hAnsi="Times New Roman" w:cs="Times New Roman"/>
        </w:rPr>
        <w:t xml:space="preserve"> un valor muy cercano al límite superior del margen de tolerancia de la meta de inflación</w:t>
      </w:r>
      <w:r>
        <w:rPr>
          <w:rFonts w:ascii="Times New Roman" w:hAnsi="Times New Roman" w:cs="Times New Roman"/>
        </w:rPr>
        <w:t xml:space="preserve"> para el 2021. Dicha </w:t>
      </w:r>
      <w:r w:rsidRPr="00594EF6">
        <w:rPr>
          <w:rFonts w:ascii="Times New Roman" w:hAnsi="Times New Roman" w:cs="Times New Roman"/>
        </w:rPr>
        <w:t xml:space="preserve">recuperación </w:t>
      </w:r>
      <w:r>
        <w:rPr>
          <w:rFonts w:ascii="Times New Roman" w:hAnsi="Times New Roman" w:cs="Times New Roman"/>
        </w:rPr>
        <w:t>es respaldada por un mejor entorno internacional según el FMI, BM y CEPAL; sin embargo, los</w:t>
      </w:r>
      <w:r w:rsidRPr="00160D76">
        <w:rPr>
          <w:rFonts w:ascii="Times New Roman" w:hAnsi="Times New Roman" w:cs="Times New Roman"/>
        </w:rPr>
        <w:t xml:space="preserve"> escenarios están sujetos </w:t>
      </w:r>
      <w:r>
        <w:rPr>
          <w:rFonts w:ascii="Times New Roman" w:hAnsi="Times New Roman" w:cs="Times New Roman"/>
        </w:rPr>
        <w:t>a la incertidumbre respecto a los inconvenientes y medidas que se adopten en torno a la adquisición, distribución y adquisición de las vacunas contra el COVID-19.</w:t>
      </w:r>
      <w:r w:rsidR="001101B9">
        <w:rPr>
          <w:rFonts w:ascii="Times New Roman" w:hAnsi="Times New Roman" w:cs="Times New Roman"/>
        </w:rPr>
        <w:t xml:space="preserve"> </w:t>
      </w:r>
    </w:p>
    <w:p w14:paraId="36A06474" w14:textId="77777777" w:rsidR="001101B9" w:rsidRPr="001101B9" w:rsidRDefault="001101B9" w:rsidP="009173EB">
      <w:pPr>
        <w:spacing w:after="0" w:line="240" w:lineRule="auto"/>
        <w:jc w:val="both"/>
        <w:rPr>
          <w:rFonts w:ascii="Times New Roman" w:hAnsi="Times New Roman" w:cs="Times New Roman"/>
        </w:rPr>
      </w:pPr>
    </w:p>
    <w:p w14:paraId="423A8FFB" w14:textId="77777777" w:rsidR="00322670" w:rsidRPr="00160D76" w:rsidRDefault="00322670" w:rsidP="001032E7">
      <w:pPr>
        <w:pStyle w:val="Prrafodelista"/>
        <w:keepNext/>
        <w:keepLines/>
        <w:numPr>
          <w:ilvl w:val="0"/>
          <w:numId w:val="25"/>
        </w:numPr>
        <w:spacing w:before="40" w:after="0" w:line="240" w:lineRule="auto"/>
        <w:contextualSpacing w:val="0"/>
        <w:outlineLvl w:val="2"/>
        <w:rPr>
          <w:rFonts w:ascii="Times New Roman" w:eastAsiaTheme="majorEastAsia" w:hAnsi="Times New Roman" w:cs="Times New Roman"/>
          <w:b/>
          <w:vanish/>
          <w:sz w:val="24"/>
          <w:szCs w:val="24"/>
        </w:rPr>
      </w:pPr>
      <w:bookmarkStart w:id="159" w:name="_Toc48295568"/>
      <w:bookmarkStart w:id="160" w:name="_Toc48295695"/>
      <w:bookmarkStart w:id="161" w:name="_Toc48295822"/>
      <w:bookmarkStart w:id="162" w:name="_Toc48295948"/>
      <w:bookmarkStart w:id="163" w:name="_Toc48296072"/>
      <w:bookmarkStart w:id="164" w:name="_Toc48296196"/>
      <w:bookmarkStart w:id="165" w:name="_Toc48296319"/>
      <w:bookmarkStart w:id="166" w:name="_Toc48296430"/>
      <w:bookmarkStart w:id="167" w:name="_Toc48296539"/>
      <w:bookmarkStart w:id="168" w:name="_Toc48652686"/>
      <w:bookmarkStart w:id="169" w:name="_Toc48652955"/>
      <w:bookmarkStart w:id="170" w:name="_Toc48653685"/>
      <w:bookmarkStart w:id="171" w:name="_Toc48653799"/>
      <w:bookmarkStart w:id="172" w:name="_Toc48653908"/>
      <w:bookmarkStart w:id="173" w:name="_Toc48654016"/>
      <w:bookmarkStart w:id="174" w:name="_Toc49170940"/>
      <w:bookmarkStart w:id="175" w:name="_Toc49171048"/>
      <w:bookmarkStart w:id="176" w:name="_Toc49171156"/>
      <w:bookmarkStart w:id="177" w:name="_Toc49171287"/>
      <w:bookmarkStart w:id="178" w:name="_Toc49939412"/>
      <w:bookmarkStart w:id="179" w:name="_Toc71724729"/>
      <w:bookmarkStart w:id="180" w:name="_Toc71792517"/>
      <w:bookmarkStart w:id="181" w:name="_Toc72489371"/>
      <w:bookmarkStart w:id="182" w:name="_Toc73093093"/>
      <w:bookmarkStart w:id="183" w:name="_Toc73095104"/>
      <w:bookmarkStart w:id="184" w:name="_Toc73095208"/>
      <w:bookmarkStart w:id="185" w:name="_Toc73513955"/>
      <w:bookmarkStart w:id="186" w:name="_Toc81571733"/>
      <w:bookmarkStart w:id="187" w:name="_Toc81571854"/>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5BB261DB" w14:textId="77777777" w:rsidR="00322670" w:rsidRPr="00160D76" w:rsidRDefault="00322670" w:rsidP="001032E7">
      <w:pPr>
        <w:pStyle w:val="Prrafodelista"/>
        <w:keepNext/>
        <w:keepLines/>
        <w:numPr>
          <w:ilvl w:val="1"/>
          <w:numId w:val="25"/>
        </w:numPr>
        <w:spacing w:before="40" w:after="0" w:line="240" w:lineRule="auto"/>
        <w:contextualSpacing w:val="0"/>
        <w:outlineLvl w:val="2"/>
        <w:rPr>
          <w:rFonts w:ascii="Times New Roman" w:eastAsiaTheme="majorEastAsia" w:hAnsi="Times New Roman" w:cs="Times New Roman"/>
          <w:b/>
          <w:vanish/>
          <w:sz w:val="24"/>
          <w:szCs w:val="24"/>
        </w:rPr>
      </w:pPr>
      <w:bookmarkStart w:id="188" w:name="_Toc48295569"/>
      <w:bookmarkStart w:id="189" w:name="_Toc48295696"/>
      <w:bookmarkStart w:id="190" w:name="_Toc48295823"/>
      <w:bookmarkStart w:id="191" w:name="_Toc48295949"/>
      <w:bookmarkStart w:id="192" w:name="_Toc48296073"/>
      <w:bookmarkStart w:id="193" w:name="_Toc48296197"/>
      <w:bookmarkStart w:id="194" w:name="_Toc48296320"/>
      <w:bookmarkStart w:id="195" w:name="_Toc48296431"/>
      <w:bookmarkStart w:id="196" w:name="_Toc48296540"/>
      <w:bookmarkStart w:id="197" w:name="_Toc48652687"/>
      <w:bookmarkStart w:id="198" w:name="_Toc48652956"/>
      <w:bookmarkStart w:id="199" w:name="_Toc48653686"/>
      <w:bookmarkStart w:id="200" w:name="_Toc48653800"/>
      <w:bookmarkStart w:id="201" w:name="_Toc48653909"/>
      <w:bookmarkStart w:id="202" w:name="_Toc48654017"/>
      <w:bookmarkStart w:id="203" w:name="_Toc49170941"/>
      <w:bookmarkStart w:id="204" w:name="_Toc49171049"/>
      <w:bookmarkStart w:id="205" w:name="_Toc49171157"/>
      <w:bookmarkStart w:id="206" w:name="_Toc49171288"/>
      <w:bookmarkStart w:id="207" w:name="_Toc49939413"/>
      <w:bookmarkStart w:id="208" w:name="_Toc71724730"/>
      <w:bookmarkStart w:id="209" w:name="_Toc71792518"/>
      <w:bookmarkStart w:id="210" w:name="_Toc72489372"/>
      <w:bookmarkStart w:id="211" w:name="_Toc73093094"/>
      <w:bookmarkStart w:id="212" w:name="_Toc73095105"/>
      <w:bookmarkStart w:id="213" w:name="_Toc73095209"/>
      <w:bookmarkStart w:id="214" w:name="_Toc73513956"/>
      <w:bookmarkStart w:id="215" w:name="_Toc81571734"/>
      <w:bookmarkStart w:id="216" w:name="_Toc81571855"/>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6560E7F2" w14:textId="77777777" w:rsidR="00322670" w:rsidRPr="00160D76" w:rsidRDefault="00322670" w:rsidP="001032E7">
      <w:pPr>
        <w:pStyle w:val="Prrafodelista"/>
        <w:keepNext/>
        <w:keepLines/>
        <w:numPr>
          <w:ilvl w:val="1"/>
          <w:numId w:val="25"/>
        </w:numPr>
        <w:spacing w:before="40" w:after="0" w:line="240" w:lineRule="auto"/>
        <w:contextualSpacing w:val="0"/>
        <w:outlineLvl w:val="2"/>
        <w:rPr>
          <w:rFonts w:ascii="Times New Roman" w:eastAsiaTheme="majorEastAsia" w:hAnsi="Times New Roman" w:cs="Times New Roman"/>
          <w:b/>
          <w:vanish/>
          <w:sz w:val="24"/>
          <w:szCs w:val="24"/>
        </w:rPr>
      </w:pPr>
      <w:bookmarkStart w:id="217" w:name="_Toc48295570"/>
      <w:bookmarkStart w:id="218" w:name="_Toc48295697"/>
      <w:bookmarkStart w:id="219" w:name="_Toc48295824"/>
      <w:bookmarkStart w:id="220" w:name="_Toc48295950"/>
      <w:bookmarkStart w:id="221" w:name="_Toc48296074"/>
      <w:bookmarkStart w:id="222" w:name="_Toc48296198"/>
      <w:bookmarkStart w:id="223" w:name="_Toc48296321"/>
      <w:bookmarkStart w:id="224" w:name="_Toc48296432"/>
      <w:bookmarkStart w:id="225" w:name="_Toc48296541"/>
      <w:bookmarkStart w:id="226" w:name="_Toc48652688"/>
      <w:bookmarkStart w:id="227" w:name="_Toc48652957"/>
      <w:bookmarkStart w:id="228" w:name="_Toc48653687"/>
      <w:bookmarkStart w:id="229" w:name="_Toc48653801"/>
      <w:bookmarkStart w:id="230" w:name="_Toc48653910"/>
      <w:bookmarkStart w:id="231" w:name="_Toc48654018"/>
      <w:bookmarkStart w:id="232" w:name="_Toc49170942"/>
      <w:bookmarkStart w:id="233" w:name="_Toc49171050"/>
      <w:bookmarkStart w:id="234" w:name="_Toc49171158"/>
      <w:bookmarkStart w:id="235" w:name="_Toc49171289"/>
      <w:bookmarkStart w:id="236" w:name="_Toc49939414"/>
      <w:bookmarkStart w:id="237" w:name="_Toc71724731"/>
      <w:bookmarkStart w:id="238" w:name="_Toc71792519"/>
      <w:bookmarkStart w:id="239" w:name="_Toc72489373"/>
      <w:bookmarkStart w:id="240" w:name="_Toc73093095"/>
      <w:bookmarkStart w:id="241" w:name="_Toc73095106"/>
      <w:bookmarkStart w:id="242" w:name="_Toc73095210"/>
      <w:bookmarkStart w:id="243" w:name="_Toc73513957"/>
      <w:bookmarkStart w:id="244" w:name="_Toc81571735"/>
      <w:bookmarkStart w:id="245" w:name="_Toc8157185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51AF2380" w14:textId="77777777" w:rsidR="00322670" w:rsidRPr="00160D76" w:rsidRDefault="00322670" w:rsidP="001032E7">
      <w:pPr>
        <w:pStyle w:val="Prrafodelista"/>
        <w:keepNext/>
        <w:keepLines/>
        <w:numPr>
          <w:ilvl w:val="0"/>
          <w:numId w:val="30"/>
        </w:numPr>
        <w:spacing w:before="40" w:after="0" w:line="240" w:lineRule="auto"/>
        <w:contextualSpacing w:val="0"/>
        <w:outlineLvl w:val="2"/>
        <w:rPr>
          <w:rFonts w:ascii="Times New Roman" w:eastAsiaTheme="majorEastAsia" w:hAnsi="Times New Roman" w:cs="Times New Roman"/>
          <w:b/>
          <w:vanish/>
          <w:sz w:val="24"/>
          <w:szCs w:val="24"/>
        </w:rPr>
      </w:pPr>
      <w:bookmarkStart w:id="246" w:name="_Toc48295571"/>
      <w:bookmarkStart w:id="247" w:name="_Toc48295698"/>
      <w:bookmarkStart w:id="248" w:name="_Toc48295825"/>
      <w:bookmarkStart w:id="249" w:name="_Toc48295951"/>
      <w:bookmarkStart w:id="250" w:name="_Toc48296075"/>
      <w:bookmarkStart w:id="251" w:name="_Toc48296199"/>
      <w:bookmarkStart w:id="252" w:name="_Toc48296322"/>
      <w:bookmarkStart w:id="253" w:name="_Toc48296433"/>
      <w:bookmarkStart w:id="254" w:name="_Toc48296542"/>
      <w:bookmarkStart w:id="255" w:name="_Toc48652689"/>
      <w:bookmarkStart w:id="256" w:name="_Toc48652958"/>
      <w:bookmarkStart w:id="257" w:name="_Toc48653688"/>
      <w:bookmarkStart w:id="258" w:name="_Toc48653802"/>
      <w:bookmarkStart w:id="259" w:name="_Toc48653911"/>
      <w:bookmarkStart w:id="260" w:name="_Toc48654019"/>
      <w:bookmarkStart w:id="261" w:name="_Toc49170943"/>
      <w:bookmarkStart w:id="262" w:name="_Toc49171051"/>
      <w:bookmarkStart w:id="263" w:name="_Toc49171159"/>
      <w:bookmarkStart w:id="264" w:name="_Toc49171290"/>
      <w:bookmarkStart w:id="265" w:name="_Toc49939415"/>
      <w:bookmarkStart w:id="266" w:name="_Toc71724732"/>
      <w:bookmarkStart w:id="267" w:name="_Toc71792520"/>
      <w:bookmarkStart w:id="268" w:name="_Toc72489374"/>
      <w:bookmarkStart w:id="269" w:name="_Toc73093096"/>
      <w:bookmarkStart w:id="270" w:name="_Toc73095107"/>
      <w:bookmarkStart w:id="271" w:name="_Toc73095211"/>
      <w:bookmarkStart w:id="272" w:name="_Toc73513958"/>
      <w:bookmarkStart w:id="273" w:name="_Toc81571736"/>
      <w:bookmarkStart w:id="274" w:name="_Toc81571857"/>
      <w:bookmarkStart w:id="275" w:name="_Toc16154982"/>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46F1D79E" w14:textId="77777777" w:rsidR="00322670" w:rsidRPr="00437824" w:rsidRDefault="00322670" w:rsidP="001032E7">
      <w:pPr>
        <w:pStyle w:val="Ttulo2"/>
        <w:numPr>
          <w:ilvl w:val="2"/>
          <w:numId w:val="28"/>
        </w:numPr>
        <w:tabs>
          <w:tab w:val="left" w:pos="851"/>
          <w:tab w:val="left" w:pos="1134"/>
        </w:tabs>
        <w:spacing w:before="0"/>
        <w:ind w:left="709" w:hanging="360"/>
        <w:rPr>
          <w:rFonts w:ascii="Times New Roman" w:hAnsi="Times New Roman" w:cs="Times New Roman"/>
          <w:color w:val="auto"/>
          <w:lang w:val="es-GT"/>
        </w:rPr>
      </w:pPr>
      <w:bookmarkStart w:id="276" w:name="_Toc49939417"/>
      <w:bookmarkStart w:id="277" w:name="_Toc72489375"/>
      <w:bookmarkStart w:id="278" w:name="_Toc81571858"/>
      <w:r w:rsidRPr="00437824">
        <w:rPr>
          <w:rFonts w:ascii="Times New Roman" w:hAnsi="Times New Roman" w:cs="Times New Roman"/>
          <w:color w:val="auto"/>
          <w:lang w:val="es-GT"/>
        </w:rPr>
        <w:t>Producto Interno Bruto</w:t>
      </w:r>
      <w:bookmarkEnd w:id="275"/>
      <w:bookmarkEnd w:id="276"/>
      <w:bookmarkEnd w:id="277"/>
      <w:bookmarkEnd w:id="278"/>
    </w:p>
    <w:p w14:paraId="46E99460" w14:textId="77777777" w:rsidR="00322670" w:rsidRPr="00160D76" w:rsidRDefault="00322670" w:rsidP="00322670">
      <w:pPr>
        <w:spacing w:after="0" w:line="240" w:lineRule="auto"/>
        <w:jc w:val="both"/>
        <w:rPr>
          <w:rFonts w:ascii="Times New Roman" w:hAnsi="Times New Roman" w:cs="Times New Roman"/>
        </w:rPr>
      </w:pPr>
    </w:p>
    <w:p w14:paraId="09EE07C3" w14:textId="1ACEBC3C" w:rsidR="00322670" w:rsidRPr="005E56D0" w:rsidRDefault="00322670" w:rsidP="00322670">
      <w:pPr>
        <w:spacing w:after="0" w:line="240" w:lineRule="auto"/>
        <w:jc w:val="both"/>
        <w:rPr>
          <w:rFonts w:ascii="Times New Roman" w:hAnsi="Times New Roman" w:cs="Times New Roman"/>
        </w:rPr>
      </w:pPr>
      <w:r w:rsidRPr="00160D76">
        <w:rPr>
          <w:rFonts w:ascii="Times New Roman" w:hAnsi="Times New Roman" w:cs="Times New Roman"/>
        </w:rPr>
        <w:t>El Índice Mensual de la Actividad Económica -IMAE- publicado por el Banco de Guatemala, el cual registr</w:t>
      </w:r>
      <w:r>
        <w:rPr>
          <w:rFonts w:ascii="Times New Roman" w:hAnsi="Times New Roman" w:cs="Times New Roman"/>
        </w:rPr>
        <w:t>ó</w:t>
      </w:r>
      <w:r w:rsidRPr="00160D76">
        <w:rPr>
          <w:rFonts w:ascii="Times New Roman" w:hAnsi="Times New Roman" w:cs="Times New Roman"/>
        </w:rPr>
        <w:t xml:space="preserve"> una tasa de crecimiento </w:t>
      </w:r>
      <w:r w:rsidR="00D53C1D">
        <w:rPr>
          <w:rFonts w:ascii="Times New Roman" w:hAnsi="Times New Roman" w:cs="Times New Roman"/>
        </w:rPr>
        <w:t xml:space="preserve">interanual </w:t>
      </w:r>
      <w:r w:rsidRPr="00160D76">
        <w:rPr>
          <w:rFonts w:ascii="Times New Roman" w:hAnsi="Times New Roman" w:cs="Times New Roman"/>
        </w:rPr>
        <w:t xml:space="preserve">de </w:t>
      </w:r>
      <w:r w:rsidR="00D53C1D">
        <w:rPr>
          <w:rFonts w:ascii="Times New Roman" w:hAnsi="Times New Roman" w:cs="Times New Roman"/>
        </w:rPr>
        <w:t>13.9</w:t>
      </w:r>
      <w:r w:rsidRPr="00160D76">
        <w:rPr>
          <w:rFonts w:ascii="Times New Roman" w:hAnsi="Times New Roman" w:cs="Times New Roman"/>
        </w:rPr>
        <w:t xml:space="preserve">% a </w:t>
      </w:r>
      <w:r w:rsidR="00D53C1D">
        <w:rPr>
          <w:rFonts w:ascii="Times New Roman" w:hAnsi="Times New Roman" w:cs="Times New Roman"/>
        </w:rPr>
        <w:t>junio</w:t>
      </w:r>
      <w:r w:rsidRPr="00160D76">
        <w:rPr>
          <w:rFonts w:ascii="Times New Roman" w:hAnsi="Times New Roman" w:cs="Times New Roman"/>
        </w:rPr>
        <w:t xml:space="preserve"> del 2021 en comparación con el </w:t>
      </w:r>
      <w:r w:rsidR="00D53C1D">
        <w:rPr>
          <w:rFonts w:ascii="Times New Roman" w:hAnsi="Times New Roman" w:cs="Times New Roman"/>
        </w:rPr>
        <w:t>-7.5</w:t>
      </w:r>
      <w:r w:rsidRPr="00160D76">
        <w:rPr>
          <w:rFonts w:ascii="Times New Roman" w:hAnsi="Times New Roman" w:cs="Times New Roman"/>
        </w:rPr>
        <w:t xml:space="preserve">% del mismo mes en </w:t>
      </w:r>
      <w:r w:rsidRPr="005E56D0">
        <w:rPr>
          <w:rFonts w:ascii="Times New Roman" w:hAnsi="Times New Roman" w:cs="Times New Roman"/>
        </w:rPr>
        <w:t xml:space="preserve">el 2020, estuvo influenciado por el crecimiento registrado, principalmente, en las actividades de: Comercio y reparación de vehículos; Industrias manufactureras; Actividades inmobiliarias; Construcción y Agricultura, ganadería silvicultura y pesca. A nivel de tenencia-ciclo registró una tasa de variación interanual de </w:t>
      </w:r>
      <w:r w:rsidR="00D53C1D" w:rsidRPr="005E56D0">
        <w:rPr>
          <w:rFonts w:ascii="Times New Roman" w:hAnsi="Times New Roman" w:cs="Times New Roman"/>
        </w:rPr>
        <w:t>11.3</w:t>
      </w:r>
      <w:r w:rsidRPr="005E56D0">
        <w:rPr>
          <w:rFonts w:ascii="Times New Roman" w:hAnsi="Times New Roman" w:cs="Times New Roman"/>
        </w:rPr>
        <w:t>%, más dinámica que la registrada en el mismo mes del año previo de -</w:t>
      </w:r>
      <w:r w:rsidR="00D53C1D" w:rsidRPr="005E56D0">
        <w:rPr>
          <w:rFonts w:ascii="Times New Roman" w:hAnsi="Times New Roman" w:cs="Times New Roman"/>
        </w:rPr>
        <w:t>6.7</w:t>
      </w:r>
      <w:r w:rsidRPr="005E56D0">
        <w:rPr>
          <w:rFonts w:ascii="Times New Roman" w:hAnsi="Times New Roman" w:cs="Times New Roman"/>
        </w:rPr>
        <w:t>%.</w:t>
      </w:r>
      <w:bookmarkStart w:id="279" w:name="_Toc50016831"/>
    </w:p>
    <w:p w14:paraId="0BAC7200" w14:textId="77777777" w:rsidR="00322670" w:rsidRPr="005E56D0" w:rsidRDefault="00322670" w:rsidP="00322670">
      <w:pPr>
        <w:spacing w:after="0" w:line="240" w:lineRule="auto"/>
        <w:jc w:val="both"/>
        <w:rPr>
          <w:rFonts w:ascii="Times New Roman" w:hAnsi="Times New Roman" w:cs="Times New Roman"/>
        </w:rPr>
      </w:pPr>
    </w:p>
    <w:p w14:paraId="719E1947" w14:textId="199B800F" w:rsidR="00322670" w:rsidRDefault="00322670" w:rsidP="00322670">
      <w:pPr>
        <w:spacing w:after="0" w:line="240" w:lineRule="auto"/>
        <w:jc w:val="both"/>
        <w:rPr>
          <w:rFonts w:ascii="Times New Roman" w:hAnsi="Times New Roman" w:cs="Times New Roman"/>
        </w:rPr>
      </w:pPr>
      <w:r w:rsidRPr="005E56D0">
        <w:rPr>
          <w:rFonts w:ascii="Times New Roman" w:hAnsi="Times New Roman" w:cs="Times New Roman"/>
        </w:rPr>
        <w:t xml:space="preserve">La actividad económica guatemalteca, al cierre de 2021 podría registrar un crecimiento de </w:t>
      </w:r>
      <w:r w:rsidR="00E17E62" w:rsidRPr="005E56D0">
        <w:rPr>
          <w:rFonts w:ascii="Times New Roman" w:hAnsi="Times New Roman" w:cs="Times New Roman"/>
        </w:rPr>
        <w:t>5</w:t>
      </w:r>
      <w:r w:rsidRPr="005E56D0">
        <w:rPr>
          <w:rFonts w:ascii="Times New Roman" w:hAnsi="Times New Roman" w:cs="Times New Roman"/>
        </w:rPr>
        <w:t xml:space="preserve">.0% , en un rango entre </w:t>
      </w:r>
      <w:r w:rsidR="00E17E62" w:rsidRPr="005E56D0">
        <w:rPr>
          <w:rFonts w:ascii="Times New Roman" w:hAnsi="Times New Roman" w:cs="Times New Roman"/>
        </w:rPr>
        <w:t>4</w:t>
      </w:r>
      <w:r w:rsidRPr="005E56D0">
        <w:rPr>
          <w:rFonts w:ascii="Times New Roman" w:hAnsi="Times New Roman" w:cs="Times New Roman"/>
        </w:rPr>
        <w:t xml:space="preserve">.0% y </w:t>
      </w:r>
      <w:r w:rsidR="00E17E62" w:rsidRPr="005E56D0">
        <w:rPr>
          <w:rFonts w:ascii="Times New Roman" w:hAnsi="Times New Roman" w:cs="Times New Roman"/>
        </w:rPr>
        <w:t>6</w:t>
      </w:r>
      <w:r w:rsidRPr="005E56D0">
        <w:rPr>
          <w:rFonts w:ascii="Times New Roman" w:hAnsi="Times New Roman" w:cs="Times New Roman"/>
        </w:rPr>
        <w:t>.0% según el Banco de Guatemala, el cual es consecuencia, en parte, del efecto “Catch-up” derivado de</w:t>
      </w:r>
      <w:r w:rsidRPr="00160D76">
        <w:rPr>
          <w:rFonts w:ascii="Times New Roman" w:hAnsi="Times New Roman" w:cs="Times New Roman"/>
        </w:rPr>
        <w:t xml:space="preserve"> la caída en 2020 resultado principalmente de las medidas sanitarias para contener la propagación de la pandemia por COVID-19</w:t>
      </w:r>
      <w:r>
        <w:rPr>
          <w:rFonts w:ascii="Times New Roman" w:hAnsi="Times New Roman" w:cs="Times New Roman"/>
        </w:rPr>
        <w:t xml:space="preserve">, además se prevé un impulso en la economía nacional por </w:t>
      </w:r>
      <w:r w:rsidRPr="00160D76">
        <w:rPr>
          <w:rFonts w:ascii="Times New Roman" w:hAnsi="Times New Roman" w:cs="Times New Roman"/>
        </w:rPr>
        <w:t xml:space="preserve"> la recuperación de </w:t>
      </w:r>
      <w:r>
        <w:rPr>
          <w:rFonts w:ascii="Times New Roman" w:hAnsi="Times New Roman" w:cs="Times New Roman"/>
        </w:rPr>
        <w:t>la economía mundial principalmente de los principales socios comerciales de Guatemala, proyecciones respaldadas por también por el Fondo Monetario Internacional -FMI- quien prevé que el crecimiento para el 2021 sería de 4.5%, sin embargo el Banco Mundial -BM- es más conservador al pronosticar un 3.6% para el mismo año y la Comisión Económica para América Latina y el Caribe -CEPAL- en la misma línea conservadora estima que dicho crecimiento estaría en 3.5%.</w:t>
      </w:r>
    </w:p>
    <w:p w14:paraId="593CAA3C" w14:textId="14311D80" w:rsidR="00322670" w:rsidRDefault="00322670" w:rsidP="001101B9">
      <w:pPr>
        <w:pStyle w:val="Epgrafe"/>
        <w:spacing w:after="0"/>
        <w:rPr>
          <w:rFonts w:ascii="Times New Roman" w:hAnsi="Times New Roman" w:cs="Times New Roman"/>
          <w:b/>
          <w:i w:val="0"/>
          <w:color w:val="auto"/>
          <w:sz w:val="22"/>
          <w:szCs w:val="22"/>
        </w:rPr>
      </w:pPr>
    </w:p>
    <w:p w14:paraId="3B4572D8" w14:textId="7599DB8E" w:rsidR="00816636" w:rsidRDefault="00816636" w:rsidP="00816636"/>
    <w:p w14:paraId="2A88CB1A" w14:textId="6B6337F9" w:rsidR="00816636" w:rsidRDefault="00816636" w:rsidP="00816636"/>
    <w:p w14:paraId="58674CC8" w14:textId="31AAB6CC" w:rsidR="00816636" w:rsidRDefault="00816636" w:rsidP="00816636"/>
    <w:p w14:paraId="712124AC" w14:textId="636C2711" w:rsidR="00816636" w:rsidRPr="00816636" w:rsidRDefault="00816636" w:rsidP="00816636"/>
    <w:p w14:paraId="075B99F0" w14:textId="5D8C087E" w:rsidR="00322670" w:rsidRPr="00160D76" w:rsidRDefault="00C027A7" w:rsidP="00155114">
      <w:pPr>
        <w:pStyle w:val="Epgrafe"/>
        <w:spacing w:after="0"/>
        <w:jc w:val="center"/>
        <w:rPr>
          <w:rFonts w:ascii="Times New Roman" w:hAnsi="Times New Roman" w:cs="Times New Roman"/>
          <w:b/>
          <w:bCs/>
          <w:i w:val="0"/>
          <w:iCs w:val="0"/>
          <w:color w:val="auto"/>
          <w:sz w:val="22"/>
          <w:szCs w:val="22"/>
        </w:rPr>
      </w:pPr>
      <w:bookmarkStart w:id="280" w:name="_Toc81573066"/>
      <w:r w:rsidRPr="00C027A7">
        <w:rPr>
          <w:rFonts w:ascii="Times New Roman" w:hAnsi="Times New Roman" w:cs="Times New Roman"/>
          <w:b/>
          <w:color w:val="auto"/>
          <w:sz w:val="20"/>
        </w:rPr>
        <w:t xml:space="preserve">Gráfico </w:t>
      </w:r>
      <w:r w:rsidRPr="00C027A7">
        <w:rPr>
          <w:rFonts w:ascii="Times New Roman" w:hAnsi="Times New Roman" w:cs="Times New Roman"/>
          <w:b/>
          <w:color w:val="auto"/>
          <w:sz w:val="20"/>
        </w:rPr>
        <w:fldChar w:fldCharType="begin"/>
      </w:r>
      <w:r w:rsidRPr="00C027A7">
        <w:rPr>
          <w:rFonts w:ascii="Times New Roman" w:hAnsi="Times New Roman" w:cs="Times New Roman"/>
          <w:b/>
          <w:color w:val="auto"/>
          <w:sz w:val="20"/>
        </w:rPr>
        <w:instrText xml:space="preserve"> SEQ Gráfico \* ARABIC </w:instrText>
      </w:r>
      <w:r w:rsidRPr="00C027A7">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16</w:t>
      </w:r>
      <w:r w:rsidRPr="00C027A7">
        <w:rPr>
          <w:rFonts w:ascii="Times New Roman" w:hAnsi="Times New Roman" w:cs="Times New Roman"/>
          <w:b/>
          <w:color w:val="auto"/>
          <w:sz w:val="20"/>
        </w:rPr>
        <w:fldChar w:fldCharType="end"/>
      </w:r>
      <w:r w:rsidRPr="00C027A7">
        <w:rPr>
          <w:rFonts w:ascii="Times New Roman" w:hAnsi="Times New Roman" w:cs="Times New Roman"/>
          <w:b/>
          <w:color w:val="auto"/>
          <w:sz w:val="20"/>
        </w:rPr>
        <w:t xml:space="preserve">  </w:t>
      </w:r>
      <w:r w:rsidR="00322670" w:rsidRPr="00160D76">
        <w:rPr>
          <w:rFonts w:ascii="Times New Roman" w:hAnsi="Times New Roman" w:cs="Times New Roman"/>
          <w:b/>
          <w:bCs/>
          <w:i w:val="0"/>
          <w:iCs w:val="0"/>
          <w:color w:val="auto"/>
          <w:sz w:val="22"/>
          <w:szCs w:val="22"/>
        </w:rPr>
        <w:t>Índice Mensual de la Actividad Económica</w:t>
      </w:r>
      <w:bookmarkEnd w:id="279"/>
      <w:bookmarkEnd w:id="280"/>
    </w:p>
    <w:p w14:paraId="602D535E" w14:textId="77777777" w:rsidR="00322670" w:rsidRPr="00160D76" w:rsidRDefault="00322670" w:rsidP="00322670">
      <w:pPr>
        <w:pStyle w:val="Epgrafe"/>
        <w:keepNext/>
        <w:spacing w:after="0" w:line="276" w:lineRule="auto"/>
        <w:jc w:val="center"/>
        <w:rPr>
          <w:rFonts w:ascii="Times New Roman" w:hAnsi="Times New Roman" w:cs="Times New Roman"/>
          <w:i w:val="0"/>
          <w:iCs w:val="0"/>
          <w:color w:val="auto"/>
          <w:sz w:val="20"/>
          <w:szCs w:val="20"/>
        </w:rPr>
      </w:pPr>
      <w:r w:rsidRPr="00160D76">
        <w:rPr>
          <w:rFonts w:ascii="Times New Roman" w:hAnsi="Times New Roman" w:cs="Times New Roman"/>
          <w:i w:val="0"/>
          <w:iCs w:val="0"/>
          <w:color w:val="auto"/>
          <w:sz w:val="20"/>
          <w:szCs w:val="20"/>
        </w:rPr>
        <w:t>Variaciones Porcentuales Interanuales</w:t>
      </w:r>
    </w:p>
    <w:p w14:paraId="45E42C6B" w14:textId="592371D4" w:rsidR="00322670" w:rsidRPr="00160D76" w:rsidRDefault="00322670" w:rsidP="00322670">
      <w:pPr>
        <w:pStyle w:val="Epgrafe"/>
        <w:keepNext/>
        <w:spacing w:after="0" w:line="276" w:lineRule="auto"/>
        <w:jc w:val="center"/>
        <w:rPr>
          <w:rFonts w:ascii="Times New Roman" w:hAnsi="Times New Roman" w:cs="Times New Roman"/>
          <w:i w:val="0"/>
          <w:iCs w:val="0"/>
          <w:color w:val="auto"/>
          <w:sz w:val="20"/>
          <w:szCs w:val="20"/>
        </w:rPr>
      </w:pPr>
      <w:r w:rsidRPr="00160D76">
        <w:rPr>
          <w:rFonts w:ascii="Times New Roman" w:hAnsi="Times New Roman" w:cs="Times New Roman"/>
          <w:i w:val="0"/>
          <w:iCs w:val="0"/>
          <w:color w:val="auto"/>
          <w:sz w:val="20"/>
          <w:szCs w:val="20"/>
        </w:rPr>
        <w:t xml:space="preserve">Período: </w:t>
      </w:r>
      <w:r w:rsidR="009A135D" w:rsidRPr="00160D76">
        <w:rPr>
          <w:rFonts w:ascii="Times New Roman" w:hAnsi="Times New Roman" w:cs="Times New Roman"/>
          <w:i w:val="0"/>
          <w:iCs w:val="0"/>
          <w:color w:val="auto"/>
          <w:sz w:val="20"/>
          <w:szCs w:val="20"/>
        </w:rPr>
        <w:t>enero</w:t>
      </w:r>
      <w:r w:rsidRPr="00160D76">
        <w:rPr>
          <w:rFonts w:ascii="Times New Roman" w:hAnsi="Times New Roman" w:cs="Times New Roman"/>
          <w:i w:val="0"/>
          <w:iCs w:val="0"/>
          <w:color w:val="auto"/>
          <w:sz w:val="20"/>
          <w:szCs w:val="20"/>
        </w:rPr>
        <w:t xml:space="preserve"> 2017 - </w:t>
      </w:r>
      <w:r w:rsidR="009A135D">
        <w:rPr>
          <w:rFonts w:ascii="Times New Roman" w:hAnsi="Times New Roman" w:cs="Times New Roman"/>
          <w:i w:val="0"/>
          <w:iCs w:val="0"/>
          <w:color w:val="auto"/>
          <w:sz w:val="20"/>
          <w:szCs w:val="20"/>
        </w:rPr>
        <w:t>junio</w:t>
      </w:r>
      <w:r w:rsidRPr="00160D76">
        <w:rPr>
          <w:rFonts w:ascii="Times New Roman" w:hAnsi="Times New Roman" w:cs="Times New Roman"/>
          <w:i w:val="0"/>
          <w:iCs w:val="0"/>
          <w:color w:val="auto"/>
          <w:sz w:val="20"/>
          <w:szCs w:val="20"/>
        </w:rPr>
        <w:t xml:space="preserve"> 2021</w:t>
      </w:r>
    </w:p>
    <w:p w14:paraId="5D88D498" w14:textId="0EA1CFEF" w:rsidR="00322670" w:rsidRPr="001101B9" w:rsidRDefault="00D53C1D" w:rsidP="001101B9">
      <w:pPr>
        <w:jc w:val="center"/>
      </w:pPr>
      <w:r>
        <w:rPr>
          <w:noProof/>
          <w:lang w:val="es-ES" w:eastAsia="es-ES"/>
        </w:rPr>
        <w:drawing>
          <wp:inline distT="0" distB="0" distL="0" distR="0" wp14:anchorId="70B2C156" wp14:editId="1FC70A0D">
            <wp:extent cx="5251450" cy="2406650"/>
            <wp:effectExtent l="0" t="0" r="0" b="0"/>
            <wp:docPr id="95" name="Gráfico 9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06EC5B6-BAF7-42CD-BE7B-5E1A6918F3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D2F827B" w14:textId="57C64558" w:rsidR="009F4A7D" w:rsidRDefault="00322670" w:rsidP="009F4A7D">
      <w:pPr>
        <w:spacing w:after="0" w:line="240" w:lineRule="auto"/>
        <w:jc w:val="both"/>
        <w:rPr>
          <w:rFonts w:ascii="Times New Roman" w:hAnsi="Times New Roman" w:cs="Times New Roman"/>
        </w:rPr>
      </w:pPr>
      <w:r w:rsidRPr="005E56D0">
        <w:rPr>
          <w:rFonts w:ascii="Times New Roman" w:hAnsi="Times New Roman" w:cs="Times New Roman"/>
        </w:rPr>
        <w:t xml:space="preserve">En 2021 se espera una recuperación del empleo, crecimiento del ingreso de divisas por remesas familiares, reactivación del turismo interno, estabilidad de los precios, así como mejores condiciones financieras que en el ámbito crediticio impulsarán la recuperación del consumo privado, con ello se estima una mejora sustancial de la demanda interna que pasará de una caída de 1.8% en 2020 a un crecimiento de </w:t>
      </w:r>
      <w:r w:rsidR="00EE690E" w:rsidRPr="005E56D0">
        <w:rPr>
          <w:rFonts w:ascii="Times New Roman" w:hAnsi="Times New Roman" w:cs="Times New Roman"/>
        </w:rPr>
        <w:t>6.0</w:t>
      </w:r>
      <w:r w:rsidRPr="005E56D0">
        <w:rPr>
          <w:rFonts w:ascii="Times New Roman" w:hAnsi="Times New Roman" w:cs="Times New Roman"/>
        </w:rPr>
        <w:t>% en 2021. En cuanto al gobierno general se prevé un incremento en el consumo derivado de mayores niveles de compras de bienes y servicios y contrataciones de personal que aumentará el nivel de remuneraciones</w:t>
      </w:r>
      <w:r w:rsidRPr="00160D76">
        <w:rPr>
          <w:rFonts w:ascii="Times New Roman" w:hAnsi="Times New Roman" w:cs="Times New Roman"/>
        </w:rPr>
        <w:t xml:space="preserve"> particularmente en el gobierno central.</w:t>
      </w:r>
    </w:p>
    <w:p w14:paraId="7476264D" w14:textId="77777777" w:rsidR="009F4A7D" w:rsidRPr="009F4A7D" w:rsidRDefault="009F4A7D" w:rsidP="009F4A7D">
      <w:pPr>
        <w:spacing w:after="0" w:line="240" w:lineRule="auto"/>
        <w:jc w:val="both"/>
        <w:rPr>
          <w:rFonts w:ascii="Times New Roman" w:hAnsi="Times New Roman" w:cs="Times New Roman"/>
        </w:rPr>
      </w:pPr>
    </w:p>
    <w:p w14:paraId="519BC878" w14:textId="0D31E7B8" w:rsidR="00322670" w:rsidRPr="00160D76" w:rsidRDefault="00C027A7" w:rsidP="00155114">
      <w:pPr>
        <w:pStyle w:val="Epgrafe"/>
        <w:spacing w:after="0"/>
        <w:jc w:val="center"/>
        <w:rPr>
          <w:rFonts w:ascii="Times New Roman" w:hAnsi="Times New Roman" w:cs="Times New Roman"/>
          <w:b/>
          <w:bCs/>
          <w:i w:val="0"/>
          <w:iCs w:val="0"/>
          <w:color w:val="auto"/>
          <w:sz w:val="22"/>
          <w:szCs w:val="22"/>
        </w:rPr>
      </w:pPr>
      <w:bookmarkStart w:id="281" w:name="_Toc81573067"/>
      <w:r w:rsidRPr="00C027A7">
        <w:rPr>
          <w:rFonts w:ascii="Times New Roman" w:hAnsi="Times New Roman" w:cs="Times New Roman"/>
          <w:b/>
          <w:color w:val="auto"/>
          <w:sz w:val="22"/>
        </w:rPr>
        <w:t xml:space="preserve">Gráfico </w:t>
      </w:r>
      <w:r w:rsidRPr="00C027A7">
        <w:rPr>
          <w:rFonts w:ascii="Times New Roman" w:hAnsi="Times New Roman" w:cs="Times New Roman"/>
          <w:b/>
          <w:color w:val="auto"/>
          <w:sz w:val="22"/>
        </w:rPr>
        <w:fldChar w:fldCharType="begin"/>
      </w:r>
      <w:r w:rsidRPr="00C027A7">
        <w:rPr>
          <w:rFonts w:ascii="Times New Roman" w:hAnsi="Times New Roman" w:cs="Times New Roman"/>
          <w:b/>
          <w:color w:val="auto"/>
          <w:sz w:val="22"/>
        </w:rPr>
        <w:instrText xml:space="preserve"> SEQ Gráfico \* ARABIC </w:instrText>
      </w:r>
      <w:r w:rsidRPr="00C027A7">
        <w:rPr>
          <w:rFonts w:ascii="Times New Roman" w:hAnsi="Times New Roman" w:cs="Times New Roman"/>
          <w:b/>
          <w:color w:val="auto"/>
          <w:sz w:val="22"/>
        </w:rPr>
        <w:fldChar w:fldCharType="separate"/>
      </w:r>
      <w:r w:rsidR="00D6529D">
        <w:rPr>
          <w:rFonts w:ascii="Times New Roman" w:hAnsi="Times New Roman" w:cs="Times New Roman"/>
          <w:b/>
          <w:noProof/>
          <w:color w:val="auto"/>
          <w:sz w:val="22"/>
        </w:rPr>
        <w:t>17</w:t>
      </w:r>
      <w:r w:rsidRPr="00C027A7">
        <w:rPr>
          <w:rFonts w:ascii="Times New Roman" w:hAnsi="Times New Roman" w:cs="Times New Roman"/>
          <w:b/>
          <w:color w:val="auto"/>
          <w:sz w:val="22"/>
        </w:rPr>
        <w:fldChar w:fldCharType="end"/>
      </w:r>
      <w:r w:rsidRPr="00C027A7">
        <w:rPr>
          <w:rFonts w:ascii="Times New Roman" w:hAnsi="Times New Roman" w:cs="Times New Roman"/>
          <w:b/>
          <w:color w:val="auto"/>
          <w:sz w:val="22"/>
        </w:rPr>
        <w:t xml:space="preserve">  </w:t>
      </w:r>
      <w:r w:rsidR="00322670" w:rsidRPr="00160D76">
        <w:rPr>
          <w:rFonts w:ascii="Times New Roman" w:hAnsi="Times New Roman" w:cs="Times New Roman"/>
          <w:b/>
          <w:bCs/>
          <w:i w:val="0"/>
          <w:iCs w:val="0"/>
          <w:color w:val="auto"/>
          <w:sz w:val="22"/>
          <w:szCs w:val="22"/>
        </w:rPr>
        <w:t>Producto Interno Bruto</w:t>
      </w:r>
      <w:bookmarkEnd w:id="281"/>
    </w:p>
    <w:p w14:paraId="60668320" w14:textId="77777777" w:rsidR="00322670" w:rsidRPr="00160D76" w:rsidRDefault="00322670" w:rsidP="00322670">
      <w:pPr>
        <w:pStyle w:val="Epgrafe"/>
        <w:keepNext/>
        <w:spacing w:after="0" w:line="276" w:lineRule="auto"/>
        <w:jc w:val="center"/>
        <w:rPr>
          <w:rFonts w:ascii="Times New Roman" w:hAnsi="Times New Roman" w:cs="Times New Roman"/>
          <w:i w:val="0"/>
          <w:iCs w:val="0"/>
          <w:color w:val="auto"/>
          <w:sz w:val="20"/>
          <w:szCs w:val="20"/>
        </w:rPr>
      </w:pPr>
      <w:r w:rsidRPr="00160D76">
        <w:rPr>
          <w:rFonts w:ascii="Times New Roman" w:hAnsi="Times New Roman" w:cs="Times New Roman"/>
          <w:i w:val="0"/>
          <w:iCs w:val="0"/>
          <w:color w:val="auto"/>
          <w:sz w:val="20"/>
          <w:szCs w:val="20"/>
        </w:rPr>
        <w:t>Por el Enfoque del gasto, variaciones Porcentuales Interanuales</w:t>
      </w:r>
    </w:p>
    <w:p w14:paraId="57C1532B" w14:textId="77777777" w:rsidR="00322670" w:rsidRPr="00160D76" w:rsidRDefault="00322670" w:rsidP="00322670">
      <w:pPr>
        <w:pStyle w:val="Epgrafe"/>
        <w:keepNext/>
        <w:spacing w:after="0" w:line="276" w:lineRule="auto"/>
        <w:jc w:val="center"/>
        <w:rPr>
          <w:rFonts w:ascii="Times New Roman" w:hAnsi="Times New Roman" w:cs="Times New Roman"/>
          <w:i w:val="0"/>
          <w:iCs w:val="0"/>
          <w:color w:val="auto"/>
          <w:sz w:val="20"/>
          <w:szCs w:val="20"/>
        </w:rPr>
      </w:pPr>
      <w:r w:rsidRPr="00160D76">
        <w:rPr>
          <w:rFonts w:ascii="Times New Roman" w:hAnsi="Times New Roman" w:cs="Times New Roman"/>
          <w:i w:val="0"/>
          <w:iCs w:val="0"/>
          <w:color w:val="auto"/>
          <w:sz w:val="20"/>
          <w:szCs w:val="20"/>
        </w:rPr>
        <w:t>2020-2021</w:t>
      </w:r>
    </w:p>
    <w:p w14:paraId="2EA06BB8" w14:textId="7147C9D8" w:rsidR="00322670" w:rsidRPr="00160D76" w:rsidRDefault="00EE690E" w:rsidP="00322670">
      <w:pPr>
        <w:spacing w:after="0" w:line="240" w:lineRule="auto"/>
        <w:jc w:val="center"/>
        <w:rPr>
          <w:rFonts w:ascii="Times New Roman" w:hAnsi="Times New Roman" w:cs="Times New Roman"/>
        </w:rPr>
      </w:pPr>
      <w:r>
        <w:rPr>
          <w:noProof/>
          <w:lang w:val="es-ES" w:eastAsia="es-ES"/>
        </w:rPr>
        <w:drawing>
          <wp:inline distT="0" distB="0" distL="0" distR="0" wp14:anchorId="6A175176" wp14:editId="31D94773">
            <wp:extent cx="5612130" cy="2104390"/>
            <wp:effectExtent l="0" t="0" r="7620" b="10160"/>
            <wp:docPr id="106" name="Gráfico 10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6B91A0E-F33A-426C-B92C-4A99535079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5984F5D" w14:textId="77777777" w:rsidR="00322670" w:rsidRPr="00160D76" w:rsidRDefault="00322670" w:rsidP="00322670">
      <w:pPr>
        <w:spacing w:after="0" w:line="240" w:lineRule="auto"/>
        <w:jc w:val="both"/>
        <w:rPr>
          <w:rFonts w:ascii="Times New Roman" w:hAnsi="Times New Roman" w:cs="Times New Roman"/>
        </w:rPr>
      </w:pPr>
    </w:p>
    <w:p w14:paraId="4F2975A8" w14:textId="23EE3B32" w:rsidR="00322670" w:rsidRPr="005E56D0" w:rsidRDefault="00322670" w:rsidP="00322670">
      <w:pPr>
        <w:spacing w:after="0" w:line="240" w:lineRule="auto"/>
        <w:jc w:val="both"/>
        <w:rPr>
          <w:rFonts w:ascii="Times New Roman" w:hAnsi="Times New Roman" w:cs="Times New Roman"/>
        </w:rPr>
      </w:pPr>
      <w:r w:rsidRPr="00160D76">
        <w:rPr>
          <w:rFonts w:ascii="Times New Roman" w:hAnsi="Times New Roman" w:cs="Times New Roman"/>
        </w:rPr>
        <w:t xml:space="preserve">Luego de la incertidumbre generada por la pandemia se espera una reactivación económica con una mayor asignación de recursos para la reconstrucción de infraestructura dañada por las tormentas </w:t>
      </w:r>
      <w:r w:rsidRPr="005E56D0">
        <w:rPr>
          <w:rFonts w:ascii="Times New Roman" w:hAnsi="Times New Roman" w:cs="Times New Roman"/>
        </w:rPr>
        <w:t xml:space="preserve">tropicales Eta e Iota así como construcción de viviendas, se estima un incremento en la formación bruta de capital fijo de </w:t>
      </w:r>
      <w:r w:rsidR="00EE690E" w:rsidRPr="005E56D0">
        <w:rPr>
          <w:rFonts w:ascii="Times New Roman" w:hAnsi="Times New Roman" w:cs="Times New Roman"/>
        </w:rPr>
        <w:t>10</w:t>
      </w:r>
      <w:r w:rsidR="009F4A7D" w:rsidRPr="005E56D0">
        <w:rPr>
          <w:rFonts w:ascii="Times New Roman" w:hAnsi="Times New Roman" w:cs="Times New Roman"/>
        </w:rPr>
        <w:t>.4</w:t>
      </w:r>
      <w:r w:rsidRPr="005E56D0">
        <w:rPr>
          <w:rFonts w:ascii="Times New Roman" w:hAnsi="Times New Roman" w:cs="Times New Roman"/>
        </w:rPr>
        <w:t xml:space="preserve">% para el 2021 luego de una caída de 5.9% en el año anterior, dicha expectativa se refleja en un mayor nivel de confianza de la actividad económica según lo refleja la Encuesta de Expectativas Económicas del Panel de Analistas Privados (EEE) cuyo índice muestra a </w:t>
      </w:r>
      <w:r w:rsidR="00875445" w:rsidRPr="005E56D0">
        <w:rPr>
          <w:rFonts w:ascii="Times New Roman" w:hAnsi="Times New Roman" w:cs="Times New Roman"/>
        </w:rPr>
        <w:t>junio</w:t>
      </w:r>
      <w:r w:rsidRPr="005E56D0">
        <w:rPr>
          <w:rFonts w:ascii="Times New Roman" w:hAnsi="Times New Roman" w:cs="Times New Roman"/>
        </w:rPr>
        <w:t xml:space="preserve">  un nivel de </w:t>
      </w:r>
      <w:r w:rsidR="00875445" w:rsidRPr="005E56D0">
        <w:rPr>
          <w:rFonts w:ascii="Times New Roman" w:hAnsi="Times New Roman" w:cs="Times New Roman"/>
        </w:rPr>
        <w:t>76.1</w:t>
      </w:r>
      <w:r w:rsidRPr="005E56D0">
        <w:rPr>
          <w:rFonts w:ascii="Times New Roman" w:hAnsi="Times New Roman" w:cs="Times New Roman"/>
        </w:rPr>
        <w:t xml:space="preserve"> puntos, superior en </w:t>
      </w:r>
      <w:r w:rsidR="00875445" w:rsidRPr="005E56D0">
        <w:rPr>
          <w:rFonts w:ascii="Times New Roman" w:hAnsi="Times New Roman" w:cs="Times New Roman"/>
        </w:rPr>
        <w:t>2.55 puntos porcentuales</w:t>
      </w:r>
      <w:r w:rsidRPr="005E56D0">
        <w:rPr>
          <w:rFonts w:ascii="Times New Roman" w:hAnsi="Times New Roman" w:cs="Times New Roman"/>
        </w:rPr>
        <w:t xml:space="preserve"> con respecto al registrado en </w:t>
      </w:r>
      <w:r w:rsidR="00875445" w:rsidRPr="005E56D0">
        <w:rPr>
          <w:rFonts w:ascii="Times New Roman" w:hAnsi="Times New Roman" w:cs="Times New Roman"/>
        </w:rPr>
        <w:t>mayo</w:t>
      </w:r>
      <w:r w:rsidRPr="005E56D0">
        <w:rPr>
          <w:rFonts w:ascii="Times New Roman" w:hAnsi="Times New Roman" w:cs="Times New Roman"/>
        </w:rPr>
        <w:t xml:space="preserve"> de 2021 (</w:t>
      </w:r>
      <w:r w:rsidR="00875445" w:rsidRPr="005E56D0">
        <w:rPr>
          <w:rFonts w:ascii="Times New Roman" w:hAnsi="Times New Roman" w:cs="Times New Roman"/>
        </w:rPr>
        <w:t>73.5</w:t>
      </w:r>
      <w:r w:rsidRPr="005E56D0">
        <w:rPr>
          <w:rFonts w:ascii="Times New Roman" w:hAnsi="Times New Roman" w:cs="Times New Roman"/>
        </w:rPr>
        <w:t xml:space="preserve"> puntos) y aumento </w:t>
      </w:r>
      <w:r w:rsidR="00875445" w:rsidRPr="005E56D0">
        <w:rPr>
          <w:rFonts w:ascii="Times New Roman" w:hAnsi="Times New Roman" w:cs="Times New Roman"/>
        </w:rPr>
        <w:t>37.67 puntos porcentuales</w:t>
      </w:r>
      <w:r w:rsidRPr="005E56D0">
        <w:rPr>
          <w:rFonts w:ascii="Times New Roman" w:hAnsi="Times New Roman" w:cs="Times New Roman"/>
        </w:rPr>
        <w:t xml:space="preserve"> respecto al registrado en </w:t>
      </w:r>
      <w:r w:rsidR="00875445" w:rsidRPr="005E56D0">
        <w:rPr>
          <w:rFonts w:ascii="Times New Roman" w:hAnsi="Times New Roman" w:cs="Times New Roman"/>
        </w:rPr>
        <w:t>junio</w:t>
      </w:r>
      <w:r w:rsidRPr="005E56D0">
        <w:rPr>
          <w:rFonts w:ascii="Times New Roman" w:hAnsi="Times New Roman" w:cs="Times New Roman"/>
        </w:rPr>
        <w:t xml:space="preserve"> de 2020 (32.64) es importante destacar que dicho índice es el mayor de los últimos años. </w:t>
      </w:r>
    </w:p>
    <w:p w14:paraId="049383D4" w14:textId="77777777" w:rsidR="00322670" w:rsidRPr="005E56D0" w:rsidRDefault="00322670" w:rsidP="00322670">
      <w:pPr>
        <w:spacing w:after="0" w:line="240" w:lineRule="auto"/>
        <w:jc w:val="both"/>
        <w:rPr>
          <w:rFonts w:ascii="Times New Roman" w:hAnsi="Times New Roman" w:cs="Times New Roman"/>
        </w:rPr>
      </w:pPr>
    </w:p>
    <w:p w14:paraId="2A350EAB" w14:textId="1CBB8D14" w:rsidR="00322670" w:rsidRPr="005E56D0" w:rsidRDefault="00322670" w:rsidP="00322670">
      <w:pPr>
        <w:spacing w:after="0" w:line="240" w:lineRule="auto"/>
        <w:jc w:val="both"/>
        <w:rPr>
          <w:rFonts w:ascii="Times New Roman" w:hAnsi="Times New Roman" w:cs="Times New Roman"/>
        </w:rPr>
      </w:pPr>
      <w:r w:rsidRPr="005E56D0">
        <w:rPr>
          <w:rFonts w:ascii="Times New Roman" w:hAnsi="Times New Roman" w:cs="Times New Roman"/>
        </w:rPr>
        <w:t xml:space="preserve">El comercio exterior tendrá su recuperación luego de un año con muchas restricciones en la logística y distribución de productos con ello las exportaciones pasarán de una caída de </w:t>
      </w:r>
      <w:r w:rsidR="009F4A7D" w:rsidRPr="005E56D0">
        <w:rPr>
          <w:rFonts w:ascii="Times New Roman" w:hAnsi="Times New Roman" w:cs="Times New Roman"/>
        </w:rPr>
        <w:t>4.4</w:t>
      </w:r>
      <w:r w:rsidRPr="005E56D0">
        <w:rPr>
          <w:rFonts w:ascii="Times New Roman" w:hAnsi="Times New Roman" w:cs="Times New Roman"/>
        </w:rPr>
        <w:t xml:space="preserve">% el año anterior a </w:t>
      </w:r>
      <w:r w:rsidR="009F4A7D" w:rsidRPr="005E56D0">
        <w:rPr>
          <w:rFonts w:ascii="Times New Roman" w:hAnsi="Times New Roman" w:cs="Times New Roman"/>
        </w:rPr>
        <w:t>6.</w:t>
      </w:r>
      <w:r w:rsidR="00EE690E" w:rsidRPr="005E56D0">
        <w:rPr>
          <w:rFonts w:ascii="Times New Roman" w:hAnsi="Times New Roman" w:cs="Times New Roman"/>
        </w:rPr>
        <w:t>1</w:t>
      </w:r>
      <w:r w:rsidRPr="005E56D0">
        <w:rPr>
          <w:rFonts w:ascii="Times New Roman" w:hAnsi="Times New Roman" w:cs="Times New Roman"/>
        </w:rPr>
        <w:t xml:space="preserve">% en 2021 dada las expectativas favorables en torno a precios y demanda de productos, </w:t>
      </w:r>
      <w:r w:rsidR="005135D3" w:rsidRPr="005E56D0">
        <w:rPr>
          <w:rFonts w:ascii="Times New Roman" w:hAnsi="Times New Roman" w:cs="Times New Roman"/>
        </w:rPr>
        <w:t>igual suerte correrá</w:t>
      </w:r>
      <w:r w:rsidRPr="005E56D0">
        <w:rPr>
          <w:rFonts w:ascii="Times New Roman" w:hAnsi="Times New Roman" w:cs="Times New Roman"/>
        </w:rPr>
        <w:t xml:space="preserve"> las importaciones al crecer </w:t>
      </w:r>
      <w:r w:rsidR="00EE690E" w:rsidRPr="005E56D0">
        <w:rPr>
          <w:rFonts w:ascii="Times New Roman" w:hAnsi="Times New Roman" w:cs="Times New Roman"/>
        </w:rPr>
        <w:t>9.9</w:t>
      </w:r>
      <w:r w:rsidRPr="005E56D0">
        <w:rPr>
          <w:rFonts w:ascii="Times New Roman" w:hAnsi="Times New Roman" w:cs="Times New Roman"/>
        </w:rPr>
        <w:t>% para el presente año, debido a la liberación paulatina de las restricciones a nivel internacional derivado de la pandemia.</w:t>
      </w:r>
    </w:p>
    <w:p w14:paraId="508087DE" w14:textId="7C688261" w:rsidR="00322670" w:rsidRPr="005E56D0" w:rsidRDefault="00322670" w:rsidP="00322670">
      <w:pPr>
        <w:spacing w:after="0" w:line="240" w:lineRule="auto"/>
        <w:jc w:val="both"/>
        <w:rPr>
          <w:rFonts w:ascii="Times New Roman" w:hAnsi="Times New Roman" w:cs="Times New Roman"/>
        </w:rPr>
      </w:pPr>
    </w:p>
    <w:p w14:paraId="25E386D5" w14:textId="60DC2B55" w:rsidR="0051120E" w:rsidRPr="003A5275" w:rsidRDefault="0051120E" w:rsidP="00C027A7">
      <w:pPr>
        <w:pStyle w:val="Epgrafe"/>
        <w:keepNext/>
        <w:framePr w:hSpace="141" w:wrap="around" w:vAnchor="text" w:hAnchor="margin" w:y="74"/>
        <w:spacing w:after="0"/>
        <w:jc w:val="center"/>
        <w:rPr>
          <w:rFonts w:ascii="Times New Roman" w:hAnsi="Times New Roman" w:cs="Times New Roman"/>
          <w:b/>
          <w:color w:val="auto"/>
          <w:sz w:val="20"/>
        </w:rPr>
      </w:pPr>
      <w:bookmarkStart w:id="282" w:name="_Toc81573031"/>
      <w:r w:rsidRPr="003A5275">
        <w:rPr>
          <w:rFonts w:ascii="Times New Roman" w:hAnsi="Times New Roman" w:cs="Times New Roman"/>
          <w:b/>
          <w:color w:val="auto"/>
          <w:sz w:val="20"/>
        </w:rPr>
        <w:t xml:space="preserve">Tabla </w:t>
      </w:r>
      <w:r w:rsidRPr="003A5275">
        <w:rPr>
          <w:rFonts w:ascii="Times New Roman" w:hAnsi="Times New Roman" w:cs="Times New Roman"/>
          <w:b/>
          <w:color w:val="auto"/>
          <w:sz w:val="20"/>
        </w:rPr>
        <w:fldChar w:fldCharType="begin"/>
      </w:r>
      <w:r w:rsidRPr="003A5275">
        <w:rPr>
          <w:rFonts w:ascii="Times New Roman" w:hAnsi="Times New Roman" w:cs="Times New Roman"/>
          <w:b/>
          <w:color w:val="auto"/>
          <w:sz w:val="20"/>
        </w:rPr>
        <w:instrText xml:space="preserve"> SEQ Tabla \* ARABIC </w:instrText>
      </w:r>
      <w:r w:rsidRPr="003A5275">
        <w:rPr>
          <w:rFonts w:ascii="Times New Roman" w:hAnsi="Times New Roman" w:cs="Times New Roman"/>
          <w:b/>
          <w:color w:val="auto"/>
          <w:sz w:val="20"/>
        </w:rPr>
        <w:fldChar w:fldCharType="separate"/>
      </w:r>
      <w:r w:rsidR="009E18F8">
        <w:rPr>
          <w:rFonts w:ascii="Times New Roman" w:hAnsi="Times New Roman" w:cs="Times New Roman"/>
          <w:b/>
          <w:noProof/>
          <w:color w:val="auto"/>
          <w:sz w:val="20"/>
        </w:rPr>
        <w:t>9</w:t>
      </w:r>
      <w:r w:rsidRPr="003A5275">
        <w:rPr>
          <w:rFonts w:ascii="Times New Roman" w:hAnsi="Times New Roman" w:cs="Times New Roman"/>
          <w:b/>
          <w:color w:val="auto"/>
          <w:sz w:val="20"/>
        </w:rPr>
        <w:fldChar w:fldCharType="end"/>
      </w:r>
      <w:r w:rsidRPr="003A5275">
        <w:rPr>
          <w:rFonts w:ascii="Times New Roman" w:hAnsi="Times New Roman" w:cs="Times New Roman"/>
          <w:b/>
          <w:color w:val="auto"/>
          <w:sz w:val="20"/>
        </w:rPr>
        <w:t xml:space="preserve"> Peso relativo y </w:t>
      </w:r>
      <w:r w:rsidRPr="003A5275">
        <w:rPr>
          <w:rFonts w:ascii="Times New Roman" w:hAnsi="Times New Roman" w:cs="Times New Roman"/>
          <w:b/>
          <w:noProof/>
          <w:color w:val="auto"/>
          <w:sz w:val="20"/>
        </w:rPr>
        <w:t>variación</w:t>
      </w:r>
      <w:r w:rsidRPr="003A5275">
        <w:rPr>
          <w:rFonts w:ascii="Times New Roman" w:hAnsi="Times New Roman" w:cs="Times New Roman"/>
          <w:b/>
          <w:color w:val="auto"/>
          <w:sz w:val="20"/>
        </w:rPr>
        <w:t xml:space="preserve"> interanual de las actividades económicas</w:t>
      </w:r>
      <w:bookmarkEnd w:id="282"/>
    </w:p>
    <w:tbl>
      <w:tblPr>
        <w:tblStyle w:val="Tablaconcuadrcula"/>
        <w:tblW w:w="8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322670" w:rsidRPr="00160D76" w14:paraId="32B44404" w14:textId="77777777" w:rsidTr="0051120E">
        <w:trPr>
          <w:trHeight w:val="5523"/>
        </w:trPr>
        <w:tc>
          <w:tcPr>
            <w:tcW w:w="8913" w:type="dxa"/>
          </w:tcPr>
          <w:p w14:paraId="24B86595" w14:textId="77777777" w:rsidR="00322670" w:rsidRPr="003A5275" w:rsidRDefault="00322670" w:rsidP="00935A6B">
            <w:pPr>
              <w:pStyle w:val="Epgrafe"/>
              <w:framePr w:hSpace="141" w:wrap="around" w:vAnchor="text" w:hAnchor="margin" w:y="74"/>
              <w:spacing w:after="0"/>
              <w:jc w:val="center"/>
              <w:rPr>
                <w:rFonts w:ascii="Times New Roman" w:hAnsi="Times New Roman" w:cs="Times New Roman"/>
                <w:b/>
                <w:color w:val="auto"/>
              </w:rPr>
            </w:pPr>
          </w:p>
          <w:tbl>
            <w:tblPr>
              <w:tblW w:w="8840" w:type="dxa"/>
              <w:tblCellMar>
                <w:left w:w="70" w:type="dxa"/>
                <w:right w:w="70" w:type="dxa"/>
              </w:tblCellMar>
              <w:tblLook w:val="04A0" w:firstRow="1" w:lastRow="0" w:firstColumn="1" w:lastColumn="0" w:noHBand="0" w:noVBand="1"/>
            </w:tblPr>
            <w:tblGrid>
              <w:gridCol w:w="4464"/>
              <w:gridCol w:w="787"/>
              <w:gridCol w:w="787"/>
              <w:gridCol w:w="1400"/>
              <w:gridCol w:w="1400"/>
            </w:tblGrid>
            <w:tr w:rsidR="005E56D0" w:rsidRPr="005E56D0" w14:paraId="4487A497" w14:textId="77777777" w:rsidTr="005E56D0">
              <w:trPr>
                <w:trHeight w:val="252"/>
              </w:trPr>
              <w:tc>
                <w:tcPr>
                  <w:tcW w:w="6040" w:type="dxa"/>
                  <w:gridSpan w:val="3"/>
                  <w:tcBorders>
                    <w:top w:val="nil"/>
                    <w:left w:val="nil"/>
                    <w:bottom w:val="nil"/>
                    <w:right w:val="nil"/>
                  </w:tcBorders>
                  <w:shd w:val="clear" w:color="auto" w:fill="auto"/>
                  <w:noWrap/>
                  <w:vAlign w:val="bottom"/>
                  <w:hideMark/>
                </w:tcPr>
                <w:p w14:paraId="3C5579F7" w14:textId="77777777" w:rsidR="005E56D0" w:rsidRPr="005E56D0" w:rsidRDefault="005E56D0" w:rsidP="005E56D0">
                  <w:pPr>
                    <w:framePr w:hSpace="141" w:wrap="around" w:vAnchor="text" w:hAnchor="margin" w:y="74"/>
                    <w:spacing w:after="0" w:line="240" w:lineRule="auto"/>
                    <w:rPr>
                      <w:rFonts w:ascii="Times New Roman" w:eastAsia="Times New Roman" w:hAnsi="Times New Roman" w:cs="Times New Roman"/>
                      <w:b/>
                      <w:bCs/>
                      <w:sz w:val="20"/>
                      <w:szCs w:val="20"/>
                      <w:lang w:eastAsia="es-GT"/>
                    </w:rPr>
                  </w:pPr>
                  <w:r w:rsidRPr="005E56D0">
                    <w:rPr>
                      <w:rFonts w:ascii="Times New Roman" w:eastAsia="Times New Roman" w:hAnsi="Times New Roman" w:cs="Times New Roman"/>
                      <w:b/>
                      <w:bCs/>
                      <w:sz w:val="20"/>
                      <w:szCs w:val="20"/>
                      <w:lang w:eastAsia="es-GT"/>
                    </w:rPr>
                    <w:t>Producto Interno Bruto Real por el enfoque de la producción</w:t>
                  </w:r>
                </w:p>
              </w:tc>
              <w:tc>
                <w:tcPr>
                  <w:tcW w:w="1400" w:type="dxa"/>
                  <w:tcBorders>
                    <w:top w:val="nil"/>
                    <w:left w:val="nil"/>
                    <w:bottom w:val="nil"/>
                    <w:right w:val="nil"/>
                  </w:tcBorders>
                  <w:shd w:val="clear" w:color="auto" w:fill="auto"/>
                  <w:noWrap/>
                  <w:vAlign w:val="bottom"/>
                  <w:hideMark/>
                </w:tcPr>
                <w:p w14:paraId="3634BEA4" w14:textId="77777777" w:rsidR="005E56D0" w:rsidRPr="005E56D0" w:rsidRDefault="005E56D0" w:rsidP="005E56D0">
                  <w:pPr>
                    <w:framePr w:hSpace="141" w:wrap="around" w:vAnchor="text" w:hAnchor="margin" w:y="74"/>
                    <w:spacing w:after="0" w:line="240" w:lineRule="auto"/>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 </w:t>
                  </w:r>
                </w:p>
              </w:tc>
              <w:tc>
                <w:tcPr>
                  <w:tcW w:w="1400" w:type="dxa"/>
                  <w:tcBorders>
                    <w:top w:val="nil"/>
                    <w:left w:val="nil"/>
                    <w:bottom w:val="nil"/>
                    <w:right w:val="nil"/>
                  </w:tcBorders>
                  <w:shd w:val="clear" w:color="auto" w:fill="auto"/>
                  <w:noWrap/>
                  <w:vAlign w:val="bottom"/>
                  <w:hideMark/>
                </w:tcPr>
                <w:p w14:paraId="20825F1D" w14:textId="77777777" w:rsidR="005E56D0" w:rsidRPr="005E56D0" w:rsidRDefault="005E56D0" w:rsidP="005E56D0">
                  <w:pPr>
                    <w:framePr w:hSpace="141" w:wrap="around" w:vAnchor="text" w:hAnchor="margin" w:y="74"/>
                    <w:spacing w:after="0" w:line="240" w:lineRule="auto"/>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 </w:t>
                  </w:r>
                </w:p>
              </w:tc>
            </w:tr>
            <w:tr w:rsidR="005E56D0" w:rsidRPr="005E56D0" w14:paraId="3C5C8F6B" w14:textId="77777777" w:rsidTr="005E56D0">
              <w:trPr>
                <w:trHeight w:val="252"/>
              </w:trPr>
              <w:tc>
                <w:tcPr>
                  <w:tcW w:w="4466" w:type="dxa"/>
                  <w:tcBorders>
                    <w:top w:val="nil"/>
                    <w:left w:val="nil"/>
                    <w:bottom w:val="nil"/>
                    <w:right w:val="nil"/>
                  </w:tcBorders>
                  <w:shd w:val="clear" w:color="auto" w:fill="auto"/>
                  <w:noWrap/>
                  <w:vAlign w:val="bottom"/>
                  <w:hideMark/>
                </w:tcPr>
                <w:p w14:paraId="22C21285" w14:textId="77777777" w:rsidR="005E56D0" w:rsidRPr="005E56D0" w:rsidRDefault="005E56D0" w:rsidP="005E56D0">
                  <w:pPr>
                    <w:framePr w:hSpace="141" w:wrap="around" w:vAnchor="text" w:hAnchor="margin" w:y="74"/>
                    <w:spacing w:after="0" w:line="240" w:lineRule="auto"/>
                    <w:rPr>
                      <w:rFonts w:ascii="Times New Roman" w:eastAsia="Times New Roman" w:hAnsi="Times New Roman" w:cs="Times New Roman"/>
                      <w:sz w:val="20"/>
                      <w:szCs w:val="20"/>
                      <w:lang w:eastAsia="es-GT"/>
                    </w:rPr>
                  </w:pPr>
                  <w:r w:rsidRPr="005E56D0">
                    <w:rPr>
                      <w:rFonts w:ascii="Times New Roman" w:eastAsia="Times New Roman" w:hAnsi="Times New Roman" w:cs="Times New Roman"/>
                      <w:sz w:val="20"/>
                      <w:szCs w:val="20"/>
                      <w:lang w:eastAsia="es-GT"/>
                    </w:rPr>
                    <w:t> </w:t>
                  </w:r>
                </w:p>
              </w:tc>
              <w:tc>
                <w:tcPr>
                  <w:tcW w:w="157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D2DBE"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b/>
                      <w:bCs/>
                      <w:sz w:val="18"/>
                      <w:szCs w:val="18"/>
                      <w:lang w:eastAsia="es-GT"/>
                    </w:rPr>
                  </w:pPr>
                  <w:r w:rsidRPr="005E56D0">
                    <w:rPr>
                      <w:rFonts w:ascii="Times New Roman" w:eastAsia="Times New Roman" w:hAnsi="Times New Roman" w:cs="Times New Roman"/>
                      <w:b/>
                      <w:bCs/>
                      <w:sz w:val="18"/>
                      <w:szCs w:val="18"/>
                      <w:lang w:eastAsia="es-GT"/>
                    </w:rPr>
                    <w:t>Estructura</w:t>
                  </w:r>
                </w:p>
              </w:tc>
              <w:tc>
                <w:tcPr>
                  <w:tcW w:w="28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E0990E"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b/>
                      <w:bCs/>
                      <w:sz w:val="18"/>
                      <w:szCs w:val="18"/>
                      <w:lang w:eastAsia="es-GT"/>
                    </w:rPr>
                  </w:pPr>
                  <w:r w:rsidRPr="005E56D0">
                    <w:rPr>
                      <w:rFonts w:ascii="Times New Roman" w:eastAsia="Times New Roman" w:hAnsi="Times New Roman" w:cs="Times New Roman"/>
                      <w:b/>
                      <w:bCs/>
                      <w:sz w:val="18"/>
                      <w:szCs w:val="18"/>
                      <w:lang w:eastAsia="es-GT"/>
                    </w:rPr>
                    <w:t>Crecimiento</w:t>
                  </w:r>
                </w:p>
              </w:tc>
            </w:tr>
            <w:tr w:rsidR="005E56D0" w:rsidRPr="005E56D0" w14:paraId="4D88EDD6" w14:textId="77777777" w:rsidTr="005E56D0">
              <w:trPr>
                <w:trHeight w:val="252"/>
              </w:trPr>
              <w:tc>
                <w:tcPr>
                  <w:tcW w:w="446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45F6D3D6" w14:textId="5E3E96F6" w:rsidR="005E56D0" w:rsidRPr="005E56D0" w:rsidRDefault="005E56D0" w:rsidP="005E56D0">
                  <w:pPr>
                    <w:framePr w:hSpace="141" w:wrap="around" w:vAnchor="text" w:hAnchor="margin" w:y="74"/>
                    <w:spacing w:after="0" w:line="240" w:lineRule="auto"/>
                    <w:rPr>
                      <w:rFonts w:ascii="Times New Roman" w:eastAsia="Times New Roman" w:hAnsi="Times New Roman" w:cs="Times New Roman"/>
                      <w:b/>
                      <w:bCs/>
                      <w:sz w:val="20"/>
                      <w:szCs w:val="20"/>
                      <w:lang w:eastAsia="es-GT"/>
                    </w:rPr>
                  </w:pPr>
                  <w:r w:rsidRPr="005E56D0">
                    <w:rPr>
                      <w:rFonts w:ascii="Times New Roman" w:eastAsia="Times New Roman" w:hAnsi="Times New Roman" w:cs="Times New Roman"/>
                      <w:b/>
                      <w:bCs/>
                      <w:sz w:val="20"/>
                      <w:szCs w:val="20"/>
                      <w:lang w:eastAsia="es-GT"/>
                    </w:rPr>
                    <w:t>Actividad Económica</w:t>
                  </w:r>
                </w:p>
              </w:tc>
              <w:tc>
                <w:tcPr>
                  <w:tcW w:w="787" w:type="dxa"/>
                  <w:tcBorders>
                    <w:top w:val="nil"/>
                    <w:left w:val="nil"/>
                    <w:bottom w:val="double" w:sz="6" w:space="0" w:color="auto"/>
                    <w:right w:val="nil"/>
                  </w:tcBorders>
                  <w:shd w:val="clear" w:color="auto" w:fill="auto"/>
                  <w:noWrap/>
                  <w:vAlign w:val="bottom"/>
                  <w:hideMark/>
                </w:tcPr>
                <w:p w14:paraId="29299C06"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b/>
                      <w:bCs/>
                      <w:sz w:val="18"/>
                      <w:szCs w:val="18"/>
                      <w:lang w:eastAsia="es-GT"/>
                    </w:rPr>
                  </w:pPr>
                  <w:r w:rsidRPr="005E56D0">
                    <w:rPr>
                      <w:rFonts w:ascii="Times New Roman" w:eastAsia="Times New Roman" w:hAnsi="Times New Roman" w:cs="Times New Roman"/>
                      <w:b/>
                      <w:bCs/>
                      <w:sz w:val="18"/>
                      <w:szCs w:val="18"/>
                      <w:lang w:eastAsia="es-GT"/>
                    </w:rPr>
                    <w:t>2020</w:t>
                  </w:r>
                </w:p>
              </w:tc>
              <w:tc>
                <w:tcPr>
                  <w:tcW w:w="787" w:type="dxa"/>
                  <w:tcBorders>
                    <w:top w:val="nil"/>
                    <w:left w:val="nil"/>
                    <w:bottom w:val="double" w:sz="6" w:space="0" w:color="auto"/>
                    <w:right w:val="single" w:sz="4" w:space="0" w:color="auto"/>
                  </w:tcBorders>
                  <w:shd w:val="clear" w:color="auto" w:fill="auto"/>
                  <w:noWrap/>
                  <w:vAlign w:val="bottom"/>
                  <w:hideMark/>
                </w:tcPr>
                <w:p w14:paraId="3C535F82"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b/>
                      <w:bCs/>
                      <w:sz w:val="18"/>
                      <w:szCs w:val="18"/>
                      <w:lang w:eastAsia="es-GT"/>
                    </w:rPr>
                  </w:pPr>
                  <w:r w:rsidRPr="005E56D0">
                    <w:rPr>
                      <w:rFonts w:ascii="Times New Roman" w:eastAsia="Times New Roman" w:hAnsi="Times New Roman" w:cs="Times New Roman"/>
                      <w:b/>
                      <w:bCs/>
                      <w:sz w:val="18"/>
                      <w:szCs w:val="18"/>
                      <w:lang w:eastAsia="es-GT"/>
                    </w:rPr>
                    <w:t>2021</w:t>
                  </w:r>
                </w:p>
              </w:tc>
              <w:tc>
                <w:tcPr>
                  <w:tcW w:w="1400" w:type="dxa"/>
                  <w:tcBorders>
                    <w:top w:val="nil"/>
                    <w:left w:val="nil"/>
                    <w:bottom w:val="double" w:sz="6" w:space="0" w:color="auto"/>
                    <w:right w:val="nil"/>
                  </w:tcBorders>
                  <w:shd w:val="clear" w:color="auto" w:fill="auto"/>
                  <w:noWrap/>
                  <w:vAlign w:val="bottom"/>
                  <w:hideMark/>
                </w:tcPr>
                <w:p w14:paraId="6583C315"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b/>
                      <w:bCs/>
                      <w:sz w:val="18"/>
                      <w:szCs w:val="18"/>
                      <w:lang w:eastAsia="es-GT"/>
                    </w:rPr>
                  </w:pPr>
                  <w:r w:rsidRPr="005E56D0">
                    <w:rPr>
                      <w:rFonts w:ascii="Times New Roman" w:eastAsia="Times New Roman" w:hAnsi="Times New Roman" w:cs="Times New Roman"/>
                      <w:b/>
                      <w:bCs/>
                      <w:sz w:val="18"/>
                      <w:szCs w:val="18"/>
                      <w:lang w:eastAsia="es-GT"/>
                    </w:rPr>
                    <w:t>2020</w:t>
                  </w:r>
                </w:p>
              </w:tc>
              <w:tc>
                <w:tcPr>
                  <w:tcW w:w="1400" w:type="dxa"/>
                  <w:tcBorders>
                    <w:top w:val="nil"/>
                    <w:left w:val="nil"/>
                    <w:bottom w:val="double" w:sz="6" w:space="0" w:color="auto"/>
                    <w:right w:val="single" w:sz="4" w:space="0" w:color="auto"/>
                  </w:tcBorders>
                  <w:shd w:val="clear" w:color="auto" w:fill="auto"/>
                  <w:noWrap/>
                  <w:vAlign w:val="bottom"/>
                  <w:hideMark/>
                </w:tcPr>
                <w:p w14:paraId="0ADFFA10"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b/>
                      <w:bCs/>
                      <w:sz w:val="18"/>
                      <w:szCs w:val="18"/>
                      <w:lang w:eastAsia="es-GT"/>
                    </w:rPr>
                  </w:pPr>
                  <w:r w:rsidRPr="005E56D0">
                    <w:rPr>
                      <w:rFonts w:ascii="Times New Roman" w:eastAsia="Times New Roman" w:hAnsi="Times New Roman" w:cs="Times New Roman"/>
                      <w:b/>
                      <w:bCs/>
                      <w:sz w:val="18"/>
                      <w:szCs w:val="18"/>
                      <w:lang w:eastAsia="es-GT"/>
                    </w:rPr>
                    <w:t>2021</w:t>
                  </w:r>
                </w:p>
              </w:tc>
            </w:tr>
            <w:tr w:rsidR="005E56D0" w:rsidRPr="005E56D0" w14:paraId="681E7B81" w14:textId="77777777" w:rsidTr="005E56D0">
              <w:trPr>
                <w:trHeight w:val="252"/>
              </w:trPr>
              <w:tc>
                <w:tcPr>
                  <w:tcW w:w="4466" w:type="dxa"/>
                  <w:tcBorders>
                    <w:top w:val="nil"/>
                    <w:left w:val="single" w:sz="4" w:space="0" w:color="auto"/>
                    <w:bottom w:val="nil"/>
                    <w:right w:val="single" w:sz="4" w:space="0" w:color="auto"/>
                  </w:tcBorders>
                  <w:shd w:val="clear" w:color="auto" w:fill="auto"/>
                  <w:vAlign w:val="center"/>
                  <w:hideMark/>
                </w:tcPr>
                <w:p w14:paraId="19190329" w14:textId="77777777" w:rsidR="005E56D0" w:rsidRPr="005E56D0" w:rsidRDefault="005E56D0" w:rsidP="005E56D0">
                  <w:pPr>
                    <w:framePr w:hSpace="141" w:wrap="around" w:vAnchor="text" w:hAnchor="margin" w:y="74"/>
                    <w:spacing w:after="0" w:line="240" w:lineRule="auto"/>
                    <w:rPr>
                      <w:rFonts w:ascii="Times New Roman" w:eastAsia="Times New Roman" w:hAnsi="Times New Roman" w:cs="Times New Roman"/>
                      <w:sz w:val="16"/>
                      <w:szCs w:val="16"/>
                      <w:lang w:eastAsia="es-GT"/>
                    </w:rPr>
                  </w:pPr>
                  <w:r w:rsidRPr="005E56D0">
                    <w:rPr>
                      <w:rFonts w:ascii="Times New Roman" w:eastAsia="Times New Roman" w:hAnsi="Times New Roman" w:cs="Times New Roman"/>
                      <w:sz w:val="16"/>
                      <w:szCs w:val="16"/>
                      <w:lang w:eastAsia="es-GT"/>
                    </w:rPr>
                    <w:t>Agricultura, ganadería, silvicultura y pesca</w:t>
                  </w:r>
                </w:p>
              </w:tc>
              <w:tc>
                <w:tcPr>
                  <w:tcW w:w="787" w:type="dxa"/>
                  <w:tcBorders>
                    <w:top w:val="nil"/>
                    <w:left w:val="nil"/>
                    <w:bottom w:val="nil"/>
                    <w:right w:val="nil"/>
                  </w:tcBorders>
                  <w:shd w:val="clear" w:color="auto" w:fill="auto"/>
                  <w:noWrap/>
                  <w:vAlign w:val="center"/>
                  <w:hideMark/>
                </w:tcPr>
                <w:p w14:paraId="6F9AFC41"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10.1%</w:t>
                  </w:r>
                </w:p>
              </w:tc>
              <w:tc>
                <w:tcPr>
                  <w:tcW w:w="787" w:type="dxa"/>
                  <w:tcBorders>
                    <w:top w:val="nil"/>
                    <w:left w:val="nil"/>
                    <w:bottom w:val="nil"/>
                    <w:right w:val="single" w:sz="4" w:space="0" w:color="auto"/>
                  </w:tcBorders>
                  <w:shd w:val="clear" w:color="auto" w:fill="auto"/>
                  <w:noWrap/>
                  <w:vAlign w:val="center"/>
                  <w:hideMark/>
                </w:tcPr>
                <w:p w14:paraId="27CC4AF1"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9.9%</w:t>
                  </w:r>
                </w:p>
              </w:tc>
              <w:tc>
                <w:tcPr>
                  <w:tcW w:w="1400" w:type="dxa"/>
                  <w:tcBorders>
                    <w:top w:val="nil"/>
                    <w:left w:val="nil"/>
                    <w:bottom w:val="nil"/>
                    <w:right w:val="nil"/>
                  </w:tcBorders>
                  <w:shd w:val="clear" w:color="auto" w:fill="auto"/>
                  <w:noWrap/>
                  <w:vAlign w:val="center"/>
                  <w:hideMark/>
                </w:tcPr>
                <w:p w14:paraId="6363C6CE"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2.9%</w:t>
                  </w:r>
                </w:p>
              </w:tc>
              <w:tc>
                <w:tcPr>
                  <w:tcW w:w="1400" w:type="dxa"/>
                  <w:tcBorders>
                    <w:top w:val="nil"/>
                    <w:left w:val="nil"/>
                    <w:bottom w:val="nil"/>
                    <w:right w:val="single" w:sz="4" w:space="0" w:color="auto"/>
                  </w:tcBorders>
                  <w:shd w:val="clear" w:color="auto" w:fill="auto"/>
                  <w:noWrap/>
                  <w:vAlign w:val="center"/>
                  <w:hideMark/>
                </w:tcPr>
                <w:p w14:paraId="05CEC314"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2.3%</w:t>
                  </w:r>
                </w:p>
              </w:tc>
            </w:tr>
            <w:tr w:rsidR="005E56D0" w:rsidRPr="005E56D0" w14:paraId="48548EA8" w14:textId="77777777" w:rsidTr="005E56D0">
              <w:trPr>
                <w:trHeight w:val="252"/>
              </w:trPr>
              <w:tc>
                <w:tcPr>
                  <w:tcW w:w="4466" w:type="dxa"/>
                  <w:tcBorders>
                    <w:top w:val="nil"/>
                    <w:left w:val="single" w:sz="4" w:space="0" w:color="auto"/>
                    <w:bottom w:val="nil"/>
                    <w:right w:val="single" w:sz="4" w:space="0" w:color="auto"/>
                  </w:tcBorders>
                  <w:shd w:val="clear" w:color="auto" w:fill="auto"/>
                  <w:noWrap/>
                  <w:vAlign w:val="center"/>
                  <w:hideMark/>
                </w:tcPr>
                <w:p w14:paraId="7474E844" w14:textId="77777777" w:rsidR="005E56D0" w:rsidRPr="005E56D0" w:rsidRDefault="005E56D0" w:rsidP="005E56D0">
                  <w:pPr>
                    <w:framePr w:hSpace="141" w:wrap="around" w:vAnchor="text" w:hAnchor="margin" w:y="74"/>
                    <w:spacing w:after="0" w:line="240" w:lineRule="auto"/>
                    <w:rPr>
                      <w:rFonts w:ascii="Times New Roman" w:eastAsia="Times New Roman" w:hAnsi="Times New Roman" w:cs="Times New Roman"/>
                      <w:sz w:val="16"/>
                      <w:szCs w:val="16"/>
                      <w:lang w:eastAsia="es-GT"/>
                    </w:rPr>
                  </w:pPr>
                  <w:r w:rsidRPr="005E56D0">
                    <w:rPr>
                      <w:rFonts w:ascii="Times New Roman" w:eastAsia="Times New Roman" w:hAnsi="Times New Roman" w:cs="Times New Roman"/>
                      <w:sz w:val="16"/>
                      <w:szCs w:val="16"/>
                      <w:lang w:eastAsia="es-GT"/>
                    </w:rPr>
                    <w:t>Explotación de minas y canteras</w:t>
                  </w:r>
                </w:p>
              </w:tc>
              <w:tc>
                <w:tcPr>
                  <w:tcW w:w="787" w:type="dxa"/>
                  <w:tcBorders>
                    <w:top w:val="nil"/>
                    <w:left w:val="nil"/>
                    <w:bottom w:val="nil"/>
                    <w:right w:val="nil"/>
                  </w:tcBorders>
                  <w:shd w:val="clear" w:color="auto" w:fill="auto"/>
                  <w:noWrap/>
                  <w:vAlign w:val="center"/>
                  <w:hideMark/>
                </w:tcPr>
                <w:p w14:paraId="43FF61D4"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0.8%</w:t>
                  </w:r>
                </w:p>
              </w:tc>
              <w:tc>
                <w:tcPr>
                  <w:tcW w:w="787" w:type="dxa"/>
                  <w:tcBorders>
                    <w:top w:val="nil"/>
                    <w:left w:val="nil"/>
                    <w:bottom w:val="nil"/>
                    <w:right w:val="single" w:sz="4" w:space="0" w:color="auto"/>
                  </w:tcBorders>
                  <w:shd w:val="clear" w:color="auto" w:fill="auto"/>
                  <w:noWrap/>
                  <w:vAlign w:val="center"/>
                  <w:hideMark/>
                </w:tcPr>
                <w:p w14:paraId="3758D5DC"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0.5%</w:t>
                  </w:r>
                </w:p>
              </w:tc>
              <w:tc>
                <w:tcPr>
                  <w:tcW w:w="1400" w:type="dxa"/>
                  <w:tcBorders>
                    <w:top w:val="nil"/>
                    <w:left w:val="nil"/>
                    <w:bottom w:val="nil"/>
                    <w:right w:val="nil"/>
                  </w:tcBorders>
                  <w:shd w:val="clear" w:color="auto" w:fill="auto"/>
                  <w:noWrap/>
                  <w:vAlign w:val="center"/>
                  <w:hideMark/>
                </w:tcPr>
                <w:p w14:paraId="66113C93"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-1.6%</w:t>
                  </w:r>
                </w:p>
              </w:tc>
              <w:tc>
                <w:tcPr>
                  <w:tcW w:w="1400" w:type="dxa"/>
                  <w:tcBorders>
                    <w:top w:val="nil"/>
                    <w:left w:val="nil"/>
                    <w:bottom w:val="nil"/>
                    <w:right w:val="single" w:sz="4" w:space="0" w:color="auto"/>
                  </w:tcBorders>
                  <w:shd w:val="clear" w:color="auto" w:fill="auto"/>
                  <w:noWrap/>
                  <w:vAlign w:val="center"/>
                  <w:hideMark/>
                </w:tcPr>
                <w:p w14:paraId="3E4DC392"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3.6%</w:t>
                  </w:r>
                </w:p>
              </w:tc>
            </w:tr>
            <w:tr w:rsidR="005E56D0" w:rsidRPr="005E56D0" w14:paraId="629D70FB" w14:textId="77777777" w:rsidTr="005E56D0">
              <w:trPr>
                <w:trHeight w:val="252"/>
              </w:trPr>
              <w:tc>
                <w:tcPr>
                  <w:tcW w:w="4466" w:type="dxa"/>
                  <w:tcBorders>
                    <w:top w:val="nil"/>
                    <w:left w:val="single" w:sz="4" w:space="0" w:color="auto"/>
                    <w:bottom w:val="nil"/>
                    <w:right w:val="single" w:sz="4" w:space="0" w:color="auto"/>
                  </w:tcBorders>
                  <w:shd w:val="clear" w:color="auto" w:fill="auto"/>
                  <w:noWrap/>
                  <w:vAlign w:val="center"/>
                  <w:hideMark/>
                </w:tcPr>
                <w:p w14:paraId="6EF19BF8" w14:textId="77777777" w:rsidR="005E56D0" w:rsidRPr="005E56D0" w:rsidRDefault="005E56D0" w:rsidP="005E56D0">
                  <w:pPr>
                    <w:framePr w:hSpace="141" w:wrap="around" w:vAnchor="text" w:hAnchor="margin" w:y="74"/>
                    <w:spacing w:after="0" w:line="240" w:lineRule="auto"/>
                    <w:rPr>
                      <w:rFonts w:ascii="Times New Roman" w:eastAsia="Times New Roman" w:hAnsi="Times New Roman" w:cs="Times New Roman"/>
                      <w:sz w:val="16"/>
                      <w:szCs w:val="16"/>
                      <w:lang w:eastAsia="es-GT"/>
                    </w:rPr>
                  </w:pPr>
                  <w:r w:rsidRPr="005E56D0">
                    <w:rPr>
                      <w:rFonts w:ascii="Times New Roman" w:eastAsia="Times New Roman" w:hAnsi="Times New Roman" w:cs="Times New Roman"/>
                      <w:sz w:val="16"/>
                      <w:szCs w:val="16"/>
                      <w:lang w:eastAsia="es-GT"/>
                    </w:rPr>
                    <w:t>Industrias manufactureras</w:t>
                  </w:r>
                </w:p>
              </w:tc>
              <w:tc>
                <w:tcPr>
                  <w:tcW w:w="787" w:type="dxa"/>
                  <w:tcBorders>
                    <w:top w:val="nil"/>
                    <w:left w:val="nil"/>
                    <w:bottom w:val="nil"/>
                    <w:right w:val="nil"/>
                  </w:tcBorders>
                  <w:shd w:val="clear" w:color="auto" w:fill="auto"/>
                  <w:noWrap/>
                  <w:vAlign w:val="center"/>
                  <w:hideMark/>
                </w:tcPr>
                <w:p w14:paraId="45F96A3C"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14.3%</w:t>
                  </w:r>
                </w:p>
              </w:tc>
              <w:tc>
                <w:tcPr>
                  <w:tcW w:w="787" w:type="dxa"/>
                  <w:tcBorders>
                    <w:top w:val="nil"/>
                    <w:left w:val="nil"/>
                    <w:bottom w:val="nil"/>
                    <w:right w:val="single" w:sz="4" w:space="0" w:color="auto"/>
                  </w:tcBorders>
                  <w:shd w:val="clear" w:color="auto" w:fill="auto"/>
                  <w:noWrap/>
                  <w:vAlign w:val="center"/>
                  <w:hideMark/>
                </w:tcPr>
                <w:p w14:paraId="0C6D646E"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14.1%</w:t>
                  </w:r>
                </w:p>
              </w:tc>
              <w:tc>
                <w:tcPr>
                  <w:tcW w:w="1400" w:type="dxa"/>
                  <w:tcBorders>
                    <w:top w:val="nil"/>
                    <w:left w:val="nil"/>
                    <w:bottom w:val="nil"/>
                    <w:right w:val="nil"/>
                  </w:tcBorders>
                  <w:shd w:val="clear" w:color="auto" w:fill="auto"/>
                  <w:noWrap/>
                  <w:vAlign w:val="center"/>
                  <w:hideMark/>
                </w:tcPr>
                <w:p w14:paraId="5BB28143"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-0.2%</w:t>
                  </w:r>
                </w:p>
              </w:tc>
              <w:tc>
                <w:tcPr>
                  <w:tcW w:w="1400" w:type="dxa"/>
                  <w:tcBorders>
                    <w:top w:val="nil"/>
                    <w:left w:val="nil"/>
                    <w:bottom w:val="nil"/>
                    <w:right w:val="single" w:sz="4" w:space="0" w:color="auto"/>
                  </w:tcBorders>
                  <w:shd w:val="clear" w:color="auto" w:fill="auto"/>
                  <w:noWrap/>
                  <w:vAlign w:val="center"/>
                  <w:hideMark/>
                </w:tcPr>
                <w:p w14:paraId="6A15D51C"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5.0%</w:t>
                  </w:r>
                </w:p>
              </w:tc>
            </w:tr>
            <w:tr w:rsidR="005E56D0" w:rsidRPr="005E56D0" w14:paraId="379FE5BA" w14:textId="77777777" w:rsidTr="005E56D0">
              <w:trPr>
                <w:trHeight w:val="252"/>
              </w:trPr>
              <w:tc>
                <w:tcPr>
                  <w:tcW w:w="4466" w:type="dxa"/>
                  <w:tcBorders>
                    <w:top w:val="nil"/>
                    <w:left w:val="single" w:sz="4" w:space="0" w:color="auto"/>
                    <w:bottom w:val="nil"/>
                    <w:right w:val="single" w:sz="4" w:space="0" w:color="auto"/>
                  </w:tcBorders>
                  <w:shd w:val="clear" w:color="auto" w:fill="auto"/>
                  <w:vAlign w:val="center"/>
                  <w:hideMark/>
                </w:tcPr>
                <w:p w14:paraId="4D0436E8" w14:textId="77777777" w:rsidR="005E56D0" w:rsidRPr="005E56D0" w:rsidRDefault="005E56D0" w:rsidP="005E56D0">
                  <w:pPr>
                    <w:framePr w:hSpace="141" w:wrap="around" w:vAnchor="text" w:hAnchor="margin" w:y="74"/>
                    <w:spacing w:after="0" w:line="240" w:lineRule="auto"/>
                    <w:rPr>
                      <w:rFonts w:ascii="Times New Roman" w:eastAsia="Times New Roman" w:hAnsi="Times New Roman" w:cs="Times New Roman"/>
                      <w:sz w:val="16"/>
                      <w:szCs w:val="16"/>
                      <w:lang w:eastAsia="es-GT"/>
                    </w:rPr>
                  </w:pPr>
                  <w:r w:rsidRPr="005E56D0">
                    <w:rPr>
                      <w:rFonts w:ascii="Times New Roman" w:eastAsia="Times New Roman" w:hAnsi="Times New Roman" w:cs="Times New Roman"/>
                      <w:sz w:val="16"/>
                      <w:szCs w:val="16"/>
                      <w:lang w:eastAsia="es-GT"/>
                    </w:rPr>
                    <w:t>Suministro de electricidad, agua y servicios de saneamiento</w:t>
                  </w:r>
                </w:p>
              </w:tc>
              <w:tc>
                <w:tcPr>
                  <w:tcW w:w="787" w:type="dxa"/>
                  <w:tcBorders>
                    <w:top w:val="nil"/>
                    <w:left w:val="nil"/>
                    <w:bottom w:val="nil"/>
                    <w:right w:val="nil"/>
                  </w:tcBorders>
                  <w:shd w:val="clear" w:color="auto" w:fill="auto"/>
                  <w:noWrap/>
                  <w:vAlign w:val="center"/>
                  <w:hideMark/>
                </w:tcPr>
                <w:p w14:paraId="35BB476F"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2.8%</w:t>
                  </w:r>
                </w:p>
              </w:tc>
              <w:tc>
                <w:tcPr>
                  <w:tcW w:w="787" w:type="dxa"/>
                  <w:tcBorders>
                    <w:top w:val="nil"/>
                    <w:left w:val="nil"/>
                    <w:bottom w:val="nil"/>
                    <w:right w:val="single" w:sz="4" w:space="0" w:color="auto"/>
                  </w:tcBorders>
                  <w:shd w:val="clear" w:color="auto" w:fill="auto"/>
                  <w:noWrap/>
                  <w:vAlign w:val="center"/>
                  <w:hideMark/>
                </w:tcPr>
                <w:p w14:paraId="6CB04F67"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2.5%</w:t>
                  </w:r>
                </w:p>
              </w:tc>
              <w:tc>
                <w:tcPr>
                  <w:tcW w:w="1400" w:type="dxa"/>
                  <w:tcBorders>
                    <w:top w:val="nil"/>
                    <w:left w:val="nil"/>
                    <w:bottom w:val="nil"/>
                    <w:right w:val="nil"/>
                  </w:tcBorders>
                  <w:shd w:val="clear" w:color="auto" w:fill="auto"/>
                  <w:noWrap/>
                  <w:vAlign w:val="center"/>
                  <w:hideMark/>
                </w:tcPr>
                <w:p w14:paraId="42E319B4"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2.2%</w:t>
                  </w:r>
                </w:p>
              </w:tc>
              <w:tc>
                <w:tcPr>
                  <w:tcW w:w="1400" w:type="dxa"/>
                  <w:tcBorders>
                    <w:top w:val="nil"/>
                    <w:left w:val="nil"/>
                    <w:bottom w:val="nil"/>
                    <w:right w:val="single" w:sz="4" w:space="0" w:color="auto"/>
                  </w:tcBorders>
                  <w:shd w:val="clear" w:color="auto" w:fill="auto"/>
                  <w:noWrap/>
                  <w:vAlign w:val="center"/>
                  <w:hideMark/>
                </w:tcPr>
                <w:p w14:paraId="1D5DEED3"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5.2%</w:t>
                  </w:r>
                </w:p>
              </w:tc>
            </w:tr>
            <w:tr w:rsidR="005E56D0" w:rsidRPr="005E56D0" w14:paraId="1B31E07B" w14:textId="77777777" w:rsidTr="005E56D0">
              <w:trPr>
                <w:trHeight w:val="252"/>
              </w:trPr>
              <w:tc>
                <w:tcPr>
                  <w:tcW w:w="4466" w:type="dxa"/>
                  <w:tcBorders>
                    <w:top w:val="nil"/>
                    <w:left w:val="single" w:sz="4" w:space="0" w:color="auto"/>
                    <w:bottom w:val="nil"/>
                    <w:right w:val="single" w:sz="4" w:space="0" w:color="auto"/>
                  </w:tcBorders>
                  <w:shd w:val="clear" w:color="auto" w:fill="auto"/>
                  <w:noWrap/>
                  <w:vAlign w:val="center"/>
                  <w:hideMark/>
                </w:tcPr>
                <w:p w14:paraId="0C3CD894" w14:textId="77777777" w:rsidR="005E56D0" w:rsidRPr="005E56D0" w:rsidRDefault="005E56D0" w:rsidP="005E56D0">
                  <w:pPr>
                    <w:framePr w:hSpace="141" w:wrap="around" w:vAnchor="text" w:hAnchor="margin" w:y="74"/>
                    <w:spacing w:after="0" w:line="240" w:lineRule="auto"/>
                    <w:rPr>
                      <w:rFonts w:ascii="Times New Roman" w:eastAsia="Times New Roman" w:hAnsi="Times New Roman" w:cs="Times New Roman"/>
                      <w:sz w:val="16"/>
                      <w:szCs w:val="16"/>
                      <w:lang w:eastAsia="es-GT"/>
                    </w:rPr>
                  </w:pPr>
                  <w:r w:rsidRPr="005E56D0">
                    <w:rPr>
                      <w:rFonts w:ascii="Times New Roman" w:eastAsia="Times New Roman" w:hAnsi="Times New Roman" w:cs="Times New Roman"/>
                      <w:sz w:val="16"/>
                      <w:szCs w:val="16"/>
                      <w:lang w:eastAsia="es-GT"/>
                    </w:rPr>
                    <w:t>Construcción</w:t>
                  </w:r>
                </w:p>
              </w:tc>
              <w:tc>
                <w:tcPr>
                  <w:tcW w:w="787" w:type="dxa"/>
                  <w:tcBorders>
                    <w:top w:val="nil"/>
                    <w:left w:val="nil"/>
                    <w:bottom w:val="nil"/>
                    <w:right w:val="nil"/>
                  </w:tcBorders>
                  <w:shd w:val="clear" w:color="auto" w:fill="auto"/>
                  <w:noWrap/>
                  <w:vAlign w:val="center"/>
                  <w:hideMark/>
                </w:tcPr>
                <w:p w14:paraId="154D6E99"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4.3%</w:t>
                  </w:r>
                </w:p>
              </w:tc>
              <w:tc>
                <w:tcPr>
                  <w:tcW w:w="787" w:type="dxa"/>
                  <w:tcBorders>
                    <w:top w:val="nil"/>
                    <w:left w:val="nil"/>
                    <w:bottom w:val="nil"/>
                    <w:right w:val="single" w:sz="4" w:space="0" w:color="auto"/>
                  </w:tcBorders>
                  <w:shd w:val="clear" w:color="auto" w:fill="auto"/>
                  <w:noWrap/>
                  <w:vAlign w:val="center"/>
                  <w:hideMark/>
                </w:tcPr>
                <w:p w14:paraId="5698AC56"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5.4%</w:t>
                  </w:r>
                </w:p>
              </w:tc>
              <w:tc>
                <w:tcPr>
                  <w:tcW w:w="1400" w:type="dxa"/>
                  <w:tcBorders>
                    <w:top w:val="nil"/>
                    <w:left w:val="nil"/>
                    <w:bottom w:val="nil"/>
                    <w:right w:val="nil"/>
                  </w:tcBorders>
                  <w:shd w:val="clear" w:color="auto" w:fill="auto"/>
                  <w:noWrap/>
                  <w:vAlign w:val="center"/>
                  <w:hideMark/>
                </w:tcPr>
                <w:p w14:paraId="3A184765"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-6.2%</w:t>
                  </w:r>
                </w:p>
              </w:tc>
              <w:tc>
                <w:tcPr>
                  <w:tcW w:w="1400" w:type="dxa"/>
                  <w:tcBorders>
                    <w:top w:val="nil"/>
                    <w:left w:val="nil"/>
                    <w:bottom w:val="nil"/>
                    <w:right w:val="single" w:sz="4" w:space="0" w:color="auto"/>
                  </w:tcBorders>
                  <w:shd w:val="clear" w:color="auto" w:fill="auto"/>
                  <w:noWrap/>
                  <w:vAlign w:val="center"/>
                  <w:hideMark/>
                </w:tcPr>
                <w:p w14:paraId="5077B399"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7.6%</w:t>
                  </w:r>
                </w:p>
              </w:tc>
            </w:tr>
            <w:tr w:rsidR="005E56D0" w:rsidRPr="005E56D0" w14:paraId="780CD603" w14:textId="77777777" w:rsidTr="005E56D0">
              <w:trPr>
                <w:trHeight w:val="252"/>
              </w:trPr>
              <w:tc>
                <w:tcPr>
                  <w:tcW w:w="4466" w:type="dxa"/>
                  <w:tcBorders>
                    <w:top w:val="nil"/>
                    <w:left w:val="single" w:sz="4" w:space="0" w:color="auto"/>
                    <w:bottom w:val="nil"/>
                    <w:right w:val="single" w:sz="4" w:space="0" w:color="auto"/>
                  </w:tcBorders>
                  <w:shd w:val="clear" w:color="auto" w:fill="auto"/>
                  <w:vAlign w:val="center"/>
                  <w:hideMark/>
                </w:tcPr>
                <w:p w14:paraId="637D97BD" w14:textId="77777777" w:rsidR="005E56D0" w:rsidRPr="005E56D0" w:rsidRDefault="005E56D0" w:rsidP="005E56D0">
                  <w:pPr>
                    <w:framePr w:hSpace="141" w:wrap="around" w:vAnchor="text" w:hAnchor="margin" w:y="74"/>
                    <w:spacing w:after="0" w:line="240" w:lineRule="auto"/>
                    <w:rPr>
                      <w:rFonts w:ascii="Times New Roman" w:eastAsia="Times New Roman" w:hAnsi="Times New Roman" w:cs="Times New Roman"/>
                      <w:sz w:val="16"/>
                      <w:szCs w:val="16"/>
                      <w:lang w:eastAsia="es-GT"/>
                    </w:rPr>
                  </w:pPr>
                  <w:r w:rsidRPr="005E56D0">
                    <w:rPr>
                      <w:rFonts w:ascii="Times New Roman" w:eastAsia="Times New Roman" w:hAnsi="Times New Roman" w:cs="Times New Roman"/>
                      <w:sz w:val="16"/>
                      <w:szCs w:val="16"/>
                      <w:lang w:eastAsia="es-GT"/>
                    </w:rPr>
                    <w:t>Comercio al por mayor y al por menor; mantenimiento y reparación de vehículos automotores y motocicletas</w:t>
                  </w:r>
                </w:p>
              </w:tc>
              <w:tc>
                <w:tcPr>
                  <w:tcW w:w="787" w:type="dxa"/>
                  <w:tcBorders>
                    <w:top w:val="nil"/>
                    <w:left w:val="nil"/>
                    <w:bottom w:val="nil"/>
                    <w:right w:val="nil"/>
                  </w:tcBorders>
                  <w:shd w:val="clear" w:color="auto" w:fill="auto"/>
                  <w:noWrap/>
                  <w:vAlign w:val="center"/>
                  <w:hideMark/>
                </w:tcPr>
                <w:p w14:paraId="64330B52"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18.2%</w:t>
                  </w:r>
                </w:p>
              </w:tc>
              <w:tc>
                <w:tcPr>
                  <w:tcW w:w="787" w:type="dxa"/>
                  <w:tcBorders>
                    <w:top w:val="nil"/>
                    <w:left w:val="nil"/>
                    <w:bottom w:val="nil"/>
                    <w:right w:val="single" w:sz="4" w:space="0" w:color="auto"/>
                  </w:tcBorders>
                  <w:shd w:val="clear" w:color="auto" w:fill="auto"/>
                  <w:noWrap/>
                  <w:vAlign w:val="center"/>
                  <w:hideMark/>
                </w:tcPr>
                <w:p w14:paraId="15462494"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19.2%</w:t>
                  </w:r>
                </w:p>
              </w:tc>
              <w:tc>
                <w:tcPr>
                  <w:tcW w:w="1400" w:type="dxa"/>
                  <w:tcBorders>
                    <w:top w:val="nil"/>
                    <w:left w:val="nil"/>
                    <w:bottom w:val="nil"/>
                    <w:right w:val="nil"/>
                  </w:tcBorders>
                  <w:shd w:val="clear" w:color="auto" w:fill="auto"/>
                  <w:noWrap/>
                  <w:vAlign w:val="center"/>
                  <w:hideMark/>
                </w:tcPr>
                <w:p w14:paraId="3EF608CC"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-0.5%</w:t>
                  </w:r>
                </w:p>
              </w:tc>
              <w:tc>
                <w:tcPr>
                  <w:tcW w:w="1400" w:type="dxa"/>
                  <w:tcBorders>
                    <w:top w:val="nil"/>
                    <w:left w:val="nil"/>
                    <w:bottom w:val="nil"/>
                    <w:right w:val="single" w:sz="4" w:space="0" w:color="auto"/>
                  </w:tcBorders>
                  <w:shd w:val="clear" w:color="auto" w:fill="auto"/>
                  <w:noWrap/>
                  <w:vAlign w:val="center"/>
                  <w:hideMark/>
                </w:tcPr>
                <w:p w14:paraId="7FBC5B70"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5.1%</w:t>
                  </w:r>
                </w:p>
              </w:tc>
            </w:tr>
            <w:tr w:rsidR="005E56D0" w:rsidRPr="005E56D0" w14:paraId="4057F6D5" w14:textId="77777777" w:rsidTr="005E56D0">
              <w:trPr>
                <w:trHeight w:val="252"/>
              </w:trPr>
              <w:tc>
                <w:tcPr>
                  <w:tcW w:w="4466" w:type="dxa"/>
                  <w:tcBorders>
                    <w:top w:val="nil"/>
                    <w:left w:val="single" w:sz="4" w:space="0" w:color="auto"/>
                    <w:bottom w:val="nil"/>
                    <w:right w:val="single" w:sz="4" w:space="0" w:color="auto"/>
                  </w:tcBorders>
                  <w:shd w:val="clear" w:color="auto" w:fill="auto"/>
                  <w:noWrap/>
                  <w:vAlign w:val="center"/>
                  <w:hideMark/>
                </w:tcPr>
                <w:p w14:paraId="1F7B3AE3" w14:textId="77777777" w:rsidR="005E56D0" w:rsidRPr="005E56D0" w:rsidRDefault="005E56D0" w:rsidP="005E56D0">
                  <w:pPr>
                    <w:framePr w:hSpace="141" w:wrap="around" w:vAnchor="text" w:hAnchor="margin" w:y="74"/>
                    <w:spacing w:after="0" w:line="240" w:lineRule="auto"/>
                    <w:rPr>
                      <w:rFonts w:ascii="Times New Roman" w:eastAsia="Times New Roman" w:hAnsi="Times New Roman" w:cs="Times New Roman"/>
                      <w:sz w:val="16"/>
                      <w:szCs w:val="16"/>
                      <w:lang w:eastAsia="es-GT"/>
                    </w:rPr>
                  </w:pPr>
                  <w:r w:rsidRPr="005E56D0">
                    <w:rPr>
                      <w:rFonts w:ascii="Times New Roman" w:eastAsia="Times New Roman" w:hAnsi="Times New Roman" w:cs="Times New Roman"/>
                      <w:sz w:val="16"/>
                      <w:szCs w:val="16"/>
                      <w:lang w:eastAsia="es-GT"/>
                    </w:rPr>
                    <w:t>Transporte y almacenamiento</w:t>
                  </w:r>
                </w:p>
              </w:tc>
              <w:tc>
                <w:tcPr>
                  <w:tcW w:w="787" w:type="dxa"/>
                  <w:tcBorders>
                    <w:top w:val="nil"/>
                    <w:left w:val="nil"/>
                    <w:bottom w:val="nil"/>
                    <w:right w:val="nil"/>
                  </w:tcBorders>
                  <w:shd w:val="clear" w:color="auto" w:fill="auto"/>
                  <w:noWrap/>
                  <w:vAlign w:val="center"/>
                  <w:hideMark/>
                </w:tcPr>
                <w:p w14:paraId="558ECB70"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2.3%</w:t>
                  </w:r>
                </w:p>
              </w:tc>
              <w:tc>
                <w:tcPr>
                  <w:tcW w:w="787" w:type="dxa"/>
                  <w:tcBorders>
                    <w:top w:val="nil"/>
                    <w:left w:val="nil"/>
                    <w:bottom w:val="nil"/>
                    <w:right w:val="single" w:sz="4" w:space="0" w:color="auto"/>
                  </w:tcBorders>
                  <w:shd w:val="clear" w:color="auto" w:fill="auto"/>
                  <w:noWrap/>
                  <w:vAlign w:val="center"/>
                  <w:hideMark/>
                </w:tcPr>
                <w:p w14:paraId="621F71A2"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2.9%</w:t>
                  </w:r>
                </w:p>
              </w:tc>
              <w:tc>
                <w:tcPr>
                  <w:tcW w:w="1400" w:type="dxa"/>
                  <w:tcBorders>
                    <w:top w:val="nil"/>
                    <w:left w:val="nil"/>
                    <w:bottom w:val="nil"/>
                    <w:right w:val="nil"/>
                  </w:tcBorders>
                  <w:shd w:val="clear" w:color="auto" w:fill="auto"/>
                  <w:noWrap/>
                  <w:vAlign w:val="center"/>
                  <w:hideMark/>
                </w:tcPr>
                <w:p w14:paraId="6B574DE8"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-12.9%</w:t>
                  </w:r>
                </w:p>
              </w:tc>
              <w:tc>
                <w:tcPr>
                  <w:tcW w:w="1400" w:type="dxa"/>
                  <w:tcBorders>
                    <w:top w:val="nil"/>
                    <w:left w:val="nil"/>
                    <w:bottom w:val="nil"/>
                    <w:right w:val="single" w:sz="4" w:space="0" w:color="auto"/>
                  </w:tcBorders>
                  <w:shd w:val="clear" w:color="auto" w:fill="auto"/>
                  <w:noWrap/>
                  <w:vAlign w:val="center"/>
                  <w:hideMark/>
                </w:tcPr>
                <w:p w14:paraId="0F54B95E"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7.7%</w:t>
                  </w:r>
                </w:p>
              </w:tc>
            </w:tr>
            <w:tr w:rsidR="005E56D0" w:rsidRPr="005E56D0" w14:paraId="3BFED5CF" w14:textId="77777777" w:rsidTr="005E56D0">
              <w:trPr>
                <w:trHeight w:val="252"/>
              </w:trPr>
              <w:tc>
                <w:tcPr>
                  <w:tcW w:w="4466" w:type="dxa"/>
                  <w:tcBorders>
                    <w:top w:val="nil"/>
                    <w:left w:val="single" w:sz="4" w:space="0" w:color="auto"/>
                    <w:bottom w:val="nil"/>
                    <w:right w:val="single" w:sz="4" w:space="0" w:color="auto"/>
                  </w:tcBorders>
                  <w:shd w:val="clear" w:color="auto" w:fill="auto"/>
                  <w:vAlign w:val="center"/>
                  <w:hideMark/>
                </w:tcPr>
                <w:p w14:paraId="09A51F40" w14:textId="77777777" w:rsidR="005E56D0" w:rsidRPr="005E56D0" w:rsidRDefault="005E56D0" w:rsidP="005E56D0">
                  <w:pPr>
                    <w:framePr w:hSpace="141" w:wrap="around" w:vAnchor="text" w:hAnchor="margin" w:y="74"/>
                    <w:spacing w:after="0" w:line="240" w:lineRule="auto"/>
                    <w:rPr>
                      <w:rFonts w:ascii="Times New Roman" w:eastAsia="Times New Roman" w:hAnsi="Times New Roman" w:cs="Times New Roman"/>
                      <w:sz w:val="16"/>
                      <w:szCs w:val="16"/>
                      <w:lang w:eastAsia="es-GT"/>
                    </w:rPr>
                  </w:pPr>
                  <w:r w:rsidRPr="005E56D0">
                    <w:rPr>
                      <w:rFonts w:ascii="Times New Roman" w:eastAsia="Times New Roman" w:hAnsi="Times New Roman" w:cs="Times New Roman"/>
                      <w:sz w:val="16"/>
                      <w:szCs w:val="16"/>
                      <w:lang w:eastAsia="es-GT"/>
                    </w:rPr>
                    <w:t>Actividades de alojamiento y de servicio de comidas</w:t>
                  </w:r>
                </w:p>
              </w:tc>
              <w:tc>
                <w:tcPr>
                  <w:tcW w:w="787" w:type="dxa"/>
                  <w:tcBorders>
                    <w:top w:val="nil"/>
                    <w:left w:val="nil"/>
                    <w:bottom w:val="nil"/>
                    <w:right w:val="nil"/>
                  </w:tcBorders>
                  <w:shd w:val="clear" w:color="auto" w:fill="auto"/>
                  <w:noWrap/>
                  <w:vAlign w:val="center"/>
                  <w:hideMark/>
                </w:tcPr>
                <w:p w14:paraId="1EAC93DF"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2.3%</w:t>
                  </w:r>
                </w:p>
              </w:tc>
              <w:tc>
                <w:tcPr>
                  <w:tcW w:w="787" w:type="dxa"/>
                  <w:tcBorders>
                    <w:top w:val="nil"/>
                    <w:left w:val="nil"/>
                    <w:bottom w:val="nil"/>
                    <w:right w:val="single" w:sz="4" w:space="0" w:color="auto"/>
                  </w:tcBorders>
                  <w:shd w:val="clear" w:color="auto" w:fill="auto"/>
                  <w:noWrap/>
                  <w:vAlign w:val="center"/>
                  <w:hideMark/>
                </w:tcPr>
                <w:p w14:paraId="5DB19FA3"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2.6%</w:t>
                  </w:r>
                </w:p>
              </w:tc>
              <w:tc>
                <w:tcPr>
                  <w:tcW w:w="1400" w:type="dxa"/>
                  <w:tcBorders>
                    <w:top w:val="nil"/>
                    <w:left w:val="nil"/>
                    <w:bottom w:val="nil"/>
                    <w:right w:val="nil"/>
                  </w:tcBorders>
                  <w:shd w:val="clear" w:color="auto" w:fill="auto"/>
                  <w:noWrap/>
                  <w:vAlign w:val="center"/>
                  <w:hideMark/>
                </w:tcPr>
                <w:p w14:paraId="024610F4"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-24.0%</w:t>
                  </w:r>
                </w:p>
              </w:tc>
              <w:tc>
                <w:tcPr>
                  <w:tcW w:w="1400" w:type="dxa"/>
                  <w:tcBorders>
                    <w:top w:val="nil"/>
                    <w:left w:val="nil"/>
                    <w:bottom w:val="nil"/>
                    <w:right w:val="single" w:sz="4" w:space="0" w:color="auto"/>
                  </w:tcBorders>
                  <w:shd w:val="clear" w:color="auto" w:fill="auto"/>
                  <w:noWrap/>
                  <w:vAlign w:val="center"/>
                  <w:hideMark/>
                </w:tcPr>
                <w:p w14:paraId="550500DC"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13.6%</w:t>
                  </w:r>
                </w:p>
              </w:tc>
            </w:tr>
            <w:tr w:rsidR="005E56D0" w:rsidRPr="005E56D0" w14:paraId="3975B8E8" w14:textId="77777777" w:rsidTr="005E56D0">
              <w:trPr>
                <w:trHeight w:val="252"/>
              </w:trPr>
              <w:tc>
                <w:tcPr>
                  <w:tcW w:w="4466" w:type="dxa"/>
                  <w:tcBorders>
                    <w:top w:val="nil"/>
                    <w:left w:val="single" w:sz="4" w:space="0" w:color="auto"/>
                    <w:bottom w:val="nil"/>
                    <w:right w:val="single" w:sz="4" w:space="0" w:color="auto"/>
                  </w:tcBorders>
                  <w:shd w:val="clear" w:color="auto" w:fill="auto"/>
                  <w:noWrap/>
                  <w:vAlign w:val="center"/>
                  <w:hideMark/>
                </w:tcPr>
                <w:p w14:paraId="3A5D4788" w14:textId="77777777" w:rsidR="005E56D0" w:rsidRPr="005E56D0" w:rsidRDefault="005E56D0" w:rsidP="005E56D0">
                  <w:pPr>
                    <w:framePr w:hSpace="141" w:wrap="around" w:vAnchor="text" w:hAnchor="margin" w:y="74"/>
                    <w:spacing w:after="0" w:line="240" w:lineRule="auto"/>
                    <w:rPr>
                      <w:rFonts w:ascii="Times New Roman" w:eastAsia="Times New Roman" w:hAnsi="Times New Roman" w:cs="Times New Roman"/>
                      <w:sz w:val="16"/>
                      <w:szCs w:val="16"/>
                      <w:lang w:eastAsia="es-GT"/>
                    </w:rPr>
                  </w:pPr>
                  <w:r w:rsidRPr="005E56D0">
                    <w:rPr>
                      <w:rFonts w:ascii="Times New Roman" w:eastAsia="Times New Roman" w:hAnsi="Times New Roman" w:cs="Times New Roman"/>
                      <w:sz w:val="16"/>
                      <w:szCs w:val="16"/>
                      <w:lang w:eastAsia="es-GT"/>
                    </w:rPr>
                    <w:t>Información y comunicaciones</w:t>
                  </w:r>
                </w:p>
              </w:tc>
              <w:tc>
                <w:tcPr>
                  <w:tcW w:w="787" w:type="dxa"/>
                  <w:tcBorders>
                    <w:top w:val="nil"/>
                    <w:left w:val="nil"/>
                    <w:bottom w:val="nil"/>
                    <w:right w:val="nil"/>
                  </w:tcBorders>
                  <w:shd w:val="clear" w:color="auto" w:fill="auto"/>
                  <w:noWrap/>
                  <w:vAlign w:val="center"/>
                  <w:hideMark/>
                </w:tcPr>
                <w:p w14:paraId="278E0460"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4.9%</w:t>
                  </w:r>
                </w:p>
              </w:tc>
              <w:tc>
                <w:tcPr>
                  <w:tcW w:w="787" w:type="dxa"/>
                  <w:tcBorders>
                    <w:top w:val="nil"/>
                    <w:left w:val="nil"/>
                    <w:bottom w:val="nil"/>
                    <w:right w:val="single" w:sz="4" w:space="0" w:color="auto"/>
                  </w:tcBorders>
                  <w:shd w:val="clear" w:color="auto" w:fill="auto"/>
                  <w:noWrap/>
                  <w:vAlign w:val="center"/>
                  <w:hideMark/>
                </w:tcPr>
                <w:p w14:paraId="0E4A93CC"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3.7%</w:t>
                  </w:r>
                </w:p>
              </w:tc>
              <w:tc>
                <w:tcPr>
                  <w:tcW w:w="1400" w:type="dxa"/>
                  <w:tcBorders>
                    <w:top w:val="nil"/>
                    <w:left w:val="nil"/>
                    <w:bottom w:val="nil"/>
                    <w:right w:val="nil"/>
                  </w:tcBorders>
                  <w:shd w:val="clear" w:color="auto" w:fill="auto"/>
                  <w:noWrap/>
                  <w:vAlign w:val="center"/>
                  <w:hideMark/>
                </w:tcPr>
                <w:p w14:paraId="5E14A012"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1.4%</w:t>
                  </w:r>
                </w:p>
              </w:tc>
              <w:tc>
                <w:tcPr>
                  <w:tcW w:w="1400" w:type="dxa"/>
                  <w:tcBorders>
                    <w:top w:val="nil"/>
                    <w:left w:val="nil"/>
                    <w:bottom w:val="nil"/>
                    <w:right w:val="single" w:sz="4" w:space="0" w:color="auto"/>
                  </w:tcBorders>
                  <w:shd w:val="clear" w:color="auto" w:fill="auto"/>
                  <w:noWrap/>
                  <w:vAlign w:val="center"/>
                  <w:hideMark/>
                </w:tcPr>
                <w:p w14:paraId="584DBDC3"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3.6%</w:t>
                  </w:r>
                </w:p>
              </w:tc>
            </w:tr>
            <w:tr w:rsidR="005E56D0" w:rsidRPr="005E56D0" w14:paraId="5035F686" w14:textId="77777777" w:rsidTr="005E56D0">
              <w:trPr>
                <w:trHeight w:val="252"/>
              </w:trPr>
              <w:tc>
                <w:tcPr>
                  <w:tcW w:w="4466" w:type="dxa"/>
                  <w:tcBorders>
                    <w:top w:val="nil"/>
                    <w:left w:val="single" w:sz="4" w:space="0" w:color="auto"/>
                    <w:bottom w:val="nil"/>
                    <w:right w:val="single" w:sz="4" w:space="0" w:color="auto"/>
                  </w:tcBorders>
                  <w:shd w:val="clear" w:color="auto" w:fill="auto"/>
                  <w:noWrap/>
                  <w:vAlign w:val="center"/>
                  <w:hideMark/>
                </w:tcPr>
                <w:p w14:paraId="744378AA" w14:textId="77777777" w:rsidR="005E56D0" w:rsidRPr="005E56D0" w:rsidRDefault="005E56D0" w:rsidP="005E56D0">
                  <w:pPr>
                    <w:framePr w:hSpace="141" w:wrap="around" w:vAnchor="text" w:hAnchor="margin" w:y="74"/>
                    <w:spacing w:after="0" w:line="240" w:lineRule="auto"/>
                    <w:rPr>
                      <w:rFonts w:ascii="Times New Roman" w:eastAsia="Times New Roman" w:hAnsi="Times New Roman" w:cs="Times New Roman"/>
                      <w:sz w:val="16"/>
                      <w:szCs w:val="16"/>
                      <w:lang w:eastAsia="es-GT"/>
                    </w:rPr>
                  </w:pPr>
                  <w:r w:rsidRPr="005E56D0">
                    <w:rPr>
                      <w:rFonts w:ascii="Times New Roman" w:eastAsia="Times New Roman" w:hAnsi="Times New Roman" w:cs="Times New Roman"/>
                      <w:sz w:val="16"/>
                      <w:szCs w:val="16"/>
                      <w:lang w:eastAsia="es-GT"/>
                    </w:rPr>
                    <w:t>Actividades financieras y de seguros</w:t>
                  </w:r>
                </w:p>
              </w:tc>
              <w:tc>
                <w:tcPr>
                  <w:tcW w:w="787" w:type="dxa"/>
                  <w:tcBorders>
                    <w:top w:val="nil"/>
                    <w:left w:val="nil"/>
                    <w:bottom w:val="nil"/>
                    <w:right w:val="nil"/>
                  </w:tcBorders>
                  <w:shd w:val="clear" w:color="auto" w:fill="auto"/>
                  <w:noWrap/>
                  <w:vAlign w:val="center"/>
                  <w:hideMark/>
                </w:tcPr>
                <w:p w14:paraId="5B791089"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4.1%</w:t>
                  </w:r>
                </w:p>
              </w:tc>
              <w:tc>
                <w:tcPr>
                  <w:tcW w:w="787" w:type="dxa"/>
                  <w:tcBorders>
                    <w:top w:val="nil"/>
                    <w:left w:val="nil"/>
                    <w:bottom w:val="nil"/>
                    <w:right w:val="single" w:sz="4" w:space="0" w:color="auto"/>
                  </w:tcBorders>
                  <w:shd w:val="clear" w:color="auto" w:fill="auto"/>
                  <w:noWrap/>
                  <w:vAlign w:val="center"/>
                  <w:hideMark/>
                </w:tcPr>
                <w:p w14:paraId="4E7C3E7F"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4.0%</w:t>
                  </w:r>
                </w:p>
              </w:tc>
              <w:tc>
                <w:tcPr>
                  <w:tcW w:w="1400" w:type="dxa"/>
                  <w:tcBorders>
                    <w:top w:val="nil"/>
                    <w:left w:val="nil"/>
                    <w:bottom w:val="nil"/>
                    <w:right w:val="nil"/>
                  </w:tcBorders>
                  <w:shd w:val="clear" w:color="auto" w:fill="auto"/>
                  <w:noWrap/>
                  <w:vAlign w:val="center"/>
                  <w:hideMark/>
                </w:tcPr>
                <w:p w14:paraId="0F76691A"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3.4%</w:t>
                  </w:r>
                </w:p>
              </w:tc>
              <w:tc>
                <w:tcPr>
                  <w:tcW w:w="1400" w:type="dxa"/>
                  <w:tcBorders>
                    <w:top w:val="nil"/>
                    <w:left w:val="nil"/>
                    <w:bottom w:val="nil"/>
                    <w:right w:val="single" w:sz="4" w:space="0" w:color="auto"/>
                  </w:tcBorders>
                  <w:shd w:val="clear" w:color="auto" w:fill="auto"/>
                  <w:noWrap/>
                  <w:vAlign w:val="center"/>
                  <w:hideMark/>
                </w:tcPr>
                <w:p w14:paraId="4CAAD18D"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5.8%</w:t>
                  </w:r>
                </w:p>
              </w:tc>
            </w:tr>
            <w:tr w:rsidR="005E56D0" w:rsidRPr="005E56D0" w14:paraId="68988F9E" w14:textId="77777777" w:rsidTr="005E56D0">
              <w:trPr>
                <w:trHeight w:val="252"/>
              </w:trPr>
              <w:tc>
                <w:tcPr>
                  <w:tcW w:w="4466" w:type="dxa"/>
                  <w:tcBorders>
                    <w:top w:val="nil"/>
                    <w:left w:val="single" w:sz="4" w:space="0" w:color="auto"/>
                    <w:bottom w:val="nil"/>
                    <w:right w:val="single" w:sz="4" w:space="0" w:color="auto"/>
                  </w:tcBorders>
                  <w:shd w:val="clear" w:color="auto" w:fill="auto"/>
                  <w:noWrap/>
                  <w:vAlign w:val="center"/>
                  <w:hideMark/>
                </w:tcPr>
                <w:p w14:paraId="413F4686" w14:textId="77777777" w:rsidR="005E56D0" w:rsidRPr="005E56D0" w:rsidRDefault="005E56D0" w:rsidP="005E56D0">
                  <w:pPr>
                    <w:framePr w:hSpace="141" w:wrap="around" w:vAnchor="text" w:hAnchor="margin" w:y="74"/>
                    <w:spacing w:after="0" w:line="240" w:lineRule="auto"/>
                    <w:rPr>
                      <w:rFonts w:ascii="Times New Roman" w:eastAsia="Times New Roman" w:hAnsi="Times New Roman" w:cs="Times New Roman"/>
                      <w:sz w:val="16"/>
                      <w:szCs w:val="16"/>
                      <w:lang w:eastAsia="es-GT"/>
                    </w:rPr>
                  </w:pPr>
                  <w:r w:rsidRPr="005E56D0">
                    <w:rPr>
                      <w:rFonts w:ascii="Times New Roman" w:eastAsia="Times New Roman" w:hAnsi="Times New Roman" w:cs="Times New Roman"/>
                      <w:sz w:val="16"/>
                      <w:szCs w:val="16"/>
                      <w:lang w:eastAsia="es-GT"/>
                    </w:rPr>
                    <w:t>Actividades inmobiliarias</w:t>
                  </w:r>
                </w:p>
              </w:tc>
              <w:tc>
                <w:tcPr>
                  <w:tcW w:w="787" w:type="dxa"/>
                  <w:tcBorders>
                    <w:top w:val="nil"/>
                    <w:left w:val="nil"/>
                    <w:bottom w:val="nil"/>
                    <w:right w:val="nil"/>
                  </w:tcBorders>
                  <w:shd w:val="clear" w:color="auto" w:fill="auto"/>
                  <w:noWrap/>
                  <w:vAlign w:val="center"/>
                  <w:hideMark/>
                </w:tcPr>
                <w:p w14:paraId="33816656"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9.4%</w:t>
                  </w:r>
                </w:p>
              </w:tc>
              <w:tc>
                <w:tcPr>
                  <w:tcW w:w="787" w:type="dxa"/>
                  <w:tcBorders>
                    <w:top w:val="nil"/>
                    <w:left w:val="nil"/>
                    <w:bottom w:val="nil"/>
                    <w:right w:val="single" w:sz="4" w:space="0" w:color="auto"/>
                  </w:tcBorders>
                  <w:shd w:val="clear" w:color="auto" w:fill="auto"/>
                  <w:noWrap/>
                  <w:vAlign w:val="center"/>
                  <w:hideMark/>
                </w:tcPr>
                <w:p w14:paraId="063FBB0D"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8.5%</w:t>
                  </w:r>
                </w:p>
              </w:tc>
              <w:tc>
                <w:tcPr>
                  <w:tcW w:w="1400" w:type="dxa"/>
                  <w:tcBorders>
                    <w:top w:val="nil"/>
                    <w:left w:val="nil"/>
                    <w:bottom w:val="nil"/>
                    <w:right w:val="nil"/>
                  </w:tcBorders>
                  <w:shd w:val="clear" w:color="auto" w:fill="auto"/>
                  <w:noWrap/>
                  <w:vAlign w:val="center"/>
                  <w:hideMark/>
                </w:tcPr>
                <w:p w14:paraId="55F791FA"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3.1%</w:t>
                  </w:r>
                </w:p>
              </w:tc>
              <w:tc>
                <w:tcPr>
                  <w:tcW w:w="1400" w:type="dxa"/>
                  <w:tcBorders>
                    <w:top w:val="nil"/>
                    <w:left w:val="nil"/>
                    <w:bottom w:val="nil"/>
                    <w:right w:val="single" w:sz="4" w:space="0" w:color="auto"/>
                  </w:tcBorders>
                  <w:shd w:val="clear" w:color="auto" w:fill="auto"/>
                  <w:noWrap/>
                  <w:vAlign w:val="center"/>
                  <w:hideMark/>
                </w:tcPr>
                <w:p w14:paraId="15A7FCC3"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4.1%</w:t>
                  </w:r>
                </w:p>
              </w:tc>
            </w:tr>
            <w:tr w:rsidR="005E56D0" w:rsidRPr="005E56D0" w14:paraId="58C8C7EF" w14:textId="77777777" w:rsidTr="005E56D0">
              <w:trPr>
                <w:trHeight w:val="252"/>
              </w:trPr>
              <w:tc>
                <w:tcPr>
                  <w:tcW w:w="4466" w:type="dxa"/>
                  <w:tcBorders>
                    <w:top w:val="nil"/>
                    <w:left w:val="single" w:sz="4" w:space="0" w:color="auto"/>
                    <w:bottom w:val="nil"/>
                    <w:right w:val="single" w:sz="4" w:space="0" w:color="auto"/>
                  </w:tcBorders>
                  <w:shd w:val="clear" w:color="auto" w:fill="auto"/>
                  <w:vAlign w:val="center"/>
                  <w:hideMark/>
                </w:tcPr>
                <w:p w14:paraId="3FCA84E1" w14:textId="77777777" w:rsidR="005E56D0" w:rsidRPr="005E56D0" w:rsidRDefault="005E56D0" w:rsidP="005E56D0">
                  <w:pPr>
                    <w:framePr w:hSpace="141" w:wrap="around" w:vAnchor="text" w:hAnchor="margin" w:y="74"/>
                    <w:spacing w:after="0" w:line="240" w:lineRule="auto"/>
                    <w:rPr>
                      <w:rFonts w:ascii="Times New Roman" w:eastAsia="Times New Roman" w:hAnsi="Times New Roman" w:cs="Times New Roman"/>
                      <w:sz w:val="16"/>
                      <w:szCs w:val="16"/>
                      <w:lang w:eastAsia="es-GT"/>
                    </w:rPr>
                  </w:pPr>
                  <w:r w:rsidRPr="005E56D0">
                    <w:rPr>
                      <w:rFonts w:ascii="Times New Roman" w:eastAsia="Times New Roman" w:hAnsi="Times New Roman" w:cs="Times New Roman"/>
                      <w:sz w:val="16"/>
                      <w:szCs w:val="16"/>
                      <w:lang w:eastAsia="es-GT"/>
                    </w:rPr>
                    <w:t>Actividades profesionales, científicas y técnicas</w:t>
                  </w:r>
                </w:p>
              </w:tc>
              <w:tc>
                <w:tcPr>
                  <w:tcW w:w="787" w:type="dxa"/>
                  <w:tcBorders>
                    <w:top w:val="nil"/>
                    <w:left w:val="nil"/>
                    <w:bottom w:val="nil"/>
                    <w:right w:val="nil"/>
                  </w:tcBorders>
                  <w:shd w:val="clear" w:color="auto" w:fill="auto"/>
                  <w:noWrap/>
                  <w:vAlign w:val="center"/>
                  <w:hideMark/>
                </w:tcPr>
                <w:p w14:paraId="57587577"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2.5%</w:t>
                  </w:r>
                </w:p>
              </w:tc>
              <w:tc>
                <w:tcPr>
                  <w:tcW w:w="787" w:type="dxa"/>
                  <w:tcBorders>
                    <w:top w:val="nil"/>
                    <w:left w:val="nil"/>
                    <w:bottom w:val="nil"/>
                    <w:right w:val="single" w:sz="4" w:space="0" w:color="auto"/>
                  </w:tcBorders>
                  <w:shd w:val="clear" w:color="auto" w:fill="auto"/>
                  <w:noWrap/>
                  <w:vAlign w:val="center"/>
                  <w:hideMark/>
                </w:tcPr>
                <w:p w14:paraId="779F4C3D"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2.4%</w:t>
                  </w:r>
                </w:p>
              </w:tc>
              <w:tc>
                <w:tcPr>
                  <w:tcW w:w="1400" w:type="dxa"/>
                  <w:tcBorders>
                    <w:top w:val="nil"/>
                    <w:left w:val="nil"/>
                    <w:bottom w:val="nil"/>
                    <w:right w:val="nil"/>
                  </w:tcBorders>
                  <w:shd w:val="clear" w:color="auto" w:fill="auto"/>
                  <w:noWrap/>
                  <w:vAlign w:val="center"/>
                  <w:hideMark/>
                </w:tcPr>
                <w:p w14:paraId="353CC396"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-2.1%</w:t>
                  </w:r>
                </w:p>
              </w:tc>
              <w:tc>
                <w:tcPr>
                  <w:tcW w:w="1400" w:type="dxa"/>
                  <w:tcBorders>
                    <w:top w:val="nil"/>
                    <w:left w:val="nil"/>
                    <w:bottom w:val="nil"/>
                    <w:right w:val="single" w:sz="4" w:space="0" w:color="auto"/>
                  </w:tcBorders>
                  <w:shd w:val="clear" w:color="auto" w:fill="auto"/>
                  <w:noWrap/>
                  <w:vAlign w:val="center"/>
                  <w:hideMark/>
                </w:tcPr>
                <w:p w14:paraId="77281C0B"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4.0%</w:t>
                  </w:r>
                </w:p>
              </w:tc>
            </w:tr>
            <w:tr w:rsidR="005E56D0" w:rsidRPr="005E56D0" w14:paraId="0D69AFE2" w14:textId="77777777" w:rsidTr="005E56D0">
              <w:trPr>
                <w:trHeight w:val="252"/>
              </w:trPr>
              <w:tc>
                <w:tcPr>
                  <w:tcW w:w="4466" w:type="dxa"/>
                  <w:tcBorders>
                    <w:top w:val="nil"/>
                    <w:left w:val="single" w:sz="4" w:space="0" w:color="auto"/>
                    <w:bottom w:val="nil"/>
                    <w:right w:val="single" w:sz="4" w:space="0" w:color="auto"/>
                  </w:tcBorders>
                  <w:shd w:val="clear" w:color="auto" w:fill="auto"/>
                  <w:vAlign w:val="center"/>
                  <w:hideMark/>
                </w:tcPr>
                <w:p w14:paraId="29AAF212" w14:textId="77777777" w:rsidR="005E56D0" w:rsidRPr="005E56D0" w:rsidRDefault="005E56D0" w:rsidP="005E56D0">
                  <w:pPr>
                    <w:framePr w:hSpace="141" w:wrap="around" w:vAnchor="text" w:hAnchor="margin" w:y="74"/>
                    <w:spacing w:after="0" w:line="240" w:lineRule="auto"/>
                    <w:rPr>
                      <w:rFonts w:ascii="Times New Roman" w:eastAsia="Times New Roman" w:hAnsi="Times New Roman" w:cs="Times New Roman"/>
                      <w:sz w:val="16"/>
                      <w:szCs w:val="16"/>
                      <w:lang w:eastAsia="es-GT"/>
                    </w:rPr>
                  </w:pPr>
                  <w:r w:rsidRPr="005E56D0">
                    <w:rPr>
                      <w:rFonts w:ascii="Times New Roman" w:eastAsia="Times New Roman" w:hAnsi="Times New Roman" w:cs="Times New Roman"/>
                      <w:sz w:val="16"/>
                      <w:szCs w:val="16"/>
                      <w:lang w:eastAsia="es-GT"/>
                    </w:rPr>
                    <w:t>Actividades de servicios administrativos y de apoyo</w:t>
                  </w:r>
                </w:p>
              </w:tc>
              <w:tc>
                <w:tcPr>
                  <w:tcW w:w="787" w:type="dxa"/>
                  <w:tcBorders>
                    <w:top w:val="nil"/>
                    <w:left w:val="nil"/>
                    <w:bottom w:val="nil"/>
                    <w:right w:val="nil"/>
                  </w:tcBorders>
                  <w:shd w:val="clear" w:color="auto" w:fill="auto"/>
                  <w:noWrap/>
                  <w:vAlign w:val="center"/>
                  <w:hideMark/>
                </w:tcPr>
                <w:p w14:paraId="1E1552A4"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3.5%</w:t>
                  </w:r>
                </w:p>
              </w:tc>
              <w:tc>
                <w:tcPr>
                  <w:tcW w:w="787" w:type="dxa"/>
                  <w:tcBorders>
                    <w:top w:val="nil"/>
                    <w:left w:val="nil"/>
                    <w:bottom w:val="nil"/>
                    <w:right w:val="single" w:sz="4" w:space="0" w:color="auto"/>
                  </w:tcBorders>
                  <w:shd w:val="clear" w:color="auto" w:fill="auto"/>
                  <w:noWrap/>
                  <w:vAlign w:val="center"/>
                  <w:hideMark/>
                </w:tcPr>
                <w:p w14:paraId="3310169A"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3.1%</w:t>
                  </w:r>
                </w:p>
              </w:tc>
              <w:tc>
                <w:tcPr>
                  <w:tcW w:w="1400" w:type="dxa"/>
                  <w:tcBorders>
                    <w:top w:val="nil"/>
                    <w:left w:val="nil"/>
                    <w:bottom w:val="nil"/>
                    <w:right w:val="nil"/>
                  </w:tcBorders>
                  <w:shd w:val="clear" w:color="auto" w:fill="auto"/>
                  <w:noWrap/>
                  <w:vAlign w:val="center"/>
                  <w:hideMark/>
                </w:tcPr>
                <w:p w14:paraId="0B3FCE31"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-0.1%</w:t>
                  </w:r>
                </w:p>
              </w:tc>
              <w:tc>
                <w:tcPr>
                  <w:tcW w:w="1400" w:type="dxa"/>
                  <w:tcBorders>
                    <w:top w:val="nil"/>
                    <w:left w:val="nil"/>
                    <w:bottom w:val="nil"/>
                    <w:right w:val="single" w:sz="4" w:space="0" w:color="auto"/>
                  </w:tcBorders>
                  <w:shd w:val="clear" w:color="auto" w:fill="auto"/>
                  <w:noWrap/>
                  <w:vAlign w:val="center"/>
                  <w:hideMark/>
                </w:tcPr>
                <w:p w14:paraId="29D5E2C7"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4.1%</w:t>
                  </w:r>
                </w:p>
              </w:tc>
            </w:tr>
            <w:tr w:rsidR="005E56D0" w:rsidRPr="005E56D0" w14:paraId="2C2C8BFE" w14:textId="77777777" w:rsidTr="005E56D0">
              <w:trPr>
                <w:trHeight w:val="252"/>
              </w:trPr>
              <w:tc>
                <w:tcPr>
                  <w:tcW w:w="4466" w:type="dxa"/>
                  <w:tcBorders>
                    <w:top w:val="nil"/>
                    <w:left w:val="single" w:sz="4" w:space="0" w:color="auto"/>
                    <w:bottom w:val="nil"/>
                    <w:right w:val="single" w:sz="4" w:space="0" w:color="auto"/>
                  </w:tcBorders>
                  <w:shd w:val="clear" w:color="auto" w:fill="auto"/>
                  <w:vAlign w:val="center"/>
                  <w:hideMark/>
                </w:tcPr>
                <w:p w14:paraId="2A8D1E6F" w14:textId="77777777" w:rsidR="005E56D0" w:rsidRPr="005E56D0" w:rsidRDefault="005E56D0" w:rsidP="005E56D0">
                  <w:pPr>
                    <w:framePr w:hSpace="141" w:wrap="around" w:vAnchor="text" w:hAnchor="margin" w:y="74"/>
                    <w:spacing w:after="0" w:line="240" w:lineRule="auto"/>
                    <w:rPr>
                      <w:rFonts w:ascii="Times New Roman" w:eastAsia="Times New Roman" w:hAnsi="Times New Roman" w:cs="Times New Roman"/>
                      <w:sz w:val="16"/>
                      <w:szCs w:val="16"/>
                      <w:lang w:eastAsia="es-GT"/>
                    </w:rPr>
                  </w:pPr>
                  <w:r w:rsidRPr="005E56D0">
                    <w:rPr>
                      <w:rFonts w:ascii="Times New Roman" w:eastAsia="Times New Roman" w:hAnsi="Times New Roman" w:cs="Times New Roman"/>
                      <w:sz w:val="16"/>
                      <w:szCs w:val="16"/>
                      <w:lang w:eastAsia="es-GT"/>
                    </w:rPr>
                    <w:t>Administración pública y defensa; planes de seguridad social de afiliación obligatoria</w:t>
                  </w:r>
                </w:p>
              </w:tc>
              <w:tc>
                <w:tcPr>
                  <w:tcW w:w="787" w:type="dxa"/>
                  <w:tcBorders>
                    <w:top w:val="nil"/>
                    <w:left w:val="nil"/>
                    <w:bottom w:val="nil"/>
                    <w:right w:val="nil"/>
                  </w:tcBorders>
                  <w:shd w:val="clear" w:color="auto" w:fill="auto"/>
                  <w:noWrap/>
                  <w:vAlign w:val="center"/>
                  <w:hideMark/>
                </w:tcPr>
                <w:p w14:paraId="02D55E0C"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4.1%</w:t>
                  </w:r>
                </w:p>
              </w:tc>
              <w:tc>
                <w:tcPr>
                  <w:tcW w:w="787" w:type="dxa"/>
                  <w:tcBorders>
                    <w:top w:val="nil"/>
                    <w:left w:val="nil"/>
                    <w:bottom w:val="nil"/>
                    <w:right w:val="single" w:sz="4" w:space="0" w:color="auto"/>
                  </w:tcBorders>
                  <w:shd w:val="clear" w:color="auto" w:fill="auto"/>
                  <w:noWrap/>
                  <w:vAlign w:val="center"/>
                  <w:hideMark/>
                </w:tcPr>
                <w:p w14:paraId="4E859E0B"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4.4%</w:t>
                  </w:r>
                </w:p>
              </w:tc>
              <w:tc>
                <w:tcPr>
                  <w:tcW w:w="1400" w:type="dxa"/>
                  <w:tcBorders>
                    <w:top w:val="nil"/>
                    <w:left w:val="nil"/>
                    <w:bottom w:val="nil"/>
                    <w:right w:val="nil"/>
                  </w:tcBorders>
                  <w:shd w:val="clear" w:color="auto" w:fill="auto"/>
                  <w:noWrap/>
                  <w:vAlign w:val="center"/>
                  <w:hideMark/>
                </w:tcPr>
                <w:p w14:paraId="770CE1DD"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1.0%</w:t>
                  </w:r>
                </w:p>
              </w:tc>
              <w:tc>
                <w:tcPr>
                  <w:tcW w:w="1400" w:type="dxa"/>
                  <w:tcBorders>
                    <w:top w:val="nil"/>
                    <w:left w:val="nil"/>
                    <w:bottom w:val="nil"/>
                    <w:right w:val="single" w:sz="4" w:space="0" w:color="auto"/>
                  </w:tcBorders>
                  <w:shd w:val="clear" w:color="auto" w:fill="auto"/>
                  <w:noWrap/>
                  <w:vAlign w:val="center"/>
                  <w:hideMark/>
                </w:tcPr>
                <w:p w14:paraId="4441D245"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1.9%</w:t>
                  </w:r>
                </w:p>
              </w:tc>
            </w:tr>
            <w:tr w:rsidR="005E56D0" w:rsidRPr="005E56D0" w14:paraId="790AAC1D" w14:textId="77777777" w:rsidTr="005E56D0">
              <w:trPr>
                <w:trHeight w:val="252"/>
              </w:trPr>
              <w:tc>
                <w:tcPr>
                  <w:tcW w:w="4466" w:type="dxa"/>
                  <w:tcBorders>
                    <w:top w:val="nil"/>
                    <w:left w:val="single" w:sz="4" w:space="0" w:color="auto"/>
                    <w:bottom w:val="nil"/>
                    <w:right w:val="single" w:sz="4" w:space="0" w:color="auto"/>
                  </w:tcBorders>
                  <w:shd w:val="clear" w:color="auto" w:fill="auto"/>
                  <w:noWrap/>
                  <w:vAlign w:val="center"/>
                  <w:hideMark/>
                </w:tcPr>
                <w:p w14:paraId="44034A78" w14:textId="77777777" w:rsidR="005E56D0" w:rsidRPr="005E56D0" w:rsidRDefault="005E56D0" w:rsidP="005E56D0">
                  <w:pPr>
                    <w:framePr w:hSpace="141" w:wrap="around" w:vAnchor="text" w:hAnchor="margin" w:y="74"/>
                    <w:spacing w:after="0" w:line="240" w:lineRule="auto"/>
                    <w:rPr>
                      <w:rFonts w:ascii="Times New Roman" w:eastAsia="Times New Roman" w:hAnsi="Times New Roman" w:cs="Times New Roman"/>
                      <w:sz w:val="16"/>
                      <w:szCs w:val="16"/>
                      <w:lang w:eastAsia="es-GT"/>
                    </w:rPr>
                  </w:pPr>
                  <w:r w:rsidRPr="005E56D0">
                    <w:rPr>
                      <w:rFonts w:ascii="Times New Roman" w:eastAsia="Times New Roman" w:hAnsi="Times New Roman" w:cs="Times New Roman"/>
                      <w:sz w:val="16"/>
                      <w:szCs w:val="16"/>
                      <w:lang w:eastAsia="es-GT"/>
                    </w:rPr>
                    <w:t>Enseñanza</w:t>
                  </w:r>
                </w:p>
              </w:tc>
              <w:tc>
                <w:tcPr>
                  <w:tcW w:w="787" w:type="dxa"/>
                  <w:tcBorders>
                    <w:top w:val="nil"/>
                    <w:left w:val="nil"/>
                    <w:bottom w:val="nil"/>
                    <w:right w:val="nil"/>
                  </w:tcBorders>
                  <w:shd w:val="clear" w:color="auto" w:fill="auto"/>
                  <w:noWrap/>
                  <w:vAlign w:val="center"/>
                  <w:hideMark/>
                </w:tcPr>
                <w:p w14:paraId="4D4CA41A"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3.7%</w:t>
                  </w:r>
                </w:p>
              </w:tc>
              <w:tc>
                <w:tcPr>
                  <w:tcW w:w="787" w:type="dxa"/>
                  <w:tcBorders>
                    <w:top w:val="nil"/>
                    <w:left w:val="nil"/>
                    <w:bottom w:val="nil"/>
                    <w:right w:val="single" w:sz="4" w:space="0" w:color="auto"/>
                  </w:tcBorders>
                  <w:shd w:val="clear" w:color="auto" w:fill="auto"/>
                  <w:noWrap/>
                  <w:vAlign w:val="center"/>
                  <w:hideMark/>
                </w:tcPr>
                <w:p w14:paraId="1040505E"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4.7%</w:t>
                  </w:r>
                </w:p>
              </w:tc>
              <w:tc>
                <w:tcPr>
                  <w:tcW w:w="1400" w:type="dxa"/>
                  <w:tcBorders>
                    <w:top w:val="nil"/>
                    <w:left w:val="nil"/>
                    <w:bottom w:val="nil"/>
                    <w:right w:val="nil"/>
                  </w:tcBorders>
                  <w:shd w:val="clear" w:color="auto" w:fill="auto"/>
                  <w:noWrap/>
                  <w:vAlign w:val="center"/>
                  <w:hideMark/>
                </w:tcPr>
                <w:p w14:paraId="0E57CE3D"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-2.4%</w:t>
                  </w:r>
                </w:p>
              </w:tc>
              <w:tc>
                <w:tcPr>
                  <w:tcW w:w="1400" w:type="dxa"/>
                  <w:tcBorders>
                    <w:top w:val="nil"/>
                    <w:left w:val="nil"/>
                    <w:bottom w:val="nil"/>
                    <w:right w:val="single" w:sz="4" w:space="0" w:color="auto"/>
                  </w:tcBorders>
                  <w:shd w:val="clear" w:color="auto" w:fill="auto"/>
                  <w:noWrap/>
                  <w:vAlign w:val="center"/>
                  <w:hideMark/>
                </w:tcPr>
                <w:p w14:paraId="598FB474"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3.1%</w:t>
                  </w:r>
                </w:p>
              </w:tc>
            </w:tr>
            <w:tr w:rsidR="005E56D0" w:rsidRPr="005E56D0" w14:paraId="246130C8" w14:textId="77777777" w:rsidTr="005E56D0">
              <w:trPr>
                <w:trHeight w:val="252"/>
              </w:trPr>
              <w:tc>
                <w:tcPr>
                  <w:tcW w:w="4466" w:type="dxa"/>
                  <w:tcBorders>
                    <w:top w:val="nil"/>
                    <w:left w:val="single" w:sz="4" w:space="0" w:color="auto"/>
                    <w:bottom w:val="nil"/>
                    <w:right w:val="single" w:sz="4" w:space="0" w:color="auto"/>
                  </w:tcBorders>
                  <w:shd w:val="clear" w:color="auto" w:fill="auto"/>
                  <w:vAlign w:val="center"/>
                  <w:hideMark/>
                </w:tcPr>
                <w:p w14:paraId="2979DCE8" w14:textId="77777777" w:rsidR="005E56D0" w:rsidRPr="005E56D0" w:rsidRDefault="005E56D0" w:rsidP="005E56D0">
                  <w:pPr>
                    <w:framePr w:hSpace="141" w:wrap="around" w:vAnchor="text" w:hAnchor="margin" w:y="74"/>
                    <w:spacing w:after="0" w:line="240" w:lineRule="auto"/>
                    <w:rPr>
                      <w:rFonts w:ascii="Times New Roman" w:eastAsia="Times New Roman" w:hAnsi="Times New Roman" w:cs="Times New Roman"/>
                      <w:sz w:val="16"/>
                      <w:szCs w:val="16"/>
                      <w:lang w:eastAsia="es-GT"/>
                    </w:rPr>
                  </w:pPr>
                  <w:r w:rsidRPr="005E56D0">
                    <w:rPr>
                      <w:rFonts w:ascii="Times New Roman" w:eastAsia="Times New Roman" w:hAnsi="Times New Roman" w:cs="Times New Roman"/>
                      <w:sz w:val="16"/>
                      <w:szCs w:val="16"/>
                      <w:lang w:eastAsia="es-GT"/>
                    </w:rPr>
                    <w:t>Actividades de atención de la salud humana y de asistencia social</w:t>
                  </w:r>
                </w:p>
              </w:tc>
              <w:tc>
                <w:tcPr>
                  <w:tcW w:w="787" w:type="dxa"/>
                  <w:tcBorders>
                    <w:top w:val="nil"/>
                    <w:left w:val="nil"/>
                    <w:bottom w:val="nil"/>
                    <w:right w:val="nil"/>
                  </w:tcBorders>
                  <w:shd w:val="clear" w:color="auto" w:fill="auto"/>
                  <w:noWrap/>
                  <w:vAlign w:val="center"/>
                  <w:hideMark/>
                </w:tcPr>
                <w:p w14:paraId="431C7A3C"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2.5%</w:t>
                  </w:r>
                </w:p>
              </w:tc>
              <w:tc>
                <w:tcPr>
                  <w:tcW w:w="787" w:type="dxa"/>
                  <w:tcBorders>
                    <w:top w:val="nil"/>
                    <w:left w:val="nil"/>
                    <w:bottom w:val="nil"/>
                    <w:right w:val="single" w:sz="4" w:space="0" w:color="auto"/>
                  </w:tcBorders>
                  <w:shd w:val="clear" w:color="auto" w:fill="auto"/>
                  <w:noWrap/>
                  <w:vAlign w:val="center"/>
                  <w:hideMark/>
                </w:tcPr>
                <w:p w14:paraId="368A345A"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2.7%</w:t>
                  </w:r>
                </w:p>
              </w:tc>
              <w:tc>
                <w:tcPr>
                  <w:tcW w:w="1400" w:type="dxa"/>
                  <w:tcBorders>
                    <w:top w:val="nil"/>
                    <w:left w:val="nil"/>
                    <w:bottom w:val="nil"/>
                    <w:right w:val="nil"/>
                  </w:tcBorders>
                  <w:shd w:val="clear" w:color="auto" w:fill="auto"/>
                  <w:noWrap/>
                  <w:vAlign w:val="center"/>
                  <w:hideMark/>
                </w:tcPr>
                <w:p w14:paraId="6F073164"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-0.2%</w:t>
                  </w:r>
                </w:p>
              </w:tc>
              <w:tc>
                <w:tcPr>
                  <w:tcW w:w="1400" w:type="dxa"/>
                  <w:tcBorders>
                    <w:top w:val="nil"/>
                    <w:left w:val="nil"/>
                    <w:bottom w:val="nil"/>
                    <w:right w:val="single" w:sz="4" w:space="0" w:color="auto"/>
                  </w:tcBorders>
                  <w:shd w:val="clear" w:color="auto" w:fill="auto"/>
                  <w:noWrap/>
                  <w:vAlign w:val="center"/>
                  <w:hideMark/>
                </w:tcPr>
                <w:p w14:paraId="01FEBB39"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7..4%</w:t>
                  </w:r>
                </w:p>
              </w:tc>
            </w:tr>
            <w:tr w:rsidR="005E56D0" w:rsidRPr="005E56D0" w14:paraId="107E596D" w14:textId="77777777" w:rsidTr="005E56D0">
              <w:trPr>
                <w:trHeight w:val="252"/>
              </w:trPr>
              <w:tc>
                <w:tcPr>
                  <w:tcW w:w="4466" w:type="dxa"/>
                  <w:tcBorders>
                    <w:top w:val="nil"/>
                    <w:left w:val="single" w:sz="4" w:space="0" w:color="auto"/>
                    <w:bottom w:val="nil"/>
                    <w:right w:val="single" w:sz="4" w:space="0" w:color="auto"/>
                  </w:tcBorders>
                  <w:shd w:val="clear" w:color="auto" w:fill="auto"/>
                  <w:noWrap/>
                  <w:vAlign w:val="center"/>
                  <w:hideMark/>
                </w:tcPr>
                <w:p w14:paraId="3F992F8B" w14:textId="77777777" w:rsidR="005E56D0" w:rsidRPr="005E56D0" w:rsidRDefault="005E56D0" w:rsidP="005E56D0">
                  <w:pPr>
                    <w:framePr w:hSpace="141" w:wrap="around" w:vAnchor="text" w:hAnchor="margin" w:y="74"/>
                    <w:spacing w:after="0" w:line="240" w:lineRule="auto"/>
                    <w:rPr>
                      <w:rFonts w:ascii="Times New Roman" w:eastAsia="Times New Roman" w:hAnsi="Times New Roman" w:cs="Times New Roman"/>
                      <w:sz w:val="16"/>
                      <w:szCs w:val="16"/>
                      <w:lang w:eastAsia="es-GT"/>
                    </w:rPr>
                  </w:pPr>
                  <w:r w:rsidRPr="005E56D0">
                    <w:rPr>
                      <w:rFonts w:ascii="Times New Roman" w:eastAsia="Times New Roman" w:hAnsi="Times New Roman" w:cs="Times New Roman"/>
                      <w:sz w:val="16"/>
                      <w:szCs w:val="16"/>
                      <w:lang w:eastAsia="es-GT"/>
                    </w:rPr>
                    <w:t>Otras actividades de servicios</w:t>
                  </w:r>
                </w:p>
              </w:tc>
              <w:tc>
                <w:tcPr>
                  <w:tcW w:w="787" w:type="dxa"/>
                  <w:tcBorders>
                    <w:top w:val="nil"/>
                    <w:left w:val="nil"/>
                    <w:bottom w:val="nil"/>
                    <w:right w:val="nil"/>
                  </w:tcBorders>
                  <w:shd w:val="clear" w:color="auto" w:fill="auto"/>
                  <w:noWrap/>
                  <w:vAlign w:val="center"/>
                  <w:hideMark/>
                </w:tcPr>
                <w:p w14:paraId="72C1AB87"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3.6%</w:t>
                  </w:r>
                </w:p>
              </w:tc>
              <w:tc>
                <w:tcPr>
                  <w:tcW w:w="787" w:type="dxa"/>
                  <w:tcBorders>
                    <w:top w:val="nil"/>
                    <w:left w:val="nil"/>
                    <w:bottom w:val="nil"/>
                    <w:right w:val="single" w:sz="4" w:space="0" w:color="auto"/>
                  </w:tcBorders>
                  <w:shd w:val="clear" w:color="auto" w:fill="auto"/>
                  <w:noWrap/>
                  <w:vAlign w:val="center"/>
                  <w:hideMark/>
                </w:tcPr>
                <w:p w14:paraId="0ADE578D"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3.9%</w:t>
                  </w:r>
                </w:p>
              </w:tc>
              <w:tc>
                <w:tcPr>
                  <w:tcW w:w="1400" w:type="dxa"/>
                  <w:tcBorders>
                    <w:top w:val="nil"/>
                    <w:left w:val="nil"/>
                    <w:bottom w:val="nil"/>
                    <w:right w:val="nil"/>
                  </w:tcBorders>
                  <w:shd w:val="clear" w:color="auto" w:fill="auto"/>
                  <w:noWrap/>
                  <w:vAlign w:val="center"/>
                  <w:hideMark/>
                </w:tcPr>
                <w:p w14:paraId="0ED1794B"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-9.3%</w:t>
                  </w:r>
                </w:p>
              </w:tc>
              <w:tc>
                <w:tcPr>
                  <w:tcW w:w="1400" w:type="dxa"/>
                  <w:tcBorders>
                    <w:top w:val="nil"/>
                    <w:left w:val="nil"/>
                    <w:bottom w:val="nil"/>
                    <w:right w:val="single" w:sz="4" w:space="0" w:color="auto"/>
                  </w:tcBorders>
                  <w:shd w:val="clear" w:color="auto" w:fill="auto"/>
                  <w:noWrap/>
                  <w:vAlign w:val="center"/>
                  <w:hideMark/>
                </w:tcPr>
                <w:p w14:paraId="1526E726"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6.2%</w:t>
                  </w:r>
                </w:p>
              </w:tc>
            </w:tr>
            <w:tr w:rsidR="005E56D0" w:rsidRPr="005E56D0" w14:paraId="26B1D211" w14:textId="77777777" w:rsidTr="005E56D0">
              <w:trPr>
                <w:trHeight w:val="252"/>
              </w:trPr>
              <w:tc>
                <w:tcPr>
                  <w:tcW w:w="4466" w:type="dxa"/>
                  <w:tcBorders>
                    <w:top w:val="nil"/>
                    <w:left w:val="single" w:sz="4" w:space="0" w:color="auto"/>
                    <w:bottom w:val="nil"/>
                    <w:right w:val="single" w:sz="4" w:space="0" w:color="auto"/>
                  </w:tcBorders>
                  <w:shd w:val="clear" w:color="auto" w:fill="auto"/>
                  <w:vAlign w:val="center"/>
                  <w:hideMark/>
                </w:tcPr>
                <w:p w14:paraId="5A395C0D" w14:textId="77777777" w:rsidR="005E56D0" w:rsidRPr="005E56D0" w:rsidRDefault="005E56D0" w:rsidP="005E56D0">
                  <w:pPr>
                    <w:framePr w:hSpace="141" w:wrap="around" w:vAnchor="text" w:hAnchor="margin" w:y="74"/>
                    <w:spacing w:after="0" w:line="240" w:lineRule="auto"/>
                    <w:rPr>
                      <w:rFonts w:ascii="Times New Roman" w:eastAsia="Times New Roman" w:hAnsi="Times New Roman" w:cs="Times New Roman"/>
                      <w:sz w:val="16"/>
                      <w:szCs w:val="16"/>
                      <w:lang w:eastAsia="es-GT"/>
                    </w:rPr>
                  </w:pPr>
                  <w:r w:rsidRPr="005E56D0">
                    <w:rPr>
                      <w:rFonts w:ascii="Times New Roman" w:eastAsia="Times New Roman" w:hAnsi="Times New Roman" w:cs="Times New Roman"/>
                      <w:sz w:val="16"/>
                      <w:szCs w:val="16"/>
                      <w:lang w:eastAsia="es-GT"/>
                    </w:rPr>
                    <w:t>Impuestos netos de subvenciones a los productos</w:t>
                  </w:r>
                </w:p>
              </w:tc>
              <w:tc>
                <w:tcPr>
                  <w:tcW w:w="787" w:type="dxa"/>
                  <w:tcBorders>
                    <w:top w:val="nil"/>
                    <w:left w:val="nil"/>
                    <w:bottom w:val="nil"/>
                    <w:right w:val="nil"/>
                  </w:tcBorders>
                  <w:shd w:val="clear" w:color="auto" w:fill="auto"/>
                  <w:noWrap/>
                  <w:vAlign w:val="center"/>
                  <w:hideMark/>
                </w:tcPr>
                <w:p w14:paraId="658D3410"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6.3%</w:t>
                  </w:r>
                </w:p>
              </w:tc>
              <w:tc>
                <w:tcPr>
                  <w:tcW w:w="787" w:type="dxa"/>
                  <w:tcBorders>
                    <w:top w:val="nil"/>
                    <w:left w:val="nil"/>
                    <w:bottom w:val="nil"/>
                    <w:right w:val="single" w:sz="4" w:space="0" w:color="auto"/>
                  </w:tcBorders>
                  <w:shd w:val="clear" w:color="auto" w:fill="auto"/>
                  <w:noWrap/>
                  <w:vAlign w:val="center"/>
                  <w:hideMark/>
                </w:tcPr>
                <w:p w14:paraId="751345BE"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6.3%</w:t>
                  </w:r>
                </w:p>
              </w:tc>
              <w:tc>
                <w:tcPr>
                  <w:tcW w:w="1400" w:type="dxa"/>
                  <w:tcBorders>
                    <w:top w:val="nil"/>
                    <w:left w:val="nil"/>
                    <w:bottom w:val="nil"/>
                    <w:right w:val="nil"/>
                  </w:tcBorders>
                  <w:shd w:val="clear" w:color="auto" w:fill="auto"/>
                  <w:noWrap/>
                  <w:vAlign w:val="center"/>
                  <w:hideMark/>
                </w:tcPr>
                <w:p w14:paraId="7F67747E"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-2.9%</w:t>
                  </w:r>
                </w:p>
              </w:tc>
              <w:tc>
                <w:tcPr>
                  <w:tcW w:w="1400" w:type="dxa"/>
                  <w:tcBorders>
                    <w:top w:val="nil"/>
                    <w:left w:val="nil"/>
                    <w:bottom w:val="nil"/>
                    <w:right w:val="single" w:sz="4" w:space="0" w:color="auto"/>
                  </w:tcBorders>
                  <w:shd w:val="clear" w:color="auto" w:fill="auto"/>
                  <w:noWrap/>
                  <w:vAlign w:val="center"/>
                  <w:hideMark/>
                </w:tcPr>
                <w:p w14:paraId="3EED0A52"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 </w:t>
                  </w:r>
                </w:p>
              </w:tc>
            </w:tr>
            <w:tr w:rsidR="005E56D0" w:rsidRPr="005E56D0" w14:paraId="2BDBBE9C" w14:textId="77777777" w:rsidTr="005E56D0">
              <w:trPr>
                <w:trHeight w:val="252"/>
              </w:trPr>
              <w:tc>
                <w:tcPr>
                  <w:tcW w:w="4466" w:type="dxa"/>
                  <w:tcBorders>
                    <w:top w:val="nil"/>
                    <w:left w:val="single" w:sz="4" w:space="0" w:color="auto"/>
                    <w:bottom w:val="single" w:sz="4" w:space="0" w:color="auto"/>
                    <w:right w:val="single" w:sz="4" w:space="0" w:color="auto"/>
                  </w:tcBorders>
                  <w:shd w:val="clear" w:color="auto" w:fill="auto"/>
                  <w:noWrap/>
                  <w:vAlign w:val="center"/>
                  <w:hideMark/>
                </w:tcPr>
                <w:p w14:paraId="0ED4ADB2" w14:textId="77777777" w:rsidR="005E56D0" w:rsidRPr="005E56D0" w:rsidRDefault="005E56D0" w:rsidP="005E56D0">
                  <w:pPr>
                    <w:framePr w:hSpace="141" w:wrap="around" w:vAnchor="text" w:hAnchor="margin" w:y="74"/>
                    <w:spacing w:after="0" w:line="240" w:lineRule="auto"/>
                    <w:rPr>
                      <w:rFonts w:ascii="Times New Roman" w:eastAsia="Times New Roman" w:hAnsi="Times New Roman" w:cs="Times New Roman"/>
                      <w:b/>
                      <w:bCs/>
                      <w:sz w:val="16"/>
                      <w:szCs w:val="16"/>
                      <w:lang w:eastAsia="es-GT"/>
                    </w:rPr>
                  </w:pPr>
                  <w:r w:rsidRPr="005E56D0">
                    <w:rPr>
                      <w:rFonts w:ascii="Times New Roman" w:eastAsia="Times New Roman" w:hAnsi="Times New Roman" w:cs="Times New Roman"/>
                      <w:b/>
                      <w:bCs/>
                      <w:sz w:val="16"/>
                      <w:szCs w:val="16"/>
                      <w:lang w:eastAsia="es-GT"/>
                    </w:rPr>
                    <w:t>Producto Interno Bruto</w:t>
                  </w:r>
                </w:p>
              </w:tc>
              <w:tc>
                <w:tcPr>
                  <w:tcW w:w="787" w:type="dxa"/>
                  <w:tcBorders>
                    <w:top w:val="nil"/>
                    <w:left w:val="nil"/>
                    <w:bottom w:val="single" w:sz="4" w:space="0" w:color="auto"/>
                    <w:right w:val="nil"/>
                  </w:tcBorders>
                  <w:shd w:val="clear" w:color="auto" w:fill="auto"/>
                  <w:noWrap/>
                  <w:vAlign w:val="center"/>
                  <w:hideMark/>
                </w:tcPr>
                <w:p w14:paraId="10183F23"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b/>
                      <w:bCs/>
                      <w:sz w:val="18"/>
                      <w:szCs w:val="18"/>
                      <w:lang w:eastAsia="es-GT"/>
                    </w:rPr>
                  </w:pPr>
                  <w:r w:rsidRPr="005E56D0">
                    <w:rPr>
                      <w:rFonts w:ascii="Times New Roman" w:eastAsia="Times New Roman" w:hAnsi="Times New Roman" w:cs="Times New Roman"/>
                      <w:b/>
                      <w:bCs/>
                      <w:sz w:val="18"/>
                      <w:szCs w:val="18"/>
                      <w:lang w:eastAsia="es-GT"/>
                    </w:rPr>
                    <w:t>100%</w:t>
                  </w:r>
                </w:p>
              </w:tc>
              <w:tc>
                <w:tcPr>
                  <w:tcW w:w="787" w:type="dxa"/>
                  <w:tcBorders>
                    <w:top w:val="nil"/>
                    <w:left w:val="nil"/>
                    <w:bottom w:val="single" w:sz="4" w:space="0" w:color="auto"/>
                    <w:right w:val="single" w:sz="4" w:space="0" w:color="auto"/>
                  </w:tcBorders>
                  <w:shd w:val="clear" w:color="auto" w:fill="auto"/>
                  <w:noWrap/>
                  <w:vAlign w:val="center"/>
                  <w:hideMark/>
                </w:tcPr>
                <w:p w14:paraId="0D3AE168"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b/>
                      <w:bCs/>
                      <w:sz w:val="18"/>
                      <w:szCs w:val="18"/>
                      <w:lang w:eastAsia="es-GT"/>
                    </w:rPr>
                  </w:pPr>
                  <w:r w:rsidRPr="005E56D0">
                    <w:rPr>
                      <w:rFonts w:ascii="Times New Roman" w:eastAsia="Times New Roman" w:hAnsi="Times New Roman" w:cs="Times New Roman"/>
                      <w:b/>
                      <w:bCs/>
                      <w:sz w:val="18"/>
                      <w:szCs w:val="18"/>
                      <w:lang w:eastAsia="es-GT"/>
                    </w:rPr>
                    <w:t>100%</w:t>
                  </w:r>
                </w:p>
              </w:tc>
              <w:tc>
                <w:tcPr>
                  <w:tcW w:w="1400" w:type="dxa"/>
                  <w:tcBorders>
                    <w:top w:val="nil"/>
                    <w:left w:val="nil"/>
                    <w:bottom w:val="single" w:sz="4" w:space="0" w:color="auto"/>
                    <w:right w:val="nil"/>
                  </w:tcBorders>
                  <w:shd w:val="clear" w:color="auto" w:fill="auto"/>
                  <w:noWrap/>
                  <w:vAlign w:val="center"/>
                  <w:hideMark/>
                </w:tcPr>
                <w:p w14:paraId="26E61565"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b/>
                      <w:bCs/>
                      <w:sz w:val="18"/>
                      <w:szCs w:val="18"/>
                      <w:lang w:eastAsia="es-GT"/>
                    </w:rPr>
                  </w:pPr>
                  <w:r w:rsidRPr="005E56D0">
                    <w:rPr>
                      <w:rFonts w:ascii="Times New Roman" w:eastAsia="Times New Roman" w:hAnsi="Times New Roman" w:cs="Times New Roman"/>
                      <w:b/>
                      <w:bCs/>
                      <w:sz w:val="18"/>
                      <w:szCs w:val="18"/>
                      <w:lang w:eastAsia="es-GT"/>
                    </w:rPr>
                    <w:t>-1.5%</w:t>
                  </w:r>
                </w:p>
              </w:tc>
              <w:tc>
                <w:tcPr>
                  <w:tcW w:w="1400" w:type="dxa"/>
                  <w:tcBorders>
                    <w:top w:val="nil"/>
                    <w:left w:val="nil"/>
                    <w:bottom w:val="single" w:sz="4" w:space="0" w:color="auto"/>
                    <w:right w:val="single" w:sz="4" w:space="0" w:color="auto"/>
                  </w:tcBorders>
                  <w:shd w:val="clear" w:color="auto" w:fill="auto"/>
                  <w:noWrap/>
                  <w:vAlign w:val="center"/>
                  <w:hideMark/>
                </w:tcPr>
                <w:p w14:paraId="63CF8986" w14:textId="77777777" w:rsidR="005E56D0" w:rsidRPr="005E56D0" w:rsidRDefault="005E56D0" w:rsidP="005E56D0">
                  <w:pPr>
                    <w:framePr w:hSpace="141" w:wrap="around" w:vAnchor="text" w:hAnchor="margin" w:y="74"/>
                    <w:spacing w:after="0" w:line="240" w:lineRule="auto"/>
                    <w:jc w:val="center"/>
                    <w:rPr>
                      <w:rFonts w:ascii="Times New Roman" w:eastAsia="Times New Roman" w:hAnsi="Times New Roman" w:cs="Times New Roman"/>
                      <w:b/>
                      <w:bCs/>
                      <w:sz w:val="18"/>
                      <w:szCs w:val="18"/>
                      <w:lang w:eastAsia="es-GT"/>
                    </w:rPr>
                  </w:pPr>
                  <w:r w:rsidRPr="005E56D0">
                    <w:rPr>
                      <w:rFonts w:ascii="Times New Roman" w:eastAsia="Times New Roman" w:hAnsi="Times New Roman" w:cs="Times New Roman"/>
                      <w:b/>
                      <w:bCs/>
                      <w:sz w:val="18"/>
                      <w:szCs w:val="18"/>
                      <w:lang w:eastAsia="es-GT"/>
                    </w:rPr>
                    <w:t>5.0%</w:t>
                  </w:r>
                </w:p>
              </w:tc>
            </w:tr>
            <w:tr w:rsidR="005E56D0" w:rsidRPr="005E56D0" w14:paraId="42CDE91E" w14:textId="77777777" w:rsidTr="005E56D0">
              <w:trPr>
                <w:trHeight w:val="252"/>
              </w:trPr>
              <w:tc>
                <w:tcPr>
                  <w:tcW w:w="8840" w:type="dxa"/>
                  <w:gridSpan w:val="5"/>
                  <w:tcBorders>
                    <w:top w:val="single" w:sz="4" w:space="0" w:color="auto"/>
                    <w:left w:val="nil"/>
                    <w:bottom w:val="nil"/>
                    <w:right w:val="nil"/>
                  </w:tcBorders>
                  <w:shd w:val="clear" w:color="auto" w:fill="auto"/>
                  <w:noWrap/>
                  <w:vAlign w:val="bottom"/>
                  <w:hideMark/>
                </w:tcPr>
                <w:p w14:paraId="282C33DA" w14:textId="558C20A1" w:rsidR="005E56D0" w:rsidRPr="005E56D0" w:rsidRDefault="005E56D0" w:rsidP="001D1FFA">
                  <w:pPr>
                    <w:framePr w:hSpace="141" w:wrap="around" w:vAnchor="text" w:hAnchor="margin" w:y="74"/>
                    <w:spacing w:after="0" w:line="240" w:lineRule="auto"/>
                    <w:rPr>
                      <w:rFonts w:ascii="Times New Roman" w:eastAsia="Times New Roman" w:hAnsi="Times New Roman" w:cs="Times New Roman"/>
                      <w:sz w:val="18"/>
                      <w:szCs w:val="18"/>
                      <w:lang w:eastAsia="es-GT"/>
                    </w:rPr>
                  </w:pPr>
                  <w:r w:rsidRPr="005E56D0">
                    <w:rPr>
                      <w:rFonts w:ascii="Times New Roman" w:eastAsia="Times New Roman" w:hAnsi="Times New Roman" w:cs="Times New Roman"/>
                      <w:sz w:val="18"/>
                      <w:szCs w:val="18"/>
                      <w:lang w:eastAsia="es-GT"/>
                    </w:rPr>
                    <w:t xml:space="preserve">Fuente:  </w:t>
                  </w:r>
                  <w:r w:rsidR="001D1FFA">
                    <w:rPr>
                      <w:rFonts w:ascii="Times New Roman" w:eastAsia="Times New Roman" w:hAnsi="Times New Roman" w:cs="Times New Roman"/>
                      <w:sz w:val="18"/>
                      <w:szCs w:val="18"/>
                      <w:lang w:eastAsia="es-GT"/>
                    </w:rPr>
                    <w:t>Dirección de Análisis y Política Fiscal</w:t>
                  </w:r>
                  <w:r w:rsidRPr="005E56D0">
                    <w:rPr>
                      <w:rFonts w:ascii="Times New Roman" w:eastAsia="Times New Roman" w:hAnsi="Times New Roman" w:cs="Times New Roman"/>
                      <w:sz w:val="18"/>
                      <w:szCs w:val="18"/>
                      <w:lang w:eastAsia="es-GT"/>
                    </w:rPr>
                    <w:t xml:space="preserve"> con información de BANGUAT</w:t>
                  </w:r>
                </w:p>
              </w:tc>
            </w:tr>
          </w:tbl>
          <w:p w14:paraId="21FAEF1F" w14:textId="77777777" w:rsidR="00322670" w:rsidRPr="00155114" w:rsidRDefault="00322670" w:rsidP="00DE1FBB">
            <w:pPr>
              <w:rPr>
                <w:rFonts w:ascii="Times New Roman" w:hAnsi="Times New Roman" w:cs="Times New Roman"/>
                <w:sz w:val="10"/>
                <w:szCs w:val="18"/>
              </w:rPr>
            </w:pPr>
          </w:p>
        </w:tc>
      </w:tr>
    </w:tbl>
    <w:p w14:paraId="0DB671D9" w14:textId="77777777" w:rsidR="00322670" w:rsidRDefault="00322670" w:rsidP="00322670">
      <w:pPr>
        <w:spacing w:after="0" w:line="240" w:lineRule="auto"/>
        <w:jc w:val="both"/>
        <w:rPr>
          <w:rFonts w:ascii="Times New Roman" w:hAnsi="Times New Roman" w:cs="Times New Roman"/>
        </w:rPr>
      </w:pPr>
    </w:p>
    <w:p w14:paraId="50EF8A16" w14:textId="77777777" w:rsidR="0036126A" w:rsidRPr="00160D76" w:rsidRDefault="0036126A" w:rsidP="0036126A">
      <w:pPr>
        <w:spacing w:after="0" w:line="240" w:lineRule="auto"/>
        <w:jc w:val="both"/>
        <w:rPr>
          <w:rFonts w:ascii="Times New Roman" w:hAnsi="Times New Roman" w:cs="Times New Roman"/>
        </w:rPr>
      </w:pPr>
      <w:r w:rsidRPr="005E56D0">
        <w:rPr>
          <w:rFonts w:ascii="Times New Roman" w:hAnsi="Times New Roman" w:cs="Times New Roman"/>
        </w:rPr>
        <w:t>Según las proyecciones de crecimiento por actividades económicas, se observa que tendrán crecimiento significativo, la construcción con 7.6%, las actividades financieras y de seguros con 5.8% y las actividades de alojamiento y de servicios de comida con 13.6%, también, las actividades de transporte y almacenamiento con 7.7%. En cuanto a las actividades que son más relevantes en torno al aporte al PIB como el comercio y reparación de vehículos tendría un crecimiento de 5.1%, Industria manufacturera con 5.0% derivado de una fuerte recuperación de la demanda externa en prendas de vestir por parte de Estados Unidos.  Asimismo, agricultura con 2.3% y las actividades inmobiliarias con 4.1% ya que, con la apertura comercial derivado del levantamiento de las restricciones gubernamentales conlleva a un mayor dinamismo en los alquileres; las que tendrán un crecimiento más moderado serian la enseñanza con 3.1% las actividades de servicios administrativos y apoyo con 4.1%.</w:t>
      </w:r>
    </w:p>
    <w:p w14:paraId="27BE7732" w14:textId="77777777" w:rsidR="0036126A" w:rsidRDefault="0036126A" w:rsidP="00322670">
      <w:pPr>
        <w:spacing w:after="0" w:line="240" w:lineRule="auto"/>
        <w:jc w:val="both"/>
        <w:rPr>
          <w:rFonts w:ascii="Times New Roman" w:hAnsi="Times New Roman" w:cs="Times New Roman"/>
        </w:rPr>
      </w:pPr>
    </w:p>
    <w:p w14:paraId="2B3A3FFD" w14:textId="692ABDC1" w:rsidR="00322670" w:rsidRPr="00160D76" w:rsidRDefault="00322670" w:rsidP="00322670">
      <w:pPr>
        <w:spacing w:after="0" w:line="240" w:lineRule="auto"/>
        <w:jc w:val="both"/>
        <w:rPr>
          <w:rFonts w:ascii="Times New Roman" w:hAnsi="Times New Roman" w:cs="Times New Roman"/>
        </w:rPr>
      </w:pPr>
      <w:r w:rsidRPr="00160D76">
        <w:rPr>
          <w:rFonts w:ascii="Times New Roman" w:hAnsi="Times New Roman" w:cs="Times New Roman"/>
        </w:rPr>
        <w:t>Sin embargo</w:t>
      </w:r>
      <w:r>
        <w:rPr>
          <w:rFonts w:ascii="Times New Roman" w:hAnsi="Times New Roman" w:cs="Times New Roman"/>
        </w:rPr>
        <w:t>,</w:t>
      </w:r>
      <w:r w:rsidRPr="00160D76">
        <w:rPr>
          <w:rFonts w:ascii="Times New Roman" w:hAnsi="Times New Roman" w:cs="Times New Roman"/>
        </w:rPr>
        <w:t xml:space="preserve"> estos escenarios están sujetos </w:t>
      </w:r>
      <w:r>
        <w:rPr>
          <w:rFonts w:ascii="Times New Roman" w:hAnsi="Times New Roman" w:cs="Times New Roman"/>
        </w:rPr>
        <w:t xml:space="preserve">a </w:t>
      </w:r>
      <w:r w:rsidRPr="00160D76">
        <w:rPr>
          <w:rFonts w:ascii="Times New Roman" w:hAnsi="Times New Roman" w:cs="Times New Roman"/>
        </w:rPr>
        <w:t xml:space="preserve">las medidas en cuanto a distanciamiento, uso de mascarilla, uso de implementos para disminuir la incertidumbre de una nueva ola de contagios y las medidas que se adopten para contenerla dado los inconvenientes que puedan darse por la adquisición, distribución y administración masiva de la vacuna contra el COVID-19 en trabajadores de industrias como condición para agilizar el retorno a la normalidad dadas las limitaciones en recursos humanos y financieros, infraestructura, tecnología en cadenas de frio y logística para la misma.  </w:t>
      </w:r>
    </w:p>
    <w:p w14:paraId="7729ECA9" w14:textId="5F55B365" w:rsidR="00322670" w:rsidRPr="00160D76" w:rsidRDefault="00322670" w:rsidP="00322670">
      <w:pPr>
        <w:spacing w:after="0" w:line="240" w:lineRule="auto"/>
        <w:jc w:val="both"/>
        <w:rPr>
          <w:rFonts w:ascii="Times New Roman" w:hAnsi="Times New Roman" w:cs="Times New Roman"/>
        </w:rPr>
      </w:pPr>
    </w:p>
    <w:p w14:paraId="1E690FE6" w14:textId="77777777" w:rsidR="00322670" w:rsidRPr="00437824" w:rsidRDefault="00322670" w:rsidP="001032E7">
      <w:pPr>
        <w:pStyle w:val="Ttulo2"/>
        <w:numPr>
          <w:ilvl w:val="2"/>
          <w:numId w:val="28"/>
        </w:numPr>
        <w:tabs>
          <w:tab w:val="left" w:pos="851"/>
          <w:tab w:val="left" w:pos="993"/>
        </w:tabs>
        <w:spacing w:before="0"/>
        <w:ind w:left="709" w:hanging="360"/>
        <w:rPr>
          <w:rFonts w:ascii="Times New Roman" w:hAnsi="Times New Roman" w:cs="Times New Roman"/>
          <w:color w:val="auto"/>
          <w:lang w:val="es-GT"/>
        </w:rPr>
      </w:pPr>
      <w:bookmarkStart w:id="283" w:name="_Toc16154983"/>
      <w:bookmarkStart w:id="284" w:name="_Toc49939418"/>
      <w:bookmarkStart w:id="285" w:name="_Toc72489376"/>
      <w:bookmarkStart w:id="286" w:name="_Toc81571859"/>
      <w:r w:rsidRPr="00437824">
        <w:rPr>
          <w:rFonts w:ascii="Times New Roman" w:hAnsi="Times New Roman" w:cs="Times New Roman"/>
          <w:color w:val="auto"/>
          <w:lang w:val="es-GT"/>
        </w:rPr>
        <w:t>Inflación</w:t>
      </w:r>
      <w:bookmarkEnd w:id="283"/>
      <w:bookmarkEnd w:id="284"/>
      <w:bookmarkEnd w:id="285"/>
      <w:bookmarkEnd w:id="286"/>
    </w:p>
    <w:p w14:paraId="3F93B1D0" w14:textId="77777777" w:rsidR="00322670" w:rsidRPr="00160D76" w:rsidRDefault="00322670" w:rsidP="00322670">
      <w:pPr>
        <w:spacing w:after="0" w:line="240" w:lineRule="auto"/>
        <w:jc w:val="both"/>
        <w:rPr>
          <w:rFonts w:ascii="Times New Roman" w:hAnsi="Times New Roman" w:cs="Times New Roman"/>
        </w:rPr>
      </w:pPr>
    </w:p>
    <w:p w14:paraId="20194870" w14:textId="40F9E871" w:rsidR="00322670" w:rsidRDefault="00322670" w:rsidP="00875445">
      <w:pPr>
        <w:spacing w:after="0" w:line="240" w:lineRule="auto"/>
        <w:jc w:val="both"/>
        <w:rPr>
          <w:rFonts w:ascii="Times New Roman" w:hAnsi="Times New Roman" w:cs="Times New Roman"/>
        </w:rPr>
      </w:pPr>
      <w:r w:rsidRPr="00160D76">
        <w:rPr>
          <w:rFonts w:ascii="Times New Roman" w:hAnsi="Times New Roman" w:cs="Times New Roman"/>
        </w:rPr>
        <w:t xml:space="preserve">A </w:t>
      </w:r>
      <w:r w:rsidR="00642181">
        <w:rPr>
          <w:rFonts w:ascii="Times New Roman" w:hAnsi="Times New Roman" w:cs="Times New Roman"/>
        </w:rPr>
        <w:t>junio</w:t>
      </w:r>
      <w:r w:rsidRPr="00160D76">
        <w:rPr>
          <w:rFonts w:ascii="Times New Roman" w:hAnsi="Times New Roman" w:cs="Times New Roman"/>
        </w:rPr>
        <w:t xml:space="preserve"> del 2021, el rimo inflacionario se situó en </w:t>
      </w:r>
      <w:r w:rsidR="00F12F41">
        <w:rPr>
          <w:rFonts w:ascii="Times New Roman" w:hAnsi="Times New Roman" w:cs="Times New Roman"/>
        </w:rPr>
        <w:t>3.9</w:t>
      </w:r>
      <w:r w:rsidRPr="00160D76">
        <w:rPr>
          <w:rFonts w:ascii="Times New Roman" w:hAnsi="Times New Roman" w:cs="Times New Roman"/>
        </w:rPr>
        <w:t xml:space="preserve">%, valor que se encuentra </w:t>
      </w:r>
      <w:r w:rsidR="00F12F41">
        <w:rPr>
          <w:rFonts w:ascii="Times New Roman" w:hAnsi="Times New Roman" w:cs="Times New Roman"/>
        </w:rPr>
        <w:t>dentro</w:t>
      </w:r>
      <w:r w:rsidRPr="00160D76">
        <w:rPr>
          <w:rFonts w:ascii="Times New Roman" w:hAnsi="Times New Roman" w:cs="Times New Roman"/>
        </w:rPr>
        <w:t xml:space="preserve"> del margen </w:t>
      </w:r>
      <w:r w:rsidRPr="00344013">
        <w:rPr>
          <w:rFonts w:ascii="Times New Roman" w:hAnsi="Times New Roman" w:cs="Times New Roman"/>
        </w:rPr>
        <w:t>de tolerancia de la meta de infl</w:t>
      </w:r>
      <w:r w:rsidR="008C7DE1" w:rsidRPr="00344013">
        <w:rPr>
          <w:rFonts w:ascii="Times New Roman" w:hAnsi="Times New Roman" w:cs="Times New Roman"/>
        </w:rPr>
        <w:t>ación establecida por la Junta M</w:t>
      </w:r>
      <w:r w:rsidRPr="00344013">
        <w:rPr>
          <w:rFonts w:ascii="Times New Roman" w:hAnsi="Times New Roman" w:cs="Times New Roman"/>
        </w:rPr>
        <w:t xml:space="preserve">onetaria (4.0 +/- 1 punto porcentual). Se observa en el grafico que el transporte, alimentos y vivienda registraron variaciones positivas significativas en </w:t>
      </w:r>
      <w:r w:rsidR="00B61EFB" w:rsidRPr="00344013">
        <w:rPr>
          <w:rFonts w:ascii="Times New Roman" w:hAnsi="Times New Roman" w:cs="Times New Roman"/>
        </w:rPr>
        <w:t>23.2</w:t>
      </w:r>
      <w:r w:rsidRPr="00344013">
        <w:rPr>
          <w:rFonts w:ascii="Times New Roman" w:hAnsi="Times New Roman" w:cs="Times New Roman"/>
        </w:rPr>
        <w:t xml:space="preserve">%, </w:t>
      </w:r>
      <w:r w:rsidR="00B61EFB" w:rsidRPr="00344013">
        <w:rPr>
          <w:rFonts w:ascii="Times New Roman" w:hAnsi="Times New Roman" w:cs="Times New Roman"/>
        </w:rPr>
        <w:t>2.7</w:t>
      </w:r>
      <w:r w:rsidRPr="00344013">
        <w:rPr>
          <w:rFonts w:ascii="Times New Roman" w:hAnsi="Times New Roman" w:cs="Times New Roman"/>
        </w:rPr>
        <w:t xml:space="preserve">% y </w:t>
      </w:r>
      <w:r w:rsidR="00B61EFB" w:rsidRPr="00344013">
        <w:rPr>
          <w:rFonts w:ascii="Times New Roman" w:hAnsi="Times New Roman" w:cs="Times New Roman"/>
        </w:rPr>
        <w:t>6.2</w:t>
      </w:r>
      <w:r w:rsidRPr="00344013">
        <w:rPr>
          <w:rFonts w:ascii="Times New Roman" w:hAnsi="Times New Roman" w:cs="Times New Roman"/>
        </w:rPr>
        <w:t xml:space="preserve">%, respectivamente, después de que en el 2019 los mismos habían sido </w:t>
      </w:r>
      <w:r w:rsidR="00B61EFB" w:rsidRPr="00344013">
        <w:rPr>
          <w:rFonts w:ascii="Times New Roman" w:hAnsi="Times New Roman" w:cs="Times New Roman"/>
        </w:rPr>
        <w:t>-4.1</w:t>
      </w:r>
      <w:r w:rsidRPr="00344013">
        <w:rPr>
          <w:rFonts w:ascii="Times New Roman" w:hAnsi="Times New Roman" w:cs="Times New Roman"/>
        </w:rPr>
        <w:t xml:space="preserve">%, </w:t>
      </w:r>
      <w:r w:rsidR="00B61EFB" w:rsidRPr="00344013">
        <w:rPr>
          <w:rFonts w:ascii="Times New Roman" w:hAnsi="Times New Roman" w:cs="Times New Roman"/>
        </w:rPr>
        <w:t>6.3</w:t>
      </w:r>
      <w:r w:rsidRPr="00344013">
        <w:rPr>
          <w:rFonts w:ascii="Times New Roman" w:hAnsi="Times New Roman" w:cs="Times New Roman"/>
        </w:rPr>
        <w:t xml:space="preserve">% y </w:t>
      </w:r>
      <w:r w:rsidR="00B61EFB" w:rsidRPr="00344013">
        <w:rPr>
          <w:rFonts w:ascii="Times New Roman" w:hAnsi="Times New Roman" w:cs="Times New Roman"/>
        </w:rPr>
        <w:t>2.7</w:t>
      </w:r>
      <w:r w:rsidRPr="00344013">
        <w:rPr>
          <w:rFonts w:ascii="Times New Roman" w:hAnsi="Times New Roman" w:cs="Times New Roman"/>
        </w:rPr>
        <w:t>%. La división de vestuario y educación fueron las únicas que sufrieron variación negativa en -0.</w:t>
      </w:r>
      <w:r w:rsidR="00B61EFB" w:rsidRPr="00344013">
        <w:rPr>
          <w:rFonts w:ascii="Times New Roman" w:hAnsi="Times New Roman" w:cs="Times New Roman"/>
        </w:rPr>
        <w:t>3</w:t>
      </w:r>
      <w:r w:rsidRPr="00344013">
        <w:rPr>
          <w:rFonts w:ascii="Times New Roman" w:hAnsi="Times New Roman" w:cs="Times New Roman"/>
        </w:rPr>
        <w:t>% y -0.</w:t>
      </w:r>
      <w:r w:rsidR="00B61EFB" w:rsidRPr="00344013">
        <w:rPr>
          <w:rFonts w:ascii="Times New Roman" w:hAnsi="Times New Roman" w:cs="Times New Roman"/>
        </w:rPr>
        <w:t>3</w:t>
      </w:r>
      <w:r w:rsidRPr="00344013">
        <w:rPr>
          <w:rFonts w:ascii="Times New Roman" w:hAnsi="Times New Roman" w:cs="Times New Roman"/>
        </w:rPr>
        <w:t xml:space="preserve">%, respectivamente; se observa que la división de gasto de comunicaciones también tuvo una fuerte caída al pasar de </w:t>
      </w:r>
      <w:r w:rsidR="00B61EFB" w:rsidRPr="00344013">
        <w:rPr>
          <w:rFonts w:ascii="Times New Roman" w:hAnsi="Times New Roman" w:cs="Times New Roman"/>
        </w:rPr>
        <w:t>1.7</w:t>
      </w:r>
      <w:r w:rsidRPr="00344013">
        <w:rPr>
          <w:rFonts w:ascii="Times New Roman" w:hAnsi="Times New Roman" w:cs="Times New Roman"/>
        </w:rPr>
        <w:t>% en 2020 a 0.</w:t>
      </w:r>
      <w:r w:rsidR="00B61EFB" w:rsidRPr="00344013">
        <w:rPr>
          <w:rFonts w:ascii="Times New Roman" w:hAnsi="Times New Roman" w:cs="Times New Roman"/>
        </w:rPr>
        <w:t>6</w:t>
      </w:r>
      <w:r w:rsidRPr="00344013">
        <w:rPr>
          <w:rFonts w:ascii="Times New Roman" w:hAnsi="Times New Roman" w:cs="Times New Roman"/>
        </w:rPr>
        <w:t>% en 2021.</w:t>
      </w:r>
      <w:r w:rsidR="007727FC">
        <w:rPr>
          <w:rFonts w:ascii="Times New Roman" w:hAnsi="Times New Roman" w:cs="Times New Roman"/>
        </w:rPr>
        <w:t xml:space="preserve"> </w:t>
      </w:r>
      <w:r w:rsidR="00C37D46">
        <w:rPr>
          <w:rFonts w:ascii="Times New Roman" w:hAnsi="Times New Roman" w:cs="Times New Roman"/>
        </w:rPr>
        <w:t>La perspectiva de cierre de la inflación para 2021 es de 3.0%.</w:t>
      </w:r>
    </w:p>
    <w:p w14:paraId="04FCBC4B" w14:textId="77777777" w:rsidR="00322670" w:rsidRDefault="00322670" w:rsidP="00322670">
      <w:pPr>
        <w:spacing w:after="0" w:line="240" w:lineRule="auto"/>
        <w:jc w:val="both"/>
        <w:rPr>
          <w:rFonts w:ascii="Times New Roman" w:hAnsi="Times New Roman" w:cs="Times New Roman"/>
        </w:rPr>
      </w:pPr>
    </w:p>
    <w:p w14:paraId="18547C49" w14:textId="241B040F" w:rsidR="00322670" w:rsidRDefault="008C3F30" w:rsidP="00322670">
      <w:pPr>
        <w:spacing w:after="0" w:line="240" w:lineRule="auto"/>
        <w:jc w:val="both"/>
        <w:rPr>
          <w:rFonts w:ascii="Times New Roman" w:hAnsi="Times New Roman" w:cs="Times New Roman"/>
        </w:rPr>
      </w:pPr>
      <w:r w:rsidRPr="008C3F30">
        <w:rPr>
          <w:rFonts w:ascii="Times New Roman" w:hAnsi="Times New Roman" w:cs="Times New Roman"/>
        </w:rPr>
        <w:t>El ritmo inflacionario por división de gasto en el mes de junio de 2021 resalta el comportamiento de transporte, vivienda, alimentos, que registraron las principales variaciones positivas con 23.2%, 6.2% y 2.7% respectivamente. Los principales gastos básicos que registran la mayor incidencia positiva a nivel interanual fueron: servicio de bus extraurbano (0.86%), gasolina superior (0.38%), servicio de electricidad (0.32%), entre otros. Las principales incidencias negativas se presentan en: papa (-0.11%), huevos (-0.06%), culantro (-0.05%). Los principales gastos básicos que registran la mayor alza porcentual en junio de 2021 son: servicio de bus extraurbano (59.93%), servicio de bus urbano (42.52%), diésel (41.69%), gasolina regular (40.80%) entre otros. Los principales gastos básicos que registraron la mayor reducción porcentual en sus precios a nivel interanual fueron: sal (-13.01%), lechuga (-9.65%), papa (-5.61%), culantro (-4.95%) entre otros.</w:t>
      </w:r>
    </w:p>
    <w:p w14:paraId="3B777DDB" w14:textId="77777777" w:rsidR="001E5553" w:rsidRPr="00160D76" w:rsidRDefault="001E5553" w:rsidP="00322670">
      <w:pPr>
        <w:spacing w:after="0" w:line="240" w:lineRule="auto"/>
        <w:jc w:val="both"/>
        <w:rPr>
          <w:rFonts w:ascii="Times New Roman" w:hAnsi="Times New Roman" w:cs="Times New Roman"/>
        </w:rPr>
      </w:pPr>
    </w:p>
    <w:p w14:paraId="7C30BC35" w14:textId="77777777" w:rsidR="00322670" w:rsidRPr="00437824" w:rsidRDefault="00322670" w:rsidP="00816636">
      <w:pPr>
        <w:pStyle w:val="Ttulo2"/>
        <w:numPr>
          <w:ilvl w:val="1"/>
          <w:numId w:val="28"/>
        </w:numPr>
        <w:tabs>
          <w:tab w:val="left" w:pos="851"/>
        </w:tabs>
        <w:spacing w:before="0"/>
        <w:ind w:left="426" w:hanging="426"/>
        <w:rPr>
          <w:rFonts w:ascii="Times New Roman" w:hAnsi="Times New Roman" w:cs="Times New Roman"/>
          <w:color w:val="auto"/>
          <w:lang w:val="es-GT"/>
        </w:rPr>
      </w:pPr>
      <w:r>
        <w:rPr>
          <w:rFonts w:ascii="Times New Roman" w:hAnsi="Times New Roman" w:cs="Times New Roman"/>
          <w:color w:val="auto"/>
          <w:lang w:val="es-GT"/>
        </w:rPr>
        <w:t xml:space="preserve"> </w:t>
      </w:r>
      <w:bookmarkStart w:id="287" w:name="_Toc72489377"/>
      <w:r w:rsidR="001101B9">
        <w:rPr>
          <w:rFonts w:ascii="Times New Roman" w:hAnsi="Times New Roman" w:cs="Times New Roman"/>
          <w:color w:val="auto"/>
          <w:lang w:val="es-GT"/>
        </w:rPr>
        <w:t xml:space="preserve"> </w:t>
      </w:r>
      <w:bookmarkStart w:id="288" w:name="_Toc81571860"/>
      <w:r w:rsidRPr="00437824">
        <w:rPr>
          <w:rFonts w:ascii="Times New Roman" w:hAnsi="Times New Roman" w:cs="Times New Roman"/>
          <w:color w:val="auto"/>
          <w:lang w:val="es-GT"/>
        </w:rPr>
        <w:t>Sector monetario 2021</w:t>
      </w:r>
      <w:bookmarkEnd w:id="287"/>
      <w:bookmarkEnd w:id="288"/>
    </w:p>
    <w:p w14:paraId="74B13D3B" w14:textId="77777777" w:rsidR="00322670" w:rsidRPr="002D4C27" w:rsidRDefault="00322670" w:rsidP="001101B9">
      <w:pPr>
        <w:spacing w:after="0" w:line="240" w:lineRule="auto"/>
      </w:pPr>
    </w:p>
    <w:p w14:paraId="4E86E390" w14:textId="7A491400" w:rsidR="00322670" w:rsidRPr="005E56D0" w:rsidRDefault="00322670" w:rsidP="009173EB">
      <w:pPr>
        <w:spacing w:after="0" w:line="240" w:lineRule="auto"/>
        <w:jc w:val="both"/>
        <w:rPr>
          <w:rFonts w:ascii="Times New Roman" w:hAnsi="Times New Roman" w:cs="Times New Roman"/>
        </w:rPr>
      </w:pPr>
      <w:r>
        <w:rPr>
          <w:rFonts w:ascii="Times New Roman" w:hAnsi="Times New Roman" w:cs="Times New Roman"/>
        </w:rPr>
        <w:t xml:space="preserve">En el 2021 la emisión monetaria muestra a </w:t>
      </w:r>
      <w:r w:rsidR="00882C49">
        <w:rPr>
          <w:rFonts w:ascii="Times New Roman" w:hAnsi="Times New Roman" w:cs="Times New Roman"/>
        </w:rPr>
        <w:t>junio</w:t>
      </w:r>
      <w:r>
        <w:rPr>
          <w:rFonts w:ascii="Times New Roman" w:hAnsi="Times New Roman" w:cs="Times New Roman"/>
        </w:rPr>
        <w:t xml:space="preserve"> un crecimiento interanual de </w:t>
      </w:r>
      <w:r w:rsidR="006A1A83">
        <w:rPr>
          <w:rFonts w:ascii="Times New Roman" w:hAnsi="Times New Roman" w:cs="Times New Roman"/>
        </w:rPr>
        <w:t>14.7</w:t>
      </w:r>
      <w:r>
        <w:rPr>
          <w:rFonts w:ascii="Times New Roman" w:hAnsi="Times New Roman" w:cs="Times New Roman"/>
        </w:rPr>
        <w:t xml:space="preserve">%, </w:t>
      </w:r>
      <w:r w:rsidR="006A1A83">
        <w:rPr>
          <w:rFonts w:ascii="Times New Roman" w:hAnsi="Times New Roman" w:cs="Times New Roman"/>
        </w:rPr>
        <w:t>menor</w:t>
      </w:r>
      <w:r>
        <w:rPr>
          <w:rFonts w:ascii="Times New Roman" w:hAnsi="Times New Roman" w:cs="Times New Roman"/>
        </w:rPr>
        <w:t xml:space="preserve"> al presentado en </w:t>
      </w:r>
      <w:r w:rsidR="00960D2A">
        <w:rPr>
          <w:rFonts w:ascii="Times New Roman" w:hAnsi="Times New Roman" w:cs="Times New Roman"/>
        </w:rPr>
        <w:t>junio</w:t>
      </w:r>
      <w:r>
        <w:rPr>
          <w:rFonts w:ascii="Times New Roman" w:hAnsi="Times New Roman" w:cs="Times New Roman"/>
        </w:rPr>
        <w:t xml:space="preserve"> de 2020 de </w:t>
      </w:r>
      <w:r w:rsidR="006A1A83">
        <w:rPr>
          <w:rFonts w:ascii="Times New Roman" w:hAnsi="Times New Roman" w:cs="Times New Roman"/>
        </w:rPr>
        <w:t>25.5</w:t>
      </w:r>
      <w:r>
        <w:rPr>
          <w:rFonts w:ascii="Times New Roman" w:hAnsi="Times New Roman" w:cs="Times New Roman"/>
        </w:rPr>
        <w:t xml:space="preserve">%. Lo anterior se debe en su mayor parte por el crecimiento interanual del numerario en circulación de </w:t>
      </w:r>
      <w:r w:rsidR="006A1A83">
        <w:rPr>
          <w:rFonts w:ascii="Times New Roman" w:hAnsi="Times New Roman" w:cs="Times New Roman"/>
        </w:rPr>
        <w:t>18.3</w:t>
      </w:r>
      <w:r>
        <w:rPr>
          <w:rFonts w:ascii="Times New Roman" w:hAnsi="Times New Roman" w:cs="Times New Roman"/>
        </w:rPr>
        <w:t xml:space="preserve">% en </w:t>
      </w:r>
      <w:r w:rsidR="006A1A83">
        <w:rPr>
          <w:rFonts w:ascii="Times New Roman" w:hAnsi="Times New Roman" w:cs="Times New Roman"/>
        </w:rPr>
        <w:t>junio</w:t>
      </w:r>
      <w:r>
        <w:rPr>
          <w:rFonts w:ascii="Times New Roman" w:hAnsi="Times New Roman" w:cs="Times New Roman"/>
        </w:rPr>
        <w:t xml:space="preserve"> de 2021, esto se debe a que aún la preferencia de liquidez </w:t>
      </w:r>
      <w:r w:rsidR="006A1A83">
        <w:rPr>
          <w:rFonts w:ascii="Times New Roman" w:hAnsi="Times New Roman" w:cs="Times New Roman"/>
        </w:rPr>
        <w:t>está disminuyendo</w:t>
      </w:r>
      <w:r>
        <w:rPr>
          <w:rFonts w:ascii="Times New Roman" w:hAnsi="Times New Roman" w:cs="Times New Roman"/>
        </w:rPr>
        <w:t xml:space="preserve"> en comparación a los niveles anteriores a la pandemia.</w:t>
      </w:r>
      <w:r w:rsidR="00882C49">
        <w:rPr>
          <w:rFonts w:ascii="Times New Roman" w:hAnsi="Times New Roman" w:cs="Times New Roman"/>
        </w:rPr>
        <w:t xml:space="preserve"> Hasta marzo se observó</w:t>
      </w:r>
      <w:r>
        <w:rPr>
          <w:rFonts w:ascii="Times New Roman" w:hAnsi="Times New Roman" w:cs="Times New Roman"/>
        </w:rPr>
        <w:t xml:space="preserve"> </w:t>
      </w:r>
      <w:r w:rsidR="00882C49">
        <w:rPr>
          <w:rFonts w:ascii="Times New Roman" w:hAnsi="Times New Roman" w:cs="Times New Roman"/>
        </w:rPr>
        <w:t>un</w:t>
      </w:r>
      <w:r w:rsidR="006A1A83">
        <w:rPr>
          <w:rFonts w:ascii="Times New Roman" w:hAnsi="Times New Roman" w:cs="Times New Roman"/>
        </w:rPr>
        <w:t xml:space="preserve"> </w:t>
      </w:r>
      <w:r>
        <w:rPr>
          <w:rFonts w:ascii="Times New Roman" w:hAnsi="Times New Roman" w:cs="Times New Roman"/>
        </w:rPr>
        <w:t xml:space="preserve">aumento de la demanda de emisión monetaria </w:t>
      </w:r>
      <w:r w:rsidR="00882C49">
        <w:rPr>
          <w:rFonts w:ascii="Times New Roman" w:hAnsi="Times New Roman" w:cs="Times New Roman"/>
        </w:rPr>
        <w:t>que en parte se</w:t>
      </w:r>
      <w:r>
        <w:rPr>
          <w:rFonts w:ascii="Times New Roman" w:hAnsi="Times New Roman" w:cs="Times New Roman"/>
        </w:rPr>
        <w:t xml:space="preserve"> explica</w:t>
      </w:r>
      <w:r w:rsidR="00882C49">
        <w:rPr>
          <w:rFonts w:ascii="Times New Roman" w:hAnsi="Times New Roman" w:cs="Times New Roman"/>
        </w:rPr>
        <w:t>ba</w:t>
      </w:r>
      <w:r>
        <w:rPr>
          <w:rFonts w:ascii="Times New Roman" w:hAnsi="Times New Roman" w:cs="Times New Roman"/>
        </w:rPr>
        <w:t xml:space="preserve"> por la preferencia de mantener dinero en efectivo por motivos precautorios de los agentes económicos originado por </w:t>
      </w:r>
      <w:r w:rsidRPr="005E56D0">
        <w:rPr>
          <w:rFonts w:ascii="Times New Roman" w:hAnsi="Times New Roman" w:cs="Times New Roman"/>
        </w:rPr>
        <w:t>la incertidumbre de la pandemia</w:t>
      </w:r>
      <w:r w:rsidR="00882C49" w:rsidRPr="005E56D0">
        <w:rPr>
          <w:rFonts w:ascii="Times New Roman" w:hAnsi="Times New Roman" w:cs="Times New Roman"/>
        </w:rPr>
        <w:t>, sin embargo, a partir de abril se ha observado una reducción en dicha demanda</w:t>
      </w:r>
      <w:r w:rsidRPr="005E56D0">
        <w:rPr>
          <w:rFonts w:ascii="Times New Roman" w:hAnsi="Times New Roman" w:cs="Times New Roman"/>
        </w:rPr>
        <w:t>. Para el resto del 2021, se espera que la emisión monetaria vuelva de forma gradual a sus comportamientos previos a los de la pandemia, por la constante reducción de la incertidumbre alrededor de la misma, dado por la distribución de vacunas y la disminución de restricciones, de tal manera que se prevé una tasa de crecimiento entre 9.5 y 12.5% en la emisión monetaria.</w:t>
      </w:r>
    </w:p>
    <w:p w14:paraId="27D4F124" w14:textId="77777777" w:rsidR="001101B9" w:rsidRPr="005E56D0" w:rsidRDefault="001101B9" w:rsidP="009173EB">
      <w:pPr>
        <w:spacing w:after="0" w:line="240" w:lineRule="auto"/>
        <w:jc w:val="both"/>
        <w:rPr>
          <w:rFonts w:ascii="Times New Roman" w:hAnsi="Times New Roman" w:cs="Times New Roman"/>
        </w:rPr>
      </w:pPr>
    </w:p>
    <w:p w14:paraId="180831C5" w14:textId="7633DA82" w:rsidR="00322670" w:rsidRDefault="00322670" w:rsidP="009173EB">
      <w:pPr>
        <w:spacing w:line="240" w:lineRule="auto"/>
        <w:jc w:val="both"/>
        <w:rPr>
          <w:rFonts w:ascii="Times New Roman" w:hAnsi="Times New Roman" w:cs="Times New Roman"/>
        </w:rPr>
      </w:pPr>
      <w:r w:rsidRPr="005E56D0">
        <w:rPr>
          <w:rFonts w:ascii="Times New Roman" w:hAnsi="Times New Roman" w:cs="Times New Roman"/>
        </w:rPr>
        <w:t xml:space="preserve">Los medios de pago totales muestran una tasa de variación interanual de </w:t>
      </w:r>
      <w:r w:rsidR="00882C49" w:rsidRPr="005E56D0">
        <w:rPr>
          <w:rFonts w:ascii="Times New Roman" w:hAnsi="Times New Roman" w:cs="Times New Roman"/>
        </w:rPr>
        <w:t>16.2</w:t>
      </w:r>
      <w:r w:rsidRPr="005E56D0">
        <w:rPr>
          <w:rFonts w:ascii="Times New Roman" w:hAnsi="Times New Roman" w:cs="Times New Roman"/>
        </w:rPr>
        <w:t xml:space="preserve">% a </w:t>
      </w:r>
      <w:r w:rsidR="00882C49" w:rsidRPr="005E56D0">
        <w:rPr>
          <w:rFonts w:ascii="Times New Roman" w:hAnsi="Times New Roman" w:cs="Times New Roman"/>
        </w:rPr>
        <w:t>junio</w:t>
      </w:r>
      <w:r w:rsidRPr="005E56D0">
        <w:rPr>
          <w:rFonts w:ascii="Times New Roman" w:hAnsi="Times New Roman" w:cs="Times New Roman"/>
        </w:rPr>
        <w:t xml:space="preserve"> de 2021, mayor al crecimiento de </w:t>
      </w:r>
      <w:r w:rsidR="00882C49" w:rsidRPr="005E56D0">
        <w:rPr>
          <w:rFonts w:ascii="Times New Roman" w:hAnsi="Times New Roman" w:cs="Times New Roman"/>
        </w:rPr>
        <w:t>14.9</w:t>
      </w:r>
      <w:r w:rsidRPr="005E56D0">
        <w:rPr>
          <w:rFonts w:ascii="Times New Roman" w:hAnsi="Times New Roman" w:cs="Times New Roman"/>
        </w:rPr>
        <w:t xml:space="preserve">% de </w:t>
      </w:r>
      <w:r w:rsidR="00882C49" w:rsidRPr="005E56D0">
        <w:rPr>
          <w:rFonts w:ascii="Times New Roman" w:hAnsi="Times New Roman" w:cs="Times New Roman"/>
        </w:rPr>
        <w:t>junio</w:t>
      </w:r>
      <w:r w:rsidRPr="005E56D0">
        <w:rPr>
          <w:rFonts w:ascii="Times New Roman" w:hAnsi="Times New Roman" w:cs="Times New Roman"/>
        </w:rPr>
        <w:t xml:space="preserve"> de 2020, lo cual refleja la mejora en el desempeño de la actividad económica y que es congruente con la erosión de los efectos provocados por la pandemia. Se espera que el numerario en circu</w:t>
      </w:r>
      <w:r w:rsidR="00444FF3" w:rsidRPr="005E56D0">
        <w:rPr>
          <w:rFonts w:ascii="Times New Roman" w:hAnsi="Times New Roman" w:cs="Times New Roman"/>
        </w:rPr>
        <w:t>lación y los depósitos monetario</w:t>
      </w:r>
      <w:r w:rsidRPr="005E56D0">
        <w:rPr>
          <w:rFonts w:ascii="Times New Roman" w:hAnsi="Times New Roman" w:cs="Times New Roman"/>
        </w:rPr>
        <w:t>s sigan teniendo dinamismo en su comportamiento por su facilidad para realizar transferencias electrónicas y su exigibilidad inmediata. Considerando lo anterior y que el comportamiento de los otros agregados monetarios regrese paulatinamente a su normalidad se proyecta que para el 2021 el crecimiento de los medios de pago se encuentre entre un rango de 9.0% y 11.0%.</w:t>
      </w:r>
    </w:p>
    <w:p w14:paraId="3E52B3CC" w14:textId="77777777" w:rsidR="009173EB" w:rsidRDefault="009173EB" w:rsidP="009173EB">
      <w:pPr>
        <w:spacing w:line="240" w:lineRule="auto"/>
        <w:jc w:val="both"/>
        <w:rPr>
          <w:rFonts w:ascii="Times New Roman" w:hAnsi="Times New Roman" w:cs="Times New Roman"/>
        </w:rPr>
      </w:pPr>
    </w:p>
    <w:p w14:paraId="0D6A1661" w14:textId="7135933C" w:rsidR="00C027A7" w:rsidRPr="00C027A7" w:rsidRDefault="00C027A7" w:rsidP="00C027A7">
      <w:pPr>
        <w:pStyle w:val="NormalWeb"/>
        <w:spacing w:before="0" w:beforeAutospacing="0" w:after="0" w:afterAutospacing="0"/>
        <w:jc w:val="center"/>
        <w:rPr>
          <w:b/>
          <w:bCs/>
          <w:color w:val="000000"/>
          <w:sz w:val="22"/>
          <w:szCs w:val="22"/>
        </w:rPr>
      </w:pPr>
      <w:bookmarkStart w:id="289" w:name="_Toc81573068"/>
      <w:r w:rsidRPr="00E851D2">
        <w:rPr>
          <w:rFonts w:eastAsiaTheme="minorHAnsi"/>
          <w:b/>
          <w:i/>
          <w:iCs/>
          <w:sz w:val="22"/>
          <w:szCs w:val="18"/>
          <w:lang w:val="es-GT" w:eastAsia="en-US"/>
        </w:rPr>
        <w:t xml:space="preserve">Gráfico </w:t>
      </w:r>
      <w:r w:rsidRPr="00E851D2">
        <w:rPr>
          <w:rFonts w:eastAsiaTheme="minorHAnsi"/>
          <w:b/>
          <w:i/>
          <w:iCs/>
          <w:sz w:val="22"/>
          <w:szCs w:val="18"/>
          <w:lang w:val="es-GT" w:eastAsia="en-US"/>
        </w:rPr>
        <w:fldChar w:fldCharType="begin"/>
      </w:r>
      <w:r w:rsidRPr="00E851D2">
        <w:rPr>
          <w:rFonts w:eastAsiaTheme="minorHAnsi"/>
          <w:b/>
          <w:i/>
          <w:iCs/>
          <w:sz w:val="22"/>
          <w:szCs w:val="18"/>
          <w:lang w:val="es-GT" w:eastAsia="en-US"/>
        </w:rPr>
        <w:instrText xml:space="preserve"> SEQ Gráfico \* ARABIC </w:instrText>
      </w:r>
      <w:r w:rsidRPr="00E851D2">
        <w:rPr>
          <w:rFonts w:eastAsiaTheme="minorHAnsi"/>
          <w:b/>
          <w:i/>
          <w:iCs/>
          <w:sz w:val="22"/>
          <w:szCs w:val="18"/>
          <w:lang w:val="es-GT" w:eastAsia="en-US"/>
        </w:rPr>
        <w:fldChar w:fldCharType="separate"/>
      </w:r>
      <w:r w:rsidR="00D6529D">
        <w:rPr>
          <w:rFonts w:eastAsiaTheme="minorHAnsi"/>
          <w:b/>
          <w:i/>
          <w:iCs/>
          <w:noProof/>
          <w:sz w:val="22"/>
          <w:szCs w:val="18"/>
          <w:lang w:val="es-GT" w:eastAsia="en-US"/>
        </w:rPr>
        <w:t>18</w:t>
      </w:r>
      <w:r w:rsidRPr="00E851D2">
        <w:rPr>
          <w:rFonts w:eastAsiaTheme="minorHAnsi"/>
          <w:b/>
          <w:i/>
          <w:iCs/>
          <w:sz w:val="22"/>
          <w:szCs w:val="18"/>
          <w:lang w:val="es-GT" w:eastAsia="en-US"/>
        </w:rPr>
        <w:fldChar w:fldCharType="end"/>
      </w:r>
      <w:r>
        <w:t xml:space="preserve">  </w:t>
      </w:r>
      <w:r>
        <w:rPr>
          <w:b/>
          <w:bCs/>
          <w:color w:val="000000"/>
          <w:sz w:val="22"/>
          <w:szCs w:val="22"/>
        </w:rPr>
        <w:t>Pronóstico del crecimiento de las principales variables monetarias</w:t>
      </w:r>
      <w:bookmarkEnd w:id="289"/>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0"/>
      </w:tblGrid>
      <w:tr w:rsidR="00322670" w14:paraId="45B496AD" w14:textId="77777777" w:rsidTr="00DE1FBB">
        <w:trPr>
          <w:jc w:val="center"/>
        </w:trPr>
        <w:tc>
          <w:tcPr>
            <w:tcW w:w="8838" w:type="dxa"/>
          </w:tcPr>
          <w:p w14:paraId="39E9497A" w14:textId="77777777" w:rsidR="00322670" w:rsidRPr="00DB0091" w:rsidRDefault="00C027A7" w:rsidP="00DE1FBB">
            <w:pPr>
              <w:pStyle w:val="NormalWeb"/>
              <w:spacing w:before="0" w:beforeAutospacing="0" w:after="0" w:afterAutospacing="0"/>
              <w:jc w:val="center"/>
              <w:rPr>
                <w:b/>
                <w:bCs/>
                <w:color w:val="000000"/>
                <w:sz w:val="22"/>
                <w:szCs w:val="22"/>
              </w:rPr>
            </w:pPr>
            <w:r>
              <w:rPr>
                <w:b/>
                <w:bCs/>
                <w:color w:val="000000"/>
                <w:sz w:val="22"/>
                <w:szCs w:val="22"/>
              </w:rPr>
              <w:t xml:space="preserve"> </w:t>
            </w:r>
            <w:r w:rsidR="00322670">
              <w:rPr>
                <w:b/>
                <w:bCs/>
                <w:color w:val="000000"/>
                <w:sz w:val="22"/>
                <w:szCs w:val="22"/>
              </w:rPr>
              <w:t>(porcentaje)</w:t>
            </w:r>
          </w:p>
        </w:tc>
      </w:tr>
      <w:tr w:rsidR="00322670" w14:paraId="3029111F" w14:textId="77777777" w:rsidTr="00C37D46">
        <w:tblPrEx>
          <w:tblCellMar>
            <w:left w:w="70" w:type="dxa"/>
            <w:right w:w="70" w:type="dxa"/>
          </w:tblCellMar>
        </w:tblPrEx>
        <w:trPr>
          <w:jc w:val="center"/>
        </w:trPr>
        <w:tc>
          <w:tcPr>
            <w:tcW w:w="8838" w:type="dxa"/>
          </w:tcPr>
          <w:p w14:paraId="3C053E05" w14:textId="2F36BBF8" w:rsidR="00322670" w:rsidRDefault="00C37D46" w:rsidP="00DE1FBB">
            <w:pPr>
              <w:pStyle w:val="NormalWeb"/>
              <w:spacing w:before="0" w:beforeAutospacing="0" w:after="150" w:afterAutospacing="0"/>
              <w:rPr>
                <w:color w:val="000000"/>
              </w:rPr>
            </w:pPr>
            <w:r>
              <w:rPr>
                <w:noProof/>
              </w:rPr>
              <w:drawing>
                <wp:inline distT="0" distB="0" distL="0" distR="0" wp14:anchorId="61D5E093" wp14:editId="7796DF7D">
                  <wp:extent cx="5612130" cy="2104390"/>
                  <wp:effectExtent l="0" t="0" r="7620" b="0"/>
                  <wp:docPr id="77" name="Gráfico 7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1600-00001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322670" w14:paraId="577930FE" w14:textId="77777777" w:rsidTr="00DE1FBB">
        <w:trPr>
          <w:jc w:val="center"/>
        </w:trPr>
        <w:tc>
          <w:tcPr>
            <w:tcW w:w="8838" w:type="dxa"/>
          </w:tcPr>
          <w:p w14:paraId="32829ACB" w14:textId="77777777" w:rsidR="00322670" w:rsidRPr="00F962ED" w:rsidRDefault="00322670" w:rsidP="001101B9">
            <w:pPr>
              <w:pStyle w:val="NormalWeb"/>
              <w:spacing w:before="0" w:beforeAutospacing="0" w:after="0" w:afterAutospacing="0"/>
              <w:rPr>
                <w:color w:val="000000"/>
                <w:sz w:val="18"/>
                <w:szCs w:val="18"/>
              </w:rPr>
            </w:pPr>
            <w:r w:rsidRPr="00F962ED">
              <w:rPr>
                <w:color w:val="000000"/>
                <w:sz w:val="18"/>
                <w:szCs w:val="18"/>
              </w:rPr>
              <w:t>Fuente: Dirección de Análisis Fiscal con información de BANGUAT.</w:t>
            </w:r>
          </w:p>
        </w:tc>
      </w:tr>
    </w:tbl>
    <w:p w14:paraId="5F59528B" w14:textId="77777777" w:rsidR="00322670" w:rsidRDefault="00322670" w:rsidP="001101B9">
      <w:pPr>
        <w:spacing w:after="0" w:line="240" w:lineRule="auto"/>
        <w:jc w:val="both"/>
        <w:rPr>
          <w:rFonts w:ascii="Times New Roman" w:hAnsi="Times New Roman" w:cs="Times New Roman"/>
        </w:rPr>
      </w:pPr>
    </w:p>
    <w:p w14:paraId="00C08946" w14:textId="6DFE225F" w:rsidR="00322670" w:rsidRDefault="00322670" w:rsidP="009173EB">
      <w:pPr>
        <w:spacing w:after="0" w:line="240" w:lineRule="auto"/>
        <w:jc w:val="both"/>
        <w:rPr>
          <w:rFonts w:ascii="Times New Roman" w:hAnsi="Times New Roman" w:cs="Times New Roman"/>
        </w:rPr>
      </w:pPr>
      <w:r>
        <w:rPr>
          <w:rFonts w:ascii="Times New Roman" w:hAnsi="Times New Roman" w:cs="Times New Roman"/>
        </w:rPr>
        <w:t xml:space="preserve">En lo que respecta a la tasa de interés líder de política monetaria, La Junta Monetaria la ha mantenido en 1.75% a finales de </w:t>
      </w:r>
      <w:r w:rsidR="00882C49">
        <w:rPr>
          <w:rFonts w:ascii="Times New Roman" w:hAnsi="Times New Roman" w:cs="Times New Roman"/>
        </w:rPr>
        <w:t>junio</w:t>
      </w:r>
      <w:r>
        <w:rPr>
          <w:rFonts w:ascii="Times New Roman" w:hAnsi="Times New Roman" w:cs="Times New Roman"/>
        </w:rPr>
        <w:t xml:space="preserve">, mostrando el seguimiento de una política monetaria acomodaticia en 2021, considerando indicadores de corto plazo que muestran el dinamismo de la actividad económica como lo son el IMAE, ICAE y del desempeño de las importaciones y exportaciones. Además, consideró una perspectiva de crecimiento económico entre 3.0% y del 5.0% y el nivel de inflación </w:t>
      </w:r>
      <w:r w:rsidR="00960D2A">
        <w:rPr>
          <w:rFonts w:ascii="Times New Roman" w:hAnsi="Times New Roman" w:cs="Times New Roman"/>
        </w:rPr>
        <w:t>de los últimos meses que ha tenido</w:t>
      </w:r>
      <w:r>
        <w:rPr>
          <w:rFonts w:ascii="Times New Roman" w:hAnsi="Times New Roman" w:cs="Times New Roman"/>
        </w:rPr>
        <w:t xml:space="preserve"> choques de oferta de transporte y alimentos.</w:t>
      </w:r>
    </w:p>
    <w:p w14:paraId="49799391" w14:textId="77777777" w:rsidR="009173EB" w:rsidRDefault="009173EB" w:rsidP="009173EB">
      <w:pPr>
        <w:spacing w:after="0" w:line="240" w:lineRule="auto"/>
        <w:jc w:val="both"/>
        <w:rPr>
          <w:rFonts w:ascii="Times New Roman" w:hAnsi="Times New Roman" w:cs="Times New Roman"/>
        </w:rPr>
      </w:pPr>
    </w:p>
    <w:p w14:paraId="755EEFAF" w14:textId="76AFAA73" w:rsidR="00322670" w:rsidRDefault="00322670" w:rsidP="009173EB">
      <w:pPr>
        <w:spacing w:after="0" w:line="240" w:lineRule="auto"/>
        <w:jc w:val="both"/>
        <w:rPr>
          <w:rFonts w:ascii="Times New Roman" w:hAnsi="Times New Roman" w:cs="Times New Roman"/>
        </w:rPr>
      </w:pPr>
      <w:r>
        <w:rPr>
          <w:rFonts w:ascii="Times New Roman" w:hAnsi="Times New Roman" w:cs="Times New Roman"/>
        </w:rPr>
        <w:t xml:space="preserve">El crédito bancario al sector privado </w:t>
      </w:r>
      <w:r w:rsidR="00AB6D41">
        <w:rPr>
          <w:rFonts w:ascii="Times New Roman" w:hAnsi="Times New Roman" w:cs="Times New Roman"/>
        </w:rPr>
        <w:t>según las</w:t>
      </w:r>
      <w:r w:rsidR="00684AEE">
        <w:rPr>
          <w:rFonts w:ascii="Times New Roman" w:hAnsi="Times New Roman" w:cs="Times New Roman"/>
        </w:rPr>
        <w:t xml:space="preserve"> estadísticas monetarias y financieras armonizadas para Centroamérica y República </w:t>
      </w:r>
      <w:r w:rsidR="00AB6D41">
        <w:rPr>
          <w:rFonts w:ascii="Times New Roman" w:hAnsi="Times New Roman" w:cs="Times New Roman"/>
        </w:rPr>
        <w:t>Dominicana</w:t>
      </w:r>
      <w:r>
        <w:rPr>
          <w:rFonts w:ascii="Times New Roman" w:hAnsi="Times New Roman" w:cs="Times New Roman"/>
        </w:rPr>
        <w:t xml:space="preserve"> </w:t>
      </w:r>
      <w:r w:rsidR="00AB6D41">
        <w:rPr>
          <w:rFonts w:ascii="Times New Roman" w:hAnsi="Times New Roman" w:cs="Times New Roman"/>
        </w:rPr>
        <w:t>muestra en junio</w:t>
      </w:r>
      <w:r>
        <w:rPr>
          <w:rFonts w:ascii="Times New Roman" w:hAnsi="Times New Roman" w:cs="Times New Roman"/>
        </w:rPr>
        <w:t xml:space="preserve"> de 2021 muestra un crecimiento de 6.</w:t>
      </w:r>
      <w:r w:rsidR="00AB6D41">
        <w:rPr>
          <w:rFonts w:ascii="Times New Roman" w:hAnsi="Times New Roman" w:cs="Times New Roman"/>
        </w:rPr>
        <w:t>2</w:t>
      </w:r>
      <w:r>
        <w:rPr>
          <w:rFonts w:ascii="Times New Roman" w:hAnsi="Times New Roman" w:cs="Times New Roman"/>
        </w:rPr>
        <w:t xml:space="preserve">%, que se </w:t>
      </w:r>
      <w:r w:rsidRPr="005E56D0">
        <w:rPr>
          <w:rFonts w:ascii="Times New Roman" w:hAnsi="Times New Roman" w:cs="Times New Roman"/>
        </w:rPr>
        <w:t xml:space="preserve">debe principalmente al crecimiento del crédito en actividades inmobiliarias de </w:t>
      </w:r>
      <w:r w:rsidR="00AB6D41" w:rsidRPr="005E56D0">
        <w:rPr>
          <w:rFonts w:ascii="Times New Roman" w:hAnsi="Times New Roman" w:cs="Times New Roman"/>
        </w:rPr>
        <w:t>21.6</w:t>
      </w:r>
      <w:r w:rsidRPr="005E56D0">
        <w:rPr>
          <w:rFonts w:ascii="Times New Roman" w:hAnsi="Times New Roman" w:cs="Times New Roman"/>
        </w:rPr>
        <w:t xml:space="preserve">%, del crédito en el sector construcción de </w:t>
      </w:r>
      <w:r w:rsidR="00AB6D41" w:rsidRPr="005E56D0">
        <w:rPr>
          <w:rFonts w:ascii="Times New Roman" w:hAnsi="Times New Roman" w:cs="Times New Roman"/>
        </w:rPr>
        <w:t>7.3</w:t>
      </w:r>
      <w:r w:rsidRPr="005E56D0">
        <w:rPr>
          <w:rFonts w:ascii="Times New Roman" w:hAnsi="Times New Roman" w:cs="Times New Roman"/>
        </w:rPr>
        <w:t xml:space="preserve">%, del crédito del consumo de </w:t>
      </w:r>
      <w:r w:rsidR="00AB6D41" w:rsidRPr="005E56D0">
        <w:rPr>
          <w:rFonts w:ascii="Times New Roman" w:hAnsi="Times New Roman" w:cs="Times New Roman"/>
        </w:rPr>
        <w:t>11.8</w:t>
      </w:r>
      <w:r w:rsidRPr="005E56D0">
        <w:rPr>
          <w:rFonts w:ascii="Times New Roman" w:hAnsi="Times New Roman" w:cs="Times New Roman"/>
        </w:rPr>
        <w:t xml:space="preserve">%, entre otros. Asimismo, El crédito al comercio sigue mostrando la misma ralentización del año 2020, ubicando su crecimiento a </w:t>
      </w:r>
      <w:r w:rsidR="00AB6D41" w:rsidRPr="005E56D0">
        <w:rPr>
          <w:rFonts w:ascii="Times New Roman" w:hAnsi="Times New Roman" w:cs="Times New Roman"/>
        </w:rPr>
        <w:t>junio de 2021</w:t>
      </w:r>
      <w:r w:rsidRPr="005E56D0">
        <w:rPr>
          <w:rFonts w:ascii="Times New Roman" w:hAnsi="Times New Roman" w:cs="Times New Roman"/>
        </w:rPr>
        <w:t xml:space="preserve"> en </w:t>
      </w:r>
      <w:r w:rsidR="00AB6D41" w:rsidRPr="005E56D0">
        <w:rPr>
          <w:rFonts w:ascii="Times New Roman" w:hAnsi="Times New Roman" w:cs="Times New Roman"/>
        </w:rPr>
        <w:t>1.3</w:t>
      </w:r>
      <w:r w:rsidRPr="005E56D0">
        <w:rPr>
          <w:rFonts w:ascii="Times New Roman" w:hAnsi="Times New Roman" w:cs="Times New Roman"/>
        </w:rPr>
        <w:t xml:space="preserve">%.  Asimismo, dada la gradual recuperación en los distintos sectores productivos y de la política monetaria acomodaticia se proyecta que la tasa de crecimiento del crédito bancario se ubique entre </w:t>
      </w:r>
      <w:r w:rsidR="00D7252C" w:rsidRPr="005E56D0">
        <w:rPr>
          <w:rFonts w:ascii="Times New Roman" w:hAnsi="Times New Roman" w:cs="Times New Roman"/>
        </w:rPr>
        <w:t>7</w:t>
      </w:r>
      <w:r w:rsidRPr="005E56D0">
        <w:rPr>
          <w:rFonts w:ascii="Times New Roman" w:hAnsi="Times New Roman" w:cs="Times New Roman"/>
        </w:rPr>
        <w:t xml:space="preserve">.5% a </w:t>
      </w:r>
      <w:r w:rsidR="00D7252C" w:rsidRPr="005E56D0">
        <w:rPr>
          <w:rFonts w:ascii="Times New Roman" w:hAnsi="Times New Roman" w:cs="Times New Roman"/>
        </w:rPr>
        <w:t>10</w:t>
      </w:r>
      <w:r w:rsidRPr="005E56D0">
        <w:rPr>
          <w:rFonts w:ascii="Times New Roman" w:hAnsi="Times New Roman" w:cs="Times New Roman"/>
        </w:rPr>
        <w:t>.5% a final de 2021.</w:t>
      </w:r>
    </w:p>
    <w:p w14:paraId="4C2AF297" w14:textId="77777777" w:rsidR="00816636" w:rsidRPr="005E56D0" w:rsidRDefault="00816636" w:rsidP="009173EB">
      <w:pPr>
        <w:spacing w:after="0" w:line="240" w:lineRule="auto"/>
        <w:jc w:val="both"/>
        <w:rPr>
          <w:rFonts w:ascii="Times New Roman" w:hAnsi="Times New Roman" w:cs="Times New Roman"/>
        </w:rPr>
      </w:pPr>
    </w:p>
    <w:p w14:paraId="561E01B0" w14:textId="77777777" w:rsidR="001101B9" w:rsidRDefault="00322670" w:rsidP="009173EB">
      <w:pPr>
        <w:spacing w:after="0" w:line="240" w:lineRule="auto"/>
        <w:jc w:val="both"/>
        <w:rPr>
          <w:rFonts w:ascii="Times New Roman" w:hAnsi="Times New Roman" w:cs="Times New Roman"/>
        </w:rPr>
      </w:pPr>
      <w:r w:rsidRPr="005E56D0">
        <w:rPr>
          <w:rFonts w:ascii="Times New Roman" w:hAnsi="Times New Roman" w:cs="Times New Roman"/>
        </w:rPr>
        <w:t>Por último, de las principales variables monetarias</w:t>
      </w:r>
      <w:r>
        <w:rPr>
          <w:rFonts w:ascii="Times New Roman" w:hAnsi="Times New Roman" w:cs="Times New Roman"/>
        </w:rPr>
        <w:t xml:space="preserve"> del 2021 el Banco de Guatemala estima aumentó en los niveles de Q. 6,842.5 millones en la emisión monetaria, de US$2,000 millones en las reservas monetarias internacionales, de Q3,367.4 millones en la disminución de depósitos del Gobierno Central en el Banco de Guatemala, una reducción de Q4,768.4 millones en el encaje bancario y un aumento de Q20,676.3 millones en las operaciones de estabilización monetaria.</w:t>
      </w:r>
    </w:p>
    <w:p w14:paraId="58339EB8" w14:textId="77777777" w:rsidR="001101B9" w:rsidRDefault="001101B9" w:rsidP="001101B9">
      <w:pPr>
        <w:spacing w:after="0" w:line="240" w:lineRule="auto"/>
        <w:jc w:val="both"/>
        <w:rPr>
          <w:rFonts w:ascii="Times New Roman" w:hAnsi="Times New Roman" w:cs="Times New Roman"/>
        </w:rPr>
      </w:pPr>
    </w:p>
    <w:p w14:paraId="4F5CD441" w14:textId="77777777" w:rsidR="00322670" w:rsidRPr="00437824" w:rsidRDefault="00322670" w:rsidP="001032E7">
      <w:pPr>
        <w:pStyle w:val="Ttulo2"/>
        <w:numPr>
          <w:ilvl w:val="1"/>
          <w:numId w:val="28"/>
        </w:numPr>
        <w:tabs>
          <w:tab w:val="left" w:pos="851"/>
        </w:tabs>
        <w:spacing w:before="0"/>
        <w:ind w:left="567"/>
        <w:rPr>
          <w:rFonts w:ascii="Times New Roman" w:hAnsi="Times New Roman" w:cs="Times New Roman"/>
          <w:color w:val="auto"/>
          <w:lang w:val="es-GT"/>
        </w:rPr>
      </w:pPr>
      <w:r>
        <w:rPr>
          <w:rFonts w:ascii="Times New Roman" w:hAnsi="Times New Roman" w:cs="Times New Roman"/>
          <w:color w:val="auto"/>
          <w:lang w:val="es-GT"/>
        </w:rPr>
        <w:t xml:space="preserve"> </w:t>
      </w:r>
      <w:bookmarkStart w:id="290" w:name="_Toc72489378"/>
      <w:bookmarkStart w:id="291" w:name="_Toc81571861"/>
      <w:r w:rsidRPr="00437824">
        <w:rPr>
          <w:rFonts w:ascii="Times New Roman" w:hAnsi="Times New Roman" w:cs="Times New Roman"/>
          <w:color w:val="auto"/>
          <w:lang w:val="es-GT"/>
        </w:rPr>
        <w:t>Sector Externo 2021</w:t>
      </w:r>
      <w:bookmarkEnd w:id="290"/>
      <w:bookmarkEnd w:id="291"/>
    </w:p>
    <w:p w14:paraId="3747B288" w14:textId="77777777" w:rsidR="00322670" w:rsidRPr="002D4C27" w:rsidRDefault="00322670" w:rsidP="00816636">
      <w:pPr>
        <w:spacing w:after="0" w:line="240" w:lineRule="auto"/>
      </w:pPr>
    </w:p>
    <w:p w14:paraId="5498DAFB" w14:textId="08C210BA" w:rsidR="00322670" w:rsidRPr="00DB0091" w:rsidRDefault="00322670" w:rsidP="009173EB">
      <w:pPr>
        <w:pStyle w:val="NormalWeb"/>
        <w:shd w:val="clear" w:color="auto" w:fill="FFFFFF"/>
        <w:spacing w:before="0" w:beforeAutospacing="0" w:after="0" w:afterAutospacing="0"/>
        <w:jc w:val="both"/>
        <w:rPr>
          <w:color w:val="000000"/>
          <w:sz w:val="22"/>
          <w:szCs w:val="22"/>
        </w:rPr>
      </w:pPr>
      <w:r w:rsidRPr="00DB0091">
        <w:rPr>
          <w:color w:val="000000"/>
          <w:sz w:val="22"/>
          <w:szCs w:val="22"/>
        </w:rPr>
        <w:t xml:space="preserve">Las exportaciones FOB de comercio exterior acumuladas a </w:t>
      </w:r>
      <w:r w:rsidR="008F76AE">
        <w:rPr>
          <w:color w:val="000000"/>
          <w:sz w:val="22"/>
          <w:szCs w:val="22"/>
        </w:rPr>
        <w:t>junio</w:t>
      </w:r>
      <w:r w:rsidRPr="00DB0091">
        <w:rPr>
          <w:color w:val="000000"/>
          <w:sz w:val="22"/>
          <w:szCs w:val="22"/>
        </w:rPr>
        <w:t xml:space="preserve"> de 2021 </w:t>
      </w:r>
      <w:r>
        <w:rPr>
          <w:color w:val="000000"/>
          <w:sz w:val="22"/>
          <w:szCs w:val="22"/>
        </w:rPr>
        <w:t xml:space="preserve">se </w:t>
      </w:r>
      <w:r w:rsidRPr="00DB0091">
        <w:rPr>
          <w:color w:val="000000"/>
          <w:sz w:val="22"/>
          <w:szCs w:val="22"/>
        </w:rPr>
        <w:t>situaron en US$</w:t>
      </w:r>
      <w:r w:rsidR="008F76AE">
        <w:rPr>
          <w:color w:val="000000"/>
          <w:sz w:val="22"/>
          <w:szCs w:val="22"/>
        </w:rPr>
        <w:t>6,690.3</w:t>
      </w:r>
      <w:r w:rsidRPr="00DB0091">
        <w:rPr>
          <w:color w:val="000000"/>
          <w:sz w:val="22"/>
          <w:szCs w:val="22"/>
        </w:rPr>
        <w:t xml:space="preserve"> millones, representando una tasa de crecimiento interanual de </w:t>
      </w:r>
      <w:r w:rsidR="008F76AE">
        <w:rPr>
          <w:color w:val="000000"/>
          <w:sz w:val="22"/>
          <w:szCs w:val="22"/>
        </w:rPr>
        <w:t>20.8</w:t>
      </w:r>
      <w:r w:rsidRPr="00DB0091">
        <w:rPr>
          <w:color w:val="000000"/>
          <w:sz w:val="22"/>
          <w:szCs w:val="22"/>
        </w:rPr>
        <w:t xml:space="preserve">% con respecto a las exportaciones acumuladas a </w:t>
      </w:r>
      <w:r w:rsidR="008F76AE">
        <w:rPr>
          <w:color w:val="000000"/>
          <w:sz w:val="22"/>
          <w:szCs w:val="22"/>
        </w:rPr>
        <w:t>junio</w:t>
      </w:r>
      <w:r w:rsidRPr="00DB0091">
        <w:rPr>
          <w:color w:val="000000"/>
          <w:sz w:val="22"/>
          <w:szCs w:val="22"/>
        </w:rPr>
        <w:t xml:space="preserve"> 2020. Entre los principales productos según la participación se encuentra el cardamomo (</w:t>
      </w:r>
      <w:r w:rsidR="008F76AE">
        <w:rPr>
          <w:color w:val="000000"/>
          <w:sz w:val="22"/>
          <w:szCs w:val="22"/>
        </w:rPr>
        <w:t>7.0</w:t>
      </w:r>
      <w:r w:rsidRPr="00DB0091">
        <w:rPr>
          <w:color w:val="000000"/>
          <w:sz w:val="22"/>
          <w:szCs w:val="22"/>
        </w:rPr>
        <w:t xml:space="preserve">%) que presenta una tasa de crecimiento acumulado a </w:t>
      </w:r>
      <w:r w:rsidR="008F76AE">
        <w:rPr>
          <w:color w:val="000000"/>
          <w:sz w:val="22"/>
          <w:szCs w:val="22"/>
        </w:rPr>
        <w:t>junio</w:t>
      </w:r>
      <w:r w:rsidRPr="00DB0091">
        <w:rPr>
          <w:color w:val="000000"/>
          <w:sz w:val="22"/>
          <w:szCs w:val="22"/>
        </w:rPr>
        <w:t xml:space="preserve"> de 2021 de </w:t>
      </w:r>
      <w:r w:rsidR="008F76AE">
        <w:rPr>
          <w:color w:val="000000"/>
          <w:sz w:val="22"/>
          <w:szCs w:val="22"/>
        </w:rPr>
        <w:t>6.2</w:t>
      </w:r>
      <w:r w:rsidRPr="00DB0091">
        <w:rPr>
          <w:color w:val="000000"/>
          <w:sz w:val="22"/>
          <w:szCs w:val="22"/>
        </w:rPr>
        <w:t>%, los artículos de vestuario (</w:t>
      </w:r>
      <w:r w:rsidR="008F76AE">
        <w:rPr>
          <w:color w:val="000000"/>
          <w:sz w:val="22"/>
          <w:szCs w:val="22"/>
        </w:rPr>
        <w:t>10.8</w:t>
      </w:r>
      <w:r w:rsidRPr="00DB0091">
        <w:rPr>
          <w:color w:val="000000"/>
          <w:sz w:val="22"/>
          <w:szCs w:val="22"/>
        </w:rPr>
        <w:t xml:space="preserve">%) tienen una tasa de crecimiento acumulada de </w:t>
      </w:r>
      <w:r w:rsidR="008F76AE">
        <w:rPr>
          <w:color w:val="000000"/>
          <w:sz w:val="22"/>
          <w:szCs w:val="22"/>
        </w:rPr>
        <w:t>29.5</w:t>
      </w:r>
      <w:r w:rsidRPr="00DB0091">
        <w:rPr>
          <w:color w:val="000000"/>
          <w:sz w:val="22"/>
          <w:szCs w:val="22"/>
        </w:rPr>
        <w:t>%, el azúcar (</w:t>
      </w:r>
      <w:r w:rsidR="008F76AE">
        <w:rPr>
          <w:color w:val="000000"/>
          <w:sz w:val="22"/>
          <w:szCs w:val="22"/>
        </w:rPr>
        <w:t>5.1</w:t>
      </w:r>
      <w:r w:rsidRPr="00DB0091">
        <w:rPr>
          <w:color w:val="000000"/>
          <w:sz w:val="22"/>
          <w:szCs w:val="22"/>
        </w:rPr>
        <w:t xml:space="preserve">%) con una baja </w:t>
      </w:r>
      <w:r w:rsidR="008F76AE">
        <w:rPr>
          <w:color w:val="000000"/>
          <w:sz w:val="22"/>
          <w:szCs w:val="22"/>
        </w:rPr>
        <w:t>negativa</w:t>
      </w:r>
      <w:r w:rsidRPr="00DB0091">
        <w:rPr>
          <w:color w:val="000000"/>
          <w:sz w:val="22"/>
          <w:szCs w:val="22"/>
        </w:rPr>
        <w:t xml:space="preserve"> de </w:t>
      </w:r>
      <w:r w:rsidR="008F76AE">
        <w:rPr>
          <w:color w:val="000000"/>
          <w:sz w:val="22"/>
          <w:szCs w:val="22"/>
        </w:rPr>
        <w:t>13.3</w:t>
      </w:r>
      <w:r w:rsidRPr="00DB0091">
        <w:rPr>
          <w:color w:val="000000"/>
          <w:sz w:val="22"/>
          <w:szCs w:val="22"/>
        </w:rPr>
        <w:t>% al igual que el banano (</w:t>
      </w:r>
      <w:r w:rsidR="008F76AE">
        <w:rPr>
          <w:color w:val="000000"/>
          <w:sz w:val="22"/>
          <w:szCs w:val="22"/>
        </w:rPr>
        <w:t>5.9</w:t>
      </w:r>
      <w:r w:rsidRPr="00DB0091">
        <w:rPr>
          <w:color w:val="000000"/>
          <w:sz w:val="22"/>
          <w:szCs w:val="22"/>
        </w:rPr>
        <w:t xml:space="preserve">%) con una tasa </w:t>
      </w:r>
      <w:r w:rsidR="008F76AE">
        <w:rPr>
          <w:color w:val="000000"/>
          <w:sz w:val="22"/>
          <w:szCs w:val="22"/>
        </w:rPr>
        <w:t xml:space="preserve">negativa </w:t>
      </w:r>
      <w:r w:rsidRPr="00DB0091">
        <w:rPr>
          <w:color w:val="000000"/>
          <w:sz w:val="22"/>
          <w:szCs w:val="22"/>
        </w:rPr>
        <w:t xml:space="preserve">de </w:t>
      </w:r>
      <w:r w:rsidR="008F76AE">
        <w:rPr>
          <w:color w:val="000000"/>
          <w:sz w:val="22"/>
          <w:szCs w:val="22"/>
        </w:rPr>
        <w:t>4.3</w:t>
      </w:r>
      <w:r w:rsidRPr="00DB0091">
        <w:rPr>
          <w:color w:val="000000"/>
          <w:sz w:val="22"/>
          <w:szCs w:val="22"/>
        </w:rPr>
        <w:t>%. El principal destino de las exportaciones hasta febrero 2021 ha sido EE.UU. (</w:t>
      </w:r>
      <w:r w:rsidR="00D143FE">
        <w:rPr>
          <w:color w:val="000000"/>
          <w:sz w:val="22"/>
          <w:szCs w:val="22"/>
        </w:rPr>
        <w:t>30.8</w:t>
      </w:r>
      <w:r w:rsidRPr="00DB0091">
        <w:rPr>
          <w:color w:val="000000"/>
          <w:sz w:val="22"/>
          <w:szCs w:val="22"/>
        </w:rPr>
        <w:t>%), Centroamérica (</w:t>
      </w:r>
      <w:r w:rsidR="00D143FE">
        <w:rPr>
          <w:color w:val="000000"/>
          <w:sz w:val="22"/>
          <w:szCs w:val="22"/>
        </w:rPr>
        <w:t>31.0</w:t>
      </w:r>
      <w:r w:rsidRPr="00DB0091">
        <w:rPr>
          <w:color w:val="000000"/>
          <w:sz w:val="22"/>
          <w:szCs w:val="22"/>
        </w:rPr>
        <w:t>%), Zona de Euro (</w:t>
      </w:r>
      <w:r w:rsidR="00D143FE">
        <w:rPr>
          <w:color w:val="000000"/>
          <w:sz w:val="22"/>
          <w:szCs w:val="22"/>
        </w:rPr>
        <w:t>8.7</w:t>
      </w:r>
      <w:r w:rsidRPr="00DB0091">
        <w:rPr>
          <w:color w:val="000000"/>
          <w:sz w:val="22"/>
          <w:szCs w:val="22"/>
        </w:rPr>
        <w:t>%), México (</w:t>
      </w:r>
      <w:r w:rsidR="00D143FE">
        <w:rPr>
          <w:color w:val="000000"/>
          <w:sz w:val="22"/>
          <w:szCs w:val="22"/>
        </w:rPr>
        <w:t>4.1</w:t>
      </w:r>
      <w:r w:rsidRPr="00DB0091">
        <w:rPr>
          <w:color w:val="000000"/>
          <w:sz w:val="22"/>
          <w:szCs w:val="22"/>
        </w:rPr>
        <w:t xml:space="preserve">%), entre otros. </w:t>
      </w:r>
    </w:p>
    <w:p w14:paraId="0715A548" w14:textId="7E6ACC91" w:rsidR="00322670" w:rsidRDefault="00322670" w:rsidP="009173EB">
      <w:pPr>
        <w:pStyle w:val="NormalWeb"/>
        <w:shd w:val="clear" w:color="auto" w:fill="FFFFFF"/>
        <w:spacing w:before="0" w:beforeAutospacing="0" w:after="0" w:afterAutospacing="0"/>
        <w:jc w:val="both"/>
        <w:rPr>
          <w:color w:val="000000"/>
          <w:sz w:val="22"/>
          <w:szCs w:val="22"/>
        </w:rPr>
      </w:pPr>
      <w:r w:rsidRPr="00DB0091">
        <w:rPr>
          <w:color w:val="000000"/>
          <w:sz w:val="22"/>
          <w:szCs w:val="22"/>
        </w:rPr>
        <w:t xml:space="preserve">Por </w:t>
      </w:r>
      <w:r>
        <w:rPr>
          <w:color w:val="000000"/>
          <w:sz w:val="22"/>
          <w:szCs w:val="22"/>
        </w:rPr>
        <w:t>el</w:t>
      </w:r>
      <w:r w:rsidRPr="00DB0091">
        <w:rPr>
          <w:color w:val="000000"/>
          <w:sz w:val="22"/>
          <w:szCs w:val="22"/>
        </w:rPr>
        <w:t xml:space="preserve"> lado de las importaciones CIF, estas se situaron en US$ </w:t>
      </w:r>
      <w:r w:rsidR="00D143FE">
        <w:rPr>
          <w:color w:val="000000"/>
          <w:sz w:val="22"/>
          <w:szCs w:val="22"/>
        </w:rPr>
        <w:t xml:space="preserve">12,007.4 </w:t>
      </w:r>
      <w:r w:rsidRPr="00DB0091">
        <w:rPr>
          <w:color w:val="000000"/>
          <w:sz w:val="22"/>
          <w:szCs w:val="22"/>
        </w:rPr>
        <w:t xml:space="preserve">millones a </w:t>
      </w:r>
      <w:r w:rsidR="00D143FE">
        <w:rPr>
          <w:color w:val="000000"/>
          <w:sz w:val="22"/>
          <w:szCs w:val="22"/>
        </w:rPr>
        <w:t>junio</w:t>
      </w:r>
      <w:r w:rsidRPr="00DB0091">
        <w:rPr>
          <w:color w:val="000000"/>
          <w:sz w:val="22"/>
          <w:szCs w:val="22"/>
        </w:rPr>
        <w:t xml:space="preserve"> de 2021, con una tasa de crecimiento de </w:t>
      </w:r>
      <w:r w:rsidR="00D143FE">
        <w:rPr>
          <w:color w:val="000000"/>
          <w:sz w:val="22"/>
          <w:szCs w:val="22"/>
        </w:rPr>
        <w:t>38.1</w:t>
      </w:r>
      <w:r w:rsidRPr="00DB0091">
        <w:rPr>
          <w:color w:val="000000"/>
          <w:sz w:val="22"/>
          <w:szCs w:val="22"/>
        </w:rPr>
        <w:t xml:space="preserve">% con respecto a las importaciones a </w:t>
      </w:r>
      <w:r w:rsidR="00D143FE">
        <w:rPr>
          <w:color w:val="000000"/>
          <w:sz w:val="22"/>
          <w:szCs w:val="22"/>
        </w:rPr>
        <w:t>junio</w:t>
      </w:r>
      <w:r w:rsidRPr="00DB0091">
        <w:rPr>
          <w:color w:val="000000"/>
          <w:sz w:val="22"/>
          <w:szCs w:val="22"/>
        </w:rPr>
        <w:t xml:space="preserve"> de 2020. Los bienes de capital tuvieron un crecimiento en este periodo de </w:t>
      </w:r>
      <w:r w:rsidR="00AC5C03">
        <w:rPr>
          <w:color w:val="000000"/>
          <w:sz w:val="22"/>
          <w:szCs w:val="22"/>
        </w:rPr>
        <w:t>50.9</w:t>
      </w:r>
      <w:r w:rsidRPr="00DB0091">
        <w:rPr>
          <w:color w:val="000000"/>
          <w:sz w:val="22"/>
          <w:szCs w:val="22"/>
        </w:rPr>
        <w:t xml:space="preserve">%, impulsados principalmente por los bienes de capital para la agricultura que tuvieron un crecimiento de </w:t>
      </w:r>
      <w:r w:rsidR="00AC5C03">
        <w:rPr>
          <w:color w:val="000000"/>
          <w:sz w:val="22"/>
          <w:szCs w:val="22"/>
        </w:rPr>
        <w:t>93.5</w:t>
      </w:r>
      <w:r w:rsidRPr="00DB0091">
        <w:rPr>
          <w:color w:val="000000"/>
          <w:sz w:val="22"/>
          <w:szCs w:val="22"/>
        </w:rPr>
        <w:t xml:space="preserve">% y los bienes de capital de transporte con una tasa de </w:t>
      </w:r>
      <w:r w:rsidR="00AC5C03">
        <w:rPr>
          <w:color w:val="000000"/>
          <w:sz w:val="22"/>
          <w:szCs w:val="22"/>
        </w:rPr>
        <w:t>79.2</w:t>
      </w:r>
      <w:r w:rsidRPr="00DB0091">
        <w:rPr>
          <w:color w:val="000000"/>
          <w:sz w:val="22"/>
          <w:szCs w:val="22"/>
        </w:rPr>
        <w:t xml:space="preserve">%. Asimismo, los bienes de consumo que representaron el </w:t>
      </w:r>
      <w:r w:rsidR="00AC5C03">
        <w:rPr>
          <w:color w:val="000000"/>
          <w:sz w:val="22"/>
          <w:szCs w:val="22"/>
        </w:rPr>
        <w:t>31.4</w:t>
      </w:r>
      <w:r w:rsidRPr="00DB0091">
        <w:rPr>
          <w:color w:val="000000"/>
          <w:sz w:val="22"/>
          <w:szCs w:val="22"/>
        </w:rPr>
        <w:t xml:space="preserve">% del total de importaciones tuvieron un incremento de </w:t>
      </w:r>
      <w:r w:rsidR="00AC5C03">
        <w:rPr>
          <w:color w:val="000000"/>
          <w:sz w:val="22"/>
          <w:szCs w:val="22"/>
        </w:rPr>
        <w:t>33.7</w:t>
      </w:r>
      <w:r w:rsidRPr="00DB0091">
        <w:rPr>
          <w:color w:val="000000"/>
          <w:sz w:val="22"/>
          <w:szCs w:val="22"/>
        </w:rPr>
        <w:t xml:space="preserve">%, esto debido principalmente al aumento en los bienes de consumo duraderos con una tasa de </w:t>
      </w:r>
      <w:r w:rsidR="00AC5C03">
        <w:rPr>
          <w:color w:val="000000"/>
          <w:sz w:val="22"/>
          <w:szCs w:val="22"/>
        </w:rPr>
        <w:t>58.6</w:t>
      </w:r>
      <w:r w:rsidRPr="00DB0091">
        <w:rPr>
          <w:color w:val="000000"/>
          <w:sz w:val="22"/>
          <w:szCs w:val="22"/>
        </w:rPr>
        <w:t xml:space="preserve">% y </w:t>
      </w:r>
      <w:r w:rsidR="00AC5C03">
        <w:rPr>
          <w:color w:val="000000"/>
          <w:sz w:val="22"/>
          <w:szCs w:val="22"/>
        </w:rPr>
        <w:t>el</w:t>
      </w:r>
      <w:r w:rsidRPr="00DB0091">
        <w:rPr>
          <w:color w:val="000000"/>
          <w:sz w:val="22"/>
          <w:szCs w:val="22"/>
        </w:rPr>
        <w:t xml:space="preserve"> crecimiento de </w:t>
      </w:r>
      <w:r w:rsidR="00AC5C03">
        <w:rPr>
          <w:color w:val="000000"/>
          <w:sz w:val="22"/>
          <w:szCs w:val="22"/>
        </w:rPr>
        <w:t>56.9</w:t>
      </w:r>
      <w:r w:rsidRPr="00DB0091">
        <w:rPr>
          <w:color w:val="000000"/>
          <w:sz w:val="22"/>
          <w:szCs w:val="22"/>
        </w:rPr>
        <w:t>% de los bienes semiduraderos. Los principales países vendedores de las importaciones fueron EE. UU. (35.</w:t>
      </w:r>
      <w:r w:rsidR="00AC5C03">
        <w:rPr>
          <w:color w:val="000000"/>
          <w:sz w:val="22"/>
          <w:szCs w:val="22"/>
        </w:rPr>
        <w:t>4</w:t>
      </w:r>
      <w:r w:rsidRPr="00DB0091">
        <w:rPr>
          <w:color w:val="000000"/>
          <w:sz w:val="22"/>
          <w:szCs w:val="22"/>
        </w:rPr>
        <w:t>%), China (13.</w:t>
      </w:r>
      <w:r w:rsidR="00AC5C03">
        <w:rPr>
          <w:color w:val="000000"/>
          <w:sz w:val="22"/>
          <w:szCs w:val="22"/>
        </w:rPr>
        <w:t>8</w:t>
      </w:r>
      <w:r w:rsidRPr="00DB0091">
        <w:rPr>
          <w:color w:val="000000"/>
          <w:sz w:val="22"/>
          <w:szCs w:val="22"/>
        </w:rPr>
        <w:t>%), Centroamérica (1</w:t>
      </w:r>
      <w:r w:rsidR="00AC5C03">
        <w:rPr>
          <w:color w:val="000000"/>
          <w:sz w:val="22"/>
          <w:szCs w:val="22"/>
        </w:rPr>
        <w:t>1.9</w:t>
      </w:r>
      <w:r w:rsidRPr="00DB0091">
        <w:rPr>
          <w:color w:val="000000"/>
          <w:sz w:val="22"/>
          <w:szCs w:val="22"/>
        </w:rPr>
        <w:t>%), México (10.</w:t>
      </w:r>
      <w:r w:rsidR="00AC5C03">
        <w:rPr>
          <w:color w:val="000000"/>
          <w:sz w:val="22"/>
          <w:szCs w:val="22"/>
        </w:rPr>
        <w:t>9</w:t>
      </w:r>
      <w:r w:rsidRPr="00DB0091">
        <w:rPr>
          <w:color w:val="000000"/>
          <w:sz w:val="22"/>
          <w:szCs w:val="22"/>
        </w:rPr>
        <w:t>%) y la Zona del Euro (6.</w:t>
      </w:r>
      <w:r w:rsidR="00AC5C03">
        <w:rPr>
          <w:color w:val="000000"/>
          <w:sz w:val="22"/>
          <w:szCs w:val="22"/>
        </w:rPr>
        <w:t>0</w:t>
      </w:r>
      <w:r w:rsidRPr="00DB0091">
        <w:rPr>
          <w:color w:val="000000"/>
          <w:sz w:val="22"/>
          <w:szCs w:val="22"/>
        </w:rPr>
        <w:t xml:space="preserve">%). </w:t>
      </w:r>
    </w:p>
    <w:p w14:paraId="64726351" w14:textId="77777777" w:rsidR="00322670" w:rsidRDefault="00322670" w:rsidP="001101B9">
      <w:pPr>
        <w:pStyle w:val="NormalWeb"/>
        <w:shd w:val="clear" w:color="auto" w:fill="FFFFFF"/>
        <w:spacing w:before="0" w:beforeAutospacing="0" w:after="0" w:afterAutospacing="0"/>
        <w:jc w:val="both"/>
        <w:rPr>
          <w:color w:val="000000"/>
          <w:sz w:val="22"/>
          <w:szCs w:val="22"/>
        </w:rPr>
      </w:pPr>
    </w:p>
    <w:p w14:paraId="1359020E" w14:textId="1CFC33B3" w:rsidR="00C027A7" w:rsidRDefault="00C027A7" w:rsidP="00C027A7">
      <w:pPr>
        <w:pStyle w:val="Epgrafe"/>
        <w:keepNext/>
        <w:jc w:val="center"/>
      </w:pPr>
      <w:bookmarkStart w:id="292" w:name="_Toc81573069"/>
      <w:r w:rsidRPr="00C027A7">
        <w:rPr>
          <w:rFonts w:ascii="Times New Roman" w:hAnsi="Times New Roman" w:cs="Times New Roman"/>
          <w:b/>
          <w:color w:val="auto"/>
          <w:sz w:val="20"/>
        </w:rPr>
        <w:t xml:space="preserve">Gráfico </w:t>
      </w:r>
      <w:r w:rsidRPr="00C027A7">
        <w:rPr>
          <w:rFonts w:ascii="Times New Roman" w:hAnsi="Times New Roman" w:cs="Times New Roman"/>
          <w:b/>
          <w:color w:val="auto"/>
          <w:sz w:val="20"/>
        </w:rPr>
        <w:fldChar w:fldCharType="begin"/>
      </w:r>
      <w:r w:rsidRPr="00C027A7">
        <w:rPr>
          <w:rFonts w:ascii="Times New Roman" w:hAnsi="Times New Roman" w:cs="Times New Roman"/>
          <w:b/>
          <w:color w:val="auto"/>
          <w:sz w:val="20"/>
        </w:rPr>
        <w:instrText xml:space="preserve"> SEQ Gráfico \* ARABIC </w:instrText>
      </w:r>
      <w:r w:rsidRPr="00C027A7">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19</w:t>
      </w:r>
      <w:r w:rsidRPr="00C027A7">
        <w:rPr>
          <w:rFonts w:ascii="Times New Roman" w:hAnsi="Times New Roman" w:cs="Times New Roman"/>
          <w:b/>
          <w:color w:val="auto"/>
          <w:sz w:val="20"/>
        </w:rPr>
        <w:fldChar w:fldCharType="end"/>
      </w:r>
      <w:r w:rsidRPr="00C027A7">
        <w:rPr>
          <w:rFonts w:ascii="Times New Roman" w:hAnsi="Times New Roman" w:cs="Times New Roman"/>
          <w:b/>
          <w:color w:val="auto"/>
          <w:sz w:val="20"/>
        </w:rPr>
        <w:t xml:space="preserve"> </w:t>
      </w:r>
      <w:r>
        <w:t xml:space="preserve"> </w:t>
      </w:r>
      <w:r w:rsidRPr="00C027A7">
        <w:rPr>
          <w:rFonts w:ascii="Times New Roman" w:hAnsi="Times New Roman" w:cs="Times New Roman"/>
          <w:b/>
          <w:bCs/>
          <w:i w:val="0"/>
          <w:color w:val="000000"/>
          <w:sz w:val="22"/>
          <w:szCs w:val="22"/>
        </w:rPr>
        <w:t>Pronóstico de la tasa de crecimiento de exportaciones, importaciones, remesas y el saldo de cuenta corriente con respecto al PIB para el 2021 (porcentaje)</w:t>
      </w:r>
      <w:bookmarkEnd w:id="292"/>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978"/>
      </w:tblGrid>
      <w:tr w:rsidR="00322670" w14:paraId="085AA626" w14:textId="77777777" w:rsidTr="00C37D46">
        <w:trPr>
          <w:jc w:val="center"/>
        </w:trPr>
        <w:tc>
          <w:tcPr>
            <w:tcW w:w="8838" w:type="dxa"/>
          </w:tcPr>
          <w:p w14:paraId="58B08E94" w14:textId="2AB967B7" w:rsidR="00322670" w:rsidRPr="00DB0091" w:rsidRDefault="00C37D46" w:rsidP="00C37D46">
            <w:pPr>
              <w:pStyle w:val="NormalWeb"/>
              <w:spacing w:before="0" w:beforeAutospacing="0" w:after="150" w:afterAutospacing="0"/>
              <w:jc w:val="center"/>
              <w:rPr>
                <w:b/>
                <w:bCs/>
                <w:color w:val="000000"/>
                <w:sz w:val="22"/>
                <w:szCs w:val="22"/>
              </w:rPr>
            </w:pPr>
            <w:r>
              <w:rPr>
                <w:noProof/>
              </w:rPr>
              <w:drawing>
                <wp:inline distT="0" distB="0" distL="0" distR="0" wp14:anchorId="25CCA4A9" wp14:editId="7208C102">
                  <wp:extent cx="5612130" cy="2106930"/>
                  <wp:effectExtent l="0" t="0" r="7620" b="7620"/>
                  <wp:docPr id="24" name="Gráfico 2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15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322670" w14:paraId="6DD01EBE" w14:textId="77777777" w:rsidTr="00DE1FBB">
        <w:trPr>
          <w:jc w:val="center"/>
        </w:trPr>
        <w:tc>
          <w:tcPr>
            <w:tcW w:w="8838" w:type="dxa"/>
          </w:tcPr>
          <w:p w14:paraId="18A4C63D" w14:textId="77777777" w:rsidR="00155114" w:rsidRPr="009173EB" w:rsidRDefault="00155114" w:rsidP="00155114">
            <w:pPr>
              <w:pStyle w:val="NormalWeb"/>
              <w:spacing w:before="0" w:beforeAutospacing="0" w:after="0" w:afterAutospacing="0"/>
              <w:rPr>
                <w:color w:val="000000"/>
                <w:sz w:val="16"/>
                <w:szCs w:val="20"/>
              </w:rPr>
            </w:pPr>
            <w:r w:rsidRPr="009173EB">
              <w:rPr>
                <w:color w:val="000000"/>
                <w:sz w:val="16"/>
                <w:szCs w:val="20"/>
              </w:rPr>
              <w:t>Fuente: Dirección de Análisis Fiscal con información de BANGUAT.</w:t>
            </w:r>
          </w:p>
          <w:p w14:paraId="0455E21D" w14:textId="77777777" w:rsidR="00322670" w:rsidRDefault="00322670" w:rsidP="00155114">
            <w:pPr>
              <w:pStyle w:val="NormalWeb"/>
              <w:spacing w:before="0" w:beforeAutospacing="0" w:after="0" w:afterAutospacing="0"/>
              <w:rPr>
                <w:color w:val="000000"/>
              </w:rPr>
            </w:pPr>
          </w:p>
        </w:tc>
      </w:tr>
      <w:tr w:rsidR="00322670" w14:paraId="5CE17CE9" w14:textId="77777777" w:rsidTr="00DE1FBB">
        <w:tblPrEx>
          <w:tblCellMar>
            <w:left w:w="108" w:type="dxa"/>
            <w:right w:w="108" w:type="dxa"/>
          </w:tblCellMar>
        </w:tblPrEx>
        <w:trPr>
          <w:jc w:val="center"/>
        </w:trPr>
        <w:tc>
          <w:tcPr>
            <w:tcW w:w="8838" w:type="dxa"/>
          </w:tcPr>
          <w:p w14:paraId="64383F4E" w14:textId="77777777" w:rsidR="001101B9" w:rsidRPr="00155114" w:rsidRDefault="001101B9" w:rsidP="00155114">
            <w:pPr>
              <w:pStyle w:val="NormalWeb"/>
              <w:spacing w:before="0" w:beforeAutospacing="0" w:after="0" w:afterAutospacing="0"/>
              <w:rPr>
                <w:color w:val="000000"/>
                <w:sz w:val="6"/>
                <w:szCs w:val="20"/>
              </w:rPr>
            </w:pPr>
          </w:p>
        </w:tc>
      </w:tr>
      <w:tr w:rsidR="009173EB" w14:paraId="46FC3DB3" w14:textId="77777777" w:rsidTr="00DE1FBB">
        <w:tblPrEx>
          <w:tblCellMar>
            <w:left w:w="108" w:type="dxa"/>
            <w:right w:w="108" w:type="dxa"/>
          </w:tblCellMar>
        </w:tblPrEx>
        <w:trPr>
          <w:jc w:val="center"/>
        </w:trPr>
        <w:tc>
          <w:tcPr>
            <w:tcW w:w="8838" w:type="dxa"/>
          </w:tcPr>
          <w:p w14:paraId="58E0E69F" w14:textId="77777777" w:rsidR="009173EB" w:rsidRPr="00155114" w:rsidRDefault="009173EB" w:rsidP="00155114">
            <w:pPr>
              <w:pStyle w:val="NormalWeb"/>
              <w:spacing w:before="0" w:beforeAutospacing="0" w:after="0" w:afterAutospacing="0"/>
              <w:rPr>
                <w:color w:val="000000"/>
                <w:sz w:val="6"/>
                <w:szCs w:val="20"/>
              </w:rPr>
            </w:pPr>
          </w:p>
        </w:tc>
      </w:tr>
    </w:tbl>
    <w:p w14:paraId="5181CDDC" w14:textId="1D467EFD" w:rsidR="00322670" w:rsidRPr="005E56D0" w:rsidRDefault="00322670" w:rsidP="009173EB">
      <w:pPr>
        <w:pStyle w:val="NormalWeb"/>
        <w:shd w:val="clear" w:color="auto" w:fill="FFFFFF"/>
        <w:spacing w:before="0" w:beforeAutospacing="0" w:after="0" w:afterAutospacing="0"/>
        <w:jc w:val="both"/>
        <w:rPr>
          <w:color w:val="000000"/>
          <w:sz w:val="22"/>
          <w:szCs w:val="22"/>
        </w:rPr>
      </w:pPr>
      <w:r w:rsidRPr="00D7252C">
        <w:rPr>
          <w:color w:val="000000"/>
          <w:sz w:val="22"/>
          <w:szCs w:val="22"/>
        </w:rPr>
        <w:t xml:space="preserve">Dada la mejora del comercio exterior que se visualiza en </w:t>
      </w:r>
      <w:r w:rsidR="009C73D0" w:rsidRPr="00D7252C">
        <w:rPr>
          <w:color w:val="000000"/>
          <w:sz w:val="22"/>
          <w:szCs w:val="22"/>
        </w:rPr>
        <w:t>el primer semestre</w:t>
      </w:r>
      <w:r w:rsidRPr="00D7252C">
        <w:rPr>
          <w:color w:val="000000"/>
          <w:sz w:val="22"/>
          <w:szCs w:val="22"/>
        </w:rPr>
        <w:t xml:space="preserve"> </w:t>
      </w:r>
      <w:r w:rsidR="009C73D0" w:rsidRPr="00D7252C">
        <w:rPr>
          <w:color w:val="000000"/>
          <w:sz w:val="22"/>
          <w:szCs w:val="22"/>
        </w:rPr>
        <w:t>de</w:t>
      </w:r>
      <w:r w:rsidRPr="00D7252C">
        <w:rPr>
          <w:color w:val="000000"/>
          <w:sz w:val="22"/>
          <w:szCs w:val="22"/>
        </w:rPr>
        <w:t xml:space="preserve"> 2021 y a la </w:t>
      </w:r>
      <w:r w:rsidRPr="005E56D0">
        <w:rPr>
          <w:color w:val="000000"/>
          <w:sz w:val="22"/>
          <w:szCs w:val="22"/>
        </w:rPr>
        <w:t>recuperación esperada de la demanda mundial y de los precios de las materias prima se prevé una tasa de crecimiento anual de 10.</w:t>
      </w:r>
      <w:r w:rsidR="00CE142B" w:rsidRPr="005E56D0">
        <w:rPr>
          <w:color w:val="000000"/>
          <w:sz w:val="22"/>
          <w:szCs w:val="22"/>
        </w:rPr>
        <w:t>5</w:t>
      </w:r>
      <w:r w:rsidRPr="005E56D0">
        <w:rPr>
          <w:color w:val="000000"/>
          <w:sz w:val="22"/>
          <w:szCs w:val="22"/>
        </w:rPr>
        <w:t xml:space="preserve">% para las exportaciones de bienes. Por otro lado, por la recuperación de la demanda interna en el 2021 por la disminución de la incertidumbre acerca de la evolución de la pandemia por las vacunas y la reducción de medidas de movilidad se espera que las importaciones tengan un crecimiento en 2021 de </w:t>
      </w:r>
      <w:r w:rsidR="00D7252C" w:rsidRPr="005E56D0">
        <w:rPr>
          <w:color w:val="000000"/>
          <w:sz w:val="22"/>
          <w:szCs w:val="22"/>
        </w:rPr>
        <w:t>18</w:t>
      </w:r>
      <w:r w:rsidRPr="005E56D0">
        <w:rPr>
          <w:color w:val="000000"/>
          <w:sz w:val="22"/>
          <w:szCs w:val="22"/>
        </w:rPr>
        <w:t>.5%.</w:t>
      </w:r>
    </w:p>
    <w:p w14:paraId="7BC35B3E" w14:textId="77777777" w:rsidR="001101B9" w:rsidRPr="005E56D0" w:rsidRDefault="001101B9" w:rsidP="009173EB">
      <w:pPr>
        <w:pStyle w:val="NormalWeb"/>
        <w:shd w:val="clear" w:color="auto" w:fill="FFFFFF"/>
        <w:spacing w:before="0" w:beforeAutospacing="0" w:after="0" w:afterAutospacing="0"/>
        <w:jc w:val="both"/>
        <w:rPr>
          <w:color w:val="000000"/>
          <w:sz w:val="22"/>
          <w:szCs w:val="22"/>
        </w:rPr>
      </w:pPr>
    </w:p>
    <w:p w14:paraId="10905010" w14:textId="41B74E6B" w:rsidR="00322670" w:rsidRDefault="00322670" w:rsidP="009173EB">
      <w:pPr>
        <w:pStyle w:val="NormalWeb"/>
        <w:shd w:val="clear" w:color="auto" w:fill="FFFFFF"/>
        <w:spacing w:before="0" w:beforeAutospacing="0" w:after="0" w:afterAutospacing="0"/>
        <w:jc w:val="both"/>
        <w:rPr>
          <w:color w:val="000000"/>
          <w:sz w:val="22"/>
          <w:szCs w:val="22"/>
        </w:rPr>
      </w:pPr>
      <w:r w:rsidRPr="005E56D0">
        <w:rPr>
          <w:color w:val="000000"/>
          <w:sz w:val="22"/>
          <w:szCs w:val="22"/>
        </w:rPr>
        <w:t xml:space="preserve">Dada la recuperación económica de EE.UU. por la reapertura económica y por el impacto de las medidas fiscales del 2020 y las que se prevén en 2021 se estima que el aumento en el ingreso de divisas por remesas familiares sea del </w:t>
      </w:r>
      <w:r w:rsidR="00CE142B" w:rsidRPr="005E56D0">
        <w:rPr>
          <w:color w:val="000000"/>
          <w:sz w:val="22"/>
          <w:szCs w:val="22"/>
        </w:rPr>
        <w:t>21</w:t>
      </w:r>
      <w:r w:rsidRPr="005E56D0">
        <w:rPr>
          <w:color w:val="000000"/>
          <w:sz w:val="22"/>
          <w:szCs w:val="22"/>
        </w:rPr>
        <w:t>.0% lo que proporcionaría saldos superavitarios en el ingreso secundario que nuevamente compensarían los déficits esperados del ingreso primario y de la balanza comercial de bienes y servicios. Derivado de lo anterior, se espera que el superávit de la cuenta corriente represente el 4.</w:t>
      </w:r>
      <w:r w:rsidR="00CE142B" w:rsidRPr="005E56D0">
        <w:rPr>
          <w:color w:val="000000"/>
          <w:sz w:val="22"/>
          <w:szCs w:val="22"/>
        </w:rPr>
        <w:t>9</w:t>
      </w:r>
      <w:r w:rsidRPr="005E56D0">
        <w:rPr>
          <w:color w:val="000000"/>
          <w:sz w:val="22"/>
          <w:szCs w:val="22"/>
        </w:rPr>
        <w:t>% del PIB de 2021.</w:t>
      </w:r>
    </w:p>
    <w:p w14:paraId="0B5C3714" w14:textId="77777777" w:rsidR="001101B9" w:rsidRDefault="001101B9" w:rsidP="009173EB">
      <w:pPr>
        <w:pStyle w:val="NormalWeb"/>
        <w:shd w:val="clear" w:color="auto" w:fill="FFFFFF"/>
        <w:spacing w:before="0" w:beforeAutospacing="0" w:after="0" w:afterAutospacing="0"/>
        <w:jc w:val="both"/>
        <w:rPr>
          <w:color w:val="000000"/>
          <w:sz w:val="22"/>
          <w:szCs w:val="22"/>
        </w:rPr>
      </w:pPr>
    </w:p>
    <w:p w14:paraId="6BB9B5C2" w14:textId="77777777" w:rsidR="00322670" w:rsidRDefault="00322670" w:rsidP="009173EB">
      <w:pPr>
        <w:pStyle w:val="NormalWeb"/>
        <w:shd w:val="clear" w:color="auto" w:fill="FFFFFF"/>
        <w:spacing w:before="0" w:beforeAutospacing="0" w:after="0" w:afterAutospacing="0"/>
        <w:jc w:val="both"/>
        <w:rPr>
          <w:color w:val="000000"/>
          <w:sz w:val="22"/>
          <w:szCs w:val="22"/>
        </w:rPr>
      </w:pPr>
      <w:r>
        <w:rPr>
          <w:color w:val="000000"/>
          <w:sz w:val="22"/>
          <w:szCs w:val="22"/>
        </w:rPr>
        <w:t>El superávit de la cuenta corriente y los flujos de inversión extranjera directa permitirán la reducción de pasivos y el aumento de activos en la cuenta financiera, lo que se reflejará en un aumento del préstamo neto a los no residentes de la economía, por lo que el Banco de Guatemala espera un alza de las Reservas Internacionales Netas de US$ 2,000 millones en 2021.</w:t>
      </w:r>
    </w:p>
    <w:p w14:paraId="4E7EB5DB" w14:textId="77777777" w:rsidR="00322670" w:rsidRDefault="00322670" w:rsidP="001101B9">
      <w:pPr>
        <w:pStyle w:val="NormalWeb"/>
        <w:shd w:val="clear" w:color="auto" w:fill="FFFFFF"/>
        <w:spacing w:before="0" w:beforeAutospacing="0" w:after="0" w:afterAutospacing="0"/>
        <w:jc w:val="both"/>
        <w:rPr>
          <w:color w:val="000000"/>
          <w:sz w:val="22"/>
          <w:szCs w:val="22"/>
        </w:rPr>
      </w:pPr>
    </w:p>
    <w:p w14:paraId="6E137F6D" w14:textId="0EA9F6E3" w:rsidR="00155114" w:rsidRDefault="00155114" w:rsidP="001101B9">
      <w:pPr>
        <w:pStyle w:val="NormalWeb"/>
        <w:shd w:val="clear" w:color="auto" w:fill="FFFFFF"/>
        <w:spacing w:before="0" w:beforeAutospacing="0" w:after="0" w:afterAutospacing="0"/>
        <w:jc w:val="both"/>
        <w:rPr>
          <w:color w:val="000000"/>
          <w:sz w:val="22"/>
          <w:szCs w:val="22"/>
        </w:rPr>
      </w:pPr>
    </w:p>
    <w:p w14:paraId="29711F62" w14:textId="77777777" w:rsidR="00816636" w:rsidRDefault="00816636" w:rsidP="001101B9">
      <w:pPr>
        <w:pStyle w:val="NormalWeb"/>
        <w:shd w:val="clear" w:color="auto" w:fill="FFFFFF"/>
        <w:spacing w:before="0" w:beforeAutospacing="0" w:after="0" w:afterAutospacing="0"/>
        <w:jc w:val="both"/>
        <w:rPr>
          <w:color w:val="000000"/>
          <w:sz w:val="22"/>
          <w:szCs w:val="22"/>
        </w:rPr>
      </w:pPr>
    </w:p>
    <w:p w14:paraId="7D0C75E0" w14:textId="77777777" w:rsidR="00322670" w:rsidRPr="0087704A" w:rsidRDefault="00322670" w:rsidP="001032E7">
      <w:pPr>
        <w:pStyle w:val="Ttulo2"/>
        <w:numPr>
          <w:ilvl w:val="0"/>
          <w:numId w:val="28"/>
        </w:numPr>
        <w:tabs>
          <w:tab w:val="left" w:pos="851"/>
        </w:tabs>
        <w:spacing w:before="0"/>
        <w:ind w:left="426" w:hanging="283"/>
        <w:rPr>
          <w:rFonts w:ascii="Times New Roman" w:hAnsi="Times New Roman" w:cs="Times New Roman"/>
          <w:color w:val="auto"/>
          <w:lang w:val="es-GT"/>
        </w:rPr>
      </w:pPr>
      <w:bookmarkStart w:id="293" w:name="_Toc72489379"/>
      <w:bookmarkStart w:id="294" w:name="_Toc81571862"/>
      <w:r w:rsidRPr="0087704A">
        <w:rPr>
          <w:rFonts w:ascii="Times New Roman" w:hAnsi="Times New Roman" w:cs="Times New Roman"/>
          <w:color w:val="auto"/>
          <w:lang w:val="es-GT"/>
        </w:rPr>
        <w:t>Escenario macroeconómico de mediano plazo (2022-2026)</w:t>
      </w:r>
      <w:bookmarkEnd w:id="293"/>
      <w:bookmarkEnd w:id="294"/>
    </w:p>
    <w:p w14:paraId="62130730" w14:textId="77777777" w:rsidR="00322670" w:rsidRDefault="00322670" w:rsidP="001101B9">
      <w:pPr>
        <w:pStyle w:val="NormalWeb"/>
        <w:shd w:val="clear" w:color="auto" w:fill="FFFFFF"/>
        <w:spacing w:before="0" w:beforeAutospacing="0" w:after="0" w:afterAutospacing="0"/>
        <w:jc w:val="both"/>
        <w:rPr>
          <w:color w:val="000000"/>
          <w:sz w:val="22"/>
          <w:szCs w:val="22"/>
        </w:rPr>
      </w:pPr>
    </w:p>
    <w:p w14:paraId="0F079D2C" w14:textId="77777777" w:rsidR="00322670" w:rsidRDefault="00322670" w:rsidP="00322670">
      <w:pPr>
        <w:spacing w:after="0" w:line="240" w:lineRule="auto"/>
        <w:jc w:val="both"/>
        <w:rPr>
          <w:rFonts w:ascii="Times New Roman" w:hAnsi="Times New Roman" w:cs="Times New Roman"/>
          <w:lang w:val="es-MX"/>
        </w:rPr>
      </w:pPr>
      <w:r w:rsidRPr="009F7A03">
        <w:rPr>
          <w:rFonts w:ascii="Times New Roman" w:hAnsi="Times New Roman" w:cs="Times New Roman"/>
          <w:lang w:val="es-MX"/>
        </w:rPr>
        <w:t xml:space="preserve">En esta </w:t>
      </w:r>
      <w:r>
        <w:rPr>
          <w:rFonts w:ascii="Times New Roman" w:hAnsi="Times New Roman" w:cs="Times New Roman"/>
          <w:lang w:val="es-MX"/>
        </w:rPr>
        <w:t xml:space="preserve">sección se describe el escenario macroeconómico de mediano plazo para las principales variables macroeconómicas del 2022-2026, como lo es el producto interno bruto real y nominal, las exportaciones, importaciones e inflación. Los supuestos alrededor de las variables son descritos en esta sección. </w:t>
      </w:r>
    </w:p>
    <w:p w14:paraId="32256791" w14:textId="77777777" w:rsidR="00322670" w:rsidRPr="00BE0D0A" w:rsidRDefault="00322670" w:rsidP="00322670">
      <w:pPr>
        <w:spacing w:after="0" w:line="240" w:lineRule="auto"/>
        <w:jc w:val="both"/>
        <w:rPr>
          <w:rFonts w:ascii="Times New Roman" w:hAnsi="Times New Roman" w:cs="Times New Roman"/>
          <w:lang w:val="es-MX"/>
        </w:rPr>
      </w:pPr>
    </w:p>
    <w:p w14:paraId="6003038F" w14:textId="1CFC00CE" w:rsidR="00322670" w:rsidRDefault="00322670" w:rsidP="009173EB">
      <w:pPr>
        <w:pStyle w:val="NormalWeb"/>
        <w:shd w:val="clear" w:color="auto" w:fill="FFFFFF"/>
        <w:spacing w:before="0" w:beforeAutospacing="0" w:after="0" w:afterAutospacing="0"/>
        <w:jc w:val="both"/>
        <w:rPr>
          <w:color w:val="000000"/>
          <w:sz w:val="22"/>
          <w:szCs w:val="22"/>
        </w:rPr>
      </w:pPr>
      <w:r>
        <w:rPr>
          <w:color w:val="000000"/>
          <w:sz w:val="22"/>
          <w:szCs w:val="22"/>
        </w:rPr>
        <w:t>Para el 2022 los organismos internacionales estiman un crecimiento dado por la trayectoria de recuperación de la economía mundial esperada por la disipación de la crisis sanitaria por la vacunación masiva y el levantamiento de las restricciones. Después del 2022, se espera un crecimiento moderado, por lo que los niveles del producto interno</w:t>
      </w:r>
      <w:r w:rsidR="00155114">
        <w:rPr>
          <w:color w:val="000000"/>
          <w:sz w:val="22"/>
          <w:szCs w:val="22"/>
        </w:rPr>
        <w:t xml:space="preserve"> bruto mundial tendrán valores </w:t>
      </w:r>
      <w:r>
        <w:rPr>
          <w:color w:val="000000"/>
          <w:sz w:val="22"/>
          <w:szCs w:val="22"/>
        </w:rPr>
        <w:t xml:space="preserve">por levemente por debajo de la tendencia hasta el 2024, sin </w:t>
      </w:r>
      <w:r w:rsidR="00286BB7">
        <w:rPr>
          <w:color w:val="000000"/>
          <w:sz w:val="22"/>
          <w:szCs w:val="22"/>
        </w:rPr>
        <w:t>embargo,</w:t>
      </w:r>
      <w:r>
        <w:rPr>
          <w:color w:val="000000"/>
          <w:sz w:val="22"/>
          <w:szCs w:val="22"/>
        </w:rPr>
        <w:t xml:space="preserve"> estas perspectivas podrían disminuir por daño en la oferta potencial o desaceleración del crecimiento de la fuerza laboral, tanto en las economías avanzas como en las emergentes. La inflación mundial se ubicará alrededor del 3.2% para 2022 y tendrá valores muy similares hasta el año 2025, esto se debe a la recuperación de la demanda y por los objetivos de inflación de los bancos centrales. Para las materias prima de energía se espera un aumento en 2022 por el repunte de la actividad económica.</w:t>
      </w:r>
    </w:p>
    <w:p w14:paraId="0AB79769" w14:textId="77777777" w:rsidR="009173EB" w:rsidRDefault="009173EB" w:rsidP="009173EB">
      <w:pPr>
        <w:pStyle w:val="NormalWeb"/>
        <w:shd w:val="clear" w:color="auto" w:fill="FFFFFF"/>
        <w:spacing w:before="0" w:beforeAutospacing="0" w:after="0" w:afterAutospacing="0"/>
        <w:jc w:val="both"/>
        <w:rPr>
          <w:color w:val="000000"/>
          <w:sz w:val="22"/>
          <w:szCs w:val="22"/>
        </w:rPr>
      </w:pPr>
    </w:p>
    <w:p w14:paraId="6EAC75A4" w14:textId="77777777" w:rsidR="00322670" w:rsidRDefault="00322670" w:rsidP="001101B9">
      <w:pPr>
        <w:pStyle w:val="NormalWeb"/>
        <w:shd w:val="clear" w:color="auto" w:fill="FFFFFF"/>
        <w:spacing w:before="0" w:beforeAutospacing="0" w:after="0" w:afterAutospacing="0"/>
        <w:jc w:val="both"/>
        <w:rPr>
          <w:color w:val="000000"/>
          <w:sz w:val="22"/>
          <w:szCs w:val="22"/>
        </w:rPr>
      </w:pPr>
      <w:r>
        <w:rPr>
          <w:color w:val="000000"/>
          <w:sz w:val="22"/>
          <w:szCs w:val="22"/>
        </w:rPr>
        <w:t xml:space="preserve">De igual manera, se espera en el 2022 que la economía nacional se recupere, como resultado del incremento de la demanda interna y externa. También se espera un crecimiento positivo de las principales actividades económicas según su participación, como lo son la industria manufacturera, el comercio, mantenimiento y reparación de vehículos; </w:t>
      </w:r>
      <w:r w:rsidRPr="000431BA">
        <w:rPr>
          <w:color w:val="000000"/>
          <w:sz w:val="22"/>
          <w:szCs w:val="22"/>
        </w:rPr>
        <w:t xml:space="preserve">entre </w:t>
      </w:r>
      <w:r w:rsidRPr="00E15EF2">
        <w:rPr>
          <w:color w:val="000000"/>
          <w:sz w:val="22"/>
          <w:szCs w:val="22"/>
        </w:rPr>
        <w:t>otras</w:t>
      </w:r>
      <w:r>
        <w:rPr>
          <w:color w:val="000000"/>
          <w:sz w:val="22"/>
          <w:szCs w:val="22"/>
        </w:rPr>
        <w:t>. Las expectativas de inflación para el 2022 están ancladas en el margen de tolerancia de la meta de inflación, pero existen riesgos al alza entre los cuales destacan los avances de la vacunación, choques de oferta, entre otros.</w:t>
      </w:r>
    </w:p>
    <w:p w14:paraId="6929F59C" w14:textId="77777777" w:rsidR="00322670" w:rsidRDefault="00322670" w:rsidP="001101B9">
      <w:pPr>
        <w:pStyle w:val="NormalWeb"/>
        <w:shd w:val="clear" w:color="auto" w:fill="FFFFFF"/>
        <w:spacing w:before="0" w:beforeAutospacing="0" w:after="0" w:afterAutospacing="0"/>
        <w:jc w:val="both"/>
        <w:rPr>
          <w:color w:val="000000"/>
          <w:sz w:val="22"/>
          <w:szCs w:val="22"/>
        </w:rPr>
      </w:pPr>
    </w:p>
    <w:p w14:paraId="09C04435" w14:textId="77777777" w:rsidR="00322670" w:rsidRDefault="001101B9" w:rsidP="001032E7">
      <w:pPr>
        <w:pStyle w:val="Ttulo2"/>
        <w:numPr>
          <w:ilvl w:val="1"/>
          <w:numId w:val="28"/>
        </w:numPr>
        <w:tabs>
          <w:tab w:val="left" w:pos="851"/>
        </w:tabs>
        <w:spacing w:before="0"/>
        <w:ind w:left="567"/>
        <w:rPr>
          <w:rFonts w:ascii="Times New Roman" w:hAnsi="Times New Roman" w:cs="Times New Roman"/>
          <w:color w:val="auto"/>
          <w:lang w:val="es-GT"/>
        </w:rPr>
      </w:pPr>
      <w:bookmarkStart w:id="295" w:name="_Toc69803300"/>
      <w:bookmarkStart w:id="296" w:name="_Toc72489380"/>
      <w:r>
        <w:rPr>
          <w:rFonts w:ascii="Times New Roman" w:hAnsi="Times New Roman" w:cs="Times New Roman"/>
          <w:color w:val="auto"/>
          <w:lang w:val="es-GT"/>
        </w:rPr>
        <w:t xml:space="preserve"> </w:t>
      </w:r>
      <w:bookmarkStart w:id="297" w:name="_Toc81571863"/>
      <w:r w:rsidR="00322670" w:rsidRPr="0087704A">
        <w:rPr>
          <w:rFonts w:ascii="Times New Roman" w:hAnsi="Times New Roman" w:cs="Times New Roman"/>
          <w:color w:val="auto"/>
          <w:lang w:val="es-GT"/>
        </w:rPr>
        <w:t>Supuestos macroeconómicos:</w:t>
      </w:r>
      <w:bookmarkEnd w:id="295"/>
      <w:bookmarkEnd w:id="296"/>
      <w:bookmarkEnd w:id="297"/>
    </w:p>
    <w:p w14:paraId="30055343" w14:textId="77777777" w:rsidR="00322670" w:rsidRPr="004F59A1" w:rsidRDefault="00322670" w:rsidP="001101B9">
      <w:pPr>
        <w:spacing w:after="0" w:line="240" w:lineRule="auto"/>
        <w:rPr>
          <w:lang w:eastAsia="es-ES"/>
        </w:rPr>
      </w:pPr>
    </w:p>
    <w:p w14:paraId="5757F90C" w14:textId="77777777" w:rsidR="00322670" w:rsidRPr="002C662A" w:rsidRDefault="00322670" w:rsidP="001032E7">
      <w:pPr>
        <w:pStyle w:val="Prrafodelista"/>
        <w:keepNext/>
        <w:keepLines/>
        <w:numPr>
          <w:ilvl w:val="0"/>
          <w:numId w:val="26"/>
        </w:numPr>
        <w:tabs>
          <w:tab w:val="left" w:pos="1843"/>
        </w:tabs>
        <w:spacing w:after="0" w:line="240" w:lineRule="auto"/>
        <w:contextualSpacing w:val="0"/>
        <w:outlineLvl w:val="2"/>
        <w:rPr>
          <w:rFonts w:ascii="Times New Roman" w:eastAsiaTheme="majorEastAsia" w:hAnsi="Times New Roman" w:cs="Times New Roman"/>
          <w:b/>
          <w:vanish/>
          <w:sz w:val="24"/>
          <w:szCs w:val="24"/>
          <w:lang w:val="es-MX"/>
        </w:rPr>
      </w:pPr>
      <w:bookmarkStart w:id="298" w:name="_Toc14779945"/>
      <w:bookmarkStart w:id="299" w:name="_Toc14780074"/>
      <w:bookmarkStart w:id="300" w:name="_Toc14780420"/>
      <w:bookmarkStart w:id="301" w:name="_Toc14780654"/>
      <w:bookmarkStart w:id="302" w:name="_Toc14781058"/>
      <w:bookmarkStart w:id="303" w:name="_Toc14781141"/>
      <w:bookmarkStart w:id="304" w:name="_Toc14783043"/>
      <w:bookmarkStart w:id="305" w:name="_Toc14783151"/>
      <w:bookmarkStart w:id="306" w:name="_Toc14783308"/>
      <w:bookmarkStart w:id="307" w:name="_Toc14783665"/>
      <w:bookmarkStart w:id="308" w:name="_Toc14783838"/>
      <w:bookmarkStart w:id="309" w:name="_Toc14784212"/>
      <w:bookmarkStart w:id="310" w:name="_Toc14784297"/>
      <w:bookmarkStart w:id="311" w:name="_Toc14784383"/>
      <w:bookmarkStart w:id="312" w:name="_Toc14784468"/>
      <w:bookmarkStart w:id="313" w:name="_Toc14784553"/>
      <w:bookmarkStart w:id="314" w:name="_Toc14784638"/>
      <w:bookmarkStart w:id="315" w:name="_Toc14784723"/>
      <w:bookmarkStart w:id="316" w:name="_Toc14784808"/>
      <w:bookmarkStart w:id="317" w:name="_Toc14784907"/>
      <w:bookmarkStart w:id="318" w:name="_Toc14785279"/>
      <w:bookmarkStart w:id="319" w:name="_Toc14785364"/>
      <w:bookmarkStart w:id="320" w:name="_Toc14785515"/>
      <w:bookmarkStart w:id="321" w:name="_Toc14785648"/>
      <w:bookmarkStart w:id="322" w:name="_Toc14785783"/>
      <w:bookmarkStart w:id="323" w:name="_Toc14785866"/>
      <w:bookmarkStart w:id="324" w:name="_Toc14853946"/>
      <w:bookmarkStart w:id="325" w:name="_Toc14857152"/>
      <w:bookmarkStart w:id="326" w:name="_Toc14857622"/>
      <w:bookmarkStart w:id="327" w:name="_Toc16147279"/>
      <w:bookmarkStart w:id="328" w:name="_Toc16151910"/>
      <w:bookmarkStart w:id="329" w:name="_Toc16152123"/>
      <w:bookmarkStart w:id="330" w:name="_Toc16152864"/>
      <w:bookmarkStart w:id="331" w:name="_Toc16153282"/>
      <w:bookmarkStart w:id="332" w:name="_Toc16154412"/>
      <w:bookmarkStart w:id="333" w:name="_Toc16154501"/>
      <w:bookmarkStart w:id="334" w:name="_Toc16154988"/>
      <w:bookmarkStart w:id="335" w:name="_Toc48295584"/>
      <w:bookmarkStart w:id="336" w:name="_Toc48295711"/>
      <w:bookmarkStart w:id="337" w:name="_Toc48295838"/>
      <w:bookmarkStart w:id="338" w:name="_Toc48295964"/>
      <w:bookmarkStart w:id="339" w:name="_Toc48296088"/>
      <w:bookmarkStart w:id="340" w:name="_Toc48296211"/>
      <w:bookmarkStart w:id="341" w:name="_Toc48296334"/>
      <w:bookmarkStart w:id="342" w:name="_Toc48296445"/>
      <w:bookmarkStart w:id="343" w:name="_Toc48296554"/>
      <w:bookmarkStart w:id="344" w:name="_Toc48652701"/>
      <w:bookmarkStart w:id="345" w:name="_Toc48652970"/>
      <w:bookmarkStart w:id="346" w:name="_Toc48653700"/>
      <w:bookmarkStart w:id="347" w:name="_Toc48653814"/>
      <w:bookmarkStart w:id="348" w:name="_Toc48653923"/>
      <w:bookmarkStart w:id="349" w:name="_Toc48654031"/>
      <w:bookmarkStart w:id="350" w:name="_Toc49170955"/>
      <w:bookmarkStart w:id="351" w:name="_Toc49171063"/>
      <w:bookmarkStart w:id="352" w:name="_Toc49171171"/>
      <w:bookmarkStart w:id="353" w:name="_Toc49171302"/>
      <w:bookmarkStart w:id="354" w:name="_Toc49939427"/>
      <w:bookmarkStart w:id="355" w:name="_Toc69803301"/>
      <w:bookmarkStart w:id="356" w:name="_Toc71724739"/>
      <w:bookmarkStart w:id="357" w:name="_Toc71792527"/>
      <w:bookmarkStart w:id="358" w:name="_Toc72489381"/>
      <w:bookmarkStart w:id="359" w:name="_Toc73093103"/>
      <w:bookmarkStart w:id="360" w:name="_Toc73095114"/>
      <w:bookmarkStart w:id="361" w:name="_Toc73095218"/>
      <w:bookmarkStart w:id="362" w:name="_Toc73513965"/>
      <w:bookmarkStart w:id="363" w:name="_Toc81571743"/>
      <w:bookmarkStart w:id="364" w:name="_Toc81571864"/>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64FA14AD" w14:textId="77777777" w:rsidR="00322670" w:rsidRPr="002C662A" w:rsidRDefault="00322670" w:rsidP="001032E7">
      <w:pPr>
        <w:pStyle w:val="Prrafodelista"/>
        <w:keepNext/>
        <w:keepLines/>
        <w:numPr>
          <w:ilvl w:val="1"/>
          <w:numId w:val="26"/>
        </w:numPr>
        <w:tabs>
          <w:tab w:val="left" w:pos="1843"/>
        </w:tabs>
        <w:spacing w:after="0" w:line="240" w:lineRule="auto"/>
        <w:contextualSpacing w:val="0"/>
        <w:outlineLvl w:val="2"/>
        <w:rPr>
          <w:rFonts w:ascii="Times New Roman" w:eastAsiaTheme="majorEastAsia" w:hAnsi="Times New Roman" w:cs="Times New Roman"/>
          <w:b/>
          <w:vanish/>
          <w:sz w:val="24"/>
          <w:szCs w:val="24"/>
          <w:lang w:val="es-MX"/>
        </w:rPr>
      </w:pPr>
      <w:bookmarkStart w:id="365" w:name="_Toc16152124"/>
      <w:bookmarkStart w:id="366" w:name="_Toc16152865"/>
      <w:bookmarkStart w:id="367" w:name="_Toc16153283"/>
      <w:bookmarkStart w:id="368" w:name="_Toc16154413"/>
      <w:bookmarkStart w:id="369" w:name="_Toc16154502"/>
      <w:bookmarkStart w:id="370" w:name="_Toc16154989"/>
      <w:bookmarkStart w:id="371" w:name="_Toc48295585"/>
      <w:bookmarkStart w:id="372" w:name="_Toc48295712"/>
      <w:bookmarkStart w:id="373" w:name="_Toc48295839"/>
      <w:bookmarkStart w:id="374" w:name="_Toc48295965"/>
      <w:bookmarkStart w:id="375" w:name="_Toc48296089"/>
      <w:bookmarkStart w:id="376" w:name="_Toc48296212"/>
      <w:bookmarkStart w:id="377" w:name="_Toc48296335"/>
      <w:bookmarkStart w:id="378" w:name="_Toc48296446"/>
      <w:bookmarkStart w:id="379" w:name="_Toc48296555"/>
      <w:bookmarkStart w:id="380" w:name="_Toc48652702"/>
      <w:bookmarkStart w:id="381" w:name="_Toc48652971"/>
      <w:bookmarkStart w:id="382" w:name="_Toc48653701"/>
      <w:bookmarkStart w:id="383" w:name="_Toc48653815"/>
      <w:bookmarkStart w:id="384" w:name="_Toc48653924"/>
      <w:bookmarkStart w:id="385" w:name="_Toc48654032"/>
      <w:bookmarkStart w:id="386" w:name="_Toc49170956"/>
      <w:bookmarkStart w:id="387" w:name="_Toc49171064"/>
      <w:bookmarkStart w:id="388" w:name="_Toc49171172"/>
      <w:bookmarkStart w:id="389" w:name="_Toc49171303"/>
      <w:bookmarkStart w:id="390" w:name="_Toc49939428"/>
      <w:bookmarkStart w:id="391" w:name="_Toc69803302"/>
      <w:bookmarkStart w:id="392" w:name="_Toc71724740"/>
      <w:bookmarkStart w:id="393" w:name="_Toc71792528"/>
      <w:bookmarkStart w:id="394" w:name="_Toc72489382"/>
      <w:bookmarkStart w:id="395" w:name="_Toc73093104"/>
      <w:bookmarkStart w:id="396" w:name="_Toc73095115"/>
      <w:bookmarkStart w:id="397" w:name="_Toc73095219"/>
      <w:bookmarkStart w:id="398" w:name="_Toc73513966"/>
      <w:bookmarkStart w:id="399" w:name="_Toc81571744"/>
      <w:bookmarkStart w:id="400" w:name="_Toc81571865"/>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68F83073" w14:textId="77777777" w:rsidR="00322670" w:rsidRPr="002C662A" w:rsidRDefault="00322670" w:rsidP="001032E7">
      <w:pPr>
        <w:pStyle w:val="Prrafodelista"/>
        <w:keepNext/>
        <w:keepLines/>
        <w:numPr>
          <w:ilvl w:val="1"/>
          <w:numId w:val="26"/>
        </w:numPr>
        <w:tabs>
          <w:tab w:val="left" w:pos="1843"/>
        </w:tabs>
        <w:spacing w:after="0" w:line="240" w:lineRule="auto"/>
        <w:contextualSpacing w:val="0"/>
        <w:outlineLvl w:val="2"/>
        <w:rPr>
          <w:rFonts w:ascii="Times New Roman" w:eastAsiaTheme="majorEastAsia" w:hAnsi="Times New Roman" w:cs="Times New Roman"/>
          <w:b/>
          <w:vanish/>
          <w:sz w:val="24"/>
          <w:szCs w:val="24"/>
          <w:lang w:val="es-MX"/>
        </w:rPr>
      </w:pPr>
      <w:bookmarkStart w:id="401" w:name="_Toc16152125"/>
      <w:bookmarkStart w:id="402" w:name="_Toc16152866"/>
      <w:bookmarkStart w:id="403" w:name="_Toc16153284"/>
      <w:bookmarkStart w:id="404" w:name="_Toc16154414"/>
      <w:bookmarkStart w:id="405" w:name="_Toc16154503"/>
      <w:bookmarkStart w:id="406" w:name="_Toc16154990"/>
      <w:bookmarkStart w:id="407" w:name="_Toc48295586"/>
      <w:bookmarkStart w:id="408" w:name="_Toc48295713"/>
      <w:bookmarkStart w:id="409" w:name="_Toc48295840"/>
      <w:bookmarkStart w:id="410" w:name="_Toc48295966"/>
      <w:bookmarkStart w:id="411" w:name="_Toc48296090"/>
      <w:bookmarkStart w:id="412" w:name="_Toc48296213"/>
      <w:bookmarkStart w:id="413" w:name="_Toc48296336"/>
      <w:bookmarkStart w:id="414" w:name="_Toc48296447"/>
      <w:bookmarkStart w:id="415" w:name="_Toc48296556"/>
      <w:bookmarkStart w:id="416" w:name="_Toc48652703"/>
      <w:bookmarkStart w:id="417" w:name="_Toc48652972"/>
      <w:bookmarkStart w:id="418" w:name="_Toc48653702"/>
      <w:bookmarkStart w:id="419" w:name="_Toc48653816"/>
      <w:bookmarkStart w:id="420" w:name="_Toc48653925"/>
      <w:bookmarkStart w:id="421" w:name="_Toc48654033"/>
      <w:bookmarkStart w:id="422" w:name="_Toc49170957"/>
      <w:bookmarkStart w:id="423" w:name="_Toc49171065"/>
      <w:bookmarkStart w:id="424" w:name="_Toc49171173"/>
      <w:bookmarkStart w:id="425" w:name="_Toc49171304"/>
      <w:bookmarkStart w:id="426" w:name="_Toc49939429"/>
      <w:bookmarkStart w:id="427" w:name="_Toc69803303"/>
      <w:bookmarkStart w:id="428" w:name="_Toc71724741"/>
      <w:bookmarkStart w:id="429" w:name="_Toc71792529"/>
      <w:bookmarkStart w:id="430" w:name="_Toc72489383"/>
      <w:bookmarkStart w:id="431" w:name="_Toc73093105"/>
      <w:bookmarkStart w:id="432" w:name="_Toc73095116"/>
      <w:bookmarkStart w:id="433" w:name="_Toc73095220"/>
      <w:bookmarkStart w:id="434" w:name="_Toc73513967"/>
      <w:bookmarkStart w:id="435" w:name="_Toc81571745"/>
      <w:bookmarkStart w:id="436" w:name="_Toc81571866"/>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1467926F" w14:textId="77777777" w:rsidR="00322670" w:rsidRPr="002C662A" w:rsidRDefault="00322670" w:rsidP="001032E7">
      <w:pPr>
        <w:pStyle w:val="Prrafodelista"/>
        <w:keepNext/>
        <w:keepLines/>
        <w:numPr>
          <w:ilvl w:val="1"/>
          <w:numId w:val="26"/>
        </w:numPr>
        <w:tabs>
          <w:tab w:val="left" w:pos="1843"/>
        </w:tabs>
        <w:spacing w:after="0" w:line="240" w:lineRule="auto"/>
        <w:contextualSpacing w:val="0"/>
        <w:outlineLvl w:val="2"/>
        <w:rPr>
          <w:rFonts w:ascii="Times New Roman" w:eastAsiaTheme="majorEastAsia" w:hAnsi="Times New Roman" w:cs="Times New Roman"/>
          <w:b/>
          <w:vanish/>
          <w:sz w:val="24"/>
          <w:szCs w:val="24"/>
          <w:lang w:val="es-MX"/>
        </w:rPr>
      </w:pPr>
      <w:bookmarkStart w:id="437" w:name="_Toc16152126"/>
      <w:bookmarkStart w:id="438" w:name="_Toc16152867"/>
      <w:bookmarkStart w:id="439" w:name="_Toc16153285"/>
      <w:bookmarkStart w:id="440" w:name="_Toc16154415"/>
      <w:bookmarkStart w:id="441" w:name="_Toc16154504"/>
      <w:bookmarkStart w:id="442" w:name="_Toc16154991"/>
      <w:bookmarkStart w:id="443" w:name="_Toc48295587"/>
      <w:bookmarkStart w:id="444" w:name="_Toc48295714"/>
      <w:bookmarkStart w:id="445" w:name="_Toc48295841"/>
      <w:bookmarkStart w:id="446" w:name="_Toc48295967"/>
      <w:bookmarkStart w:id="447" w:name="_Toc48296091"/>
      <w:bookmarkStart w:id="448" w:name="_Toc48296214"/>
      <w:bookmarkStart w:id="449" w:name="_Toc48296337"/>
      <w:bookmarkStart w:id="450" w:name="_Toc48296448"/>
      <w:bookmarkStart w:id="451" w:name="_Toc48296557"/>
      <w:bookmarkStart w:id="452" w:name="_Toc48652704"/>
      <w:bookmarkStart w:id="453" w:name="_Toc48652973"/>
      <w:bookmarkStart w:id="454" w:name="_Toc48653703"/>
      <w:bookmarkStart w:id="455" w:name="_Toc48653817"/>
      <w:bookmarkStart w:id="456" w:name="_Toc48653926"/>
      <w:bookmarkStart w:id="457" w:name="_Toc48654034"/>
      <w:bookmarkStart w:id="458" w:name="_Toc49170958"/>
      <w:bookmarkStart w:id="459" w:name="_Toc49171066"/>
      <w:bookmarkStart w:id="460" w:name="_Toc49171174"/>
      <w:bookmarkStart w:id="461" w:name="_Toc49171305"/>
      <w:bookmarkStart w:id="462" w:name="_Toc49939430"/>
      <w:bookmarkStart w:id="463" w:name="_Toc69803304"/>
      <w:bookmarkStart w:id="464" w:name="_Toc71724742"/>
      <w:bookmarkStart w:id="465" w:name="_Toc71792530"/>
      <w:bookmarkStart w:id="466" w:name="_Toc72489384"/>
      <w:bookmarkStart w:id="467" w:name="_Toc73093106"/>
      <w:bookmarkStart w:id="468" w:name="_Toc73095117"/>
      <w:bookmarkStart w:id="469" w:name="_Toc73095221"/>
      <w:bookmarkStart w:id="470" w:name="_Toc73513968"/>
      <w:bookmarkStart w:id="471" w:name="_Toc81571746"/>
      <w:bookmarkStart w:id="472" w:name="_Toc81571867"/>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646959F4" w14:textId="77777777" w:rsidR="00322670" w:rsidRPr="002C662A" w:rsidRDefault="00322670" w:rsidP="001032E7">
      <w:pPr>
        <w:pStyle w:val="Prrafodelista"/>
        <w:keepNext/>
        <w:keepLines/>
        <w:numPr>
          <w:ilvl w:val="1"/>
          <w:numId w:val="26"/>
        </w:numPr>
        <w:tabs>
          <w:tab w:val="left" w:pos="1843"/>
        </w:tabs>
        <w:spacing w:after="0" w:line="240" w:lineRule="auto"/>
        <w:contextualSpacing w:val="0"/>
        <w:outlineLvl w:val="2"/>
        <w:rPr>
          <w:rFonts w:ascii="Times New Roman" w:eastAsiaTheme="majorEastAsia" w:hAnsi="Times New Roman" w:cs="Times New Roman"/>
          <w:b/>
          <w:vanish/>
          <w:sz w:val="24"/>
          <w:szCs w:val="24"/>
          <w:lang w:val="es-MX"/>
        </w:rPr>
      </w:pPr>
      <w:bookmarkStart w:id="473" w:name="_Toc16152127"/>
      <w:bookmarkStart w:id="474" w:name="_Toc16152868"/>
      <w:bookmarkStart w:id="475" w:name="_Toc16153286"/>
      <w:bookmarkStart w:id="476" w:name="_Toc16154416"/>
      <w:bookmarkStart w:id="477" w:name="_Toc16154505"/>
      <w:bookmarkStart w:id="478" w:name="_Toc16154992"/>
      <w:bookmarkStart w:id="479" w:name="_Toc48295588"/>
      <w:bookmarkStart w:id="480" w:name="_Toc48295715"/>
      <w:bookmarkStart w:id="481" w:name="_Toc48295842"/>
      <w:bookmarkStart w:id="482" w:name="_Toc48295968"/>
      <w:bookmarkStart w:id="483" w:name="_Toc48296092"/>
      <w:bookmarkStart w:id="484" w:name="_Toc48296215"/>
      <w:bookmarkStart w:id="485" w:name="_Toc48296338"/>
      <w:bookmarkStart w:id="486" w:name="_Toc48296449"/>
      <w:bookmarkStart w:id="487" w:name="_Toc48296558"/>
      <w:bookmarkStart w:id="488" w:name="_Toc48652705"/>
      <w:bookmarkStart w:id="489" w:name="_Toc48652974"/>
      <w:bookmarkStart w:id="490" w:name="_Toc48653704"/>
      <w:bookmarkStart w:id="491" w:name="_Toc48653818"/>
      <w:bookmarkStart w:id="492" w:name="_Toc48653927"/>
      <w:bookmarkStart w:id="493" w:name="_Toc48654035"/>
      <w:bookmarkStart w:id="494" w:name="_Toc49170959"/>
      <w:bookmarkStart w:id="495" w:name="_Toc49171067"/>
      <w:bookmarkStart w:id="496" w:name="_Toc49171175"/>
      <w:bookmarkStart w:id="497" w:name="_Toc49171306"/>
      <w:bookmarkStart w:id="498" w:name="_Toc49939431"/>
      <w:bookmarkStart w:id="499" w:name="_Toc69803305"/>
      <w:bookmarkStart w:id="500" w:name="_Toc71724743"/>
      <w:bookmarkStart w:id="501" w:name="_Toc71792531"/>
      <w:bookmarkStart w:id="502" w:name="_Toc72489385"/>
      <w:bookmarkStart w:id="503" w:name="_Toc73093107"/>
      <w:bookmarkStart w:id="504" w:name="_Toc73095118"/>
      <w:bookmarkStart w:id="505" w:name="_Toc73095222"/>
      <w:bookmarkStart w:id="506" w:name="_Toc73513969"/>
      <w:bookmarkStart w:id="507" w:name="_Toc81571747"/>
      <w:bookmarkStart w:id="508" w:name="_Toc81571868"/>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38ACD73C" w14:textId="77777777" w:rsidR="00322670" w:rsidRPr="002C662A" w:rsidRDefault="00322670" w:rsidP="001032E7">
      <w:pPr>
        <w:pStyle w:val="Prrafodelista"/>
        <w:keepNext/>
        <w:keepLines/>
        <w:numPr>
          <w:ilvl w:val="1"/>
          <w:numId w:val="26"/>
        </w:numPr>
        <w:tabs>
          <w:tab w:val="left" w:pos="1843"/>
        </w:tabs>
        <w:spacing w:after="0" w:line="240" w:lineRule="auto"/>
        <w:contextualSpacing w:val="0"/>
        <w:outlineLvl w:val="2"/>
        <w:rPr>
          <w:rFonts w:ascii="Times New Roman" w:eastAsiaTheme="majorEastAsia" w:hAnsi="Times New Roman" w:cs="Times New Roman"/>
          <w:b/>
          <w:vanish/>
          <w:sz w:val="24"/>
          <w:szCs w:val="24"/>
          <w:lang w:val="es-MX"/>
        </w:rPr>
      </w:pPr>
      <w:bookmarkStart w:id="509" w:name="_Toc16152128"/>
      <w:bookmarkStart w:id="510" w:name="_Toc16152869"/>
      <w:bookmarkStart w:id="511" w:name="_Toc16153287"/>
      <w:bookmarkStart w:id="512" w:name="_Toc16154417"/>
      <w:bookmarkStart w:id="513" w:name="_Toc16154506"/>
      <w:bookmarkStart w:id="514" w:name="_Toc16154993"/>
      <w:bookmarkStart w:id="515" w:name="_Toc48295589"/>
      <w:bookmarkStart w:id="516" w:name="_Toc48295716"/>
      <w:bookmarkStart w:id="517" w:name="_Toc48295843"/>
      <w:bookmarkStart w:id="518" w:name="_Toc48295969"/>
      <w:bookmarkStart w:id="519" w:name="_Toc48296093"/>
      <w:bookmarkStart w:id="520" w:name="_Toc48296216"/>
      <w:bookmarkStart w:id="521" w:name="_Toc48296339"/>
      <w:bookmarkStart w:id="522" w:name="_Toc48296450"/>
      <w:bookmarkStart w:id="523" w:name="_Toc48296559"/>
      <w:bookmarkStart w:id="524" w:name="_Toc48652706"/>
      <w:bookmarkStart w:id="525" w:name="_Toc48652975"/>
      <w:bookmarkStart w:id="526" w:name="_Toc48653705"/>
      <w:bookmarkStart w:id="527" w:name="_Toc48653819"/>
      <w:bookmarkStart w:id="528" w:name="_Toc48653928"/>
      <w:bookmarkStart w:id="529" w:name="_Toc48654036"/>
      <w:bookmarkStart w:id="530" w:name="_Toc49170960"/>
      <w:bookmarkStart w:id="531" w:name="_Toc49171068"/>
      <w:bookmarkStart w:id="532" w:name="_Toc49171176"/>
      <w:bookmarkStart w:id="533" w:name="_Toc49171307"/>
      <w:bookmarkStart w:id="534" w:name="_Toc49939432"/>
      <w:bookmarkStart w:id="535" w:name="_Toc69803306"/>
      <w:bookmarkStart w:id="536" w:name="_Toc71724744"/>
      <w:bookmarkStart w:id="537" w:name="_Toc71792532"/>
      <w:bookmarkStart w:id="538" w:name="_Toc72489386"/>
      <w:bookmarkStart w:id="539" w:name="_Toc73093108"/>
      <w:bookmarkStart w:id="540" w:name="_Toc73095119"/>
      <w:bookmarkStart w:id="541" w:name="_Toc73095223"/>
      <w:bookmarkStart w:id="542" w:name="_Toc73513970"/>
      <w:bookmarkStart w:id="543" w:name="_Toc81571748"/>
      <w:bookmarkStart w:id="544" w:name="_Toc81571869"/>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59C9DA5C" w14:textId="77777777" w:rsidR="00322670" w:rsidRPr="009173EB" w:rsidRDefault="00322670" w:rsidP="001032E7">
      <w:pPr>
        <w:pStyle w:val="Ttulo2"/>
        <w:numPr>
          <w:ilvl w:val="2"/>
          <w:numId w:val="28"/>
        </w:numPr>
        <w:tabs>
          <w:tab w:val="left" w:pos="851"/>
          <w:tab w:val="left" w:pos="1134"/>
        </w:tabs>
        <w:spacing w:before="0"/>
        <w:ind w:left="709" w:hanging="360"/>
        <w:rPr>
          <w:rFonts w:ascii="Times New Roman" w:hAnsi="Times New Roman" w:cs="Times New Roman"/>
          <w:color w:val="auto"/>
          <w:sz w:val="24"/>
          <w:lang w:val="es-GT"/>
        </w:rPr>
      </w:pPr>
      <w:bookmarkStart w:id="545" w:name="_Toc16154994"/>
      <w:bookmarkStart w:id="546" w:name="_Toc69803307"/>
      <w:bookmarkStart w:id="547" w:name="_Toc72489387"/>
      <w:bookmarkStart w:id="548" w:name="_Toc81571870"/>
      <w:r w:rsidRPr="009173EB">
        <w:rPr>
          <w:rFonts w:ascii="Times New Roman" w:hAnsi="Times New Roman" w:cs="Times New Roman"/>
          <w:color w:val="auto"/>
          <w:sz w:val="24"/>
          <w:lang w:val="es-GT"/>
        </w:rPr>
        <w:t>Contexto internacional</w:t>
      </w:r>
      <w:bookmarkEnd w:id="545"/>
      <w:bookmarkEnd w:id="546"/>
      <w:bookmarkEnd w:id="547"/>
      <w:bookmarkEnd w:id="548"/>
    </w:p>
    <w:p w14:paraId="2FCAD2CA" w14:textId="77777777" w:rsidR="00322670" w:rsidRPr="0062341C" w:rsidRDefault="00322670" w:rsidP="00322670">
      <w:pPr>
        <w:spacing w:after="0" w:line="240" w:lineRule="auto"/>
        <w:rPr>
          <w:color w:val="FF0000"/>
          <w:lang w:val="es-MX"/>
        </w:rPr>
      </w:pPr>
    </w:p>
    <w:p w14:paraId="13056148" w14:textId="77777777" w:rsidR="00322670" w:rsidRDefault="00322670" w:rsidP="00322670">
      <w:pPr>
        <w:spacing w:after="0" w:line="240" w:lineRule="auto"/>
        <w:jc w:val="both"/>
        <w:rPr>
          <w:rFonts w:ascii="Times New Roman" w:hAnsi="Times New Roman" w:cs="Times New Roman"/>
          <w:lang w:val="es-MX"/>
        </w:rPr>
      </w:pPr>
      <w:r w:rsidRPr="004710A3">
        <w:rPr>
          <w:rFonts w:ascii="Times New Roman" w:hAnsi="Times New Roman" w:cs="Times New Roman"/>
          <w:lang w:val="es-MX"/>
        </w:rPr>
        <w:t xml:space="preserve">Las proyecciones </w:t>
      </w:r>
      <w:r>
        <w:rPr>
          <w:rFonts w:ascii="Times New Roman" w:hAnsi="Times New Roman" w:cs="Times New Roman"/>
          <w:lang w:val="es-MX"/>
        </w:rPr>
        <w:t xml:space="preserve">para 2022 ubican el crecimiento económico entre 4.0% y 4.5%, la mayoría de los organismos internacionales coinciden en que será por efecto </w:t>
      </w:r>
      <w:r w:rsidRPr="004710A3">
        <w:rPr>
          <w:rFonts w:ascii="Times New Roman" w:hAnsi="Times New Roman" w:cs="Times New Roman"/>
          <w:lang w:val="es-MX"/>
        </w:rPr>
        <w:t>del respaldo fiscal a</w:t>
      </w:r>
      <w:r>
        <w:rPr>
          <w:rFonts w:ascii="Times New Roman" w:hAnsi="Times New Roman" w:cs="Times New Roman"/>
          <w:lang w:val="es-MX"/>
        </w:rPr>
        <w:t xml:space="preserve">dicional instituido por algunas </w:t>
      </w:r>
      <w:r w:rsidRPr="004710A3">
        <w:rPr>
          <w:rFonts w:ascii="Times New Roman" w:hAnsi="Times New Roman" w:cs="Times New Roman"/>
          <w:lang w:val="es-MX"/>
        </w:rPr>
        <w:t>economías grandes y l</w:t>
      </w:r>
      <w:r>
        <w:rPr>
          <w:rFonts w:ascii="Times New Roman" w:hAnsi="Times New Roman" w:cs="Times New Roman"/>
          <w:lang w:val="es-MX"/>
        </w:rPr>
        <w:t xml:space="preserve">a recuperación prevista para el segundo semestre del 2021 gracias a la vacunación. Este </w:t>
      </w:r>
      <w:r w:rsidRPr="004710A3">
        <w:rPr>
          <w:rFonts w:ascii="Times New Roman" w:hAnsi="Times New Roman" w:cs="Times New Roman"/>
          <w:lang w:val="es-MX"/>
        </w:rPr>
        <w:t>ritmo refleja la continua a</w:t>
      </w:r>
      <w:r>
        <w:rPr>
          <w:rFonts w:ascii="Times New Roman" w:hAnsi="Times New Roman" w:cs="Times New Roman"/>
          <w:lang w:val="es-MX"/>
        </w:rPr>
        <w:t xml:space="preserve">daptación de todos los sectores </w:t>
      </w:r>
      <w:r w:rsidRPr="004710A3">
        <w:rPr>
          <w:rFonts w:ascii="Times New Roman" w:hAnsi="Times New Roman" w:cs="Times New Roman"/>
          <w:lang w:val="es-MX"/>
        </w:rPr>
        <w:t xml:space="preserve">de la economía a </w:t>
      </w:r>
      <w:r>
        <w:rPr>
          <w:rFonts w:ascii="Times New Roman" w:hAnsi="Times New Roman" w:cs="Times New Roman"/>
          <w:lang w:val="es-MX"/>
        </w:rPr>
        <w:t xml:space="preserve">la difícil situación sanitaria; la solidez de la </w:t>
      </w:r>
      <w:r w:rsidRPr="004710A3">
        <w:rPr>
          <w:rFonts w:ascii="Times New Roman" w:hAnsi="Times New Roman" w:cs="Times New Roman"/>
          <w:lang w:val="es-MX"/>
        </w:rPr>
        <w:t>recu</w:t>
      </w:r>
      <w:r>
        <w:rPr>
          <w:rFonts w:ascii="Times New Roman" w:hAnsi="Times New Roman" w:cs="Times New Roman"/>
          <w:lang w:val="es-MX"/>
        </w:rPr>
        <w:t xml:space="preserve">peración proyectada varía entre </w:t>
      </w:r>
      <w:r w:rsidRPr="004710A3">
        <w:rPr>
          <w:rFonts w:ascii="Times New Roman" w:hAnsi="Times New Roman" w:cs="Times New Roman"/>
          <w:lang w:val="es-MX"/>
        </w:rPr>
        <w:t>países, dependiendo de la gravedad de la</w:t>
      </w:r>
      <w:r>
        <w:rPr>
          <w:rFonts w:ascii="Times New Roman" w:hAnsi="Times New Roman" w:cs="Times New Roman"/>
          <w:lang w:val="es-MX"/>
        </w:rPr>
        <w:t xml:space="preserve"> crisis sanitaria, </w:t>
      </w:r>
      <w:r w:rsidRPr="004710A3">
        <w:rPr>
          <w:rFonts w:ascii="Times New Roman" w:hAnsi="Times New Roman" w:cs="Times New Roman"/>
          <w:lang w:val="es-MX"/>
        </w:rPr>
        <w:t>el grado de trastorno interno de la actividad</w:t>
      </w:r>
      <w:r>
        <w:rPr>
          <w:rFonts w:ascii="Times New Roman" w:hAnsi="Times New Roman" w:cs="Times New Roman"/>
          <w:lang w:val="es-MX"/>
        </w:rPr>
        <w:t xml:space="preserve">, la exposición a efectos </w:t>
      </w:r>
      <w:r w:rsidRPr="004710A3">
        <w:rPr>
          <w:rFonts w:ascii="Times New Roman" w:hAnsi="Times New Roman" w:cs="Times New Roman"/>
          <w:lang w:val="es-MX"/>
        </w:rPr>
        <w:t>de desbor</w:t>
      </w:r>
      <w:r>
        <w:rPr>
          <w:rFonts w:ascii="Times New Roman" w:hAnsi="Times New Roman" w:cs="Times New Roman"/>
          <w:lang w:val="es-MX"/>
        </w:rPr>
        <w:t>damiento transfronterizos y</w:t>
      </w:r>
      <w:r w:rsidRPr="004710A3">
        <w:rPr>
          <w:rFonts w:ascii="Times New Roman" w:hAnsi="Times New Roman" w:cs="Times New Roman"/>
          <w:lang w:val="es-MX"/>
        </w:rPr>
        <w:t xml:space="preserve"> la eficacia c</w:t>
      </w:r>
      <w:r>
        <w:rPr>
          <w:rFonts w:ascii="Times New Roman" w:hAnsi="Times New Roman" w:cs="Times New Roman"/>
          <w:lang w:val="es-MX"/>
        </w:rPr>
        <w:t xml:space="preserve">on que las políticas de apoyo limiten daños persistentes. </w:t>
      </w:r>
    </w:p>
    <w:p w14:paraId="5071CF16" w14:textId="77777777" w:rsidR="00322670" w:rsidRDefault="00322670" w:rsidP="00322670">
      <w:pPr>
        <w:spacing w:after="0" w:line="240" w:lineRule="auto"/>
        <w:jc w:val="both"/>
        <w:rPr>
          <w:rFonts w:ascii="Times New Roman" w:hAnsi="Times New Roman" w:cs="Times New Roman"/>
          <w:lang w:val="es-MX"/>
        </w:rPr>
      </w:pPr>
    </w:p>
    <w:p w14:paraId="39226738" w14:textId="77777777" w:rsidR="00322670" w:rsidRDefault="00322670" w:rsidP="00322670">
      <w:pPr>
        <w:spacing w:after="0" w:line="240" w:lineRule="auto"/>
        <w:jc w:val="both"/>
        <w:rPr>
          <w:rFonts w:ascii="Times New Roman" w:hAnsi="Times New Roman" w:cs="Times New Roman"/>
          <w:lang w:val="es-MX"/>
        </w:rPr>
      </w:pPr>
      <w:r>
        <w:rPr>
          <w:rFonts w:ascii="Times New Roman" w:hAnsi="Times New Roman" w:cs="Times New Roman"/>
          <w:lang w:val="es-MX"/>
        </w:rPr>
        <w:t xml:space="preserve">Más allá </w:t>
      </w:r>
      <w:r w:rsidRPr="004710A3">
        <w:rPr>
          <w:rFonts w:ascii="Times New Roman" w:hAnsi="Times New Roman" w:cs="Times New Roman"/>
          <w:lang w:val="es-MX"/>
        </w:rPr>
        <w:t>de 2022, el crecimiento mundial se mode</w:t>
      </w:r>
      <w:r>
        <w:rPr>
          <w:rFonts w:ascii="Times New Roman" w:hAnsi="Times New Roman" w:cs="Times New Roman"/>
          <w:lang w:val="es-MX"/>
        </w:rPr>
        <w:t>raría a 3.3% en el</w:t>
      </w:r>
      <w:r w:rsidRPr="004710A3">
        <w:rPr>
          <w:rFonts w:ascii="Times New Roman" w:hAnsi="Times New Roman" w:cs="Times New Roman"/>
          <w:lang w:val="es-MX"/>
        </w:rPr>
        <w:t xml:space="preserve"> mediano </w:t>
      </w:r>
      <w:r>
        <w:rPr>
          <w:rFonts w:ascii="Times New Roman" w:hAnsi="Times New Roman" w:cs="Times New Roman"/>
          <w:lang w:val="es-MX"/>
        </w:rPr>
        <w:t xml:space="preserve">plazo, y solamente se empañarían las perspectivas por el daño persistente a la oferta </w:t>
      </w:r>
      <w:r w:rsidRPr="004710A3">
        <w:rPr>
          <w:rFonts w:ascii="Times New Roman" w:hAnsi="Times New Roman" w:cs="Times New Roman"/>
          <w:lang w:val="es-MX"/>
        </w:rPr>
        <w:t xml:space="preserve">potencial tanto </w:t>
      </w:r>
      <w:r>
        <w:rPr>
          <w:rFonts w:ascii="Times New Roman" w:hAnsi="Times New Roman" w:cs="Times New Roman"/>
          <w:lang w:val="es-MX"/>
        </w:rPr>
        <w:t xml:space="preserve">en las economías avanzadas como en las de mercados emergentes, </w:t>
      </w:r>
      <w:r w:rsidRPr="004710A3">
        <w:rPr>
          <w:rFonts w:ascii="Times New Roman" w:hAnsi="Times New Roman" w:cs="Times New Roman"/>
          <w:lang w:val="es-MX"/>
        </w:rPr>
        <w:t>la des</w:t>
      </w:r>
      <w:r>
        <w:rPr>
          <w:rFonts w:ascii="Times New Roman" w:hAnsi="Times New Roman" w:cs="Times New Roman"/>
          <w:lang w:val="es-MX"/>
        </w:rPr>
        <w:t xml:space="preserve">aceleración del </w:t>
      </w:r>
      <w:r w:rsidRPr="004710A3">
        <w:rPr>
          <w:rFonts w:ascii="Times New Roman" w:hAnsi="Times New Roman" w:cs="Times New Roman"/>
          <w:lang w:val="es-MX"/>
        </w:rPr>
        <w:t>crecimiento de la fuerza l</w:t>
      </w:r>
      <w:r>
        <w:rPr>
          <w:rFonts w:ascii="Times New Roman" w:hAnsi="Times New Roman" w:cs="Times New Roman"/>
          <w:lang w:val="es-MX"/>
        </w:rPr>
        <w:t xml:space="preserve">aboral debido al envejecimiento </w:t>
      </w:r>
      <w:r w:rsidRPr="004710A3">
        <w:rPr>
          <w:rFonts w:ascii="Times New Roman" w:hAnsi="Times New Roman" w:cs="Times New Roman"/>
          <w:lang w:val="es-MX"/>
        </w:rPr>
        <w:t>de la población, así como</w:t>
      </w:r>
      <w:r>
        <w:rPr>
          <w:rFonts w:ascii="Times New Roman" w:hAnsi="Times New Roman" w:cs="Times New Roman"/>
          <w:lang w:val="es-MX"/>
        </w:rPr>
        <w:t xml:space="preserve"> el necesario reequilibramiento </w:t>
      </w:r>
      <w:r w:rsidRPr="004710A3">
        <w:rPr>
          <w:rFonts w:ascii="Times New Roman" w:hAnsi="Times New Roman" w:cs="Times New Roman"/>
          <w:lang w:val="es-MX"/>
        </w:rPr>
        <w:t>hacia una trayectoria de c</w:t>
      </w:r>
      <w:r>
        <w:rPr>
          <w:rFonts w:ascii="Times New Roman" w:hAnsi="Times New Roman" w:cs="Times New Roman"/>
          <w:lang w:val="es-MX"/>
        </w:rPr>
        <w:t xml:space="preserve">recimiento sostenible en China.  El FMI proyecta que los niveles </w:t>
      </w:r>
      <w:r w:rsidRPr="004710A3">
        <w:rPr>
          <w:rFonts w:ascii="Times New Roman" w:hAnsi="Times New Roman" w:cs="Times New Roman"/>
          <w:lang w:val="es-MX"/>
        </w:rPr>
        <w:t>del PIB se mantendrán m</w:t>
      </w:r>
      <w:r>
        <w:rPr>
          <w:rFonts w:ascii="Times New Roman" w:hAnsi="Times New Roman" w:cs="Times New Roman"/>
          <w:lang w:val="es-MX"/>
        </w:rPr>
        <w:t xml:space="preserve">uy por debajo de la trayectoria </w:t>
      </w:r>
      <w:r w:rsidRPr="004710A3">
        <w:rPr>
          <w:rFonts w:ascii="Times New Roman" w:hAnsi="Times New Roman" w:cs="Times New Roman"/>
          <w:lang w:val="es-MX"/>
        </w:rPr>
        <w:t>de la tende</w:t>
      </w:r>
      <w:r>
        <w:rPr>
          <w:rFonts w:ascii="Times New Roman" w:hAnsi="Times New Roman" w:cs="Times New Roman"/>
          <w:lang w:val="es-MX"/>
        </w:rPr>
        <w:t xml:space="preserve">ncia previa a la pandemia hasta </w:t>
      </w:r>
      <w:r w:rsidRPr="004710A3">
        <w:rPr>
          <w:rFonts w:ascii="Times New Roman" w:hAnsi="Times New Roman" w:cs="Times New Roman"/>
          <w:lang w:val="es-MX"/>
        </w:rPr>
        <w:t>2024 incl</w:t>
      </w:r>
      <w:r>
        <w:rPr>
          <w:rFonts w:ascii="Times New Roman" w:hAnsi="Times New Roman" w:cs="Times New Roman"/>
          <w:lang w:val="es-MX"/>
        </w:rPr>
        <w:t xml:space="preserve">usive </w:t>
      </w:r>
      <w:r w:rsidRPr="004710A3">
        <w:rPr>
          <w:rFonts w:ascii="Times New Roman" w:hAnsi="Times New Roman" w:cs="Times New Roman"/>
          <w:lang w:val="es-MX"/>
        </w:rPr>
        <w:t>en la mayorí</w:t>
      </w:r>
      <w:r>
        <w:rPr>
          <w:rFonts w:ascii="Times New Roman" w:hAnsi="Times New Roman" w:cs="Times New Roman"/>
          <w:lang w:val="es-MX"/>
        </w:rPr>
        <w:t xml:space="preserve">a de los países. </w:t>
      </w:r>
      <w:r w:rsidRPr="004710A3">
        <w:rPr>
          <w:rFonts w:ascii="Times New Roman" w:hAnsi="Times New Roman" w:cs="Times New Roman"/>
          <w:lang w:val="es-MX"/>
        </w:rPr>
        <w:t>En las econom</w:t>
      </w:r>
      <w:r>
        <w:rPr>
          <w:rFonts w:ascii="Times New Roman" w:hAnsi="Times New Roman" w:cs="Times New Roman"/>
          <w:lang w:val="es-MX"/>
        </w:rPr>
        <w:t xml:space="preserve">ías avanzadas, probablemente se </w:t>
      </w:r>
      <w:r w:rsidRPr="004710A3">
        <w:rPr>
          <w:rFonts w:ascii="Times New Roman" w:hAnsi="Times New Roman" w:cs="Times New Roman"/>
          <w:lang w:val="es-MX"/>
        </w:rPr>
        <w:t>hagan necesarias restr</w:t>
      </w:r>
      <w:r>
        <w:rPr>
          <w:rFonts w:ascii="Times New Roman" w:hAnsi="Times New Roman" w:cs="Times New Roman"/>
          <w:lang w:val="es-MX"/>
        </w:rPr>
        <w:t xml:space="preserve">icciones regionales ocasionales </w:t>
      </w:r>
      <w:r w:rsidRPr="004710A3">
        <w:rPr>
          <w:rFonts w:ascii="Times New Roman" w:hAnsi="Times New Roman" w:cs="Times New Roman"/>
          <w:lang w:val="es-MX"/>
        </w:rPr>
        <w:t>para contener la progre</w:t>
      </w:r>
      <w:r>
        <w:rPr>
          <w:rFonts w:ascii="Times New Roman" w:hAnsi="Times New Roman" w:cs="Times New Roman"/>
          <w:lang w:val="es-MX"/>
        </w:rPr>
        <w:t xml:space="preserve">sión de nuevas cepas del virus. </w:t>
      </w:r>
      <w:r w:rsidRPr="004710A3">
        <w:rPr>
          <w:rFonts w:ascii="Times New Roman" w:hAnsi="Times New Roman" w:cs="Times New Roman"/>
          <w:lang w:val="es-MX"/>
        </w:rPr>
        <w:t>A medida que la pobl</w:t>
      </w:r>
      <w:r>
        <w:rPr>
          <w:rFonts w:ascii="Times New Roman" w:hAnsi="Times New Roman" w:cs="Times New Roman"/>
          <w:lang w:val="es-MX"/>
        </w:rPr>
        <w:t xml:space="preserve">ación vulnerable se vacune, las actividades con contacto físico intensivo se reanudarían </w:t>
      </w:r>
      <w:r w:rsidRPr="004710A3">
        <w:rPr>
          <w:rFonts w:ascii="Times New Roman" w:hAnsi="Times New Roman" w:cs="Times New Roman"/>
          <w:lang w:val="es-MX"/>
        </w:rPr>
        <w:t>y producirían un repunte</w:t>
      </w:r>
      <w:r>
        <w:rPr>
          <w:rFonts w:ascii="Times New Roman" w:hAnsi="Times New Roman" w:cs="Times New Roman"/>
          <w:lang w:val="es-MX"/>
        </w:rPr>
        <w:t xml:space="preserve"> significativo del crecimiento, </w:t>
      </w:r>
      <w:r w:rsidRPr="004710A3">
        <w:rPr>
          <w:rFonts w:ascii="Times New Roman" w:hAnsi="Times New Roman" w:cs="Times New Roman"/>
          <w:lang w:val="es-MX"/>
        </w:rPr>
        <w:t>gracias a la demanda rep</w:t>
      </w:r>
      <w:r>
        <w:rPr>
          <w:rFonts w:ascii="Times New Roman" w:hAnsi="Times New Roman" w:cs="Times New Roman"/>
          <w:lang w:val="es-MX"/>
        </w:rPr>
        <w:t xml:space="preserve">rimida financiada por el ahorro </w:t>
      </w:r>
      <w:r w:rsidRPr="004710A3">
        <w:rPr>
          <w:rFonts w:ascii="Times New Roman" w:hAnsi="Times New Roman" w:cs="Times New Roman"/>
          <w:lang w:val="es-MX"/>
        </w:rPr>
        <w:t>acumulado en 2020.</w:t>
      </w:r>
    </w:p>
    <w:p w14:paraId="77DE9C38" w14:textId="77777777" w:rsidR="00322670" w:rsidRDefault="00322670" w:rsidP="00322670">
      <w:pPr>
        <w:spacing w:after="0" w:line="240" w:lineRule="auto"/>
        <w:jc w:val="both"/>
        <w:rPr>
          <w:rFonts w:ascii="Times New Roman" w:hAnsi="Times New Roman" w:cs="Times New Roman"/>
          <w:color w:val="FFC000"/>
          <w:lang w:val="es-MX"/>
        </w:rPr>
      </w:pPr>
    </w:p>
    <w:p w14:paraId="321BF81F" w14:textId="77777777" w:rsidR="00322670" w:rsidRPr="00BD3BE0" w:rsidRDefault="00322670" w:rsidP="00322670">
      <w:pPr>
        <w:spacing w:after="0" w:line="240" w:lineRule="auto"/>
        <w:jc w:val="both"/>
        <w:rPr>
          <w:rFonts w:ascii="Times New Roman" w:hAnsi="Times New Roman" w:cs="Times New Roman"/>
          <w:lang w:val="es-MX"/>
        </w:rPr>
      </w:pPr>
      <w:r w:rsidRPr="00BD3BE0">
        <w:rPr>
          <w:rFonts w:ascii="Times New Roman" w:hAnsi="Times New Roman" w:cs="Times New Roman"/>
          <w:lang w:val="es-MX"/>
        </w:rPr>
        <w:t>El crecimiento de las economías avanzadas se estima en 3.6% para 2022, debido a que Estados Unidos retomará el nivel de su actividad a 3.5% gracias al respaldo fiscal adicional legislado a fines de 2020 de US$ 1.9 billones, y podría impulsar con efectos de desbordamiento significativos a los socios comerciales del país. En la Zona del Euro se espera un crecimiento de 3.8%, derivado de la flexibilidad y capacidad de adaptación de la actividad económica a la reducción de la movilidad, tendencias preexistentes y rigideces estructurales anteriores a la crisis.</w:t>
      </w:r>
    </w:p>
    <w:p w14:paraId="760A86C3" w14:textId="77777777" w:rsidR="00322670" w:rsidRPr="00251A4A" w:rsidRDefault="00322670" w:rsidP="00322670">
      <w:pPr>
        <w:spacing w:after="0" w:line="240" w:lineRule="auto"/>
        <w:jc w:val="both"/>
        <w:rPr>
          <w:rFonts w:ascii="Times New Roman" w:hAnsi="Times New Roman" w:cs="Times New Roman"/>
          <w:lang w:val="es-MX"/>
        </w:rPr>
      </w:pPr>
    </w:p>
    <w:p w14:paraId="0CE0EE50" w14:textId="77777777" w:rsidR="00322670" w:rsidRPr="000E2D9B" w:rsidRDefault="00322670" w:rsidP="00322670">
      <w:pPr>
        <w:spacing w:after="0" w:line="240" w:lineRule="auto"/>
        <w:jc w:val="both"/>
        <w:rPr>
          <w:rFonts w:ascii="Times New Roman" w:hAnsi="Times New Roman" w:cs="Times New Roman"/>
          <w:lang w:val="es-MX"/>
        </w:rPr>
      </w:pPr>
      <w:r w:rsidRPr="00251A4A">
        <w:rPr>
          <w:rFonts w:ascii="Times New Roman" w:hAnsi="Times New Roman" w:cs="Times New Roman"/>
          <w:lang w:val="es-MX"/>
        </w:rPr>
        <w:t xml:space="preserve">En las economías emergentes y en desarrollo se pronostica que su crecimiento se ubique en 5.0% en 2022, esto es con la expectativa de una fuerte recuperación del crecimiento de China, que podría ubicarse en 5.6% y la recuperación de los flujos del comercio internacional y de inversión. Se esperan diferencias considerables entre China y el resto de los países, debido a las eficaces medidas de contención, la respuesta en materia de inversión pública y la liquidez de respaldo del banco central han facilitado una fuerte recuperación.  Las trayectorias de recuperación varían según las diferencias regionales en términos de la gravedad de la pandemia, la estructura económica, la exposición a shocks específicos y la eficacia de las políticas de respuesta destinadas a combatir las secuelas de la pandemia. </w:t>
      </w:r>
      <w:r>
        <w:rPr>
          <w:rFonts w:ascii="Times New Roman" w:hAnsi="Times New Roman" w:cs="Times New Roman"/>
          <w:lang w:val="es-MX"/>
        </w:rPr>
        <w:t xml:space="preserve">  </w:t>
      </w:r>
      <w:r w:rsidRPr="000E2D9B">
        <w:rPr>
          <w:rFonts w:ascii="Times New Roman" w:hAnsi="Times New Roman" w:cs="Times New Roman"/>
          <w:lang w:val="es-MX"/>
        </w:rPr>
        <w:t>Para Latinoamérica y el Caribe, se espera un crecimiento económico de 3.1%, dependiendo de la trayectoria de la recuperación y desvanecimiento de los efectos de la pandemia, y una fuerte recuperación en el sector fiscal y empresarial.</w:t>
      </w:r>
    </w:p>
    <w:p w14:paraId="2C233620" w14:textId="77777777" w:rsidR="00322670" w:rsidRPr="0062341C" w:rsidRDefault="00322670" w:rsidP="00322670">
      <w:pPr>
        <w:spacing w:after="0" w:line="240" w:lineRule="auto"/>
        <w:jc w:val="both"/>
        <w:rPr>
          <w:rFonts w:ascii="Times New Roman" w:hAnsi="Times New Roman" w:cs="Times New Roman"/>
          <w:color w:val="FF0000"/>
          <w:lang w:val="es-MX"/>
        </w:rPr>
      </w:pPr>
    </w:p>
    <w:p w14:paraId="5DE032E7" w14:textId="77777777" w:rsidR="00322670" w:rsidRDefault="00322670" w:rsidP="00322670">
      <w:pPr>
        <w:spacing w:after="0" w:line="240" w:lineRule="auto"/>
        <w:jc w:val="both"/>
        <w:rPr>
          <w:rFonts w:ascii="Times New Roman" w:hAnsi="Times New Roman" w:cs="Times New Roman"/>
          <w:lang w:val="es-MX"/>
        </w:rPr>
      </w:pPr>
      <w:r>
        <w:rPr>
          <w:rFonts w:ascii="Times New Roman" w:hAnsi="Times New Roman" w:cs="Times New Roman"/>
          <w:lang w:val="es-MX"/>
        </w:rPr>
        <w:t xml:space="preserve">A pesar de </w:t>
      </w:r>
      <w:r w:rsidRPr="000E2D9B">
        <w:rPr>
          <w:rFonts w:ascii="Times New Roman" w:hAnsi="Times New Roman" w:cs="Times New Roman"/>
          <w:lang w:val="es-MX"/>
        </w:rPr>
        <w:t>los</w:t>
      </w:r>
      <w:r>
        <w:rPr>
          <w:rFonts w:ascii="Times New Roman" w:hAnsi="Times New Roman" w:cs="Times New Roman"/>
          <w:lang w:val="es-MX"/>
        </w:rPr>
        <w:t xml:space="preserve"> </w:t>
      </w:r>
      <w:r w:rsidRPr="000E2D9B">
        <w:rPr>
          <w:rFonts w:ascii="Times New Roman" w:hAnsi="Times New Roman" w:cs="Times New Roman"/>
          <w:lang w:val="es-MX"/>
        </w:rPr>
        <w:t>optimistas pronósticos del crecimiento económico para las distintas regiones, existen factores de riesgos a la baja en el desempeño de las economías. Entre ellos, la reaparición de variaciones del virus, cepas resistentes a las vacunas y riesgos operativos como las demoras en la producción y distribución de las vacunas; endurecimiento de las condiciones financieras, una reevaluación de</w:t>
      </w:r>
      <w:r>
        <w:rPr>
          <w:rFonts w:ascii="Times New Roman" w:hAnsi="Times New Roman" w:cs="Times New Roman"/>
          <w:lang w:val="es-MX"/>
        </w:rPr>
        <w:t xml:space="preserve"> los fundamentos del mercado,</w:t>
      </w:r>
      <w:r w:rsidRPr="000E2D9B">
        <w:rPr>
          <w:rFonts w:ascii="Times New Roman" w:hAnsi="Times New Roman" w:cs="Times New Roman"/>
          <w:lang w:val="es-MX"/>
        </w:rPr>
        <w:t xml:space="preserve"> alza del rendimiento de los bonos soberanos más importantes y una revaluación de riesgos inflacionarios; </w:t>
      </w:r>
      <w:r>
        <w:rPr>
          <w:rFonts w:ascii="Times New Roman" w:hAnsi="Times New Roman" w:cs="Times New Roman"/>
          <w:lang w:val="es-MX"/>
        </w:rPr>
        <w:t>intensificación de la agitación social; y riesgos geopolíticos, comerciales y tecnológicos.</w:t>
      </w:r>
    </w:p>
    <w:p w14:paraId="7D0DBA7B" w14:textId="77777777" w:rsidR="00322670" w:rsidRDefault="00322670" w:rsidP="00322670">
      <w:pPr>
        <w:spacing w:after="0" w:line="240" w:lineRule="auto"/>
        <w:jc w:val="both"/>
        <w:rPr>
          <w:rFonts w:ascii="Times New Roman" w:hAnsi="Times New Roman" w:cs="Times New Roman"/>
          <w:lang w:val="es-MX"/>
        </w:rPr>
      </w:pPr>
    </w:p>
    <w:p w14:paraId="12B7F679" w14:textId="606AF216" w:rsidR="00322670" w:rsidRPr="002E0485" w:rsidRDefault="00322670" w:rsidP="00C027A7">
      <w:pPr>
        <w:pStyle w:val="Epgrafe"/>
        <w:jc w:val="center"/>
        <w:rPr>
          <w:rFonts w:ascii="Times New Roman" w:hAnsi="Times New Roman" w:cs="Times New Roman"/>
          <w:b/>
          <w:bCs/>
          <w:i w:val="0"/>
          <w:iCs w:val="0"/>
          <w:color w:val="auto"/>
          <w:sz w:val="22"/>
          <w:szCs w:val="20"/>
        </w:rPr>
      </w:pPr>
      <w:bookmarkStart w:id="549" w:name="_Toc81573070"/>
      <w:r w:rsidRPr="00C027A7">
        <w:rPr>
          <w:rFonts w:ascii="Times New Roman" w:hAnsi="Times New Roman" w:cs="Times New Roman"/>
          <w:b/>
          <w:noProof/>
          <w:color w:val="auto"/>
          <w:sz w:val="20"/>
          <w:lang w:val="es-ES" w:eastAsia="es-ES"/>
        </w:rPr>
        <w:drawing>
          <wp:anchor distT="0" distB="0" distL="114300" distR="114300" simplePos="0" relativeHeight="251976192" behindDoc="0" locked="0" layoutInCell="1" allowOverlap="1" wp14:anchorId="4D02FB9D" wp14:editId="54E15AA4">
            <wp:simplePos x="0" y="0"/>
            <wp:positionH relativeFrom="column">
              <wp:posOffset>64853</wp:posOffset>
            </wp:positionH>
            <wp:positionV relativeFrom="paragraph">
              <wp:posOffset>177359</wp:posOffset>
            </wp:positionV>
            <wp:extent cx="5545455" cy="2337684"/>
            <wp:effectExtent l="0" t="0" r="0" b="5715"/>
            <wp:wrapNone/>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C027A7" w:rsidRPr="00C027A7">
        <w:rPr>
          <w:rFonts w:ascii="Times New Roman" w:hAnsi="Times New Roman" w:cs="Times New Roman"/>
          <w:b/>
          <w:color w:val="auto"/>
          <w:sz w:val="20"/>
        </w:rPr>
        <w:t xml:space="preserve">Gráfico </w:t>
      </w:r>
      <w:r w:rsidR="00C027A7" w:rsidRPr="00C027A7">
        <w:rPr>
          <w:rFonts w:ascii="Times New Roman" w:hAnsi="Times New Roman" w:cs="Times New Roman"/>
          <w:b/>
          <w:color w:val="auto"/>
          <w:sz w:val="20"/>
        </w:rPr>
        <w:fldChar w:fldCharType="begin"/>
      </w:r>
      <w:r w:rsidR="00C027A7" w:rsidRPr="00C027A7">
        <w:rPr>
          <w:rFonts w:ascii="Times New Roman" w:hAnsi="Times New Roman" w:cs="Times New Roman"/>
          <w:b/>
          <w:color w:val="auto"/>
          <w:sz w:val="20"/>
        </w:rPr>
        <w:instrText xml:space="preserve"> SEQ Gráfico \* ARABIC </w:instrText>
      </w:r>
      <w:r w:rsidR="00C027A7" w:rsidRPr="00C027A7">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20</w:t>
      </w:r>
      <w:r w:rsidR="00C027A7" w:rsidRPr="00C027A7">
        <w:rPr>
          <w:rFonts w:ascii="Times New Roman" w:hAnsi="Times New Roman" w:cs="Times New Roman"/>
          <w:b/>
          <w:color w:val="auto"/>
          <w:sz w:val="20"/>
        </w:rPr>
        <w:fldChar w:fldCharType="end"/>
      </w:r>
      <w:r w:rsidR="00C027A7" w:rsidRPr="00C027A7">
        <w:rPr>
          <w:rFonts w:ascii="Times New Roman" w:hAnsi="Times New Roman" w:cs="Times New Roman"/>
          <w:b/>
          <w:color w:val="auto"/>
          <w:sz w:val="20"/>
        </w:rPr>
        <w:t xml:space="preserve">  </w:t>
      </w:r>
      <w:r w:rsidRPr="002E0485">
        <w:rPr>
          <w:rFonts w:ascii="Times New Roman" w:hAnsi="Times New Roman" w:cs="Times New Roman"/>
          <w:b/>
          <w:bCs/>
          <w:i w:val="0"/>
          <w:iCs w:val="0"/>
          <w:color w:val="auto"/>
          <w:sz w:val="22"/>
          <w:szCs w:val="20"/>
        </w:rPr>
        <w:t xml:space="preserve">Tasas de crecimiento del PIB, </w:t>
      </w:r>
      <w:r>
        <w:rPr>
          <w:rFonts w:ascii="Times New Roman" w:hAnsi="Times New Roman" w:cs="Times New Roman"/>
          <w:b/>
          <w:bCs/>
          <w:i w:val="0"/>
          <w:iCs w:val="0"/>
          <w:color w:val="auto"/>
          <w:sz w:val="22"/>
          <w:szCs w:val="20"/>
        </w:rPr>
        <w:t>2022-2026</w:t>
      </w:r>
      <w:bookmarkEnd w:id="549"/>
    </w:p>
    <w:p w14:paraId="3677481D" w14:textId="77777777" w:rsidR="00322670" w:rsidRDefault="00322670" w:rsidP="00322670">
      <w:pPr>
        <w:spacing w:after="0" w:line="240" w:lineRule="auto"/>
        <w:jc w:val="both"/>
        <w:rPr>
          <w:rFonts w:ascii="Times New Roman" w:hAnsi="Times New Roman" w:cs="Times New Roman"/>
          <w:color w:val="FF0000"/>
        </w:rPr>
      </w:pPr>
    </w:p>
    <w:p w14:paraId="1916574E" w14:textId="77777777" w:rsidR="00322670" w:rsidRDefault="00322670" w:rsidP="00322670">
      <w:pPr>
        <w:spacing w:after="0" w:line="240" w:lineRule="auto"/>
        <w:jc w:val="both"/>
        <w:rPr>
          <w:rFonts w:ascii="Times New Roman" w:hAnsi="Times New Roman" w:cs="Times New Roman"/>
          <w:color w:val="FF0000"/>
        </w:rPr>
      </w:pPr>
    </w:p>
    <w:p w14:paraId="09200BDA" w14:textId="77777777" w:rsidR="00322670" w:rsidRDefault="00322670" w:rsidP="00322670">
      <w:pPr>
        <w:spacing w:after="0" w:line="240" w:lineRule="auto"/>
        <w:jc w:val="both"/>
        <w:rPr>
          <w:rFonts w:ascii="Times New Roman" w:hAnsi="Times New Roman" w:cs="Times New Roman"/>
          <w:color w:val="FF0000"/>
        </w:rPr>
      </w:pPr>
    </w:p>
    <w:p w14:paraId="2D736CBC" w14:textId="77777777" w:rsidR="00322670" w:rsidRDefault="00322670" w:rsidP="00322670">
      <w:pPr>
        <w:spacing w:after="0" w:line="240" w:lineRule="auto"/>
        <w:jc w:val="both"/>
        <w:rPr>
          <w:rFonts w:ascii="Times New Roman" w:hAnsi="Times New Roman" w:cs="Times New Roman"/>
          <w:color w:val="FF0000"/>
        </w:rPr>
      </w:pPr>
    </w:p>
    <w:p w14:paraId="401F2729" w14:textId="77777777" w:rsidR="00322670" w:rsidRDefault="00322670" w:rsidP="00322670">
      <w:pPr>
        <w:spacing w:after="0" w:line="240" w:lineRule="auto"/>
        <w:jc w:val="both"/>
        <w:rPr>
          <w:rFonts w:ascii="Times New Roman" w:hAnsi="Times New Roman" w:cs="Times New Roman"/>
          <w:color w:val="FF0000"/>
        </w:rPr>
      </w:pPr>
    </w:p>
    <w:p w14:paraId="062E38F3" w14:textId="77777777" w:rsidR="00322670" w:rsidRDefault="00322670" w:rsidP="00322670">
      <w:pPr>
        <w:spacing w:after="0" w:line="240" w:lineRule="auto"/>
        <w:jc w:val="both"/>
        <w:rPr>
          <w:rFonts w:ascii="Times New Roman" w:hAnsi="Times New Roman" w:cs="Times New Roman"/>
          <w:color w:val="FF0000"/>
        </w:rPr>
      </w:pPr>
    </w:p>
    <w:p w14:paraId="364B68B7" w14:textId="77777777" w:rsidR="00322670" w:rsidRDefault="00322670" w:rsidP="00322670">
      <w:pPr>
        <w:spacing w:after="0" w:line="240" w:lineRule="auto"/>
        <w:jc w:val="both"/>
        <w:rPr>
          <w:rFonts w:ascii="Times New Roman" w:hAnsi="Times New Roman" w:cs="Times New Roman"/>
          <w:color w:val="FF0000"/>
        </w:rPr>
      </w:pPr>
    </w:p>
    <w:p w14:paraId="05FD154B" w14:textId="77777777" w:rsidR="00322670" w:rsidRDefault="00322670" w:rsidP="00322670">
      <w:pPr>
        <w:spacing w:after="0" w:line="240" w:lineRule="auto"/>
        <w:jc w:val="both"/>
        <w:rPr>
          <w:rFonts w:ascii="Times New Roman" w:hAnsi="Times New Roman" w:cs="Times New Roman"/>
          <w:color w:val="FF0000"/>
        </w:rPr>
      </w:pPr>
    </w:p>
    <w:p w14:paraId="5926856F" w14:textId="77777777" w:rsidR="00322670" w:rsidRDefault="00322670" w:rsidP="00322670">
      <w:pPr>
        <w:spacing w:after="0" w:line="240" w:lineRule="auto"/>
        <w:jc w:val="both"/>
        <w:rPr>
          <w:rFonts w:ascii="Times New Roman" w:hAnsi="Times New Roman" w:cs="Times New Roman"/>
          <w:color w:val="FF0000"/>
        </w:rPr>
      </w:pPr>
    </w:p>
    <w:p w14:paraId="35D9CD17" w14:textId="77777777" w:rsidR="00322670" w:rsidRDefault="00322670" w:rsidP="00322670">
      <w:pPr>
        <w:spacing w:after="0" w:line="240" w:lineRule="auto"/>
        <w:jc w:val="both"/>
        <w:rPr>
          <w:rFonts w:ascii="Times New Roman" w:hAnsi="Times New Roman" w:cs="Times New Roman"/>
          <w:color w:val="FF0000"/>
        </w:rPr>
      </w:pPr>
    </w:p>
    <w:p w14:paraId="7F9DB60E" w14:textId="77777777" w:rsidR="00322670" w:rsidRDefault="00322670" w:rsidP="00322670">
      <w:pPr>
        <w:spacing w:after="0" w:line="240" w:lineRule="auto"/>
        <w:jc w:val="both"/>
        <w:rPr>
          <w:rFonts w:ascii="Times New Roman" w:hAnsi="Times New Roman" w:cs="Times New Roman"/>
          <w:color w:val="FF0000"/>
        </w:rPr>
      </w:pPr>
    </w:p>
    <w:p w14:paraId="605E3AF5" w14:textId="77777777" w:rsidR="00322670" w:rsidRDefault="00322670" w:rsidP="00322670">
      <w:pPr>
        <w:spacing w:after="0" w:line="240" w:lineRule="auto"/>
        <w:jc w:val="both"/>
        <w:rPr>
          <w:rFonts w:ascii="Times New Roman" w:hAnsi="Times New Roman" w:cs="Times New Roman"/>
          <w:color w:val="FF0000"/>
        </w:rPr>
      </w:pPr>
    </w:p>
    <w:p w14:paraId="1A08BD38" w14:textId="77777777" w:rsidR="00322670" w:rsidRDefault="00322670" w:rsidP="00322670">
      <w:pPr>
        <w:spacing w:after="0" w:line="240" w:lineRule="auto"/>
        <w:jc w:val="both"/>
        <w:rPr>
          <w:rFonts w:ascii="Times New Roman" w:hAnsi="Times New Roman" w:cs="Times New Roman"/>
          <w:color w:val="FF0000"/>
        </w:rPr>
      </w:pPr>
    </w:p>
    <w:p w14:paraId="5C4FDC9E" w14:textId="77777777" w:rsidR="00322670" w:rsidRDefault="00322670" w:rsidP="00322670">
      <w:pPr>
        <w:spacing w:after="0" w:line="240" w:lineRule="auto"/>
        <w:jc w:val="both"/>
        <w:rPr>
          <w:rFonts w:ascii="Times New Roman" w:hAnsi="Times New Roman" w:cs="Times New Roman"/>
          <w:color w:val="FF0000"/>
        </w:rPr>
      </w:pPr>
    </w:p>
    <w:p w14:paraId="7ECF79FA" w14:textId="77777777" w:rsidR="00322670" w:rsidRPr="00CB2A73" w:rsidRDefault="00322670" w:rsidP="00322670">
      <w:pPr>
        <w:spacing w:after="0" w:line="240" w:lineRule="auto"/>
        <w:jc w:val="both"/>
        <w:rPr>
          <w:rFonts w:ascii="Times New Roman" w:hAnsi="Times New Roman" w:cs="Times New Roman"/>
          <w:sz w:val="16"/>
          <w:lang w:val="en-US"/>
        </w:rPr>
      </w:pPr>
      <w:r w:rsidRPr="00CB2A73">
        <w:rPr>
          <w:rFonts w:ascii="Times New Roman" w:hAnsi="Times New Roman" w:cs="Times New Roman"/>
          <w:sz w:val="16"/>
          <w:lang w:val="en-US"/>
        </w:rPr>
        <w:t>Fuente: FMI, World Economic Outlook, abril 2021.</w:t>
      </w:r>
    </w:p>
    <w:p w14:paraId="78877131" w14:textId="77777777" w:rsidR="00322670" w:rsidRPr="00337CAD" w:rsidRDefault="00322670" w:rsidP="00322670">
      <w:pPr>
        <w:spacing w:after="0" w:line="240" w:lineRule="auto"/>
        <w:jc w:val="both"/>
        <w:rPr>
          <w:rFonts w:ascii="Times New Roman" w:hAnsi="Times New Roman" w:cs="Times New Roman"/>
          <w:color w:val="FF0000"/>
          <w:lang w:val="en-US"/>
        </w:rPr>
      </w:pPr>
    </w:p>
    <w:p w14:paraId="7F0E4AED" w14:textId="77777777" w:rsidR="00322670" w:rsidRPr="0087704A" w:rsidRDefault="00322670" w:rsidP="001032E7">
      <w:pPr>
        <w:pStyle w:val="Ttulo2"/>
        <w:numPr>
          <w:ilvl w:val="3"/>
          <w:numId w:val="28"/>
        </w:numPr>
        <w:tabs>
          <w:tab w:val="left" w:pos="851"/>
        </w:tabs>
        <w:spacing w:before="0"/>
        <w:ind w:left="851" w:hanging="360"/>
        <w:rPr>
          <w:rFonts w:ascii="Times New Roman" w:hAnsi="Times New Roman" w:cs="Times New Roman"/>
          <w:color w:val="auto"/>
          <w:lang w:val="es-GT"/>
        </w:rPr>
      </w:pPr>
      <w:bookmarkStart w:id="550" w:name="_Toc16154995"/>
      <w:bookmarkStart w:id="551" w:name="_Toc48296561"/>
      <w:bookmarkStart w:id="552" w:name="_Toc69803308"/>
      <w:r w:rsidRPr="00337CAD">
        <w:rPr>
          <w:rFonts w:ascii="Times New Roman" w:hAnsi="Times New Roman" w:cs="Times New Roman"/>
          <w:color w:val="auto"/>
          <w:lang w:val="en-US"/>
        </w:rPr>
        <w:t xml:space="preserve"> </w:t>
      </w:r>
      <w:bookmarkStart w:id="553" w:name="_Toc72489388"/>
      <w:bookmarkStart w:id="554" w:name="_Toc81571871"/>
      <w:r w:rsidRPr="0087704A">
        <w:rPr>
          <w:rFonts w:ascii="Times New Roman" w:hAnsi="Times New Roman" w:cs="Times New Roman"/>
          <w:color w:val="auto"/>
          <w:lang w:val="es-GT"/>
        </w:rPr>
        <w:t>Inflación externa</w:t>
      </w:r>
      <w:bookmarkEnd w:id="550"/>
      <w:bookmarkEnd w:id="551"/>
      <w:bookmarkEnd w:id="552"/>
      <w:bookmarkEnd w:id="553"/>
      <w:bookmarkEnd w:id="554"/>
    </w:p>
    <w:p w14:paraId="625D561D" w14:textId="77777777" w:rsidR="00322670" w:rsidRPr="0062341C" w:rsidRDefault="00322670" w:rsidP="00322670">
      <w:pPr>
        <w:spacing w:after="0" w:line="240" w:lineRule="auto"/>
        <w:rPr>
          <w:rFonts w:ascii="Times New Roman" w:hAnsi="Times New Roman" w:cs="Times New Roman"/>
          <w:color w:val="FF0000"/>
        </w:rPr>
      </w:pPr>
    </w:p>
    <w:p w14:paraId="31BD85A8" w14:textId="77777777" w:rsidR="00322670" w:rsidRPr="008B6BB3" w:rsidRDefault="00322670" w:rsidP="00322670">
      <w:pPr>
        <w:spacing w:after="0" w:line="240" w:lineRule="auto"/>
        <w:jc w:val="both"/>
        <w:rPr>
          <w:rFonts w:ascii="Times New Roman" w:hAnsi="Times New Roman" w:cs="Times New Roman"/>
          <w:lang w:val="es-MX"/>
        </w:rPr>
      </w:pPr>
      <w:r>
        <w:rPr>
          <w:rFonts w:ascii="Times New Roman" w:hAnsi="Times New Roman" w:cs="Times New Roman"/>
          <w:lang w:val="es-MX"/>
        </w:rPr>
        <w:t>La tasa de inflación mundial podría ubicarse en 3.2% en 2022 y mantenerse muy cercano a ese nivel hasta 2026. En las economías avanzadas se</w:t>
      </w:r>
      <w:r w:rsidRPr="008B6BB3">
        <w:rPr>
          <w:rFonts w:ascii="Times New Roman" w:hAnsi="Times New Roman" w:cs="Times New Roman"/>
          <w:lang w:val="es-MX"/>
        </w:rPr>
        <w:t xml:space="preserve"> prevé un aumento en la tasa de inflación de 1.7% y para las economías de mercados emergentes y en desarrollo de 4.4% (excluyendo Venezuela).  Estados Unidos podría ubicarse en 2.4% por arriba d</w:t>
      </w:r>
      <w:r>
        <w:rPr>
          <w:rFonts w:ascii="Times New Roman" w:hAnsi="Times New Roman" w:cs="Times New Roman"/>
          <w:lang w:val="es-MX"/>
        </w:rPr>
        <w:t>el objetivo planteado por la Reserva Federal</w:t>
      </w:r>
      <w:r w:rsidRPr="008B6BB3">
        <w:rPr>
          <w:rFonts w:ascii="Times New Roman" w:hAnsi="Times New Roman" w:cs="Times New Roman"/>
          <w:lang w:val="es-MX"/>
        </w:rPr>
        <w:t xml:space="preserve"> de 2.0%; para la zona del euro se espera una tasa de inflación de 1.2% y para Japón 0.7%.</w:t>
      </w:r>
      <w:r>
        <w:rPr>
          <w:rFonts w:ascii="Times New Roman" w:hAnsi="Times New Roman" w:cs="Times New Roman"/>
          <w:lang w:val="es-MX"/>
        </w:rPr>
        <w:t xml:space="preserve"> </w:t>
      </w:r>
      <w:r w:rsidRPr="008B6BB3">
        <w:rPr>
          <w:rFonts w:ascii="Times New Roman" w:hAnsi="Times New Roman" w:cs="Times New Roman"/>
          <w:lang w:val="es-MX"/>
        </w:rPr>
        <w:t xml:space="preserve"> </w:t>
      </w:r>
      <w:r>
        <w:rPr>
          <w:rFonts w:ascii="Times New Roman" w:hAnsi="Times New Roman" w:cs="Times New Roman"/>
          <w:lang w:val="es-MX"/>
        </w:rPr>
        <w:t>Dichos resultados se atribuyen</w:t>
      </w:r>
      <w:r w:rsidRPr="008B6BB3">
        <w:rPr>
          <w:rFonts w:ascii="Times New Roman" w:hAnsi="Times New Roman" w:cs="Times New Roman"/>
          <w:lang w:val="es-MX"/>
        </w:rPr>
        <w:t xml:space="preserve"> a la recuperación de la demanda, </w:t>
      </w:r>
      <w:r>
        <w:rPr>
          <w:rFonts w:ascii="Times New Roman" w:hAnsi="Times New Roman" w:cs="Times New Roman"/>
          <w:lang w:val="es-MX"/>
        </w:rPr>
        <w:t>la mejora en</w:t>
      </w:r>
      <w:r w:rsidRPr="008B6BB3">
        <w:rPr>
          <w:rFonts w:ascii="Times New Roman" w:hAnsi="Times New Roman" w:cs="Times New Roman"/>
          <w:lang w:val="es-MX"/>
        </w:rPr>
        <w:t xml:space="preserve"> las condiciones económicas y a la prioridad de la mayoría de los bancos centrales en tener las expectativas de inflación ancladas.</w:t>
      </w:r>
    </w:p>
    <w:p w14:paraId="4EBD3FD1" w14:textId="77777777" w:rsidR="00322670" w:rsidRPr="008B6BB3" w:rsidRDefault="00322670" w:rsidP="00322670">
      <w:pPr>
        <w:spacing w:after="0" w:line="240" w:lineRule="auto"/>
        <w:jc w:val="both"/>
        <w:rPr>
          <w:rFonts w:ascii="Times New Roman" w:hAnsi="Times New Roman" w:cs="Times New Roman"/>
          <w:lang w:val="es-MX"/>
        </w:rPr>
      </w:pPr>
    </w:p>
    <w:p w14:paraId="4D462132" w14:textId="77777777" w:rsidR="00322670" w:rsidRDefault="00322670" w:rsidP="00322670">
      <w:pPr>
        <w:spacing w:after="0" w:line="240" w:lineRule="auto"/>
        <w:jc w:val="both"/>
        <w:rPr>
          <w:rFonts w:ascii="Times New Roman" w:hAnsi="Times New Roman" w:cs="Times New Roman"/>
          <w:lang w:val="es-MX"/>
        </w:rPr>
      </w:pPr>
      <w:r w:rsidRPr="008B6BB3">
        <w:rPr>
          <w:rFonts w:ascii="Times New Roman" w:hAnsi="Times New Roman" w:cs="Times New Roman"/>
          <w:lang w:val="es-MX"/>
        </w:rPr>
        <w:t xml:space="preserve">Las posibilidades de que la inflación supere las expectativas temporalmente o de que inicie una tendencia al alza a mediano plazo tienen implicaciones tales como, la credibilidad de los marcos de política monetaria y de la reacción de las autoridades a una presión inflacionaria creciente. </w:t>
      </w:r>
      <w:r>
        <w:rPr>
          <w:rFonts w:ascii="Times New Roman" w:hAnsi="Times New Roman" w:cs="Times New Roman"/>
          <w:lang w:val="es-MX"/>
        </w:rPr>
        <w:t xml:space="preserve"> De acuerdo al Banco Mundial, existe un riesgo de una mayor inflación</w:t>
      </w:r>
      <w:r w:rsidRPr="00637AF7">
        <w:rPr>
          <w:rFonts w:ascii="Times New Roman" w:hAnsi="Times New Roman" w:cs="Times New Roman"/>
          <w:lang w:val="es-MX"/>
        </w:rPr>
        <w:t xml:space="preserve"> </w:t>
      </w:r>
      <w:r>
        <w:rPr>
          <w:rFonts w:ascii="Times New Roman" w:hAnsi="Times New Roman" w:cs="Times New Roman"/>
          <w:lang w:val="es-MX"/>
        </w:rPr>
        <w:t xml:space="preserve">en </w:t>
      </w:r>
      <w:r w:rsidRPr="00637AF7">
        <w:rPr>
          <w:rFonts w:ascii="Times New Roman" w:hAnsi="Times New Roman" w:cs="Times New Roman"/>
          <w:lang w:val="es-MX"/>
        </w:rPr>
        <w:t>algunas reg</w:t>
      </w:r>
      <w:r>
        <w:rPr>
          <w:rFonts w:ascii="Times New Roman" w:hAnsi="Times New Roman" w:cs="Times New Roman"/>
          <w:lang w:val="es-MX"/>
        </w:rPr>
        <w:t xml:space="preserve">iones como América Latina, África y Oriente medio si las recientes alzas en los precios mundiales de los alimentos se transmiten a mercados domésticos. </w:t>
      </w:r>
    </w:p>
    <w:p w14:paraId="16746710" w14:textId="77777777" w:rsidR="00322670" w:rsidRDefault="00322670" w:rsidP="00322670">
      <w:pPr>
        <w:spacing w:after="0" w:line="240" w:lineRule="auto"/>
        <w:jc w:val="both"/>
        <w:rPr>
          <w:rFonts w:ascii="Times New Roman" w:hAnsi="Times New Roman" w:cs="Times New Roman"/>
          <w:lang w:val="es-MX"/>
        </w:rPr>
      </w:pPr>
    </w:p>
    <w:p w14:paraId="0AA299DF" w14:textId="77777777" w:rsidR="00322670" w:rsidRDefault="00322670" w:rsidP="00322670">
      <w:pPr>
        <w:spacing w:after="0" w:line="240" w:lineRule="auto"/>
        <w:jc w:val="both"/>
        <w:rPr>
          <w:rFonts w:ascii="Times New Roman" w:hAnsi="Times New Roman" w:cs="Times New Roman"/>
          <w:lang w:val="es-MX"/>
        </w:rPr>
      </w:pPr>
      <w:r>
        <w:rPr>
          <w:rFonts w:ascii="Times New Roman" w:hAnsi="Times New Roman" w:cs="Times New Roman"/>
          <w:lang w:val="es-MX"/>
        </w:rPr>
        <w:t xml:space="preserve"> En América Latina la escalada de la inflación en la mayoría de los países de la región, principalmente Brasil, Chile y México, se atribuye al alza en los precios internacionales de los alimentos y el petróleo, y a las interrupciones en los procesos productivos internos </w:t>
      </w:r>
      <w:r w:rsidRPr="00F52FF7">
        <w:rPr>
          <w:rFonts w:ascii="Times New Roman" w:hAnsi="Times New Roman" w:cs="Times New Roman"/>
          <w:lang w:val="es-MX"/>
        </w:rPr>
        <w:t>causadas por la persistencia de la epidemia, lo cual limita la oferta de bienes y servicios</w:t>
      </w:r>
      <w:r>
        <w:rPr>
          <w:rFonts w:ascii="Times New Roman" w:hAnsi="Times New Roman" w:cs="Times New Roman"/>
          <w:lang w:val="es-MX"/>
        </w:rPr>
        <w:t>.</w:t>
      </w:r>
    </w:p>
    <w:p w14:paraId="1AF5B750" w14:textId="77777777" w:rsidR="00322670" w:rsidRDefault="00322670" w:rsidP="00322670">
      <w:pPr>
        <w:spacing w:after="0" w:line="240" w:lineRule="auto"/>
        <w:jc w:val="both"/>
        <w:rPr>
          <w:rFonts w:ascii="Times New Roman" w:hAnsi="Times New Roman" w:cs="Times New Roman"/>
          <w:lang w:val="es-MX"/>
        </w:rPr>
      </w:pPr>
    </w:p>
    <w:p w14:paraId="5F862D7C" w14:textId="6FF905C3" w:rsidR="00322670" w:rsidRPr="002E0485" w:rsidRDefault="00322670" w:rsidP="00C027A7">
      <w:pPr>
        <w:pStyle w:val="Epgrafe"/>
        <w:jc w:val="center"/>
        <w:rPr>
          <w:rFonts w:ascii="Times New Roman" w:hAnsi="Times New Roman" w:cs="Times New Roman"/>
          <w:b/>
          <w:bCs/>
          <w:i w:val="0"/>
          <w:iCs w:val="0"/>
          <w:color w:val="auto"/>
          <w:sz w:val="22"/>
          <w:szCs w:val="20"/>
        </w:rPr>
      </w:pPr>
      <w:bookmarkStart w:id="555" w:name="_Toc81573071"/>
      <w:r w:rsidRPr="00C027A7">
        <w:rPr>
          <w:rFonts w:ascii="Times New Roman" w:hAnsi="Times New Roman" w:cs="Times New Roman"/>
          <w:b/>
          <w:noProof/>
          <w:color w:val="auto"/>
          <w:sz w:val="20"/>
          <w:lang w:val="es-ES" w:eastAsia="es-ES"/>
        </w:rPr>
        <w:drawing>
          <wp:anchor distT="0" distB="0" distL="114300" distR="114300" simplePos="0" relativeHeight="251977216" behindDoc="0" locked="0" layoutInCell="1" allowOverlap="1" wp14:anchorId="50B52EBB" wp14:editId="645F3B97">
            <wp:simplePos x="0" y="0"/>
            <wp:positionH relativeFrom="column">
              <wp:posOffset>-3810</wp:posOffset>
            </wp:positionH>
            <wp:positionV relativeFrom="paragraph">
              <wp:posOffset>205105</wp:posOffset>
            </wp:positionV>
            <wp:extent cx="5612130" cy="2095500"/>
            <wp:effectExtent l="0" t="0" r="7620" b="0"/>
            <wp:wrapNone/>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C027A7" w:rsidRPr="00C027A7">
        <w:rPr>
          <w:rFonts w:ascii="Times New Roman" w:hAnsi="Times New Roman" w:cs="Times New Roman"/>
          <w:b/>
          <w:color w:val="auto"/>
          <w:sz w:val="20"/>
        </w:rPr>
        <w:t xml:space="preserve">Gráfico </w:t>
      </w:r>
      <w:r w:rsidR="00C027A7" w:rsidRPr="00C027A7">
        <w:rPr>
          <w:rFonts w:ascii="Times New Roman" w:hAnsi="Times New Roman" w:cs="Times New Roman"/>
          <w:b/>
          <w:color w:val="auto"/>
          <w:sz w:val="20"/>
        </w:rPr>
        <w:fldChar w:fldCharType="begin"/>
      </w:r>
      <w:r w:rsidR="00C027A7" w:rsidRPr="00C027A7">
        <w:rPr>
          <w:rFonts w:ascii="Times New Roman" w:hAnsi="Times New Roman" w:cs="Times New Roman"/>
          <w:b/>
          <w:color w:val="auto"/>
          <w:sz w:val="20"/>
        </w:rPr>
        <w:instrText xml:space="preserve"> SEQ Gráfico \* ARABIC </w:instrText>
      </w:r>
      <w:r w:rsidR="00C027A7" w:rsidRPr="00C027A7">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21</w:t>
      </w:r>
      <w:r w:rsidR="00C027A7" w:rsidRPr="00C027A7">
        <w:rPr>
          <w:rFonts w:ascii="Times New Roman" w:hAnsi="Times New Roman" w:cs="Times New Roman"/>
          <w:b/>
          <w:color w:val="auto"/>
          <w:sz w:val="20"/>
        </w:rPr>
        <w:fldChar w:fldCharType="end"/>
      </w:r>
      <w:r w:rsidRPr="002E0485">
        <w:rPr>
          <w:color w:val="auto"/>
          <w:sz w:val="20"/>
        </w:rPr>
        <w:t xml:space="preserve"> </w:t>
      </w:r>
      <w:r>
        <w:rPr>
          <w:rFonts w:ascii="Times New Roman" w:hAnsi="Times New Roman" w:cs="Times New Roman"/>
          <w:b/>
          <w:bCs/>
          <w:i w:val="0"/>
          <w:iCs w:val="0"/>
          <w:color w:val="auto"/>
          <w:sz w:val="22"/>
          <w:szCs w:val="20"/>
        </w:rPr>
        <w:t>Inflación</w:t>
      </w:r>
      <w:r w:rsidRPr="002E0485">
        <w:rPr>
          <w:rFonts w:ascii="Times New Roman" w:hAnsi="Times New Roman" w:cs="Times New Roman"/>
          <w:b/>
          <w:bCs/>
          <w:i w:val="0"/>
          <w:iCs w:val="0"/>
          <w:color w:val="auto"/>
          <w:sz w:val="22"/>
          <w:szCs w:val="20"/>
        </w:rPr>
        <w:t xml:space="preserve">, </w:t>
      </w:r>
      <w:r>
        <w:rPr>
          <w:rFonts w:ascii="Times New Roman" w:hAnsi="Times New Roman" w:cs="Times New Roman"/>
          <w:b/>
          <w:bCs/>
          <w:i w:val="0"/>
          <w:iCs w:val="0"/>
          <w:color w:val="auto"/>
          <w:sz w:val="22"/>
          <w:szCs w:val="20"/>
        </w:rPr>
        <w:t>promedio de precios al consumidor 2022-2026</w:t>
      </w:r>
      <w:bookmarkEnd w:id="555"/>
    </w:p>
    <w:p w14:paraId="398BDB71" w14:textId="77777777" w:rsidR="00322670" w:rsidRDefault="00322670" w:rsidP="00322670">
      <w:pPr>
        <w:rPr>
          <w:rFonts w:ascii="Times New Roman" w:hAnsi="Times New Roman" w:cs="Times New Roman"/>
          <w:b/>
          <w:color w:val="FF0000"/>
        </w:rPr>
      </w:pPr>
    </w:p>
    <w:p w14:paraId="456E5F62" w14:textId="77777777" w:rsidR="00322670" w:rsidRDefault="00322670" w:rsidP="00322670">
      <w:pPr>
        <w:rPr>
          <w:rFonts w:ascii="Times New Roman" w:hAnsi="Times New Roman" w:cs="Times New Roman"/>
          <w:b/>
          <w:color w:val="FF0000"/>
        </w:rPr>
      </w:pPr>
    </w:p>
    <w:p w14:paraId="364E0A91" w14:textId="77777777" w:rsidR="00322670" w:rsidRDefault="00322670" w:rsidP="00322670">
      <w:pPr>
        <w:rPr>
          <w:rFonts w:ascii="Times New Roman" w:hAnsi="Times New Roman" w:cs="Times New Roman"/>
          <w:b/>
          <w:color w:val="FF0000"/>
        </w:rPr>
      </w:pPr>
    </w:p>
    <w:p w14:paraId="6AF83FF4" w14:textId="77777777" w:rsidR="00322670" w:rsidRDefault="00322670" w:rsidP="00322670">
      <w:pPr>
        <w:rPr>
          <w:rFonts w:ascii="Times New Roman" w:hAnsi="Times New Roman" w:cs="Times New Roman"/>
          <w:b/>
          <w:color w:val="FF0000"/>
        </w:rPr>
      </w:pPr>
    </w:p>
    <w:p w14:paraId="50BA6754" w14:textId="77777777" w:rsidR="00322670" w:rsidRDefault="00322670" w:rsidP="00322670">
      <w:pPr>
        <w:rPr>
          <w:rFonts w:ascii="Times New Roman" w:hAnsi="Times New Roman" w:cs="Times New Roman"/>
          <w:b/>
          <w:color w:val="FF0000"/>
        </w:rPr>
      </w:pPr>
    </w:p>
    <w:p w14:paraId="1A1AECBE" w14:textId="77777777" w:rsidR="00322670" w:rsidRDefault="00322670" w:rsidP="00322670">
      <w:pPr>
        <w:rPr>
          <w:rFonts w:ascii="Times New Roman" w:hAnsi="Times New Roman" w:cs="Times New Roman"/>
          <w:b/>
          <w:color w:val="FF0000"/>
        </w:rPr>
      </w:pPr>
    </w:p>
    <w:p w14:paraId="15F8E5BB" w14:textId="77777777" w:rsidR="00322670" w:rsidRDefault="00322670" w:rsidP="00322670">
      <w:pPr>
        <w:rPr>
          <w:rFonts w:ascii="Times New Roman" w:hAnsi="Times New Roman" w:cs="Times New Roman"/>
          <w:b/>
          <w:color w:val="FF0000"/>
        </w:rPr>
      </w:pPr>
    </w:p>
    <w:p w14:paraId="0891ECF6" w14:textId="77777777" w:rsidR="00322670" w:rsidRPr="000D5E27" w:rsidRDefault="00322670" w:rsidP="00322670">
      <w:pPr>
        <w:spacing w:after="0" w:line="240" w:lineRule="auto"/>
        <w:jc w:val="both"/>
        <w:rPr>
          <w:rFonts w:ascii="Times New Roman" w:hAnsi="Times New Roman" w:cs="Times New Roman"/>
          <w:sz w:val="16"/>
        </w:rPr>
      </w:pPr>
    </w:p>
    <w:p w14:paraId="613C4B6B" w14:textId="77777777" w:rsidR="00322670" w:rsidRPr="001101B9" w:rsidRDefault="00322670" w:rsidP="00322670">
      <w:pPr>
        <w:spacing w:after="0" w:line="240" w:lineRule="auto"/>
        <w:jc w:val="both"/>
        <w:rPr>
          <w:rFonts w:ascii="Times New Roman" w:hAnsi="Times New Roman" w:cs="Times New Roman"/>
          <w:sz w:val="16"/>
          <w:lang w:val="en-US"/>
        </w:rPr>
      </w:pPr>
      <w:r w:rsidRPr="00CB2A73">
        <w:rPr>
          <w:rFonts w:ascii="Times New Roman" w:hAnsi="Times New Roman" w:cs="Times New Roman"/>
          <w:sz w:val="16"/>
          <w:lang w:val="en-US"/>
        </w:rPr>
        <w:t>Fuente: FMI, World Economic Outlook, abril 2021.</w:t>
      </w:r>
    </w:p>
    <w:p w14:paraId="61262E99" w14:textId="77777777" w:rsidR="00322670" w:rsidRPr="00337CAD" w:rsidRDefault="00322670" w:rsidP="00322670">
      <w:pPr>
        <w:pStyle w:val="Ttulo3"/>
        <w:tabs>
          <w:tab w:val="left" w:pos="1418"/>
          <w:tab w:val="left" w:pos="1843"/>
        </w:tabs>
        <w:spacing w:before="0" w:line="240" w:lineRule="auto"/>
        <w:ind w:left="1418"/>
        <w:rPr>
          <w:rFonts w:ascii="Times New Roman" w:hAnsi="Times New Roman" w:cs="Times New Roman"/>
          <w:b/>
          <w:color w:val="FF0000"/>
          <w:sz w:val="22"/>
          <w:lang w:val="en-US"/>
        </w:rPr>
      </w:pPr>
    </w:p>
    <w:p w14:paraId="10D67E8C" w14:textId="77777777" w:rsidR="00322670" w:rsidRPr="0087704A" w:rsidRDefault="00322670" w:rsidP="001032E7">
      <w:pPr>
        <w:pStyle w:val="Ttulo2"/>
        <w:numPr>
          <w:ilvl w:val="3"/>
          <w:numId w:val="28"/>
        </w:numPr>
        <w:tabs>
          <w:tab w:val="left" w:pos="851"/>
        </w:tabs>
        <w:spacing w:before="0"/>
        <w:ind w:left="851" w:hanging="360"/>
        <w:rPr>
          <w:rFonts w:ascii="Times New Roman" w:hAnsi="Times New Roman" w:cs="Times New Roman"/>
          <w:color w:val="auto"/>
          <w:lang w:val="es-GT"/>
        </w:rPr>
      </w:pPr>
      <w:bookmarkStart w:id="556" w:name="_Toc48296562"/>
      <w:bookmarkStart w:id="557" w:name="_Toc69803309"/>
      <w:r w:rsidRPr="00337CAD">
        <w:rPr>
          <w:rFonts w:ascii="Times New Roman" w:hAnsi="Times New Roman" w:cs="Times New Roman"/>
          <w:color w:val="auto"/>
          <w:lang w:val="en-US"/>
        </w:rPr>
        <w:t xml:space="preserve"> </w:t>
      </w:r>
      <w:bookmarkStart w:id="558" w:name="_Toc72489389"/>
      <w:bookmarkStart w:id="559" w:name="_Toc81571872"/>
      <w:r w:rsidRPr="0087704A">
        <w:rPr>
          <w:rFonts w:ascii="Times New Roman" w:hAnsi="Times New Roman" w:cs="Times New Roman"/>
          <w:color w:val="auto"/>
          <w:lang w:val="es-GT"/>
        </w:rPr>
        <w:t>Precio de los productos de materia prima</w:t>
      </w:r>
      <w:bookmarkEnd w:id="556"/>
      <w:bookmarkEnd w:id="557"/>
      <w:bookmarkEnd w:id="558"/>
      <w:bookmarkEnd w:id="559"/>
    </w:p>
    <w:p w14:paraId="0FC187F8" w14:textId="77777777" w:rsidR="00322670" w:rsidRPr="0062341C" w:rsidRDefault="00322670" w:rsidP="00322670">
      <w:pPr>
        <w:spacing w:after="0" w:line="240" w:lineRule="auto"/>
        <w:jc w:val="both"/>
        <w:rPr>
          <w:rFonts w:ascii="Times New Roman" w:hAnsi="Times New Roman" w:cs="Times New Roman"/>
          <w:color w:val="FF0000"/>
          <w:lang w:val="es-MX"/>
        </w:rPr>
      </w:pPr>
    </w:p>
    <w:p w14:paraId="0E89F709" w14:textId="77777777" w:rsidR="00322670" w:rsidRPr="00425656" w:rsidRDefault="00322670" w:rsidP="00322670">
      <w:pPr>
        <w:spacing w:after="0" w:line="240" w:lineRule="auto"/>
        <w:jc w:val="both"/>
        <w:rPr>
          <w:rFonts w:ascii="Times New Roman" w:hAnsi="Times New Roman" w:cs="Times New Roman"/>
          <w:lang w:val="es-MX"/>
        </w:rPr>
      </w:pPr>
      <w:r w:rsidRPr="00425656">
        <w:rPr>
          <w:rFonts w:ascii="Times New Roman" w:hAnsi="Times New Roman" w:cs="Times New Roman"/>
          <w:lang w:val="es-MX"/>
        </w:rPr>
        <w:t>Gracias al repunte de la actividad económica, así como a algunos factores específicos de la oferta, en particular en los sectores del petróleo, el cobre y algunos alimentos básicos, casi todos los precios de los productos básicos han superado los niveles previos a la pandemia.</w:t>
      </w:r>
      <w:r>
        <w:rPr>
          <w:rFonts w:ascii="Times New Roman" w:hAnsi="Times New Roman" w:cs="Times New Roman"/>
          <w:lang w:val="es-MX"/>
        </w:rPr>
        <w:t xml:space="preserve"> </w:t>
      </w:r>
      <w:r w:rsidRPr="00425656">
        <w:rPr>
          <w:rFonts w:ascii="Times New Roman" w:hAnsi="Times New Roman" w:cs="Times New Roman"/>
          <w:lang w:val="es-MX"/>
        </w:rPr>
        <w:t xml:space="preserve">Se estima que </w:t>
      </w:r>
      <w:r>
        <w:rPr>
          <w:rFonts w:ascii="Times New Roman" w:hAnsi="Times New Roman" w:cs="Times New Roman"/>
          <w:lang w:val="es-MX"/>
        </w:rPr>
        <w:t>en 2022</w:t>
      </w:r>
      <w:r w:rsidRPr="00425656">
        <w:rPr>
          <w:rFonts w:ascii="Times New Roman" w:hAnsi="Times New Roman" w:cs="Times New Roman"/>
          <w:lang w:val="es-MX"/>
        </w:rPr>
        <w:t xml:space="preserve"> los p</w:t>
      </w:r>
      <w:r>
        <w:rPr>
          <w:rFonts w:ascii="Times New Roman" w:hAnsi="Times New Roman" w:cs="Times New Roman"/>
          <w:lang w:val="es-MX"/>
        </w:rPr>
        <w:t>recios de la energía aumentarán en promedio</w:t>
      </w:r>
      <w:r w:rsidRPr="00425656">
        <w:rPr>
          <w:rFonts w:ascii="Times New Roman" w:hAnsi="Times New Roman" w:cs="Times New Roman"/>
          <w:lang w:val="es-MX"/>
        </w:rPr>
        <w:t xml:space="preserve"> más de un tercio</w:t>
      </w:r>
      <w:r>
        <w:rPr>
          <w:rFonts w:ascii="Times New Roman" w:hAnsi="Times New Roman" w:cs="Times New Roman"/>
          <w:lang w:val="es-MX"/>
        </w:rPr>
        <w:t xml:space="preserve"> respecto de los valores de 2021, y</w:t>
      </w:r>
      <w:r w:rsidRPr="00425656">
        <w:rPr>
          <w:rFonts w:ascii="Times New Roman" w:hAnsi="Times New Roman" w:cs="Times New Roman"/>
          <w:lang w:val="es-MX"/>
        </w:rPr>
        <w:t xml:space="preserve"> el petróleo se ubi</w:t>
      </w:r>
      <w:r>
        <w:rPr>
          <w:rFonts w:ascii="Times New Roman" w:hAnsi="Times New Roman" w:cs="Times New Roman"/>
          <w:lang w:val="es-MX"/>
        </w:rPr>
        <w:t>cará en un valor medio de US$ 60</w:t>
      </w:r>
      <w:r w:rsidRPr="00425656">
        <w:rPr>
          <w:rFonts w:ascii="Times New Roman" w:hAnsi="Times New Roman" w:cs="Times New Roman"/>
          <w:lang w:val="es-MX"/>
        </w:rPr>
        <w:t xml:space="preserve"> por barril</w:t>
      </w:r>
      <w:r>
        <w:rPr>
          <w:rFonts w:ascii="Times New Roman" w:hAnsi="Times New Roman" w:cs="Times New Roman"/>
          <w:lang w:val="es-MX"/>
        </w:rPr>
        <w:t>, en línea con su promedio del 2017-2019</w:t>
      </w:r>
      <w:r w:rsidRPr="00425656">
        <w:rPr>
          <w:rFonts w:ascii="Times New Roman" w:hAnsi="Times New Roman" w:cs="Times New Roman"/>
          <w:lang w:val="es-MX"/>
        </w:rPr>
        <w:t xml:space="preserve">. Se prevé que los precios </w:t>
      </w:r>
      <w:r>
        <w:rPr>
          <w:rFonts w:ascii="Times New Roman" w:hAnsi="Times New Roman" w:cs="Times New Roman"/>
          <w:lang w:val="es-MX"/>
        </w:rPr>
        <w:t>de los metales aumentarán un 30</w:t>
      </w:r>
      <w:r w:rsidRPr="00425656">
        <w:rPr>
          <w:rFonts w:ascii="Times New Roman" w:hAnsi="Times New Roman" w:cs="Times New Roman"/>
          <w:lang w:val="es-MX"/>
        </w:rPr>
        <w:t>%, en tanto que los precios de los productos agrícolas se incrementarán casi un 14%.</w:t>
      </w:r>
      <w:r>
        <w:rPr>
          <w:rFonts w:ascii="Times New Roman" w:hAnsi="Times New Roman" w:cs="Times New Roman"/>
          <w:lang w:val="es-MX"/>
        </w:rPr>
        <w:t xml:space="preserve">  El Banco Mundial indico que l</w:t>
      </w:r>
      <w:r w:rsidRPr="00CF7B33">
        <w:rPr>
          <w:rFonts w:ascii="Times New Roman" w:hAnsi="Times New Roman" w:cs="Times New Roman"/>
          <w:lang w:val="es-MX"/>
        </w:rPr>
        <w:t>os mercados y economías emergentes, que son tanto exportadores como importadores de materias primas, deberían fortalecer su resistencia de corto plazo y prepararse para la posibilidad de que la expansión vaya perdiendo impulso</w:t>
      </w:r>
      <w:r>
        <w:rPr>
          <w:rFonts w:ascii="Times New Roman" w:hAnsi="Times New Roman" w:cs="Times New Roman"/>
          <w:lang w:val="es-MX"/>
        </w:rPr>
        <w:t>.</w:t>
      </w:r>
    </w:p>
    <w:p w14:paraId="5DD6C1C0" w14:textId="77777777" w:rsidR="00322670" w:rsidRPr="0062341C" w:rsidRDefault="00322670" w:rsidP="00322670">
      <w:pPr>
        <w:spacing w:after="0" w:line="240" w:lineRule="auto"/>
        <w:jc w:val="both"/>
        <w:rPr>
          <w:rFonts w:ascii="Times New Roman" w:hAnsi="Times New Roman" w:cs="Times New Roman"/>
          <w:color w:val="FF0000"/>
          <w:lang w:val="es-MX"/>
        </w:rPr>
      </w:pPr>
    </w:p>
    <w:p w14:paraId="12D3C668" w14:textId="77777777" w:rsidR="00322670" w:rsidRPr="001A1F3E" w:rsidRDefault="00322670" w:rsidP="00322670">
      <w:pPr>
        <w:spacing w:after="0" w:line="240" w:lineRule="auto"/>
        <w:jc w:val="both"/>
        <w:rPr>
          <w:rFonts w:ascii="Times New Roman" w:hAnsi="Times New Roman" w:cs="Times New Roman"/>
          <w:lang w:val="es-MX"/>
        </w:rPr>
      </w:pPr>
      <w:r w:rsidRPr="00F52FF7">
        <w:rPr>
          <w:rFonts w:ascii="Times New Roman" w:hAnsi="Times New Roman" w:cs="Times New Roman"/>
          <w:lang w:val="es-MX"/>
        </w:rPr>
        <w:t xml:space="preserve">Los precios agrícolas podrían aumentar </w:t>
      </w:r>
      <w:r>
        <w:rPr>
          <w:rFonts w:ascii="Times New Roman" w:hAnsi="Times New Roman" w:cs="Times New Roman"/>
          <w:lang w:val="es-MX"/>
        </w:rPr>
        <w:t>14%</w:t>
      </w:r>
      <w:r w:rsidRPr="00F52FF7">
        <w:rPr>
          <w:rFonts w:ascii="Times New Roman" w:hAnsi="Times New Roman" w:cs="Times New Roman"/>
          <w:lang w:val="es-MX"/>
        </w:rPr>
        <w:t xml:space="preserve"> en 2022, en particular los de los productos alimentarios básicos, a raíz de la disminución de la oferta en América del Sur y la fuerte demanda de China. No obstante, la mayor parte de los mercados mundiales de alimentos básicos siguen estando adecuadamente abastecidos en comparación con los niveles históricos, y se prevé que los precios se estabilizarán en 2023.</w:t>
      </w:r>
      <w:r>
        <w:rPr>
          <w:rFonts w:ascii="Times New Roman" w:hAnsi="Times New Roman" w:cs="Times New Roman"/>
          <w:lang w:val="es-MX"/>
        </w:rPr>
        <w:t xml:space="preserve">  </w:t>
      </w:r>
      <w:r w:rsidRPr="001A1F3E">
        <w:rPr>
          <w:rFonts w:ascii="Times New Roman" w:hAnsi="Times New Roman" w:cs="Times New Roman"/>
          <w:lang w:val="es-MX"/>
        </w:rPr>
        <w:t>El uso de materias primas agrícolas en la producción de biocombustibles sigu</w:t>
      </w:r>
      <w:r>
        <w:rPr>
          <w:rFonts w:ascii="Times New Roman" w:hAnsi="Times New Roman" w:cs="Times New Roman"/>
          <w:lang w:val="es-MX"/>
        </w:rPr>
        <w:t xml:space="preserve">e siendo un </w:t>
      </w:r>
      <w:r w:rsidRPr="001A1F3E">
        <w:rPr>
          <w:rFonts w:ascii="Times New Roman" w:hAnsi="Times New Roman" w:cs="Times New Roman"/>
          <w:lang w:val="es-MX"/>
        </w:rPr>
        <w:t>componente importante de la demanda a largo plazo de los p</w:t>
      </w:r>
      <w:r>
        <w:rPr>
          <w:rFonts w:ascii="Times New Roman" w:hAnsi="Times New Roman" w:cs="Times New Roman"/>
          <w:lang w:val="es-MX"/>
        </w:rPr>
        <w:t xml:space="preserve">roductos agrícolas que mantiene </w:t>
      </w:r>
      <w:r w:rsidRPr="001A1F3E">
        <w:rPr>
          <w:rFonts w:ascii="Times New Roman" w:hAnsi="Times New Roman" w:cs="Times New Roman"/>
          <w:lang w:val="es-MX"/>
        </w:rPr>
        <w:t>los precios en niveles históricamente altos. En 2022, se prevé que la producción mundial de</w:t>
      </w:r>
    </w:p>
    <w:p w14:paraId="616F4D95" w14:textId="77777777" w:rsidR="00322670" w:rsidRDefault="00322670" w:rsidP="00322670">
      <w:pPr>
        <w:spacing w:after="0" w:line="240" w:lineRule="auto"/>
        <w:jc w:val="both"/>
        <w:rPr>
          <w:rFonts w:ascii="Times New Roman" w:hAnsi="Times New Roman" w:cs="Times New Roman"/>
          <w:lang w:val="es-MX"/>
        </w:rPr>
      </w:pPr>
      <w:r w:rsidRPr="001A1F3E">
        <w:rPr>
          <w:rFonts w:ascii="Times New Roman" w:hAnsi="Times New Roman" w:cs="Times New Roman"/>
          <w:lang w:val="es-MX"/>
        </w:rPr>
        <w:t>etanol aumente casi 70% r</w:t>
      </w:r>
      <w:r>
        <w:rPr>
          <w:rFonts w:ascii="Times New Roman" w:hAnsi="Times New Roman" w:cs="Times New Roman"/>
          <w:lang w:val="es-MX"/>
        </w:rPr>
        <w:t>especto a la media de 2010-2012.</w:t>
      </w:r>
      <w:r w:rsidRPr="001A1F3E">
        <w:rPr>
          <w:rFonts w:ascii="Times New Roman" w:hAnsi="Times New Roman" w:cs="Times New Roman"/>
          <w:lang w:val="es-MX"/>
        </w:rPr>
        <w:t xml:space="preserve"> </w:t>
      </w:r>
      <w:r>
        <w:rPr>
          <w:rFonts w:ascii="Times New Roman" w:hAnsi="Times New Roman" w:cs="Times New Roman"/>
          <w:lang w:val="es-MX"/>
        </w:rPr>
        <w:t xml:space="preserve"> </w:t>
      </w:r>
      <w:r w:rsidRPr="001A1F3E">
        <w:rPr>
          <w:rFonts w:ascii="Times New Roman" w:hAnsi="Times New Roman" w:cs="Times New Roman"/>
          <w:lang w:val="es-MX"/>
        </w:rPr>
        <w:t>Se espera que los tres principal</w:t>
      </w:r>
      <w:r>
        <w:rPr>
          <w:rFonts w:ascii="Times New Roman" w:hAnsi="Times New Roman" w:cs="Times New Roman"/>
          <w:lang w:val="es-MX"/>
        </w:rPr>
        <w:t xml:space="preserve">es productores continúen siendo </w:t>
      </w:r>
      <w:r w:rsidRPr="001A1F3E">
        <w:rPr>
          <w:rFonts w:ascii="Times New Roman" w:hAnsi="Times New Roman" w:cs="Times New Roman"/>
          <w:lang w:val="es-MX"/>
        </w:rPr>
        <w:t>Estados Unidos de América, Brasil y la Unión Europea. Para l</w:t>
      </w:r>
      <w:r>
        <w:rPr>
          <w:rFonts w:ascii="Times New Roman" w:hAnsi="Times New Roman" w:cs="Times New Roman"/>
          <w:lang w:val="es-MX"/>
        </w:rPr>
        <w:t xml:space="preserve">a producción de biocombustibles </w:t>
      </w:r>
      <w:r w:rsidRPr="001A1F3E">
        <w:rPr>
          <w:rFonts w:ascii="Times New Roman" w:hAnsi="Times New Roman" w:cs="Times New Roman"/>
          <w:lang w:val="es-MX"/>
        </w:rPr>
        <w:t xml:space="preserve">se proyecta el consumo de una creciente participación en la producción </w:t>
      </w:r>
      <w:r>
        <w:rPr>
          <w:rFonts w:ascii="Times New Roman" w:hAnsi="Times New Roman" w:cs="Times New Roman"/>
          <w:lang w:val="es-MX"/>
        </w:rPr>
        <w:t xml:space="preserve">mundial de caña de </w:t>
      </w:r>
      <w:r w:rsidRPr="001A1F3E">
        <w:rPr>
          <w:rFonts w:ascii="Times New Roman" w:hAnsi="Times New Roman" w:cs="Times New Roman"/>
          <w:lang w:val="es-MX"/>
        </w:rPr>
        <w:t>azúcar (29%), aceite vegetal (15%), y cereales secundarios (12%) en 2022.</w:t>
      </w:r>
    </w:p>
    <w:p w14:paraId="06004A1D" w14:textId="77777777" w:rsidR="00322670" w:rsidRDefault="00322670" w:rsidP="00322670">
      <w:pPr>
        <w:spacing w:after="0" w:line="240" w:lineRule="auto"/>
        <w:jc w:val="both"/>
        <w:rPr>
          <w:rFonts w:ascii="Times New Roman" w:hAnsi="Times New Roman" w:cs="Times New Roman"/>
          <w:lang w:val="es-MX"/>
        </w:rPr>
      </w:pPr>
    </w:p>
    <w:p w14:paraId="5427ED1C" w14:textId="77777777" w:rsidR="00322670" w:rsidRPr="00D02C30" w:rsidRDefault="00322670" w:rsidP="00322670">
      <w:pPr>
        <w:spacing w:after="0" w:line="240" w:lineRule="auto"/>
        <w:jc w:val="both"/>
        <w:rPr>
          <w:rFonts w:ascii="Times New Roman" w:hAnsi="Times New Roman" w:cs="Times New Roman"/>
          <w:lang w:val="es-MX"/>
        </w:rPr>
      </w:pPr>
      <w:r>
        <w:rPr>
          <w:rFonts w:ascii="Times New Roman" w:hAnsi="Times New Roman" w:cs="Times New Roman"/>
          <w:lang w:val="es-MX"/>
        </w:rPr>
        <w:t xml:space="preserve"> </w:t>
      </w:r>
      <w:r w:rsidRPr="00D02C30">
        <w:rPr>
          <w:rFonts w:ascii="Times New Roman" w:hAnsi="Times New Roman" w:cs="Times New Roman"/>
          <w:lang w:val="es-MX"/>
        </w:rPr>
        <w:t>Es posible que en 2022</w:t>
      </w:r>
      <w:r w:rsidRPr="00D02C30">
        <w:t xml:space="preserve"> </w:t>
      </w:r>
      <w:r w:rsidRPr="00D02C30">
        <w:rPr>
          <w:rFonts w:ascii="Times New Roman" w:hAnsi="Times New Roman" w:cs="Times New Roman"/>
          <w:lang w:val="es-MX"/>
        </w:rPr>
        <w:t>los metales muestren un aumento de precios de 30%, atribuido por el crecimiento basado en los estímulos principalmente. Se proyecta que los precios del cobre promedien un alza de 38%, ante la fuerte demanda de materiales de construcción y bienes de consumo.</w:t>
      </w:r>
    </w:p>
    <w:p w14:paraId="1AC03C51" w14:textId="77777777" w:rsidR="00322670" w:rsidRDefault="00322670" w:rsidP="00322670">
      <w:pPr>
        <w:spacing w:after="0" w:line="240" w:lineRule="auto"/>
        <w:jc w:val="both"/>
        <w:rPr>
          <w:rFonts w:ascii="Times New Roman" w:hAnsi="Times New Roman" w:cs="Times New Roman"/>
          <w:color w:val="FF0000"/>
          <w:lang w:val="es-MX"/>
        </w:rPr>
      </w:pPr>
    </w:p>
    <w:p w14:paraId="5BD6AD8A" w14:textId="77777777" w:rsidR="00322670" w:rsidRDefault="00322670" w:rsidP="00322670">
      <w:pPr>
        <w:spacing w:after="0" w:line="240" w:lineRule="auto"/>
        <w:jc w:val="both"/>
        <w:rPr>
          <w:rFonts w:ascii="Times New Roman" w:hAnsi="Times New Roman" w:cs="Times New Roman"/>
          <w:color w:val="FF0000"/>
          <w:lang w:val="es-MX"/>
        </w:rPr>
      </w:pPr>
      <w:r w:rsidRPr="00B702AD">
        <w:rPr>
          <w:rFonts w:ascii="Times New Roman" w:hAnsi="Times New Roman" w:cs="Times New Roman"/>
          <w:lang w:val="es-MX"/>
        </w:rPr>
        <w:t>El precio del petróleo luego del colapso masivo del comercio mundial en 2020</w:t>
      </w:r>
      <w:r>
        <w:rPr>
          <w:rFonts w:ascii="Times New Roman" w:hAnsi="Times New Roman" w:cs="Times New Roman"/>
          <w:lang w:val="es-MX"/>
        </w:rPr>
        <w:t xml:space="preserve"> ocasionado</w:t>
      </w:r>
      <w:r w:rsidRPr="00B702AD">
        <w:rPr>
          <w:rFonts w:ascii="Times New Roman" w:hAnsi="Times New Roman" w:cs="Times New Roman"/>
          <w:lang w:val="es-MX"/>
        </w:rPr>
        <w:t xml:space="preserve"> por la pandemia, ya muestra los efectos de la recuperación económica y los recortes de producción de la Organización de Países Exportadores de Petróleo (OPEP) y sus socios; los principales analistas proyectan una estabilización de la demanda, y con ello un aumento en el precio promedio.  El Banco mundial estima que en 2022 el precio por barril se ubicará alrededor de los US$60 y el Brent en US$ </w:t>
      </w:r>
      <w:r>
        <w:rPr>
          <w:rFonts w:ascii="Times New Roman" w:hAnsi="Times New Roman" w:cs="Times New Roman"/>
          <w:lang w:val="es-MX"/>
        </w:rPr>
        <w:t xml:space="preserve">65 </w:t>
      </w:r>
      <w:r w:rsidRPr="00B702AD">
        <w:rPr>
          <w:rFonts w:ascii="Times New Roman" w:hAnsi="Times New Roman" w:cs="Times New Roman"/>
          <w:lang w:val="es-MX"/>
        </w:rPr>
        <w:t xml:space="preserve">por barril.  Por su parte, la Administración de Información de Energía de Estados Unidos elevó su estimación de crecimiento de la demanda de petróleo </w:t>
      </w:r>
      <w:r w:rsidRPr="005914A7">
        <w:rPr>
          <w:rFonts w:ascii="Times New Roman" w:hAnsi="Times New Roman" w:cs="Times New Roman"/>
          <w:lang w:val="es-MX"/>
        </w:rPr>
        <w:t>en 80,000 barriles hasta llegar a 3.73 millones de barriles para el 2022.</w:t>
      </w:r>
    </w:p>
    <w:p w14:paraId="55CC7739" w14:textId="77777777" w:rsidR="00322670" w:rsidRPr="0062341C" w:rsidRDefault="00322670" w:rsidP="00322670">
      <w:pPr>
        <w:spacing w:after="0" w:line="240" w:lineRule="auto"/>
        <w:jc w:val="both"/>
        <w:rPr>
          <w:rFonts w:ascii="Times New Roman" w:hAnsi="Times New Roman" w:cs="Times New Roman"/>
          <w:color w:val="FF0000"/>
          <w:lang w:val="es-MX"/>
        </w:rPr>
      </w:pPr>
    </w:p>
    <w:p w14:paraId="2006BBB9" w14:textId="1854795E" w:rsidR="00322670" w:rsidRPr="002E0485" w:rsidRDefault="00322670" w:rsidP="00C027A7">
      <w:pPr>
        <w:pStyle w:val="Epgrafe"/>
        <w:jc w:val="center"/>
        <w:rPr>
          <w:rFonts w:ascii="Times New Roman" w:hAnsi="Times New Roman" w:cs="Times New Roman"/>
          <w:b/>
          <w:bCs/>
          <w:i w:val="0"/>
          <w:iCs w:val="0"/>
          <w:color w:val="auto"/>
          <w:sz w:val="22"/>
          <w:szCs w:val="20"/>
        </w:rPr>
      </w:pPr>
      <w:bookmarkStart w:id="560" w:name="_Toc81573072"/>
      <w:r w:rsidRPr="00C027A7">
        <w:rPr>
          <w:rFonts w:ascii="Times New Roman" w:hAnsi="Times New Roman" w:cs="Times New Roman"/>
          <w:b/>
          <w:noProof/>
          <w:color w:val="auto"/>
          <w:sz w:val="20"/>
          <w:lang w:val="es-ES" w:eastAsia="es-ES"/>
        </w:rPr>
        <w:drawing>
          <wp:anchor distT="0" distB="0" distL="114300" distR="114300" simplePos="0" relativeHeight="251978240" behindDoc="0" locked="0" layoutInCell="1" allowOverlap="1" wp14:anchorId="7F3D489D" wp14:editId="347DECEB">
            <wp:simplePos x="0" y="0"/>
            <wp:positionH relativeFrom="column">
              <wp:posOffset>348615</wp:posOffset>
            </wp:positionH>
            <wp:positionV relativeFrom="paragraph">
              <wp:posOffset>221615</wp:posOffset>
            </wp:positionV>
            <wp:extent cx="4857750" cy="2562225"/>
            <wp:effectExtent l="0" t="0" r="0" b="0"/>
            <wp:wrapNone/>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00C027A7" w:rsidRPr="00C027A7">
        <w:rPr>
          <w:rFonts w:ascii="Times New Roman" w:hAnsi="Times New Roman" w:cs="Times New Roman"/>
          <w:b/>
          <w:color w:val="auto"/>
          <w:sz w:val="20"/>
        </w:rPr>
        <w:t xml:space="preserve">Gráfico </w:t>
      </w:r>
      <w:r w:rsidR="00C027A7" w:rsidRPr="00C027A7">
        <w:rPr>
          <w:rFonts w:ascii="Times New Roman" w:hAnsi="Times New Roman" w:cs="Times New Roman"/>
          <w:b/>
          <w:color w:val="auto"/>
          <w:sz w:val="20"/>
        </w:rPr>
        <w:fldChar w:fldCharType="begin"/>
      </w:r>
      <w:r w:rsidR="00C027A7" w:rsidRPr="00C027A7">
        <w:rPr>
          <w:rFonts w:ascii="Times New Roman" w:hAnsi="Times New Roman" w:cs="Times New Roman"/>
          <w:b/>
          <w:color w:val="auto"/>
          <w:sz w:val="20"/>
        </w:rPr>
        <w:instrText xml:space="preserve"> SEQ Gráfico \* ARABIC </w:instrText>
      </w:r>
      <w:r w:rsidR="00C027A7" w:rsidRPr="00C027A7">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22</w:t>
      </w:r>
      <w:r w:rsidR="00C027A7" w:rsidRPr="00C027A7">
        <w:rPr>
          <w:rFonts w:ascii="Times New Roman" w:hAnsi="Times New Roman" w:cs="Times New Roman"/>
          <w:b/>
          <w:color w:val="auto"/>
          <w:sz w:val="20"/>
        </w:rPr>
        <w:fldChar w:fldCharType="end"/>
      </w:r>
      <w:r w:rsidR="00C027A7" w:rsidRPr="00C027A7">
        <w:rPr>
          <w:rFonts w:ascii="Times New Roman" w:hAnsi="Times New Roman" w:cs="Times New Roman"/>
          <w:b/>
          <w:color w:val="auto"/>
          <w:sz w:val="20"/>
        </w:rPr>
        <w:t xml:space="preserve">  </w:t>
      </w:r>
      <w:r>
        <w:rPr>
          <w:rFonts w:ascii="Times New Roman" w:hAnsi="Times New Roman" w:cs="Times New Roman"/>
          <w:b/>
          <w:bCs/>
          <w:i w:val="0"/>
          <w:iCs w:val="0"/>
          <w:color w:val="auto"/>
          <w:sz w:val="22"/>
          <w:szCs w:val="20"/>
        </w:rPr>
        <w:t>Precios del petróleo 2022-2026</w:t>
      </w:r>
      <w:bookmarkEnd w:id="560"/>
    </w:p>
    <w:p w14:paraId="3D5C5EE8" w14:textId="77777777" w:rsidR="00322670" w:rsidRDefault="00322670" w:rsidP="00322670">
      <w:pPr>
        <w:spacing w:after="0" w:line="240" w:lineRule="auto"/>
        <w:jc w:val="both"/>
        <w:rPr>
          <w:rFonts w:ascii="Times New Roman" w:hAnsi="Times New Roman" w:cs="Times New Roman"/>
          <w:sz w:val="16"/>
        </w:rPr>
      </w:pPr>
    </w:p>
    <w:p w14:paraId="1BB1B4B0" w14:textId="77777777" w:rsidR="00322670" w:rsidRDefault="00322670" w:rsidP="00322670">
      <w:pPr>
        <w:spacing w:after="0" w:line="240" w:lineRule="auto"/>
        <w:jc w:val="both"/>
        <w:rPr>
          <w:rFonts w:ascii="Times New Roman" w:hAnsi="Times New Roman" w:cs="Times New Roman"/>
          <w:sz w:val="16"/>
        </w:rPr>
      </w:pPr>
    </w:p>
    <w:p w14:paraId="0B6D8594" w14:textId="77777777" w:rsidR="00322670" w:rsidRDefault="00322670" w:rsidP="00322670">
      <w:pPr>
        <w:spacing w:after="0" w:line="240" w:lineRule="auto"/>
        <w:jc w:val="both"/>
        <w:rPr>
          <w:rFonts w:ascii="Times New Roman" w:hAnsi="Times New Roman" w:cs="Times New Roman"/>
          <w:sz w:val="16"/>
        </w:rPr>
      </w:pPr>
    </w:p>
    <w:p w14:paraId="03AA36BE" w14:textId="77777777" w:rsidR="00322670" w:rsidRDefault="00322670" w:rsidP="00322670">
      <w:pPr>
        <w:spacing w:after="0" w:line="240" w:lineRule="auto"/>
        <w:jc w:val="both"/>
        <w:rPr>
          <w:rFonts w:ascii="Times New Roman" w:hAnsi="Times New Roman" w:cs="Times New Roman"/>
          <w:sz w:val="16"/>
        </w:rPr>
      </w:pPr>
    </w:p>
    <w:p w14:paraId="3402BE70" w14:textId="77777777" w:rsidR="00322670" w:rsidRDefault="00322670" w:rsidP="00322670">
      <w:pPr>
        <w:spacing w:after="0" w:line="240" w:lineRule="auto"/>
        <w:jc w:val="both"/>
        <w:rPr>
          <w:rFonts w:ascii="Times New Roman" w:hAnsi="Times New Roman" w:cs="Times New Roman"/>
          <w:sz w:val="16"/>
        </w:rPr>
      </w:pPr>
    </w:p>
    <w:p w14:paraId="685096FE" w14:textId="77777777" w:rsidR="00322670" w:rsidRDefault="00322670" w:rsidP="00322670">
      <w:pPr>
        <w:spacing w:after="0" w:line="240" w:lineRule="auto"/>
        <w:jc w:val="both"/>
        <w:rPr>
          <w:rFonts w:ascii="Times New Roman" w:hAnsi="Times New Roman" w:cs="Times New Roman"/>
          <w:sz w:val="16"/>
        </w:rPr>
      </w:pPr>
    </w:p>
    <w:p w14:paraId="76BD72F9" w14:textId="77777777" w:rsidR="00322670" w:rsidRDefault="00322670" w:rsidP="00322670">
      <w:pPr>
        <w:spacing w:after="0" w:line="240" w:lineRule="auto"/>
        <w:jc w:val="both"/>
        <w:rPr>
          <w:rFonts w:ascii="Times New Roman" w:hAnsi="Times New Roman" w:cs="Times New Roman"/>
          <w:sz w:val="16"/>
        </w:rPr>
      </w:pPr>
    </w:p>
    <w:p w14:paraId="5CF0BF74" w14:textId="77777777" w:rsidR="00322670" w:rsidRDefault="00322670" w:rsidP="00322670">
      <w:pPr>
        <w:spacing w:after="0" w:line="240" w:lineRule="auto"/>
        <w:jc w:val="both"/>
        <w:rPr>
          <w:rFonts w:ascii="Times New Roman" w:hAnsi="Times New Roman" w:cs="Times New Roman"/>
          <w:sz w:val="16"/>
        </w:rPr>
      </w:pPr>
    </w:p>
    <w:p w14:paraId="1AEDAEDE" w14:textId="77777777" w:rsidR="00322670" w:rsidRDefault="00322670" w:rsidP="00322670">
      <w:pPr>
        <w:spacing w:after="0" w:line="240" w:lineRule="auto"/>
        <w:jc w:val="both"/>
        <w:rPr>
          <w:rFonts w:ascii="Times New Roman" w:hAnsi="Times New Roman" w:cs="Times New Roman"/>
          <w:sz w:val="16"/>
        </w:rPr>
      </w:pPr>
    </w:p>
    <w:p w14:paraId="2B5A3971" w14:textId="77777777" w:rsidR="00322670" w:rsidRDefault="00322670" w:rsidP="00322670">
      <w:pPr>
        <w:spacing w:after="0" w:line="240" w:lineRule="auto"/>
        <w:jc w:val="both"/>
        <w:rPr>
          <w:rFonts w:ascii="Times New Roman" w:hAnsi="Times New Roman" w:cs="Times New Roman"/>
          <w:sz w:val="16"/>
        </w:rPr>
      </w:pPr>
    </w:p>
    <w:p w14:paraId="3F5A5FC5" w14:textId="77777777" w:rsidR="00322670" w:rsidRDefault="00322670" w:rsidP="00322670">
      <w:pPr>
        <w:spacing w:after="0" w:line="240" w:lineRule="auto"/>
        <w:jc w:val="both"/>
        <w:rPr>
          <w:rFonts w:ascii="Times New Roman" w:hAnsi="Times New Roman" w:cs="Times New Roman"/>
          <w:sz w:val="16"/>
        </w:rPr>
      </w:pPr>
    </w:p>
    <w:p w14:paraId="0918D97E" w14:textId="77777777" w:rsidR="00322670" w:rsidRDefault="00322670" w:rsidP="00322670">
      <w:pPr>
        <w:spacing w:after="0" w:line="240" w:lineRule="auto"/>
        <w:jc w:val="both"/>
        <w:rPr>
          <w:rFonts w:ascii="Times New Roman" w:hAnsi="Times New Roman" w:cs="Times New Roman"/>
          <w:sz w:val="16"/>
        </w:rPr>
      </w:pPr>
    </w:p>
    <w:p w14:paraId="195C70D8" w14:textId="77777777" w:rsidR="00322670" w:rsidRDefault="00322670" w:rsidP="00322670">
      <w:pPr>
        <w:spacing w:after="0" w:line="240" w:lineRule="auto"/>
        <w:jc w:val="both"/>
        <w:rPr>
          <w:rFonts w:ascii="Times New Roman" w:hAnsi="Times New Roman" w:cs="Times New Roman"/>
          <w:sz w:val="16"/>
        </w:rPr>
      </w:pPr>
    </w:p>
    <w:p w14:paraId="0A61DF8B" w14:textId="77777777" w:rsidR="00322670" w:rsidRDefault="00322670" w:rsidP="00322670">
      <w:pPr>
        <w:spacing w:after="0" w:line="240" w:lineRule="auto"/>
        <w:jc w:val="both"/>
        <w:rPr>
          <w:rFonts w:ascii="Times New Roman" w:hAnsi="Times New Roman" w:cs="Times New Roman"/>
          <w:sz w:val="16"/>
        </w:rPr>
      </w:pPr>
    </w:p>
    <w:p w14:paraId="67C99F80" w14:textId="77777777" w:rsidR="00322670" w:rsidRDefault="00322670" w:rsidP="00322670">
      <w:pPr>
        <w:spacing w:after="0" w:line="240" w:lineRule="auto"/>
        <w:jc w:val="both"/>
        <w:rPr>
          <w:rFonts w:ascii="Times New Roman" w:hAnsi="Times New Roman" w:cs="Times New Roman"/>
          <w:sz w:val="16"/>
        </w:rPr>
      </w:pPr>
    </w:p>
    <w:p w14:paraId="3CF8E0B2" w14:textId="77777777" w:rsidR="00322670" w:rsidRDefault="00322670" w:rsidP="00322670">
      <w:pPr>
        <w:spacing w:after="0" w:line="240" w:lineRule="auto"/>
        <w:jc w:val="both"/>
        <w:rPr>
          <w:rFonts w:ascii="Times New Roman" w:hAnsi="Times New Roman" w:cs="Times New Roman"/>
          <w:sz w:val="16"/>
        </w:rPr>
      </w:pPr>
    </w:p>
    <w:p w14:paraId="32D0D56C" w14:textId="77777777" w:rsidR="00322670" w:rsidRDefault="00322670" w:rsidP="00322670">
      <w:pPr>
        <w:spacing w:after="0" w:line="240" w:lineRule="auto"/>
        <w:jc w:val="both"/>
        <w:rPr>
          <w:rFonts w:ascii="Times New Roman" w:hAnsi="Times New Roman" w:cs="Times New Roman"/>
          <w:sz w:val="16"/>
        </w:rPr>
      </w:pPr>
    </w:p>
    <w:p w14:paraId="10985206" w14:textId="77777777" w:rsidR="00322670" w:rsidRDefault="00322670" w:rsidP="00322670">
      <w:pPr>
        <w:spacing w:after="0" w:line="240" w:lineRule="auto"/>
        <w:jc w:val="both"/>
        <w:rPr>
          <w:rFonts w:ascii="Times New Roman" w:hAnsi="Times New Roman" w:cs="Times New Roman"/>
          <w:sz w:val="16"/>
        </w:rPr>
      </w:pPr>
    </w:p>
    <w:p w14:paraId="3E8F7617" w14:textId="77777777" w:rsidR="00322670" w:rsidRDefault="00322670" w:rsidP="00322670">
      <w:pPr>
        <w:spacing w:after="0" w:line="240" w:lineRule="auto"/>
        <w:jc w:val="both"/>
        <w:rPr>
          <w:rFonts w:ascii="Times New Roman" w:hAnsi="Times New Roman" w:cs="Times New Roman"/>
          <w:sz w:val="16"/>
        </w:rPr>
      </w:pPr>
    </w:p>
    <w:p w14:paraId="20B215E4" w14:textId="77777777" w:rsidR="00322670" w:rsidRDefault="00322670" w:rsidP="00322670">
      <w:pPr>
        <w:spacing w:after="0" w:line="240" w:lineRule="auto"/>
        <w:jc w:val="both"/>
        <w:rPr>
          <w:rFonts w:ascii="Times New Roman" w:hAnsi="Times New Roman" w:cs="Times New Roman"/>
          <w:sz w:val="16"/>
        </w:rPr>
      </w:pPr>
    </w:p>
    <w:p w14:paraId="6AFE94E2" w14:textId="77777777" w:rsidR="00322670" w:rsidRDefault="00322670" w:rsidP="00322670">
      <w:pPr>
        <w:spacing w:after="0" w:line="240" w:lineRule="auto"/>
        <w:jc w:val="both"/>
        <w:rPr>
          <w:rFonts w:ascii="Times New Roman" w:hAnsi="Times New Roman" w:cs="Times New Roman"/>
          <w:sz w:val="16"/>
        </w:rPr>
      </w:pPr>
    </w:p>
    <w:p w14:paraId="43A27FC3" w14:textId="77777777" w:rsidR="00322670" w:rsidRDefault="00322670" w:rsidP="00322670">
      <w:pPr>
        <w:spacing w:after="0" w:line="240" w:lineRule="auto"/>
        <w:jc w:val="both"/>
        <w:rPr>
          <w:rFonts w:ascii="Times New Roman" w:hAnsi="Times New Roman" w:cs="Times New Roman"/>
          <w:sz w:val="16"/>
        </w:rPr>
      </w:pPr>
    </w:p>
    <w:p w14:paraId="4C0C37C7" w14:textId="77777777" w:rsidR="00322670" w:rsidRPr="00C20679" w:rsidRDefault="00322670" w:rsidP="00322670">
      <w:pPr>
        <w:spacing w:after="0" w:line="240" w:lineRule="auto"/>
        <w:ind w:firstLine="708"/>
        <w:jc w:val="both"/>
        <w:rPr>
          <w:rFonts w:ascii="Times New Roman" w:hAnsi="Times New Roman" w:cs="Times New Roman"/>
          <w:sz w:val="16"/>
        </w:rPr>
      </w:pPr>
      <w:r w:rsidRPr="00C20679">
        <w:rPr>
          <w:rFonts w:ascii="Times New Roman" w:hAnsi="Times New Roman" w:cs="Times New Roman"/>
          <w:sz w:val="16"/>
        </w:rPr>
        <w:t>Fuente: FMI, World Economic Outlook, abril 2021.</w:t>
      </w:r>
    </w:p>
    <w:p w14:paraId="0BC4A244" w14:textId="77777777" w:rsidR="00322670" w:rsidRPr="00C20679" w:rsidRDefault="00322670" w:rsidP="00322670">
      <w:pPr>
        <w:spacing w:after="0" w:line="240" w:lineRule="auto"/>
        <w:jc w:val="both"/>
        <w:rPr>
          <w:rFonts w:ascii="Times New Roman" w:hAnsi="Times New Roman" w:cs="Times New Roman"/>
        </w:rPr>
      </w:pPr>
    </w:p>
    <w:p w14:paraId="1191BD6F" w14:textId="77777777" w:rsidR="00322670" w:rsidRPr="009173EB" w:rsidRDefault="00322670" w:rsidP="001032E7">
      <w:pPr>
        <w:pStyle w:val="Ttulo2"/>
        <w:numPr>
          <w:ilvl w:val="2"/>
          <w:numId w:val="28"/>
        </w:numPr>
        <w:tabs>
          <w:tab w:val="left" w:pos="851"/>
          <w:tab w:val="left" w:pos="993"/>
        </w:tabs>
        <w:spacing w:before="0"/>
        <w:ind w:left="709" w:hanging="360"/>
        <w:rPr>
          <w:rFonts w:ascii="Times New Roman" w:hAnsi="Times New Roman" w:cs="Times New Roman"/>
          <w:color w:val="auto"/>
          <w:sz w:val="24"/>
          <w:lang w:val="es-GT"/>
        </w:rPr>
      </w:pPr>
      <w:bookmarkStart w:id="561" w:name="_Toc72489390"/>
      <w:bookmarkStart w:id="562" w:name="_Toc81571873"/>
      <w:r w:rsidRPr="009173EB">
        <w:rPr>
          <w:rFonts w:ascii="Times New Roman" w:hAnsi="Times New Roman" w:cs="Times New Roman"/>
          <w:color w:val="auto"/>
          <w:sz w:val="24"/>
          <w:lang w:val="es-GT"/>
        </w:rPr>
        <w:t>Contexto nacional</w:t>
      </w:r>
      <w:bookmarkEnd w:id="561"/>
      <w:bookmarkEnd w:id="562"/>
    </w:p>
    <w:p w14:paraId="1F1CFDAE" w14:textId="77777777" w:rsidR="00322670" w:rsidRDefault="00322670" w:rsidP="002C7396">
      <w:pPr>
        <w:spacing w:after="0" w:line="240" w:lineRule="auto"/>
        <w:jc w:val="both"/>
        <w:rPr>
          <w:rFonts w:ascii="Times New Roman" w:hAnsi="Times New Roman" w:cs="Times New Roman"/>
        </w:rPr>
      </w:pPr>
    </w:p>
    <w:p w14:paraId="363CB216" w14:textId="77777777" w:rsidR="00322670" w:rsidRPr="009173EB" w:rsidRDefault="00322670" w:rsidP="001032E7">
      <w:pPr>
        <w:pStyle w:val="Ttulo2"/>
        <w:numPr>
          <w:ilvl w:val="3"/>
          <w:numId w:val="28"/>
        </w:numPr>
        <w:tabs>
          <w:tab w:val="left" w:pos="851"/>
          <w:tab w:val="left" w:pos="1276"/>
        </w:tabs>
        <w:spacing w:before="0"/>
        <w:ind w:left="851" w:hanging="360"/>
        <w:rPr>
          <w:rFonts w:ascii="Times New Roman" w:hAnsi="Times New Roman" w:cs="Times New Roman"/>
          <w:color w:val="auto"/>
          <w:sz w:val="24"/>
          <w:lang w:val="es-GT"/>
        </w:rPr>
      </w:pPr>
      <w:r w:rsidRPr="009173EB">
        <w:rPr>
          <w:rFonts w:ascii="Times New Roman" w:hAnsi="Times New Roman" w:cs="Times New Roman"/>
          <w:color w:val="auto"/>
          <w:sz w:val="24"/>
          <w:lang w:val="es-GT"/>
        </w:rPr>
        <w:t xml:space="preserve"> </w:t>
      </w:r>
      <w:bookmarkStart w:id="563" w:name="_Toc72489391"/>
      <w:bookmarkStart w:id="564" w:name="_Toc81571874"/>
      <w:r w:rsidRPr="009173EB">
        <w:rPr>
          <w:rFonts w:ascii="Times New Roman" w:hAnsi="Times New Roman" w:cs="Times New Roman"/>
          <w:color w:val="auto"/>
          <w:sz w:val="24"/>
          <w:lang w:val="es-GT"/>
        </w:rPr>
        <w:t>Producto Interno Bruto</w:t>
      </w:r>
      <w:bookmarkEnd w:id="563"/>
      <w:bookmarkEnd w:id="564"/>
    </w:p>
    <w:p w14:paraId="5188C078" w14:textId="77777777" w:rsidR="00322670" w:rsidRPr="00394005" w:rsidRDefault="00322670" w:rsidP="002C7396">
      <w:pPr>
        <w:spacing w:after="0" w:line="240" w:lineRule="auto"/>
        <w:rPr>
          <w:lang w:val="es-MX"/>
        </w:rPr>
      </w:pPr>
    </w:p>
    <w:p w14:paraId="064CAA91" w14:textId="3B79C417" w:rsidR="00322670" w:rsidRPr="00394005" w:rsidRDefault="00322670" w:rsidP="00322670">
      <w:pPr>
        <w:spacing w:after="0" w:line="240" w:lineRule="auto"/>
        <w:jc w:val="both"/>
        <w:rPr>
          <w:rFonts w:ascii="Times New Roman" w:hAnsi="Times New Roman" w:cs="Times New Roman"/>
        </w:rPr>
      </w:pPr>
      <w:r w:rsidRPr="00394005">
        <w:rPr>
          <w:rFonts w:ascii="Times New Roman" w:hAnsi="Times New Roman" w:cs="Times New Roman"/>
        </w:rPr>
        <w:t xml:space="preserve">Se prevé que la recuperación continué para el 2022 con un crecimiento del PIB de </w:t>
      </w:r>
      <w:r w:rsidR="00F90F6F" w:rsidRPr="00394005">
        <w:rPr>
          <w:rFonts w:ascii="Times New Roman" w:hAnsi="Times New Roman" w:cs="Times New Roman"/>
        </w:rPr>
        <w:t>4.5</w:t>
      </w:r>
      <w:r w:rsidRPr="00394005">
        <w:rPr>
          <w:rFonts w:ascii="Times New Roman" w:hAnsi="Times New Roman" w:cs="Times New Roman"/>
        </w:rPr>
        <w:t xml:space="preserve">% en un rango entre </w:t>
      </w:r>
      <w:r w:rsidR="00F90F6F" w:rsidRPr="00394005">
        <w:rPr>
          <w:rFonts w:ascii="Times New Roman" w:hAnsi="Times New Roman" w:cs="Times New Roman"/>
        </w:rPr>
        <w:t>3.5</w:t>
      </w:r>
      <w:r w:rsidRPr="00394005">
        <w:rPr>
          <w:rFonts w:ascii="Times New Roman" w:hAnsi="Times New Roman" w:cs="Times New Roman"/>
        </w:rPr>
        <w:t xml:space="preserve">% y </w:t>
      </w:r>
      <w:r w:rsidR="00F90F6F" w:rsidRPr="00394005">
        <w:rPr>
          <w:rFonts w:ascii="Times New Roman" w:hAnsi="Times New Roman" w:cs="Times New Roman"/>
        </w:rPr>
        <w:t>5.5</w:t>
      </w:r>
      <w:r w:rsidRPr="00394005">
        <w:rPr>
          <w:rFonts w:ascii="Times New Roman" w:hAnsi="Times New Roman" w:cs="Times New Roman"/>
        </w:rPr>
        <w:t xml:space="preserve">%, aunque levemente menor al 2021 al disminuir </w:t>
      </w:r>
      <w:r w:rsidR="00394005" w:rsidRPr="00394005">
        <w:rPr>
          <w:rFonts w:ascii="Times New Roman" w:hAnsi="Times New Roman" w:cs="Times New Roman"/>
        </w:rPr>
        <w:t>0.5</w:t>
      </w:r>
      <w:r w:rsidRPr="00394005">
        <w:rPr>
          <w:rFonts w:ascii="Times New Roman" w:hAnsi="Times New Roman" w:cs="Times New Roman"/>
        </w:rPr>
        <w:t xml:space="preserve"> puntos porcentuales, según el Banco de Guatemala, esto asociado en parte a la reducción esperada en la inversión de </w:t>
      </w:r>
      <w:r w:rsidR="005E56D0">
        <w:rPr>
          <w:rFonts w:ascii="Times New Roman" w:hAnsi="Times New Roman" w:cs="Times New Roman"/>
        </w:rPr>
        <w:t xml:space="preserve">4.3 </w:t>
      </w:r>
      <w:r w:rsidRPr="00394005">
        <w:rPr>
          <w:rFonts w:ascii="Times New Roman" w:hAnsi="Times New Roman" w:cs="Times New Roman"/>
        </w:rPr>
        <w:t xml:space="preserve">puntos porcentuales en relación al 2021, sin embargo, se espera un incremento de la demanda interna y externa, las mismas estarían creciendo en </w:t>
      </w:r>
      <w:r w:rsidR="00F90F6F" w:rsidRPr="00394005">
        <w:rPr>
          <w:rFonts w:ascii="Times New Roman" w:hAnsi="Times New Roman" w:cs="Times New Roman"/>
        </w:rPr>
        <w:t>4.4</w:t>
      </w:r>
      <w:r w:rsidRPr="00394005">
        <w:rPr>
          <w:rFonts w:ascii="Times New Roman" w:hAnsi="Times New Roman" w:cs="Times New Roman"/>
        </w:rPr>
        <w:t>% y 5.</w:t>
      </w:r>
      <w:r w:rsidR="00394005" w:rsidRPr="00394005">
        <w:rPr>
          <w:rFonts w:ascii="Times New Roman" w:hAnsi="Times New Roman" w:cs="Times New Roman"/>
        </w:rPr>
        <w:t>5</w:t>
      </w:r>
      <w:r w:rsidRPr="00394005">
        <w:rPr>
          <w:rFonts w:ascii="Times New Roman" w:hAnsi="Times New Roman" w:cs="Times New Roman"/>
        </w:rPr>
        <w:t xml:space="preserve">%, respectivamente. A nivel interno se espera un impulso del consumo privado de </w:t>
      </w:r>
      <w:r w:rsidR="00394005" w:rsidRPr="00394005">
        <w:rPr>
          <w:rFonts w:ascii="Times New Roman" w:hAnsi="Times New Roman" w:cs="Times New Roman"/>
        </w:rPr>
        <w:t>4.4</w:t>
      </w:r>
      <w:r w:rsidRPr="00394005">
        <w:rPr>
          <w:rFonts w:ascii="Times New Roman" w:hAnsi="Times New Roman" w:cs="Times New Roman"/>
        </w:rPr>
        <w:t xml:space="preserve">% es decir </w:t>
      </w:r>
      <w:r w:rsidR="005E56D0">
        <w:rPr>
          <w:rFonts w:ascii="Times New Roman" w:hAnsi="Times New Roman" w:cs="Times New Roman"/>
        </w:rPr>
        <w:t xml:space="preserve">0.1 </w:t>
      </w:r>
      <w:r w:rsidRPr="00394005">
        <w:rPr>
          <w:rFonts w:ascii="Times New Roman" w:hAnsi="Times New Roman" w:cs="Times New Roman"/>
        </w:rPr>
        <w:t xml:space="preserve">puntos porcentuales </w:t>
      </w:r>
      <w:r w:rsidR="005E56D0">
        <w:rPr>
          <w:rFonts w:ascii="Times New Roman" w:hAnsi="Times New Roman" w:cs="Times New Roman"/>
        </w:rPr>
        <w:t>menor que</w:t>
      </w:r>
      <w:r w:rsidRPr="00394005">
        <w:rPr>
          <w:rFonts w:ascii="Times New Roman" w:hAnsi="Times New Roman" w:cs="Times New Roman"/>
        </w:rPr>
        <w:t xml:space="preserve"> el 2021. En cuanto al producto por el lado de la oferta se prevé que en  2022 todas las actividades económicas estarían teniendo un crecimiento positivo; representando cerca del 70% de la economía estarían la industria manufacturera; el comercio, mantenimiento y reparación de vehículos; actividades inmobiliarias, agricultura, ganadería, silvicultura y pesca; actividades financieras y de seguros; actividades de alojamiento y de servicios de comidas; información y comunicaciones así como otras actividades de servicios, mientras que el gasto de consumo final del gobierno general podría presentar una variación de </w:t>
      </w:r>
      <w:r w:rsidR="00CA288F">
        <w:rPr>
          <w:rFonts w:ascii="Times New Roman" w:hAnsi="Times New Roman" w:cs="Times New Roman"/>
        </w:rPr>
        <w:t>2.3</w:t>
      </w:r>
      <w:r w:rsidRPr="00394005">
        <w:rPr>
          <w:rFonts w:ascii="Times New Roman" w:hAnsi="Times New Roman" w:cs="Times New Roman"/>
        </w:rPr>
        <w:t xml:space="preserve">% </w:t>
      </w:r>
      <w:r w:rsidR="00CA288F">
        <w:rPr>
          <w:rFonts w:ascii="Times New Roman" w:hAnsi="Times New Roman" w:cs="Times New Roman"/>
        </w:rPr>
        <w:t>menor</w:t>
      </w:r>
      <w:r w:rsidRPr="00394005">
        <w:rPr>
          <w:rFonts w:ascii="Times New Roman" w:hAnsi="Times New Roman" w:cs="Times New Roman"/>
        </w:rPr>
        <w:t xml:space="preserve"> a la que se pronostica en el 2021</w:t>
      </w:r>
      <w:r w:rsidR="00CA288F">
        <w:rPr>
          <w:rFonts w:ascii="Times New Roman" w:hAnsi="Times New Roman" w:cs="Times New Roman"/>
        </w:rPr>
        <w:t>.</w:t>
      </w:r>
    </w:p>
    <w:p w14:paraId="46383087" w14:textId="77777777" w:rsidR="00322670" w:rsidRPr="00394005" w:rsidRDefault="00322670" w:rsidP="00322670">
      <w:pPr>
        <w:spacing w:after="0" w:line="240" w:lineRule="auto"/>
        <w:jc w:val="both"/>
        <w:rPr>
          <w:rFonts w:ascii="Times New Roman" w:hAnsi="Times New Roman" w:cs="Times New Roman"/>
        </w:rPr>
      </w:pPr>
    </w:p>
    <w:p w14:paraId="74AA7931" w14:textId="77777777" w:rsidR="00322670" w:rsidRPr="00394005" w:rsidRDefault="00322670" w:rsidP="00322670">
      <w:pPr>
        <w:spacing w:after="0" w:line="240" w:lineRule="auto"/>
        <w:jc w:val="both"/>
        <w:rPr>
          <w:rFonts w:ascii="Times New Roman" w:hAnsi="Times New Roman" w:cs="Times New Roman"/>
        </w:rPr>
      </w:pPr>
      <w:r w:rsidRPr="00394005">
        <w:rPr>
          <w:rFonts w:ascii="Times New Roman" w:hAnsi="Times New Roman" w:cs="Times New Roman"/>
        </w:rPr>
        <w:t>Lo anterior es confirmado en la misma línea por parte del Fondo Monetario Internacional quien pronostica un crecimiento de 4.0% en 2022, menor a su pronóstico de 4.5% del 2021 a pesar de que el Banco Mundial es más optimista al pronosticar que el crecimiento económico será de 3.8% en 2022, mayor al 3.6% de 2021. Dichos escenarios son congruentes con la proyección de la actividad económica de las economías avanzas que crecerían 5.1% en 2021 y 3.6% en 2022, Es importante hacer notar que el progreso en la vacunación de la población  contra el COVID-19 en EEUU así como el plan de rescate para el apoyo económico de los hogares y las empresas estadounidense que fueron afectadas por la pandemia así como la sugerencia de los presidentes de los bancos del sistema de la reserva federal de mantener constante el nivel actual de la tasa de interés de política monetaria hasta el 2023 vislumbraría un empuje al crecimiento económico de dicho país pronosticando un 3.5% de crecimiento en 2022, aunque menor al 6.4% del 2021. Esto se reflejaría en la recuperación del empleo hispano y con ello de las remesas a nuestro país, además del crecimiento de la demanda de nuestras exportaciones, así como el aumento de la Inversión Extranjera Directa considerando que son nuestro principal socio inversor.</w:t>
      </w:r>
    </w:p>
    <w:p w14:paraId="4AF837F3" w14:textId="77777777" w:rsidR="00322670" w:rsidRPr="00394005" w:rsidRDefault="00322670" w:rsidP="00322670">
      <w:pPr>
        <w:spacing w:after="0" w:line="240" w:lineRule="auto"/>
        <w:jc w:val="both"/>
        <w:rPr>
          <w:rFonts w:ascii="Times New Roman" w:hAnsi="Times New Roman" w:cs="Times New Roman"/>
        </w:rPr>
      </w:pPr>
    </w:p>
    <w:p w14:paraId="2F873587" w14:textId="40EE28E2" w:rsidR="00322670" w:rsidRPr="00394005" w:rsidRDefault="00322670" w:rsidP="00322670">
      <w:pPr>
        <w:spacing w:after="0" w:line="240" w:lineRule="auto"/>
        <w:jc w:val="both"/>
        <w:rPr>
          <w:rFonts w:ascii="Times New Roman" w:hAnsi="Times New Roman" w:cs="Times New Roman"/>
        </w:rPr>
      </w:pPr>
      <w:r w:rsidRPr="00394005">
        <w:rPr>
          <w:rFonts w:ascii="Times New Roman" w:hAnsi="Times New Roman" w:cs="Times New Roman"/>
        </w:rPr>
        <w:t xml:space="preserve">El panel de analistas privados en la encuesta de expectativas económicas realizada en </w:t>
      </w:r>
      <w:r w:rsidR="00642181" w:rsidRPr="00394005">
        <w:rPr>
          <w:rFonts w:ascii="Times New Roman" w:hAnsi="Times New Roman" w:cs="Times New Roman"/>
        </w:rPr>
        <w:t>julio</w:t>
      </w:r>
      <w:r w:rsidRPr="00394005">
        <w:rPr>
          <w:rFonts w:ascii="Times New Roman" w:hAnsi="Times New Roman" w:cs="Times New Roman"/>
        </w:rPr>
        <w:t xml:space="preserve"> del 2021 estima que la actividad económica crecerá 3.</w:t>
      </w:r>
      <w:r w:rsidR="00642181" w:rsidRPr="00394005">
        <w:rPr>
          <w:rFonts w:ascii="Times New Roman" w:hAnsi="Times New Roman" w:cs="Times New Roman"/>
        </w:rPr>
        <w:t>5</w:t>
      </w:r>
      <w:r w:rsidRPr="00394005">
        <w:rPr>
          <w:rFonts w:ascii="Times New Roman" w:hAnsi="Times New Roman" w:cs="Times New Roman"/>
        </w:rPr>
        <w:t xml:space="preserve">% en 2022, es decir </w:t>
      </w:r>
      <w:r w:rsidR="00642181" w:rsidRPr="00394005">
        <w:rPr>
          <w:rFonts w:ascii="Times New Roman" w:hAnsi="Times New Roman" w:cs="Times New Roman"/>
        </w:rPr>
        <w:t>0.2</w:t>
      </w:r>
      <w:r w:rsidRPr="00394005">
        <w:rPr>
          <w:rFonts w:ascii="Times New Roman" w:hAnsi="Times New Roman" w:cs="Times New Roman"/>
        </w:rPr>
        <w:t xml:space="preserve"> punto</w:t>
      </w:r>
      <w:r w:rsidR="00642181" w:rsidRPr="00394005">
        <w:rPr>
          <w:rFonts w:ascii="Times New Roman" w:hAnsi="Times New Roman" w:cs="Times New Roman"/>
        </w:rPr>
        <w:t>s</w:t>
      </w:r>
      <w:r w:rsidRPr="00394005">
        <w:rPr>
          <w:rFonts w:ascii="Times New Roman" w:hAnsi="Times New Roman" w:cs="Times New Roman"/>
        </w:rPr>
        <w:t xml:space="preserve"> porcentual</w:t>
      </w:r>
      <w:r w:rsidR="00642181" w:rsidRPr="00394005">
        <w:rPr>
          <w:rFonts w:ascii="Times New Roman" w:hAnsi="Times New Roman" w:cs="Times New Roman"/>
        </w:rPr>
        <w:t>es</w:t>
      </w:r>
      <w:r w:rsidRPr="00394005">
        <w:rPr>
          <w:rFonts w:ascii="Times New Roman" w:hAnsi="Times New Roman" w:cs="Times New Roman"/>
        </w:rPr>
        <w:t xml:space="preserve"> </w:t>
      </w:r>
      <w:r w:rsidR="00642181" w:rsidRPr="00394005">
        <w:rPr>
          <w:rFonts w:ascii="Times New Roman" w:hAnsi="Times New Roman" w:cs="Times New Roman"/>
        </w:rPr>
        <w:t>menos</w:t>
      </w:r>
      <w:r w:rsidRPr="00394005">
        <w:rPr>
          <w:rFonts w:ascii="Times New Roman" w:hAnsi="Times New Roman" w:cs="Times New Roman"/>
        </w:rPr>
        <w:t xml:space="preserve"> que el 3.</w:t>
      </w:r>
      <w:r w:rsidR="00642181" w:rsidRPr="00394005">
        <w:rPr>
          <w:rFonts w:ascii="Times New Roman" w:hAnsi="Times New Roman" w:cs="Times New Roman"/>
        </w:rPr>
        <w:t>7</w:t>
      </w:r>
      <w:r w:rsidRPr="00394005">
        <w:rPr>
          <w:rFonts w:ascii="Times New Roman" w:hAnsi="Times New Roman" w:cs="Times New Roman"/>
        </w:rPr>
        <w:t xml:space="preserve">% para 2021, dicho valor </w:t>
      </w:r>
      <w:r w:rsidR="00642181" w:rsidRPr="00394005">
        <w:rPr>
          <w:rFonts w:ascii="Times New Roman" w:hAnsi="Times New Roman" w:cs="Times New Roman"/>
        </w:rPr>
        <w:t>aumentó 0.2 puntos porcentuales con respecto a</w:t>
      </w:r>
      <w:r w:rsidRPr="00394005">
        <w:rPr>
          <w:rFonts w:ascii="Times New Roman" w:hAnsi="Times New Roman" w:cs="Times New Roman"/>
        </w:rPr>
        <w:t xml:space="preserve"> la encuesta realizada en </w:t>
      </w:r>
      <w:r w:rsidR="00642181" w:rsidRPr="00394005">
        <w:rPr>
          <w:rFonts w:ascii="Times New Roman" w:hAnsi="Times New Roman" w:cs="Times New Roman"/>
        </w:rPr>
        <w:t>junio</w:t>
      </w:r>
      <w:r w:rsidRPr="00394005">
        <w:rPr>
          <w:rFonts w:ascii="Times New Roman" w:hAnsi="Times New Roman" w:cs="Times New Roman"/>
        </w:rPr>
        <w:t xml:space="preserve"> pasado. No obstante, las previsiones hasta esta fecha tanto a nivel nacional como internacional están sujetas a riesgos asociados a nuevas cepas con más fortaleza y mayor velocidad de contagio que las anteriores por lo que podría haber repuntes de dichos contagios, además de retrasos en torno a la vacunación, el alto desempleo, volatilidad en los mercados financieros y el incremento moderado de la deuda reciente derivado de los efectos económicos de la pandemia.</w:t>
      </w:r>
    </w:p>
    <w:p w14:paraId="711D441F" w14:textId="77777777" w:rsidR="00C027A7" w:rsidRPr="00394005" w:rsidRDefault="00C027A7" w:rsidP="00322670">
      <w:pPr>
        <w:spacing w:after="0" w:line="240" w:lineRule="auto"/>
        <w:jc w:val="both"/>
        <w:rPr>
          <w:rFonts w:ascii="Times New Roman" w:hAnsi="Times New Roman" w:cs="Times New Roman"/>
        </w:rPr>
      </w:pPr>
    </w:p>
    <w:p w14:paraId="0ACB4F6D" w14:textId="1003FDF2" w:rsidR="00C027A7" w:rsidRPr="00394005" w:rsidRDefault="00C027A7" w:rsidP="00E851D2">
      <w:pPr>
        <w:pStyle w:val="Epgrafe"/>
        <w:jc w:val="center"/>
        <w:rPr>
          <w:rFonts w:ascii="Times New Roman" w:hAnsi="Times New Roman" w:cs="Times New Roman"/>
          <w:b/>
          <w:bCs/>
          <w:color w:val="auto"/>
          <w:sz w:val="20"/>
          <w:szCs w:val="20"/>
        </w:rPr>
      </w:pPr>
      <w:bookmarkStart w:id="565" w:name="_Toc81573073"/>
      <w:r w:rsidRPr="00394005">
        <w:rPr>
          <w:rFonts w:ascii="Times New Roman" w:hAnsi="Times New Roman" w:cs="Times New Roman"/>
          <w:b/>
          <w:color w:val="auto"/>
          <w:sz w:val="20"/>
        </w:rPr>
        <w:t xml:space="preserve">Gráfico </w:t>
      </w:r>
      <w:r w:rsidRPr="00394005">
        <w:rPr>
          <w:rFonts w:ascii="Times New Roman" w:hAnsi="Times New Roman" w:cs="Times New Roman"/>
          <w:b/>
          <w:color w:val="auto"/>
          <w:sz w:val="20"/>
        </w:rPr>
        <w:fldChar w:fldCharType="begin"/>
      </w:r>
      <w:r w:rsidRPr="00394005">
        <w:rPr>
          <w:rFonts w:ascii="Times New Roman" w:hAnsi="Times New Roman" w:cs="Times New Roman"/>
          <w:b/>
          <w:color w:val="auto"/>
          <w:sz w:val="20"/>
        </w:rPr>
        <w:instrText xml:space="preserve"> SEQ Gráfico \* ARABIC </w:instrText>
      </w:r>
      <w:r w:rsidRPr="00394005">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23</w:t>
      </w:r>
      <w:r w:rsidRPr="00394005">
        <w:rPr>
          <w:rFonts w:ascii="Times New Roman" w:hAnsi="Times New Roman" w:cs="Times New Roman"/>
          <w:b/>
          <w:color w:val="auto"/>
          <w:sz w:val="20"/>
        </w:rPr>
        <w:fldChar w:fldCharType="end"/>
      </w:r>
      <w:r w:rsidRPr="00394005">
        <w:rPr>
          <w:rFonts w:ascii="Times New Roman" w:hAnsi="Times New Roman" w:cs="Times New Roman"/>
          <w:b/>
          <w:color w:val="auto"/>
          <w:sz w:val="20"/>
        </w:rPr>
        <w:t xml:space="preserve">  </w:t>
      </w:r>
      <w:r w:rsidRPr="00394005">
        <w:rPr>
          <w:rFonts w:ascii="Times New Roman" w:hAnsi="Times New Roman" w:cs="Times New Roman"/>
          <w:b/>
          <w:bCs/>
          <w:i w:val="0"/>
          <w:color w:val="auto"/>
          <w:sz w:val="22"/>
          <w:szCs w:val="20"/>
        </w:rPr>
        <w:t>Crecimiento económico de mediano plazo</w:t>
      </w:r>
      <w:bookmarkEnd w:id="565"/>
    </w:p>
    <w:p w14:paraId="34B2CD4F" w14:textId="2B7F3A90" w:rsidR="00322670" w:rsidRPr="00394005" w:rsidRDefault="0036126A" w:rsidP="00322670">
      <w:pPr>
        <w:spacing w:after="0" w:line="240" w:lineRule="auto"/>
        <w:jc w:val="center"/>
        <w:rPr>
          <w:rFonts w:ascii="Times New Roman" w:hAnsi="Times New Roman" w:cs="Times New Roman"/>
        </w:rPr>
      </w:pPr>
      <w:r>
        <w:rPr>
          <w:noProof/>
          <w:lang w:val="es-ES" w:eastAsia="es-ES"/>
        </w:rPr>
        <w:drawing>
          <wp:inline distT="0" distB="0" distL="0" distR="0" wp14:anchorId="4AF66EEB" wp14:editId="5DF6BDC6">
            <wp:extent cx="5040000" cy="2160000"/>
            <wp:effectExtent l="0" t="0" r="8255" b="0"/>
            <wp:docPr id="109" name="Gráfico 10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4EF2BA0-3D55-49D0-9977-4D5BA56347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A7B18D4" w14:textId="14D7F7C0" w:rsidR="00322670" w:rsidRPr="00394005" w:rsidRDefault="00322670" w:rsidP="00322670">
      <w:pPr>
        <w:spacing w:after="0" w:line="240" w:lineRule="auto"/>
        <w:ind w:left="708"/>
        <w:rPr>
          <w:rFonts w:ascii="Times New Roman" w:hAnsi="Times New Roman" w:cs="Times New Roman"/>
          <w:sz w:val="18"/>
          <w:szCs w:val="18"/>
        </w:rPr>
      </w:pPr>
      <w:r w:rsidRPr="00394005">
        <w:rPr>
          <w:rFonts w:ascii="Times New Roman" w:hAnsi="Times New Roman" w:cs="Times New Roman"/>
          <w:sz w:val="18"/>
          <w:szCs w:val="18"/>
        </w:rPr>
        <w:t>Fuente: Dirección de análisis y Política Fiscal con información del Fondo Monetario Nacional -WEO abril 2021-, Banco de Guatemala -</w:t>
      </w:r>
      <w:r w:rsidR="0036126A">
        <w:rPr>
          <w:rFonts w:ascii="Times New Roman" w:hAnsi="Times New Roman" w:cs="Times New Roman"/>
          <w:sz w:val="18"/>
          <w:szCs w:val="18"/>
        </w:rPr>
        <w:t>Julio</w:t>
      </w:r>
      <w:r w:rsidRPr="00394005">
        <w:rPr>
          <w:rFonts w:ascii="Times New Roman" w:hAnsi="Times New Roman" w:cs="Times New Roman"/>
          <w:sz w:val="18"/>
          <w:szCs w:val="18"/>
        </w:rPr>
        <w:t xml:space="preserve"> 2021- y Banco Mundial -</w:t>
      </w:r>
      <w:r w:rsidR="009173EB" w:rsidRPr="00394005">
        <w:rPr>
          <w:rFonts w:ascii="Times New Roman" w:hAnsi="Times New Roman" w:cs="Times New Roman"/>
          <w:sz w:val="18"/>
          <w:szCs w:val="18"/>
        </w:rPr>
        <w:t>enero</w:t>
      </w:r>
      <w:r w:rsidRPr="00394005">
        <w:rPr>
          <w:rFonts w:ascii="Times New Roman" w:hAnsi="Times New Roman" w:cs="Times New Roman"/>
          <w:sz w:val="18"/>
          <w:szCs w:val="18"/>
        </w:rPr>
        <w:t xml:space="preserve"> 2021-</w:t>
      </w:r>
    </w:p>
    <w:p w14:paraId="6F7461A4" w14:textId="77777777" w:rsidR="00322670" w:rsidRPr="00394005" w:rsidRDefault="00322670" w:rsidP="00322670">
      <w:pPr>
        <w:spacing w:after="0" w:line="240" w:lineRule="auto"/>
        <w:jc w:val="center"/>
        <w:rPr>
          <w:rFonts w:ascii="Times New Roman" w:hAnsi="Times New Roman" w:cs="Times New Roman"/>
        </w:rPr>
      </w:pPr>
    </w:p>
    <w:p w14:paraId="5ED2CE9B" w14:textId="77777777" w:rsidR="00322670" w:rsidRPr="00394005" w:rsidRDefault="00322670" w:rsidP="00322670">
      <w:pPr>
        <w:spacing w:after="0" w:line="240" w:lineRule="auto"/>
        <w:jc w:val="both"/>
        <w:rPr>
          <w:rFonts w:ascii="Times New Roman" w:hAnsi="Times New Roman" w:cs="Times New Roman"/>
        </w:rPr>
      </w:pPr>
      <w:r w:rsidRPr="00394005">
        <w:rPr>
          <w:rFonts w:ascii="Times New Roman" w:hAnsi="Times New Roman" w:cs="Times New Roman"/>
        </w:rPr>
        <w:t xml:space="preserve">El crecimiento económico del mediano plazo 2022-2026 (según el Fondo Monetario Internacional) se convergerá alrededor de 3.5% a partir del 2023 considerando la eliminación de las restricciones a la movilidad social como consecuencia de la vacunación de la mayoría de la población y con ello la mayoría de las actividades económicas alcancen su total normalidad además de la percepción de un mejor entorno internacional para el futuro lo cual mejorará el comercio y con ello un mejor escenario para las exportaciones. El Banco de Guatemala también pronostica un comportamiento similar, aunque levemente mejor que el FMI. </w:t>
      </w:r>
    </w:p>
    <w:p w14:paraId="584CFE3A" w14:textId="77777777" w:rsidR="00322670" w:rsidRPr="00394005" w:rsidRDefault="00322670" w:rsidP="00322670">
      <w:pPr>
        <w:spacing w:after="0" w:line="240" w:lineRule="auto"/>
        <w:jc w:val="both"/>
        <w:rPr>
          <w:rFonts w:ascii="Times New Roman" w:hAnsi="Times New Roman" w:cs="Times New Roman"/>
        </w:rPr>
      </w:pPr>
    </w:p>
    <w:p w14:paraId="1CC1E2D2" w14:textId="77777777" w:rsidR="00322670" w:rsidRPr="00394005" w:rsidRDefault="00322670" w:rsidP="00322670">
      <w:pPr>
        <w:spacing w:after="0" w:line="240" w:lineRule="auto"/>
        <w:jc w:val="both"/>
        <w:rPr>
          <w:rFonts w:ascii="Times New Roman" w:hAnsi="Times New Roman" w:cs="Times New Roman"/>
        </w:rPr>
      </w:pPr>
      <w:r w:rsidRPr="00394005">
        <w:rPr>
          <w:rFonts w:ascii="Times New Roman" w:hAnsi="Times New Roman" w:cs="Times New Roman"/>
        </w:rPr>
        <w:t>En torno al empleo se espera la normalización del número de cotizantes al Instituto Guatemalteco de Seguridad Social -IGSS- a los mismos niveles prepandemia, después de la fuerte caída en 2020; dicha recuperación será derivado de la normalización de las actividades económicas y la normalización de la movilidad social.</w:t>
      </w:r>
    </w:p>
    <w:p w14:paraId="55274D68" w14:textId="77777777" w:rsidR="002C7396" w:rsidRPr="00394005" w:rsidRDefault="002C7396" w:rsidP="00322670">
      <w:pPr>
        <w:spacing w:after="0" w:line="240" w:lineRule="auto"/>
        <w:jc w:val="both"/>
        <w:rPr>
          <w:rFonts w:ascii="Times New Roman" w:hAnsi="Times New Roman" w:cs="Times New Roman"/>
        </w:rPr>
      </w:pPr>
    </w:p>
    <w:p w14:paraId="5FD174AF" w14:textId="77777777" w:rsidR="00322670" w:rsidRPr="009173EB" w:rsidRDefault="00322670" w:rsidP="001032E7">
      <w:pPr>
        <w:pStyle w:val="Ttulo2"/>
        <w:numPr>
          <w:ilvl w:val="3"/>
          <w:numId w:val="28"/>
        </w:numPr>
        <w:tabs>
          <w:tab w:val="left" w:pos="851"/>
        </w:tabs>
        <w:spacing w:before="0"/>
        <w:ind w:left="851" w:hanging="360"/>
        <w:rPr>
          <w:rFonts w:ascii="Times New Roman" w:hAnsi="Times New Roman" w:cs="Times New Roman"/>
          <w:color w:val="auto"/>
          <w:sz w:val="24"/>
          <w:lang w:val="es-GT"/>
        </w:rPr>
      </w:pPr>
      <w:r w:rsidRPr="009173EB">
        <w:rPr>
          <w:rFonts w:ascii="Times New Roman" w:hAnsi="Times New Roman" w:cs="Times New Roman"/>
          <w:color w:val="auto"/>
          <w:sz w:val="24"/>
          <w:lang w:val="es-GT"/>
        </w:rPr>
        <w:t xml:space="preserve"> </w:t>
      </w:r>
      <w:bookmarkStart w:id="566" w:name="_Toc72489392"/>
      <w:bookmarkStart w:id="567" w:name="_Toc81571875"/>
      <w:r w:rsidRPr="009173EB">
        <w:rPr>
          <w:rFonts w:ascii="Times New Roman" w:hAnsi="Times New Roman" w:cs="Times New Roman"/>
          <w:color w:val="auto"/>
          <w:sz w:val="24"/>
          <w:lang w:val="es-GT"/>
        </w:rPr>
        <w:t>Inflación doméstica</w:t>
      </w:r>
      <w:bookmarkEnd w:id="566"/>
      <w:bookmarkEnd w:id="567"/>
    </w:p>
    <w:p w14:paraId="0176389E" w14:textId="77777777" w:rsidR="00322670" w:rsidRPr="00394005" w:rsidRDefault="00322670" w:rsidP="002C7396">
      <w:pPr>
        <w:spacing w:after="0" w:line="240" w:lineRule="auto"/>
        <w:rPr>
          <w:lang w:val="es-MX"/>
        </w:rPr>
      </w:pPr>
    </w:p>
    <w:p w14:paraId="2F66AD1D" w14:textId="4D750527" w:rsidR="00322670" w:rsidRPr="00394005" w:rsidRDefault="00322670" w:rsidP="002C7396">
      <w:pPr>
        <w:spacing w:after="0" w:line="240" w:lineRule="auto"/>
        <w:jc w:val="both"/>
        <w:rPr>
          <w:rFonts w:ascii="Times New Roman" w:hAnsi="Times New Roman" w:cs="Times New Roman"/>
        </w:rPr>
      </w:pPr>
      <w:r w:rsidRPr="00394005">
        <w:rPr>
          <w:rFonts w:ascii="Times New Roman" w:hAnsi="Times New Roman" w:cs="Times New Roman"/>
        </w:rPr>
        <w:t>Para el 2022 el panel de analistas privados de Guatemala tiene la expectativa de que la inflación se encuentre alrededor del 4.</w:t>
      </w:r>
      <w:r w:rsidR="00642181" w:rsidRPr="00394005">
        <w:rPr>
          <w:rFonts w:ascii="Times New Roman" w:hAnsi="Times New Roman" w:cs="Times New Roman"/>
        </w:rPr>
        <w:t>36</w:t>
      </w:r>
      <w:r w:rsidRPr="00394005">
        <w:rPr>
          <w:rFonts w:ascii="Times New Roman" w:hAnsi="Times New Roman" w:cs="Times New Roman"/>
        </w:rPr>
        <w:t xml:space="preserve">%, según la encuesta de expectativas económicas del panel de analistas privados de </w:t>
      </w:r>
      <w:r w:rsidR="00642181" w:rsidRPr="00394005">
        <w:rPr>
          <w:rFonts w:ascii="Times New Roman" w:hAnsi="Times New Roman" w:cs="Times New Roman"/>
        </w:rPr>
        <w:t>julio</w:t>
      </w:r>
      <w:r w:rsidRPr="00394005">
        <w:rPr>
          <w:rFonts w:ascii="Times New Roman" w:hAnsi="Times New Roman" w:cs="Times New Roman"/>
        </w:rPr>
        <w:t xml:space="preserve"> 2021, aun dentro del margen de tolerancia de la meta de inflación. Asimismo, la expectativa para la inflación de 24 meses (</w:t>
      </w:r>
      <w:r w:rsidR="00642181" w:rsidRPr="00394005">
        <w:rPr>
          <w:rFonts w:ascii="Times New Roman" w:hAnsi="Times New Roman" w:cs="Times New Roman"/>
        </w:rPr>
        <w:t>julio</w:t>
      </w:r>
      <w:r w:rsidRPr="00394005">
        <w:rPr>
          <w:rFonts w:ascii="Times New Roman" w:hAnsi="Times New Roman" w:cs="Times New Roman"/>
        </w:rPr>
        <w:t xml:space="preserve"> 2023) es de 4.</w:t>
      </w:r>
      <w:r w:rsidR="00642181" w:rsidRPr="00394005">
        <w:rPr>
          <w:rFonts w:ascii="Times New Roman" w:hAnsi="Times New Roman" w:cs="Times New Roman"/>
        </w:rPr>
        <w:t>12</w:t>
      </w:r>
      <w:r w:rsidRPr="00394005">
        <w:rPr>
          <w:rFonts w:ascii="Times New Roman" w:hAnsi="Times New Roman" w:cs="Times New Roman"/>
        </w:rPr>
        <w:t>%. Los factores que más influyen, según el panel, sobre la inflación son los precios de los combustibles y del petróleo, el tipo de cambio nominal, el desempeño de la política fiscal y monetaria, entre otros factores.</w:t>
      </w:r>
      <w:r w:rsidR="00B6733D" w:rsidRPr="00394005">
        <w:rPr>
          <w:rFonts w:ascii="Times New Roman" w:hAnsi="Times New Roman" w:cs="Times New Roman"/>
        </w:rPr>
        <w:t xml:space="preserve"> Por otro lado, se prono</w:t>
      </w:r>
      <w:r w:rsidRPr="00394005">
        <w:rPr>
          <w:rFonts w:ascii="Times New Roman" w:hAnsi="Times New Roman" w:cs="Times New Roman"/>
        </w:rPr>
        <w:t>stica que la inflación subyacente se encuentre en 3.75% para diciembre de 2022.</w:t>
      </w:r>
    </w:p>
    <w:p w14:paraId="110BEF5B" w14:textId="77777777" w:rsidR="002C7396" w:rsidRPr="00394005" w:rsidRDefault="002C7396" w:rsidP="002C7396">
      <w:pPr>
        <w:spacing w:after="0" w:line="240" w:lineRule="auto"/>
        <w:jc w:val="both"/>
        <w:rPr>
          <w:rFonts w:ascii="Times New Roman" w:hAnsi="Times New Roman" w:cs="Times New Roman"/>
        </w:rPr>
      </w:pPr>
    </w:p>
    <w:p w14:paraId="11EA2F6B" w14:textId="77777777" w:rsidR="00322670" w:rsidRPr="00394005" w:rsidRDefault="00322670" w:rsidP="002C7396">
      <w:pPr>
        <w:spacing w:after="0" w:line="240" w:lineRule="auto"/>
        <w:jc w:val="both"/>
        <w:rPr>
          <w:rFonts w:ascii="Times New Roman" w:hAnsi="Times New Roman" w:cs="Times New Roman"/>
        </w:rPr>
      </w:pPr>
      <w:r w:rsidRPr="00394005">
        <w:rPr>
          <w:rFonts w:ascii="Times New Roman" w:hAnsi="Times New Roman" w:cs="Times New Roman"/>
        </w:rPr>
        <w:t>Entre los riesgos al alza en las perspectivas de inflación que el Banco de Guatemala se considera se encuentran los avances en la vacunación contra la pandemia, la continuidad de políticas fiscales y monetarias para la recuperación económica, aumentos en los precios de petróleo, la estabilización de relaciones comerciales entre EE.UU. y sus socios, un crecimiento mayor al tendencial de las remesas familiares y choques de oferta. En el mismo sentido, los riesgos a la baja considerados fueron la incertidumbre y volatilidad de los mercados financieros y de materias primas, tensiones comerciales geopolíticas, retos que obstaculicen el proceso de vacunación a nivel nacional y una ejecución presupuestaria menor a la esperada por parte de la política fiscal.</w:t>
      </w:r>
    </w:p>
    <w:p w14:paraId="6029E44A" w14:textId="77777777" w:rsidR="00322670" w:rsidRPr="00394005" w:rsidRDefault="00322670" w:rsidP="00B6733D">
      <w:pPr>
        <w:spacing w:after="0"/>
        <w:jc w:val="both"/>
        <w:rPr>
          <w:rFonts w:ascii="Times New Roman" w:hAnsi="Times New Roman" w:cs="Times New Roman"/>
        </w:rPr>
      </w:pPr>
    </w:p>
    <w:p w14:paraId="4227C6DC" w14:textId="77777777" w:rsidR="00322670" w:rsidRPr="009173EB" w:rsidRDefault="00322670" w:rsidP="001032E7">
      <w:pPr>
        <w:pStyle w:val="Ttulo2"/>
        <w:numPr>
          <w:ilvl w:val="3"/>
          <w:numId w:val="28"/>
        </w:numPr>
        <w:tabs>
          <w:tab w:val="left" w:pos="851"/>
          <w:tab w:val="left" w:pos="1134"/>
        </w:tabs>
        <w:spacing w:before="0"/>
        <w:ind w:left="851" w:hanging="360"/>
        <w:rPr>
          <w:rFonts w:ascii="Times New Roman" w:hAnsi="Times New Roman" w:cs="Times New Roman"/>
          <w:color w:val="auto"/>
          <w:sz w:val="24"/>
          <w:lang w:val="es-GT"/>
        </w:rPr>
      </w:pPr>
      <w:bookmarkStart w:id="568" w:name="_Toc72489393"/>
      <w:bookmarkStart w:id="569" w:name="_Toc81571876"/>
      <w:r w:rsidRPr="009173EB">
        <w:rPr>
          <w:rFonts w:ascii="Times New Roman" w:hAnsi="Times New Roman" w:cs="Times New Roman"/>
          <w:color w:val="auto"/>
          <w:sz w:val="24"/>
          <w:lang w:val="es-GT"/>
        </w:rPr>
        <w:t>Sector externo</w:t>
      </w:r>
      <w:bookmarkEnd w:id="568"/>
      <w:bookmarkEnd w:id="569"/>
    </w:p>
    <w:p w14:paraId="0B04AB29" w14:textId="77777777" w:rsidR="00322670" w:rsidRPr="00394005" w:rsidRDefault="00322670" w:rsidP="002C7396">
      <w:pPr>
        <w:spacing w:after="0" w:line="240" w:lineRule="auto"/>
        <w:jc w:val="both"/>
        <w:rPr>
          <w:lang w:eastAsia="es-ES"/>
        </w:rPr>
      </w:pPr>
    </w:p>
    <w:p w14:paraId="4D26F113" w14:textId="60114CD5" w:rsidR="00322670" w:rsidRPr="00394005" w:rsidRDefault="00322670" w:rsidP="002C7396">
      <w:pPr>
        <w:spacing w:after="0" w:line="240" w:lineRule="auto"/>
        <w:jc w:val="both"/>
        <w:rPr>
          <w:rFonts w:ascii="Times New Roman" w:hAnsi="Times New Roman" w:cs="Times New Roman"/>
        </w:rPr>
      </w:pPr>
      <w:r w:rsidRPr="00394005">
        <w:rPr>
          <w:rFonts w:ascii="Times New Roman" w:hAnsi="Times New Roman" w:cs="Times New Roman"/>
        </w:rPr>
        <w:t>Dado a que el ingreso de divisas por remesas familiares reviste una gran importancia en el país dado que representa alrededor del 13% del PIB, entre el 10% y 20% de hogares reciben dichas remesas. Además, el 80% de las remesas que se reciben se destinan a la compra de productos básicos según el Banco Interamericano de Desarrollo (BID, 2019) y las mismas tendrán un crecimiento de 1</w:t>
      </w:r>
      <w:r w:rsidR="00E76E4D">
        <w:rPr>
          <w:rFonts w:ascii="Times New Roman" w:hAnsi="Times New Roman" w:cs="Times New Roman"/>
        </w:rPr>
        <w:t>1</w:t>
      </w:r>
      <w:r w:rsidRPr="00394005">
        <w:rPr>
          <w:rFonts w:ascii="Times New Roman" w:hAnsi="Times New Roman" w:cs="Times New Roman"/>
        </w:rPr>
        <w:t xml:space="preserve">% en 2022 menor al </w:t>
      </w:r>
      <w:r w:rsidR="00E76E4D">
        <w:rPr>
          <w:rFonts w:ascii="Times New Roman" w:hAnsi="Times New Roman" w:cs="Times New Roman"/>
        </w:rPr>
        <w:t>22.5</w:t>
      </w:r>
      <w:r w:rsidRPr="00394005">
        <w:rPr>
          <w:rFonts w:ascii="Times New Roman" w:hAnsi="Times New Roman" w:cs="Times New Roman"/>
        </w:rPr>
        <w:t xml:space="preserve">% que tendría en 2021, en un rango de +/- 1.5%, según información del Banco de Guatemala para el primer cuatrimestre del año, esto derivado de un retorno a la normalización del desempleo hispano en los Estados Unidos de Norteamérica después de una disparo sin precedentes particularmente en los servicios de educación, salud, industria del esparcimiento y la hotelería que son los principales empleadores para los connacionales en dicho país. </w:t>
      </w:r>
    </w:p>
    <w:p w14:paraId="69FB540B" w14:textId="77777777" w:rsidR="002C7396" w:rsidRPr="00394005" w:rsidRDefault="002C7396" w:rsidP="002C7396">
      <w:pPr>
        <w:spacing w:after="0" w:line="240" w:lineRule="auto"/>
        <w:jc w:val="both"/>
        <w:rPr>
          <w:rFonts w:ascii="Times New Roman" w:hAnsi="Times New Roman" w:cs="Times New Roman"/>
        </w:rPr>
      </w:pPr>
    </w:p>
    <w:p w14:paraId="69D42AA5" w14:textId="77777777" w:rsidR="002C7396" w:rsidRPr="00394005" w:rsidRDefault="00322670" w:rsidP="002C7396">
      <w:pPr>
        <w:spacing w:after="0" w:line="240" w:lineRule="auto"/>
        <w:jc w:val="both"/>
        <w:rPr>
          <w:rFonts w:ascii="Times New Roman" w:hAnsi="Times New Roman" w:cs="Times New Roman"/>
        </w:rPr>
      </w:pPr>
      <w:r w:rsidRPr="00394005">
        <w:rPr>
          <w:rFonts w:ascii="Times New Roman" w:hAnsi="Times New Roman" w:cs="Times New Roman"/>
        </w:rPr>
        <w:t>Por su parte se espera un crecimiento del comercio mundial alrededor de un 4.0% en 2022 (es decir debajo de su tendencia anterior a la pandemia) después de un posible 8.0% en 2021, es decir sufriría una caída 4 puntos porcentuales según la Organización Mundial del Comercio -OMC-, luego de que en 2020 el comercio mundial de mercancías disminuyó un 5.3%, menor a la que se tenía inicialmente.</w:t>
      </w:r>
    </w:p>
    <w:p w14:paraId="0B74F76D" w14:textId="77777777" w:rsidR="00322670" w:rsidRPr="00394005" w:rsidRDefault="00322670" w:rsidP="002C7396">
      <w:pPr>
        <w:spacing w:after="0" w:line="240" w:lineRule="auto"/>
        <w:jc w:val="both"/>
        <w:rPr>
          <w:rFonts w:ascii="Times New Roman" w:hAnsi="Times New Roman" w:cs="Times New Roman"/>
        </w:rPr>
      </w:pPr>
      <w:r w:rsidRPr="00394005">
        <w:rPr>
          <w:rFonts w:ascii="Times New Roman" w:hAnsi="Times New Roman" w:cs="Times New Roman"/>
        </w:rPr>
        <w:t xml:space="preserve"> </w:t>
      </w:r>
    </w:p>
    <w:p w14:paraId="2144D143" w14:textId="77777777" w:rsidR="00322670" w:rsidRPr="00394005" w:rsidRDefault="00322670" w:rsidP="002C7396">
      <w:pPr>
        <w:spacing w:after="0" w:line="240" w:lineRule="auto"/>
        <w:jc w:val="both"/>
        <w:rPr>
          <w:rFonts w:ascii="Times New Roman" w:hAnsi="Times New Roman" w:cs="Times New Roman"/>
        </w:rPr>
      </w:pPr>
      <w:r w:rsidRPr="00394005">
        <w:rPr>
          <w:rFonts w:ascii="Times New Roman" w:hAnsi="Times New Roman" w:cs="Times New Roman"/>
        </w:rPr>
        <w:t xml:space="preserve">Por su parte el tipo de cambio después que en 2020 tuvo un comportamiento atípico derivado de la incertidumbre por la propagación de la pandemia por el COVID-19 según el Banco de Guatemala, en 2022 tendería a un comportamiento con tendencia normal derivado a que las remesas disminuirían un 4.5 puntos porcentuales en dicho año con referencia al 2021, es decir, levemente menor a los niveles antes de la pandemia así como al retorno de la normalización de las importaciones y la recuperación del precio del petróleo que podría estar levemente mayor a los niveles pre pandemia. </w:t>
      </w:r>
    </w:p>
    <w:p w14:paraId="681CC7D0" w14:textId="77777777" w:rsidR="00322670" w:rsidRPr="00394005" w:rsidRDefault="00322670" w:rsidP="002C7396">
      <w:pPr>
        <w:spacing w:after="0" w:line="240" w:lineRule="auto"/>
        <w:rPr>
          <w:lang w:eastAsia="es-ES"/>
        </w:rPr>
      </w:pPr>
    </w:p>
    <w:p w14:paraId="332A538D" w14:textId="77777777" w:rsidR="00322670" w:rsidRPr="009173EB" w:rsidRDefault="005135D3" w:rsidP="001032E7">
      <w:pPr>
        <w:pStyle w:val="Ttulo2"/>
        <w:numPr>
          <w:ilvl w:val="1"/>
          <w:numId w:val="28"/>
        </w:numPr>
        <w:tabs>
          <w:tab w:val="left" w:pos="851"/>
        </w:tabs>
        <w:spacing w:before="0"/>
        <w:ind w:left="567"/>
        <w:rPr>
          <w:rFonts w:ascii="Times New Roman" w:hAnsi="Times New Roman" w:cs="Times New Roman"/>
          <w:color w:val="auto"/>
          <w:sz w:val="24"/>
          <w:lang w:val="es-GT"/>
        </w:rPr>
      </w:pPr>
      <w:bookmarkStart w:id="570" w:name="_Toc72489394"/>
      <w:r w:rsidRPr="009173EB">
        <w:rPr>
          <w:rFonts w:ascii="Times New Roman" w:hAnsi="Times New Roman" w:cs="Times New Roman"/>
          <w:color w:val="auto"/>
          <w:sz w:val="24"/>
          <w:lang w:val="es-GT"/>
        </w:rPr>
        <w:t xml:space="preserve"> </w:t>
      </w:r>
      <w:bookmarkStart w:id="571" w:name="_Toc81571877"/>
      <w:r w:rsidR="00322670" w:rsidRPr="009173EB">
        <w:rPr>
          <w:rFonts w:ascii="Times New Roman" w:hAnsi="Times New Roman" w:cs="Times New Roman"/>
          <w:color w:val="auto"/>
          <w:sz w:val="24"/>
          <w:lang w:val="es-GT"/>
        </w:rPr>
        <w:t>Proyecciones de mediano plazo</w:t>
      </w:r>
      <w:bookmarkEnd w:id="570"/>
      <w:bookmarkEnd w:id="571"/>
    </w:p>
    <w:p w14:paraId="79D40BA8" w14:textId="77777777" w:rsidR="003D6BFA" w:rsidRPr="00394005" w:rsidRDefault="003D6BFA" w:rsidP="002C7396">
      <w:pPr>
        <w:spacing w:after="0" w:line="240" w:lineRule="auto"/>
        <w:jc w:val="both"/>
        <w:rPr>
          <w:rFonts w:ascii="Times New Roman" w:hAnsi="Times New Roman" w:cs="Times New Roman"/>
        </w:rPr>
      </w:pPr>
    </w:p>
    <w:p w14:paraId="56D01827" w14:textId="762D7FDD" w:rsidR="003D6BFA" w:rsidRPr="00394005" w:rsidRDefault="003D6BFA" w:rsidP="002C7396">
      <w:pPr>
        <w:spacing w:after="0" w:line="240" w:lineRule="auto"/>
        <w:jc w:val="both"/>
        <w:rPr>
          <w:rFonts w:ascii="Times New Roman" w:hAnsi="Times New Roman" w:cs="Times New Roman"/>
        </w:rPr>
      </w:pPr>
      <w:r w:rsidRPr="00394005">
        <w:rPr>
          <w:rFonts w:ascii="Times New Roman" w:hAnsi="Times New Roman" w:cs="Times New Roman"/>
        </w:rPr>
        <w:t xml:space="preserve">En base a los supuestos del mediano plazo del contexto internacional y del mercado interno se estima que el crecimiento del producto interno bruto ronde alrededor del escenario medio previsto por el Banco de Guatemala, se ubique alrededor de </w:t>
      </w:r>
      <w:r w:rsidR="00E76E4D">
        <w:rPr>
          <w:rFonts w:ascii="Times New Roman" w:hAnsi="Times New Roman" w:cs="Times New Roman"/>
        </w:rPr>
        <w:t>4.5</w:t>
      </w:r>
      <w:r w:rsidRPr="00394005">
        <w:rPr>
          <w:rFonts w:ascii="Times New Roman" w:hAnsi="Times New Roman" w:cs="Times New Roman"/>
        </w:rPr>
        <w:t xml:space="preserve">% para el año 2022, mostrando una pequeña desaceleración con respecto a lo previsto para 2021; Posteriormente se prevé que el crecimiento económico en el 2023 se ubique en </w:t>
      </w:r>
      <w:r w:rsidR="00E76E4D">
        <w:rPr>
          <w:rFonts w:ascii="Times New Roman" w:hAnsi="Times New Roman" w:cs="Times New Roman"/>
        </w:rPr>
        <w:t>3.7</w:t>
      </w:r>
      <w:r w:rsidRPr="00394005">
        <w:rPr>
          <w:rFonts w:ascii="Times New Roman" w:hAnsi="Times New Roman" w:cs="Times New Roman"/>
        </w:rPr>
        <w:t xml:space="preserve">% y que para el 2026 </w:t>
      </w:r>
      <w:r w:rsidR="00E76E4D">
        <w:rPr>
          <w:rFonts w:ascii="Times New Roman" w:hAnsi="Times New Roman" w:cs="Times New Roman"/>
        </w:rPr>
        <w:t>siga alrededor del mismo valor</w:t>
      </w:r>
      <w:r w:rsidRPr="00394005">
        <w:rPr>
          <w:rFonts w:ascii="Times New Roman" w:hAnsi="Times New Roman" w:cs="Times New Roman"/>
        </w:rPr>
        <w:t xml:space="preserve">. Por parte del Producto Interno Bruto nominal se estima un crecimiento de </w:t>
      </w:r>
      <w:r w:rsidR="00E76E4D">
        <w:rPr>
          <w:rFonts w:ascii="Times New Roman" w:hAnsi="Times New Roman" w:cs="Times New Roman"/>
        </w:rPr>
        <w:t>7.8</w:t>
      </w:r>
      <w:r w:rsidRPr="00394005">
        <w:rPr>
          <w:rFonts w:ascii="Times New Roman" w:hAnsi="Times New Roman" w:cs="Times New Roman"/>
        </w:rPr>
        <w:t>% en el 2022, en el 2023 un crecimiento de 6.3% y para el 2026 de 6.4%. Asimismo, conforme avance la recuperación de la economía interna, se espera que la inflación se ubique en el en el valor central del rango de meta del Banco de Guatemala (4.0%) en el período de 2022 a 2026. Lo anterior, se debe a la mejora de condiciones económicas de la economía interna y de los principales socios comerciales.</w:t>
      </w:r>
    </w:p>
    <w:p w14:paraId="083B6E35" w14:textId="77777777" w:rsidR="002C7396" w:rsidRPr="00394005" w:rsidRDefault="002C7396" w:rsidP="002C7396">
      <w:pPr>
        <w:spacing w:after="0" w:line="240" w:lineRule="auto"/>
        <w:jc w:val="both"/>
        <w:rPr>
          <w:rFonts w:ascii="Times New Roman" w:hAnsi="Times New Roman" w:cs="Times New Roman"/>
        </w:rPr>
      </w:pPr>
    </w:p>
    <w:p w14:paraId="6AFF9927" w14:textId="47E26FD2" w:rsidR="003D6BFA" w:rsidRPr="00394005" w:rsidRDefault="003D6BFA" w:rsidP="002C7396">
      <w:pPr>
        <w:spacing w:after="0" w:line="240" w:lineRule="auto"/>
        <w:jc w:val="both"/>
        <w:rPr>
          <w:rFonts w:ascii="Times New Roman" w:hAnsi="Times New Roman" w:cs="Times New Roman"/>
        </w:rPr>
      </w:pPr>
      <w:r w:rsidRPr="00394005">
        <w:rPr>
          <w:rFonts w:ascii="Times New Roman" w:hAnsi="Times New Roman" w:cs="Times New Roman"/>
        </w:rPr>
        <w:t xml:space="preserve">Para el sector externo de la economía, se proyecta </w:t>
      </w:r>
      <w:r w:rsidR="002C7396" w:rsidRPr="00394005">
        <w:rPr>
          <w:rFonts w:ascii="Times New Roman" w:hAnsi="Times New Roman" w:cs="Times New Roman"/>
        </w:rPr>
        <w:t>que,</w:t>
      </w:r>
      <w:r w:rsidRPr="00394005">
        <w:rPr>
          <w:rFonts w:ascii="Times New Roman" w:hAnsi="Times New Roman" w:cs="Times New Roman"/>
        </w:rPr>
        <w:t xml:space="preserve"> en el 2022, las importaciones de bienes tengan un crecimiento de 7.</w:t>
      </w:r>
      <w:r w:rsidR="00E76E4D">
        <w:rPr>
          <w:rFonts w:ascii="Times New Roman" w:hAnsi="Times New Roman" w:cs="Times New Roman"/>
        </w:rPr>
        <w:t>5</w:t>
      </w:r>
      <w:r w:rsidRPr="00394005">
        <w:rPr>
          <w:rFonts w:ascii="Times New Roman" w:hAnsi="Times New Roman" w:cs="Times New Roman"/>
        </w:rPr>
        <w:t xml:space="preserve">%, volviendo a su crecimiento tendencial de los últimos años previo a la pandemia, en los años posteriores se espera que el crecimiento de las importaciones tenga unas leves variaciones, pero siempre mostrando valores positivos, de tal manera que en el 2026 termine </w:t>
      </w:r>
      <w:r w:rsidR="00E76E4D">
        <w:rPr>
          <w:rFonts w:ascii="Times New Roman" w:hAnsi="Times New Roman" w:cs="Times New Roman"/>
        </w:rPr>
        <w:t>también en</w:t>
      </w:r>
      <w:r w:rsidRPr="00394005">
        <w:rPr>
          <w:rFonts w:ascii="Times New Roman" w:hAnsi="Times New Roman" w:cs="Times New Roman"/>
        </w:rPr>
        <w:t xml:space="preserve"> 7.</w:t>
      </w:r>
      <w:r w:rsidR="00E76E4D">
        <w:rPr>
          <w:rFonts w:ascii="Times New Roman" w:hAnsi="Times New Roman" w:cs="Times New Roman"/>
        </w:rPr>
        <w:t>5</w:t>
      </w:r>
      <w:r w:rsidRPr="00394005">
        <w:rPr>
          <w:rFonts w:ascii="Times New Roman" w:hAnsi="Times New Roman" w:cs="Times New Roman"/>
        </w:rPr>
        <w:t xml:space="preserve">%. En las exportaciones se espera un crecimiento de </w:t>
      </w:r>
      <w:r w:rsidR="00E76E4D">
        <w:rPr>
          <w:rFonts w:ascii="Times New Roman" w:hAnsi="Times New Roman" w:cs="Times New Roman"/>
        </w:rPr>
        <w:t>7</w:t>
      </w:r>
      <w:r w:rsidRPr="00394005">
        <w:rPr>
          <w:rFonts w:ascii="Times New Roman" w:hAnsi="Times New Roman" w:cs="Times New Roman"/>
        </w:rPr>
        <w:t>.5%, estabilizándose también su nivel previo a la crisis, en los años siguientes años la tasa de crecimiento se proyecta en 6.0% en 2023 y podría situarse en 5.5% en el 2026. La recuperación en el sector externo después de la pandemia por COVID-19, se estima de forma moderada, esto de conformidad al avance de la vacunación en los principales socios comerciales y la recuperación de su demanda interna.</w:t>
      </w:r>
    </w:p>
    <w:p w14:paraId="6AA36C52" w14:textId="77777777" w:rsidR="002C7396" w:rsidRPr="00394005" w:rsidRDefault="002C7396" w:rsidP="002C7396">
      <w:pPr>
        <w:spacing w:after="0" w:line="240" w:lineRule="auto"/>
        <w:jc w:val="both"/>
        <w:rPr>
          <w:rFonts w:ascii="Times New Roman" w:hAnsi="Times New Roman" w:cs="Times New Roman"/>
        </w:rPr>
      </w:pPr>
    </w:p>
    <w:p w14:paraId="60919A04" w14:textId="77777777" w:rsidR="009E18F8" w:rsidRDefault="003D6BFA" w:rsidP="002C7396">
      <w:pPr>
        <w:spacing w:after="0" w:line="240" w:lineRule="auto"/>
        <w:jc w:val="both"/>
        <w:rPr>
          <w:rFonts w:ascii="Times New Roman" w:hAnsi="Times New Roman" w:cs="Times New Roman"/>
        </w:rPr>
      </w:pPr>
      <w:r w:rsidRPr="00394005">
        <w:rPr>
          <w:rFonts w:ascii="Times New Roman" w:hAnsi="Times New Roman" w:cs="Times New Roman"/>
        </w:rPr>
        <w:t>Estas proyecciones están sujetas a riesgos que provienen del desempeño de la economía mundial y de factores internos en la economía nacional. Entre los riesgos que afectan a los principales socios comerciales se encuentra la trayectoria que siga la crisis por la pandemia Covid-19, como es el hecho que las cepas sean susceptibles a las vacunas o que prolonguen el confinamiento, además la eficacia de las medidas para mitigar los daños en las actividades económicas de cada país.  Asimismo, puede generar incertidumbre la liberación repentina de los ahorros acumulados por los agentes económicos y la administración de deuda pública, dado que en la mayoría de los países esta tuvo un incremento sustancial. En los riesgos de la economía nacional destaca la eficacia del proceso de vacunación, la aplicación de medidas más estrictas para mitigar la propagación del virus y sus diferentes cepas, la recuperación de los sectores productivos de conformidad al avance de la vacunación, la baja de la inversión ante la generación de incertidumbre, el estímulo del gobierno en la reactivación económica y los cambios en los patrones en el consumo.</w:t>
      </w:r>
      <w:r w:rsidR="009E18F8">
        <w:rPr>
          <w:rFonts w:ascii="Times New Roman" w:hAnsi="Times New Roman" w:cs="Times New Roman"/>
        </w:rPr>
        <w:t xml:space="preserve">  </w:t>
      </w:r>
    </w:p>
    <w:p w14:paraId="49EB7DAB" w14:textId="77777777" w:rsidR="009E18F8" w:rsidRDefault="009E18F8" w:rsidP="002C7396">
      <w:pPr>
        <w:spacing w:after="0" w:line="240" w:lineRule="auto"/>
        <w:jc w:val="both"/>
        <w:rPr>
          <w:rFonts w:ascii="Times New Roman" w:hAnsi="Times New Roman" w:cs="Times New Roman"/>
        </w:rPr>
      </w:pPr>
    </w:p>
    <w:p w14:paraId="29B01DDF" w14:textId="23C44664" w:rsidR="009173EB" w:rsidRPr="009E18F8" w:rsidRDefault="009E18F8" w:rsidP="009E18F8">
      <w:pPr>
        <w:pStyle w:val="Epgrafe"/>
        <w:keepNext/>
        <w:jc w:val="center"/>
        <w:rPr>
          <w:b/>
          <w:i w:val="0"/>
          <w:color w:val="auto"/>
          <w:sz w:val="20"/>
        </w:rPr>
      </w:pPr>
      <w:bookmarkStart w:id="572" w:name="_Toc81573032"/>
      <w:r w:rsidRPr="009E18F8">
        <w:rPr>
          <w:rFonts w:ascii="Times New Roman" w:hAnsi="Times New Roman" w:cs="Times New Roman"/>
          <w:b/>
          <w:color w:val="auto"/>
          <w:sz w:val="20"/>
        </w:rPr>
        <w:t xml:space="preserve">Tabla </w:t>
      </w:r>
      <w:r w:rsidRPr="009E18F8">
        <w:rPr>
          <w:rFonts w:ascii="Times New Roman" w:hAnsi="Times New Roman" w:cs="Times New Roman"/>
          <w:b/>
          <w:color w:val="auto"/>
          <w:sz w:val="20"/>
        </w:rPr>
        <w:fldChar w:fldCharType="begin"/>
      </w:r>
      <w:r w:rsidRPr="009E18F8">
        <w:rPr>
          <w:rFonts w:ascii="Times New Roman" w:hAnsi="Times New Roman" w:cs="Times New Roman"/>
          <w:b/>
          <w:color w:val="auto"/>
          <w:sz w:val="20"/>
        </w:rPr>
        <w:instrText xml:space="preserve"> SEQ Tabla \* ARABIC </w:instrText>
      </w:r>
      <w:r w:rsidRPr="009E18F8">
        <w:rPr>
          <w:rFonts w:ascii="Times New Roman" w:hAnsi="Times New Roman" w:cs="Times New Roman"/>
          <w:b/>
          <w:color w:val="auto"/>
          <w:sz w:val="20"/>
        </w:rPr>
        <w:fldChar w:fldCharType="separate"/>
      </w:r>
      <w:r>
        <w:rPr>
          <w:rFonts w:ascii="Times New Roman" w:hAnsi="Times New Roman" w:cs="Times New Roman"/>
          <w:b/>
          <w:noProof/>
          <w:color w:val="auto"/>
          <w:sz w:val="20"/>
        </w:rPr>
        <w:t>10</w:t>
      </w:r>
      <w:r w:rsidRPr="009E18F8">
        <w:rPr>
          <w:rFonts w:ascii="Times New Roman" w:hAnsi="Times New Roman" w:cs="Times New Roman"/>
          <w:b/>
          <w:color w:val="auto"/>
          <w:sz w:val="20"/>
        </w:rPr>
        <w:fldChar w:fldCharType="end"/>
      </w:r>
      <w:r w:rsidRPr="009E18F8">
        <w:rPr>
          <w:rFonts w:ascii="Times New Roman" w:hAnsi="Times New Roman" w:cs="Times New Roman"/>
          <w:b/>
          <w:color w:val="auto"/>
          <w:sz w:val="20"/>
        </w:rPr>
        <w:t xml:space="preserve">. </w:t>
      </w:r>
      <w:r w:rsidRPr="009E18F8">
        <w:rPr>
          <w:rFonts w:ascii="Times New Roman" w:hAnsi="Times New Roman" w:cs="Times New Roman"/>
          <w:b/>
          <w:i w:val="0"/>
          <w:color w:val="auto"/>
          <w:sz w:val="20"/>
        </w:rPr>
        <w:t xml:space="preserve"> Escenario medio, proyecciones de las principales variables macroeconómicas</w:t>
      </w:r>
      <w:bookmarkEnd w:id="572"/>
    </w:p>
    <w:tbl>
      <w:tblPr>
        <w:tblW w:w="8622" w:type="dxa"/>
        <w:tblLook w:val="04A0" w:firstRow="1" w:lastRow="0" w:firstColumn="1" w:lastColumn="0" w:noHBand="0" w:noVBand="1"/>
      </w:tblPr>
      <w:tblGrid>
        <w:gridCol w:w="1462"/>
        <w:gridCol w:w="1343"/>
        <w:gridCol w:w="831"/>
        <w:gridCol w:w="831"/>
        <w:gridCol w:w="831"/>
        <w:gridCol w:w="831"/>
        <w:gridCol w:w="831"/>
        <w:gridCol w:w="831"/>
        <w:gridCol w:w="831"/>
      </w:tblGrid>
      <w:tr w:rsidR="00E76E4D" w:rsidRPr="003D6BFA" w14:paraId="2E9B77BA" w14:textId="77777777" w:rsidTr="00E63F4C">
        <w:trPr>
          <w:trHeight w:val="240"/>
        </w:trPr>
        <w:tc>
          <w:tcPr>
            <w:tcW w:w="1462" w:type="dxa"/>
            <w:tcBorders>
              <w:top w:val="single" w:sz="4" w:space="0" w:color="auto"/>
              <w:left w:val="nil"/>
              <w:bottom w:val="double" w:sz="6" w:space="0" w:color="auto"/>
              <w:right w:val="nil"/>
            </w:tcBorders>
            <w:shd w:val="clear" w:color="auto" w:fill="auto"/>
            <w:noWrap/>
            <w:vAlign w:val="bottom"/>
            <w:hideMark/>
          </w:tcPr>
          <w:p w14:paraId="22A4EF72" w14:textId="77777777" w:rsidR="00E76E4D" w:rsidRPr="003D6BFA" w:rsidRDefault="00E76E4D"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b/>
                <w:bCs/>
                <w:color w:val="000000"/>
                <w:sz w:val="14"/>
                <w:szCs w:val="14"/>
              </w:rPr>
              <w:t> </w:t>
            </w:r>
          </w:p>
        </w:tc>
        <w:tc>
          <w:tcPr>
            <w:tcW w:w="1343" w:type="dxa"/>
            <w:tcBorders>
              <w:top w:val="single" w:sz="4" w:space="0" w:color="auto"/>
              <w:left w:val="single" w:sz="4" w:space="0" w:color="auto"/>
              <w:bottom w:val="double" w:sz="6" w:space="0" w:color="auto"/>
              <w:right w:val="nil"/>
            </w:tcBorders>
            <w:shd w:val="clear" w:color="auto" w:fill="auto"/>
            <w:noWrap/>
            <w:vAlign w:val="bottom"/>
            <w:hideMark/>
          </w:tcPr>
          <w:p w14:paraId="2C82A5EF" w14:textId="77777777" w:rsidR="00E76E4D" w:rsidRPr="003D6BFA" w:rsidRDefault="00E76E4D"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b/>
                <w:bCs/>
                <w:color w:val="000000"/>
                <w:sz w:val="14"/>
                <w:szCs w:val="14"/>
              </w:rPr>
              <w:t>Dimensional</w:t>
            </w:r>
          </w:p>
        </w:tc>
        <w:tc>
          <w:tcPr>
            <w:tcW w:w="831" w:type="dxa"/>
            <w:tcBorders>
              <w:top w:val="single" w:sz="4" w:space="0" w:color="auto"/>
              <w:left w:val="single" w:sz="4" w:space="0" w:color="auto"/>
              <w:bottom w:val="double" w:sz="6" w:space="0" w:color="auto"/>
              <w:right w:val="nil"/>
            </w:tcBorders>
            <w:shd w:val="clear" w:color="auto" w:fill="auto"/>
            <w:noWrap/>
            <w:vAlign w:val="bottom"/>
            <w:hideMark/>
          </w:tcPr>
          <w:p w14:paraId="2B247A2C" w14:textId="77777777" w:rsidR="00E76E4D" w:rsidRPr="003D6BFA" w:rsidRDefault="00E76E4D"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b/>
                <w:bCs/>
                <w:color w:val="000000"/>
                <w:sz w:val="14"/>
                <w:szCs w:val="14"/>
              </w:rPr>
              <w:t>2020</w:t>
            </w:r>
            <w:r w:rsidRPr="003D6BFA">
              <w:rPr>
                <w:rFonts w:ascii="Times New Roman" w:eastAsia="Times New Roman" w:hAnsi="Times New Roman" w:cs="Times New Roman"/>
                <w:b/>
                <w:bCs/>
                <w:color w:val="000000"/>
                <w:sz w:val="14"/>
                <w:szCs w:val="14"/>
                <w:vertAlign w:val="superscript"/>
              </w:rPr>
              <w:t>e</w:t>
            </w:r>
          </w:p>
        </w:tc>
        <w:tc>
          <w:tcPr>
            <w:tcW w:w="831" w:type="dxa"/>
            <w:tcBorders>
              <w:top w:val="single" w:sz="4" w:space="0" w:color="auto"/>
              <w:left w:val="nil"/>
              <w:bottom w:val="double" w:sz="6" w:space="0" w:color="auto"/>
              <w:right w:val="nil"/>
            </w:tcBorders>
            <w:shd w:val="clear" w:color="auto" w:fill="auto"/>
            <w:noWrap/>
            <w:vAlign w:val="bottom"/>
            <w:hideMark/>
          </w:tcPr>
          <w:p w14:paraId="316FB43D" w14:textId="77777777" w:rsidR="00E76E4D" w:rsidRPr="003D6BFA" w:rsidRDefault="00E76E4D"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b/>
                <w:bCs/>
                <w:color w:val="000000"/>
                <w:sz w:val="14"/>
                <w:szCs w:val="14"/>
              </w:rPr>
              <w:t>2021</w:t>
            </w:r>
            <w:r w:rsidRPr="003D6BFA">
              <w:rPr>
                <w:rFonts w:ascii="Times New Roman" w:eastAsia="Times New Roman" w:hAnsi="Times New Roman" w:cs="Times New Roman"/>
                <w:b/>
                <w:bCs/>
                <w:color w:val="000000"/>
                <w:sz w:val="14"/>
                <w:szCs w:val="14"/>
                <w:vertAlign w:val="superscript"/>
              </w:rPr>
              <w:t>py</w:t>
            </w:r>
          </w:p>
        </w:tc>
        <w:tc>
          <w:tcPr>
            <w:tcW w:w="831" w:type="dxa"/>
            <w:tcBorders>
              <w:top w:val="single" w:sz="4" w:space="0" w:color="auto"/>
              <w:left w:val="nil"/>
              <w:bottom w:val="double" w:sz="6" w:space="0" w:color="auto"/>
              <w:right w:val="nil"/>
            </w:tcBorders>
            <w:shd w:val="clear" w:color="auto" w:fill="auto"/>
            <w:noWrap/>
            <w:vAlign w:val="bottom"/>
            <w:hideMark/>
          </w:tcPr>
          <w:p w14:paraId="2562623A" w14:textId="77777777" w:rsidR="00E76E4D" w:rsidRPr="003D6BFA" w:rsidRDefault="00E76E4D"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b/>
                <w:bCs/>
                <w:color w:val="000000"/>
                <w:sz w:val="14"/>
                <w:szCs w:val="14"/>
              </w:rPr>
              <w:t>2022</w:t>
            </w:r>
            <w:r w:rsidRPr="003D6BFA">
              <w:rPr>
                <w:rFonts w:ascii="Times New Roman" w:eastAsia="Times New Roman" w:hAnsi="Times New Roman" w:cs="Times New Roman"/>
                <w:b/>
                <w:bCs/>
                <w:color w:val="000000"/>
                <w:sz w:val="14"/>
                <w:szCs w:val="14"/>
                <w:vertAlign w:val="superscript"/>
              </w:rPr>
              <w:t>py</w:t>
            </w:r>
          </w:p>
        </w:tc>
        <w:tc>
          <w:tcPr>
            <w:tcW w:w="831" w:type="dxa"/>
            <w:tcBorders>
              <w:top w:val="single" w:sz="4" w:space="0" w:color="auto"/>
              <w:left w:val="nil"/>
              <w:bottom w:val="double" w:sz="6" w:space="0" w:color="auto"/>
              <w:right w:val="nil"/>
            </w:tcBorders>
            <w:shd w:val="clear" w:color="auto" w:fill="auto"/>
            <w:noWrap/>
            <w:vAlign w:val="bottom"/>
            <w:hideMark/>
          </w:tcPr>
          <w:p w14:paraId="4A5F0B49" w14:textId="77777777" w:rsidR="00E76E4D" w:rsidRPr="003D6BFA" w:rsidRDefault="00E76E4D"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b/>
                <w:bCs/>
                <w:color w:val="000000"/>
                <w:sz w:val="14"/>
                <w:szCs w:val="14"/>
              </w:rPr>
              <w:t>2023</w:t>
            </w:r>
            <w:r w:rsidRPr="003D6BFA">
              <w:rPr>
                <w:rFonts w:ascii="Times New Roman" w:eastAsia="Times New Roman" w:hAnsi="Times New Roman" w:cs="Times New Roman"/>
                <w:b/>
                <w:bCs/>
                <w:color w:val="000000"/>
                <w:sz w:val="14"/>
                <w:szCs w:val="14"/>
                <w:vertAlign w:val="superscript"/>
              </w:rPr>
              <w:t>py</w:t>
            </w:r>
          </w:p>
        </w:tc>
        <w:tc>
          <w:tcPr>
            <w:tcW w:w="831" w:type="dxa"/>
            <w:tcBorders>
              <w:top w:val="single" w:sz="4" w:space="0" w:color="auto"/>
              <w:left w:val="nil"/>
              <w:bottom w:val="double" w:sz="6" w:space="0" w:color="auto"/>
              <w:right w:val="nil"/>
            </w:tcBorders>
            <w:shd w:val="clear" w:color="auto" w:fill="auto"/>
            <w:noWrap/>
            <w:vAlign w:val="bottom"/>
            <w:hideMark/>
          </w:tcPr>
          <w:p w14:paraId="3B40BC8C" w14:textId="77777777" w:rsidR="00E76E4D" w:rsidRPr="003D6BFA" w:rsidRDefault="00E76E4D"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b/>
                <w:bCs/>
                <w:color w:val="000000"/>
                <w:sz w:val="14"/>
                <w:szCs w:val="14"/>
              </w:rPr>
              <w:t>2024</w:t>
            </w:r>
            <w:r w:rsidRPr="003D6BFA">
              <w:rPr>
                <w:rFonts w:ascii="Times New Roman" w:eastAsia="Times New Roman" w:hAnsi="Times New Roman" w:cs="Times New Roman"/>
                <w:b/>
                <w:bCs/>
                <w:color w:val="000000"/>
                <w:sz w:val="14"/>
                <w:szCs w:val="14"/>
                <w:vertAlign w:val="superscript"/>
              </w:rPr>
              <w:t>py</w:t>
            </w:r>
          </w:p>
        </w:tc>
        <w:tc>
          <w:tcPr>
            <w:tcW w:w="831" w:type="dxa"/>
            <w:tcBorders>
              <w:top w:val="single" w:sz="4" w:space="0" w:color="auto"/>
              <w:left w:val="nil"/>
              <w:bottom w:val="double" w:sz="6" w:space="0" w:color="auto"/>
              <w:right w:val="nil"/>
            </w:tcBorders>
            <w:shd w:val="clear" w:color="auto" w:fill="auto"/>
            <w:noWrap/>
            <w:vAlign w:val="bottom"/>
            <w:hideMark/>
          </w:tcPr>
          <w:p w14:paraId="3D8E1635" w14:textId="77777777" w:rsidR="00E76E4D" w:rsidRPr="003D6BFA" w:rsidRDefault="00E76E4D"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b/>
                <w:bCs/>
                <w:color w:val="000000"/>
                <w:sz w:val="14"/>
                <w:szCs w:val="14"/>
              </w:rPr>
              <w:t>2025</w:t>
            </w:r>
            <w:r w:rsidRPr="003D6BFA">
              <w:rPr>
                <w:rFonts w:ascii="Times New Roman" w:eastAsia="Times New Roman" w:hAnsi="Times New Roman" w:cs="Times New Roman"/>
                <w:b/>
                <w:bCs/>
                <w:color w:val="000000"/>
                <w:sz w:val="14"/>
                <w:szCs w:val="14"/>
                <w:vertAlign w:val="superscript"/>
              </w:rPr>
              <w:t>py</w:t>
            </w:r>
          </w:p>
        </w:tc>
        <w:tc>
          <w:tcPr>
            <w:tcW w:w="831" w:type="dxa"/>
            <w:tcBorders>
              <w:top w:val="single" w:sz="4" w:space="0" w:color="auto"/>
              <w:left w:val="nil"/>
              <w:bottom w:val="double" w:sz="6" w:space="0" w:color="auto"/>
              <w:right w:val="nil"/>
            </w:tcBorders>
            <w:shd w:val="clear" w:color="auto" w:fill="auto"/>
            <w:noWrap/>
            <w:vAlign w:val="bottom"/>
            <w:hideMark/>
          </w:tcPr>
          <w:p w14:paraId="0EF6D6CF" w14:textId="77777777" w:rsidR="00E76E4D" w:rsidRPr="003D6BFA" w:rsidRDefault="00E76E4D"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b/>
                <w:bCs/>
                <w:color w:val="000000"/>
                <w:sz w:val="14"/>
                <w:szCs w:val="14"/>
              </w:rPr>
              <w:t>2026</w:t>
            </w:r>
            <w:r w:rsidRPr="003D6BFA">
              <w:rPr>
                <w:rFonts w:ascii="Times New Roman" w:eastAsia="Times New Roman" w:hAnsi="Times New Roman" w:cs="Times New Roman"/>
                <w:b/>
                <w:bCs/>
                <w:color w:val="000000"/>
                <w:sz w:val="14"/>
                <w:szCs w:val="14"/>
                <w:vertAlign w:val="superscript"/>
              </w:rPr>
              <w:t>py</w:t>
            </w:r>
          </w:p>
        </w:tc>
      </w:tr>
      <w:tr w:rsidR="00E76E4D" w:rsidRPr="003D6BFA" w14:paraId="52940CE1" w14:textId="77777777" w:rsidTr="00E63F4C">
        <w:trPr>
          <w:trHeight w:val="204"/>
        </w:trPr>
        <w:tc>
          <w:tcPr>
            <w:tcW w:w="1462" w:type="dxa"/>
            <w:tcBorders>
              <w:top w:val="nil"/>
              <w:left w:val="nil"/>
              <w:bottom w:val="nil"/>
              <w:right w:val="nil"/>
            </w:tcBorders>
            <w:shd w:val="clear" w:color="auto" w:fill="auto"/>
            <w:noWrap/>
            <w:vAlign w:val="bottom"/>
            <w:hideMark/>
          </w:tcPr>
          <w:p w14:paraId="1D4CDAB6" w14:textId="77777777" w:rsidR="00E76E4D" w:rsidRPr="003D6BFA" w:rsidRDefault="00E76E4D" w:rsidP="00E63F4C">
            <w:pPr>
              <w:spacing w:after="0" w:line="240" w:lineRule="auto"/>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b/>
                <w:bCs/>
                <w:color w:val="000000"/>
                <w:sz w:val="14"/>
                <w:szCs w:val="14"/>
              </w:rPr>
              <w:t>PIB real (Base 2013)</w:t>
            </w:r>
          </w:p>
        </w:tc>
        <w:tc>
          <w:tcPr>
            <w:tcW w:w="1343" w:type="dxa"/>
            <w:tcBorders>
              <w:top w:val="nil"/>
              <w:left w:val="single" w:sz="4" w:space="0" w:color="auto"/>
              <w:bottom w:val="nil"/>
              <w:right w:val="nil"/>
            </w:tcBorders>
            <w:shd w:val="clear" w:color="auto" w:fill="auto"/>
            <w:noWrap/>
            <w:vAlign w:val="bottom"/>
            <w:hideMark/>
          </w:tcPr>
          <w:p w14:paraId="286F3E2D" w14:textId="77777777" w:rsidR="00E76E4D" w:rsidRPr="003D6BFA" w:rsidRDefault="00E76E4D" w:rsidP="00E63F4C">
            <w:pPr>
              <w:spacing w:after="0" w:line="240" w:lineRule="auto"/>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Porcentaje</w:t>
            </w:r>
          </w:p>
        </w:tc>
        <w:tc>
          <w:tcPr>
            <w:tcW w:w="831" w:type="dxa"/>
            <w:tcBorders>
              <w:top w:val="nil"/>
              <w:left w:val="single" w:sz="4" w:space="0" w:color="auto"/>
              <w:bottom w:val="nil"/>
              <w:right w:val="nil"/>
            </w:tcBorders>
            <w:shd w:val="clear" w:color="auto" w:fill="auto"/>
            <w:noWrap/>
            <w:vAlign w:val="bottom"/>
            <w:hideMark/>
          </w:tcPr>
          <w:p w14:paraId="4EB117D1" w14:textId="77777777" w:rsidR="00E76E4D" w:rsidRPr="003D6BFA" w:rsidRDefault="00E76E4D"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-1.5</w:t>
            </w:r>
          </w:p>
        </w:tc>
        <w:tc>
          <w:tcPr>
            <w:tcW w:w="831" w:type="dxa"/>
            <w:tcBorders>
              <w:top w:val="nil"/>
              <w:left w:val="nil"/>
              <w:bottom w:val="nil"/>
              <w:right w:val="nil"/>
            </w:tcBorders>
            <w:shd w:val="clear" w:color="000000" w:fill="F2F2F2"/>
            <w:noWrap/>
            <w:vAlign w:val="bottom"/>
            <w:hideMark/>
          </w:tcPr>
          <w:p w14:paraId="7AEB9419" w14:textId="77777777" w:rsidR="00E76E4D" w:rsidRPr="003D6BFA" w:rsidRDefault="00E76E4D" w:rsidP="00E63F4C">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color w:val="000000"/>
                <w:sz w:val="14"/>
                <w:szCs w:val="14"/>
              </w:rPr>
              <w:t>5.0</w:t>
            </w:r>
          </w:p>
        </w:tc>
        <w:tc>
          <w:tcPr>
            <w:tcW w:w="831" w:type="dxa"/>
            <w:tcBorders>
              <w:top w:val="nil"/>
              <w:left w:val="nil"/>
              <w:bottom w:val="nil"/>
              <w:right w:val="nil"/>
            </w:tcBorders>
            <w:shd w:val="clear" w:color="000000" w:fill="F2F2F2"/>
            <w:noWrap/>
            <w:vAlign w:val="bottom"/>
            <w:hideMark/>
          </w:tcPr>
          <w:p w14:paraId="3A9D87DB" w14:textId="77777777" w:rsidR="00E76E4D" w:rsidRPr="003D6BFA" w:rsidRDefault="00E76E4D" w:rsidP="00E63F4C">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color w:val="000000"/>
                <w:sz w:val="14"/>
                <w:szCs w:val="14"/>
              </w:rPr>
              <w:t>4.5</w:t>
            </w:r>
          </w:p>
        </w:tc>
        <w:tc>
          <w:tcPr>
            <w:tcW w:w="831" w:type="dxa"/>
            <w:tcBorders>
              <w:top w:val="nil"/>
              <w:left w:val="nil"/>
              <w:bottom w:val="nil"/>
              <w:right w:val="nil"/>
            </w:tcBorders>
            <w:shd w:val="clear" w:color="000000" w:fill="F2F2F2"/>
            <w:noWrap/>
            <w:vAlign w:val="bottom"/>
            <w:hideMark/>
          </w:tcPr>
          <w:p w14:paraId="4871B14D" w14:textId="77777777" w:rsidR="00E76E4D" w:rsidRPr="003D6BFA" w:rsidRDefault="00E76E4D"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3.7</w:t>
            </w:r>
          </w:p>
        </w:tc>
        <w:tc>
          <w:tcPr>
            <w:tcW w:w="831" w:type="dxa"/>
            <w:tcBorders>
              <w:top w:val="nil"/>
              <w:left w:val="nil"/>
              <w:bottom w:val="nil"/>
              <w:right w:val="nil"/>
            </w:tcBorders>
            <w:shd w:val="clear" w:color="000000" w:fill="F2F2F2"/>
            <w:noWrap/>
            <w:vAlign w:val="bottom"/>
            <w:hideMark/>
          </w:tcPr>
          <w:p w14:paraId="4CABC185" w14:textId="77777777" w:rsidR="00E76E4D" w:rsidRPr="003D6BFA" w:rsidRDefault="00E76E4D"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3.6</w:t>
            </w:r>
          </w:p>
        </w:tc>
        <w:tc>
          <w:tcPr>
            <w:tcW w:w="831" w:type="dxa"/>
            <w:tcBorders>
              <w:top w:val="nil"/>
              <w:left w:val="nil"/>
              <w:bottom w:val="nil"/>
              <w:right w:val="nil"/>
            </w:tcBorders>
            <w:shd w:val="clear" w:color="000000" w:fill="F2F2F2"/>
            <w:noWrap/>
            <w:vAlign w:val="bottom"/>
            <w:hideMark/>
          </w:tcPr>
          <w:p w14:paraId="742BF064" w14:textId="77777777" w:rsidR="00E76E4D" w:rsidRPr="003D6BFA" w:rsidRDefault="00E76E4D"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3.6</w:t>
            </w:r>
          </w:p>
        </w:tc>
        <w:tc>
          <w:tcPr>
            <w:tcW w:w="831" w:type="dxa"/>
            <w:tcBorders>
              <w:top w:val="nil"/>
              <w:left w:val="nil"/>
              <w:bottom w:val="nil"/>
              <w:right w:val="nil"/>
            </w:tcBorders>
            <w:shd w:val="clear" w:color="000000" w:fill="F2F2F2"/>
            <w:noWrap/>
            <w:vAlign w:val="bottom"/>
            <w:hideMark/>
          </w:tcPr>
          <w:p w14:paraId="54B22DCE" w14:textId="77777777" w:rsidR="00E76E4D" w:rsidRPr="003D6BFA" w:rsidRDefault="00E76E4D"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3.7</w:t>
            </w:r>
          </w:p>
        </w:tc>
      </w:tr>
      <w:tr w:rsidR="00E76E4D" w:rsidRPr="003D6BFA" w14:paraId="6D6DC44E" w14:textId="77777777" w:rsidTr="00E63F4C">
        <w:trPr>
          <w:trHeight w:val="192"/>
        </w:trPr>
        <w:tc>
          <w:tcPr>
            <w:tcW w:w="1462" w:type="dxa"/>
            <w:tcBorders>
              <w:top w:val="nil"/>
              <w:left w:val="nil"/>
              <w:bottom w:val="nil"/>
              <w:right w:val="nil"/>
            </w:tcBorders>
            <w:shd w:val="clear" w:color="auto" w:fill="auto"/>
            <w:noWrap/>
            <w:vAlign w:val="bottom"/>
            <w:hideMark/>
          </w:tcPr>
          <w:p w14:paraId="14BEF3CD" w14:textId="77777777" w:rsidR="00E76E4D" w:rsidRPr="003D6BFA" w:rsidRDefault="00E76E4D" w:rsidP="00E63F4C">
            <w:pPr>
              <w:spacing w:after="0" w:line="240" w:lineRule="auto"/>
              <w:rPr>
                <w:rFonts w:ascii="Times New Roman" w:eastAsia="Times New Roman" w:hAnsi="Times New Roman" w:cs="Times New Roman"/>
                <w:color w:val="000000"/>
                <w:sz w:val="14"/>
                <w:szCs w:val="14"/>
              </w:rPr>
            </w:pPr>
            <w:r w:rsidRPr="003D6BFA">
              <w:rPr>
                <w:rFonts w:ascii="Times New Roman" w:eastAsia="Times New Roman" w:hAnsi="Times New Roman" w:cs="Times New Roman"/>
                <w:b/>
                <w:bCs/>
                <w:color w:val="000000"/>
                <w:sz w:val="14"/>
                <w:szCs w:val="14"/>
              </w:rPr>
              <w:t>PIB Nominal</w:t>
            </w:r>
          </w:p>
        </w:tc>
        <w:tc>
          <w:tcPr>
            <w:tcW w:w="1343" w:type="dxa"/>
            <w:tcBorders>
              <w:top w:val="nil"/>
              <w:left w:val="single" w:sz="4" w:space="0" w:color="auto"/>
              <w:bottom w:val="nil"/>
              <w:right w:val="nil"/>
            </w:tcBorders>
            <w:shd w:val="clear" w:color="auto" w:fill="auto"/>
            <w:noWrap/>
            <w:vAlign w:val="bottom"/>
            <w:hideMark/>
          </w:tcPr>
          <w:p w14:paraId="7C9BADB3" w14:textId="77777777" w:rsidR="00E76E4D" w:rsidRPr="003D6BFA" w:rsidRDefault="00E76E4D" w:rsidP="00E63F4C">
            <w:pPr>
              <w:spacing w:after="0" w:line="240" w:lineRule="auto"/>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Porcentaje</w:t>
            </w:r>
          </w:p>
        </w:tc>
        <w:tc>
          <w:tcPr>
            <w:tcW w:w="831" w:type="dxa"/>
            <w:tcBorders>
              <w:top w:val="nil"/>
              <w:left w:val="single" w:sz="4" w:space="0" w:color="auto"/>
              <w:bottom w:val="nil"/>
              <w:right w:val="nil"/>
            </w:tcBorders>
            <w:shd w:val="clear" w:color="auto" w:fill="auto"/>
            <w:noWrap/>
            <w:vAlign w:val="bottom"/>
            <w:hideMark/>
          </w:tcPr>
          <w:p w14:paraId="7B63AF00" w14:textId="77777777" w:rsidR="00E76E4D" w:rsidRPr="003D6BFA" w:rsidRDefault="00E76E4D" w:rsidP="00E63F4C">
            <w:pPr>
              <w:spacing w:after="0" w:line="240" w:lineRule="auto"/>
              <w:jc w:val="center"/>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1.1</w:t>
            </w:r>
          </w:p>
        </w:tc>
        <w:tc>
          <w:tcPr>
            <w:tcW w:w="831" w:type="dxa"/>
            <w:tcBorders>
              <w:top w:val="nil"/>
              <w:left w:val="nil"/>
              <w:bottom w:val="nil"/>
              <w:right w:val="nil"/>
            </w:tcBorders>
            <w:shd w:val="clear" w:color="000000" w:fill="F2F2F2"/>
            <w:noWrap/>
            <w:vAlign w:val="bottom"/>
            <w:hideMark/>
          </w:tcPr>
          <w:p w14:paraId="3A3D8052" w14:textId="77777777" w:rsidR="00E76E4D" w:rsidRPr="003D6BFA" w:rsidRDefault="00E76E4D" w:rsidP="00E63F4C">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8.7</w:t>
            </w:r>
          </w:p>
        </w:tc>
        <w:tc>
          <w:tcPr>
            <w:tcW w:w="831" w:type="dxa"/>
            <w:tcBorders>
              <w:top w:val="nil"/>
              <w:left w:val="nil"/>
              <w:bottom w:val="nil"/>
              <w:right w:val="nil"/>
            </w:tcBorders>
            <w:shd w:val="clear" w:color="000000" w:fill="F2F2F2"/>
            <w:noWrap/>
            <w:vAlign w:val="bottom"/>
            <w:hideMark/>
          </w:tcPr>
          <w:p w14:paraId="6470A43A" w14:textId="77777777" w:rsidR="00E76E4D" w:rsidRPr="003D6BFA" w:rsidRDefault="00E76E4D" w:rsidP="00E63F4C">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7.8</w:t>
            </w:r>
          </w:p>
        </w:tc>
        <w:tc>
          <w:tcPr>
            <w:tcW w:w="831" w:type="dxa"/>
            <w:tcBorders>
              <w:top w:val="nil"/>
              <w:left w:val="nil"/>
              <w:bottom w:val="nil"/>
              <w:right w:val="nil"/>
            </w:tcBorders>
            <w:shd w:val="clear" w:color="000000" w:fill="F2F2F2"/>
            <w:noWrap/>
            <w:vAlign w:val="bottom"/>
            <w:hideMark/>
          </w:tcPr>
          <w:p w14:paraId="50592820" w14:textId="77777777" w:rsidR="00E76E4D" w:rsidRPr="003D6BFA" w:rsidRDefault="00E76E4D" w:rsidP="00E63F4C">
            <w:pPr>
              <w:spacing w:after="0" w:line="240" w:lineRule="auto"/>
              <w:jc w:val="center"/>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6.3</w:t>
            </w:r>
          </w:p>
        </w:tc>
        <w:tc>
          <w:tcPr>
            <w:tcW w:w="831" w:type="dxa"/>
            <w:tcBorders>
              <w:top w:val="nil"/>
              <w:left w:val="nil"/>
              <w:bottom w:val="nil"/>
              <w:right w:val="nil"/>
            </w:tcBorders>
            <w:shd w:val="clear" w:color="000000" w:fill="F2F2F2"/>
            <w:noWrap/>
            <w:vAlign w:val="bottom"/>
            <w:hideMark/>
          </w:tcPr>
          <w:p w14:paraId="0765326A" w14:textId="77777777" w:rsidR="00E76E4D" w:rsidRPr="003D6BFA" w:rsidRDefault="00E76E4D" w:rsidP="00E63F4C">
            <w:pPr>
              <w:spacing w:after="0" w:line="240" w:lineRule="auto"/>
              <w:jc w:val="center"/>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6.2</w:t>
            </w:r>
          </w:p>
        </w:tc>
        <w:tc>
          <w:tcPr>
            <w:tcW w:w="831" w:type="dxa"/>
            <w:tcBorders>
              <w:top w:val="nil"/>
              <w:left w:val="nil"/>
              <w:bottom w:val="nil"/>
              <w:right w:val="nil"/>
            </w:tcBorders>
            <w:shd w:val="clear" w:color="000000" w:fill="F2F2F2"/>
            <w:noWrap/>
            <w:vAlign w:val="bottom"/>
            <w:hideMark/>
          </w:tcPr>
          <w:p w14:paraId="504BB75E" w14:textId="77777777" w:rsidR="00E76E4D" w:rsidRPr="003D6BFA" w:rsidRDefault="00E76E4D" w:rsidP="00E63F4C">
            <w:pPr>
              <w:spacing w:after="0" w:line="240" w:lineRule="auto"/>
              <w:jc w:val="center"/>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6.2</w:t>
            </w:r>
          </w:p>
        </w:tc>
        <w:tc>
          <w:tcPr>
            <w:tcW w:w="831" w:type="dxa"/>
            <w:tcBorders>
              <w:top w:val="nil"/>
              <w:left w:val="nil"/>
              <w:bottom w:val="nil"/>
              <w:right w:val="nil"/>
            </w:tcBorders>
            <w:shd w:val="clear" w:color="000000" w:fill="F2F2F2"/>
            <w:noWrap/>
            <w:vAlign w:val="bottom"/>
            <w:hideMark/>
          </w:tcPr>
          <w:p w14:paraId="03C66718" w14:textId="77777777" w:rsidR="00E76E4D" w:rsidRPr="003D6BFA" w:rsidRDefault="00E76E4D" w:rsidP="00E63F4C">
            <w:pPr>
              <w:spacing w:after="0" w:line="240" w:lineRule="auto"/>
              <w:jc w:val="center"/>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6.4</w:t>
            </w:r>
          </w:p>
        </w:tc>
      </w:tr>
      <w:tr w:rsidR="00E76E4D" w:rsidRPr="003D6BFA" w14:paraId="4EFAF26B" w14:textId="77777777" w:rsidTr="00E63F4C">
        <w:trPr>
          <w:trHeight w:val="192"/>
        </w:trPr>
        <w:tc>
          <w:tcPr>
            <w:tcW w:w="1462" w:type="dxa"/>
            <w:tcBorders>
              <w:top w:val="nil"/>
              <w:left w:val="nil"/>
              <w:bottom w:val="nil"/>
              <w:right w:val="nil"/>
            </w:tcBorders>
            <w:shd w:val="clear" w:color="auto" w:fill="auto"/>
            <w:noWrap/>
            <w:vAlign w:val="bottom"/>
            <w:hideMark/>
          </w:tcPr>
          <w:p w14:paraId="2710D435" w14:textId="77777777" w:rsidR="00E76E4D" w:rsidRPr="003D6BFA" w:rsidRDefault="00E76E4D" w:rsidP="00E63F4C">
            <w:pPr>
              <w:spacing w:after="0" w:line="240" w:lineRule="auto"/>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b/>
                <w:bCs/>
                <w:color w:val="000000"/>
                <w:sz w:val="14"/>
                <w:szCs w:val="14"/>
              </w:rPr>
              <w:t>Importaciones FOB</w:t>
            </w:r>
          </w:p>
        </w:tc>
        <w:tc>
          <w:tcPr>
            <w:tcW w:w="1343" w:type="dxa"/>
            <w:tcBorders>
              <w:top w:val="nil"/>
              <w:left w:val="single" w:sz="4" w:space="0" w:color="auto"/>
              <w:bottom w:val="nil"/>
              <w:right w:val="nil"/>
            </w:tcBorders>
            <w:shd w:val="clear" w:color="auto" w:fill="auto"/>
            <w:noWrap/>
            <w:vAlign w:val="bottom"/>
            <w:hideMark/>
          </w:tcPr>
          <w:p w14:paraId="4BA9B012" w14:textId="77777777" w:rsidR="00E76E4D" w:rsidRPr="003D6BFA" w:rsidRDefault="00E76E4D" w:rsidP="00E63F4C">
            <w:pPr>
              <w:spacing w:after="0" w:line="240" w:lineRule="auto"/>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Porcentaje</w:t>
            </w:r>
          </w:p>
        </w:tc>
        <w:tc>
          <w:tcPr>
            <w:tcW w:w="831" w:type="dxa"/>
            <w:tcBorders>
              <w:top w:val="nil"/>
              <w:left w:val="single" w:sz="4" w:space="0" w:color="auto"/>
              <w:bottom w:val="nil"/>
              <w:right w:val="nil"/>
            </w:tcBorders>
            <w:shd w:val="clear" w:color="auto" w:fill="auto"/>
            <w:noWrap/>
            <w:vAlign w:val="bottom"/>
            <w:hideMark/>
          </w:tcPr>
          <w:p w14:paraId="47D492EE" w14:textId="77777777" w:rsidR="00E76E4D" w:rsidRPr="003D6BFA" w:rsidRDefault="00E76E4D"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-8.1</w:t>
            </w:r>
          </w:p>
        </w:tc>
        <w:tc>
          <w:tcPr>
            <w:tcW w:w="831" w:type="dxa"/>
            <w:tcBorders>
              <w:top w:val="nil"/>
              <w:left w:val="nil"/>
              <w:bottom w:val="nil"/>
              <w:right w:val="nil"/>
            </w:tcBorders>
            <w:shd w:val="clear" w:color="000000" w:fill="F2F2F2"/>
            <w:noWrap/>
            <w:vAlign w:val="bottom"/>
            <w:hideMark/>
          </w:tcPr>
          <w:p w14:paraId="41159FFC" w14:textId="77777777" w:rsidR="00E76E4D" w:rsidRPr="003D6BFA" w:rsidRDefault="00E76E4D" w:rsidP="00E63F4C">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color w:val="000000"/>
                <w:sz w:val="14"/>
                <w:szCs w:val="14"/>
              </w:rPr>
              <w:t>20.0</w:t>
            </w:r>
          </w:p>
        </w:tc>
        <w:tc>
          <w:tcPr>
            <w:tcW w:w="831" w:type="dxa"/>
            <w:tcBorders>
              <w:top w:val="nil"/>
              <w:left w:val="nil"/>
              <w:bottom w:val="nil"/>
              <w:right w:val="nil"/>
            </w:tcBorders>
            <w:shd w:val="clear" w:color="000000" w:fill="F2F2F2"/>
            <w:noWrap/>
            <w:vAlign w:val="bottom"/>
            <w:hideMark/>
          </w:tcPr>
          <w:p w14:paraId="75A7531F" w14:textId="77777777" w:rsidR="00E76E4D" w:rsidRPr="003D6BFA" w:rsidRDefault="00E76E4D"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7.</w:t>
            </w:r>
            <w:r>
              <w:rPr>
                <w:rFonts w:ascii="Times New Roman" w:eastAsia="Times New Roman" w:hAnsi="Times New Roman" w:cs="Times New Roman"/>
                <w:color w:val="000000"/>
                <w:sz w:val="14"/>
                <w:szCs w:val="14"/>
              </w:rPr>
              <w:t>5</w:t>
            </w:r>
          </w:p>
        </w:tc>
        <w:tc>
          <w:tcPr>
            <w:tcW w:w="831" w:type="dxa"/>
            <w:tcBorders>
              <w:top w:val="nil"/>
              <w:left w:val="nil"/>
              <w:bottom w:val="nil"/>
              <w:right w:val="nil"/>
            </w:tcBorders>
            <w:shd w:val="clear" w:color="000000" w:fill="F2F2F2"/>
            <w:noWrap/>
            <w:vAlign w:val="bottom"/>
            <w:hideMark/>
          </w:tcPr>
          <w:p w14:paraId="2F2CBE87" w14:textId="77777777" w:rsidR="00E76E4D" w:rsidRPr="003D6BFA" w:rsidRDefault="00E76E4D" w:rsidP="00E63F4C">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color w:val="000000"/>
                <w:sz w:val="14"/>
                <w:szCs w:val="14"/>
              </w:rPr>
              <w:t>8</w:t>
            </w:r>
            <w:r w:rsidRPr="003D6BFA">
              <w:rPr>
                <w:rFonts w:ascii="Times New Roman" w:eastAsia="Times New Roman" w:hAnsi="Times New Roman" w:cs="Times New Roman"/>
                <w:color w:val="000000"/>
                <w:sz w:val="14"/>
                <w:szCs w:val="14"/>
              </w:rPr>
              <w:t>.</w:t>
            </w:r>
            <w:r>
              <w:rPr>
                <w:rFonts w:ascii="Times New Roman" w:eastAsia="Times New Roman" w:hAnsi="Times New Roman" w:cs="Times New Roman"/>
                <w:color w:val="000000"/>
                <w:sz w:val="14"/>
                <w:szCs w:val="14"/>
              </w:rPr>
              <w:t>0</w:t>
            </w:r>
          </w:p>
        </w:tc>
        <w:tc>
          <w:tcPr>
            <w:tcW w:w="831" w:type="dxa"/>
            <w:tcBorders>
              <w:top w:val="nil"/>
              <w:left w:val="nil"/>
              <w:bottom w:val="nil"/>
              <w:right w:val="nil"/>
            </w:tcBorders>
            <w:shd w:val="clear" w:color="000000" w:fill="F2F2F2"/>
            <w:noWrap/>
            <w:vAlign w:val="bottom"/>
            <w:hideMark/>
          </w:tcPr>
          <w:p w14:paraId="62961B08" w14:textId="77777777" w:rsidR="00E76E4D" w:rsidRPr="003D6BFA" w:rsidRDefault="00E76E4D"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7.</w:t>
            </w:r>
            <w:r>
              <w:rPr>
                <w:rFonts w:ascii="Times New Roman" w:eastAsia="Times New Roman" w:hAnsi="Times New Roman" w:cs="Times New Roman"/>
                <w:color w:val="000000"/>
                <w:sz w:val="14"/>
                <w:szCs w:val="14"/>
              </w:rPr>
              <w:t>5</w:t>
            </w:r>
          </w:p>
        </w:tc>
        <w:tc>
          <w:tcPr>
            <w:tcW w:w="831" w:type="dxa"/>
            <w:tcBorders>
              <w:top w:val="nil"/>
              <w:left w:val="nil"/>
              <w:bottom w:val="nil"/>
              <w:right w:val="nil"/>
            </w:tcBorders>
            <w:shd w:val="clear" w:color="000000" w:fill="F2F2F2"/>
            <w:noWrap/>
            <w:vAlign w:val="bottom"/>
            <w:hideMark/>
          </w:tcPr>
          <w:p w14:paraId="3397E184" w14:textId="77777777" w:rsidR="00E76E4D" w:rsidRPr="003D6BFA" w:rsidRDefault="00E76E4D" w:rsidP="00E63F4C">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color w:val="000000"/>
                <w:sz w:val="14"/>
                <w:szCs w:val="14"/>
              </w:rPr>
              <w:t>7.0</w:t>
            </w:r>
          </w:p>
        </w:tc>
        <w:tc>
          <w:tcPr>
            <w:tcW w:w="831" w:type="dxa"/>
            <w:tcBorders>
              <w:top w:val="nil"/>
              <w:left w:val="nil"/>
              <w:bottom w:val="nil"/>
              <w:right w:val="nil"/>
            </w:tcBorders>
            <w:shd w:val="clear" w:color="000000" w:fill="F2F2F2"/>
            <w:noWrap/>
            <w:vAlign w:val="bottom"/>
            <w:hideMark/>
          </w:tcPr>
          <w:p w14:paraId="64B35619" w14:textId="77777777" w:rsidR="00E76E4D" w:rsidRPr="003D6BFA" w:rsidRDefault="00E76E4D"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7.</w:t>
            </w:r>
            <w:r>
              <w:rPr>
                <w:rFonts w:ascii="Times New Roman" w:eastAsia="Times New Roman" w:hAnsi="Times New Roman" w:cs="Times New Roman"/>
                <w:color w:val="000000"/>
                <w:sz w:val="14"/>
                <w:szCs w:val="14"/>
              </w:rPr>
              <w:t>5</w:t>
            </w:r>
          </w:p>
        </w:tc>
      </w:tr>
      <w:tr w:rsidR="00E76E4D" w:rsidRPr="003D6BFA" w14:paraId="68313675" w14:textId="77777777" w:rsidTr="00E63F4C">
        <w:trPr>
          <w:trHeight w:val="192"/>
        </w:trPr>
        <w:tc>
          <w:tcPr>
            <w:tcW w:w="1462" w:type="dxa"/>
            <w:tcBorders>
              <w:top w:val="nil"/>
              <w:left w:val="nil"/>
              <w:bottom w:val="nil"/>
              <w:right w:val="nil"/>
            </w:tcBorders>
            <w:shd w:val="clear" w:color="auto" w:fill="auto"/>
            <w:noWrap/>
            <w:vAlign w:val="bottom"/>
            <w:hideMark/>
          </w:tcPr>
          <w:p w14:paraId="0C32DDF2" w14:textId="77777777" w:rsidR="00E76E4D" w:rsidRPr="003D6BFA" w:rsidRDefault="00E76E4D" w:rsidP="00E63F4C">
            <w:pPr>
              <w:spacing w:after="0" w:line="240" w:lineRule="auto"/>
              <w:rPr>
                <w:rFonts w:ascii="Times New Roman" w:eastAsia="Times New Roman" w:hAnsi="Times New Roman" w:cs="Times New Roman"/>
                <w:color w:val="000000"/>
                <w:sz w:val="14"/>
                <w:szCs w:val="14"/>
              </w:rPr>
            </w:pPr>
            <w:r w:rsidRPr="003D6BFA">
              <w:rPr>
                <w:rFonts w:ascii="Times New Roman" w:eastAsia="Times New Roman" w:hAnsi="Times New Roman" w:cs="Times New Roman"/>
                <w:b/>
                <w:bCs/>
                <w:color w:val="000000"/>
                <w:sz w:val="14"/>
                <w:szCs w:val="14"/>
              </w:rPr>
              <w:t>Exportaciones FOB</w:t>
            </w:r>
          </w:p>
        </w:tc>
        <w:tc>
          <w:tcPr>
            <w:tcW w:w="1343" w:type="dxa"/>
            <w:tcBorders>
              <w:top w:val="nil"/>
              <w:left w:val="single" w:sz="4" w:space="0" w:color="auto"/>
              <w:bottom w:val="nil"/>
              <w:right w:val="nil"/>
            </w:tcBorders>
            <w:shd w:val="clear" w:color="auto" w:fill="auto"/>
            <w:noWrap/>
            <w:vAlign w:val="bottom"/>
            <w:hideMark/>
          </w:tcPr>
          <w:p w14:paraId="1679560C" w14:textId="77777777" w:rsidR="00E76E4D" w:rsidRPr="003D6BFA" w:rsidRDefault="00E76E4D" w:rsidP="00E63F4C">
            <w:pPr>
              <w:spacing w:after="0" w:line="240" w:lineRule="auto"/>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Porcentaje</w:t>
            </w:r>
          </w:p>
        </w:tc>
        <w:tc>
          <w:tcPr>
            <w:tcW w:w="831" w:type="dxa"/>
            <w:tcBorders>
              <w:top w:val="nil"/>
              <w:left w:val="single" w:sz="4" w:space="0" w:color="auto"/>
              <w:bottom w:val="nil"/>
              <w:right w:val="nil"/>
            </w:tcBorders>
            <w:shd w:val="clear" w:color="auto" w:fill="auto"/>
            <w:noWrap/>
            <w:vAlign w:val="bottom"/>
            <w:hideMark/>
          </w:tcPr>
          <w:p w14:paraId="47E6C8A0" w14:textId="77777777" w:rsidR="00E76E4D" w:rsidRPr="003D6BFA" w:rsidRDefault="00E76E4D" w:rsidP="00E63F4C">
            <w:pPr>
              <w:spacing w:after="0" w:line="240" w:lineRule="auto"/>
              <w:jc w:val="center"/>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6.0</w:t>
            </w:r>
          </w:p>
        </w:tc>
        <w:tc>
          <w:tcPr>
            <w:tcW w:w="831" w:type="dxa"/>
            <w:tcBorders>
              <w:top w:val="nil"/>
              <w:left w:val="nil"/>
              <w:bottom w:val="nil"/>
              <w:right w:val="nil"/>
            </w:tcBorders>
            <w:shd w:val="clear" w:color="000000" w:fill="F2F2F2"/>
            <w:noWrap/>
            <w:vAlign w:val="bottom"/>
            <w:hideMark/>
          </w:tcPr>
          <w:p w14:paraId="7BAB79CA" w14:textId="77777777" w:rsidR="00E76E4D" w:rsidRPr="003D6BFA" w:rsidRDefault="00E76E4D" w:rsidP="00E63F4C">
            <w:pPr>
              <w:spacing w:after="0" w:line="240" w:lineRule="auto"/>
              <w:jc w:val="center"/>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1</w:t>
            </w:r>
            <w:r>
              <w:rPr>
                <w:rFonts w:ascii="Times New Roman" w:eastAsia="Times New Roman" w:hAnsi="Times New Roman" w:cs="Times New Roman"/>
                <w:color w:val="000000"/>
                <w:sz w:val="14"/>
                <w:szCs w:val="14"/>
              </w:rPr>
              <w:t>2</w:t>
            </w:r>
            <w:r w:rsidRPr="003D6BFA">
              <w:rPr>
                <w:rFonts w:ascii="Times New Roman" w:eastAsia="Times New Roman" w:hAnsi="Times New Roman" w:cs="Times New Roman"/>
                <w:color w:val="000000"/>
                <w:sz w:val="14"/>
                <w:szCs w:val="14"/>
              </w:rPr>
              <w:t>.0</w:t>
            </w:r>
          </w:p>
        </w:tc>
        <w:tc>
          <w:tcPr>
            <w:tcW w:w="831" w:type="dxa"/>
            <w:tcBorders>
              <w:top w:val="nil"/>
              <w:left w:val="nil"/>
              <w:bottom w:val="nil"/>
              <w:right w:val="nil"/>
            </w:tcBorders>
            <w:shd w:val="clear" w:color="000000" w:fill="F2F2F2"/>
            <w:noWrap/>
            <w:vAlign w:val="bottom"/>
            <w:hideMark/>
          </w:tcPr>
          <w:p w14:paraId="7C6C2826" w14:textId="77777777" w:rsidR="00E76E4D" w:rsidRPr="003D6BFA" w:rsidRDefault="00E76E4D" w:rsidP="00E63F4C">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7</w:t>
            </w:r>
            <w:r w:rsidRPr="003D6BFA">
              <w:rPr>
                <w:rFonts w:ascii="Times New Roman" w:eastAsia="Times New Roman" w:hAnsi="Times New Roman" w:cs="Times New Roman"/>
                <w:color w:val="000000"/>
                <w:sz w:val="14"/>
                <w:szCs w:val="14"/>
              </w:rPr>
              <w:t>.5</w:t>
            </w:r>
          </w:p>
        </w:tc>
        <w:tc>
          <w:tcPr>
            <w:tcW w:w="831" w:type="dxa"/>
            <w:tcBorders>
              <w:top w:val="nil"/>
              <w:left w:val="nil"/>
              <w:bottom w:val="nil"/>
              <w:right w:val="nil"/>
            </w:tcBorders>
            <w:shd w:val="clear" w:color="000000" w:fill="F2F2F2"/>
            <w:noWrap/>
            <w:vAlign w:val="bottom"/>
            <w:hideMark/>
          </w:tcPr>
          <w:p w14:paraId="5C4D3E0D" w14:textId="77777777" w:rsidR="00E76E4D" w:rsidRPr="003D6BFA" w:rsidRDefault="00E76E4D" w:rsidP="00E63F4C">
            <w:pPr>
              <w:spacing w:after="0" w:line="240" w:lineRule="auto"/>
              <w:jc w:val="center"/>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6.0</w:t>
            </w:r>
          </w:p>
        </w:tc>
        <w:tc>
          <w:tcPr>
            <w:tcW w:w="831" w:type="dxa"/>
            <w:tcBorders>
              <w:top w:val="nil"/>
              <w:left w:val="nil"/>
              <w:bottom w:val="nil"/>
              <w:right w:val="nil"/>
            </w:tcBorders>
            <w:shd w:val="clear" w:color="000000" w:fill="F2F2F2"/>
            <w:noWrap/>
            <w:vAlign w:val="bottom"/>
            <w:hideMark/>
          </w:tcPr>
          <w:p w14:paraId="1A52697E" w14:textId="77777777" w:rsidR="00E76E4D" w:rsidRPr="003D6BFA" w:rsidRDefault="00E76E4D" w:rsidP="00E63F4C">
            <w:pPr>
              <w:spacing w:after="0" w:line="240" w:lineRule="auto"/>
              <w:jc w:val="center"/>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5.5</w:t>
            </w:r>
          </w:p>
        </w:tc>
        <w:tc>
          <w:tcPr>
            <w:tcW w:w="831" w:type="dxa"/>
            <w:tcBorders>
              <w:top w:val="nil"/>
              <w:left w:val="nil"/>
              <w:bottom w:val="nil"/>
              <w:right w:val="nil"/>
            </w:tcBorders>
            <w:shd w:val="clear" w:color="000000" w:fill="F2F2F2"/>
            <w:noWrap/>
            <w:vAlign w:val="bottom"/>
            <w:hideMark/>
          </w:tcPr>
          <w:p w14:paraId="66A5C869" w14:textId="77777777" w:rsidR="00E76E4D" w:rsidRPr="003D6BFA" w:rsidRDefault="00E76E4D" w:rsidP="00E63F4C">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5</w:t>
            </w:r>
            <w:r w:rsidRPr="003D6BFA">
              <w:rPr>
                <w:rFonts w:ascii="Times New Roman" w:eastAsia="Times New Roman" w:hAnsi="Times New Roman" w:cs="Times New Roman"/>
                <w:color w:val="000000"/>
                <w:sz w:val="14"/>
                <w:szCs w:val="14"/>
              </w:rPr>
              <w:t>.0</w:t>
            </w:r>
          </w:p>
        </w:tc>
        <w:tc>
          <w:tcPr>
            <w:tcW w:w="831" w:type="dxa"/>
            <w:tcBorders>
              <w:top w:val="nil"/>
              <w:left w:val="nil"/>
              <w:bottom w:val="nil"/>
              <w:right w:val="nil"/>
            </w:tcBorders>
            <w:shd w:val="clear" w:color="000000" w:fill="F2F2F2"/>
            <w:noWrap/>
            <w:vAlign w:val="bottom"/>
            <w:hideMark/>
          </w:tcPr>
          <w:p w14:paraId="0106427C" w14:textId="77777777" w:rsidR="00E76E4D" w:rsidRPr="003D6BFA" w:rsidRDefault="00E76E4D" w:rsidP="00E63F4C">
            <w:pPr>
              <w:spacing w:after="0" w:line="240" w:lineRule="auto"/>
              <w:jc w:val="center"/>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5.5</w:t>
            </w:r>
          </w:p>
        </w:tc>
      </w:tr>
      <w:tr w:rsidR="00E76E4D" w:rsidRPr="003D6BFA" w14:paraId="0CC722E1" w14:textId="77777777" w:rsidTr="00E63F4C">
        <w:trPr>
          <w:trHeight w:val="192"/>
        </w:trPr>
        <w:tc>
          <w:tcPr>
            <w:tcW w:w="1462" w:type="dxa"/>
            <w:tcBorders>
              <w:top w:val="nil"/>
              <w:left w:val="nil"/>
              <w:bottom w:val="single" w:sz="4" w:space="0" w:color="auto"/>
              <w:right w:val="nil"/>
            </w:tcBorders>
            <w:shd w:val="clear" w:color="auto" w:fill="auto"/>
            <w:noWrap/>
            <w:vAlign w:val="bottom"/>
            <w:hideMark/>
          </w:tcPr>
          <w:p w14:paraId="4303152D" w14:textId="77777777" w:rsidR="00E76E4D" w:rsidRPr="003D6BFA" w:rsidRDefault="00E76E4D" w:rsidP="00E63F4C">
            <w:pPr>
              <w:spacing w:after="0" w:line="240" w:lineRule="auto"/>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Inflación</w:t>
            </w:r>
          </w:p>
        </w:tc>
        <w:tc>
          <w:tcPr>
            <w:tcW w:w="1343" w:type="dxa"/>
            <w:tcBorders>
              <w:top w:val="nil"/>
              <w:left w:val="single" w:sz="4" w:space="0" w:color="auto"/>
              <w:bottom w:val="single" w:sz="4" w:space="0" w:color="auto"/>
              <w:right w:val="nil"/>
            </w:tcBorders>
            <w:shd w:val="clear" w:color="auto" w:fill="auto"/>
            <w:noWrap/>
            <w:vAlign w:val="bottom"/>
            <w:hideMark/>
          </w:tcPr>
          <w:p w14:paraId="68502926" w14:textId="77777777" w:rsidR="00E76E4D" w:rsidRPr="003D6BFA" w:rsidRDefault="00E76E4D" w:rsidP="00E63F4C">
            <w:pPr>
              <w:spacing w:after="0" w:line="240" w:lineRule="auto"/>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Porcentaje</w:t>
            </w:r>
          </w:p>
        </w:tc>
        <w:tc>
          <w:tcPr>
            <w:tcW w:w="831" w:type="dxa"/>
            <w:tcBorders>
              <w:top w:val="nil"/>
              <w:left w:val="single" w:sz="4" w:space="0" w:color="auto"/>
              <w:bottom w:val="single" w:sz="4" w:space="0" w:color="auto"/>
              <w:right w:val="nil"/>
            </w:tcBorders>
            <w:shd w:val="clear" w:color="auto" w:fill="auto"/>
            <w:noWrap/>
            <w:vAlign w:val="bottom"/>
            <w:hideMark/>
          </w:tcPr>
          <w:p w14:paraId="664793C8" w14:textId="77777777" w:rsidR="00E76E4D" w:rsidRPr="003D6BFA" w:rsidRDefault="00E76E4D"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4.8</w:t>
            </w:r>
          </w:p>
        </w:tc>
        <w:tc>
          <w:tcPr>
            <w:tcW w:w="831" w:type="dxa"/>
            <w:tcBorders>
              <w:top w:val="nil"/>
              <w:left w:val="nil"/>
              <w:bottom w:val="single" w:sz="4" w:space="0" w:color="auto"/>
              <w:right w:val="nil"/>
            </w:tcBorders>
            <w:shd w:val="clear" w:color="000000" w:fill="F2F2F2"/>
            <w:noWrap/>
            <w:vAlign w:val="bottom"/>
            <w:hideMark/>
          </w:tcPr>
          <w:p w14:paraId="62FD5EF5" w14:textId="77777777" w:rsidR="00E76E4D" w:rsidRPr="003D6BFA" w:rsidRDefault="00E76E4D"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4.0</w:t>
            </w:r>
          </w:p>
        </w:tc>
        <w:tc>
          <w:tcPr>
            <w:tcW w:w="831" w:type="dxa"/>
            <w:tcBorders>
              <w:top w:val="nil"/>
              <w:left w:val="nil"/>
              <w:bottom w:val="single" w:sz="4" w:space="0" w:color="auto"/>
              <w:right w:val="nil"/>
            </w:tcBorders>
            <w:shd w:val="clear" w:color="000000" w:fill="F2F2F2"/>
            <w:noWrap/>
            <w:vAlign w:val="bottom"/>
            <w:hideMark/>
          </w:tcPr>
          <w:p w14:paraId="2D30CE26" w14:textId="77777777" w:rsidR="00E76E4D" w:rsidRPr="003D6BFA" w:rsidRDefault="00E76E4D"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4.0</w:t>
            </w:r>
          </w:p>
        </w:tc>
        <w:tc>
          <w:tcPr>
            <w:tcW w:w="831" w:type="dxa"/>
            <w:tcBorders>
              <w:top w:val="nil"/>
              <w:left w:val="nil"/>
              <w:bottom w:val="single" w:sz="4" w:space="0" w:color="auto"/>
              <w:right w:val="nil"/>
            </w:tcBorders>
            <w:shd w:val="clear" w:color="000000" w:fill="F2F2F2"/>
            <w:noWrap/>
            <w:vAlign w:val="bottom"/>
            <w:hideMark/>
          </w:tcPr>
          <w:p w14:paraId="446145EC" w14:textId="77777777" w:rsidR="00E76E4D" w:rsidRPr="003D6BFA" w:rsidRDefault="00E76E4D"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4.0</w:t>
            </w:r>
          </w:p>
        </w:tc>
        <w:tc>
          <w:tcPr>
            <w:tcW w:w="831" w:type="dxa"/>
            <w:tcBorders>
              <w:top w:val="nil"/>
              <w:left w:val="nil"/>
              <w:bottom w:val="single" w:sz="4" w:space="0" w:color="auto"/>
              <w:right w:val="nil"/>
            </w:tcBorders>
            <w:shd w:val="clear" w:color="000000" w:fill="F2F2F2"/>
            <w:noWrap/>
            <w:vAlign w:val="bottom"/>
            <w:hideMark/>
          </w:tcPr>
          <w:p w14:paraId="62C43876" w14:textId="77777777" w:rsidR="00E76E4D" w:rsidRPr="003D6BFA" w:rsidRDefault="00E76E4D"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4.0</w:t>
            </w:r>
          </w:p>
        </w:tc>
        <w:tc>
          <w:tcPr>
            <w:tcW w:w="831" w:type="dxa"/>
            <w:tcBorders>
              <w:top w:val="nil"/>
              <w:left w:val="nil"/>
              <w:bottom w:val="single" w:sz="4" w:space="0" w:color="auto"/>
              <w:right w:val="nil"/>
            </w:tcBorders>
            <w:shd w:val="clear" w:color="000000" w:fill="F2F2F2"/>
            <w:noWrap/>
            <w:vAlign w:val="bottom"/>
            <w:hideMark/>
          </w:tcPr>
          <w:p w14:paraId="1CB6FCE2" w14:textId="77777777" w:rsidR="00E76E4D" w:rsidRPr="003D6BFA" w:rsidRDefault="00E76E4D"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4.0</w:t>
            </w:r>
          </w:p>
        </w:tc>
        <w:tc>
          <w:tcPr>
            <w:tcW w:w="831" w:type="dxa"/>
            <w:tcBorders>
              <w:top w:val="nil"/>
              <w:left w:val="nil"/>
              <w:bottom w:val="single" w:sz="4" w:space="0" w:color="auto"/>
              <w:right w:val="nil"/>
            </w:tcBorders>
            <w:shd w:val="clear" w:color="000000" w:fill="F2F2F2"/>
            <w:noWrap/>
            <w:vAlign w:val="bottom"/>
            <w:hideMark/>
          </w:tcPr>
          <w:p w14:paraId="331020CD" w14:textId="77777777" w:rsidR="00E76E4D" w:rsidRPr="003D6BFA" w:rsidRDefault="00E76E4D"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4.0</w:t>
            </w:r>
          </w:p>
        </w:tc>
      </w:tr>
    </w:tbl>
    <w:p w14:paraId="169500B8" w14:textId="2B78F503" w:rsidR="003D6BFA" w:rsidRPr="009173EB" w:rsidRDefault="003D6BFA" w:rsidP="003D6BFA">
      <w:pPr>
        <w:spacing w:after="0" w:line="240" w:lineRule="auto"/>
        <w:rPr>
          <w:rFonts w:ascii="Times New Roman" w:hAnsi="Times New Roman" w:cs="Times New Roman"/>
          <w:sz w:val="16"/>
          <w:szCs w:val="14"/>
        </w:rPr>
      </w:pPr>
      <w:r w:rsidRPr="009173EB">
        <w:rPr>
          <w:rFonts w:ascii="Times New Roman" w:hAnsi="Times New Roman" w:cs="Times New Roman"/>
          <w:sz w:val="16"/>
          <w:szCs w:val="14"/>
        </w:rPr>
        <w:t xml:space="preserve">Fuente: </w:t>
      </w:r>
      <w:r w:rsidR="009206E2" w:rsidRPr="009173EB">
        <w:rPr>
          <w:rFonts w:ascii="Times New Roman" w:hAnsi="Times New Roman" w:cs="Times New Roman"/>
          <w:sz w:val="16"/>
          <w:szCs w:val="14"/>
        </w:rPr>
        <w:t>Banco de Guatemala.</w:t>
      </w:r>
    </w:p>
    <w:p w14:paraId="6D49511B" w14:textId="77777777" w:rsidR="003D6BFA" w:rsidRPr="009173EB" w:rsidRDefault="003D6BFA" w:rsidP="003D6BFA">
      <w:pPr>
        <w:spacing w:after="0" w:line="240" w:lineRule="auto"/>
        <w:rPr>
          <w:rFonts w:ascii="Times New Roman" w:hAnsi="Times New Roman" w:cs="Times New Roman"/>
          <w:sz w:val="16"/>
          <w:szCs w:val="14"/>
        </w:rPr>
      </w:pPr>
      <w:r w:rsidRPr="009173EB">
        <w:rPr>
          <w:rFonts w:ascii="Times New Roman" w:hAnsi="Times New Roman" w:cs="Times New Roman"/>
          <w:sz w:val="16"/>
          <w:szCs w:val="14"/>
        </w:rPr>
        <w:t>e: Estimación</w:t>
      </w:r>
    </w:p>
    <w:p w14:paraId="30B976D7" w14:textId="77777777" w:rsidR="003D6BFA" w:rsidRPr="009173EB" w:rsidRDefault="003D6BFA" w:rsidP="003D6BFA">
      <w:pPr>
        <w:spacing w:after="0" w:line="240" w:lineRule="auto"/>
        <w:rPr>
          <w:rFonts w:ascii="Times New Roman" w:hAnsi="Times New Roman" w:cs="Times New Roman"/>
          <w:sz w:val="16"/>
          <w:szCs w:val="14"/>
        </w:rPr>
      </w:pPr>
      <w:r w:rsidRPr="009173EB">
        <w:rPr>
          <w:rFonts w:ascii="Times New Roman" w:hAnsi="Times New Roman" w:cs="Times New Roman"/>
          <w:sz w:val="16"/>
          <w:szCs w:val="14"/>
        </w:rPr>
        <w:t>py: Proyección</w:t>
      </w:r>
    </w:p>
    <w:p w14:paraId="5610DDA9" w14:textId="77777777" w:rsidR="003D6BFA" w:rsidRPr="00394005" w:rsidRDefault="003D6BFA" w:rsidP="002C7396">
      <w:pPr>
        <w:spacing w:after="0" w:line="240" w:lineRule="auto"/>
        <w:jc w:val="both"/>
        <w:rPr>
          <w:rFonts w:ascii="Times New Roman" w:hAnsi="Times New Roman" w:cs="Times New Roman"/>
        </w:rPr>
      </w:pPr>
    </w:p>
    <w:p w14:paraId="60148824" w14:textId="6CD4ED31" w:rsidR="002C7396" w:rsidRPr="00394005" w:rsidRDefault="003D6BFA" w:rsidP="002C7396">
      <w:pPr>
        <w:spacing w:after="0" w:line="240" w:lineRule="auto"/>
        <w:jc w:val="both"/>
        <w:rPr>
          <w:rFonts w:ascii="Times New Roman" w:hAnsi="Times New Roman" w:cs="Times New Roman"/>
        </w:rPr>
      </w:pPr>
      <w:r w:rsidRPr="00394005">
        <w:rPr>
          <w:rFonts w:ascii="Times New Roman" w:hAnsi="Times New Roman" w:cs="Times New Roman"/>
        </w:rPr>
        <w:t>A pesar de que, las expectativas para 2021 y para el mediano plazo son bastante alentadoras, pueden existir, como se ha indicado anteriormente, algunos riesgos a la baja en la</w:t>
      </w:r>
      <w:r w:rsidR="00F1645D" w:rsidRPr="00394005">
        <w:rPr>
          <w:rFonts w:ascii="Times New Roman" w:hAnsi="Times New Roman" w:cs="Times New Roman"/>
        </w:rPr>
        <w:t>s</w:t>
      </w:r>
      <w:r w:rsidRPr="00394005">
        <w:rPr>
          <w:rFonts w:ascii="Times New Roman" w:hAnsi="Times New Roman" w:cs="Times New Roman"/>
        </w:rPr>
        <w:t xml:space="preserve"> proyecciones.  De esa cuenta, se estima que el crecimiento del producto interno bruto se ubique con una menor probabilidad en el escenario bajo, propuesto por el Banco Guatemala, en base a los supuestos del mediano plazo del contexto internacional y del mercado interno, este podría ubicarse en torno al </w:t>
      </w:r>
      <w:r w:rsidR="00E76E4D">
        <w:rPr>
          <w:rFonts w:ascii="Times New Roman" w:hAnsi="Times New Roman" w:cs="Times New Roman"/>
        </w:rPr>
        <w:t>3.5</w:t>
      </w:r>
      <w:r w:rsidRPr="00394005">
        <w:rPr>
          <w:rFonts w:ascii="Times New Roman" w:hAnsi="Times New Roman" w:cs="Times New Roman"/>
        </w:rPr>
        <w:t xml:space="preserve">% para 2022, posteriormente se prevé que el crecimiento en el 2023 se ubique en </w:t>
      </w:r>
      <w:r w:rsidR="00E76E4D">
        <w:rPr>
          <w:rFonts w:ascii="Times New Roman" w:hAnsi="Times New Roman" w:cs="Times New Roman"/>
        </w:rPr>
        <w:t>2.7</w:t>
      </w:r>
      <w:r w:rsidRPr="00394005">
        <w:rPr>
          <w:rFonts w:ascii="Times New Roman" w:hAnsi="Times New Roman" w:cs="Times New Roman"/>
        </w:rPr>
        <w:t xml:space="preserve">%, para los años 2024-2025 en 2.6% y se prevé que para el 2026 se ubique en 2.7%.  Por parte del producto Interno Bruto nominal se estima un crecimiento de </w:t>
      </w:r>
      <w:r w:rsidR="00451E05">
        <w:rPr>
          <w:rFonts w:ascii="Times New Roman" w:hAnsi="Times New Roman" w:cs="Times New Roman"/>
        </w:rPr>
        <w:t>6.8</w:t>
      </w:r>
      <w:r w:rsidRPr="00394005">
        <w:rPr>
          <w:rFonts w:ascii="Times New Roman" w:hAnsi="Times New Roman" w:cs="Times New Roman"/>
        </w:rPr>
        <w:t xml:space="preserve">% en el 2022, en el 2023 un crecimiento de </w:t>
      </w:r>
      <w:r w:rsidR="00451E05">
        <w:rPr>
          <w:rFonts w:ascii="Times New Roman" w:hAnsi="Times New Roman" w:cs="Times New Roman"/>
        </w:rPr>
        <w:t>5.3</w:t>
      </w:r>
      <w:r w:rsidRPr="00394005">
        <w:rPr>
          <w:rFonts w:ascii="Times New Roman" w:hAnsi="Times New Roman" w:cs="Times New Roman"/>
        </w:rPr>
        <w:t>% y para el 2026 de 5.4%. Asimismo, conforme avance la recuperación de la economía interna, se espera que la inflación se ubique en 3.0% del 2022-2026 en el límite inferior de la meta de inflación. Lo anterior, se debe a la mejora moderada de las condiciones económicas de la economía interna y de los principales socios comerciales.</w:t>
      </w:r>
    </w:p>
    <w:p w14:paraId="0EB7AE90" w14:textId="77777777" w:rsidR="002C7396" w:rsidRPr="00394005" w:rsidRDefault="002C7396" w:rsidP="002C7396">
      <w:pPr>
        <w:spacing w:after="0" w:line="240" w:lineRule="auto"/>
        <w:jc w:val="both"/>
        <w:rPr>
          <w:rFonts w:ascii="Times New Roman" w:hAnsi="Times New Roman" w:cs="Times New Roman"/>
        </w:rPr>
      </w:pPr>
    </w:p>
    <w:p w14:paraId="37B089DA" w14:textId="5B82E1A0" w:rsidR="003D6BFA" w:rsidRPr="00394005" w:rsidRDefault="003D6BFA" w:rsidP="00816636">
      <w:pPr>
        <w:spacing w:after="0" w:line="240" w:lineRule="auto"/>
        <w:jc w:val="both"/>
        <w:rPr>
          <w:rFonts w:ascii="Times New Roman" w:hAnsi="Times New Roman" w:cs="Times New Roman"/>
        </w:rPr>
      </w:pPr>
      <w:r w:rsidRPr="00394005">
        <w:rPr>
          <w:rFonts w:ascii="Times New Roman" w:hAnsi="Times New Roman" w:cs="Times New Roman"/>
        </w:rPr>
        <w:t xml:space="preserve">Para el sector externo de la economía, se proyecta que en el 2022 las importaciones de bienes tengan un crecimiento de </w:t>
      </w:r>
      <w:r w:rsidR="00451E05">
        <w:rPr>
          <w:rFonts w:ascii="Times New Roman" w:hAnsi="Times New Roman" w:cs="Times New Roman"/>
        </w:rPr>
        <w:t>6.0</w:t>
      </w:r>
      <w:r w:rsidRPr="00394005">
        <w:rPr>
          <w:rFonts w:ascii="Times New Roman" w:hAnsi="Times New Roman" w:cs="Times New Roman"/>
        </w:rPr>
        <w:t xml:space="preserve">%, aun en la línea de crecimiento tendencial de los últimos años previo a la pandemia, en los años posteriores se espera que el crecimiento de las importaciones tenga unas leves variaciones, pero sin perder la tendencia, de tal manera que en el 2026 termine en </w:t>
      </w:r>
      <w:r w:rsidR="00451E05">
        <w:rPr>
          <w:rFonts w:ascii="Times New Roman" w:hAnsi="Times New Roman" w:cs="Times New Roman"/>
        </w:rPr>
        <w:t>6.0</w:t>
      </w:r>
      <w:r w:rsidRPr="00394005">
        <w:rPr>
          <w:rFonts w:ascii="Times New Roman" w:hAnsi="Times New Roman" w:cs="Times New Roman"/>
        </w:rPr>
        <w:t xml:space="preserve">%. En las exportaciones se espera un crecimiento de </w:t>
      </w:r>
      <w:r w:rsidR="00451E05">
        <w:rPr>
          <w:rFonts w:ascii="Times New Roman" w:hAnsi="Times New Roman" w:cs="Times New Roman"/>
        </w:rPr>
        <w:t>6</w:t>
      </w:r>
      <w:r w:rsidRPr="00394005">
        <w:rPr>
          <w:rFonts w:ascii="Times New Roman" w:hAnsi="Times New Roman" w:cs="Times New Roman"/>
        </w:rPr>
        <w:t xml:space="preserve">.0% para 2022, estabilizándose también su nivel previo a la crisis, en los años siguientes años la tasa de crecimiento se proyecta en </w:t>
      </w:r>
      <w:r w:rsidR="00451E05">
        <w:rPr>
          <w:rFonts w:ascii="Times New Roman" w:hAnsi="Times New Roman" w:cs="Times New Roman"/>
        </w:rPr>
        <w:t>4</w:t>
      </w:r>
      <w:r w:rsidRPr="00394005">
        <w:rPr>
          <w:rFonts w:ascii="Times New Roman" w:hAnsi="Times New Roman" w:cs="Times New Roman"/>
        </w:rPr>
        <w:t xml:space="preserve">.5% en 2023 y a partir de allí inicia una desacelere ración moderada con un crecimiento que va de 4.0% a </w:t>
      </w:r>
      <w:r w:rsidR="00451E05">
        <w:rPr>
          <w:rFonts w:ascii="Times New Roman" w:hAnsi="Times New Roman" w:cs="Times New Roman"/>
        </w:rPr>
        <w:t>3</w:t>
      </w:r>
      <w:r w:rsidRPr="00394005">
        <w:rPr>
          <w:rFonts w:ascii="Times New Roman" w:hAnsi="Times New Roman" w:cs="Times New Roman"/>
        </w:rPr>
        <w:t>.5% para los años 2024 y 2025, respectivamente, situándose en 4.0% en el 2026. La recuperación en el sector externo después de la pandemia por COVID-19, se estima de forma débil, esto de conformidad a un posible escenario no tan optimista en cuanto al avance y efectividad de la vacunación en los principales socios comerciales derivado de la mutación de nuevas cepas que no cubra las vacunas entre otros y la recuperación de su demanda interna sea débil.</w:t>
      </w:r>
    </w:p>
    <w:p w14:paraId="67138F6C" w14:textId="74721C71" w:rsidR="00F51A6E" w:rsidRPr="00394005" w:rsidRDefault="00F51A6E" w:rsidP="002C7396">
      <w:pPr>
        <w:spacing w:after="0" w:line="240" w:lineRule="auto"/>
        <w:jc w:val="both"/>
        <w:rPr>
          <w:rFonts w:ascii="Times New Roman" w:hAnsi="Times New Roman" w:cs="Times New Roman"/>
        </w:rPr>
      </w:pPr>
    </w:p>
    <w:tbl>
      <w:tblPr>
        <w:tblW w:w="8789"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DD6EE" w:themeFill="accent1" w:themeFillTint="66"/>
        <w:tblLayout w:type="fixed"/>
        <w:tblLook w:val="04A0" w:firstRow="1" w:lastRow="0" w:firstColumn="1" w:lastColumn="0" w:noHBand="0" w:noVBand="1"/>
      </w:tblPr>
      <w:tblGrid>
        <w:gridCol w:w="8789"/>
      </w:tblGrid>
      <w:tr w:rsidR="00F51A6E" w:rsidRPr="00394005" w14:paraId="0D9E8AB7" w14:textId="77777777" w:rsidTr="00F51A6E">
        <w:tc>
          <w:tcPr>
            <w:tcW w:w="8789" w:type="dxa"/>
            <w:shd w:val="clear" w:color="auto" w:fill="BDD6EE" w:themeFill="accent1" w:themeFillTint="66"/>
          </w:tcPr>
          <w:p w14:paraId="726D2FB5" w14:textId="1622954F" w:rsidR="00F51A6E" w:rsidRDefault="00F51A6E" w:rsidP="00816636">
            <w:pPr>
              <w:spacing w:after="0" w:line="240" w:lineRule="auto"/>
              <w:jc w:val="center"/>
              <w:rPr>
                <w:rFonts w:ascii="Times New Roman" w:hAnsi="Times New Roman" w:cs="Times New Roman"/>
                <w:b/>
                <w:bCs/>
              </w:rPr>
            </w:pPr>
            <w:r w:rsidRPr="00394005">
              <w:rPr>
                <w:rFonts w:ascii="Times New Roman" w:hAnsi="Times New Roman" w:cs="Times New Roman"/>
                <w:b/>
                <w:bCs/>
              </w:rPr>
              <w:t>Recuadro 2. Escenario medio de crecimiento económico bajo incertidumbre</w:t>
            </w:r>
          </w:p>
          <w:p w14:paraId="47C6ADB9" w14:textId="77777777" w:rsidR="00816636" w:rsidRPr="00394005" w:rsidRDefault="00816636" w:rsidP="00816636">
            <w:pPr>
              <w:spacing w:after="0" w:line="240" w:lineRule="auto"/>
              <w:jc w:val="center"/>
              <w:rPr>
                <w:rFonts w:ascii="Times New Roman" w:hAnsi="Times New Roman" w:cs="Times New Roman"/>
                <w:b/>
                <w:bCs/>
              </w:rPr>
            </w:pPr>
          </w:p>
          <w:p w14:paraId="61CC174E" w14:textId="3CC3FB45" w:rsidR="00F51A6E" w:rsidRDefault="00F51A6E" w:rsidP="00816636">
            <w:pPr>
              <w:spacing w:after="0" w:line="240" w:lineRule="auto"/>
              <w:jc w:val="both"/>
              <w:rPr>
                <w:rFonts w:ascii="Times New Roman" w:hAnsi="Times New Roman" w:cs="Times New Roman"/>
              </w:rPr>
            </w:pPr>
            <w:r w:rsidRPr="00394005">
              <w:rPr>
                <w:rFonts w:ascii="Times New Roman" w:hAnsi="Times New Roman" w:cs="Times New Roman"/>
              </w:rPr>
              <w:t xml:space="preserve">Según las perspectivas económicas al segundo trimestre del 2021 y después de la contracción observada en el PIB en 2020 por </w:t>
            </w:r>
            <w:r w:rsidR="00816636" w:rsidRPr="00394005">
              <w:rPr>
                <w:rFonts w:ascii="Times New Roman" w:hAnsi="Times New Roman" w:cs="Times New Roman"/>
              </w:rPr>
              <w:t>las medidas sanitarias</w:t>
            </w:r>
            <w:r w:rsidRPr="00394005">
              <w:rPr>
                <w:rFonts w:ascii="Times New Roman" w:hAnsi="Times New Roman" w:cs="Times New Roman"/>
              </w:rPr>
              <w:t xml:space="preserve"> para detener la propagación del COVID-19 en el mundo, el Banco de Guatemala estima que el proceso de recuperación económica que inició en los últimos trimestres del 2020 continué y se consolide en 2021 dada la mejora de las proyecciones de los principales socios comerciales, así como la mejora de las condiciones económicas internas. El escenario medio de la estimación del crecimiento económico se ubica en </w:t>
            </w:r>
            <w:r w:rsidR="006C0E39">
              <w:rPr>
                <w:rFonts w:ascii="Times New Roman" w:hAnsi="Times New Roman" w:cs="Times New Roman"/>
              </w:rPr>
              <w:t>5</w:t>
            </w:r>
            <w:r w:rsidR="00CA288F">
              <w:rPr>
                <w:rFonts w:ascii="Times New Roman" w:hAnsi="Times New Roman" w:cs="Times New Roman"/>
              </w:rPr>
              <w:t>.0</w:t>
            </w:r>
            <w:r w:rsidRPr="00394005">
              <w:rPr>
                <w:rFonts w:ascii="Times New Roman" w:hAnsi="Times New Roman" w:cs="Times New Roman"/>
              </w:rPr>
              <w:t xml:space="preserve">% para 2021, posteriormente se espera que el impulso continúe durante 2022 y que el crecimiento este en </w:t>
            </w:r>
            <w:r w:rsidR="006C0E39">
              <w:rPr>
                <w:rFonts w:ascii="Times New Roman" w:hAnsi="Times New Roman" w:cs="Times New Roman"/>
              </w:rPr>
              <w:t>4.5</w:t>
            </w:r>
            <w:r w:rsidRPr="00394005">
              <w:rPr>
                <w:rFonts w:ascii="Times New Roman" w:hAnsi="Times New Roman" w:cs="Times New Roman"/>
              </w:rPr>
              <w:t>% para dicho año, y que se encuentre alrededor 3.7% del 2023 al 2026.</w:t>
            </w:r>
          </w:p>
          <w:p w14:paraId="458B5AA9" w14:textId="77777777" w:rsidR="00816636" w:rsidRPr="00394005" w:rsidRDefault="00816636" w:rsidP="00816636">
            <w:pPr>
              <w:spacing w:after="0" w:line="240" w:lineRule="auto"/>
              <w:jc w:val="both"/>
              <w:rPr>
                <w:rFonts w:ascii="Times New Roman" w:hAnsi="Times New Roman" w:cs="Times New Roman"/>
              </w:rPr>
            </w:pPr>
          </w:p>
          <w:p w14:paraId="6DA7028B" w14:textId="3DD38CD6" w:rsidR="00F51A6E" w:rsidRDefault="00F51A6E" w:rsidP="00816636">
            <w:pPr>
              <w:spacing w:after="0" w:line="240" w:lineRule="auto"/>
              <w:jc w:val="both"/>
              <w:rPr>
                <w:rFonts w:ascii="Times New Roman" w:hAnsi="Times New Roman" w:cs="Times New Roman"/>
              </w:rPr>
            </w:pPr>
            <w:r w:rsidRPr="00394005">
              <w:rPr>
                <w:rFonts w:ascii="Times New Roman" w:hAnsi="Times New Roman" w:cs="Times New Roman"/>
              </w:rPr>
              <w:t>Sin embargo, la propagación del COVID-19 en el 2020 se ha caracterizado por generar una extrema  incertidumbre en las proyecciones de las variables económicas de corto y mediano plazo, debido  a que las interacciones de los factores han sido muy difíciles de predecir, como lo es la trayectoria de la pandemia, la intensidad y eficacias de los esfuerzos de contención de cada país, las perturbaciones causadas en la oferta, la  volatilidad en los precios de las materias primas, variaciones en los patrones de gasto e inversión, entre otros. Por lo tanto, es importante considerar posibles factores de riesgo que puedan afectar las proyecciones económicas del 2021-2026, por ejemplo, se encuentra el surgimiento de variantes de COVID-19 que han mostrado un nivel de transmisibilidad y signos de mayor letalidad (</w:t>
            </w:r>
            <w:r w:rsidRPr="00394005">
              <w:rPr>
                <w:rFonts w:ascii="Times New Roman" w:hAnsi="Times New Roman" w:cs="Times New Roman"/>
                <w:lang w:val="es-MX"/>
              </w:rPr>
              <w:t>Alfa, Beta, Gamma y Delta</w:t>
            </w:r>
            <w:r w:rsidRPr="00394005">
              <w:rPr>
                <w:rFonts w:ascii="Times New Roman" w:hAnsi="Times New Roman" w:cs="Times New Roman"/>
              </w:rPr>
              <w:t>), las cuales podrían llevar a los gobiernos a intensificar las medidas de contención.</w:t>
            </w:r>
          </w:p>
          <w:p w14:paraId="77CEB6A5" w14:textId="77777777" w:rsidR="00816636" w:rsidRPr="00394005" w:rsidRDefault="00816636" w:rsidP="00816636">
            <w:pPr>
              <w:spacing w:after="0" w:line="240" w:lineRule="auto"/>
              <w:jc w:val="both"/>
              <w:rPr>
                <w:rFonts w:ascii="Times New Roman" w:hAnsi="Times New Roman" w:cs="Times New Roman"/>
              </w:rPr>
            </w:pPr>
          </w:p>
          <w:p w14:paraId="4F42F390" w14:textId="1EA15038" w:rsidR="004D7B9A" w:rsidRDefault="00F51A6E" w:rsidP="00816636">
            <w:pPr>
              <w:spacing w:after="0" w:line="240" w:lineRule="auto"/>
              <w:jc w:val="both"/>
              <w:rPr>
                <w:rFonts w:ascii="Times New Roman" w:eastAsiaTheme="minorEastAsia" w:hAnsi="Times New Roman" w:cs="Times New Roman"/>
              </w:rPr>
            </w:pPr>
            <w:r w:rsidRPr="00394005">
              <w:rPr>
                <w:rFonts w:ascii="Times New Roman" w:hAnsi="Times New Roman" w:cs="Times New Roman"/>
              </w:rPr>
              <w:t xml:space="preserve">Para medir los factores múltiples que pueden afectar las trayectorias del crecimiento económico se consideró como base una metodología trabajada con la asistencia técnica del Fondo Monetario Internacional para la elaboración de Fan Charts y siguiendo de cerca el trabajo de  </w:t>
            </w:r>
            <w:sdt>
              <w:sdtPr>
                <w:rPr>
                  <w:rFonts w:ascii="Times New Roman" w:hAnsi="Times New Roman" w:cs="Times New Roman"/>
                </w:rPr>
                <w:id w:val="-1767686222"/>
                <w:citation/>
              </w:sdtPr>
              <w:sdtEndPr/>
              <w:sdtContent>
                <w:r w:rsidRPr="00394005">
                  <w:rPr>
                    <w:rFonts w:ascii="Times New Roman" w:hAnsi="Times New Roman" w:cs="Times New Roman"/>
                  </w:rPr>
                  <w:fldChar w:fldCharType="begin"/>
                </w:r>
                <w:r w:rsidRPr="00394005">
                  <w:rPr>
                    <w:rFonts w:ascii="Times New Roman" w:hAnsi="Times New Roman" w:cs="Times New Roman"/>
                  </w:rPr>
                  <w:instrText xml:space="preserve"> CITATION Jul07 \l 4106 </w:instrText>
                </w:r>
                <w:r w:rsidRPr="00394005">
                  <w:rPr>
                    <w:rFonts w:ascii="Times New Roman" w:hAnsi="Times New Roman" w:cs="Times New Roman"/>
                  </w:rPr>
                  <w:fldChar w:fldCharType="separate"/>
                </w:r>
                <w:r w:rsidRPr="00394005">
                  <w:rPr>
                    <w:rFonts w:ascii="Times New Roman" w:hAnsi="Times New Roman" w:cs="Times New Roman"/>
                    <w:noProof/>
                  </w:rPr>
                  <w:t>(Julio, 2007)</w:t>
                </w:r>
                <w:r w:rsidRPr="00394005">
                  <w:rPr>
                    <w:rFonts w:ascii="Times New Roman" w:hAnsi="Times New Roman" w:cs="Times New Roman"/>
                  </w:rPr>
                  <w:fldChar w:fldCharType="end"/>
                </w:r>
              </w:sdtContent>
            </w:sdt>
            <w:r w:rsidRPr="00394005">
              <w:rPr>
                <w:rFonts w:ascii="Times New Roman" w:hAnsi="Times New Roman" w:cs="Times New Roman"/>
              </w:rPr>
              <w:t>. El procedimiento consiste en tomar como base para cada periodo de pronósticos una distribución normal en partes como se muestra en la expresión (</w:t>
            </w:r>
            <w:r w:rsidRPr="00394005">
              <w:rPr>
                <w:rFonts w:ascii="Times New Roman" w:hAnsi="Times New Roman" w:cs="Times New Roman"/>
                <w:color w:val="000000" w:themeColor="text1"/>
              </w:rPr>
              <w:t>1),</w:t>
            </w:r>
            <w:r w:rsidRPr="00394005">
              <w:rPr>
                <w:rFonts w:ascii="Times New Roman" w:hAnsi="Times New Roman" w:cs="Times New Roman"/>
                <w:color w:val="FF0000"/>
              </w:rPr>
              <w:t xml:space="preserve"> </w:t>
            </w:r>
            <w:r w:rsidRPr="00394005">
              <w:rPr>
                <w:rFonts w:ascii="Times New Roman" w:hAnsi="Times New Roman" w:cs="Times New Roman"/>
              </w:rPr>
              <w:t xml:space="preserve">de la cual </w:t>
            </w:r>
            <m:oMath>
              <m:r>
                <m:rPr>
                  <m:sty m:val="p"/>
                </m:rPr>
                <w:rPr>
                  <w:rFonts w:ascii="Cambria Math" w:hAnsi="Cambria Math" w:cs="Times New Roman"/>
                </w:rPr>
                <m:t>μ</m:t>
              </m:r>
            </m:oMath>
            <w:r w:rsidRPr="00394005">
              <w:rPr>
                <w:rFonts w:ascii="Times New Roman" w:eastAsiaTheme="minorEastAsia" w:hAnsi="Times New Roman" w:cs="Times New Roman"/>
              </w:rPr>
              <w:t xml:space="preserve"> es la moda, </w:t>
            </w:r>
            <m:oMath>
              <m:sSub>
                <m:sSubPr>
                  <m:ctrlPr>
                    <w:rPr>
                      <w:rFonts w:ascii="Cambria Math" w:eastAsiaTheme="minorEastAsia" w:hAnsi="Cambria Math" w:cs="Times New Roman"/>
                      <w:i/>
                    </w:rPr>
                  </m:ctrlPr>
                </m:sSubPr>
                <m:e>
                  <m:r>
                    <m:rPr>
                      <m:sty m:val="p"/>
                    </m:rPr>
                    <w:rPr>
                      <w:rFonts w:ascii="Cambria Math" w:eastAsiaTheme="minorEastAsia" w:hAnsi="Cambria Math" w:cs="Times New Roman"/>
                    </w:rPr>
                    <m:t>σ</m:t>
                  </m:r>
                  <m:ctrlPr>
                    <w:rPr>
                      <w:rFonts w:ascii="Cambria Math" w:eastAsiaTheme="minorEastAsia" w:hAnsi="Cambria Math" w:cs="Times New Roman"/>
                    </w:rPr>
                  </m:ctrlPr>
                </m:e>
                <m:sub>
                  <m:r>
                    <w:rPr>
                      <w:rFonts w:ascii="Cambria Math" w:eastAsiaTheme="minorEastAsia" w:hAnsi="Cambria Math" w:cs="Times New Roman"/>
                    </w:rPr>
                    <m:t>1</m:t>
                  </m:r>
                </m:sub>
              </m:sSub>
            </m:oMath>
            <w:r w:rsidRPr="00394005">
              <w:rPr>
                <w:rFonts w:ascii="Times New Roman" w:eastAsiaTheme="minorEastAsia" w:hAnsi="Times New Roman" w:cs="Times New Roman"/>
              </w:rPr>
              <w:t xml:space="preserve"> es la deviación estándar izquierda, </w:t>
            </w:r>
            <m:oMath>
              <m:sSub>
                <m:sSubPr>
                  <m:ctrlPr>
                    <w:rPr>
                      <w:rFonts w:ascii="Cambria Math" w:eastAsiaTheme="minorEastAsia" w:hAnsi="Cambria Math" w:cs="Times New Roman"/>
                      <w:i/>
                    </w:rPr>
                  </m:ctrlPr>
                </m:sSubPr>
                <m:e>
                  <m:r>
                    <m:rPr>
                      <m:sty m:val="p"/>
                    </m:rPr>
                    <w:rPr>
                      <w:rFonts w:ascii="Cambria Math" w:eastAsiaTheme="minorEastAsia" w:hAnsi="Cambria Math" w:cs="Times New Roman"/>
                    </w:rPr>
                    <m:t>σ</m:t>
                  </m:r>
                  <m:ctrlPr>
                    <w:rPr>
                      <w:rFonts w:ascii="Cambria Math" w:eastAsiaTheme="minorEastAsia" w:hAnsi="Cambria Math" w:cs="Times New Roman"/>
                    </w:rPr>
                  </m:ctrlPr>
                </m:e>
                <m:sub>
                  <m:r>
                    <w:rPr>
                      <w:rFonts w:ascii="Cambria Math" w:eastAsiaTheme="minorEastAsia" w:hAnsi="Cambria Math" w:cs="Times New Roman"/>
                    </w:rPr>
                    <m:t>2</m:t>
                  </m:r>
                </m:sub>
              </m:sSub>
            </m:oMath>
            <w:r w:rsidRPr="00394005">
              <w:rPr>
                <w:rFonts w:ascii="Times New Roman" w:eastAsiaTheme="minorEastAsia" w:hAnsi="Times New Roman" w:cs="Times New Roman"/>
              </w:rPr>
              <w:t xml:space="preserve"> es la desviación estándar derecha,  </w:t>
            </w:r>
            <m:oMath>
              <m:r>
                <w:rPr>
                  <w:rFonts w:ascii="Cambria Math" w:eastAsiaTheme="minorEastAsia" w:hAnsi="Cambria Math" w:cs="Times New Roman"/>
                </w:rPr>
                <m:t>x</m:t>
              </m:r>
            </m:oMath>
            <w:r w:rsidRPr="00394005">
              <w:rPr>
                <w:rFonts w:ascii="Times New Roman" w:eastAsiaTheme="minorEastAsia" w:hAnsi="Times New Roman" w:cs="Times New Roman"/>
              </w:rPr>
              <w:t xml:space="preserve"> son los posibles valores del crecimiento económico que se pueden encontrar de </w:t>
            </w:r>
            <m:oMath>
              <m:r>
                <w:rPr>
                  <w:rFonts w:ascii="Cambria Math" w:eastAsiaTheme="minorEastAsia" w:hAnsi="Cambria Math" w:cs="Times New Roman"/>
                </w:rPr>
                <m:t>-∞≤x≤∞</m:t>
              </m:r>
            </m:oMath>
            <w:r w:rsidRPr="00394005">
              <w:rPr>
                <w:rFonts w:ascii="Times New Roman" w:eastAsiaTheme="minorEastAsia" w:hAnsi="Times New Roman" w:cs="Times New Roman"/>
              </w:rPr>
              <w:t xml:space="preserve"> y </w:t>
            </w:r>
            <m:oMath>
              <m:r>
                <w:rPr>
                  <w:rFonts w:ascii="Cambria Math" w:eastAsiaTheme="minorEastAsia" w:hAnsi="Cambria Math" w:cs="Times New Roman"/>
                </w:rPr>
                <m:t>C=</m:t>
              </m:r>
              <m:rad>
                <m:radPr>
                  <m:degHide m:val="1"/>
                  <m:ctrlPr>
                    <w:rPr>
                      <w:rFonts w:ascii="Cambria Math" w:eastAsiaTheme="minorEastAsia" w:hAnsi="Cambria Math" w:cs="Times New Roman"/>
                      <w:i/>
                    </w:rPr>
                  </m:ctrlPr>
                </m:radPr>
                <m:deg/>
                <m:e>
                  <m:r>
                    <w:rPr>
                      <w:rFonts w:ascii="Cambria Math" w:eastAsiaTheme="minorEastAsia" w:hAnsi="Cambria Math" w:cs="Times New Roman"/>
                    </w:rPr>
                    <m:t>2/π</m:t>
                  </m:r>
                </m:e>
              </m:rad>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σ</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m:rPr>
                              <m:sty m:val="p"/>
                            </m:rPr>
                            <w:rPr>
                              <w:rFonts w:ascii="Cambria Math" w:eastAsiaTheme="minorEastAsia" w:hAnsi="Cambria Math" w:cs="Times New Roman"/>
                            </w:rPr>
                            <m:t>σ</m:t>
                          </m:r>
                        </m:e>
                        <m:sub>
                          <m:r>
                            <w:rPr>
                              <w:rFonts w:ascii="Cambria Math" w:eastAsiaTheme="minorEastAsia" w:hAnsi="Cambria Math" w:cs="Times New Roman"/>
                            </w:rPr>
                            <m:t>2</m:t>
                          </m:r>
                        </m:sub>
                      </m:sSub>
                    </m:e>
                  </m:d>
                </m:e>
                <m:sup>
                  <m:r>
                    <w:rPr>
                      <w:rFonts w:ascii="Cambria Math" w:eastAsiaTheme="minorEastAsia" w:hAnsi="Cambria Math" w:cs="Times New Roman"/>
                    </w:rPr>
                    <m:t>-1</m:t>
                  </m:r>
                </m:sup>
              </m:sSup>
            </m:oMath>
            <w:r w:rsidRPr="00394005">
              <w:rPr>
                <w:rFonts w:ascii="Times New Roman" w:eastAsiaTheme="minorEastAsia" w:hAnsi="Times New Roman" w:cs="Times New Roman"/>
              </w:rPr>
              <w:t xml:space="preserve"> es un valor que garantiza que la expresión sea una función de probabilidades.</w:t>
            </w:r>
          </w:p>
          <w:p w14:paraId="2D8F4318" w14:textId="77777777" w:rsidR="00816636" w:rsidRPr="00394005" w:rsidRDefault="00816636" w:rsidP="00816636">
            <w:pPr>
              <w:spacing w:after="0" w:line="240" w:lineRule="auto"/>
              <w:jc w:val="both"/>
              <w:rPr>
                <w:rFonts w:ascii="Times New Roman" w:eastAsiaTheme="minorEastAsia" w:hAnsi="Times New Roman" w:cs="Times New Roman"/>
              </w:rPr>
            </w:pPr>
          </w:p>
          <w:tbl>
            <w:tblPr>
              <w:tblStyle w:val="Tablaconcuadrcula"/>
              <w:tblpPr w:leftFromText="141" w:rightFromText="141" w:vertAnchor="page" w:horzAnchor="margin" w:tblpY="25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7"/>
              <w:gridCol w:w="869"/>
            </w:tblGrid>
            <w:tr w:rsidR="004D7B9A" w:rsidRPr="00394005" w14:paraId="1FE12128" w14:textId="77777777" w:rsidTr="004D7B9A">
              <w:trPr>
                <w:trHeight w:val="1156"/>
              </w:trPr>
              <w:tc>
                <w:tcPr>
                  <w:tcW w:w="7337" w:type="dxa"/>
                </w:tcPr>
                <w:p w14:paraId="6392A3B9" w14:textId="77777777" w:rsidR="004D7B9A" w:rsidRPr="00394005" w:rsidRDefault="004D7B9A" w:rsidP="00816636">
                  <w:pPr>
                    <w:jc w:val="both"/>
                    <w:rPr>
                      <w:rFonts w:ascii="Times New Roman" w:eastAsiaTheme="minorEastAsia" w:hAnsi="Times New Roman" w:cs="Times New Roman"/>
                    </w:rPr>
                  </w:pPr>
                  <m:oMathPara>
                    <m:oMath>
                      <m:r>
                        <w:rPr>
                          <w:rFonts w:ascii="Cambria Math" w:eastAsiaTheme="minorEastAsia" w:hAnsi="Cambria Math" w:cs="Times New Roman"/>
                          <w:lang w:val="en-US"/>
                        </w:rPr>
                        <m:t>fx</m:t>
                      </m:r>
                      <m:d>
                        <m:dPr>
                          <m:ctrlPr>
                            <w:rPr>
                              <w:rFonts w:ascii="Cambria Math" w:eastAsiaTheme="minorEastAsia" w:hAnsi="Cambria Math" w:cs="Times New Roman"/>
                              <w:i/>
                            </w:rPr>
                          </m:ctrlPr>
                        </m:dPr>
                        <m:e>
                          <m:r>
                            <w:rPr>
                              <w:rFonts w:ascii="Cambria Math" w:eastAsiaTheme="minorEastAsia" w:hAnsi="Cambria Math" w:cs="Times New Roman"/>
                            </w:rPr>
                            <m:t>x;</m:t>
                          </m:r>
                          <m:r>
                            <m:rPr>
                              <m:sty m:val="p"/>
                            </m:rPr>
                            <w:rPr>
                              <w:rFonts w:ascii="Cambria Math" w:eastAsiaTheme="minorEastAsia" w:hAnsi="Cambria Math" w:cs="Times New Roman"/>
                            </w:rPr>
                            <m:t>μ</m:t>
                          </m:r>
                          <m:r>
                            <w:rPr>
                              <w:rFonts w:ascii="Cambria Math" w:eastAsiaTheme="minorEastAsia" w:hAnsi="Cambria Math" w:cs="Times New Roman"/>
                            </w:rPr>
                            <m:t>,</m:t>
                          </m:r>
                          <m:sSub>
                            <m:sSubPr>
                              <m:ctrlPr>
                                <w:rPr>
                                  <w:rFonts w:ascii="Cambria Math" w:eastAsiaTheme="minorEastAsia" w:hAnsi="Cambria Math" w:cs="Times New Roman"/>
                                  <w:i/>
                                </w:rPr>
                              </m:ctrlPr>
                            </m:sSubPr>
                            <m:e>
                              <m:r>
                                <m:rPr>
                                  <m:sty m:val="p"/>
                                </m:rPr>
                                <w:rPr>
                                  <w:rFonts w:ascii="Cambria Math" w:eastAsiaTheme="minorEastAsia" w:hAnsi="Cambria Math" w:cs="Times New Roman"/>
                                </w:rPr>
                                <m:t>σ</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m:rPr>
                                  <m:sty m:val="p"/>
                                </m:rPr>
                                <w:rPr>
                                  <w:rFonts w:ascii="Cambria Math" w:eastAsiaTheme="minorEastAsia" w:hAnsi="Cambria Math" w:cs="Times New Roman"/>
                                </w:rPr>
                                <m:t>σ</m:t>
                              </m:r>
                            </m:e>
                            <m:sub>
                              <m:r>
                                <w:rPr>
                                  <w:rFonts w:ascii="Cambria Math" w:eastAsiaTheme="minorEastAsia" w:hAnsi="Cambria Math" w:cs="Times New Roman"/>
                                </w:rPr>
                                <m:t>2</m:t>
                              </m:r>
                            </m:sub>
                          </m:sSub>
                        </m:e>
                      </m:d>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r>
                                <w:rPr>
                                  <w:rFonts w:ascii="Cambria Math" w:eastAsiaTheme="minorEastAsia" w:hAnsi="Cambria Math" w:cs="Times New Roman"/>
                                </w:rPr>
                                <m:t>C</m:t>
                              </m:r>
                              <m:sSup>
                                <m:sSupPr>
                                  <m:ctrlPr>
                                    <w:rPr>
                                      <w:rFonts w:ascii="Cambria Math" w:eastAsiaTheme="minorEastAsia" w:hAnsi="Cambria Math" w:cs="Times New Roman"/>
                                      <w:i/>
                                    </w:rPr>
                                  </m:ctrlPr>
                                </m:sSupPr>
                                <m:e>
                                  <m:r>
                                    <w:rPr>
                                      <w:rFonts w:ascii="Cambria Math" w:hAnsi="Cambria Math" w:cs="Times New Roman"/>
                                    </w:rPr>
                                    <m:t>e</m:t>
                                  </m:r>
                                </m:e>
                                <m:sup>
                                  <m:r>
                                    <w:rPr>
                                      <w:rFonts w:ascii="Cambria Math" w:eastAsiaTheme="minorEastAsia" w:hAnsi="Cambria Math" w:cs="Times New Roman"/>
                                    </w:rPr>
                                    <m:t>-</m:t>
                                  </m:r>
                                  <m:f>
                                    <m:fPr>
                                      <m:ctrlPr>
                                        <w:rPr>
                                          <w:rFonts w:ascii="Cambria Math" w:hAnsi="Cambria Math" w:cs="Times New Roman"/>
                                          <w:i/>
                                        </w:rPr>
                                      </m:ctrlPr>
                                    </m:fPr>
                                    <m:num>
                                      <m:r>
                                        <w:rPr>
                                          <w:rFonts w:ascii="Cambria Math" w:hAnsi="Cambria Math" w:cs="Times New Roman"/>
                                        </w:rPr>
                                        <m:t>1</m:t>
                                      </m:r>
                                    </m:num>
                                    <m:den>
                                      <m:sSubSup>
                                        <m:sSubSupPr>
                                          <m:ctrlPr>
                                            <w:rPr>
                                              <w:rFonts w:ascii="Cambria Math" w:hAnsi="Cambria Math" w:cs="Times New Roman"/>
                                              <w:i/>
                                            </w:rPr>
                                          </m:ctrlPr>
                                        </m:sSubSupPr>
                                        <m:e>
                                          <m:r>
                                            <m:rPr>
                                              <m:sty m:val="p"/>
                                            </m:rPr>
                                            <w:rPr>
                                              <w:rFonts w:ascii="Cambria Math" w:hAnsi="Cambria Math" w:cs="Times New Roman"/>
                                            </w:rPr>
                                            <m:t>2σ</m:t>
                                          </m:r>
                                          <m:ctrlPr>
                                            <w:rPr>
                                              <w:rFonts w:ascii="Cambria Math" w:hAnsi="Cambria Math" w:cs="Times New Roman"/>
                                            </w:rPr>
                                          </m:ctrlPr>
                                        </m:e>
                                        <m:sub>
                                          <m:r>
                                            <w:rPr>
                                              <w:rFonts w:ascii="Cambria Math" w:hAnsi="Cambria Math" w:cs="Times New Roman"/>
                                            </w:rPr>
                                            <m:t>1</m:t>
                                          </m:r>
                                        </m:sub>
                                        <m:sup>
                                          <m:r>
                                            <w:rPr>
                                              <w:rFonts w:ascii="Cambria Math" w:hAnsi="Cambria Math" w:cs="Times New Roman"/>
                                            </w:rPr>
                                            <m:t>2</m:t>
                                          </m:r>
                                        </m:sup>
                                      </m:sSubSup>
                                    </m:den>
                                  </m:f>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x-</m:t>
                                          </m:r>
                                          <m:r>
                                            <m:rPr>
                                              <m:sty m:val="p"/>
                                            </m:rPr>
                                            <w:rPr>
                                              <w:rFonts w:ascii="Cambria Math" w:hAnsi="Cambria Math" w:cs="Times New Roman"/>
                                            </w:rPr>
                                            <m:t>μ</m:t>
                                          </m:r>
                                        </m:e>
                                      </m:d>
                                    </m:e>
                                    <m:sup>
                                      <m:r>
                                        <w:rPr>
                                          <w:rFonts w:ascii="Cambria Math" w:hAnsi="Cambria Math" w:cs="Times New Roman"/>
                                        </w:rPr>
                                        <m:t>2</m:t>
                                      </m:r>
                                    </m:sup>
                                  </m:sSup>
                                </m:sup>
                              </m:sSup>
                              <m:r>
                                <w:rPr>
                                  <w:rFonts w:ascii="Cambria Math" w:eastAsiaTheme="minorEastAsia" w:hAnsi="Cambria Math" w:cs="Times New Roman"/>
                                </w:rPr>
                                <m:t>,  para  x≤μ</m:t>
                              </m:r>
                            </m:e>
                            <m:e>
                              <m:r>
                                <w:rPr>
                                  <w:rFonts w:ascii="Cambria Math" w:eastAsiaTheme="minorEastAsia" w:hAnsi="Cambria Math" w:cs="Times New Roman"/>
                                </w:rPr>
                                <m:t>C</m:t>
                              </m:r>
                              <m:sSup>
                                <m:sSupPr>
                                  <m:ctrlPr>
                                    <w:rPr>
                                      <w:rFonts w:ascii="Cambria Math" w:eastAsiaTheme="minorEastAsia" w:hAnsi="Cambria Math" w:cs="Times New Roman"/>
                                      <w:i/>
                                    </w:rPr>
                                  </m:ctrlPr>
                                </m:sSupPr>
                                <m:e>
                                  <m:r>
                                    <w:rPr>
                                      <w:rFonts w:ascii="Cambria Math" w:hAnsi="Cambria Math" w:cs="Times New Roman"/>
                                    </w:rPr>
                                    <m:t>e</m:t>
                                  </m:r>
                                </m:e>
                                <m:sup>
                                  <m:r>
                                    <w:rPr>
                                      <w:rFonts w:ascii="Cambria Math" w:eastAsiaTheme="minorEastAsia" w:hAnsi="Cambria Math" w:cs="Times New Roman"/>
                                    </w:rPr>
                                    <m:t>-</m:t>
                                  </m:r>
                                  <m:f>
                                    <m:fPr>
                                      <m:ctrlPr>
                                        <w:rPr>
                                          <w:rFonts w:ascii="Cambria Math" w:hAnsi="Cambria Math" w:cs="Times New Roman"/>
                                          <w:i/>
                                        </w:rPr>
                                      </m:ctrlPr>
                                    </m:fPr>
                                    <m:num>
                                      <m:r>
                                        <w:rPr>
                                          <w:rFonts w:ascii="Cambria Math" w:hAnsi="Cambria Math" w:cs="Times New Roman"/>
                                        </w:rPr>
                                        <m:t>1</m:t>
                                      </m:r>
                                    </m:num>
                                    <m:den>
                                      <m:sSubSup>
                                        <m:sSubSupPr>
                                          <m:ctrlPr>
                                            <w:rPr>
                                              <w:rFonts w:ascii="Cambria Math" w:hAnsi="Cambria Math" w:cs="Times New Roman"/>
                                              <w:i/>
                                            </w:rPr>
                                          </m:ctrlPr>
                                        </m:sSubSupPr>
                                        <m:e>
                                          <m:r>
                                            <m:rPr>
                                              <m:sty m:val="p"/>
                                            </m:rPr>
                                            <w:rPr>
                                              <w:rFonts w:ascii="Cambria Math" w:hAnsi="Cambria Math" w:cs="Times New Roman"/>
                                            </w:rPr>
                                            <m:t>2σ</m:t>
                                          </m:r>
                                          <m:ctrlPr>
                                            <w:rPr>
                                              <w:rFonts w:ascii="Cambria Math" w:hAnsi="Cambria Math" w:cs="Times New Roman"/>
                                            </w:rPr>
                                          </m:ctrlPr>
                                        </m:e>
                                        <m:sub>
                                          <m:r>
                                            <w:rPr>
                                              <w:rFonts w:ascii="Cambria Math" w:hAnsi="Cambria Math" w:cs="Times New Roman"/>
                                            </w:rPr>
                                            <m:t>2</m:t>
                                          </m:r>
                                        </m:sub>
                                        <m:sup>
                                          <m:r>
                                            <w:rPr>
                                              <w:rFonts w:ascii="Cambria Math" w:hAnsi="Cambria Math" w:cs="Times New Roman"/>
                                            </w:rPr>
                                            <m:t>2</m:t>
                                          </m:r>
                                        </m:sup>
                                      </m:sSubSup>
                                    </m:den>
                                  </m:f>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x-</m:t>
                                          </m:r>
                                          <m:r>
                                            <m:rPr>
                                              <m:sty m:val="p"/>
                                            </m:rPr>
                                            <w:rPr>
                                              <w:rFonts w:ascii="Cambria Math" w:hAnsi="Cambria Math" w:cs="Times New Roman"/>
                                            </w:rPr>
                                            <m:t>μ</m:t>
                                          </m:r>
                                        </m:e>
                                      </m:d>
                                    </m:e>
                                    <m:sup>
                                      <m:r>
                                        <w:rPr>
                                          <w:rFonts w:ascii="Cambria Math" w:hAnsi="Cambria Math" w:cs="Times New Roman"/>
                                        </w:rPr>
                                        <m:t>2</m:t>
                                      </m:r>
                                    </m:sup>
                                  </m:sSup>
                                </m:sup>
                              </m:sSup>
                              <m:r>
                                <w:rPr>
                                  <w:rFonts w:ascii="Cambria Math" w:eastAsiaTheme="minorEastAsia" w:hAnsi="Cambria Math" w:cs="Times New Roman"/>
                                </w:rPr>
                                <m:t>,  para x&gt; μ</m:t>
                              </m:r>
                            </m:e>
                          </m:eqArr>
                        </m:e>
                      </m:d>
                    </m:oMath>
                  </m:oMathPara>
                </w:p>
              </w:tc>
              <w:tc>
                <w:tcPr>
                  <w:tcW w:w="869" w:type="dxa"/>
                  <w:vAlign w:val="center"/>
                </w:tcPr>
                <w:p w14:paraId="0B9FE4E0" w14:textId="77777777" w:rsidR="004D7B9A" w:rsidRPr="00394005" w:rsidRDefault="004D7B9A" w:rsidP="00816636">
                  <w:pPr>
                    <w:jc w:val="center"/>
                    <w:rPr>
                      <w:rFonts w:ascii="Times New Roman" w:eastAsiaTheme="minorEastAsia" w:hAnsi="Times New Roman" w:cs="Times New Roman"/>
                    </w:rPr>
                  </w:pPr>
                </w:p>
                <w:p w14:paraId="101C11BC" w14:textId="77777777" w:rsidR="004D7B9A" w:rsidRPr="00394005" w:rsidRDefault="004D7B9A" w:rsidP="00816636">
                  <w:pPr>
                    <w:jc w:val="center"/>
                    <w:rPr>
                      <w:rFonts w:ascii="Times New Roman" w:eastAsiaTheme="minorEastAsia" w:hAnsi="Times New Roman" w:cs="Times New Roman"/>
                    </w:rPr>
                  </w:pPr>
                  <w:r w:rsidRPr="00394005">
                    <w:rPr>
                      <w:rFonts w:ascii="Times New Roman" w:eastAsiaTheme="minorEastAsia" w:hAnsi="Times New Roman" w:cs="Times New Roman"/>
                    </w:rPr>
                    <w:t>(1)</w:t>
                  </w:r>
                </w:p>
              </w:tc>
            </w:tr>
          </w:tbl>
          <w:p w14:paraId="196D3EEF" w14:textId="58337DDB" w:rsidR="00F51A6E" w:rsidRDefault="00F51A6E" w:rsidP="00816636">
            <w:pPr>
              <w:spacing w:after="0" w:line="240" w:lineRule="auto"/>
              <w:jc w:val="both"/>
              <w:rPr>
                <w:rFonts w:ascii="Times New Roman" w:eastAsiaTheme="minorEastAsia" w:hAnsi="Times New Roman" w:cs="Times New Roman"/>
              </w:rPr>
            </w:pPr>
            <w:r w:rsidRPr="00394005">
              <w:rPr>
                <w:rFonts w:ascii="Times New Roman" w:eastAsiaTheme="minorEastAsia" w:hAnsi="Times New Roman" w:cs="Times New Roman"/>
              </w:rPr>
              <w:t xml:space="preserve">Se puede observar que el caso particular </w:t>
            </w:r>
            <m:oMath>
              <m:sSub>
                <m:sSubPr>
                  <m:ctrlPr>
                    <w:rPr>
                      <w:rFonts w:ascii="Cambria Math" w:eastAsiaTheme="minorEastAsia" w:hAnsi="Cambria Math" w:cs="Times New Roman"/>
                      <w:i/>
                    </w:rPr>
                  </m:ctrlPr>
                </m:sSubPr>
                <m:e>
                  <m:r>
                    <m:rPr>
                      <m:sty m:val="p"/>
                    </m:rPr>
                    <w:rPr>
                      <w:rFonts w:ascii="Cambria Math" w:eastAsiaTheme="minorEastAsia" w:hAnsi="Cambria Math" w:cs="Times New Roman"/>
                    </w:rPr>
                    <m:t>σ</m:t>
                  </m:r>
                  <m:ctrlPr>
                    <w:rPr>
                      <w:rFonts w:ascii="Cambria Math" w:eastAsiaTheme="minorEastAsia" w:hAnsi="Cambria Math" w:cs="Times New Roman"/>
                    </w:rPr>
                  </m:ctrlP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m:rPr>
                      <m:sty m:val="p"/>
                    </m:rPr>
                    <w:rPr>
                      <w:rFonts w:ascii="Cambria Math" w:eastAsiaTheme="minorEastAsia" w:hAnsi="Cambria Math" w:cs="Times New Roman"/>
                    </w:rPr>
                    <m:t>σ</m:t>
                  </m:r>
                </m:e>
                <m:sub>
                  <m:r>
                    <w:rPr>
                      <w:rFonts w:ascii="Cambria Math" w:eastAsiaTheme="minorEastAsia" w:hAnsi="Cambria Math" w:cs="Times New Roman"/>
                    </w:rPr>
                    <m:t>2</m:t>
                  </m:r>
                </m:sub>
              </m:sSub>
            </m:oMath>
            <w:r w:rsidRPr="00394005">
              <w:rPr>
                <w:rFonts w:ascii="Times New Roman" w:eastAsiaTheme="minorEastAsia" w:hAnsi="Times New Roman" w:cs="Times New Roman"/>
              </w:rPr>
              <w:t xml:space="preserve"> hace que la expresión sea la de una distribución normal, además la densidad queda especificada de forma completa si se conocen los valores de </w:t>
            </w:r>
            <m:oMath>
              <m:d>
                <m:dPr>
                  <m:ctrlPr>
                    <w:rPr>
                      <w:rFonts w:ascii="Cambria Math" w:eastAsiaTheme="minorEastAsia" w:hAnsi="Cambria Math" w:cs="Times New Roman"/>
                      <w:i/>
                    </w:rPr>
                  </m:ctrlPr>
                </m:dPr>
                <m:e>
                  <m:r>
                    <m:rPr>
                      <m:sty m:val="p"/>
                    </m:rPr>
                    <w:rPr>
                      <w:rFonts w:ascii="Cambria Math" w:eastAsiaTheme="minorEastAsia" w:hAnsi="Cambria Math" w:cs="Times New Roman"/>
                    </w:rPr>
                    <m:t>μ</m:t>
                  </m:r>
                  <m:r>
                    <w:rPr>
                      <w:rFonts w:ascii="Cambria Math" w:eastAsiaTheme="minorEastAsia" w:hAnsi="Cambria Math" w:cs="Times New Roman"/>
                    </w:rPr>
                    <m:t>,</m:t>
                  </m:r>
                  <m:sSub>
                    <m:sSubPr>
                      <m:ctrlPr>
                        <w:rPr>
                          <w:rFonts w:ascii="Cambria Math" w:eastAsiaTheme="minorEastAsia" w:hAnsi="Cambria Math" w:cs="Times New Roman"/>
                          <w:i/>
                        </w:rPr>
                      </m:ctrlPr>
                    </m:sSubPr>
                    <m:e>
                      <m:r>
                        <m:rPr>
                          <m:sty m:val="p"/>
                        </m:rPr>
                        <w:rPr>
                          <w:rFonts w:ascii="Cambria Math" w:eastAsiaTheme="minorEastAsia" w:hAnsi="Cambria Math" w:cs="Times New Roman"/>
                        </w:rPr>
                        <m:t>σ</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m:rPr>
                          <m:sty m:val="p"/>
                        </m:rPr>
                        <w:rPr>
                          <w:rFonts w:ascii="Cambria Math" w:eastAsiaTheme="minorEastAsia" w:hAnsi="Cambria Math" w:cs="Times New Roman"/>
                        </w:rPr>
                        <m:t>σ</m:t>
                      </m:r>
                    </m:e>
                    <m:sub>
                      <m:r>
                        <w:rPr>
                          <w:rFonts w:ascii="Cambria Math" w:eastAsiaTheme="minorEastAsia" w:hAnsi="Cambria Math" w:cs="Times New Roman"/>
                        </w:rPr>
                        <m:t>2</m:t>
                      </m:r>
                    </m:sub>
                  </m:sSub>
                </m:e>
              </m:d>
            </m:oMath>
            <w:r w:rsidRPr="00394005">
              <w:rPr>
                <w:rFonts w:ascii="Times New Roman" w:eastAsiaTheme="minorEastAsia" w:hAnsi="Times New Roman" w:cs="Times New Roman"/>
              </w:rPr>
              <w:t xml:space="preserve">. No obstante, para determinar los valores de las desviaciones estándar se considera la varianza de la distribución del error de pronóstico y el balance de riesgo para cada periodo </w:t>
            </w:r>
            <m:oMath>
              <m:r>
                <w:rPr>
                  <w:rFonts w:ascii="Cambria Math" w:eastAsiaTheme="minorEastAsia" w:hAnsi="Cambria Math" w:cs="Times New Roman"/>
                </w:rPr>
                <m:t>P(X≤</m:t>
              </m:r>
              <m:r>
                <m:rPr>
                  <m:sty m:val="p"/>
                </m:rPr>
                <w:rPr>
                  <w:rFonts w:ascii="Cambria Math" w:eastAsiaTheme="minorEastAsia" w:hAnsi="Cambria Math" w:cs="Times New Roman"/>
                </w:rPr>
                <m:t>μ</m:t>
              </m:r>
              <m:r>
                <w:rPr>
                  <w:rFonts w:ascii="Cambria Math" w:eastAsiaTheme="minorEastAsia" w:hAnsi="Cambria Math" w:cs="Times New Roman"/>
                </w:rPr>
                <m:t>)</m:t>
              </m:r>
            </m:oMath>
            <w:r w:rsidRPr="00394005">
              <w:rPr>
                <w:rFonts w:ascii="Times New Roman" w:eastAsiaTheme="minorEastAsia" w:hAnsi="Times New Roman" w:cs="Times New Roman"/>
              </w:rPr>
              <w:t xml:space="preserve">, que es la probabilidad de que el crecimiento económico tome un valor menor a la moda.  Para el valor de la moda se consideró el escenario medio del crecimiento económico del Banco de Guatemala, y para los factores que se tomaron en cuenta para definir el Balance de Riesgos fueron </w:t>
            </w:r>
            <w:r w:rsidR="00816636" w:rsidRPr="00394005">
              <w:rPr>
                <w:rFonts w:ascii="Times New Roman" w:eastAsiaTheme="minorEastAsia" w:hAnsi="Times New Roman" w:cs="Times New Roman"/>
              </w:rPr>
              <w:t>el surgimiento</w:t>
            </w:r>
            <w:r w:rsidRPr="00394005">
              <w:rPr>
                <w:rFonts w:ascii="Times New Roman" w:eastAsiaTheme="minorEastAsia" w:hAnsi="Times New Roman" w:cs="Times New Roman"/>
              </w:rPr>
              <w:t xml:space="preserve"> de variantes del COVID-19 que no puedan ser controladas a través de las vacunas actuales y que el crecimiento de los socios comerciales sea levemente menor al previsto.</w:t>
            </w:r>
          </w:p>
          <w:p w14:paraId="4A7031C5" w14:textId="77777777" w:rsidR="00816636" w:rsidRPr="00394005" w:rsidRDefault="00816636" w:rsidP="00816636">
            <w:pPr>
              <w:spacing w:after="0" w:line="240" w:lineRule="auto"/>
              <w:jc w:val="both"/>
              <w:rPr>
                <w:rFonts w:ascii="Times New Roman" w:eastAsiaTheme="minorEastAsia" w:hAnsi="Times New Roman" w:cs="Times New Roman"/>
              </w:rPr>
            </w:pPr>
          </w:p>
          <w:tbl>
            <w:tblPr>
              <w:tblStyle w:val="Tablaconcuadrcula"/>
              <w:tblW w:w="8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30"/>
            </w:tblGrid>
            <w:tr w:rsidR="00F51A6E" w:rsidRPr="00394005" w14:paraId="133FEB15" w14:textId="77777777" w:rsidTr="00816636">
              <w:trPr>
                <w:trHeight w:val="237"/>
              </w:trPr>
              <w:tc>
                <w:tcPr>
                  <w:tcW w:w="8530" w:type="dxa"/>
                </w:tcPr>
                <w:p w14:paraId="0F14279A" w14:textId="6139833B" w:rsidR="00F51A6E" w:rsidRPr="00E851D2" w:rsidRDefault="00E851D2" w:rsidP="00E851D2">
                  <w:pPr>
                    <w:pStyle w:val="Epgrafe"/>
                    <w:keepNext/>
                    <w:jc w:val="center"/>
                    <w:rPr>
                      <w:b/>
                      <w:color w:val="auto"/>
                    </w:rPr>
                  </w:pPr>
                  <w:bookmarkStart w:id="573" w:name="_Toc81573074"/>
                  <w:r w:rsidRPr="00E851D2">
                    <w:rPr>
                      <w:b/>
                      <w:color w:val="auto"/>
                    </w:rPr>
                    <w:t xml:space="preserve">Gráfico </w:t>
                  </w:r>
                  <w:r w:rsidRPr="00E851D2">
                    <w:rPr>
                      <w:b/>
                      <w:color w:val="auto"/>
                    </w:rPr>
                    <w:fldChar w:fldCharType="begin"/>
                  </w:r>
                  <w:r w:rsidRPr="00E851D2">
                    <w:rPr>
                      <w:b/>
                      <w:color w:val="auto"/>
                    </w:rPr>
                    <w:instrText xml:space="preserve"> SEQ Gráfico \* ARABIC </w:instrText>
                  </w:r>
                  <w:r w:rsidRPr="00E851D2">
                    <w:rPr>
                      <w:b/>
                      <w:color w:val="auto"/>
                    </w:rPr>
                    <w:fldChar w:fldCharType="separate"/>
                  </w:r>
                  <w:r w:rsidR="00D6529D">
                    <w:rPr>
                      <w:b/>
                      <w:noProof/>
                      <w:color w:val="auto"/>
                    </w:rPr>
                    <w:t>24</w:t>
                  </w:r>
                  <w:r w:rsidRPr="00E851D2">
                    <w:rPr>
                      <w:b/>
                      <w:color w:val="auto"/>
                    </w:rPr>
                    <w:fldChar w:fldCharType="end"/>
                  </w:r>
                  <w:r w:rsidRPr="00E851D2">
                    <w:rPr>
                      <w:b/>
                      <w:color w:val="auto"/>
                    </w:rPr>
                    <w:t xml:space="preserve">. </w:t>
                  </w:r>
                  <w:r w:rsidR="00F51A6E" w:rsidRPr="00E851D2">
                    <w:rPr>
                      <w:rFonts w:ascii="Times New Roman" w:eastAsiaTheme="minorEastAsia" w:hAnsi="Times New Roman" w:cs="Times New Roman"/>
                      <w:b/>
                      <w:bCs/>
                      <w:color w:val="auto"/>
                    </w:rPr>
                    <w:t>Fanchart de la proyección del crecimiento económico</w:t>
                  </w:r>
                  <w:bookmarkEnd w:id="573"/>
                </w:p>
              </w:tc>
            </w:tr>
            <w:tr w:rsidR="00F51A6E" w:rsidRPr="00394005" w14:paraId="6CA31662" w14:textId="77777777" w:rsidTr="00816636">
              <w:tblPrEx>
                <w:tblCellMar>
                  <w:left w:w="70" w:type="dxa"/>
                  <w:right w:w="70" w:type="dxa"/>
                </w:tblCellMar>
              </w:tblPrEx>
              <w:trPr>
                <w:trHeight w:val="3527"/>
              </w:trPr>
              <w:tc>
                <w:tcPr>
                  <w:tcW w:w="8530" w:type="dxa"/>
                </w:tcPr>
                <w:p w14:paraId="162A3795" w14:textId="5525F620" w:rsidR="00F51A6E" w:rsidRPr="00394005" w:rsidRDefault="006C0E39" w:rsidP="00816636">
                  <w:pPr>
                    <w:jc w:val="center"/>
                    <w:rPr>
                      <w:rFonts w:ascii="Times New Roman" w:eastAsiaTheme="minorEastAsia" w:hAnsi="Times New Roman" w:cs="Times New Roman"/>
                    </w:rPr>
                  </w:pPr>
                  <w:r>
                    <w:rPr>
                      <w:noProof/>
                      <w:lang w:val="es-ES" w:eastAsia="es-ES"/>
                    </w:rPr>
                    <w:drawing>
                      <wp:inline distT="0" distB="0" distL="0" distR="0" wp14:anchorId="2C6009E9" wp14:editId="5DDB3CEE">
                        <wp:extent cx="5039995" cy="2242868"/>
                        <wp:effectExtent l="0" t="0" r="8255" b="5080"/>
                        <wp:docPr id="89" name="Gráfico 8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D592E31-7675-464C-A7DF-5F3D759B3E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F51A6E" w:rsidRPr="00394005" w14:paraId="2C003ADC" w14:textId="77777777" w:rsidTr="00816636">
              <w:trPr>
                <w:trHeight w:val="237"/>
              </w:trPr>
              <w:tc>
                <w:tcPr>
                  <w:tcW w:w="8530" w:type="dxa"/>
                </w:tcPr>
                <w:p w14:paraId="479EA3D7" w14:textId="0DF35B74" w:rsidR="00F51A6E" w:rsidRPr="00394005" w:rsidRDefault="00816636" w:rsidP="00816636">
                  <w:pPr>
                    <w:jc w:val="both"/>
                    <w:rPr>
                      <w:rFonts w:ascii="Times New Roman" w:eastAsiaTheme="minorEastAsia" w:hAnsi="Times New Roman" w:cs="Times New Roman"/>
                    </w:rPr>
                  </w:pPr>
                  <w:r w:rsidRPr="00816636">
                    <w:rPr>
                      <w:rFonts w:ascii="Times New Roman" w:eastAsiaTheme="minorEastAsia" w:hAnsi="Times New Roman" w:cs="Times New Roman"/>
                      <w:sz w:val="16"/>
                    </w:rPr>
                    <w:t>Fuente: Dirección de Análisis y Política Fiscal</w:t>
                  </w:r>
                </w:p>
              </w:tc>
            </w:tr>
          </w:tbl>
          <w:p w14:paraId="1FDED5E7" w14:textId="77777777" w:rsidR="00F51A6E" w:rsidRPr="00394005" w:rsidRDefault="00F51A6E" w:rsidP="00AB1B87">
            <w:pPr>
              <w:rPr>
                <w:rFonts w:ascii="Times New Roman" w:eastAsiaTheme="minorEastAsia" w:hAnsi="Times New Roman" w:cs="Times New Roman"/>
              </w:rPr>
            </w:pPr>
          </w:p>
          <w:p w14:paraId="42C0B970" w14:textId="5A578867" w:rsidR="00F51A6E" w:rsidRPr="00394005" w:rsidRDefault="00F51A6E" w:rsidP="00AB1B87">
            <w:pPr>
              <w:spacing w:after="0"/>
              <w:rPr>
                <w:rFonts w:ascii="Times New Roman" w:eastAsiaTheme="minorEastAsia" w:hAnsi="Times New Roman" w:cs="Times New Roman"/>
              </w:rPr>
            </w:pPr>
            <w:r w:rsidRPr="00394005">
              <w:rPr>
                <w:rFonts w:ascii="Times New Roman" w:eastAsiaTheme="minorEastAsia" w:hAnsi="Times New Roman" w:cs="Times New Roman"/>
              </w:rPr>
              <w:t xml:space="preserve">Los resultados obtenidos muestran que existe un 50% de probabilidad de que el crecimiento económico se encuentre entre </w:t>
            </w:r>
            <w:r w:rsidR="009E2D43">
              <w:rPr>
                <w:rFonts w:ascii="Times New Roman" w:eastAsiaTheme="minorEastAsia" w:hAnsi="Times New Roman" w:cs="Times New Roman"/>
              </w:rPr>
              <w:t>4</w:t>
            </w:r>
            <w:r w:rsidRPr="00394005">
              <w:rPr>
                <w:rFonts w:ascii="Times New Roman" w:eastAsiaTheme="minorEastAsia" w:hAnsi="Times New Roman" w:cs="Times New Roman"/>
              </w:rPr>
              <w:t xml:space="preserve">.6% a </w:t>
            </w:r>
            <w:r w:rsidR="009E2D43">
              <w:rPr>
                <w:rFonts w:ascii="Times New Roman" w:eastAsiaTheme="minorEastAsia" w:hAnsi="Times New Roman" w:cs="Times New Roman"/>
              </w:rPr>
              <w:t>5</w:t>
            </w:r>
            <w:r w:rsidRPr="00394005">
              <w:rPr>
                <w:rFonts w:ascii="Times New Roman" w:eastAsiaTheme="minorEastAsia" w:hAnsi="Times New Roman" w:cs="Times New Roman"/>
              </w:rPr>
              <w:t>.4% para 2021, para 2022 podría ubicarse entre 3.</w:t>
            </w:r>
            <w:r w:rsidR="009E2D43">
              <w:rPr>
                <w:rFonts w:ascii="Times New Roman" w:eastAsiaTheme="minorEastAsia" w:hAnsi="Times New Roman" w:cs="Times New Roman"/>
              </w:rPr>
              <w:t>9</w:t>
            </w:r>
            <w:r w:rsidRPr="00394005">
              <w:rPr>
                <w:rFonts w:ascii="Times New Roman" w:eastAsiaTheme="minorEastAsia" w:hAnsi="Times New Roman" w:cs="Times New Roman"/>
              </w:rPr>
              <w:t>% y 4.</w:t>
            </w:r>
            <w:r w:rsidR="009E2D43">
              <w:rPr>
                <w:rFonts w:ascii="Times New Roman" w:eastAsiaTheme="minorEastAsia" w:hAnsi="Times New Roman" w:cs="Times New Roman"/>
              </w:rPr>
              <w:t>9</w:t>
            </w:r>
            <w:r w:rsidRPr="00394005">
              <w:rPr>
                <w:rFonts w:ascii="Times New Roman" w:eastAsiaTheme="minorEastAsia" w:hAnsi="Times New Roman" w:cs="Times New Roman"/>
              </w:rPr>
              <w:t xml:space="preserve">% en 2022, y que para el 2026 se ubique entre 2.7% a 4.4%.  Asimismo, existe un 90% de probabilidad de que en el 2021 el crecimiento se ubique entre </w:t>
            </w:r>
            <w:r w:rsidR="009E2D43">
              <w:rPr>
                <w:rFonts w:ascii="Times New Roman" w:eastAsiaTheme="minorEastAsia" w:hAnsi="Times New Roman" w:cs="Times New Roman"/>
              </w:rPr>
              <w:t>4</w:t>
            </w:r>
            <w:r w:rsidRPr="00394005">
              <w:rPr>
                <w:rFonts w:ascii="Times New Roman" w:eastAsiaTheme="minorEastAsia" w:hAnsi="Times New Roman" w:cs="Times New Roman"/>
              </w:rPr>
              <w:t xml:space="preserve">.2% a </w:t>
            </w:r>
            <w:r w:rsidR="009E2D43">
              <w:rPr>
                <w:rFonts w:ascii="Times New Roman" w:eastAsiaTheme="minorEastAsia" w:hAnsi="Times New Roman" w:cs="Times New Roman"/>
              </w:rPr>
              <w:t>5</w:t>
            </w:r>
            <w:r w:rsidRPr="00394005">
              <w:rPr>
                <w:rFonts w:ascii="Times New Roman" w:eastAsiaTheme="minorEastAsia" w:hAnsi="Times New Roman" w:cs="Times New Roman"/>
              </w:rPr>
              <w:t xml:space="preserve">.8%, en el 2022 entre </w:t>
            </w:r>
            <w:r w:rsidR="009E2D43">
              <w:rPr>
                <w:rFonts w:ascii="Times New Roman" w:eastAsiaTheme="minorEastAsia" w:hAnsi="Times New Roman" w:cs="Times New Roman"/>
              </w:rPr>
              <w:t>3</w:t>
            </w:r>
            <w:r w:rsidRPr="00394005">
              <w:rPr>
                <w:rFonts w:ascii="Times New Roman" w:eastAsiaTheme="minorEastAsia" w:hAnsi="Times New Roman" w:cs="Times New Roman"/>
              </w:rPr>
              <w:t>.</w:t>
            </w:r>
            <w:r w:rsidR="009E2D43">
              <w:rPr>
                <w:rFonts w:ascii="Times New Roman" w:eastAsiaTheme="minorEastAsia" w:hAnsi="Times New Roman" w:cs="Times New Roman"/>
              </w:rPr>
              <w:t>5</w:t>
            </w:r>
            <w:r w:rsidRPr="00394005">
              <w:rPr>
                <w:rFonts w:ascii="Times New Roman" w:eastAsiaTheme="minorEastAsia" w:hAnsi="Times New Roman" w:cs="Times New Roman"/>
              </w:rPr>
              <w:t xml:space="preserve">% y </w:t>
            </w:r>
            <w:r w:rsidR="009E2D43">
              <w:rPr>
                <w:rFonts w:ascii="Times New Roman" w:eastAsiaTheme="minorEastAsia" w:hAnsi="Times New Roman" w:cs="Times New Roman"/>
              </w:rPr>
              <w:t>5.3</w:t>
            </w:r>
            <w:r w:rsidRPr="00394005">
              <w:rPr>
                <w:rFonts w:ascii="Times New Roman" w:eastAsiaTheme="minorEastAsia" w:hAnsi="Times New Roman" w:cs="Times New Roman"/>
              </w:rPr>
              <w:t xml:space="preserve">%, y que para 2026 se ubique entre </w:t>
            </w:r>
            <w:r w:rsidR="009E2D43">
              <w:rPr>
                <w:rFonts w:ascii="Times New Roman" w:eastAsiaTheme="minorEastAsia" w:hAnsi="Times New Roman" w:cs="Times New Roman"/>
              </w:rPr>
              <w:t>1.8</w:t>
            </w:r>
            <w:r w:rsidRPr="00394005">
              <w:rPr>
                <w:rFonts w:ascii="Times New Roman" w:eastAsiaTheme="minorEastAsia" w:hAnsi="Times New Roman" w:cs="Times New Roman"/>
              </w:rPr>
              <w:t>% a 5.1%.  Se puede observar en el gráfico de que a partir del 2022 existe una mayor probabilidad de que el crecimiento sea menor al del escenario base, esto se debe a la respuesta de crecimiento económico ante los choques adversos anteriormente detallados.</w:t>
            </w:r>
          </w:p>
          <w:sdt>
            <w:sdtPr>
              <w:rPr>
                <w:b/>
                <w:bCs/>
                <w:color w:val="000000" w:themeColor="text1"/>
              </w:rPr>
              <w:id w:val="-1872136492"/>
              <w:docPartObj>
                <w:docPartGallery w:val="Bibliographies"/>
                <w:docPartUnique/>
              </w:docPartObj>
            </w:sdtPr>
            <w:sdtEndPr>
              <w:rPr>
                <w:b w:val="0"/>
                <w:bCs w:val="0"/>
                <w:color w:val="auto"/>
              </w:rPr>
            </w:sdtEndPr>
            <w:sdtContent>
              <w:p w14:paraId="7696D234" w14:textId="77777777" w:rsidR="00F51A6E" w:rsidRPr="00AB1B87" w:rsidRDefault="00F51A6E" w:rsidP="00AB1B87">
                <w:pPr>
                  <w:rPr>
                    <w:rFonts w:ascii="Times New Roman" w:hAnsi="Times New Roman" w:cs="Times New Roman"/>
                    <w:color w:val="000000" w:themeColor="text1"/>
                    <w:lang w:val="en-US"/>
                  </w:rPr>
                </w:pPr>
                <w:r w:rsidRPr="00AB1B87">
                  <w:rPr>
                    <w:rFonts w:ascii="Times New Roman" w:hAnsi="Times New Roman" w:cs="Times New Roman"/>
                    <w:color w:val="000000" w:themeColor="text1"/>
                    <w:lang w:val="en-US"/>
                  </w:rPr>
                  <w:t>Bibliografía</w:t>
                </w:r>
              </w:p>
              <w:sdt>
                <w:sdtPr>
                  <w:rPr>
                    <w:rFonts w:ascii="Times New Roman" w:hAnsi="Times New Roman" w:cs="Times New Roman"/>
                    <w:sz w:val="16"/>
                    <w:szCs w:val="16"/>
                  </w:rPr>
                  <w:id w:val="-294902786"/>
                  <w:bibliography/>
                </w:sdtPr>
                <w:sdtEndPr/>
                <w:sdtContent>
                  <w:p w14:paraId="2A9412B6" w14:textId="62648AB1" w:rsidR="00F51A6E" w:rsidRPr="00394005" w:rsidRDefault="00F51A6E" w:rsidP="00AB1B87">
                    <w:pPr>
                      <w:rPr>
                        <w:rFonts w:ascii="Times New Roman" w:hAnsi="Times New Roman" w:cs="Times New Roman"/>
                      </w:rPr>
                    </w:pPr>
                    <w:r w:rsidRPr="00394005">
                      <w:rPr>
                        <w:rFonts w:ascii="Times New Roman" w:hAnsi="Times New Roman" w:cs="Times New Roman"/>
                        <w:sz w:val="16"/>
                        <w:szCs w:val="16"/>
                      </w:rPr>
                      <w:fldChar w:fldCharType="begin"/>
                    </w:r>
                    <w:r w:rsidRPr="00E63F4C">
                      <w:rPr>
                        <w:rFonts w:ascii="Times New Roman" w:hAnsi="Times New Roman" w:cs="Times New Roman"/>
                        <w:sz w:val="16"/>
                        <w:szCs w:val="16"/>
                        <w:lang w:val="en-US"/>
                      </w:rPr>
                      <w:instrText>BIBLIOGRAPHY</w:instrText>
                    </w:r>
                    <w:r w:rsidRPr="00394005">
                      <w:rPr>
                        <w:rFonts w:ascii="Times New Roman" w:hAnsi="Times New Roman" w:cs="Times New Roman"/>
                        <w:sz w:val="16"/>
                        <w:szCs w:val="16"/>
                      </w:rPr>
                      <w:fldChar w:fldCharType="separate"/>
                    </w:r>
                    <w:r w:rsidRPr="00E63F4C">
                      <w:rPr>
                        <w:rFonts w:ascii="Times New Roman" w:hAnsi="Times New Roman" w:cs="Times New Roman"/>
                        <w:noProof/>
                        <w:sz w:val="16"/>
                        <w:szCs w:val="16"/>
                        <w:lang w:val="en-US"/>
                      </w:rPr>
                      <w:t xml:space="preserve">Julio, J. M. (2007). The Fan Chart; The Techinal Details Of The New Implementation. </w:t>
                    </w:r>
                    <w:r w:rsidRPr="00394005">
                      <w:rPr>
                        <w:rFonts w:ascii="Times New Roman" w:hAnsi="Times New Roman" w:cs="Times New Roman"/>
                        <w:i/>
                        <w:iCs/>
                        <w:noProof/>
                        <w:sz w:val="16"/>
                        <w:szCs w:val="16"/>
                        <w:lang w:val="es-ES"/>
                      </w:rPr>
                      <w:t>Borradores de Economía No. 468</w:t>
                    </w:r>
                    <w:r w:rsidRPr="00394005">
                      <w:rPr>
                        <w:rFonts w:ascii="Times New Roman" w:hAnsi="Times New Roman" w:cs="Times New Roman"/>
                        <w:noProof/>
                        <w:sz w:val="16"/>
                        <w:szCs w:val="16"/>
                        <w:lang w:val="es-ES"/>
                      </w:rPr>
                      <w:t>.</w:t>
                    </w:r>
                    <w:r w:rsidRPr="00394005">
                      <w:rPr>
                        <w:rFonts w:ascii="Times New Roman" w:hAnsi="Times New Roman" w:cs="Times New Roman"/>
                        <w:sz w:val="16"/>
                        <w:szCs w:val="16"/>
                      </w:rPr>
                      <w:fldChar w:fldCharType="end"/>
                    </w:r>
                  </w:p>
                </w:sdtContent>
              </w:sdt>
            </w:sdtContent>
          </w:sdt>
        </w:tc>
      </w:tr>
    </w:tbl>
    <w:p w14:paraId="2F696DBE" w14:textId="7E63524A" w:rsidR="009173EB" w:rsidRPr="00394005" w:rsidRDefault="009173EB" w:rsidP="002C7396">
      <w:pPr>
        <w:spacing w:after="0" w:line="240" w:lineRule="auto"/>
        <w:jc w:val="both"/>
        <w:rPr>
          <w:color w:val="000000"/>
        </w:rPr>
      </w:pPr>
    </w:p>
    <w:p w14:paraId="02440AE0" w14:textId="3087A380" w:rsidR="0051120E" w:rsidRPr="00394005" w:rsidRDefault="0051120E" w:rsidP="00C027A7">
      <w:pPr>
        <w:pStyle w:val="Epgrafe"/>
        <w:keepNext/>
        <w:framePr w:hSpace="141" w:wrap="around" w:vAnchor="text" w:hAnchor="margin" w:y="74"/>
        <w:spacing w:after="0"/>
        <w:jc w:val="center"/>
        <w:rPr>
          <w:rFonts w:ascii="Times New Roman" w:hAnsi="Times New Roman" w:cs="Times New Roman"/>
          <w:b/>
          <w:color w:val="auto"/>
          <w:sz w:val="20"/>
        </w:rPr>
      </w:pPr>
      <w:bookmarkStart w:id="574" w:name="_Toc81573033"/>
      <w:r w:rsidRPr="00394005">
        <w:rPr>
          <w:rFonts w:ascii="Times New Roman" w:hAnsi="Times New Roman" w:cs="Times New Roman"/>
          <w:b/>
          <w:color w:val="auto"/>
          <w:sz w:val="20"/>
        </w:rPr>
        <w:t xml:space="preserve">Tabla </w:t>
      </w:r>
      <w:r w:rsidRPr="00394005">
        <w:rPr>
          <w:rFonts w:ascii="Times New Roman" w:hAnsi="Times New Roman" w:cs="Times New Roman"/>
          <w:b/>
          <w:color w:val="auto"/>
          <w:sz w:val="20"/>
        </w:rPr>
        <w:fldChar w:fldCharType="begin"/>
      </w:r>
      <w:r w:rsidRPr="00394005">
        <w:rPr>
          <w:rFonts w:ascii="Times New Roman" w:hAnsi="Times New Roman" w:cs="Times New Roman"/>
          <w:b/>
          <w:color w:val="auto"/>
          <w:sz w:val="20"/>
        </w:rPr>
        <w:instrText xml:space="preserve"> SEQ Tabla \* ARABIC </w:instrText>
      </w:r>
      <w:r w:rsidRPr="00394005">
        <w:rPr>
          <w:rFonts w:ascii="Times New Roman" w:hAnsi="Times New Roman" w:cs="Times New Roman"/>
          <w:b/>
          <w:color w:val="auto"/>
          <w:sz w:val="20"/>
        </w:rPr>
        <w:fldChar w:fldCharType="separate"/>
      </w:r>
      <w:r w:rsidR="009E18F8">
        <w:rPr>
          <w:rFonts w:ascii="Times New Roman" w:hAnsi="Times New Roman" w:cs="Times New Roman"/>
          <w:b/>
          <w:noProof/>
          <w:color w:val="auto"/>
          <w:sz w:val="20"/>
        </w:rPr>
        <w:t>11</w:t>
      </w:r>
      <w:r w:rsidRPr="00394005">
        <w:rPr>
          <w:rFonts w:ascii="Times New Roman" w:hAnsi="Times New Roman" w:cs="Times New Roman"/>
          <w:b/>
          <w:color w:val="auto"/>
          <w:sz w:val="20"/>
        </w:rPr>
        <w:fldChar w:fldCharType="end"/>
      </w:r>
      <w:r w:rsidRPr="00394005">
        <w:rPr>
          <w:rFonts w:ascii="Times New Roman" w:hAnsi="Times New Roman" w:cs="Times New Roman"/>
          <w:b/>
          <w:color w:val="auto"/>
          <w:sz w:val="20"/>
        </w:rPr>
        <w:t xml:space="preserve"> </w:t>
      </w:r>
      <w:r w:rsidRPr="00394005">
        <w:rPr>
          <w:rFonts w:ascii="Times New Roman" w:hAnsi="Times New Roman" w:cs="Times New Roman"/>
          <w:b/>
          <w:color w:val="auto"/>
          <w:sz w:val="20"/>
          <w:szCs w:val="20"/>
        </w:rPr>
        <w:t>Escenario Bajo, proyecciones de las principales variables macroeconómicas</w:t>
      </w:r>
      <w:bookmarkEnd w:id="574"/>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3D6BFA" w:rsidRPr="00394005" w14:paraId="536EB906" w14:textId="77777777" w:rsidTr="00127939">
        <w:trPr>
          <w:jc w:val="center"/>
        </w:trPr>
        <w:tc>
          <w:tcPr>
            <w:tcW w:w="8828" w:type="dxa"/>
          </w:tcPr>
          <w:p w14:paraId="0761F132" w14:textId="77777777" w:rsidR="003D6BFA" w:rsidRPr="00394005" w:rsidRDefault="003D6BFA" w:rsidP="0051120E">
            <w:pPr>
              <w:pStyle w:val="Epgrafe"/>
              <w:framePr w:hSpace="141" w:wrap="around" w:vAnchor="text" w:hAnchor="margin" w:y="74"/>
              <w:spacing w:after="0"/>
              <w:jc w:val="center"/>
              <w:rPr>
                <w:rFonts w:ascii="Times New Roman" w:hAnsi="Times New Roman" w:cs="Times New Roman"/>
                <w:color w:val="auto"/>
                <w:szCs w:val="20"/>
              </w:rPr>
            </w:pPr>
          </w:p>
        </w:tc>
      </w:tr>
    </w:tbl>
    <w:tbl>
      <w:tblPr>
        <w:tblW w:w="8720" w:type="dxa"/>
        <w:tblLook w:val="04A0" w:firstRow="1" w:lastRow="0" w:firstColumn="1" w:lastColumn="0" w:noHBand="0" w:noVBand="1"/>
      </w:tblPr>
      <w:tblGrid>
        <w:gridCol w:w="1480"/>
        <w:gridCol w:w="1360"/>
        <w:gridCol w:w="840"/>
        <w:gridCol w:w="840"/>
        <w:gridCol w:w="840"/>
        <w:gridCol w:w="840"/>
        <w:gridCol w:w="840"/>
        <w:gridCol w:w="840"/>
        <w:gridCol w:w="840"/>
      </w:tblGrid>
      <w:tr w:rsidR="003A766A" w:rsidRPr="003D6BFA" w14:paraId="0C99C0D1" w14:textId="77777777" w:rsidTr="00E63F4C">
        <w:trPr>
          <w:trHeight w:val="240"/>
        </w:trPr>
        <w:tc>
          <w:tcPr>
            <w:tcW w:w="1480" w:type="dxa"/>
            <w:tcBorders>
              <w:top w:val="single" w:sz="4" w:space="0" w:color="auto"/>
              <w:left w:val="nil"/>
              <w:bottom w:val="double" w:sz="6" w:space="0" w:color="auto"/>
              <w:right w:val="nil"/>
            </w:tcBorders>
            <w:shd w:val="clear" w:color="auto" w:fill="auto"/>
            <w:noWrap/>
            <w:vAlign w:val="bottom"/>
            <w:hideMark/>
          </w:tcPr>
          <w:p w14:paraId="0CA8AEB4"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b/>
                <w:bCs/>
                <w:color w:val="000000"/>
                <w:sz w:val="14"/>
                <w:szCs w:val="14"/>
              </w:rPr>
              <w:t> </w:t>
            </w:r>
          </w:p>
        </w:tc>
        <w:tc>
          <w:tcPr>
            <w:tcW w:w="1360" w:type="dxa"/>
            <w:tcBorders>
              <w:top w:val="single" w:sz="4" w:space="0" w:color="auto"/>
              <w:left w:val="single" w:sz="4" w:space="0" w:color="auto"/>
              <w:bottom w:val="double" w:sz="6" w:space="0" w:color="auto"/>
              <w:right w:val="nil"/>
            </w:tcBorders>
            <w:shd w:val="clear" w:color="auto" w:fill="auto"/>
            <w:noWrap/>
            <w:vAlign w:val="bottom"/>
            <w:hideMark/>
          </w:tcPr>
          <w:p w14:paraId="3E42E710"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b/>
                <w:bCs/>
                <w:color w:val="000000"/>
                <w:sz w:val="14"/>
                <w:szCs w:val="14"/>
              </w:rPr>
              <w:t>Dimensional</w:t>
            </w:r>
          </w:p>
        </w:tc>
        <w:tc>
          <w:tcPr>
            <w:tcW w:w="840" w:type="dxa"/>
            <w:tcBorders>
              <w:top w:val="single" w:sz="4" w:space="0" w:color="auto"/>
              <w:left w:val="single" w:sz="4" w:space="0" w:color="auto"/>
              <w:bottom w:val="double" w:sz="6" w:space="0" w:color="auto"/>
              <w:right w:val="nil"/>
            </w:tcBorders>
            <w:shd w:val="clear" w:color="auto" w:fill="auto"/>
            <w:noWrap/>
            <w:vAlign w:val="bottom"/>
            <w:hideMark/>
          </w:tcPr>
          <w:p w14:paraId="27A72914"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b/>
                <w:bCs/>
                <w:color w:val="000000"/>
                <w:sz w:val="14"/>
                <w:szCs w:val="14"/>
              </w:rPr>
              <w:t>2020</w:t>
            </w:r>
            <w:r w:rsidRPr="003D6BFA">
              <w:rPr>
                <w:rFonts w:ascii="Times New Roman" w:eastAsia="Times New Roman" w:hAnsi="Times New Roman" w:cs="Times New Roman"/>
                <w:b/>
                <w:bCs/>
                <w:color w:val="000000"/>
                <w:sz w:val="14"/>
                <w:szCs w:val="14"/>
                <w:vertAlign w:val="superscript"/>
              </w:rPr>
              <w:t>e</w:t>
            </w:r>
          </w:p>
        </w:tc>
        <w:tc>
          <w:tcPr>
            <w:tcW w:w="840" w:type="dxa"/>
            <w:tcBorders>
              <w:top w:val="single" w:sz="4" w:space="0" w:color="auto"/>
              <w:left w:val="nil"/>
              <w:bottom w:val="double" w:sz="6" w:space="0" w:color="auto"/>
              <w:right w:val="nil"/>
            </w:tcBorders>
            <w:shd w:val="clear" w:color="auto" w:fill="auto"/>
            <w:noWrap/>
            <w:vAlign w:val="bottom"/>
            <w:hideMark/>
          </w:tcPr>
          <w:p w14:paraId="52DFBD0E"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b/>
                <w:bCs/>
                <w:color w:val="000000"/>
                <w:sz w:val="14"/>
                <w:szCs w:val="14"/>
              </w:rPr>
              <w:t>2021</w:t>
            </w:r>
            <w:r w:rsidRPr="003D6BFA">
              <w:rPr>
                <w:rFonts w:ascii="Times New Roman" w:eastAsia="Times New Roman" w:hAnsi="Times New Roman" w:cs="Times New Roman"/>
                <w:b/>
                <w:bCs/>
                <w:color w:val="000000"/>
                <w:sz w:val="14"/>
                <w:szCs w:val="14"/>
                <w:vertAlign w:val="superscript"/>
              </w:rPr>
              <w:t>py</w:t>
            </w:r>
          </w:p>
        </w:tc>
        <w:tc>
          <w:tcPr>
            <w:tcW w:w="840" w:type="dxa"/>
            <w:tcBorders>
              <w:top w:val="single" w:sz="4" w:space="0" w:color="auto"/>
              <w:left w:val="nil"/>
              <w:bottom w:val="double" w:sz="6" w:space="0" w:color="auto"/>
              <w:right w:val="nil"/>
            </w:tcBorders>
            <w:shd w:val="clear" w:color="auto" w:fill="auto"/>
            <w:noWrap/>
            <w:vAlign w:val="bottom"/>
            <w:hideMark/>
          </w:tcPr>
          <w:p w14:paraId="6C64A54A"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b/>
                <w:bCs/>
                <w:color w:val="000000"/>
                <w:sz w:val="14"/>
                <w:szCs w:val="14"/>
              </w:rPr>
              <w:t>2022</w:t>
            </w:r>
            <w:r w:rsidRPr="003D6BFA">
              <w:rPr>
                <w:rFonts w:ascii="Times New Roman" w:eastAsia="Times New Roman" w:hAnsi="Times New Roman" w:cs="Times New Roman"/>
                <w:b/>
                <w:bCs/>
                <w:color w:val="000000"/>
                <w:sz w:val="14"/>
                <w:szCs w:val="14"/>
                <w:vertAlign w:val="superscript"/>
              </w:rPr>
              <w:t>py</w:t>
            </w:r>
          </w:p>
        </w:tc>
        <w:tc>
          <w:tcPr>
            <w:tcW w:w="840" w:type="dxa"/>
            <w:tcBorders>
              <w:top w:val="single" w:sz="4" w:space="0" w:color="auto"/>
              <w:left w:val="nil"/>
              <w:bottom w:val="double" w:sz="6" w:space="0" w:color="auto"/>
              <w:right w:val="nil"/>
            </w:tcBorders>
            <w:shd w:val="clear" w:color="auto" w:fill="auto"/>
            <w:noWrap/>
            <w:vAlign w:val="bottom"/>
            <w:hideMark/>
          </w:tcPr>
          <w:p w14:paraId="6C25F49A"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b/>
                <w:bCs/>
                <w:color w:val="000000"/>
                <w:sz w:val="14"/>
                <w:szCs w:val="14"/>
              </w:rPr>
              <w:t>2023</w:t>
            </w:r>
            <w:r w:rsidRPr="003D6BFA">
              <w:rPr>
                <w:rFonts w:ascii="Times New Roman" w:eastAsia="Times New Roman" w:hAnsi="Times New Roman" w:cs="Times New Roman"/>
                <w:b/>
                <w:bCs/>
                <w:color w:val="000000"/>
                <w:sz w:val="14"/>
                <w:szCs w:val="14"/>
                <w:vertAlign w:val="superscript"/>
              </w:rPr>
              <w:t>py</w:t>
            </w:r>
          </w:p>
        </w:tc>
        <w:tc>
          <w:tcPr>
            <w:tcW w:w="840" w:type="dxa"/>
            <w:tcBorders>
              <w:top w:val="single" w:sz="4" w:space="0" w:color="auto"/>
              <w:left w:val="nil"/>
              <w:bottom w:val="double" w:sz="6" w:space="0" w:color="auto"/>
              <w:right w:val="nil"/>
            </w:tcBorders>
            <w:shd w:val="clear" w:color="auto" w:fill="auto"/>
            <w:noWrap/>
            <w:vAlign w:val="bottom"/>
            <w:hideMark/>
          </w:tcPr>
          <w:p w14:paraId="0725A75E"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b/>
                <w:bCs/>
                <w:color w:val="000000"/>
                <w:sz w:val="14"/>
                <w:szCs w:val="14"/>
              </w:rPr>
              <w:t>2024</w:t>
            </w:r>
            <w:r w:rsidRPr="003D6BFA">
              <w:rPr>
                <w:rFonts w:ascii="Times New Roman" w:eastAsia="Times New Roman" w:hAnsi="Times New Roman" w:cs="Times New Roman"/>
                <w:b/>
                <w:bCs/>
                <w:color w:val="000000"/>
                <w:sz w:val="14"/>
                <w:szCs w:val="14"/>
                <w:vertAlign w:val="superscript"/>
              </w:rPr>
              <w:t>py</w:t>
            </w:r>
          </w:p>
        </w:tc>
        <w:tc>
          <w:tcPr>
            <w:tcW w:w="840" w:type="dxa"/>
            <w:tcBorders>
              <w:top w:val="single" w:sz="4" w:space="0" w:color="auto"/>
              <w:left w:val="nil"/>
              <w:bottom w:val="double" w:sz="6" w:space="0" w:color="auto"/>
              <w:right w:val="nil"/>
            </w:tcBorders>
            <w:shd w:val="clear" w:color="auto" w:fill="auto"/>
            <w:noWrap/>
            <w:vAlign w:val="bottom"/>
            <w:hideMark/>
          </w:tcPr>
          <w:p w14:paraId="4A927885"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b/>
                <w:bCs/>
                <w:color w:val="000000"/>
                <w:sz w:val="14"/>
                <w:szCs w:val="14"/>
              </w:rPr>
              <w:t>2025</w:t>
            </w:r>
            <w:r w:rsidRPr="003D6BFA">
              <w:rPr>
                <w:rFonts w:ascii="Times New Roman" w:eastAsia="Times New Roman" w:hAnsi="Times New Roman" w:cs="Times New Roman"/>
                <w:b/>
                <w:bCs/>
                <w:color w:val="000000"/>
                <w:sz w:val="14"/>
                <w:szCs w:val="14"/>
                <w:vertAlign w:val="superscript"/>
              </w:rPr>
              <w:t>py</w:t>
            </w:r>
          </w:p>
        </w:tc>
        <w:tc>
          <w:tcPr>
            <w:tcW w:w="840" w:type="dxa"/>
            <w:tcBorders>
              <w:top w:val="single" w:sz="4" w:space="0" w:color="auto"/>
              <w:left w:val="nil"/>
              <w:bottom w:val="double" w:sz="6" w:space="0" w:color="auto"/>
              <w:right w:val="nil"/>
            </w:tcBorders>
            <w:shd w:val="clear" w:color="auto" w:fill="auto"/>
            <w:noWrap/>
            <w:vAlign w:val="bottom"/>
            <w:hideMark/>
          </w:tcPr>
          <w:p w14:paraId="70266912"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b/>
                <w:bCs/>
                <w:color w:val="000000"/>
                <w:sz w:val="14"/>
                <w:szCs w:val="14"/>
              </w:rPr>
              <w:t>2026</w:t>
            </w:r>
            <w:r w:rsidRPr="003D6BFA">
              <w:rPr>
                <w:rFonts w:ascii="Times New Roman" w:eastAsia="Times New Roman" w:hAnsi="Times New Roman" w:cs="Times New Roman"/>
                <w:b/>
                <w:bCs/>
                <w:color w:val="000000"/>
                <w:sz w:val="14"/>
                <w:szCs w:val="14"/>
                <w:vertAlign w:val="superscript"/>
              </w:rPr>
              <w:t>py</w:t>
            </w:r>
          </w:p>
        </w:tc>
      </w:tr>
      <w:tr w:rsidR="003A766A" w:rsidRPr="003D6BFA" w14:paraId="33F5E387" w14:textId="77777777" w:rsidTr="00E63F4C">
        <w:trPr>
          <w:trHeight w:val="204"/>
        </w:trPr>
        <w:tc>
          <w:tcPr>
            <w:tcW w:w="1480" w:type="dxa"/>
            <w:tcBorders>
              <w:top w:val="nil"/>
              <w:left w:val="nil"/>
              <w:bottom w:val="nil"/>
              <w:right w:val="nil"/>
            </w:tcBorders>
            <w:shd w:val="clear" w:color="auto" w:fill="auto"/>
            <w:noWrap/>
            <w:vAlign w:val="bottom"/>
            <w:hideMark/>
          </w:tcPr>
          <w:p w14:paraId="0186CD59" w14:textId="77777777" w:rsidR="003A766A" w:rsidRPr="003D6BFA" w:rsidRDefault="003A766A" w:rsidP="00E63F4C">
            <w:pPr>
              <w:spacing w:after="0" w:line="240" w:lineRule="auto"/>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b/>
                <w:bCs/>
                <w:color w:val="000000"/>
                <w:sz w:val="14"/>
                <w:szCs w:val="14"/>
              </w:rPr>
              <w:t>PIB real (Base 2013)</w:t>
            </w:r>
          </w:p>
        </w:tc>
        <w:tc>
          <w:tcPr>
            <w:tcW w:w="1360" w:type="dxa"/>
            <w:tcBorders>
              <w:top w:val="nil"/>
              <w:left w:val="single" w:sz="4" w:space="0" w:color="auto"/>
              <w:bottom w:val="nil"/>
              <w:right w:val="nil"/>
            </w:tcBorders>
            <w:shd w:val="clear" w:color="auto" w:fill="auto"/>
            <w:noWrap/>
            <w:vAlign w:val="bottom"/>
            <w:hideMark/>
          </w:tcPr>
          <w:p w14:paraId="2B808462" w14:textId="77777777" w:rsidR="003A766A" w:rsidRPr="003D6BFA" w:rsidRDefault="003A766A" w:rsidP="00E63F4C">
            <w:pPr>
              <w:spacing w:after="0" w:line="240" w:lineRule="auto"/>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Porcentaje</w:t>
            </w:r>
          </w:p>
        </w:tc>
        <w:tc>
          <w:tcPr>
            <w:tcW w:w="840" w:type="dxa"/>
            <w:tcBorders>
              <w:top w:val="nil"/>
              <w:left w:val="single" w:sz="4" w:space="0" w:color="auto"/>
              <w:bottom w:val="nil"/>
              <w:right w:val="nil"/>
            </w:tcBorders>
            <w:shd w:val="clear" w:color="auto" w:fill="auto"/>
            <w:noWrap/>
            <w:vAlign w:val="bottom"/>
            <w:hideMark/>
          </w:tcPr>
          <w:p w14:paraId="7C636E27"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-1.5</w:t>
            </w:r>
          </w:p>
        </w:tc>
        <w:tc>
          <w:tcPr>
            <w:tcW w:w="840" w:type="dxa"/>
            <w:tcBorders>
              <w:top w:val="nil"/>
              <w:left w:val="nil"/>
              <w:bottom w:val="nil"/>
              <w:right w:val="nil"/>
            </w:tcBorders>
            <w:shd w:val="clear" w:color="000000" w:fill="F2F2F2"/>
            <w:noWrap/>
            <w:vAlign w:val="bottom"/>
            <w:hideMark/>
          </w:tcPr>
          <w:p w14:paraId="0D85CF9C"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color w:val="000000"/>
                <w:sz w:val="14"/>
                <w:szCs w:val="14"/>
              </w:rPr>
              <w:t>4.0</w:t>
            </w:r>
          </w:p>
        </w:tc>
        <w:tc>
          <w:tcPr>
            <w:tcW w:w="840" w:type="dxa"/>
            <w:tcBorders>
              <w:top w:val="nil"/>
              <w:left w:val="nil"/>
              <w:bottom w:val="nil"/>
              <w:right w:val="nil"/>
            </w:tcBorders>
            <w:shd w:val="clear" w:color="000000" w:fill="F2F2F2"/>
            <w:noWrap/>
            <w:vAlign w:val="bottom"/>
            <w:hideMark/>
          </w:tcPr>
          <w:p w14:paraId="617A5216"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color w:val="000000"/>
                <w:sz w:val="14"/>
                <w:szCs w:val="14"/>
              </w:rPr>
              <w:t>3.5</w:t>
            </w:r>
          </w:p>
        </w:tc>
        <w:tc>
          <w:tcPr>
            <w:tcW w:w="840" w:type="dxa"/>
            <w:tcBorders>
              <w:top w:val="nil"/>
              <w:left w:val="nil"/>
              <w:bottom w:val="nil"/>
              <w:right w:val="nil"/>
            </w:tcBorders>
            <w:shd w:val="clear" w:color="000000" w:fill="F2F2F2"/>
            <w:noWrap/>
            <w:vAlign w:val="bottom"/>
            <w:hideMark/>
          </w:tcPr>
          <w:p w14:paraId="2CABFB99"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2.7</w:t>
            </w:r>
          </w:p>
        </w:tc>
        <w:tc>
          <w:tcPr>
            <w:tcW w:w="840" w:type="dxa"/>
            <w:tcBorders>
              <w:top w:val="nil"/>
              <w:left w:val="nil"/>
              <w:bottom w:val="nil"/>
              <w:right w:val="nil"/>
            </w:tcBorders>
            <w:shd w:val="clear" w:color="000000" w:fill="F2F2F2"/>
            <w:noWrap/>
            <w:vAlign w:val="bottom"/>
            <w:hideMark/>
          </w:tcPr>
          <w:p w14:paraId="5CDFDBBF"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2.6</w:t>
            </w:r>
          </w:p>
        </w:tc>
        <w:tc>
          <w:tcPr>
            <w:tcW w:w="840" w:type="dxa"/>
            <w:tcBorders>
              <w:top w:val="nil"/>
              <w:left w:val="nil"/>
              <w:bottom w:val="nil"/>
              <w:right w:val="nil"/>
            </w:tcBorders>
            <w:shd w:val="clear" w:color="000000" w:fill="F2F2F2"/>
            <w:noWrap/>
            <w:vAlign w:val="bottom"/>
            <w:hideMark/>
          </w:tcPr>
          <w:p w14:paraId="12FE0CF3"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2.6</w:t>
            </w:r>
          </w:p>
        </w:tc>
        <w:tc>
          <w:tcPr>
            <w:tcW w:w="840" w:type="dxa"/>
            <w:tcBorders>
              <w:top w:val="nil"/>
              <w:left w:val="nil"/>
              <w:bottom w:val="nil"/>
              <w:right w:val="nil"/>
            </w:tcBorders>
            <w:shd w:val="clear" w:color="000000" w:fill="F2F2F2"/>
            <w:noWrap/>
            <w:vAlign w:val="bottom"/>
            <w:hideMark/>
          </w:tcPr>
          <w:p w14:paraId="37438298"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2.7</w:t>
            </w:r>
          </w:p>
        </w:tc>
      </w:tr>
      <w:tr w:rsidR="003A766A" w:rsidRPr="003D6BFA" w14:paraId="391B0488" w14:textId="77777777" w:rsidTr="00E63F4C">
        <w:trPr>
          <w:trHeight w:val="192"/>
        </w:trPr>
        <w:tc>
          <w:tcPr>
            <w:tcW w:w="1480" w:type="dxa"/>
            <w:tcBorders>
              <w:top w:val="nil"/>
              <w:left w:val="nil"/>
              <w:bottom w:val="nil"/>
              <w:right w:val="nil"/>
            </w:tcBorders>
            <w:shd w:val="clear" w:color="auto" w:fill="auto"/>
            <w:noWrap/>
            <w:vAlign w:val="bottom"/>
            <w:hideMark/>
          </w:tcPr>
          <w:p w14:paraId="7B267181" w14:textId="77777777" w:rsidR="003A766A" w:rsidRPr="003D6BFA" w:rsidRDefault="003A766A" w:rsidP="00E63F4C">
            <w:pPr>
              <w:spacing w:after="0" w:line="240" w:lineRule="auto"/>
              <w:rPr>
                <w:rFonts w:ascii="Times New Roman" w:eastAsia="Times New Roman" w:hAnsi="Times New Roman" w:cs="Times New Roman"/>
                <w:color w:val="000000"/>
                <w:sz w:val="14"/>
                <w:szCs w:val="14"/>
              </w:rPr>
            </w:pPr>
            <w:r w:rsidRPr="003D6BFA">
              <w:rPr>
                <w:rFonts w:ascii="Times New Roman" w:eastAsia="Times New Roman" w:hAnsi="Times New Roman" w:cs="Times New Roman"/>
                <w:b/>
                <w:bCs/>
                <w:color w:val="000000"/>
                <w:sz w:val="14"/>
                <w:szCs w:val="14"/>
              </w:rPr>
              <w:t>PIB Nominal</w:t>
            </w:r>
          </w:p>
        </w:tc>
        <w:tc>
          <w:tcPr>
            <w:tcW w:w="1360" w:type="dxa"/>
            <w:tcBorders>
              <w:top w:val="nil"/>
              <w:left w:val="single" w:sz="4" w:space="0" w:color="auto"/>
              <w:bottom w:val="nil"/>
              <w:right w:val="nil"/>
            </w:tcBorders>
            <w:shd w:val="clear" w:color="auto" w:fill="auto"/>
            <w:noWrap/>
            <w:vAlign w:val="bottom"/>
            <w:hideMark/>
          </w:tcPr>
          <w:p w14:paraId="0CDD5C4D" w14:textId="77777777" w:rsidR="003A766A" w:rsidRPr="003D6BFA" w:rsidRDefault="003A766A" w:rsidP="00E63F4C">
            <w:pPr>
              <w:spacing w:after="0" w:line="240" w:lineRule="auto"/>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Porcentaje</w:t>
            </w:r>
          </w:p>
        </w:tc>
        <w:tc>
          <w:tcPr>
            <w:tcW w:w="840" w:type="dxa"/>
            <w:tcBorders>
              <w:top w:val="nil"/>
              <w:left w:val="single" w:sz="4" w:space="0" w:color="auto"/>
              <w:bottom w:val="nil"/>
              <w:right w:val="nil"/>
            </w:tcBorders>
            <w:shd w:val="clear" w:color="auto" w:fill="auto"/>
            <w:noWrap/>
            <w:vAlign w:val="bottom"/>
            <w:hideMark/>
          </w:tcPr>
          <w:p w14:paraId="232AA1F5" w14:textId="77777777" w:rsidR="003A766A" w:rsidRPr="003D6BFA" w:rsidRDefault="003A766A" w:rsidP="00E63F4C">
            <w:pPr>
              <w:spacing w:after="0" w:line="240" w:lineRule="auto"/>
              <w:jc w:val="center"/>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1.1</w:t>
            </w:r>
          </w:p>
        </w:tc>
        <w:tc>
          <w:tcPr>
            <w:tcW w:w="840" w:type="dxa"/>
            <w:tcBorders>
              <w:top w:val="nil"/>
              <w:left w:val="nil"/>
              <w:bottom w:val="nil"/>
              <w:right w:val="nil"/>
            </w:tcBorders>
            <w:shd w:val="clear" w:color="000000" w:fill="F2F2F2"/>
            <w:noWrap/>
            <w:vAlign w:val="bottom"/>
            <w:hideMark/>
          </w:tcPr>
          <w:p w14:paraId="3593FF62" w14:textId="77777777" w:rsidR="003A766A" w:rsidRPr="003D6BFA" w:rsidRDefault="003A766A" w:rsidP="00E63F4C">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7.7</w:t>
            </w:r>
          </w:p>
        </w:tc>
        <w:tc>
          <w:tcPr>
            <w:tcW w:w="840" w:type="dxa"/>
            <w:tcBorders>
              <w:top w:val="nil"/>
              <w:left w:val="nil"/>
              <w:bottom w:val="nil"/>
              <w:right w:val="nil"/>
            </w:tcBorders>
            <w:shd w:val="clear" w:color="000000" w:fill="F2F2F2"/>
            <w:noWrap/>
            <w:vAlign w:val="bottom"/>
            <w:hideMark/>
          </w:tcPr>
          <w:p w14:paraId="09B9221B" w14:textId="77777777" w:rsidR="003A766A" w:rsidRPr="003D6BFA" w:rsidRDefault="003A766A" w:rsidP="00E63F4C">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6.8</w:t>
            </w:r>
          </w:p>
        </w:tc>
        <w:tc>
          <w:tcPr>
            <w:tcW w:w="840" w:type="dxa"/>
            <w:tcBorders>
              <w:top w:val="nil"/>
              <w:left w:val="nil"/>
              <w:bottom w:val="nil"/>
              <w:right w:val="nil"/>
            </w:tcBorders>
            <w:shd w:val="clear" w:color="000000" w:fill="F2F2F2"/>
            <w:noWrap/>
            <w:vAlign w:val="bottom"/>
            <w:hideMark/>
          </w:tcPr>
          <w:p w14:paraId="1E5E0E92" w14:textId="77777777" w:rsidR="003A766A" w:rsidRPr="003D6BFA" w:rsidRDefault="003A766A" w:rsidP="00E63F4C">
            <w:pPr>
              <w:spacing w:after="0" w:line="240" w:lineRule="auto"/>
              <w:jc w:val="center"/>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5.3</w:t>
            </w:r>
          </w:p>
        </w:tc>
        <w:tc>
          <w:tcPr>
            <w:tcW w:w="840" w:type="dxa"/>
            <w:tcBorders>
              <w:top w:val="nil"/>
              <w:left w:val="nil"/>
              <w:bottom w:val="nil"/>
              <w:right w:val="nil"/>
            </w:tcBorders>
            <w:shd w:val="clear" w:color="000000" w:fill="F2F2F2"/>
            <w:noWrap/>
            <w:vAlign w:val="bottom"/>
            <w:hideMark/>
          </w:tcPr>
          <w:p w14:paraId="1961C9B0" w14:textId="77777777" w:rsidR="003A766A" w:rsidRPr="003D6BFA" w:rsidRDefault="003A766A" w:rsidP="00E63F4C">
            <w:pPr>
              <w:spacing w:after="0" w:line="240" w:lineRule="auto"/>
              <w:jc w:val="center"/>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5.2</w:t>
            </w:r>
          </w:p>
        </w:tc>
        <w:tc>
          <w:tcPr>
            <w:tcW w:w="840" w:type="dxa"/>
            <w:tcBorders>
              <w:top w:val="nil"/>
              <w:left w:val="nil"/>
              <w:bottom w:val="nil"/>
              <w:right w:val="nil"/>
            </w:tcBorders>
            <w:shd w:val="clear" w:color="000000" w:fill="F2F2F2"/>
            <w:noWrap/>
            <w:vAlign w:val="bottom"/>
            <w:hideMark/>
          </w:tcPr>
          <w:p w14:paraId="578325D3" w14:textId="77777777" w:rsidR="003A766A" w:rsidRPr="003D6BFA" w:rsidRDefault="003A766A" w:rsidP="00E63F4C">
            <w:pPr>
              <w:spacing w:after="0" w:line="240" w:lineRule="auto"/>
              <w:jc w:val="center"/>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5.2</w:t>
            </w:r>
          </w:p>
        </w:tc>
        <w:tc>
          <w:tcPr>
            <w:tcW w:w="840" w:type="dxa"/>
            <w:tcBorders>
              <w:top w:val="nil"/>
              <w:left w:val="nil"/>
              <w:bottom w:val="nil"/>
              <w:right w:val="nil"/>
            </w:tcBorders>
            <w:shd w:val="clear" w:color="000000" w:fill="F2F2F2"/>
            <w:noWrap/>
            <w:vAlign w:val="bottom"/>
            <w:hideMark/>
          </w:tcPr>
          <w:p w14:paraId="5D4EF507" w14:textId="77777777" w:rsidR="003A766A" w:rsidRPr="003D6BFA" w:rsidRDefault="003A766A" w:rsidP="00E63F4C">
            <w:pPr>
              <w:spacing w:after="0" w:line="240" w:lineRule="auto"/>
              <w:jc w:val="center"/>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5.4</w:t>
            </w:r>
          </w:p>
        </w:tc>
      </w:tr>
      <w:tr w:rsidR="003A766A" w:rsidRPr="003D6BFA" w14:paraId="36B22292" w14:textId="77777777" w:rsidTr="00E63F4C">
        <w:trPr>
          <w:trHeight w:val="192"/>
        </w:trPr>
        <w:tc>
          <w:tcPr>
            <w:tcW w:w="1480" w:type="dxa"/>
            <w:tcBorders>
              <w:top w:val="nil"/>
              <w:left w:val="nil"/>
              <w:bottom w:val="nil"/>
              <w:right w:val="nil"/>
            </w:tcBorders>
            <w:shd w:val="clear" w:color="auto" w:fill="auto"/>
            <w:noWrap/>
            <w:vAlign w:val="bottom"/>
            <w:hideMark/>
          </w:tcPr>
          <w:p w14:paraId="5C8999F7" w14:textId="77777777" w:rsidR="003A766A" w:rsidRPr="003D6BFA" w:rsidRDefault="003A766A" w:rsidP="00E63F4C">
            <w:pPr>
              <w:spacing w:after="0" w:line="240" w:lineRule="auto"/>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b/>
                <w:bCs/>
                <w:color w:val="000000"/>
                <w:sz w:val="14"/>
                <w:szCs w:val="14"/>
              </w:rPr>
              <w:t>Importaciones FOB</w:t>
            </w:r>
          </w:p>
        </w:tc>
        <w:tc>
          <w:tcPr>
            <w:tcW w:w="1360" w:type="dxa"/>
            <w:tcBorders>
              <w:top w:val="nil"/>
              <w:left w:val="single" w:sz="4" w:space="0" w:color="auto"/>
              <w:bottom w:val="nil"/>
              <w:right w:val="nil"/>
            </w:tcBorders>
            <w:shd w:val="clear" w:color="auto" w:fill="auto"/>
            <w:noWrap/>
            <w:vAlign w:val="bottom"/>
            <w:hideMark/>
          </w:tcPr>
          <w:p w14:paraId="25E47A4A" w14:textId="77777777" w:rsidR="003A766A" w:rsidRPr="003D6BFA" w:rsidRDefault="003A766A" w:rsidP="00E63F4C">
            <w:pPr>
              <w:spacing w:after="0" w:line="240" w:lineRule="auto"/>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Porcentaje</w:t>
            </w:r>
          </w:p>
        </w:tc>
        <w:tc>
          <w:tcPr>
            <w:tcW w:w="840" w:type="dxa"/>
            <w:tcBorders>
              <w:top w:val="nil"/>
              <w:left w:val="single" w:sz="4" w:space="0" w:color="auto"/>
              <w:bottom w:val="nil"/>
              <w:right w:val="nil"/>
            </w:tcBorders>
            <w:shd w:val="clear" w:color="auto" w:fill="auto"/>
            <w:noWrap/>
            <w:vAlign w:val="bottom"/>
            <w:hideMark/>
          </w:tcPr>
          <w:p w14:paraId="49342F64"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-8.1</w:t>
            </w:r>
          </w:p>
        </w:tc>
        <w:tc>
          <w:tcPr>
            <w:tcW w:w="840" w:type="dxa"/>
            <w:tcBorders>
              <w:top w:val="nil"/>
              <w:left w:val="nil"/>
              <w:bottom w:val="nil"/>
              <w:right w:val="nil"/>
            </w:tcBorders>
            <w:shd w:val="clear" w:color="000000" w:fill="F2F2F2"/>
            <w:noWrap/>
            <w:vAlign w:val="bottom"/>
            <w:hideMark/>
          </w:tcPr>
          <w:p w14:paraId="720AE63E"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color w:val="000000"/>
                <w:sz w:val="14"/>
                <w:szCs w:val="14"/>
              </w:rPr>
              <w:t>18</w:t>
            </w:r>
            <w:r w:rsidRPr="003D6BFA">
              <w:rPr>
                <w:rFonts w:ascii="Times New Roman" w:eastAsia="Times New Roman" w:hAnsi="Times New Roman" w:cs="Times New Roman"/>
                <w:color w:val="000000"/>
                <w:sz w:val="14"/>
                <w:szCs w:val="14"/>
              </w:rPr>
              <w:t>.5</w:t>
            </w:r>
          </w:p>
        </w:tc>
        <w:tc>
          <w:tcPr>
            <w:tcW w:w="840" w:type="dxa"/>
            <w:tcBorders>
              <w:top w:val="nil"/>
              <w:left w:val="nil"/>
              <w:bottom w:val="nil"/>
              <w:right w:val="nil"/>
            </w:tcBorders>
            <w:shd w:val="clear" w:color="000000" w:fill="F2F2F2"/>
            <w:noWrap/>
            <w:vAlign w:val="bottom"/>
            <w:hideMark/>
          </w:tcPr>
          <w:p w14:paraId="272FCD57"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color w:val="000000"/>
                <w:sz w:val="14"/>
                <w:szCs w:val="14"/>
              </w:rPr>
              <w:t>6.0</w:t>
            </w:r>
          </w:p>
        </w:tc>
        <w:tc>
          <w:tcPr>
            <w:tcW w:w="840" w:type="dxa"/>
            <w:tcBorders>
              <w:top w:val="nil"/>
              <w:left w:val="nil"/>
              <w:bottom w:val="nil"/>
              <w:right w:val="nil"/>
            </w:tcBorders>
            <w:shd w:val="clear" w:color="000000" w:fill="F2F2F2"/>
            <w:noWrap/>
            <w:vAlign w:val="bottom"/>
            <w:hideMark/>
          </w:tcPr>
          <w:p w14:paraId="6FE53CF9"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6.</w:t>
            </w:r>
            <w:r>
              <w:rPr>
                <w:rFonts w:ascii="Times New Roman" w:eastAsia="Times New Roman" w:hAnsi="Times New Roman" w:cs="Times New Roman"/>
                <w:color w:val="000000"/>
                <w:sz w:val="14"/>
                <w:szCs w:val="14"/>
              </w:rPr>
              <w:t>5</w:t>
            </w:r>
          </w:p>
        </w:tc>
        <w:tc>
          <w:tcPr>
            <w:tcW w:w="840" w:type="dxa"/>
            <w:tcBorders>
              <w:top w:val="nil"/>
              <w:left w:val="nil"/>
              <w:bottom w:val="nil"/>
              <w:right w:val="nil"/>
            </w:tcBorders>
            <w:shd w:val="clear" w:color="000000" w:fill="F2F2F2"/>
            <w:noWrap/>
            <w:vAlign w:val="bottom"/>
            <w:hideMark/>
          </w:tcPr>
          <w:p w14:paraId="48610967"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color w:val="000000"/>
                <w:sz w:val="14"/>
                <w:szCs w:val="14"/>
              </w:rPr>
              <w:t>6.0</w:t>
            </w:r>
          </w:p>
        </w:tc>
        <w:tc>
          <w:tcPr>
            <w:tcW w:w="840" w:type="dxa"/>
            <w:tcBorders>
              <w:top w:val="nil"/>
              <w:left w:val="nil"/>
              <w:bottom w:val="nil"/>
              <w:right w:val="nil"/>
            </w:tcBorders>
            <w:shd w:val="clear" w:color="000000" w:fill="F2F2F2"/>
            <w:noWrap/>
            <w:vAlign w:val="bottom"/>
            <w:hideMark/>
          </w:tcPr>
          <w:p w14:paraId="4DB29274"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5.</w:t>
            </w:r>
            <w:r>
              <w:rPr>
                <w:rFonts w:ascii="Times New Roman" w:eastAsia="Times New Roman" w:hAnsi="Times New Roman" w:cs="Times New Roman"/>
                <w:color w:val="000000"/>
                <w:sz w:val="14"/>
                <w:szCs w:val="14"/>
              </w:rPr>
              <w:t>5</w:t>
            </w:r>
          </w:p>
        </w:tc>
        <w:tc>
          <w:tcPr>
            <w:tcW w:w="840" w:type="dxa"/>
            <w:tcBorders>
              <w:top w:val="nil"/>
              <w:left w:val="nil"/>
              <w:bottom w:val="nil"/>
              <w:right w:val="nil"/>
            </w:tcBorders>
            <w:shd w:val="clear" w:color="000000" w:fill="F2F2F2"/>
            <w:noWrap/>
            <w:vAlign w:val="bottom"/>
            <w:hideMark/>
          </w:tcPr>
          <w:p w14:paraId="56A94468"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color w:val="000000"/>
                <w:sz w:val="14"/>
                <w:szCs w:val="14"/>
              </w:rPr>
              <w:t>6.0</w:t>
            </w:r>
          </w:p>
        </w:tc>
      </w:tr>
      <w:tr w:rsidR="003A766A" w:rsidRPr="003D6BFA" w14:paraId="5441630B" w14:textId="77777777" w:rsidTr="00E63F4C">
        <w:trPr>
          <w:trHeight w:val="192"/>
        </w:trPr>
        <w:tc>
          <w:tcPr>
            <w:tcW w:w="1480" w:type="dxa"/>
            <w:tcBorders>
              <w:top w:val="nil"/>
              <w:left w:val="nil"/>
              <w:bottom w:val="nil"/>
              <w:right w:val="nil"/>
            </w:tcBorders>
            <w:shd w:val="clear" w:color="auto" w:fill="auto"/>
            <w:noWrap/>
            <w:vAlign w:val="bottom"/>
            <w:hideMark/>
          </w:tcPr>
          <w:p w14:paraId="6AE51E3E" w14:textId="77777777" w:rsidR="003A766A" w:rsidRPr="003D6BFA" w:rsidRDefault="003A766A" w:rsidP="00E63F4C">
            <w:pPr>
              <w:spacing w:after="0" w:line="240" w:lineRule="auto"/>
              <w:rPr>
                <w:rFonts w:ascii="Times New Roman" w:eastAsia="Times New Roman" w:hAnsi="Times New Roman" w:cs="Times New Roman"/>
                <w:color w:val="000000"/>
                <w:sz w:val="14"/>
                <w:szCs w:val="14"/>
              </w:rPr>
            </w:pPr>
            <w:r w:rsidRPr="003D6BFA">
              <w:rPr>
                <w:rFonts w:ascii="Times New Roman" w:eastAsia="Times New Roman" w:hAnsi="Times New Roman" w:cs="Times New Roman"/>
                <w:b/>
                <w:bCs/>
                <w:color w:val="000000"/>
                <w:sz w:val="14"/>
                <w:szCs w:val="14"/>
              </w:rPr>
              <w:t>Exportaciones FOB</w:t>
            </w:r>
          </w:p>
        </w:tc>
        <w:tc>
          <w:tcPr>
            <w:tcW w:w="1360" w:type="dxa"/>
            <w:tcBorders>
              <w:top w:val="nil"/>
              <w:left w:val="single" w:sz="4" w:space="0" w:color="auto"/>
              <w:bottom w:val="nil"/>
              <w:right w:val="nil"/>
            </w:tcBorders>
            <w:shd w:val="clear" w:color="auto" w:fill="auto"/>
            <w:noWrap/>
            <w:vAlign w:val="bottom"/>
            <w:hideMark/>
          </w:tcPr>
          <w:p w14:paraId="72C61D3E" w14:textId="77777777" w:rsidR="003A766A" w:rsidRPr="003D6BFA" w:rsidRDefault="003A766A" w:rsidP="00E63F4C">
            <w:pPr>
              <w:spacing w:after="0" w:line="240" w:lineRule="auto"/>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Porcentaje</w:t>
            </w:r>
          </w:p>
        </w:tc>
        <w:tc>
          <w:tcPr>
            <w:tcW w:w="840" w:type="dxa"/>
            <w:tcBorders>
              <w:top w:val="nil"/>
              <w:left w:val="single" w:sz="4" w:space="0" w:color="auto"/>
              <w:bottom w:val="nil"/>
              <w:right w:val="nil"/>
            </w:tcBorders>
            <w:shd w:val="clear" w:color="auto" w:fill="auto"/>
            <w:noWrap/>
            <w:vAlign w:val="bottom"/>
            <w:hideMark/>
          </w:tcPr>
          <w:p w14:paraId="355CC2F1" w14:textId="77777777" w:rsidR="003A766A" w:rsidRPr="003D6BFA" w:rsidRDefault="003A766A" w:rsidP="00E63F4C">
            <w:pPr>
              <w:spacing w:after="0" w:line="240" w:lineRule="auto"/>
              <w:jc w:val="center"/>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6.0</w:t>
            </w:r>
          </w:p>
        </w:tc>
        <w:tc>
          <w:tcPr>
            <w:tcW w:w="840" w:type="dxa"/>
            <w:tcBorders>
              <w:top w:val="nil"/>
              <w:left w:val="nil"/>
              <w:bottom w:val="nil"/>
              <w:right w:val="nil"/>
            </w:tcBorders>
            <w:shd w:val="clear" w:color="000000" w:fill="F2F2F2"/>
            <w:noWrap/>
            <w:vAlign w:val="bottom"/>
            <w:hideMark/>
          </w:tcPr>
          <w:p w14:paraId="42AF7549" w14:textId="77777777" w:rsidR="003A766A" w:rsidRPr="003D6BFA" w:rsidRDefault="003A766A" w:rsidP="00E63F4C">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10</w:t>
            </w:r>
            <w:r w:rsidRPr="003D6BFA">
              <w:rPr>
                <w:rFonts w:ascii="Times New Roman" w:eastAsia="Times New Roman" w:hAnsi="Times New Roman" w:cs="Times New Roman"/>
                <w:color w:val="000000"/>
                <w:sz w:val="14"/>
                <w:szCs w:val="14"/>
              </w:rPr>
              <w:t>.5</w:t>
            </w:r>
          </w:p>
        </w:tc>
        <w:tc>
          <w:tcPr>
            <w:tcW w:w="840" w:type="dxa"/>
            <w:tcBorders>
              <w:top w:val="nil"/>
              <w:left w:val="nil"/>
              <w:bottom w:val="nil"/>
              <w:right w:val="nil"/>
            </w:tcBorders>
            <w:shd w:val="clear" w:color="000000" w:fill="F2F2F2"/>
            <w:noWrap/>
            <w:vAlign w:val="bottom"/>
            <w:hideMark/>
          </w:tcPr>
          <w:p w14:paraId="60335446" w14:textId="77777777" w:rsidR="003A766A" w:rsidRPr="003D6BFA" w:rsidRDefault="003A766A" w:rsidP="00E63F4C">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6.0</w:t>
            </w:r>
          </w:p>
        </w:tc>
        <w:tc>
          <w:tcPr>
            <w:tcW w:w="840" w:type="dxa"/>
            <w:tcBorders>
              <w:top w:val="nil"/>
              <w:left w:val="nil"/>
              <w:bottom w:val="nil"/>
              <w:right w:val="nil"/>
            </w:tcBorders>
            <w:shd w:val="clear" w:color="000000" w:fill="F2F2F2"/>
            <w:noWrap/>
            <w:vAlign w:val="bottom"/>
            <w:hideMark/>
          </w:tcPr>
          <w:p w14:paraId="2C34EAB5" w14:textId="77777777" w:rsidR="003A766A" w:rsidRPr="003D6BFA" w:rsidRDefault="003A766A" w:rsidP="00E63F4C">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4</w:t>
            </w:r>
            <w:r w:rsidRPr="003D6BFA">
              <w:rPr>
                <w:rFonts w:ascii="Times New Roman" w:eastAsia="Times New Roman" w:hAnsi="Times New Roman" w:cs="Times New Roman"/>
                <w:color w:val="000000"/>
                <w:sz w:val="14"/>
                <w:szCs w:val="14"/>
              </w:rPr>
              <w:t>.5</w:t>
            </w:r>
          </w:p>
        </w:tc>
        <w:tc>
          <w:tcPr>
            <w:tcW w:w="840" w:type="dxa"/>
            <w:tcBorders>
              <w:top w:val="nil"/>
              <w:left w:val="nil"/>
              <w:bottom w:val="nil"/>
              <w:right w:val="nil"/>
            </w:tcBorders>
            <w:shd w:val="clear" w:color="000000" w:fill="F2F2F2"/>
            <w:noWrap/>
            <w:vAlign w:val="bottom"/>
            <w:hideMark/>
          </w:tcPr>
          <w:p w14:paraId="051CDD1A" w14:textId="77777777" w:rsidR="003A766A" w:rsidRPr="003D6BFA" w:rsidRDefault="003A766A" w:rsidP="00E63F4C">
            <w:pPr>
              <w:spacing w:after="0" w:line="240" w:lineRule="auto"/>
              <w:jc w:val="center"/>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4.0</w:t>
            </w:r>
          </w:p>
        </w:tc>
        <w:tc>
          <w:tcPr>
            <w:tcW w:w="840" w:type="dxa"/>
            <w:tcBorders>
              <w:top w:val="nil"/>
              <w:left w:val="nil"/>
              <w:bottom w:val="nil"/>
              <w:right w:val="nil"/>
            </w:tcBorders>
            <w:shd w:val="clear" w:color="000000" w:fill="F2F2F2"/>
            <w:noWrap/>
            <w:vAlign w:val="bottom"/>
            <w:hideMark/>
          </w:tcPr>
          <w:p w14:paraId="3F5ADC87" w14:textId="77777777" w:rsidR="003A766A" w:rsidRPr="003D6BFA" w:rsidRDefault="003A766A" w:rsidP="00E63F4C">
            <w:pPr>
              <w:spacing w:after="0" w:line="240" w:lineRule="auto"/>
              <w:jc w:val="center"/>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3.5</w:t>
            </w:r>
          </w:p>
        </w:tc>
        <w:tc>
          <w:tcPr>
            <w:tcW w:w="840" w:type="dxa"/>
            <w:tcBorders>
              <w:top w:val="nil"/>
              <w:left w:val="nil"/>
              <w:bottom w:val="nil"/>
              <w:right w:val="nil"/>
            </w:tcBorders>
            <w:shd w:val="clear" w:color="000000" w:fill="F2F2F2"/>
            <w:noWrap/>
            <w:vAlign w:val="bottom"/>
            <w:hideMark/>
          </w:tcPr>
          <w:p w14:paraId="1BCAF5B8" w14:textId="77777777" w:rsidR="003A766A" w:rsidRPr="003D6BFA" w:rsidRDefault="003A766A" w:rsidP="00E63F4C">
            <w:pPr>
              <w:spacing w:after="0" w:line="240" w:lineRule="auto"/>
              <w:jc w:val="center"/>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4.0</w:t>
            </w:r>
          </w:p>
        </w:tc>
      </w:tr>
      <w:tr w:rsidR="003A766A" w:rsidRPr="003D6BFA" w14:paraId="4C12B2AA" w14:textId="77777777" w:rsidTr="00E63F4C">
        <w:trPr>
          <w:trHeight w:val="192"/>
        </w:trPr>
        <w:tc>
          <w:tcPr>
            <w:tcW w:w="1480" w:type="dxa"/>
            <w:tcBorders>
              <w:top w:val="nil"/>
              <w:left w:val="nil"/>
              <w:bottom w:val="single" w:sz="4" w:space="0" w:color="auto"/>
              <w:right w:val="nil"/>
            </w:tcBorders>
            <w:shd w:val="clear" w:color="auto" w:fill="auto"/>
            <w:noWrap/>
            <w:vAlign w:val="bottom"/>
            <w:hideMark/>
          </w:tcPr>
          <w:p w14:paraId="6B81769C" w14:textId="77777777" w:rsidR="003A766A" w:rsidRPr="003D6BFA" w:rsidRDefault="003A766A" w:rsidP="00E63F4C">
            <w:pPr>
              <w:spacing w:after="0" w:line="240" w:lineRule="auto"/>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Inflación</w:t>
            </w:r>
          </w:p>
        </w:tc>
        <w:tc>
          <w:tcPr>
            <w:tcW w:w="1360" w:type="dxa"/>
            <w:tcBorders>
              <w:top w:val="nil"/>
              <w:left w:val="single" w:sz="4" w:space="0" w:color="auto"/>
              <w:bottom w:val="single" w:sz="4" w:space="0" w:color="auto"/>
              <w:right w:val="nil"/>
            </w:tcBorders>
            <w:shd w:val="clear" w:color="auto" w:fill="auto"/>
            <w:noWrap/>
            <w:vAlign w:val="bottom"/>
            <w:hideMark/>
          </w:tcPr>
          <w:p w14:paraId="60B021CD" w14:textId="77777777" w:rsidR="003A766A" w:rsidRPr="003D6BFA" w:rsidRDefault="003A766A" w:rsidP="00E63F4C">
            <w:pPr>
              <w:spacing w:after="0" w:line="240" w:lineRule="auto"/>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Porcentaje</w:t>
            </w:r>
          </w:p>
        </w:tc>
        <w:tc>
          <w:tcPr>
            <w:tcW w:w="840" w:type="dxa"/>
            <w:tcBorders>
              <w:top w:val="nil"/>
              <w:left w:val="single" w:sz="4" w:space="0" w:color="auto"/>
              <w:bottom w:val="single" w:sz="4" w:space="0" w:color="auto"/>
              <w:right w:val="nil"/>
            </w:tcBorders>
            <w:shd w:val="clear" w:color="auto" w:fill="auto"/>
            <w:noWrap/>
            <w:vAlign w:val="bottom"/>
            <w:hideMark/>
          </w:tcPr>
          <w:p w14:paraId="600D9B4C"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4.8</w:t>
            </w:r>
          </w:p>
        </w:tc>
        <w:tc>
          <w:tcPr>
            <w:tcW w:w="840" w:type="dxa"/>
            <w:tcBorders>
              <w:top w:val="nil"/>
              <w:left w:val="nil"/>
              <w:bottom w:val="single" w:sz="4" w:space="0" w:color="auto"/>
              <w:right w:val="nil"/>
            </w:tcBorders>
            <w:shd w:val="clear" w:color="000000" w:fill="F2F2F2"/>
            <w:noWrap/>
            <w:vAlign w:val="bottom"/>
            <w:hideMark/>
          </w:tcPr>
          <w:p w14:paraId="050BAD0C"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3.0</w:t>
            </w:r>
          </w:p>
        </w:tc>
        <w:tc>
          <w:tcPr>
            <w:tcW w:w="840" w:type="dxa"/>
            <w:tcBorders>
              <w:top w:val="nil"/>
              <w:left w:val="nil"/>
              <w:bottom w:val="single" w:sz="4" w:space="0" w:color="auto"/>
              <w:right w:val="nil"/>
            </w:tcBorders>
            <w:shd w:val="clear" w:color="000000" w:fill="F2F2F2"/>
            <w:noWrap/>
            <w:vAlign w:val="bottom"/>
            <w:hideMark/>
          </w:tcPr>
          <w:p w14:paraId="2BFA5132"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3.0</w:t>
            </w:r>
          </w:p>
        </w:tc>
        <w:tc>
          <w:tcPr>
            <w:tcW w:w="840" w:type="dxa"/>
            <w:tcBorders>
              <w:top w:val="nil"/>
              <w:left w:val="nil"/>
              <w:bottom w:val="single" w:sz="4" w:space="0" w:color="auto"/>
              <w:right w:val="nil"/>
            </w:tcBorders>
            <w:shd w:val="clear" w:color="000000" w:fill="F2F2F2"/>
            <w:noWrap/>
            <w:vAlign w:val="bottom"/>
            <w:hideMark/>
          </w:tcPr>
          <w:p w14:paraId="3D09A89B"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3.0</w:t>
            </w:r>
          </w:p>
        </w:tc>
        <w:tc>
          <w:tcPr>
            <w:tcW w:w="840" w:type="dxa"/>
            <w:tcBorders>
              <w:top w:val="nil"/>
              <w:left w:val="nil"/>
              <w:bottom w:val="single" w:sz="4" w:space="0" w:color="auto"/>
              <w:right w:val="nil"/>
            </w:tcBorders>
            <w:shd w:val="clear" w:color="000000" w:fill="F2F2F2"/>
            <w:noWrap/>
            <w:vAlign w:val="bottom"/>
            <w:hideMark/>
          </w:tcPr>
          <w:p w14:paraId="36961A0D"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3.0</w:t>
            </w:r>
          </w:p>
        </w:tc>
        <w:tc>
          <w:tcPr>
            <w:tcW w:w="840" w:type="dxa"/>
            <w:tcBorders>
              <w:top w:val="nil"/>
              <w:left w:val="nil"/>
              <w:bottom w:val="single" w:sz="4" w:space="0" w:color="auto"/>
              <w:right w:val="nil"/>
            </w:tcBorders>
            <w:shd w:val="clear" w:color="000000" w:fill="F2F2F2"/>
            <w:noWrap/>
            <w:vAlign w:val="bottom"/>
            <w:hideMark/>
          </w:tcPr>
          <w:p w14:paraId="37723319"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3.0</w:t>
            </w:r>
          </w:p>
        </w:tc>
        <w:tc>
          <w:tcPr>
            <w:tcW w:w="840" w:type="dxa"/>
            <w:tcBorders>
              <w:top w:val="nil"/>
              <w:left w:val="nil"/>
              <w:bottom w:val="single" w:sz="4" w:space="0" w:color="auto"/>
              <w:right w:val="nil"/>
            </w:tcBorders>
            <w:shd w:val="clear" w:color="000000" w:fill="F2F2F2"/>
            <w:noWrap/>
            <w:vAlign w:val="bottom"/>
            <w:hideMark/>
          </w:tcPr>
          <w:p w14:paraId="331F1FC6"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3.0</w:t>
            </w:r>
          </w:p>
        </w:tc>
      </w:tr>
    </w:tbl>
    <w:p w14:paraId="045D0565" w14:textId="77777777" w:rsidR="003A766A" w:rsidRPr="00AB18F0" w:rsidRDefault="003A766A" w:rsidP="003A766A">
      <w:pPr>
        <w:spacing w:after="0" w:line="240" w:lineRule="auto"/>
        <w:rPr>
          <w:rFonts w:ascii="Times New Roman" w:hAnsi="Times New Roman" w:cs="Times New Roman"/>
          <w:sz w:val="16"/>
          <w:szCs w:val="14"/>
        </w:rPr>
      </w:pPr>
      <w:r w:rsidRPr="00AB18F0">
        <w:rPr>
          <w:rFonts w:ascii="Times New Roman" w:hAnsi="Times New Roman" w:cs="Times New Roman"/>
          <w:sz w:val="16"/>
          <w:szCs w:val="14"/>
        </w:rPr>
        <w:t>Fuente: Banco de Guatemala.</w:t>
      </w:r>
    </w:p>
    <w:p w14:paraId="0DED9379" w14:textId="77777777" w:rsidR="003D6BFA" w:rsidRPr="00AB18F0" w:rsidRDefault="003D6BFA" w:rsidP="003D6BFA">
      <w:pPr>
        <w:spacing w:after="0" w:line="240" w:lineRule="auto"/>
        <w:rPr>
          <w:rFonts w:ascii="Times New Roman" w:hAnsi="Times New Roman" w:cs="Times New Roman"/>
          <w:sz w:val="16"/>
          <w:szCs w:val="14"/>
        </w:rPr>
      </w:pPr>
      <w:r w:rsidRPr="00AB18F0">
        <w:rPr>
          <w:rFonts w:ascii="Times New Roman" w:hAnsi="Times New Roman" w:cs="Times New Roman"/>
          <w:sz w:val="16"/>
          <w:szCs w:val="14"/>
        </w:rPr>
        <w:t>e: Estimación</w:t>
      </w:r>
    </w:p>
    <w:p w14:paraId="6E3F44C0" w14:textId="77777777" w:rsidR="003D6BFA" w:rsidRPr="00AB18F0" w:rsidRDefault="003D6BFA" w:rsidP="003D6BFA">
      <w:pPr>
        <w:spacing w:after="0" w:line="240" w:lineRule="auto"/>
        <w:rPr>
          <w:rFonts w:ascii="Times New Roman" w:hAnsi="Times New Roman" w:cs="Times New Roman"/>
          <w:sz w:val="16"/>
          <w:szCs w:val="14"/>
        </w:rPr>
      </w:pPr>
      <w:r w:rsidRPr="00AB18F0">
        <w:rPr>
          <w:rFonts w:ascii="Times New Roman" w:hAnsi="Times New Roman" w:cs="Times New Roman"/>
          <w:sz w:val="16"/>
          <w:szCs w:val="14"/>
        </w:rPr>
        <w:t>py: Proyección</w:t>
      </w:r>
    </w:p>
    <w:p w14:paraId="0C3D68A6" w14:textId="77777777" w:rsidR="003D6BFA" w:rsidRPr="00394005" w:rsidRDefault="003D6BFA" w:rsidP="002C7396">
      <w:pPr>
        <w:spacing w:after="0" w:line="240" w:lineRule="auto"/>
        <w:jc w:val="both"/>
        <w:rPr>
          <w:rFonts w:ascii="Times New Roman" w:hAnsi="Times New Roman" w:cs="Times New Roman"/>
        </w:rPr>
      </w:pPr>
    </w:p>
    <w:p w14:paraId="2AE45530" w14:textId="376CABDE" w:rsidR="003D6BFA" w:rsidRPr="00394005" w:rsidRDefault="003D6BFA" w:rsidP="002C7396">
      <w:pPr>
        <w:spacing w:after="0" w:line="240" w:lineRule="auto"/>
        <w:jc w:val="both"/>
        <w:rPr>
          <w:rFonts w:ascii="Times New Roman" w:hAnsi="Times New Roman" w:cs="Times New Roman"/>
        </w:rPr>
      </w:pPr>
      <w:r w:rsidRPr="00394005">
        <w:rPr>
          <w:rFonts w:ascii="Times New Roman" w:hAnsi="Times New Roman" w:cs="Times New Roman"/>
        </w:rPr>
        <w:t xml:space="preserve">Asimismo, podríamos tener otro escenario con baja probabilidad de ocurrencia en base a los supuestos del mediano plazo del contexto internacional y del mercado interno, proporcionado por el Banco de Guatemala, en la cual el escenario sea más optimista y las variables muestren un desempeño más favorable con respecto al escenario medio, mostrado anteriormente.  Con base en este escenario, se prevé que el Producto Interno Bruto se ubique en </w:t>
      </w:r>
      <w:r w:rsidR="003A766A">
        <w:rPr>
          <w:rFonts w:ascii="Times New Roman" w:hAnsi="Times New Roman" w:cs="Times New Roman"/>
        </w:rPr>
        <w:t>5.5</w:t>
      </w:r>
      <w:r w:rsidRPr="00394005">
        <w:rPr>
          <w:rFonts w:ascii="Times New Roman" w:hAnsi="Times New Roman" w:cs="Times New Roman"/>
        </w:rPr>
        <w:t xml:space="preserve">% para 2022, posteriormente se prevé que el crecimiento se ubique en </w:t>
      </w:r>
      <w:r w:rsidR="003A766A">
        <w:rPr>
          <w:rFonts w:ascii="Times New Roman" w:hAnsi="Times New Roman" w:cs="Times New Roman"/>
        </w:rPr>
        <w:t>4.7</w:t>
      </w:r>
      <w:r w:rsidRPr="00394005">
        <w:rPr>
          <w:rFonts w:ascii="Times New Roman" w:hAnsi="Times New Roman" w:cs="Times New Roman"/>
        </w:rPr>
        <w:t xml:space="preserve">% en 2023, para los años 2024-2025 en 4.6%, y en 2026 se espera que aumente nuevamente a 4.7%. Por parte del Producto Interno Bruto nominal se estima un crecimiento de </w:t>
      </w:r>
      <w:r w:rsidR="003A766A">
        <w:rPr>
          <w:rFonts w:ascii="Times New Roman" w:hAnsi="Times New Roman" w:cs="Times New Roman"/>
        </w:rPr>
        <w:t>8.8</w:t>
      </w:r>
      <w:r w:rsidRPr="00394005">
        <w:rPr>
          <w:rFonts w:ascii="Times New Roman" w:hAnsi="Times New Roman" w:cs="Times New Roman"/>
        </w:rPr>
        <w:t>% en el 2022, en el 2023 un crecimiento de 7.3% y para el 2026 de 7.4%. Asimismo, se espera que la inflación se ubique siempre en 5.0% del 2022-2026 en el límite superior de la meta de inflación. Lo anterior se debe a que la dinámica económica podría generar una mayor inflación, aunque sin afectar sus expectativas de largo plazo.</w:t>
      </w:r>
    </w:p>
    <w:p w14:paraId="14A4E4B6" w14:textId="77777777" w:rsidR="002C7396" w:rsidRPr="00394005" w:rsidRDefault="002C7396" w:rsidP="002C7396">
      <w:pPr>
        <w:spacing w:after="0" w:line="240" w:lineRule="auto"/>
        <w:jc w:val="both"/>
        <w:rPr>
          <w:rFonts w:ascii="Times New Roman" w:hAnsi="Times New Roman" w:cs="Times New Roman"/>
        </w:rPr>
      </w:pPr>
    </w:p>
    <w:p w14:paraId="14E6DE88" w14:textId="356D6BA0" w:rsidR="003D6BFA" w:rsidRPr="00394005" w:rsidRDefault="003D6BFA" w:rsidP="002C7396">
      <w:pPr>
        <w:spacing w:after="0" w:line="240" w:lineRule="auto"/>
        <w:jc w:val="both"/>
        <w:rPr>
          <w:rFonts w:ascii="Times New Roman" w:hAnsi="Times New Roman" w:cs="Times New Roman"/>
        </w:rPr>
      </w:pPr>
      <w:r w:rsidRPr="00394005">
        <w:rPr>
          <w:rFonts w:ascii="Times New Roman" w:hAnsi="Times New Roman" w:cs="Times New Roman"/>
        </w:rPr>
        <w:t xml:space="preserve">En el sector externo de la economía, se proyecta que en el 2022 las importaciones de bienes tengan un crecimiento de </w:t>
      </w:r>
      <w:r w:rsidR="003A766A">
        <w:rPr>
          <w:rFonts w:ascii="Times New Roman" w:hAnsi="Times New Roman" w:cs="Times New Roman"/>
        </w:rPr>
        <w:t>9.0</w:t>
      </w:r>
      <w:r w:rsidRPr="00394005">
        <w:rPr>
          <w:rFonts w:ascii="Times New Roman" w:hAnsi="Times New Roman" w:cs="Times New Roman"/>
        </w:rPr>
        <w:t xml:space="preserve">%, por arriba de la línea tendencial de crecimiento de los últimos años previo a la pandemia, en los años posteriores se espera que el crecimiento de las importaciones fluctué levemente, de tal manera que para el 2026 termine en </w:t>
      </w:r>
      <w:r w:rsidR="003A766A">
        <w:rPr>
          <w:rFonts w:ascii="Times New Roman" w:hAnsi="Times New Roman" w:cs="Times New Roman"/>
        </w:rPr>
        <w:t>9.0</w:t>
      </w:r>
      <w:r w:rsidRPr="00394005">
        <w:rPr>
          <w:rFonts w:ascii="Times New Roman" w:hAnsi="Times New Roman" w:cs="Times New Roman"/>
        </w:rPr>
        <w:t xml:space="preserve">%. En las exportaciones se espera un crecimiento de </w:t>
      </w:r>
      <w:r w:rsidR="003A766A">
        <w:rPr>
          <w:rFonts w:ascii="Times New Roman" w:hAnsi="Times New Roman" w:cs="Times New Roman"/>
        </w:rPr>
        <w:t>9</w:t>
      </w:r>
      <w:r w:rsidRPr="00394005">
        <w:rPr>
          <w:rFonts w:ascii="Times New Roman" w:hAnsi="Times New Roman" w:cs="Times New Roman"/>
        </w:rPr>
        <w:t xml:space="preserve">.0%, </w:t>
      </w:r>
      <w:r w:rsidR="003A766A">
        <w:rPr>
          <w:rFonts w:ascii="Times New Roman" w:hAnsi="Times New Roman" w:cs="Times New Roman"/>
        </w:rPr>
        <w:t>igual al</w:t>
      </w:r>
      <w:r w:rsidRPr="00394005">
        <w:rPr>
          <w:rFonts w:ascii="Times New Roman" w:hAnsi="Times New Roman" w:cs="Times New Roman"/>
        </w:rPr>
        <w:t xml:space="preserve"> ascenso que las importaciones, pero superior a su nivel previo a la crisis, en los años siguientes la tasa de crecimiento se proyecta en </w:t>
      </w:r>
      <w:r w:rsidR="003A766A">
        <w:rPr>
          <w:rFonts w:ascii="Times New Roman" w:hAnsi="Times New Roman" w:cs="Times New Roman"/>
        </w:rPr>
        <w:t>7.5</w:t>
      </w:r>
      <w:r w:rsidRPr="00394005">
        <w:rPr>
          <w:rFonts w:ascii="Times New Roman" w:hAnsi="Times New Roman" w:cs="Times New Roman"/>
        </w:rPr>
        <w:t>% en 2023 y se espera que sitúe en 7.0% en 2026. La recuperación en el sector externo después de la pandemia por COVID-19, se estima de forma importante, esto de conformidad a los extraordinarios resultados en cuanto al avance y efectividad de la vacunación en los principales socios comerciales y la fuerte recuperación de su demanda interna.</w:t>
      </w:r>
    </w:p>
    <w:p w14:paraId="77F3B4A9" w14:textId="77777777" w:rsidR="003D6BFA" w:rsidRPr="00394005" w:rsidRDefault="003D6BFA" w:rsidP="002C7396">
      <w:pPr>
        <w:spacing w:after="0" w:line="240" w:lineRule="auto"/>
        <w:jc w:val="both"/>
        <w:rPr>
          <w:rFonts w:ascii="Times New Roman" w:hAnsi="Times New Roman" w:cs="Times New Roman"/>
        </w:rPr>
      </w:pPr>
    </w:p>
    <w:p w14:paraId="5B66AC82" w14:textId="617E6014" w:rsidR="0051120E" w:rsidRPr="00394005" w:rsidRDefault="0051120E" w:rsidP="00C027A7">
      <w:pPr>
        <w:pStyle w:val="Epgrafe"/>
        <w:keepNext/>
        <w:framePr w:hSpace="141" w:wrap="around" w:vAnchor="text" w:hAnchor="margin" w:y="74"/>
        <w:spacing w:after="0"/>
        <w:jc w:val="center"/>
        <w:rPr>
          <w:rFonts w:ascii="Times New Roman" w:hAnsi="Times New Roman" w:cs="Times New Roman"/>
          <w:b/>
          <w:color w:val="auto"/>
          <w:sz w:val="20"/>
        </w:rPr>
      </w:pPr>
      <w:bookmarkStart w:id="575" w:name="_Toc81573034"/>
      <w:r w:rsidRPr="00394005">
        <w:rPr>
          <w:rFonts w:ascii="Times New Roman" w:hAnsi="Times New Roman" w:cs="Times New Roman"/>
          <w:b/>
          <w:color w:val="auto"/>
          <w:sz w:val="20"/>
        </w:rPr>
        <w:t xml:space="preserve">Tabla </w:t>
      </w:r>
      <w:r w:rsidRPr="00394005">
        <w:rPr>
          <w:rFonts w:ascii="Times New Roman" w:hAnsi="Times New Roman" w:cs="Times New Roman"/>
          <w:b/>
          <w:color w:val="auto"/>
          <w:sz w:val="20"/>
        </w:rPr>
        <w:fldChar w:fldCharType="begin"/>
      </w:r>
      <w:r w:rsidRPr="00394005">
        <w:rPr>
          <w:rFonts w:ascii="Times New Roman" w:hAnsi="Times New Roman" w:cs="Times New Roman"/>
          <w:b/>
          <w:color w:val="auto"/>
          <w:sz w:val="20"/>
        </w:rPr>
        <w:instrText xml:space="preserve"> SEQ Tabla \* ARABIC </w:instrText>
      </w:r>
      <w:r w:rsidRPr="00394005">
        <w:rPr>
          <w:rFonts w:ascii="Times New Roman" w:hAnsi="Times New Roman" w:cs="Times New Roman"/>
          <w:b/>
          <w:color w:val="auto"/>
          <w:sz w:val="20"/>
        </w:rPr>
        <w:fldChar w:fldCharType="separate"/>
      </w:r>
      <w:r w:rsidR="009E18F8">
        <w:rPr>
          <w:rFonts w:ascii="Times New Roman" w:hAnsi="Times New Roman" w:cs="Times New Roman"/>
          <w:b/>
          <w:noProof/>
          <w:color w:val="auto"/>
          <w:sz w:val="20"/>
        </w:rPr>
        <w:t>12</w:t>
      </w:r>
      <w:r w:rsidRPr="00394005">
        <w:rPr>
          <w:rFonts w:ascii="Times New Roman" w:hAnsi="Times New Roman" w:cs="Times New Roman"/>
          <w:b/>
          <w:color w:val="auto"/>
          <w:sz w:val="20"/>
        </w:rPr>
        <w:fldChar w:fldCharType="end"/>
      </w:r>
      <w:r w:rsidRPr="00394005">
        <w:rPr>
          <w:rFonts w:ascii="Times New Roman" w:hAnsi="Times New Roman" w:cs="Times New Roman"/>
          <w:b/>
          <w:color w:val="auto"/>
          <w:sz w:val="20"/>
        </w:rPr>
        <w:t xml:space="preserve"> </w:t>
      </w:r>
      <w:r w:rsidRPr="00394005">
        <w:rPr>
          <w:rFonts w:ascii="Times New Roman" w:hAnsi="Times New Roman" w:cs="Times New Roman"/>
          <w:b/>
          <w:color w:val="auto"/>
          <w:sz w:val="20"/>
          <w:szCs w:val="20"/>
        </w:rPr>
        <w:t>Escenario Alto, proyecciones de las principales variables macroeconómicas</w:t>
      </w:r>
      <w:bookmarkEnd w:id="575"/>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3D6BFA" w:rsidRPr="00394005" w14:paraId="267B510F" w14:textId="77777777" w:rsidTr="00127939">
        <w:trPr>
          <w:jc w:val="center"/>
        </w:trPr>
        <w:tc>
          <w:tcPr>
            <w:tcW w:w="8828" w:type="dxa"/>
          </w:tcPr>
          <w:p w14:paraId="0CF4CD79" w14:textId="77777777" w:rsidR="003D6BFA" w:rsidRPr="00394005" w:rsidRDefault="003D6BFA" w:rsidP="0051120E">
            <w:pPr>
              <w:pStyle w:val="Epgrafe"/>
              <w:framePr w:hSpace="141" w:wrap="around" w:vAnchor="text" w:hAnchor="margin" w:y="74"/>
              <w:spacing w:after="0"/>
              <w:jc w:val="center"/>
              <w:rPr>
                <w:rFonts w:ascii="Times New Roman" w:hAnsi="Times New Roman" w:cs="Times New Roman"/>
                <w:color w:val="auto"/>
                <w:szCs w:val="20"/>
              </w:rPr>
            </w:pPr>
          </w:p>
        </w:tc>
      </w:tr>
    </w:tbl>
    <w:tbl>
      <w:tblPr>
        <w:tblW w:w="8720" w:type="dxa"/>
        <w:tblLook w:val="04A0" w:firstRow="1" w:lastRow="0" w:firstColumn="1" w:lastColumn="0" w:noHBand="0" w:noVBand="1"/>
      </w:tblPr>
      <w:tblGrid>
        <w:gridCol w:w="1480"/>
        <w:gridCol w:w="1360"/>
        <w:gridCol w:w="840"/>
        <w:gridCol w:w="840"/>
        <w:gridCol w:w="840"/>
        <w:gridCol w:w="840"/>
        <w:gridCol w:w="840"/>
        <w:gridCol w:w="840"/>
        <w:gridCol w:w="840"/>
      </w:tblGrid>
      <w:tr w:rsidR="003A766A" w:rsidRPr="003D6BFA" w14:paraId="364DE297" w14:textId="77777777" w:rsidTr="00E63F4C">
        <w:trPr>
          <w:trHeight w:val="240"/>
        </w:trPr>
        <w:tc>
          <w:tcPr>
            <w:tcW w:w="1480" w:type="dxa"/>
            <w:tcBorders>
              <w:top w:val="single" w:sz="4" w:space="0" w:color="auto"/>
              <w:left w:val="nil"/>
              <w:bottom w:val="double" w:sz="6" w:space="0" w:color="auto"/>
              <w:right w:val="nil"/>
            </w:tcBorders>
            <w:shd w:val="clear" w:color="auto" w:fill="auto"/>
            <w:noWrap/>
            <w:vAlign w:val="bottom"/>
            <w:hideMark/>
          </w:tcPr>
          <w:p w14:paraId="0AD61A9A"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b/>
                <w:bCs/>
                <w:color w:val="000000"/>
                <w:sz w:val="14"/>
                <w:szCs w:val="14"/>
              </w:rPr>
              <w:t> </w:t>
            </w:r>
          </w:p>
        </w:tc>
        <w:tc>
          <w:tcPr>
            <w:tcW w:w="1360" w:type="dxa"/>
            <w:tcBorders>
              <w:top w:val="single" w:sz="4" w:space="0" w:color="auto"/>
              <w:left w:val="single" w:sz="4" w:space="0" w:color="auto"/>
              <w:bottom w:val="double" w:sz="6" w:space="0" w:color="auto"/>
              <w:right w:val="nil"/>
            </w:tcBorders>
            <w:shd w:val="clear" w:color="auto" w:fill="auto"/>
            <w:noWrap/>
            <w:vAlign w:val="bottom"/>
            <w:hideMark/>
          </w:tcPr>
          <w:p w14:paraId="52C72A23"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b/>
                <w:bCs/>
                <w:color w:val="000000"/>
                <w:sz w:val="14"/>
                <w:szCs w:val="14"/>
              </w:rPr>
              <w:t>Dimensional</w:t>
            </w:r>
          </w:p>
        </w:tc>
        <w:tc>
          <w:tcPr>
            <w:tcW w:w="840" w:type="dxa"/>
            <w:tcBorders>
              <w:top w:val="single" w:sz="4" w:space="0" w:color="auto"/>
              <w:left w:val="single" w:sz="4" w:space="0" w:color="auto"/>
              <w:bottom w:val="double" w:sz="6" w:space="0" w:color="auto"/>
              <w:right w:val="nil"/>
            </w:tcBorders>
            <w:shd w:val="clear" w:color="auto" w:fill="auto"/>
            <w:noWrap/>
            <w:vAlign w:val="bottom"/>
            <w:hideMark/>
          </w:tcPr>
          <w:p w14:paraId="3DA8504A"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b/>
                <w:bCs/>
                <w:color w:val="000000"/>
                <w:sz w:val="14"/>
                <w:szCs w:val="14"/>
              </w:rPr>
              <w:t>2020</w:t>
            </w:r>
            <w:r w:rsidRPr="003D6BFA">
              <w:rPr>
                <w:rFonts w:ascii="Times New Roman" w:eastAsia="Times New Roman" w:hAnsi="Times New Roman" w:cs="Times New Roman"/>
                <w:b/>
                <w:bCs/>
                <w:color w:val="000000"/>
                <w:sz w:val="14"/>
                <w:szCs w:val="14"/>
                <w:vertAlign w:val="superscript"/>
              </w:rPr>
              <w:t>e</w:t>
            </w:r>
          </w:p>
        </w:tc>
        <w:tc>
          <w:tcPr>
            <w:tcW w:w="840" w:type="dxa"/>
            <w:tcBorders>
              <w:top w:val="single" w:sz="4" w:space="0" w:color="auto"/>
              <w:left w:val="nil"/>
              <w:bottom w:val="double" w:sz="6" w:space="0" w:color="auto"/>
              <w:right w:val="nil"/>
            </w:tcBorders>
            <w:shd w:val="clear" w:color="auto" w:fill="auto"/>
            <w:noWrap/>
            <w:vAlign w:val="bottom"/>
            <w:hideMark/>
          </w:tcPr>
          <w:p w14:paraId="7D1CFCF9"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b/>
                <w:bCs/>
                <w:color w:val="000000"/>
                <w:sz w:val="14"/>
                <w:szCs w:val="14"/>
              </w:rPr>
              <w:t>2021</w:t>
            </w:r>
            <w:r w:rsidRPr="003D6BFA">
              <w:rPr>
                <w:rFonts w:ascii="Times New Roman" w:eastAsia="Times New Roman" w:hAnsi="Times New Roman" w:cs="Times New Roman"/>
                <w:b/>
                <w:bCs/>
                <w:color w:val="000000"/>
                <w:sz w:val="14"/>
                <w:szCs w:val="14"/>
                <w:vertAlign w:val="superscript"/>
              </w:rPr>
              <w:t>py</w:t>
            </w:r>
          </w:p>
        </w:tc>
        <w:tc>
          <w:tcPr>
            <w:tcW w:w="840" w:type="dxa"/>
            <w:tcBorders>
              <w:top w:val="single" w:sz="4" w:space="0" w:color="auto"/>
              <w:left w:val="nil"/>
              <w:bottom w:val="double" w:sz="6" w:space="0" w:color="auto"/>
              <w:right w:val="nil"/>
            </w:tcBorders>
            <w:shd w:val="clear" w:color="auto" w:fill="auto"/>
            <w:noWrap/>
            <w:vAlign w:val="bottom"/>
            <w:hideMark/>
          </w:tcPr>
          <w:p w14:paraId="5C21D158"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b/>
                <w:bCs/>
                <w:color w:val="000000"/>
                <w:sz w:val="14"/>
                <w:szCs w:val="14"/>
              </w:rPr>
              <w:t>2022</w:t>
            </w:r>
            <w:r w:rsidRPr="003D6BFA">
              <w:rPr>
                <w:rFonts w:ascii="Times New Roman" w:eastAsia="Times New Roman" w:hAnsi="Times New Roman" w:cs="Times New Roman"/>
                <w:b/>
                <w:bCs/>
                <w:color w:val="000000"/>
                <w:sz w:val="14"/>
                <w:szCs w:val="14"/>
                <w:vertAlign w:val="superscript"/>
              </w:rPr>
              <w:t>py</w:t>
            </w:r>
          </w:p>
        </w:tc>
        <w:tc>
          <w:tcPr>
            <w:tcW w:w="840" w:type="dxa"/>
            <w:tcBorders>
              <w:top w:val="single" w:sz="4" w:space="0" w:color="auto"/>
              <w:left w:val="nil"/>
              <w:bottom w:val="double" w:sz="6" w:space="0" w:color="auto"/>
              <w:right w:val="nil"/>
            </w:tcBorders>
            <w:shd w:val="clear" w:color="auto" w:fill="auto"/>
            <w:noWrap/>
            <w:vAlign w:val="bottom"/>
            <w:hideMark/>
          </w:tcPr>
          <w:p w14:paraId="18690499"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b/>
                <w:bCs/>
                <w:color w:val="000000"/>
                <w:sz w:val="14"/>
                <w:szCs w:val="14"/>
              </w:rPr>
              <w:t>2023</w:t>
            </w:r>
            <w:r w:rsidRPr="003D6BFA">
              <w:rPr>
                <w:rFonts w:ascii="Times New Roman" w:eastAsia="Times New Roman" w:hAnsi="Times New Roman" w:cs="Times New Roman"/>
                <w:b/>
                <w:bCs/>
                <w:color w:val="000000"/>
                <w:sz w:val="14"/>
                <w:szCs w:val="14"/>
                <w:vertAlign w:val="superscript"/>
              </w:rPr>
              <w:t>py</w:t>
            </w:r>
          </w:p>
        </w:tc>
        <w:tc>
          <w:tcPr>
            <w:tcW w:w="840" w:type="dxa"/>
            <w:tcBorders>
              <w:top w:val="single" w:sz="4" w:space="0" w:color="auto"/>
              <w:left w:val="nil"/>
              <w:bottom w:val="double" w:sz="6" w:space="0" w:color="auto"/>
              <w:right w:val="nil"/>
            </w:tcBorders>
            <w:shd w:val="clear" w:color="auto" w:fill="auto"/>
            <w:noWrap/>
            <w:vAlign w:val="bottom"/>
            <w:hideMark/>
          </w:tcPr>
          <w:p w14:paraId="0FE21D14"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b/>
                <w:bCs/>
                <w:color w:val="000000"/>
                <w:sz w:val="14"/>
                <w:szCs w:val="14"/>
              </w:rPr>
              <w:t>2024</w:t>
            </w:r>
            <w:r w:rsidRPr="003D6BFA">
              <w:rPr>
                <w:rFonts w:ascii="Times New Roman" w:eastAsia="Times New Roman" w:hAnsi="Times New Roman" w:cs="Times New Roman"/>
                <w:b/>
                <w:bCs/>
                <w:color w:val="000000"/>
                <w:sz w:val="14"/>
                <w:szCs w:val="14"/>
                <w:vertAlign w:val="superscript"/>
              </w:rPr>
              <w:t>py</w:t>
            </w:r>
          </w:p>
        </w:tc>
        <w:tc>
          <w:tcPr>
            <w:tcW w:w="840" w:type="dxa"/>
            <w:tcBorders>
              <w:top w:val="single" w:sz="4" w:space="0" w:color="auto"/>
              <w:left w:val="nil"/>
              <w:bottom w:val="double" w:sz="6" w:space="0" w:color="auto"/>
              <w:right w:val="nil"/>
            </w:tcBorders>
            <w:shd w:val="clear" w:color="auto" w:fill="auto"/>
            <w:noWrap/>
            <w:vAlign w:val="bottom"/>
            <w:hideMark/>
          </w:tcPr>
          <w:p w14:paraId="70824448"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b/>
                <w:bCs/>
                <w:color w:val="000000"/>
                <w:sz w:val="14"/>
                <w:szCs w:val="14"/>
              </w:rPr>
              <w:t>2025</w:t>
            </w:r>
            <w:r w:rsidRPr="003D6BFA">
              <w:rPr>
                <w:rFonts w:ascii="Times New Roman" w:eastAsia="Times New Roman" w:hAnsi="Times New Roman" w:cs="Times New Roman"/>
                <w:b/>
                <w:bCs/>
                <w:color w:val="000000"/>
                <w:sz w:val="14"/>
                <w:szCs w:val="14"/>
                <w:vertAlign w:val="superscript"/>
              </w:rPr>
              <w:t>py</w:t>
            </w:r>
          </w:p>
        </w:tc>
        <w:tc>
          <w:tcPr>
            <w:tcW w:w="840" w:type="dxa"/>
            <w:tcBorders>
              <w:top w:val="single" w:sz="4" w:space="0" w:color="auto"/>
              <w:left w:val="nil"/>
              <w:bottom w:val="double" w:sz="6" w:space="0" w:color="auto"/>
              <w:right w:val="nil"/>
            </w:tcBorders>
            <w:shd w:val="clear" w:color="auto" w:fill="auto"/>
            <w:noWrap/>
            <w:vAlign w:val="bottom"/>
            <w:hideMark/>
          </w:tcPr>
          <w:p w14:paraId="50826AF4"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b/>
                <w:bCs/>
                <w:color w:val="000000"/>
                <w:sz w:val="14"/>
                <w:szCs w:val="14"/>
              </w:rPr>
              <w:t>2026</w:t>
            </w:r>
            <w:r w:rsidRPr="003D6BFA">
              <w:rPr>
                <w:rFonts w:ascii="Times New Roman" w:eastAsia="Times New Roman" w:hAnsi="Times New Roman" w:cs="Times New Roman"/>
                <w:b/>
                <w:bCs/>
                <w:color w:val="000000"/>
                <w:sz w:val="14"/>
                <w:szCs w:val="14"/>
                <w:vertAlign w:val="superscript"/>
              </w:rPr>
              <w:t>py</w:t>
            </w:r>
          </w:p>
        </w:tc>
      </w:tr>
      <w:tr w:rsidR="003A766A" w:rsidRPr="003D6BFA" w14:paraId="3CEC75AE" w14:textId="77777777" w:rsidTr="00E63F4C">
        <w:trPr>
          <w:trHeight w:val="204"/>
        </w:trPr>
        <w:tc>
          <w:tcPr>
            <w:tcW w:w="1480" w:type="dxa"/>
            <w:tcBorders>
              <w:top w:val="nil"/>
              <w:left w:val="nil"/>
              <w:bottom w:val="nil"/>
              <w:right w:val="nil"/>
            </w:tcBorders>
            <w:shd w:val="clear" w:color="auto" w:fill="auto"/>
            <w:noWrap/>
            <w:vAlign w:val="bottom"/>
            <w:hideMark/>
          </w:tcPr>
          <w:p w14:paraId="64FA8D6D" w14:textId="77777777" w:rsidR="003A766A" w:rsidRPr="003D6BFA" w:rsidRDefault="003A766A" w:rsidP="00E63F4C">
            <w:pPr>
              <w:spacing w:after="0" w:line="240" w:lineRule="auto"/>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b/>
                <w:bCs/>
                <w:color w:val="000000"/>
                <w:sz w:val="14"/>
                <w:szCs w:val="14"/>
              </w:rPr>
              <w:t>PIB real (Base 2013)</w:t>
            </w:r>
          </w:p>
        </w:tc>
        <w:tc>
          <w:tcPr>
            <w:tcW w:w="1360" w:type="dxa"/>
            <w:tcBorders>
              <w:top w:val="nil"/>
              <w:left w:val="single" w:sz="4" w:space="0" w:color="auto"/>
              <w:bottom w:val="nil"/>
              <w:right w:val="nil"/>
            </w:tcBorders>
            <w:shd w:val="clear" w:color="auto" w:fill="auto"/>
            <w:noWrap/>
            <w:vAlign w:val="bottom"/>
            <w:hideMark/>
          </w:tcPr>
          <w:p w14:paraId="7B106EE1" w14:textId="77777777" w:rsidR="003A766A" w:rsidRPr="003D6BFA" w:rsidRDefault="003A766A" w:rsidP="00E63F4C">
            <w:pPr>
              <w:spacing w:after="0" w:line="240" w:lineRule="auto"/>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Porcentaje</w:t>
            </w:r>
          </w:p>
        </w:tc>
        <w:tc>
          <w:tcPr>
            <w:tcW w:w="840" w:type="dxa"/>
            <w:tcBorders>
              <w:top w:val="nil"/>
              <w:left w:val="single" w:sz="4" w:space="0" w:color="auto"/>
              <w:bottom w:val="nil"/>
              <w:right w:val="nil"/>
            </w:tcBorders>
            <w:shd w:val="clear" w:color="auto" w:fill="auto"/>
            <w:noWrap/>
            <w:vAlign w:val="bottom"/>
            <w:hideMark/>
          </w:tcPr>
          <w:p w14:paraId="407A973D"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-1.5</w:t>
            </w:r>
          </w:p>
        </w:tc>
        <w:tc>
          <w:tcPr>
            <w:tcW w:w="840" w:type="dxa"/>
            <w:tcBorders>
              <w:top w:val="nil"/>
              <w:left w:val="nil"/>
              <w:bottom w:val="nil"/>
              <w:right w:val="nil"/>
            </w:tcBorders>
            <w:shd w:val="clear" w:color="000000" w:fill="F2F2F2"/>
            <w:noWrap/>
            <w:vAlign w:val="bottom"/>
            <w:hideMark/>
          </w:tcPr>
          <w:p w14:paraId="3A08CF69"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color w:val="000000"/>
                <w:sz w:val="14"/>
                <w:szCs w:val="14"/>
              </w:rPr>
              <w:t>6.0</w:t>
            </w:r>
          </w:p>
        </w:tc>
        <w:tc>
          <w:tcPr>
            <w:tcW w:w="840" w:type="dxa"/>
            <w:tcBorders>
              <w:top w:val="nil"/>
              <w:left w:val="nil"/>
              <w:bottom w:val="nil"/>
              <w:right w:val="nil"/>
            </w:tcBorders>
            <w:shd w:val="clear" w:color="000000" w:fill="F2F2F2"/>
            <w:noWrap/>
            <w:vAlign w:val="bottom"/>
            <w:hideMark/>
          </w:tcPr>
          <w:p w14:paraId="7F09B739"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color w:val="000000"/>
                <w:sz w:val="14"/>
                <w:szCs w:val="14"/>
              </w:rPr>
              <w:t>5.5</w:t>
            </w:r>
          </w:p>
        </w:tc>
        <w:tc>
          <w:tcPr>
            <w:tcW w:w="840" w:type="dxa"/>
            <w:tcBorders>
              <w:top w:val="nil"/>
              <w:left w:val="nil"/>
              <w:bottom w:val="nil"/>
              <w:right w:val="nil"/>
            </w:tcBorders>
            <w:shd w:val="clear" w:color="000000" w:fill="F2F2F2"/>
            <w:noWrap/>
            <w:vAlign w:val="bottom"/>
            <w:hideMark/>
          </w:tcPr>
          <w:p w14:paraId="32C6FBDF"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4.7</w:t>
            </w:r>
          </w:p>
        </w:tc>
        <w:tc>
          <w:tcPr>
            <w:tcW w:w="840" w:type="dxa"/>
            <w:tcBorders>
              <w:top w:val="nil"/>
              <w:left w:val="nil"/>
              <w:bottom w:val="nil"/>
              <w:right w:val="nil"/>
            </w:tcBorders>
            <w:shd w:val="clear" w:color="000000" w:fill="F2F2F2"/>
            <w:noWrap/>
            <w:vAlign w:val="bottom"/>
            <w:hideMark/>
          </w:tcPr>
          <w:p w14:paraId="16B95EB9"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4.6</w:t>
            </w:r>
          </w:p>
        </w:tc>
        <w:tc>
          <w:tcPr>
            <w:tcW w:w="840" w:type="dxa"/>
            <w:tcBorders>
              <w:top w:val="nil"/>
              <w:left w:val="nil"/>
              <w:bottom w:val="nil"/>
              <w:right w:val="nil"/>
            </w:tcBorders>
            <w:shd w:val="clear" w:color="000000" w:fill="F2F2F2"/>
            <w:noWrap/>
            <w:vAlign w:val="bottom"/>
            <w:hideMark/>
          </w:tcPr>
          <w:p w14:paraId="6073A856"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4.6</w:t>
            </w:r>
          </w:p>
        </w:tc>
        <w:tc>
          <w:tcPr>
            <w:tcW w:w="840" w:type="dxa"/>
            <w:tcBorders>
              <w:top w:val="nil"/>
              <w:left w:val="nil"/>
              <w:bottom w:val="nil"/>
              <w:right w:val="nil"/>
            </w:tcBorders>
            <w:shd w:val="clear" w:color="000000" w:fill="F2F2F2"/>
            <w:noWrap/>
            <w:vAlign w:val="bottom"/>
            <w:hideMark/>
          </w:tcPr>
          <w:p w14:paraId="500DCFDF"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4.7</w:t>
            </w:r>
          </w:p>
        </w:tc>
      </w:tr>
      <w:tr w:rsidR="003A766A" w:rsidRPr="003D6BFA" w14:paraId="59180C3A" w14:textId="77777777" w:rsidTr="00E63F4C">
        <w:trPr>
          <w:trHeight w:val="192"/>
        </w:trPr>
        <w:tc>
          <w:tcPr>
            <w:tcW w:w="1480" w:type="dxa"/>
            <w:tcBorders>
              <w:top w:val="nil"/>
              <w:left w:val="nil"/>
              <w:bottom w:val="nil"/>
              <w:right w:val="nil"/>
            </w:tcBorders>
            <w:shd w:val="clear" w:color="auto" w:fill="auto"/>
            <w:noWrap/>
            <w:vAlign w:val="bottom"/>
            <w:hideMark/>
          </w:tcPr>
          <w:p w14:paraId="566B5B9E" w14:textId="77777777" w:rsidR="003A766A" w:rsidRPr="003D6BFA" w:rsidRDefault="003A766A" w:rsidP="00E63F4C">
            <w:pPr>
              <w:spacing w:after="0" w:line="240" w:lineRule="auto"/>
              <w:rPr>
                <w:rFonts w:ascii="Times New Roman" w:eastAsia="Times New Roman" w:hAnsi="Times New Roman" w:cs="Times New Roman"/>
                <w:color w:val="000000"/>
                <w:sz w:val="14"/>
                <w:szCs w:val="14"/>
              </w:rPr>
            </w:pPr>
            <w:r w:rsidRPr="003D6BFA">
              <w:rPr>
                <w:rFonts w:ascii="Times New Roman" w:eastAsia="Times New Roman" w:hAnsi="Times New Roman" w:cs="Times New Roman"/>
                <w:b/>
                <w:bCs/>
                <w:color w:val="000000"/>
                <w:sz w:val="14"/>
                <w:szCs w:val="14"/>
              </w:rPr>
              <w:t xml:space="preserve">PIB Nominal </w:t>
            </w:r>
          </w:p>
        </w:tc>
        <w:tc>
          <w:tcPr>
            <w:tcW w:w="1360" w:type="dxa"/>
            <w:tcBorders>
              <w:top w:val="nil"/>
              <w:left w:val="single" w:sz="4" w:space="0" w:color="auto"/>
              <w:bottom w:val="nil"/>
              <w:right w:val="nil"/>
            </w:tcBorders>
            <w:shd w:val="clear" w:color="auto" w:fill="auto"/>
            <w:noWrap/>
            <w:vAlign w:val="bottom"/>
            <w:hideMark/>
          </w:tcPr>
          <w:p w14:paraId="6FA69A35" w14:textId="77777777" w:rsidR="003A766A" w:rsidRPr="003D6BFA" w:rsidRDefault="003A766A" w:rsidP="00E63F4C">
            <w:pPr>
              <w:spacing w:after="0" w:line="240" w:lineRule="auto"/>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Porcentaje</w:t>
            </w:r>
          </w:p>
        </w:tc>
        <w:tc>
          <w:tcPr>
            <w:tcW w:w="840" w:type="dxa"/>
            <w:tcBorders>
              <w:top w:val="nil"/>
              <w:left w:val="single" w:sz="4" w:space="0" w:color="auto"/>
              <w:bottom w:val="nil"/>
              <w:right w:val="nil"/>
            </w:tcBorders>
            <w:shd w:val="clear" w:color="auto" w:fill="auto"/>
            <w:noWrap/>
            <w:vAlign w:val="bottom"/>
            <w:hideMark/>
          </w:tcPr>
          <w:p w14:paraId="6576CCFA" w14:textId="77777777" w:rsidR="003A766A" w:rsidRPr="003D6BFA" w:rsidRDefault="003A766A" w:rsidP="00E63F4C">
            <w:pPr>
              <w:spacing w:after="0" w:line="240" w:lineRule="auto"/>
              <w:jc w:val="center"/>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1.1</w:t>
            </w:r>
          </w:p>
        </w:tc>
        <w:tc>
          <w:tcPr>
            <w:tcW w:w="840" w:type="dxa"/>
            <w:tcBorders>
              <w:top w:val="nil"/>
              <w:left w:val="nil"/>
              <w:bottom w:val="nil"/>
              <w:right w:val="nil"/>
            </w:tcBorders>
            <w:shd w:val="clear" w:color="000000" w:fill="F2F2F2"/>
            <w:noWrap/>
            <w:vAlign w:val="bottom"/>
            <w:hideMark/>
          </w:tcPr>
          <w:p w14:paraId="19A2780D" w14:textId="77777777" w:rsidR="003A766A" w:rsidRPr="003D6BFA" w:rsidRDefault="003A766A" w:rsidP="00E63F4C">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9.7</w:t>
            </w:r>
          </w:p>
        </w:tc>
        <w:tc>
          <w:tcPr>
            <w:tcW w:w="840" w:type="dxa"/>
            <w:tcBorders>
              <w:top w:val="nil"/>
              <w:left w:val="nil"/>
              <w:bottom w:val="nil"/>
              <w:right w:val="nil"/>
            </w:tcBorders>
            <w:shd w:val="clear" w:color="000000" w:fill="F2F2F2"/>
            <w:noWrap/>
            <w:vAlign w:val="bottom"/>
            <w:hideMark/>
          </w:tcPr>
          <w:p w14:paraId="08E44D6A" w14:textId="77777777" w:rsidR="003A766A" w:rsidRPr="003D6BFA" w:rsidRDefault="003A766A" w:rsidP="00E63F4C">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8.8</w:t>
            </w:r>
          </w:p>
        </w:tc>
        <w:tc>
          <w:tcPr>
            <w:tcW w:w="840" w:type="dxa"/>
            <w:tcBorders>
              <w:top w:val="nil"/>
              <w:left w:val="nil"/>
              <w:bottom w:val="nil"/>
              <w:right w:val="nil"/>
            </w:tcBorders>
            <w:shd w:val="clear" w:color="000000" w:fill="F2F2F2"/>
            <w:noWrap/>
            <w:vAlign w:val="bottom"/>
            <w:hideMark/>
          </w:tcPr>
          <w:p w14:paraId="397A81F2" w14:textId="77777777" w:rsidR="003A766A" w:rsidRPr="003D6BFA" w:rsidRDefault="003A766A" w:rsidP="00E63F4C">
            <w:pPr>
              <w:spacing w:after="0" w:line="240" w:lineRule="auto"/>
              <w:jc w:val="center"/>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7.3</w:t>
            </w:r>
          </w:p>
        </w:tc>
        <w:tc>
          <w:tcPr>
            <w:tcW w:w="840" w:type="dxa"/>
            <w:tcBorders>
              <w:top w:val="nil"/>
              <w:left w:val="nil"/>
              <w:bottom w:val="nil"/>
              <w:right w:val="nil"/>
            </w:tcBorders>
            <w:shd w:val="clear" w:color="000000" w:fill="F2F2F2"/>
            <w:noWrap/>
            <w:vAlign w:val="bottom"/>
            <w:hideMark/>
          </w:tcPr>
          <w:p w14:paraId="2BD801B9" w14:textId="77777777" w:rsidR="003A766A" w:rsidRPr="003D6BFA" w:rsidRDefault="003A766A" w:rsidP="00E63F4C">
            <w:pPr>
              <w:spacing w:after="0" w:line="240" w:lineRule="auto"/>
              <w:jc w:val="center"/>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7.2</w:t>
            </w:r>
          </w:p>
        </w:tc>
        <w:tc>
          <w:tcPr>
            <w:tcW w:w="840" w:type="dxa"/>
            <w:tcBorders>
              <w:top w:val="nil"/>
              <w:left w:val="nil"/>
              <w:bottom w:val="nil"/>
              <w:right w:val="nil"/>
            </w:tcBorders>
            <w:shd w:val="clear" w:color="000000" w:fill="F2F2F2"/>
            <w:noWrap/>
            <w:vAlign w:val="bottom"/>
            <w:hideMark/>
          </w:tcPr>
          <w:p w14:paraId="18C6E3C3" w14:textId="77777777" w:rsidR="003A766A" w:rsidRPr="003D6BFA" w:rsidRDefault="003A766A" w:rsidP="00E63F4C">
            <w:pPr>
              <w:spacing w:after="0" w:line="240" w:lineRule="auto"/>
              <w:jc w:val="center"/>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7.2</w:t>
            </w:r>
          </w:p>
        </w:tc>
        <w:tc>
          <w:tcPr>
            <w:tcW w:w="840" w:type="dxa"/>
            <w:tcBorders>
              <w:top w:val="nil"/>
              <w:left w:val="nil"/>
              <w:bottom w:val="nil"/>
              <w:right w:val="nil"/>
            </w:tcBorders>
            <w:shd w:val="clear" w:color="000000" w:fill="F2F2F2"/>
            <w:noWrap/>
            <w:vAlign w:val="bottom"/>
            <w:hideMark/>
          </w:tcPr>
          <w:p w14:paraId="211C633E" w14:textId="77777777" w:rsidR="003A766A" w:rsidRPr="003D6BFA" w:rsidRDefault="003A766A" w:rsidP="00E63F4C">
            <w:pPr>
              <w:spacing w:after="0" w:line="240" w:lineRule="auto"/>
              <w:jc w:val="center"/>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7.4</w:t>
            </w:r>
          </w:p>
        </w:tc>
      </w:tr>
      <w:tr w:rsidR="003A766A" w:rsidRPr="003D6BFA" w14:paraId="15366F9D" w14:textId="77777777" w:rsidTr="00E63F4C">
        <w:trPr>
          <w:trHeight w:val="192"/>
        </w:trPr>
        <w:tc>
          <w:tcPr>
            <w:tcW w:w="1480" w:type="dxa"/>
            <w:tcBorders>
              <w:top w:val="nil"/>
              <w:left w:val="nil"/>
              <w:bottom w:val="nil"/>
              <w:right w:val="nil"/>
            </w:tcBorders>
            <w:shd w:val="clear" w:color="auto" w:fill="auto"/>
            <w:noWrap/>
            <w:vAlign w:val="bottom"/>
            <w:hideMark/>
          </w:tcPr>
          <w:p w14:paraId="0A99EA96" w14:textId="77777777" w:rsidR="003A766A" w:rsidRPr="003D6BFA" w:rsidRDefault="003A766A" w:rsidP="00E63F4C">
            <w:pPr>
              <w:spacing w:after="0" w:line="240" w:lineRule="auto"/>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b/>
                <w:bCs/>
                <w:color w:val="000000"/>
                <w:sz w:val="14"/>
                <w:szCs w:val="14"/>
              </w:rPr>
              <w:t>Importaciones FOB</w:t>
            </w:r>
          </w:p>
        </w:tc>
        <w:tc>
          <w:tcPr>
            <w:tcW w:w="1360" w:type="dxa"/>
            <w:tcBorders>
              <w:top w:val="nil"/>
              <w:left w:val="single" w:sz="4" w:space="0" w:color="auto"/>
              <w:bottom w:val="nil"/>
              <w:right w:val="nil"/>
            </w:tcBorders>
            <w:shd w:val="clear" w:color="auto" w:fill="auto"/>
            <w:noWrap/>
            <w:vAlign w:val="bottom"/>
            <w:hideMark/>
          </w:tcPr>
          <w:p w14:paraId="4DC923FB" w14:textId="77777777" w:rsidR="003A766A" w:rsidRPr="003D6BFA" w:rsidRDefault="003A766A" w:rsidP="00E63F4C">
            <w:pPr>
              <w:spacing w:after="0" w:line="240" w:lineRule="auto"/>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Porcentaje</w:t>
            </w:r>
          </w:p>
        </w:tc>
        <w:tc>
          <w:tcPr>
            <w:tcW w:w="840" w:type="dxa"/>
            <w:tcBorders>
              <w:top w:val="nil"/>
              <w:left w:val="single" w:sz="4" w:space="0" w:color="auto"/>
              <w:bottom w:val="nil"/>
              <w:right w:val="nil"/>
            </w:tcBorders>
            <w:shd w:val="clear" w:color="auto" w:fill="auto"/>
            <w:noWrap/>
            <w:vAlign w:val="bottom"/>
            <w:hideMark/>
          </w:tcPr>
          <w:p w14:paraId="38762375"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-8.1</w:t>
            </w:r>
          </w:p>
        </w:tc>
        <w:tc>
          <w:tcPr>
            <w:tcW w:w="840" w:type="dxa"/>
            <w:tcBorders>
              <w:top w:val="nil"/>
              <w:left w:val="nil"/>
              <w:bottom w:val="nil"/>
              <w:right w:val="nil"/>
            </w:tcBorders>
            <w:shd w:val="clear" w:color="000000" w:fill="F2F2F2"/>
            <w:noWrap/>
            <w:vAlign w:val="bottom"/>
            <w:hideMark/>
          </w:tcPr>
          <w:p w14:paraId="273B2017"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color w:val="000000"/>
                <w:sz w:val="14"/>
                <w:szCs w:val="14"/>
              </w:rPr>
              <w:t>21</w:t>
            </w:r>
            <w:r w:rsidRPr="003D6BFA">
              <w:rPr>
                <w:rFonts w:ascii="Times New Roman" w:eastAsia="Times New Roman" w:hAnsi="Times New Roman" w:cs="Times New Roman"/>
                <w:color w:val="000000"/>
                <w:sz w:val="14"/>
                <w:szCs w:val="14"/>
              </w:rPr>
              <w:t>.5</w:t>
            </w:r>
          </w:p>
        </w:tc>
        <w:tc>
          <w:tcPr>
            <w:tcW w:w="840" w:type="dxa"/>
            <w:tcBorders>
              <w:top w:val="nil"/>
              <w:left w:val="nil"/>
              <w:bottom w:val="nil"/>
              <w:right w:val="nil"/>
            </w:tcBorders>
            <w:shd w:val="clear" w:color="000000" w:fill="F2F2F2"/>
            <w:noWrap/>
            <w:vAlign w:val="bottom"/>
            <w:hideMark/>
          </w:tcPr>
          <w:p w14:paraId="224ACB01" w14:textId="77777777" w:rsidR="003A766A" w:rsidRPr="00FF5E6F" w:rsidRDefault="003A766A" w:rsidP="00E63F4C">
            <w:pPr>
              <w:spacing w:after="0" w:line="240" w:lineRule="auto"/>
              <w:jc w:val="center"/>
              <w:rPr>
                <w:rFonts w:ascii="Times New Roman" w:eastAsia="Times New Roman" w:hAnsi="Times New Roman" w:cs="Times New Roman"/>
                <w:color w:val="000000"/>
                <w:sz w:val="14"/>
                <w:szCs w:val="14"/>
              </w:rPr>
            </w:pPr>
            <w:r w:rsidRPr="00FF5E6F">
              <w:rPr>
                <w:rFonts w:ascii="Times New Roman" w:eastAsia="Times New Roman" w:hAnsi="Times New Roman" w:cs="Times New Roman"/>
                <w:color w:val="000000"/>
                <w:sz w:val="14"/>
                <w:szCs w:val="14"/>
              </w:rPr>
              <w:t>9.0</w:t>
            </w:r>
          </w:p>
        </w:tc>
        <w:tc>
          <w:tcPr>
            <w:tcW w:w="840" w:type="dxa"/>
            <w:tcBorders>
              <w:top w:val="nil"/>
              <w:left w:val="nil"/>
              <w:bottom w:val="nil"/>
              <w:right w:val="nil"/>
            </w:tcBorders>
            <w:shd w:val="clear" w:color="000000" w:fill="F2F2F2"/>
            <w:noWrap/>
            <w:vAlign w:val="bottom"/>
            <w:hideMark/>
          </w:tcPr>
          <w:p w14:paraId="2A5AA521"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9.</w:t>
            </w:r>
            <w:r>
              <w:rPr>
                <w:rFonts w:ascii="Times New Roman" w:eastAsia="Times New Roman" w:hAnsi="Times New Roman" w:cs="Times New Roman"/>
                <w:color w:val="000000"/>
                <w:sz w:val="14"/>
                <w:szCs w:val="14"/>
              </w:rPr>
              <w:t>5</w:t>
            </w:r>
          </w:p>
        </w:tc>
        <w:tc>
          <w:tcPr>
            <w:tcW w:w="840" w:type="dxa"/>
            <w:tcBorders>
              <w:top w:val="nil"/>
              <w:left w:val="nil"/>
              <w:bottom w:val="nil"/>
              <w:right w:val="nil"/>
            </w:tcBorders>
            <w:shd w:val="clear" w:color="000000" w:fill="F2F2F2"/>
            <w:noWrap/>
            <w:vAlign w:val="bottom"/>
            <w:hideMark/>
          </w:tcPr>
          <w:p w14:paraId="727DAC91"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color w:val="000000"/>
                <w:sz w:val="14"/>
                <w:szCs w:val="14"/>
              </w:rPr>
              <w:t>9.0</w:t>
            </w:r>
          </w:p>
        </w:tc>
        <w:tc>
          <w:tcPr>
            <w:tcW w:w="840" w:type="dxa"/>
            <w:tcBorders>
              <w:top w:val="nil"/>
              <w:left w:val="nil"/>
              <w:bottom w:val="nil"/>
              <w:right w:val="nil"/>
            </w:tcBorders>
            <w:shd w:val="clear" w:color="000000" w:fill="F2F2F2"/>
            <w:noWrap/>
            <w:vAlign w:val="bottom"/>
            <w:hideMark/>
          </w:tcPr>
          <w:p w14:paraId="5A521EC0"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8.</w:t>
            </w:r>
            <w:r>
              <w:rPr>
                <w:rFonts w:ascii="Times New Roman" w:eastAsia="Times New Roman" w:hAnsi="Times New Roman" w:cs="Times New Roman"/>
                <w:color w:val="000000"/>
                <w:sz w:val="14"/>
                <w:szCs w:val="14"/>
              </w:rPr>
              <w:t>5</w:t>
            </w:r>
          </w:p>
        </w:tc>
        <w:tc>
          <w:tcPr>
            <w:tcW w:w="840" w:type="dxa"/>
            <w:tcBorders>
              <w:top w:val="nil"/>
              <w:left w:val="nil"/>
              <w:bottom w:val="nil"/>
              <w:right w:val="nil"/>
            </w:tcBorders>
            <w:shd w:val="clear" w:color="000000" w:fill="F2F2F2"/>
            <w:noWrap/>
            <w:vAlign w:val="bottom"/>
            <w:hideMark/>
          </w:tcPr>
          <w:p w14:paraId="1B729121"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color w:val="000000"/>
                <w:sz w:val="14"/>
                <w:szCs w:val="14"/>
              </w:rPr>
              <w:t>9.0</w:t>
            </w:r>
          </w:p>
        </w:tc>
      </w:tr>
      <w:tr w:rsidR="003A766A" w:rsidRPr="003D6BFA" w14:paraId="0B856E30" w14:textId="77777777" w:rsidTr="00E63F4C">
        <w:trPr>
          <w:trHeight w:val="192"/>
        </w:trPr>
        <w:tc>
          <w:tcPr>
            <w:tcW w:w="1480" w:type="dxa"/>
            <w:tcBorders>
              <w:top w:val="nil"/>
              <w:left w:val="nil"/>
              <w:bottom w:val="nil"/>
              <w:right w:val="nil"/>
            </w:tcBorders>
            <w:shd w:val="clear" w:color="auto" w:fill="auto"/>
            <w:noWrap/>
            <w:vAlign w:val="bottom"/>
            <w:hideMark/>
          </w:tcPr>
          <w:p w14:paraId="64649E98" w14:textId="77777777" w:rsidR="003A766A" w:rsidRPr="003D6BFA" w:rsidRDefault="003A766A" w:rsidP="00E63F4C">
            <w:pPr>
              <w:spacing w:after="0" w:line="240" w:lineRule="auto"/>
              <w:rPr>
                <w:rFonts w:ascii="Times New Roman" w:eastAsia="Times New Roman" w:hAnsi="Times New Roman" w:cs="Times New Roman"/>
                <w:color w:val="000000"/>
                <w:sz w:val="14"/>
                <w:szCs w:val="14"/>
              </w:rPr>
            </w:pPr>
            <w:r w:rsidRPr="003D6BFA">
              <w:rPr>
                <w:rFonts w:ascii="Times New Roman" w:eastAsia="Times New Roman" w:hAnsi="Times New Roman" w:cs="Times New Roman"/>
                <w:b/>
                <w:bCs/>
                <w:color w:val="000000"/>
                <w:sz w:val="14"/>
                <w:szCs w:val="14"/>
              </w:rPr>
              <w:t>Exportaciones FOB</w:t>
            </w:r>
          </w:p>
        </w:tc>
        <w:tc>
          <w:tcPr>
            <w:tcW w:w="1360" w:type="dxa"/>
            <w:tcBorders>
              <w:top w:val="nil"/>
              <w:left w:val="single" w:sz="4" w:space="0" w:color="auto"/>
              <w:bottom w:val="nil"/>
              <w:right w:val="nil"/>
            </w:tcBorders>
            <w:shd w:val="clear" w:color="auto" w:fill="auto"/>
            <w:noWrap/>
            <w:vAlign w:val="bottom"/>
            <w:hideMark/>
          </w:tcPr>
          <w:p w14:paraId="03250EC8" w14:textId="77777777" w:rsidR="003A766A" w:rsidRPr="003D6BFA" w:rsidRDefault="003A766A" w:rsidP="00E63F4C">
            <w:pPr>
              <w:spacing w:after="0" w:line="240" w:lineRule="auto"/>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Porcentaje</w:t>
            </w:r>
          </w:p>
        </w:tc>
        <w:tc>
          <w:tcPr>
            <w:tcW w:w="840" w:type="dxa"/>
            <w:tcBorders>
              <w:top w:val="nil"/>
              <w:left w:val="single" w:sz="4" w:space="0" w:color="auto"/>
              <w:bottom w:val="nil"/>
              <w:right w:val="nil"/>
            </w:tcBorders>
            <w:shd w:val="clear" w:color="auto" w:fill="auto"/>
            <w:noWrap/>
            <w:vAlign w:val="bottom"/>
            <w:hideMark/>
          </w:tcPr>
          <w:p w14:paraId="3FB4AECD" w14:textId="77777777" w:rsidR="003A766A" w:rsidRPr="003D6BFA" w:rsidRDefault="003A766A" w:rsidP="00E63F4C">
            <w:pPr>
              <w:spacing w:after="0" w:line="240" w:lineRule="auto"/>
              <w:jc w:val="center"/>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6.0</w:t>
            </w:r>
          </w:p>
        </w:tc>
        <w:tc>
          <w:tcPr>
            <w:tcW w:w="840" w:type="dxa"/>
            <w:tcBorders>
              <w:top w:val="nil"/>
              <w:left w:val="nil"/>
              <w:bottom w:val="nil"/>
              <w:right w:val="nil"/>
            </w:tcBorders>
            <w:shd w:val="clear" w:color="000000" w:fill="F2F2F2"/>
            <w:noWrap/>
            <w:vAlign w:val="bottom"/>
            <w:hideMark/>
          </w:tcPr>
          <w:p w14:paraId="11A2C565" w14:textId="77777777" w:rsidR="003A766A" w:rsidRPr="003D6BFA" w:rsidRDefault="003A766A" w:rsidP="00E63F4C">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13</w:t>
            </w:r>
            <w:r w:rsidRPr="003D6BFA">
              <w:rPr>
                <w:rFonts w:ascii="Times New Roman" w:eastAsia="Times New Roman" w:hAnsi="Times New Roman" w:cs="Times New Roman"/>
                <w:color w:val="000000"/>
                <w:sz w:val="14"/>
                <w:szCs w:val="14"/>
              </w:rPr>
              <w:t>.5</w:t>
            </w:r>
          </w:p>
        </w:tc>
        <w:tc>
          <w:tcPr>
            <w:tcW w:w="840" w:type="dxa"/>
            <w:tcBorders>
              <w:top w:val="nil"/>
              <w:left w:val="nil"/>
              <w:bottom w:val="nil"/>
              <w:right w:val="nil"/>
            </w:tcBorders>
            <w:shd w:val="clear" w:color="000000" w:fill="F2F2F2"/>
            <w:noWrap/>
            <w:vAlign w:val="bottom"/>
            <w:hideMark/>
          </w:tcPr>
          <w:p w14:paraId="2C7B72C8" w14:textId="77777777" w:rsidR="003A766A" w:rsidRPr="003D6BFA" w:rsidRDefault="003A766A" w:rsidP="00E63F4C">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9</w:t>
            </w:r>
            <w:r w:rsidRPr="003D6BFA">
              <w:rPr>
                <w:rFonts w:ascii="Times New Roman" w:eastAsia="Times New Roman" w:hAnsi="Times New Roman" w:cs="Times New Roman"/>
                <w:color w:val="000000"/>
                <w:sz w:val="14"/>
                <w:szCs w:val="14"/>
              </w:rPr>
              <w:t>.0</w:t>
            </w:r>
          </w:p>
        </w:tc>
        <w:tc>
          <w:tcPr>
            <w:tcW w:w="840" w:type="dxa"/>
            <w:tcBorders>
              <w:top w:val="nil"/>
              <w:left w:val="nil"/>
              <w:bottom w:val="nil"/>
              <w:right w:val="nil"/>
            </w:tcBorders>
            <w:shd w:val="clear" w:color="000000" w:fill="F2F2F2"/>
            <w:noWrap/>
            <w:vAlign w:val="bottom"/>
            <w:hideMark/>
          </w:tcPr>
          <w:p w14:paraId="16EF3A40" w14:textId="77777777" w:rsidR="003A766A" w:rsidRPr="003D6BFA" w:rsidRDefault="003A766A" w:rsidP="00E63F4C">
            <w:pPr>
              <w:spacing w:after="0" w:line="240" w:lineRule="auto"/>
              <w:jc w:val="center"/>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7.5</w:t>
            </w:r>
          </w:p>
        </w:tc>
        <w:tc>
          <w:tcPr>
            <w:tcW w:w="840" w:type="dxa"/>
            <w:tcBorders>
              <w:top w:val="nil"/>
              <w:left w:val="nil"/>
              <w:bottom w:val="nil"/>
              <w:right w:val="nil"/>
            </w:tcBorders>
            <w:shd w:val="clear" w:color="000000" w:fill="F2F2F2"/>
            <w:noWrap/>
            <w:vAlign w:val="bottom"/>
            <w:hideMark/>
          </w:tcPr>
          <w:p w14:paraId="729A69B0" w14:textId="77777777" w:rsidR="003A766A" w:rsidRPr="003D6BFA" w:rsidRDefault="003A766A" w:rsidP="00E63F4C">
            <w:pPr>
              <w:spacing w:after="0" w:line="240" w:lineRule="auto"/>
              <w:jc w:val="center"/>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7.0</w:t>
            </w:r>
          </w:p>
        </w:tc>
        <w:tc>
          <w:tcPr>
            <w:tcW w:w="840" w:type="dxa"/>
            <w:tcBorders>
              <w:top w:val="nil"/>
              <w:left w:val="nil"/>
              <w:bottom w:val="nil"/>
              <w:right w:val="nil"/>
            </w:tcBorders>
            <w:shd w:val="clear" w:color="000000" w:fill="F2F2F2"/>
            <w:noWrap/>
            <w:vAlign w:val="bottom"/>
            <w:hideMark/>
          </w:tcPr>
          <w:p w14:paraId="28D566DF" w14:textId="77777777" w:rsidR="003A766A" w:rsidRPr="003D6BFA" w:rsidRDefault="003A766A" w:rsidP="00E63F4C">
            <w:pPr>
              <w:spacing w:after="0" w:line="240" w:lineRule="auto"/>
              <w:jc w:val="center"/>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6.5</w:t>
            </w:r>
          </w:p>
        </w:tc>
        <w:tc>
          <w:tcPr>
            <w:tcW w:w="840" w:type="dxa"/>
            <w:tcBorders>
              <w:top w:val="nil"/>
              <w:left w:val="nil"/>
              <w:bottom w:val="nil"/>
              <w:right w:val="nil"/>
            </w:tcBorders>
            <w:shd w:val="clear" w:color="000000" w:fill="F2F2F2"/>
            <w:noWrap/>
            <w:vAlign w:val="bottom"/>
            <w:hideMark/>
          </w:tcPr>
          <w:p w14:paraId="1DD83C13" w14:textId="77777777" w:rsidR="003A766A" w:rsidRPr="003D6BFA" w:rsidRDefault="003A766A" w:rsidP="00E63F4C">
            <w:pPr>
              <w:spacing w:after="0" w:line="240" w:lineRule="auto"/>
              <w:jc w:val="center"/>
              <w:rPr>
                <w:rFonts w:ascii="Times New Roman" w:eastAsia="Times New Roman" w:hAnsi="Times New Roman" w:cs="Times New Roman"/>
                <w:color w:val="000000"/>
                <w:sz w:val="14"/>
                <w:szCs w:val="14"/>
              </w:rPr>
            </w:pPr>
            <w:r w:rsidRPr="003D6BFA">
              <w:rPr>
                <w:rFonts w:ascii="Times New Roman" w:eastAsia="Times New Roman" w:hAnsi="Times New Roman" w:cs="Times New Roman"/>
                <w:color w:val="000000"/>
                <w:sz w:val="14"/>
                <w:szCs w:val="14"/>
              </w:rPr>
              <w:t>7.0</w:t>
            </w:r>
          </w:p>
        </w:tc>
      </w:tr>
      <w:tr w:rsidR="003A766A" w:rsidRPr="003D6BFA" w14:paraId="5F1D56E3" w14:textId="77777777" w:rsidTr="00E63F4C">
        <w:trPr>
          <w:trHeight w:val="192"/>
        </w:trPr>
        <w:tc>
          <w:tcPr>
            <w:tcW w:w="1480" w:type="dxa"/>
            <w:tcBorders>
              <w:top w:val="nil"/>
              <w:left w:val="nil"/>
              <w:bottom w:val="single" w:sz="4" w:space="0" w:color="auto"/>
              <w:right w:val="nil"/>
            </w:tcBorders>
            <w:shd w:val="clear" w:color="auto" w:fill="auto"/>
            <w:noWrap/>
            <w:vAlign w:val="bottom"/>
            <w:hideMark/>
          </w:tcPr>
          <w:p w14:paraId="18E0CD47" w14:textId="77777777" w:rsidR="003A766A" w:rsidRPr="003D6BFA" w:rsidRDefault="003A766A" w:rsidP="00E63F4C">
            <w:pPr>
              <w:spacing w:after="0" w:line="240" w:lineRule="auto"/>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Inflación</w:t>
            </w:r>
          </w:p>
        </w:tc>
        <w:tc>
          <w:tcPr>
            <w:tcW w:w="1360" w:type="dxa"/>
            <w:tcBorders>
              <w:top w:val="nil"/>
              <w:left w:val="single" w:sz="4" w:space="0" w:color="auto"/>
              <w:bottom w:val="single" w:sz="4" w:space="0" w:color="auto"/>
              <w:right w:val="nil"/>
            </w:tcBorders>
            <w:shd w:val="clear" w:color="auto" w:fill="auto"/>
            <w:noWrap/>
            <w:vAlign w:val="bottom"/>
            <w:hideMark/>
          </w:tcPr>
          <w:p w14:paraId="032FEC39" w14:textId="77777777" w:rsidR="003A766A" w:rsidRPr="003D6BFA" w:rsidRDefault="003A766A" w:rsidP="00E63F4C">
            <w:pPr>
              <w:spacing w:after="0" w:line="240" w:lineRule="auto"/>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Porcentaje</w:t>
            </w:r>
          </w:p>
        </w:tc>
        <w:tc>
          <w:tcPr>
            <w:tcW w:w="840" w:type="dxa"/>
            <w:tcBorders>
              <w:top w:val="nil"/>
              <w:left w:val="single" w:sz="4" w:space="0" w:color="auto"/>
              <w:bottom w:val="single" w:sz="4" w:space="0" w:color="auto"/>
              <w:right w:val="nil"/>
            </w:tcBorders>
            <w:shd w:val="clear" w:color="auto" w:fill="auto"/>
            <w:noWrap/>
            <w:vAlign w:val="bottom"/>
            <w:hideMark/>
          </w:tcPr>
          <w:p w14:paraId="6085E87F"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4.8</w:t>
            </w:r>
          </w:p>
        </w:tc>
        <w:tc>
          <w:tcPr>
            <w:tcW w:w="840" w:type="dxa"/>
            <w:tcBorders>
              <w:top w:val="nil"/>
              <w:left w:val="nil"/>
              <w:bottom w:val="single" w:sz="4" w:space="0" w:color="auto"/>
              <w:right w:val="nil"/>
            </w:tcBorders>
            <w:shd w:val="clear" w:color="000000" w:fill="F2F2F2"/>
            <w:noWrap/>
            <w:vAlign w:val="bottom"/>
            <w:hideMark/>
          </w:tcPr>
          <w:p w14:paraId="0C354D46"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5.0</w:t>
            </w:r>
          </w:p>
        </w:tc>
        <w:tc>
          <w:tcPr>
            <w:tcW w:w="840" w:type="dxa"/>
            <w:tcBorders>
              <w:top w:val="nil"/>
              <w:left w:val="nil"/>
              <w:bottom w:val="single" w:sz="4" w:space="0" w:color="auto"/>
              <w:right w:val="nil"/>
            </w:tcBorders>
            <w:shd w:val="clear" w:color="000000" w:fill="F2F2F2"/>
            <w:noWrap/>
            <w:vAlign w:val="bottom"/>
            <w:hideMark/>
          </w:tcPr>
          <w:p w14:paraId="73E22794"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5.0</w:t>
            </w:r>
          </w:p>
        </w:tc>
        <w:tc>
          <w:tcPr>
            <w:tcW w:w="840" w:type="dxa"/>
            <w:tcBorders>
              <w:top w:val="nil"/>
              <w:left w:val="nil"/>
              <w:bottom w:val="single" w:sz="4" w:space="0" w:color="auto"/>
              <w:right w:val="nil"/>
            </w:tcBorders>
            <w:shd w:val="clear" w:color="000000" w:fill="F2F2F2"/>
            <w:noWrap/>
            <w:vAlign w:val="bottom"/>
            <w:hideMark/>
          </w:tcPr>
          <w:p w14:paraId="46155EF6"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5.0</w:t>
            </w:r>
          </w:p>
        </w:tc>
        <w:tc>
          <w:tcPr>
            <w:tcW w:w="840" w:type="dxa"/>
            <w:tcBorders>
              <w:top w:val="nil"/>
              <w:left w:val="nil"/>
              <w:bottom w:val="single" w:sz="4" w:space="0" w:color="auto"/>
              <w:right w:val="nil"/>
            </w:tcBorders>
            <w:shd w:val="clear" w:color="000000" w:fill="F2F2F2"/>
            <w:noWrap/>
            <w:vAlign w:val="bottom"/>
            <w:hideMark/>
          </w:tcPr>
          <w:p w14:paraId="3CE8E97F"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5.0</w:t>
            </w:r>
          </w:p>
        </w:tc>
        <w:tc>
          <w:tcPr>
            <w:tcW w:w="840" w:type="dxa"/>
            <w:tcBorders>
              <w:top w:val="nil"/>
              <w:left w:val="nil"/>
              <w:bottom w:val="single" w:sz="4" w:space="0" w:color="auto"/>
              <w:right w:val="nil"/>
            </w:tcBorders>
            <w:shd w:val="clear" w:color="000000" w:fill="F2F2F2"/>
            <w:noWrap/>
            <w:vAlign w:val="bottom"/>
            <w:hideMark/>
          </w:tcPr>
          <w:p w14:paraId="4E5276B7"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5.0</w:t>
            </w:r>
          </w:p>
        </w:tc>
        <w:tc>
          <w:tcPr>
            <w:tcW w:w="840" w:type="dxa"/>
            <w:tcBorders>
              <w:top w:val="nil"/>
              <w:left w:val="nil"/>
              <w:bottom w:val="single" w:sz="4" w:space="0" w:color="auto"/>
              <w:right w:val="nil"/>
            </w:tcBorders>
            <w:shd w:val="clear" w:color="000000" w:fill="F2F2F2"/>
            <w:noWrap/>
            <w:vAlign w:val="bottom"/>
            <w:hideMark/>
          </w:tcPr>
          <w:p w14:paraId="4CA1328E" w14:textId="77777777" w:rsidR="003A766A" w:rsidRPr="003D6BFA" w:rsidRDefault="003A766A" w:rsidP="00E63F4C">
            <w:pPr>
              <w:spacing w:after="0" w:line="240" w:lineRule="auto"/>
              <w:jc w:val="center"/>
              <w:rPr>
                <w:rFonts w:ascii="Times New Roman" w:eastAsia="Times New Roman" w:hAnsi="Times New Roman" w:cs="Times New Roman"/>
                <w:b/>
                <w:bCs/>
                <w:color w:val="000000"/>
                <w:sz w:val="14"/>
                <w:szCs w:val="14"/>
              </w:rPr>
            </w:pPr>
            <w:r w:rsidRPr="003D6BFA">
              <w:rPr>
                <w:rFonts w:ascii="Times New Roman" w:eastAsia="Times New Roman" w:hAnsi="Times New Roman" w:cs="Times New Roman"/>
                <w:color w:val="000000"/>
                <w:sz w:val="14"/>
                <w:szCs w:val="14"/>
              </w:rPr>
              <w:t>5.0</w:t>
            </w:r>
          </w:p>
        </w:tc>
      </w:tr>
    </w:tbl>
    <w:p w14:paraId="039B327D" w14:textId="77777777" w:rsidR="003A766A" w:rsidRPr="003D6BFA" w:rsidRDefault="003A766A" w:rsidP="003A766A">
      <w:pPr>
        <w:spacing w:after="0" w:line="240" w:lineRule="auto"/>
        <w:rPr>
          <w:rFonts w:ascii="Times New Roman" w:hAnsi="Times New Roman" w:cs="Times New Roman"/>
          <w:sz w:val="14"/>
          <w:szCs w:val="14"/>
        </w:rPr>
      </w:pPr>
      <w:r w:rsidRPr="003D6BFA">
        <w:rPr>
          <w:rFonts w:ascii="Times New Roman" w:hAnsi="Times New Roman" w:cs="Times New Roman"/>
          <w:sz w:val="14"/>
          <w:szCs w:val="14"/>
        </w:rPr>
        <w:t xml:space="preserve">Fuente: </w:t>
      </w:r>
      <w:r>
        <w:rPr>
          <w:rFonts w:ascii="Times New Roman" w:hAnsi="Times New Roman" w:cs="Times New Roman"/>
          <w:sz w:val="14"/>
          <w:szCs w:val="14"/>
        </w:rPr>
        <w:t>Banco de Guatemala.</w:t>
      </w:r>
    </w:p>
    <w:p w14:paraId="37A83A38" w14:textId="77777777" w:rsidR="003D6BFA" w:rsidRPr="00394005" w:rsidRDefault="003D6BFA" w:rsidP="003D6BFA">
      <w:pPr>
        <w:spacing w:after="0" w:line="240" w:lineRule="auto"/>
        <w:rPr>
          <w:rFonts w:ascii="Times New Roman" w:hAnsi="Times New Roman" w:cs="Times New Roman"/>
          <w:sz w:val="14"/>
          <w:szCs w:val="14"/>
        </w:rPr>
      </w:pPr>
      <w:r w:rsidRPr="00394005">
        <w:rPr>
          <w:rFonts w:ascii="Times New Roman" w:hAnsi="Times New Roman" w:cs="Times New Roman"/>
          <w:sz w:val="14"/>
          <w:szCs w:val="14"/>
        </w:rPr>
        <w:t>e: Estimación</w:t>
      </w:r>
    </w:p>
    <w:p w14:paraId="4BCE53DB" w14:textId="77777777" w:rsidR="003D6BFA" w:rsidRPr="00394005" w:rsidRDefault="003D6BFA" w:rsidP="003D6BFA">
      <w:pPr>
        <w:spacing w:after="0" w:line="240" w:lineRule="auto"/>
        <w:rPr>
          <w:rFonts w:ascii="Times New Roman" w:hAnsi="Times New Roman" w:cs="Times New Roman"/>
          <w:sz w:val="14"/>
          <w:szCs w:val="14"/>
        </w:rPr>
      </w:pPr>
      <w:r w:rsidRPr="00394005">
        <w:rPr>
          <w:rFonts w:ascii="Times New Roman" w:hAnsi="Times New Roman" w:cs="Times New Roman"/>
          <w:sz w:val="14"/>
          <w:szCs w:val="14"/>
        </w:rPr>
        <w:t>py: Proyección</w:t>
      </w:r>
    </w:p>
    <w:p w14:paraId="4573C669" w14:textId="77777777" w:rsidR="003D6BFA" w:rsidRPr="00394005" w:rsidRDefault="003D6BFA" w:rsidP="002C7396">
      <w:pPr>
        <w:spacing w:after="0" w:line="240" w:lineRule="auto"/>
        <w:jc w:val="both"/>
        <w:rPr>
          <w:lang w:eastAsia="es-ES"/>
        </w:rPr>
      </w:pPr>
    </w:p>
    <w:p w14:paraId="058F796C" w14:textId="77777777" w:rsidR="003F538D" w:rsidRPr="00394005" w:rsidRDefault="00CF3121" w:rsidP="001032E7">
      <w:pPr>
        <w:pStyle w:val="Sinespaciado"/>
        <w:numPr>
          <w:ilvl w:val="0"/>
          <w:numId w:val="7"/>
        </w:numPr>
        <w:ind w:left="284" w:hanging="426"/>
        <w:outlineLvl w:val="0"/>
        <w:rPr>
          <w:rFonts w:ascii="Times New Roman" w:hAnsi="Times New Roman" w:cs="Times New Roman"/>
          <w:b/>
          <w:sz w:val="28"/>
        </w:rPr>
      </w:pPr>
      <w:bookmarkStart w:id="576" w:name="_Toc16155013"/>
      <w:bookmarkStart w:id="577" w:name="_Toc49939447"/>
      <w:bookmarkStart w:id="578" w:name="_Toc81571878"/>
      <w:bookmarkEnd w:id="4"/>
      <w:r w:rsidRPr="00394005">
        <w:rPr>
          <w:rFonts w:ascii="Times New Roman" w:hAnsi="Times New Roman" w:cs="Times New Roman"/>
          <w:b/>
          <w:sz w:val="28"/>
        </w:rPr>
        <w:t>Marco Fiscal de Mediano Plazo</w:t>
      </w:r>
      <w:bookmarkEnd w:id="576"/>
      <w:bookmarkEnd w:id="577"/>
      <w:bookmarkEnd w:id="578"/>
    </w:p>
    <w:p w14:paraId="6C31DE74" w14:textId="77777777" w:rsidR="00CF3121" w:rsidRPr="00394005" w:rsidRDefault="00CF3121" w:rsidP="0080400F">
      <w:pPr>
        <w:pStyle w:val="Sinespaciado"/>
        <w:jc w:val="both"/>
        <w:rPr>
          <w:rFonts w:ascii="Times New Roman" w:hAnsi="Times New Roman" w:cs="Times New Roman"/>
          <w:b/>
        </w:rPr>
      </w:pPr>
    </w:p>
    <w:p w14:paraId="502FE726" w14:textId="288436C0" w:rsidR="00253484" w:rsidRPr="00394005" w:rsidRDefault="00253484" w:rsidP="00471B17">
      <w:pPr>
        <w:pStyle w:val="Sinespaciado"/>
        <w:jc w:val="both"/>
        <w:rPr>
          <w:rFonts w:ascii="Times New Roman" w:hAnsi="Times New Roman" w:cs="Times New Roman"/>
        </w:rPr>
      </w:pPr>
      <w:r w:rsidRPr="00394005">
        <w:rPr>
          <w:rFonts w:ascii="Times New Roman" w:hAnsi="Times New Roman" w:cs="Times New Roman"/>
        </w:rPr>
        <w:t>En es</w:t>
      </w:r>
      <w:r w:rsidR="001A2F44" w:rsidRPr="00394005">
        <w:rPr>
          <w:rFonts w:ascii="Times New Roman" w:hAnsi="Times New Roman" w:cs="Times New Roman"/>
        </w:rPr>
        <w:t>t</w:t>
      </w:r>
      <w:r w:rsidRPr="00394005">
        <w:rPr>
          <w:rFonts w:ascii="Times New Roman" w:hAnsi="Times New Roman" w:cs="Times New Roman"/>
        </w:rPr>
        <w:t xml:space="preserve">e apartado, es relevante previamente </w:t>
      </w:r>
      <w:r w:rsidR="00CF3121" w:rsidRPr="00394005">
        <w:rPr>
          <w:rFonts w:ascii="Times New Roman" w:hAnsi="Times New Roman" w:cs="Times New Roman"/>
        </w:rPr>
        <w:t xml:space="preserve">conocer la evolución y comportamiento de la política fiscal en los últimos </w:t>
      </w:r>
      <w:r w:rsidR="00741999" w:rsidRPr="00394005">
        <w:rPr>
          <w:rFonts w:ascii="Times New Roman" w:hAnsi="Times New Roman" w:cs="Times New Roman"/>
        </w:rPr>
        <w:t xml:space="preserve">dos </w:t>
      </w:r>
      <w:r w:rsidR="00CF3121" w:rsidRPr="00394005">
        <w:rPr>
          <w:rFonts w:ascii="Times New Roman" w:hAnsi="Times New Roman" w:cs="Times New Roman"/>
        </w:rPr>
        <w:t>años</w:t>
      </w:r>
      <w:r w:rsidR="00741999" w:rsidRPr="00394005">
        <w:rPr>
          <w:rFonts w:ascii="Times New Roman" w:hAnsi="Times New Roman" w:cs="Times New Roman"/>
        </w:rPr>
        <w:t xml:space="preserve"> (2019-2020)</w:t>
      </w:r>
      <w:r w:rsidR="00CF3121" w:rsidRPr="00394005">
        <w:rPr>
          <w:rFonts w:ascii="Times New Roman" w:hAnsi="Times New Roman" w:cs="Times New Roman"/>
        </w:rPr>
        <w:t xml:space="preserve">, para determinar </w:t>
      </w:r>
      <w:r w:rsidR="00741999" w:rsidRPr="00394005">
        <w:rPr>
          <w:rFonts w:ascii="Times New Roman" w:hAnsi="Times New Roman" w:cs="Times New Roman"/>
        </w:rPr>
        <w:t>el comportamiento</w:t>
      </w:r>
      <w:r w:rsidR="00CF3121" w:rsidRPr="00394005">
        <w:rPr>
          <w:rFonts w:ascii="Times New Roman" w:hAnsi="Times New Roman" w:cs="Times New Roman"/>
        </w:rPr>
        <w:t xml:space="preserve"> </w:t>
      </w:r>
      <w:r w:rsidR="00741999" w:rsidRPr="00394005">
        <w:rPr>
          <w:rFonts w:ascii="Times New Roman" w:hAnsi="Times New Roman" w:cs="Times New Roman"/>
        </w:rPr>
        <w:t xml:space="preserve">futuro </w:t>
      </w:r>
      <w:r w:rsidR="00CF3121" w:rsidRPr="00394005">
        <w:rPr>
          <w:rFonts w:ascii="Times New Roman" w:hAnsi="Times New Roman" w:cs="Times New Roman"/>
        </w:rPr>
        <w:t xml:space="preserve">de las variables fiscales, </w:t>
      </w:r>
      <w:r w:rsidR="00741999" w:rsidRPr="00394005">
        <w:rPr>
          <w:rFonts w:ascii="Times New Roman" w:hAnsi="Times New Roman" w:cs="Times New Roman"/>
        </w:rPr>
        <w:t>tomando en consideración el escenario atípico que se planteó en 2020 derivado de la crisis sanitaria y econ</w:t>
      </w:r>
      <w:r w:rsidR="00626E63" w:rsidRPr="00394005">
        <w:rPr>
          <w:rFonts w:ascii="Times New Roman" w:hAnsi="Times New Roman" w:cs="Times New Roman"/>
        </w:rPr>
        <w:t xml:space="preserve">ómica causada por el COVID-19, </w:t>
      </w:r>
      <w:r w:rsidR="00CF3121" w:rsidRPr="00394005">
        <w:rPr>
          <w:rFonts w:ascii="Times New Roman" w:hAnsi="Times New Roman" w:cs="Times New Roman"/>
        </w:rPr>
        <w:t>así como las acciones de política</w:t>
      </w:r>
      <w:r w:rsidR="00626E63" w:rsidRPr="00394005">
        <w:rPr>
          <w:rFonts w:ascii="Times New Roman" w:hAnsi="Times New Roman" w:cs="Times New Roman"/>
        </w:rPr>
        <w:t>, tanto fiscal como monetarias,</w:t>
      </w:r>
      <w:r w:rsidR="00CF3121" w:rsidRPr="00394005">
        <w:rPr>
          <w:rFonts w:ascii="Times New Roman" w:hAnsi="Times New Roman" w:cs="Times New Roman"/>
        </w:rPr>
        <w:t xml:space="preserve"> que </w:t>
      </w:r>
      <w:r w:rsidR="008B3E6D" w:rsidRPr="00394005">
        <w:rPr>
          <w:rFonts w:ascii="Times New Roman" w:hAnsi="Times New Roman" w:cs="Times New Roman"/>
        </w:rPr>
        <w:t>fue necesario realizar</w:t>
      </w:r>
      <w:r w:rsidR="00626E63" w:rsidRPr="00394005">
        <w:rPr>
          <w:rFonts w:ascii="Times New Roman" w:hAnsi="Times New Roman" w:cs="Times New Roman"/>
        </w:rPr>
        <w:t xml:space="preserve"> para </w:t>
      </w:r>
      <w:r w:rsidR="008B3E6D" w:rsidRPr="00394005">
        <w:rPr>
          <w:rFonts w:ascii="Times New Roman" w:hAnsi="Times New Roman" w:cs="Times New Roman"/>
        </w:rPr>
        <w:t>mitigar el</w:t>
      </w:r>
      <w:r w:rsidR="00626E63" w:rsidRPr="00394005">
        <w:rPr>
          <w:rFonts w:ascii="Times New Roman" w:hAnsi="Times New Roman" w:cs="Times New Roman"/>
        </w:rPr>
        <w:t xml:space="preserve"> impacto derivado de los efectos negativos de la pandemia </w:t>
      </w:r>
      <w:r w:rsidR="00CF3121" w:rsidRPr="00394005">
        <w:rPr>
          <w:rFonts w:ascii="Times New Roman" w:hAnsi="Times New Roman" w:cs="Times New Roman"/>
        </w:rPr>
        <w:t>y</w:t>
      </w:r>
      <w:r w:rsidR="00626E63" w:rsidRPr="00394005">
        <w:rPr>
          <w:rFonts w:ascii="Times New Roman" w:hAnsi="Times New Roman" w:cs="Times New Roman"/>
        </w:rPr>
        <w:t xml:space="preserve"> su </w:t>
      </w:r>
      <w:r w:rsidR="00CF3121" w:rsidRPr="00394005">
        <w:rPr>
          <w:rFonts w:ascii="Times New Roman" w:hAnsi="Times New Roman" w:cs="Times New Roman"/>
        </w:rPr>
        <w:t>efecto de transmisión en la economía nacional.</w:t>
      </w:r>
      <w:r w:rsidR="00626E63" w:rsidRPr="00394005">
        <w:rPr>
          <w:rFonts w:ascii="Times New Roman" w:hAnsi="Times New Roman" w:cs="Times New Roman"/>
        </w:rPr>
        <w:t xml:space="preserve"> </w:t>
      </w:r>
      <w:r w:rsidR="00CF3121" w:rsidRPr="00394005">
        <w:rPr>
          <w:rFonts w:ascii="Times New Roman" w:hAnsi="Times New Roman" w:cs="Times New Roman"/>
        </w:rPr>
        <w:t>Además, es importante conocer también como ha incidido el desempeño de la actividad económica en las variables fiscales</w:t>
      </w:r>
      <w:r w:rsidR="003E04DD" w:rsidRPr="00394005">
        <w:rPr>
          <w:rFonts w:ascii="Times New Roman" w:hAnsi="Times New Roman" w:cs="Times New Roman"/>
        </w:rPr>
        <w:t xml:space="preserve">, -tomando en consideración la fragilidad del proceso de recuperación económica-, </w:t>
      </w:r>
      <w:r w:rsidR="00CF3121" w:rsidRPr="00394005">
        <w:rPr>
          <w:rFonts w:ascii="Times New Roman" w:hAnsi="Times New Roman" w:cs="Times New Roman"/>
        </w:rPr>
        <w:t>pri</w:t>
      </w:r>
      <w:r w:rsidR="00626E63" w:rsidRPr="00394005">
        <w:rPr>
          <w:rFonts w:ascii="Times New Roman" w:hAnsi="Times New Roman" w:cs="Times New Roman"/>
        </w:rPr>
        <w:t>n</w:t>
      </w:r>
      <w:r w:rsidR="00CF3121" w:rsidRPr="00394005">
        <w:rPr>
          <w:rFonts w:ascii="Times New Roman" w:hAnsi="Times New Roman" w:cs="Times New Roman"/>
        </w:rPr>
        <w:t>cipalmente en los ingresos tributarios y lo que</w:t>
      </w:r>
      <w:r w:rsidR="00966F6B" w:rsidRPr="00394005">
        <w:rPr>
          <w:rFonts w:ascii="Times New Roman" w:hAnsi="Times New Roman" w:cs="Times New Roman"/>
        </w:rPr>
        <w:t xml:space="preserve"> la administración tributaria ha hecho para incidir en el nivel de recaudación que tiene un</w:t>
      </w:r>
      <w:r w:rsidR="00353326">
        <w:rPr>
          <w:rFonts w:ascii="Times New Roman" w:hAnsi="Times New Roman" w:cs="Times New Roman"/>
        </w:rPr>
        <w:t>a</w:t>
      </w:r>
      <w:r w:rsidR="00966F6B" w:rsidRPr="00394005">
        <w:rPr>
          <w:rFonts w:ascii="Times New Roman" w:hAnsi="Times New Roman" w:cs="Times New Roman"/>
        </w:rPr>
        <w:t xml:space="preserve"> </w:t>
      </w:r>
      <w:r w:rsidR="00353326">
        <w:rPr>
          <w:rFonts w:ascii="Times New Roman" w:hAnsi="Times New Roman" w:cs="Times New Roman"/>
        </w:rPr>
        <w:t>incidencia directa</w:t>
      </w:r>
      <w:r w:rsidR="00966F6B" w:rsidRPr="00394005">
        <w:rPr>
          <w:rFonts w:ascii="Times New Roman" w:hAnsi="Times New Roman" w:cs="Times New Roman"/>
        </w:rPr>
        <w:t xml:space="preserve"> en la ejecución de gasto público</w:t>
      </w:r>
      <w:r w:rsidR="00353326">
        <w:rPr>
          <w:rFonts w:ascii="Times New Roman" w:hAnsi="Times New Roman" w:cs="Times New Roman"/>
        </w:rPr>
        <w:t>,</w:t>
      </w:r>
      <w:r w:rsidR="00966F6B" w:rsidRPr="00394005">
        <w:rPr>
          <w:rFonts w:ascii="Times New Roman" w:hAnsi="Times New Roman" w:cs="Times New Roman"/>
        </w:rPr>
        <w:t xml:space="preserve"> </w:t>
      </w:r>
      <w:r w:rsidR="00353326">
        <w:rPr>
          <w:rFonts w:ascii="Times New Roman" w:hAnsi="Times New Roman" w:cs="Times New Roman"/>
        </w:rPr>
        <w:t>repercutiendo</w:t>
      </w:r>
      <w:r w:rsidR="00966F6B" w:rsidRPr="00394005">
        <w:rPr>
          <w:rFonts w:ascii="Times New Roman" w:hAnsi="Times New Roman" w:cs="Times New Roman"/>
        </w:rPr>
        <w:t xml:space="preserve"> en conjunto sobre el resultado fiscal y el endeudamiento público. </w:t>
      </w:r>
    </w:p>
    <w:p w14:paraId="58C382EE" w14:textId="77777777" w:rsidR="00253484" w:rsidRPr="00394005" w:rsidRDefault="00253484" w:rsidP="00471B17">
      <w:pPr>
        <w:pStyle w:val="Sinespaciado"/>
        <w:jc w:val="both"/>
        <w:rPr>
          <w:rFonts w:ascii="Times New Roman" w:hAnsi="Times New Roman" w:cs="Times New Roman"/>
        </w:rPr>
      </w:pPr>
    </w:p>
    <w:p w14:paraId="5F82D467" w14:textId="77777777" w:rsidR="00CF3121" w:rsidRPr="00394005" w:rsidRDefault="00253484" w:rsidP="00471B17">
      <w:pPr>
        <w:pStyle w:val="Sinespaciado"/>
        <w:jc w:val="both"/>
        <w:rPr>
          <w:rFonts w:ascii="Times New Roman" w:hAnsi="Times New Roman" w:cs="Times New Roman"/>
        </w:rPr>
      </w:pPr>
      <w:r w:rsidRPr="00394005">
        <w:rPr>
          <w:rFonts w:ascii="Times New Roman" w:hAnsi="Times New Roman" w:cs="Times New Roman"/>
        </w:rPr>
        <w:t xml:space="preserve">Asimismo, se </w:t>
      </w:r>
      <w:r w:rsidR="00A17EB4" w:rsidRPr="00394005">
        <w:rPr>
          <w:rFonts w:ascii="Times New Roman" w:hAnsi="Times New Roman" w:cs="Times New Roman"/>
        </w:rPr>
        <w:t>define</w:t>
      </w:r>
      <w:r w:rsidRPr="00394005">
        <w:rPr>
          <w:rFonts w:ascii="Times New Roman" w:hAnsi="Times New Roman" w:cs="Times New Roman"/>
        </w:rPr>
        <w:t xml:space="preserve"> el escenario fiscal de mediano plazo, estableciendo para el efecto la determinación de los objetivos, lineamientos y estrategias de la política fiscal, para que esta sea más predecible, más transparente, menos procíclica y más eficiente en lograr los objetivos prioritarios de desarrollo sostenible.</w:t>
      </w:r>
      <w:r w:rsidR="00A17EB4" w:rsidRPr="00394005">
        <w:rPr>
          <w:rFonts w:ascii="Times New Roman" w:hAnsi="Times New Roman" w:cs="Times New Roman"/>
        </w:rPr>
        <w:t xml:space="preserve"> Con base en lo anterior y tomando en cuenta el escenario macroeconómico se presentan las estimaciones de los principales agregados fiscales (ingresos, gasto y financiamiento) que darán el soporte financiero al Plan Nacional de Desarrollo en los próximos 5 años.</w:t>
      </w:r>
    </w:p>
    <w:p w14:paraId="391B5B7E" w14:textId="77777777" w:rsidR="00CF3121" w:rsidRPr="00394005" w:rsidRDefault="00CF3121" w:rsidP="0080400F">
      <w:pPr>
        <w:pStyle w:val="Sinespaciado"/>
        <w:jc w:val="both"/>
        <w:rPr>
          <w:rFonts w:ascii="Times New Roman" w:hAnsi="Times New Roman" w:cs="Times New Roman"/>
        </w:rPr>
      </w:pPr>
    </w:p>
    <w:p w14:paraId="6991D613" w14:textId="77777777" w:rsidR="00D67B50" w:rsidRPr="00394005" w:rsidRDefault="00D67B50" w:rsidP="001032E7">
      <w:pPr>
        <w:pStyle w:val="Sinespaciado"/>
        <w:numPr>
          <w:ilvl w:val="0"/>
          <w:numId w:val="36"/>
        </w:numPr>
        <w:tabs>
          <w:tab w:val="left" w:pos="993"/>
        </w:tabs>
        <w:ind w:left="567"/>
        <w:jc w:val="both"/>
        <w:outlineLvl w:val="2"/>
        <w:rPr>
          <w:rFonts w:ascii="Times New Roman" w:hAnsi="Times New Roman" w:cs="Times New Roman"/>
          <w:b/>
          <w:sz w:val="24"/>
        </w:rPr>
      </w:pPr>
      <w:bookmarkStart w:id="579" w:name="_Toc49939449"/>
      <w:bookmarkStart w:id="580" w:name="_Toc81571879"/>
      <w:r w:rsidRPr="00394005">
        <w:rPr>
          <w:rFonts w:ascii="Times New Roman" w:hAnsi="Times New Roman" w:cs="Times New Roman"/>
          <w:b/>
          <w:sz w:val="24"/>
        </w:rPr>
        <w:t>Ingresos fiscales</w:t>
      </w:r>
      <w:bookmarkEnd w:id="579"/>
      <w:bookmarkEnd w:id="580"/>
    </w:p>
    <w:p w14:paraId="1ACE86EC" w14:textId="77777777" w:rsidR="00D67B50" w:rsidRPr="00394005" w:rsidRDefault="00D67B50" w:rsidP="00D67B50">
      <w:pPr>
        <w:pStyle w:val="Sinespaciado"/>
        <w:jc w:val="both"/>
        <w:rPr>
          <w:rFonts w:ascii="Times New Roman" w:hAnsi="Times New Roman" w:cs="Times New Roman"/>
          <w:b/>
        </w:rPr>
      </w:pPr>
    </w:p>
    <w:p w14:paraId="001AD46B" w14:textId="77777777" w:rsidR="00D67B50" w:rsidRDefault="00D67B50" w:rsidP="002C7396">
      <w:pPr>
        <w:spacing w:after="0" w:line="240" w:lineRule="auto"/>
        <w:jc w:val="both"/>
        <w:rPr>
          <w:rFonts w:ascii="Times New Roman" w:hAnsi="Times New Roman" w:cs="Times New Roman"/>
        </w:rPr>
      </w:pPr>
      <w:r w:rsidRPr="00394005">
        <w:rPr>
          <w:rFonts w:ascii="Times New Roman" w:hAnsi="Times New Roman" w:cs="Times New Roman"/>
        </w:rPr>
        <w:t>En 2019 la recaudación tributaria muestra un crecimiento interanual de 6.4% respecto a lo observado en 2018. Dicho crecimiento se fundamenta en el desempeño positivo en los principales impuestos que administra la Superintendencia de Administración Tributaria -SAT-, tales como el Impuesto Sobre la Renta</w:t>
      </w:r>
      <w:r w:rsidRPr="004133EB">
        <w:rPr>
          <w:rFonts w:ascii="Times New Roman" w:hAnsi="Times New Roman" w:cs="Times New Roman"/>
        </w:rPr>
        <w:t xml:space="preserve"> -ISR- que creció 5.3%, el Impuesto al Valor Agregado -IVA- con un incremento de 7.9% (el IVA asociado al consumo interno creció en 10.2% y el asociado al comercio exterior en 5.8%), además destaca el desempeño del impuesto a los derivados del petróleo que superó lo recaudado en 2018 en 9.5%. Los impuestos que impidieron un mayor crecimiento en la recaudación fueron: timbres fiscales y regalías e hidrocarburos compartibles, los cuales registraron una contracción, disminuyendo en Q156.1 millones con respecto al año anterior.</w:t>
      </w:r>
    </w:p>
    <w:p w14:paraId="2053C7B1" w14:textId="77777777" w:rsidR="002C7396" w:rsidRPr="004133EB" w:rsidRDefault="002C7396" w:rsidP="002C7396">
      <w:pPr>
        <w:spacing w:after="0" w:line="240" w:lineRule="auto"/>
        <w:jc w:val="both"/>
        <w:rPr>
          <w:rFonts w:ascii="Times New Roman" w:hAnsi="Times New Roman" w:cs="Times New Roman"/>
        </w:rPr>
      </w:pPr>
    </w:p>
    <w:p w14:paraId="49209B55" w14:textId="02031B34" w:rsidR="00D67B50" w:rsidRPr="00A7229F" w:rsidRDefault="00C027A7" w:rsidP="009E18F8">
      <w:pPr>
        <w:pStyle w:val="Epgrafe"/>
        <w:spacing w:after="0"/>
        <w:jc w:val="center"/>
        <w:rPr>
          <w:rFonts w:ascii="Times New Roman" w:hAnsi="Times New Roman" w:cs="Times New Roman"/>
          <w:b/>
          <w:bCs/>
          <w:i w:val="0"/>
          <w:iCs w:val="0"/>
          <w:color w:val="auto"/>
          <w:sz w:val="22"/>
          <w:szCs w:val="22"/>
        </w:rPr>
      </w:pPr>
      <w:bookmarkStart w:id="581" w:name="_Toc50016835"/>
      <w:bookmarkStart w:id="582" w:name="_Toc81573075"/>
      <w:r w:rsidRPr="00C027A7">
        <w:rPr>
          <w:rFonts w:ascii="Times New Roman" w:hAnsi="Times New Roman" w:cs="Times New Roman"/>
          <w:b/>
          <w:color w:val="auto"/>
          <w:sz w:val="20"/>
        </w:rPr>
        <w:t xml:space="preserve">Gráfico </w:t>
      </w:r>
      <w:r w:rsidRPr="00C027A7">
        <w:rPr>
          <w:rFonts w:ascii="Times New Roman" w:hAnsi="Times New Roman" w:cs="Times New Roman"/>
          <w:b/>
          <w:color w:val="auto"/>
          <w:sz w:val="20"/>
        </w:rPr>
        <w:fldChar w:fldCharType="begin"/>
      </w:r>
      <w:r w:rsidRPr="00C027A7">
        <w:rPr>
          <w:rFonts w:ascii="Times New Roman" w:hAnsi="Times New Roman" w:cs="Times New Roman"/>
          <w:b/>
          <w:color w:val="auto"/>
          <w:sz w:val="20"/>
        </w:rPr>
        <w:instrText xml:space="preserve"> SEQ Gráfico \* ARABIC </w:instrText>
      </w:r>
      <w:r w:rsidRPr="00C027A7">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25</w:t>
      </w:r>
      <w:r w:rsidRPr="00C027A7">
        <w:rPr>
          <w:rFonts w:ascii="Times New Roman" w:hAnsi="Times New Roman" w:cs="Times New Roman"/>
          <w:b/>
          <w:color w:val="auto"/>
          <w:sz w:val="20"/>
        </w:rPr>
        <w:fldChar w:fldCharType="end"/>
      </w:r>
      <w:r w:rsidRPr="00C027A7">
        <w:rPr>
          <w:rFonts w:ascii="Times New Roman" w:hAnsi="Times New Roman" w:cs="Times New Roman"/>
          <w:b/>
          <w:color w:val="auto"/>
          <w:sz w:val="20"/>
        </w:rPr>
        <w:t xml:space="preserve">  </w:t>
      </w:r>
      <w:r w:rsidR="00D67B50" w:rsidRPr="00A7229F">
        <w:rPr>
          <w:rFonts w:ascii="Times New Roman" w:hAnsi="Times New Roman" w:cs="Times New Roman"/>
          <w:b/>
          <w:bCs/>
          <w:i w:val="0"/>
          <w:iCs w:val="0"/>
          <w:color w:val="auto"/>
          <w:sz w:val="22"/>
          <w:szCs w:val="22"/>
        </w:rPr>
        <w:t>Variación interanual de la recaudación tributaria</w:t>
      </w:r>
      <w:bookmarkEnd w:id="581"/>
      <w:bookmarkEnd w:id="582"/>
    </w:p>
    <w:p w14:paraId="02F3DF6E" w14:textId="77777777" w:rsidR="00D67B50" w:rsidRPr="004133EB" w:rsidRDefault="00D67B50" w:rsidP="00D67B50">
      <w:pPr>
        <w:spacing w:after="0" w:line="240" w:lineRule="auto"/>
        <w:jc w:val="center"/>
        <w:rPr>
          <w:rFonts w:ascii="Times New Roman" w:hAnsi="Times New Roman" w:cs="Times New Roman"/>
        </w:rPr>
      </w:pPr>
      <w:r w:rsidRPr="00DF4A99">
        <w:rPr>
          <w:rFonts w:ascii="Times New Roman" w:hAnsi="Times New Roman" w:cs="Times New Roman"/>
        </w:rPr>
        <w:t>Porcentajes</w:t>
      </w:r>
    </w:p>
    <w:p w14:paraId="60CF2061" w14:textId="77777777" w:rsidR="00D67B50" w:rsidRPr="004133EB" w:rsidRDefault="00B6733D" w:rsidP="00D67B50">
      <w:pPr>
        <w:jc w:val="both"/>
        <w:rPr>
          <w:rFonts w:ascii="Times New Roman" w:hAnsi="Times New Roman" w:cs="Times New Roman"/>
        </w:rPr>
      </w:pPr>
      <w:r w:rsidRPr="004133EB">
        <w:rPr>
          <w:rFonts w:ascii="Times New Roman" w:hAnsi="Times New Roman" w:cs="Times New Roman"/>
          <w:noProof/>
          <w:lang w:val="es-ES" w:eastAsia="es-ES"/>
        </w:rPr>
        <w:drawing>
          <wp:anchor distT="0" distB="0" distL="114300" distR="114300" simplePos="0" relativeHeight="251983360" behindDoc="0" locked="0" layoutInCell="1" allowOverlap="1" wp14:anchorId="645FBD2A" wp14:editId="46F31B4B">
            <wp:simplePos x="0" y="0"/>
            <wp:positionH relativeFrom="margin">
              <wp:posOffset>593090</wp:posOffset>
            </wp:positionH>
            <wp:positionV relativeFrom="paragraph">
              <wp:posOffset>16510</wp:posOffset>
            </wp:positionV>
            <wp:extent cx="4209415" cy="2302510"/>
            <wp:effectExtent l="0" t="0" r="635" b="2540"/>
            <wp:wrapSquare wrapText="bothSides"/>
            <wp:docPr id="14"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14:paraId="051A0388" w14:textId="77777777" w:rsidR="00D67B50" w:rsidRPr="004133EB" w:rsidRDefault="00D67B50" w:rsidP="00D67B50">
      <w:pPr>
        <w:jc w:val="both"/>
        <w:rPr>
          <w:rFonts w:ascii="Times New Roman" w:hAnsi="Times New Roman" w:cs="Times New Roman"/>
        </w:rPr>
      </w:pPr>
    </w:p>
    <w:p w14:paraId="52063E2A" w14:textId="77777777" w:rsidR="00D67B50" w:rsidRPr="004133EB" w:rsidRDefault="00D67B50" w:rsidP="00D67B50">
      <w:pPr>
        <w:jc w:val="both"/>
        <w:rPr>
          <w:rFonts w:ascii="Times New Roman" w:hAnsi="Times New Roman" w:cs="Times New Roman"/>
        </w:rPr>
      </w:pPr>
    </w:p>
    <w:p w14:paraId="548BAF38" w14:textId="77777777" w:rsidR="00D67B50" w:rsidRPr="004133EB" w:rsidRDefault="00D67B50" w:rsidP="00D67B50">
      <w:pPr>
        <w:jc w:val="both"/>
        <w:rPr>
          <w:rFonts w:ascii="Times New Roman" w:hAnsi="Times New Roman" w:cs="Times New Roman"/>
        </w:rPr>
      </w:pPr>
    </w:p>
    <w:p w14:paraId="0DCDC8A5" w14:textId="77777777" w:rsidR="00D67B50" w:rsidRPr="004133EB" w:rsidRDefault="00D67B50" w:rsidP="00D67B50">
      <w:pPr>
        <w:jc w:val="both"/>
        <w:rPr>
          <w:rFonts w:ascii="Times New Roman" w:hAnsi="Times New Roman" w:cs="Times New Roman"/>
        </w:rPr>
      </w:pPr>
    </w:p>
    <w:p w14:paraId="2A97187E" w14:textId="77777777" w:rsidR="00D67B50" w:rsidRPr="004133EB" w:rsidRDefault="00D67B50" w:rsidP="00D67B50">
      <w:pPr>
        <w:jc w:val="both"/>
        <w:rPr>
          <w:rFonts w:ascii="Times New Roman" w:hAnsi="Times New Roman" w:cs="Times New Roman"/>
        </w:rPr>
      </w:pPr>
    </w:p>
    <w:p w14:paraId="0193563F" w14:textId="77777777" w:rsidR="00D67B50" w:rsidRPr="004133EB" w:rsidRDefault="00D67B50" w:rsidP="00D67B50">
      <w:pPr>
        <w:jc w:val="both"/>
        <w:rPr>
          <w:rFonts w:ascii="Times New Roman" w:hAnsi="Times New Roman" w:cs="Times New Roman"/>
        </w:rPr>
      </w:pPr>
    </w:p>
    <w:p w14:paraId="0C605268" w14:textId="77777777" w:rsidR="00D67B50" w:rsidRDefault="00D67B50" w:rsidP="00D67B50">
      <w:pPr>
        <w:jc w:val="both"/>
        <w:rPr>
          <w:rFonts w:ascii="Times New Roman" w:hAnsi="Times New Roman" w:cs="Times New Roman"/>
        </w:rPr>
      </w:pPr>
    </w:p>
    <w:p w14:paraId="29ED61AF" w14:textId="360E9C7E" w:rsidR="00B6733D" w:rsidRDefault="00B6733D" w:rsidP="00D67B50">
      <w:pPr>
        <w:spacing w:after="0" w:line="240" w:lineRule="auto"/>
        <w:jc w:val="both"/>
        <w:rPr>
          <w:rFonts w:ascii="Times New Roman" w:hAnsi="Times New Roman" w:cs="Times New Roman"/>
        </w:rPr>
      </w:pPr>
    </w:p>
    <w:p w14:paraId="12C95057" w14:textId="77777777" w:rsidR="00D67B50" w:rsidRDefault="00D67B50" w:rsidP="00D67B50">
      <w:pPr>
        <w:spacing w:after="0" w:line="240" w:lineRule="auto"/>
        <w:jc w:val="both"/>
        <w:rPr>
          <w:rFonts w:ascii="Times New Roman" w:hAnsi="Times New Roman" w:cs="Times New Roman"/>
        </w:rPr>
      </w:pPr>
      <w:r w:rsidRPr="004133EB">
        <w:rPr>
          <w:rFonts w:ascii="Times New Roman" w:hAnsi="Times New Roman" w:cs="Times New Roman"/>
        </w:rPr>
        <w:t>Con relación al presupuesto de ingresos tributarios 2019, se observó una brecha negativa de Q1,434.1 millones, de la cual, los impuestos administrados por la SAT generaron una brecha negativa de Q1,391.6 millones, contribuyendo el Impuesto al Valor Agregado con Q1,249.9 millones, esto a pesar que, del análisis de situación que se realizó por parte de la SAT y el Minfin respecto del saldo del fondo de crédito fiscal a los exportadores, se suspendió el aprovisionamiento a la cuenta crédito fiscal a IVA exportadores a partir del 16 de octubre, lo que significó cerca de Q594 millones que se registraron como recaudación adicional en el impuesto al valor agregado. Otro impuesto importante es el Impuesto Sobre la Renta, el cual logró cerrar la brecha negativa acumulada (Q397.2 millones) observada en julio, para situarse en Q58.6 millones (brecha negativa) al 31 de diciembre. Dicho logro se sustenta en acciones que la SAT realizó durante el año con el propósito de aumentar la percepción de riesgo de los contribuyentes y con ello darle gobernanza al ente recaudador. Asimismo, también por algunos ingresos extraordinarios que fueron captados en los meses de septiembre y diciembre.</w:t>
      </w:r>
    </w:p>
    <w:p w14:paraId="501BE44F" w14:textId="77777777" w:rsidR="00D67B50" w:rsidRDefault="00D67B50" w:rsidP="00D67B50">
      <w:pPr>
        <w:spacing w:after="0" w:line="240" w:lineRule="auto"/>
        <w:jc w:val="both"/>
        <w:rPr>
          <w:rFonts w:ascii="Times New Roman" w:hAnsi="Times New Roman" w:cs="Times New Roman"/>
        </w:rPr>
      </w:pPr>
    </w:p>
    <w:p w14:paraId="59128835" w14:textId="4A5450F2" w:rsidR="00D67B50" w:rsidRPr="00A7229F" w:rsidRDefault="00C027A7" w:rsidP="00B6733D">
      <w:pPr>
        <w:pStyle w:val="Epgrafe"/>
        <w:spacing w:after="0"/>
        <w:jc w:val="center"/>
        <w:rPr>
          <w:rFonts w:ascii="Times New Roman" w:hAnsi="Times New Roman" w:cs="Times New Roman"/>
          <w:b/>
          <w:bCs/>
          <w:i w:val="0"/>
          <w:iCs w:val="0"/>
          <w:color w:val="auto"/>
          <w:sz w:val="22"/>
          <w:szCs w:val="22"/>
        </w:rPr>
      </w:pPr>
      <w:bookmarkStart w:id="583" w:name="_Toc50016836"/>
      <w:bookmarkStart w:id="584" w:name="_Toc81573076"/>
      <w:r w:rsidRPr="00C027A7">
        <w:rPr>
          <w:rFonts w:ascii="Times New Roman" w:hAnsi="Times New Roman" w:cs="Times New Roman"/>
          <w:b/>
          <w:color w:val="auto"/>
          <w:sz w:val="20"/>
        </w:rPr>
        <w:t xml:space="preserve">Gráfico </w:t>
      </w:r>
      <w:r w:rsidRPr="00C027A7">
        <w:rPr>
          <w:rFonts w:ascii="Times New Roman" w:hAnsi="Times New Roman" w:cs="Times New Roman"/>
          <w:b/>
          <w:color w:val="auto"/>
          <w:sz w:val="20"/>
        </w:rPr>
        <w:fldChar w:fldCharType="begin"/>
      </w:r>
      <w:r w:rsidRPr="00C027A7">
        <w:rPr>
          <w:rFonts w:ascii="Times New Roman" w:hAnsi="Times New Roman" w:cs="Times New Roman"/>
          <w:b/>
          <w:color w:val="auto"/>
          <w:sz w:val="20"/>
        </w:rPr>
        <w:instrText xml:space="preserve"> SEQ Gráfico \* ARABIC </w:instrText>
      </w:r>
      <w:r w:rsidRPr="00C027A7">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26</w:t>
      </w:r>
      <w:r w:rsidRPr="00C027A7">
        <w:rPr>
          <w:rFonts w:ascii="Times New Roman" w:hAnsi="Times New Roman" w:cs="Times New Roman"/>
          <w:b/>
          <w:color w:val="auto"/>
          <w:sz w:val="20"/>
        </w:rPr>
        <w:fldChar w:fldCharType="end"/>
      </w:r>
      <w:r w:rsidRPr="00C027A7">
        <w:rPr>
          <w:rFonts w:ascii="Times New Roman" w:hAnsi="Times New Roman" w:cs="Times New Roman"/>
          <w:b/>
          <w:color w:val="auto"/>
          <w:sz w:val="20"/>
        </w:rPr>
        <w:t xml:space="preserve">  </w:t>
      </w:r>
      <w:r w:rsidR="00D67B50" w:rsidRPr="00A7229F">
        <w:rPr>
          <w:rFonts w:ascii="Times New Roman" w:hAnsi="Times New Roman" w:cs="Times New Roman"/>
          <w:b/>
          <w:bCs/>
          <w:i w:val="0"/>
          <w:iCs w:val="0"/>
          <w:color w:val="auto"/>
          <w:sz w:val="22"/>
          <w:szCs w:val="22"/>
        </w:rPr>
        <w:t>Recaudación Tributaria</w:t>
      </w:r>
      <w:bookmarkEnd w:id="583"/>
      <w:bookmarkEnd w:id="584"/>
    </w:p>
    <w:p w14:paraId="37004D78" w14:textId="77777777" w:rsidR="00D67B50" w:rsidRDefault="00B6733D" w:rsidP="00B6733D">
      <w:pPr>
        <w:spacing w:after="0" w:line="240" w:lineRule="auto"/>
        <w:jc w:val="center"/>
        <w:rPr>
          <w:rFonts w:ascii="Times New Roman" w:hAnsi="Times New Roman" w:cs="Times New Roman"/>
        </w:rPr>
      </w:pPr>
      <w:r w:rsidRPr="004133EB">
        <w:rPr>
          <w:rFonts w:ascii="Times New Roman" w:hAnsi="Times New Roman" w:cs="Times New Roman"/>
          <w:noProof/>
          <w:lang w:val="es-ES" w:eastAsia="es-ES"/>
        </w:rPr>
        <w:drawing>
          <wp:anchor distT="0" distB="0" distL="114300" distR="114300" simplePos="0" relativeHeight="251980288" behindDoc="0" locked="0" layoutInCell="1" allowOverlap="1" wp14:anchorId="4B708D26" wp14:editId="006AE3E4">
            <wp:simplePos x="0" y="0"/>
            <wp:positionH relativeFrom="margin">
              <wp:posOffset>946150</wp:posOffset>
            </wp:positionH>
            <wp:positionV relativeFrom="paragraph">
              <wp:posOffset>229069</wp:posOffset>
            </wp:positionV>
            <wp:extent cx="3641090" cy="2281555"/>
            <wp:effectExtent l="0" t="0" r="0" b="4445"/>
            <wp:wrapSquare wrapText="bothSides"/>
            <wp:docPr id="67"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00D67B50" w:rsidRPr="00DF4A99">
        <w:rPr>
          <w:rFonts w:ascii="Times New Roman" w:hAnsi="Times New Roman" w:cs="Times New Roman"/>
        </w:rPr>
        <w:t>Millones de quetzales</w:t>
      </w:r>
    </w:p>
    <w:p w14:paraId="21A8C3DF" w14:textId="77777777" w:rsidR="00D67B50" w:rsidRPr="00DF4A99" w:rsidRDefault="00D67B50" w:rsidP="00D67B50">
      <w:pPr>
        <w:spacing w:line="240" w:lineRule="auto"/>
        <w:jc w:val="center"/>
        <w:rPr>
          <w:rFonts w:ascii="Times New Roman" w:hAnsi="Times New Roman" w:cs="Times New Roman"/>
        </w:rPr>
      </w:pPr>
    </w:p>
    <w:p w14:paraId="626EFC3B" w14:textId="77777777" w:rsidR="00D67B50" w:rsidRPr="004133EB" w:rsidRDefault="00D67B50" w:rsidP="00D67B50">
      <w:pPr>
        <w:spacing w:after="0" w:line="240" w:lineRule="auto"/>
        <w:jc w:val="both"/>
        <w:rPr>
          <w:rFonts w:ascii="Times New Roman" w:hAnsi="Times New Roman" w:cs="Times New Roman"/>
        </w:rPr>
      </w:pPr>
    </w:p>
    <w:p w14:paraId="56CF4271" w14:textId="77777777" w:rsidR="00D67B50" w:rsidRPr="004133EB" w:rsidRDefault="00D67B50" w:rsidP="00D67B50">
      <w:pPr>
        <w:spacing w:after="0" w:line="240" w:lineRule="auto"/>
        <w:jc w:val="both"/>
        <w:rPr>
          <w:rFonts w:ascii="Times New Roman" w:hAnsi="Times New Roman" w:cs="Times New Roman"/>
        </w:rPr>
      </w:pPr>
    </w:p>
    <w:p w14:paraId="6834CF2D" w14:textId="77777777" w:rsidR="00D67B50" w:rsidRPr="004133EB" w:rsidRDefault="00D67B50" w:rsidP="00D67B50">
      <w:pPr>
        <w:spacing w:after="0" w:line="240" w:lineRule="auto"/>
        <w:jc w:val="both"/>
        <w:rPr>
          <w:rFonts w:ascii="Times New Roman" w:hAnsi="Times New Roman" w:cs="Times New Roman"/>
        </w:rPr>
      </w:pPr>
    </w:p>
    <w:p w14:paraId="4CFCE14A" w14:textId="77777777" w:rsidR="00D67B50" w:rsidRPr="004133EB" w:rsidRDefault="00D67B50" w:rsidP="00D67B50">
      <w:pPr>
        <w:spacing w:after="0" w:line="240" w:lineRule="auto"/>
        <w:jc w:val="both"/>
        <w:rPr>
          <w:rFonts w:ascii="Times New Roman" w:hAnsi="Times New Roman" w:cs="Times New Roman"/>
        </w:rPr>
      </w:pPr>
    </w:p>
    <w:p w14:paraId="1C5BBBF6" w14:textId="77777777" w:rsidR="00D67B50" w:rsidRPr="004133EB" w:rsidRDefault="00D67B50" w:rsidP="00D67B50">
      <w:pPr>
        <w:spacing w:after="0" w:line="240" w:lineRule="auto"/>
        <w:jc w:val="both"/>
        <w:rPr>
          <w:rFonts w:ascii="Times New Roman" w:hAnsi="Times New Roman" w:cs="Times New Roman"/>
        </w:rPr>
      </w:pPr>
    </w:p>
    <w:p w14:paraId="06468B50" w14:textId="77777777" w:rsidR="00D67B50" w:rsidRPr="004133EB" w:rsidRDefault="00D67B50" w:rsidP="00D67B50">
      <w:pPr>
        <w:spacing w:after="0" w:line="240" w:lineRule="auto"/>
        <w:jc w:val="both"/>
        <w:rPr>
          <w:rFonts w:ascii="Times New Roman" w:hAnsi="Times New Roman" w:cs="Times New Roman"/>
        </w:rPr>
      </w:pPr>
    </w:p>
    <w:p w14:paraId="5B5B1F5A" w14:textId="77777777" w:rsidR="00D67B50" w:rsidRPr="004133EB" w:rsidRDefault="00D67B50" w:rsidP="00D67B50">
      <w:pPr>
        <w:spacing w:after="0" w:line="240" w:lineRule="auto"/>
        <w:jc w:val="both"/>
        <w:rPr>
          <w:rFonts w:ascii="Times New Roman" w:hAnsi="Times New Roman" w:cs="Times New Roman"/>
        </w:rPr>
      </w:pPr>
    </w:p>
    <w:p w14:paraId="51CEAEBD" w14:textId="77777777" w:rsidR="00D67B50" w:rsidRPr="004133EB" w:rsidRDefault="00D67B50" w:rsidP="00D67B50">
      <w:pPr>
        <w:spacing w:after="0" w:line="240" w:lineRule="auto"/>
        <w:jc w:val="both"/>
        <w:rPr>
          <w:rFonts w:ascii="Times New Roman" w:hAnsi="Times New Roman" w:cs="Times New Roman"/>
        </w:rPr>
      </w:pPr>
    </w:p>
    <w:p w14:paraId="011269D9" w14:textId="77777777" w:rsidR="00D67B50" w:rsidRPr="004133EB" w:rsidRDefault="00D67B50" w:rsidP="00D67B50">
      <w:pPr>
        <w:spacing w:after="0" w:line="240" w:lineRule="auto"/>
        <w:jc w:val="both"/>
        <w:rPr>
          <w:rFonts w:ascii="Times New Roman" w:hAnsi="Times New Roman" w:cs="Times New Roman"/>
        </w:rPr>
      </w:pPr>
    </w:p>
    <w:p w14:paraId="3A734D80" w14:textId="77777777" w:rsidR="00D67B50" w:rsidRPr="004133EB" w:rsidRDefault="00D67B50" w:rsidP="00D67B50">
      <w:pPr>
        <w:spacing w:after="0" w:line="240" w:lineRule="auto"/>
        <w:jc w:val="both"/>
        <w:rPr>
          <w:rFonts w:ascii="Times New Roman" w:hAnsi="Times New Roman" w:cs="Times New Roman"/>
        </w:rPr>
      </w:pPr>
    </w:p>
    <w:p w14:paraId="7470ECA8" w14:textId="77777777" w:rsidR="00D67B50" w:rsidRPr="004133EB" w:rsidRDefault="00D67B50" w:rsidP="00D67B50">
      <w:pPr>
        <w:spacing w:after="0" w:line="240" w:lineRule="auto"/>
        <w:jc w:val="both"/>
        <w:rPr>
          <w:rFonts w:ascii="Times New Roman" w:hAnsi="Times New Roman" w:cs="Times New Roman"/>
        </w:rPr>
      </w:pPr>
    </w:p>
    <w:p w14:paraId="2B33E770" w14:textId="77777777" w:rsidR="00D67B50" w:rsidRPr="004133EB" w:rsidRDefault="00D67B50" w:rsidP="00D67B50">
      <w:pPr>
        <w:spacing w:after="0" w:line="240" w:lineRule="auto"/>
        <w:jc w:val="both"/>
        <w:rPr>
          <w:rFonts w:ascii="Times New Roman" w:hAnsi="Times New Roman" w:cs="Times New Roman"/>
        </w:rPr>
      </w:pPr>
    </w:p>
    <w:p w14:paraId="014277A7" w14:textId="77777777" w:rsidR="00D67B50" w:rsidRPr="004133EB" w:rsidRDefault="00D67B50" w:rsidP="00D67B50">
      <w:pPr>
        <w:spacing w:after="0" w:line="240" w:lineRule="auto"/>
        <w:jc w:val="both"/>
        <w:rPr>
          <w:rFonts w:ascii="Times New Roman" w:hAnsi="Times New Roman" w:cs="Times New Roman"/>
        </w:rPr>
      </w:pPr>
    </w:p>
    <w:p w14:paraId="6DF4EB7A" w14:textId="77777777" w:rsidR="00D67B50" w:rsidRPr="004133EB" w:rsidRDefault="00D67B50" w:rsidP="00D67B50">
      <w:pPr>
        <w:spacing w:after="0" w:line="240" w:lineRule="auto"/>
        <w:jc w:val="both"/>
        <w:rPr>
          <w:rFonts w:ascii="Times New Roman" w:hAnsi="Times New Roman" w:cs="Times New Roman"/>
        </w:rPr>
      </w:pPr>
    </w:p>
    <w:p w14:paraId="67FA8ECC" w14:textId="77777777" w:rsidR="00D67B50" w:rsidRPr="00D67B50" w:rsidRDefault="00D67B50" w:rsidP="002C7396">
      <w:pPr>
        <w:spacing w:after="0" w:line="240" w:lineRule="auto"/>
        <w:jc w:val="both"/>
        <w:rPr>
          <w:rFonts w:ascii="Times New Roman" w:hAnsi="Times New Roman" w:cs="Times New Roman"/>
        </w:rPr>
      </w:pPr>
      <w:r w:rsidRPr="004133EB">
        <w:rPr>
          <w:rFonts w:ascii="Times New Roman" w:hAnsi="Times New Roman" w:cs="Times New Roman"/>
        </w:rPr>
        <w:t xml:space="preserve">Dentro de las principales acciones que puso en marcha el ente recaudador, destaca la implementación del modelo operativo y normas aplicables a la factura electrónica en línea (FEL), que involucra la emisión, transmisión certificación y conservación por medios electrónicos de facturas, notas de </w:t>
      </w:r>
      <w:r w:rsidRPr="00D67B50">
        <w:rPr>
          <w:rFonts w:ascii="Times New Roman" w:hAnsi="Times New Roman" w:cs="Times New Roman"/>
        </w:rPr>
        <w:t>crédito y débito, recibos y otros documentos (DTE) autorizados por la SAT, el programa Modernización Integral Aduanera (MIAD), el Fortalecimiento de la Gestión Integral de Riesgos y la modernización del Registro Tributario Unificado (RTU), entre otros.</w:t>
      </w:r>
      <w:r w:rsidRPr="00D67B50">
        <w:rPr>
          <w:rFonts w:ascii="Times New Roman" w:hAnsi="Times New Roman" w:cs="Times New Roman"/>
          <w:noProof/>
          <w:lang w:val="es-ES"/>
        </w:rPr>
        <w:t xml:space="preserve"> </w:t>
      </w:r>
    </w:p>
    <w:p w14:paraId="124507A5" w14:textId="77777777" w:rsidR="00D67B50" w:rsidRPr="00D67B50" w:rsidRDefault="00D67B50" w:rsidP="002C7396">
      <w:pPr>
        <w:spacing w:after="0" w:line="240" w:lineRule="auto"/>
        <w:jc w:val="both"/>
        <w:rPr>
          <w:rFonts w:ascii="Times New Roman" w:hAnsi="Times New Roman" w:cs="Times New Roman"/>
        </w:rPr>
      </w:pPr>
    </w:p>
    <w:p w14:paraId="7D430F1E" w14:textId="77777777" w:rsidR="00D67B50" w:rsidRPr="00D67B50" w:rsidRDefault="00D67B50" w:rsidP="002C7396">
      <w:pPr>
        <w:spacing w:after="0" w:line="240" w:lineRule="auto"/>
        <w:jc w:val="both"/>
        <w:rPr>
          <w:rFonts w:ascii="Times New Roman" w:hAnsi="Times New Roman" w:cs="Times New Roman"/>
        </w:rPr>
      </w:pPr>
      <w:r w:rsidRPr="00D67B50">
        <w:rPr>
          <w:rFonts w:ascii="Times New Roman" w:hAnsi="Times New Roman" w:cs="Times New Roman"/>
        </w:rPr>
        <w:t>Los impuestos no administrados por SAT generaron una brecha negativa de Q42.5 millones, los cuales solo por concepto de Regalías e Hidrocarburos Compartibles fueron Q47.2 millones, el impuesto de Salidas del País, que administra el INGUAT, generó brecha positiva de Q4.7 millones y un crecimiento interanual de 8.4%.</w:t>
      </w:r>
    </w:p>
    <w:p w14:paraId="10A7EB5C" w14:textId="77777777" w:rsidR="00D67B50" w:rsidRPr="00D67B50" w:rsidRDefault="00D67B50" w:rsidP="002C7396">
      <w:pPr>
        <w:spacing w:after="0" w:line="240" w:lineRule="auto"/>
        <w:jc w:val="both"/>
        <w:rPr>
          <w:rFonts w:ascii="Times New Roman" w:hAnsi="Times New Roman" w:cs="Times New Roman"/>
          <w:noProof/>
          <w:lang w:eastAsia="es-GT"/>
        </w:rPr>
      </w:pPr>
    </w:p>
    <w:p w14:paraId="14FCECD6" w14:textId="77777777" w:rsidR="00D67B50" w:rsidRPr="00D67B50" w:rsidRDefault="00D67B50" w:rsidP="002C7396">
      <w:pPr>
        <w:spacing w:after="0" w:line="240" w:lineRule="auto"/>
        <w:jc w:val="both"/>
        <w:rPr>
          <w:rFonts w:ascii="Times New Roman" w:hAnsi="Times New Roman" w:cs="Times New Roman"/>
        </w:rPr>
      </w:pPr>
      <w:r w:rsidRPr="00D67B50">
        <w:rPr>
          <w:rFonts w:ascii="Times New Roman" w:hAnsi="Times New Roman" w:cs="Times New Roman"/>
        </w:rPr>
        <w:t>Los otros ingresos corrientes denominados como no tributarios durante el período 2019-2018, mostraron un crecimiento de 13% respecto el cierre de 2018, en donde los ingresos por contribuciones a la seguridad y los otros ingresos no tributarios asociados a derechos, tasas y las contribuciones a la seguridad social tuvieron un ingreso mayor al reportado en 2018.</w:t>
      </w:r>
    </w:p>
    <w:p w14:paraId="46167B00" w14:textId="77777777" w:rsidR="00D67B50" w:rsidRPr="00D67B50" w:rsidRDefault="00D67B50" w:rsidP="002C7396">
      <w:pPr>
        <w:spacing w:after="0" w:line="240" w:lineRule="auto"/>
        <w:jc w:val="both"/>
        <w:rPr>
          <w:rFonts w:ascii="Times New Roman" w:hAnsi="Times New Roman" w:cs="Times New Roman"/>
        </w:rPr>
      </w:pPr>
    </w:p>
    <w:p w14:paraId="67797DBF" w14:textId="77777777" w:rsidR="00D67B50" w:rsidRPr="00D67B50" w:rsidRDefault="00D67B50" w:rsidP="002C7396">
      <w:pPr>
        <w:spacing w:after="0" w:line="240" w:lineRule="auto"/>
        <w:jc w:val="both"/>
        <w:rPr>
          <w:rFonts w:ascii="Times New Roman" w:hAnsi="Times New Roman" w:cs="Times New Roman"/>
        </w:rPr>
      </w:pPr>
      <w:r w:rsidRPr="00D67B50">
        <w:rPr>
          <w:rFonts w:ascii="Times New Roman" w:hAnsi="Times New Roman" w:cs="Times New Roman"/>
        </w:rPr>
        <w:t>En 2020, los resultados positivos de la recaudación tributaria se observaron en los primeros dos meses del año en los que se generó una brecha respecto a lo programado de Q539.7 millones, los aspectos importantes que la determinaron son: una mayor recaudación en el régimen de renta de actividades lucrativas sobre renta imponible y los regímenes de relación de dependencia y retenciones a no domiciliados, en el impuesto al valor agregado asociado al consumo doméstico son las remesas familiares que marcaban un crecimiento de 19.2%, en los derivados del petróleo el aumento de su  consumo que creció en 9.8%, además del precio internacional del petróleo WTI que se ubicó en US$50.54 por barril un 13.1% más barato que el año anterior.</w:t>
      </w:r>
    </w:p>
    <w:p w14:paraId="3ADA04EB" w14:textId="77777777" w:rsidR="00D67B50" w:rsidRPr="00D67B50" w:rsidRDefault="00D67B50" w:rsidP="002C7396">
      <w:pPr>
        <w:spacing w:after="0" w:line="240" w:lineRule="auto"/>
        <w:jc w:val="both"/>
        <w:rPr>
          <w:rFonts w:ascii="Times New Roman" w:hAnsi="Times New Roman" w:cs="Times New Roman"/>
          <w:sz w:val="16"/>
          <w:szCs w:val="16"/>
        </w:rPr>
      </w:pPr>
      <w:r w:rsidRPr="00D67B50">
        <w:rPr>
          <w:rFonts w:ascii="Times New Roman" w:hAnsi="Times New Roman" w:cs="Times New Roman"/>
        </w:rPr>
        <w:t xml:space="preserve"> </w:t>
      </w:r>
    </w:p>
    <w:p w14:paraId="58FB80DD" w14:textId="77777777" w:rsidR="00D67B50" w:rsidRPr="00D67B50" w:rsidRDefault="00D67B50" w:rsidP="002C7396">
      <w:pPr>
        <w:spacing w:after="0" w:line="240" w:lineRule="auto"/>
        <w:jc w:val="both"/>
        <w:rPr>
          <w:rFonts w:ascii="Times New Roman" w:hAnsi="Times New Roman" w:cs="Times New Roman"/>
        </w:rPr>
      </w:pPr>
      <w:r w:rsidRPr="00D67B50">
        <w:rPr>
          <w:rFonts w:ascii="Times New Roman" w:hAnsi="Times New Roman" w:cs="Times New Roman"/>
        </w:rPr>
        <w:t>Las importaciones gravadas son determinantes para la recaudación tributaria de los impuestos asociados al comercio exterior</w:t>
      </w:r>
      <w:r w:rsidRPr="00D67B50">
        <w:rPr>
          <w:rStyle w:val="Refdenotaalpie"/>
          <w:rFonts w:ascii="Times New Roman" w:hAnsi="Times New Roman" w:cs="Times New Roman"/>
        </w:rPr>
        <w:footnoteReference w:id="2"/>
      </w:r>
      <w:r w:rsidRPr="00D67B50">
        <w:rPr>
          <w:rFonts w:ascii="Times New Roman" w:hAnsi="Times New Roman" w:cs="Times New Roman"/>
        </w:rPr>
        <w:t xml:space="preserve"> a febrero reflejaban crecimiento positivo en valor y volumen; los principales productos que se importaron fueron gasolinas, diésel, teléfonos celulares, productos farmacéuticos, maíz amarillo, vehículos de cilindrada mayor a 1,500 cm</w:t>
      </w:r>
      <w:r w:rsidRPr="00D67B50">
        <w:rPr>
          <w:rFonts w:ascii="Times New Roman" w:hAnsi="Times New Roman" w:cs="Times New Roman"/>
          <w:vertAlign w:val="superscript"/>
        </w:rPr>
        <w:t>3</w:t>
      </w:r>
      <w:r w:rsidRPr="00D67B50">
        <w:rPr>
          <w:rFonts w:ascii="Times New Roman" w:hAnsi="Times New Roman" w:cs="Times New Roman"/>
        </w:rPr>
        <w:t>, motocicletas y gas propano.</w:t>
      </w:r>
    </w:p>
    <w:p w14:paraId="438B81CA" w14:textId="77777777" w:rsidR="00D67B50" w:rsidRPr="00D67B50" w:rsidRDefault="00D67B50" w:rsidP="002C7396">
      <w:pPr>
        <w:spacing w:after="0" w:line="240" w:lineRule="auto"/>
        <w:jc w:val="both"/>
        <w:rPr>
          <w:rFonts w:ascii="Times New Roman" w:hAnsi="Times New Roman" w:cs="Times New Roman"/>
          <w:sz w:val="16"/>
          <w:szCs w:val="16"/>
        </w:rPr>
      </w:pPr>
    </w:p>
    <w:p w14:paraId="59FF049D" w14:textId="77777777" w:rsidR="00D67B50" w:rsidRPr="00D67B50" w:rsidRDefault="00D67B50" w:rsidP="002C7396">
      <w:pPr>
        <w:spacing w:after="0" w:line="240" w:lineRule="auto"/>
        <w:jc w:val="both"/>
        <w:rPr>
          <w:rFonts w:ascii="Times New Roman" w:hAnsi="Times New Roman" w:cs="Times New Roman"/>
        </w:rPr>
      </w:pPr>
      <w:r w:rsidRPr="00D67B50">
        <w:rPr>
          <w:rFonts w:ascii="Times New Roman" w:hAnsi="Times New Roman" w:cs="Times New Roman"/>
        </w:rPr>
        <w:t xml:space="preserve">Posteriormente, en marzo, las restricciones de movilidad ante la declaratoria de la pandemia aumentaron los contagios del virus SARS-COV-2 aumentaron, la desaceleración económica nacional y del comercio exterior, provocaron que se generara una brecha negativa en la recaudación tributaria del primer trimestre de Q1,158.7 millones, dicha brecha se genera en parte por las medidas adoptadas para frenar los contagios del virus, la SAT impulsó la </w:t>
      </w:r>
      <w:r w:rsidRPr="00D67B50">
        <w:rPr>
          <w:rFonts w:ascii="Times New Roman" w:hAnsi="Times New Roman" w:cs="Times New Roman"/>
          <w:b/>
          <w:bCs/>
        </w:rPr>
        <w:t>Resolución SAT 280-2020,</w:t>
      </w:r>
      <w:r w:rsidRPr="00D67B50">
        <w:rPr>
          <w:rFonts w:ascii="Times New Roman" w:hAnsi="Times New Roman" w:cs="Times New Roman"/>
        </w:rPr>
        <w:t xml:space="preserve"> la cual declaró días inhábiles del 24 de marzo al 14 de abril inclusive y fijó el 15 de abril para realizar la liquidación anual del impuesto sobre la renta y el vencimiento mensual del IVA asociado al consumo interno, con el objeto de aliviar temporalmente el pago de los contribuyentes ante la baja actividad económica producto del confinamiento. Dicha medida resultó en el traslado de Q1,383.6 millones de recaudación de marzo para abril; al hacer el ajuste en la recaudación acumulada a marzo la brecha aun es positiva en Q224.9 millones, monto menor al dato acumulado observado a febrero (Q539.7 millones).</w:t>
      </w:r>
    </w:p>
    <w:p w14:paraId="2760D9E5" w14:textId="77777777" w:rsidR="00D67B50" w:rsidRPr="00D67B50" w:rsidRDefault="00D67B50" w:rsidP="002C7396">
      <w:pPr>
        <w:spacing w:after="0" w:line="240" w:lineRule="auto"/>
        <w:jc w:val="both"/>
        <w:rPr>
          <w:rFonts w:ascii="Times New Roman" w:hAnsi="Times New Roman" w:cs="Times New Roman"/>
          <w:sz w:val="16"/>
          <w:szCs w:val="16"/>
        </w:rPr>
      </w:pPr>
    </w:p>
    <w:p w14:paraId="4993FE62" w14:textId="6B82980C" w:rsidR="00D67B50" w:rsidRPr="00D67B50" w:rsidRDefault="00D67B50" w:rsidP="002C7396">
      <w:pPr>
        <w:spacing w:after="0" w:line="240" w:lineRule="auto"/>
        <w:jc w:val="both"/>
        <w:rPr>
          <w:rFonts w:ascii="Times New Roman" w:hAnsi="Times New Roman" w:cs="Times New Roman"/>
        </w:rPr>
      </w:pPr>
      <w:r w:rsidRPr="00D67B50">
        <w:rPr>
          <w:rFonts w:ascii="Times New Roman" w:hAnsi="Times New Roman" w:cs="Times New Roman"/>
        </w:rPr>
        <w:t xml:space="preserve">El cierre del primer semestre de 2020 </w:t>
      </w:r>
      <w:r w:rsidR="00353326">
        <w:rPr>
          <w:rFonts w:ascii="Times New Roman" w:hAnsi="Times New Roman" w:cs="Times New Roman"/>
        </w:rPr>
        <w:t xml:space="preserve">generó </w:t>
      </w:r>
      <w:r w:rsidRPr="00D67B50">
        <w:rPr>
          <w:rFonts w:ascii="Times New Roman" w:hAnsi="Times New Roman" w:cs="Times New Roman"/>
        </w:rPr>
        <w:t>una brecha fiscal negativa de Q2,704.4 millones, el IVA asociado a las importaciones no percibió Q1,172.7 millones respecto a la meta de presupuesto, este resultado se explica por el valor de las importaciones gravadas que a junio cayeron en 9.5% y su volumen disminuyó en 4.2% respecto a lo observado en 2019.</w:t>
      </w:r>
    </w:p>
    <w:p w14:paraId="4D92C76C" w14:textId="77777777" w:rsidR="00D67B50" w:rsidRPr="00D67B50" w:rsidRDefault="00D67B50" w:rsidP="002C7396">
      <w:pPr>
        <w:spacing w:after="0" w:line="240" w:lineRule="auto"/>
        <w:jc w:val="both"/>
        <w:rPr>
          <w:rFonts w:ascii="Times New Roman" w:hAnsi="Times New Roman" w:cs="Times New Roman"/>
        </w:rPr>
      </w:pPr>
    </w:p>
    <w:p w14:paraId="12F96190" w14:textId="25758335" w:rsidR="00D67B50" w:rsidRPr="00D67B50" w:rsidRDefault="00D67B50" w:rsidP="002C7396">
      <w:pPr>
        <w:autoSpaceDE w:val="0"/>
        <w:autoSpaceDN w:val="0"/>
        <w:adjustRightInd w:val="0"/>
        <w:spacing w:after="0" w:line="240" w:lineRule="auto"/>
        <w:jc w:val="both"/>
        <w:rPr>
          <w:rFonts w:ascii="Times New Roman" w:hAnsi="Times New Roman" w:cs="Times New Roman"/>
        </w:rPr>
      </w:pPr>
      <w:r w:rsidRPr="00D67B50">
        <w:rPr>
          <w:rFonts w:ascii="Times New Roman" w:hAnsi="Times New Roman" w:cs="Times New Roman"/>
        </w:rPr>
        <w:t>La recaudación tributaria en las aduanas que más aporta</w:t>
      </w:r>
      <w:r w:rsidR="002F31CE">
        <w:rPr>
          <w:rFonts w:ascii="Times New Roman" w:hAnsi="Times New Roman" w:cs="Times New Roman"/>
        </w:rPr>
        <w:t>ron</w:t>
      </w:r>
      <w:r w:rsidRPr="00D67B50">
        <w:rPr>
          <w:rFonts w:ascii="Times New Roman" w:hAnsi="Times New Roman" w:cs="Times New Roman"/>
        </w:rPr>
        <w:t xml:space="preserve"> a la recaudación asociada al comercio vieron resultados interanuales negativos al mes de junio 2020, Puerto Quetzal (aporta el 38.4%) cayó en 13.5%, Express Aéreo (aporta el 13.7%) </w:t>
      </w:r>
      <w:r w:rsidR="005135D3" w:rsidRPr="00D67B50">
        <w:rPr>
          <w:rFonts w:ascii="Times New Roman" w:hAnsi="Times New Roman" w:cs="Times New Roman"/>
        </w:rPr>
        <w:t>cayó</w:t>
      </w:r>
      <w:r w:rsidRPr="00D67B50">
        <w:rPr>
          <w:rFonts w:ascii="Times New Roman" w:hAnsi="Times New Roman" w:cs="Times New Roman"/>
        </w:rPr>
        <w:t xml:space="preserve"> en 15.3%, Santo Tomás (aporta el 13.5%) cayó en 14.9%, , a los resultados anteriores hay que agregar el movimiento de contenedores en la Empresa Portuaria Quetzal -EPQ- y la Terminal de Contenedores Quetzal -TCQ- el cual a junio muestra una caída de 2.9%, este resultado nos indica que en 2020 se movieron 7,710 contenedores menos que los reportados en junio de 2019, lo cual afecta de manera directa a la recaudación tributaria.  </w:t>
      </w:r>
    </w:p>
    <w:p w14:paraId="0420974D" w14:textId="77777777" w:rsidR="00D67B50" w:rsidRDefault="00D67B50" w:rsidP="00D67B50">
      <w:pPr>
        <w:autoSpaceDE w:val="0"/>
        <w:autoSpaceDN w:val="0"/>
        <w:adjustRightInd w:val="0"/>
        <w:spacing w:after="0" w:line="240" w:lineRule="auto"/>
        <w:jc w:val="both"/>
        <w:rPr>
          <w:rFonts w:ascii="Times New Roman" w:hAnsi="Times New Roman" w:cs="Times New Roman"/>
        </w:rPr>
      </w:pPr>
    </w:p>
    <w:p w14:paraId="71590B1C" w14:textId="4D4015CA" w:rsidR="00C027A7" w:rsidRPr="00C027A7" w:rsidRDefault="00C027A7" w:rsidP="00C027A7">
      <w:pPr>
        <w:pStyle w:val="Epgrafe"/>
        <w:spacing w:after="0"/>
        <w:jc w:val="center"/>
        <w:rPr>
          <w:rFonts w:ascii="Times New Roman" w:hAnsi="Times New Roman" w:cs="Times New Roman"/>
          <w:b/>
          <w:color w:val="auto"/>
          <w:sz w:val="20"/>
          <w:szCs w:val="20"/>
        </w:rPr>
      </w:pPr>
      <w:bookmarkStart w:id="585" w:name="_Toc81573077"/>
      <w:r w:rsidRPr="00C027A7">
        <w:rPr>
          <w:rFonts w:ascii="Times New Roman" w:hAnsi="Times New Roman" w:cs="Times New Roman"/>
          <w:b/>
          <w:color w:val="auto"/>
          <w:sz w:val="20"/>
          <w:szCs w:val="20"/>
        </w:rPr>
        <w:t xml:space="preserve">Gráfico </w:t>
      </w:r>
      <w:r w:rsidRPr="00C027A7">
        <w:rPr>
          <w:rFonts w:ascii="Times New Roman" w:hAnsi="Times New Roman" w:cs="Times New Roman"/>
          <w:b/>
          <w:color w:val="auto"/>
          <w:sz w:val="20"/>
          <w:szCs w:val="20"/>
        </w:rPr>
        <w:fldChar w:fldCharType="begin"/>
      </w:r>
      <w:r w:rsidRPr="00C027A7">
        <w:rPr>
          <w:rFonts w:ascii="Times New Roman" w:hAnsi="Times New Roman" w:cs="Times New Roman"/>
          <w:b/>
          <w:color w:val="auto"/>
          <w:sz w:val="20"/>
          <w:szCs w:val="20"/>
        </w:rPr>
        <w:instrText xml:space="preserve"> SEQ Gráfico \* ARABIC </w:instrText>
      </w:r>
      <w:r w:rsidRPr="00C027A7">
        <w:rPr>
          <w:rFonts w:ascii="Times New Roman" w:hAnsi="Times New Roman" w:cs="Times New Roman"/>
          <w:b/>
          <w:color w:val="auto"/>
          <w:sz w:val="20"/>
          <w:szCs w:val="20"/>
        </w:rPr>
        <w:fldChar w:fldCharType="separate"/>
      </w:r>
      <w:r w:rsidR="00D6529D">
        <w:rPr>
          <w:rFonts w:ascii="Times New Roman" w:hAnsi="Times New Roman" w:cs="Times New Roman"/>
          <w:b/>
          <w:noProof/>
          <w:color w:val="auto"/>
          <w:sz w:val="20"/>
          <w:szCs w:val="20"/>
        </w:rPr>
        <w:t>27</w:t>
      </w:r>
      <w:r w:rsidRPr="00C027A7">
        <w:rPr>
          <w:rFonts w:ascii="Times New Roman" w:hAnsi="Times New Roman" w:cs="Times New Roman"/>
          <w:b/>
          <w:color w:val="auto"/>
          <w:sz w:val="20"/>
          <w:szCs w:val="20"/>
        </w:rPr>
        <w:fldChar w:fldCharType="end"/>
      </w:r>
      <w:r w:rsidRPr="00C027A7">
        <w:rPr>
          <w:rFonts w:ascii="Times New Roman" w:hAnsi="Times New Roman" w:cs="Times New Roman"/>
          <w:b/>
          <w:color w:val="auto"/>
          <w:sz w:val="20"/>
          <w:szCs w:val="20"/>
        </w:rPr>
        <w:t xml:space="preserve">  </w:t>
      </w:r>
      <w:r w:rsidRPr="00C027A7">
        <w:rPr>
          <w:rFonts w:ascii="Times New Roman" w:hAnsi="Times New Roman" w:cs="Times New Roman"/>
          <w:b/>
          <w:i w:val="0"/>
          <w:color w:val="auto"/>
          <w:sz w:val="20"/>
          <w:szCs w:val="20"/>
        </w:rPr>
        <w:t>Recaudación tributaria</w:t>
      </w:r>
      <w:r>
        <w:rPr>
          <w:rFonts w:ascii="Times New Roman" w:hAnsi="Times New Roman" w:cs="Times New Roman"/>
          <w:b/>
          <w:i w:val="0"/>
          <w:color w:val="auto"/>
          <w:sz w:val="20"/>
          <w:szCs w:val="20"/>
        </w:rPr>
        <w:t xml:space="preserve"> acumulada</w:t>
      </w:r>
      <w:bookmarkEnd w:id="585"/>
    </w:p>
    <w:tbl>
      <w:tblPr>
        <w:tblStyle w:val="Tablaconcuadrcula"/>
        <w:tblpPr w:leftFromText="141" w:rightFromText="141" w:vertAnchor="text" w:horzAnchor="margin" w:tblpXSpec="center" w:tblpY="254"/>
        <w:tblW w:w="9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05"/>
        <w:gridCol w:w="4860"/>
      </w:tblGrid>
      <w:tr w:rsidR="00D67B50" w:rsidRPr="00D67B50" w14:paraId="36EC6E54" w14:textId="77777777" w:rsidTr="00D67B50">
        <w:tc>
          <w:tcPr>
            <w:tcW w:w="4405" w:type="dxa"/>
          </w:tcPr>
          <w:p w14:paraId="000C1C79" w14:textId="77777777" w:rsidR="00D67B50" w:rsidRPr="00D67B50" w:rsidRDefault="00D67B50" w:rsidP="00D67B50">
            <w:pPr>
              <w:jc w:val="center"/>
              <w:rPr>
                <w:rFonts w:ascii="Times New Roman" w:hAnsi="Times New Roman" w:cs="Times New Roman"/>
                <w:b/>
                <w:bCs/>
                <w:sz w:val="18"/>
                <w:szCs w:val="18"/>
              </w:rPr>
            </w:pPr>
            <w:r w:rsidRPr="00D67B50">
              <w:rPr>
                <w:rFonts w:ascii="Times New Roman" w:hAnsi="Times New Roman" w:cs="Times New Roman"/>
                <w:b/>
                <w:bCs/>
                <w:sz w:val="18"/>
                <w:szCs w:val="18"/>
              </w:rPr>
              <w:t>Importaciones Gravadas y Movimiento de Carga</w:t>
            </w:r>
          </w:p>
          <w:p w14:paraId="6BAD05A0" w14:textId="77777777" w:rsidR="00D67B50" w:rsidRPr="00D67B50" w:rsidRDefault="00D67B50" w:rsidP="00D67B50">
            <w:pPr>
              <w:jc w:val="center"/>
              <w:rPr>
                <w:rFonts w:ascii="Times New Roman" w:hAnsi="Times New Roman" w:cs="Times New Roman"/>
              </w:rPr>
            </w:pPr>
            <w:r w:rsidRPr="00D67B50">
              <w:rPr>
                <w:rFonts w:ascii="Times New Roman" w:hAnsi="Times New Roman" w:cs="Times New Roman"/>
                <w:b/>
                <w:bCs/>
                <w:sz w:val="18"/>
                <w:szCs w:val="18"/>
              </w:rPr>
              <w:t>Variación interanual</w:t>
            </w:r>
          </w:p>
        </w:tc>
        <w:tc>
          <w:tcPr>
            <w:tcW w:w="4860" w:type="dxa"/>
          </w:tcPr>
          <w:p w14:paraId="67BDC9C1" w14:textId="77777777" w:rsidR="00D67B50" w:rsidRPr="00D67B50" w:rsidRDefault="00D67B50" w:rsidP="00D67B50">
            <w:pPr>
              <w:jc w:val="center"/>
              <w:rPr>
                <w:rFonts w:ascii="Times New Roman" w:hAnsi="Times New Roman" w:cs="Times New Roman"/>
                <w:b/>
                <w:bCs/>
                <w:sz w:val="18"/>
                <w:szCs w:val="18"/>
              </w:rPr>
            </w:pPr>
            <w:r w:rsidRPr="00D67B50">
              <w:rPr>
                <w:rFonts w:ascii="Times New Roman" w:hAnsi="Times New Roman" w:cs="Times New Roman"/>
                <w:b/>
                <w:bCs/>
                <w:sz w:val="18"/>
                <w:szCs w:val="18"/>
              </w:rPr>
              <w:t>Recaudación Tributaria acumulada</w:t>
            </w:r>
          </w:p>
          <w:p w14:paraId="76F1D7B0" w14:textId="77777777" w:rsidR="00D67B50" w:rsidRPr="00D67B50" w:rsidRDefault="00D67B50" w:rsidP="00D67B50">
            <w:pPr>
              <w:jc w:val="center"/>
              <w:rPr>
                <w:rFonts w:ascii="Times New Roman" w:hAnsi="Times New Roman" w:cs="Times New Roman"/>
                <w:b/>
                <w:bCs/>
                <w:sz w:val="16"/>
                <w:szCs w:val="16"/>
              </w:rPr>
            </w:pPr>
            <w:r w:rsidRPr="00D67B50">
              <w:rPr>
                <w:rFonts w:ascii="Times New Roman" w:hAnsi="Times New Roman" w:cs="Times New Roman"/>
                <w:b/>
                <w:bCs/>
                <w:sz w:val="18"/>
                <w:szCs w:val="18"/>
              </w:rPr>
              <w:t>En millones de quetzales</w:t>
            </w:r>
          </w:p>
        </w:tc>
      </w:tr>
      <w:tr w:rsidR="00D67B50" w:rsidRPr="00D67B50" w14:paraId="23B230A2" w14:textId="77777777" w:rsidTr="00D67B50">
        <w:tc>
          <w:tcPr>
            <w:tcW w:w="4405" w:type="dxa"/>
          </w:tcPr>
          <w:p w14:paraId="27515BDE" w14:textId="77777777" w:rsidR="00D67B50" w:rsidRPr="00D67B50" w:rsidRDefault="00D67B50" w:rsidP="00D67B50">
            <w:pPr>
              <w:jc w:val="both"/>
              <w:rPr>
                <w:rFonts w:ascii="Times New Roman" w:hAnsi="Times New Roman" w:cs="Times New Roman"/>
              </w:rPr>
            </w:pPr>
            <w:r w:rsidRPr="00D67B50">
              <w:rPr>
                <w:rFonts w:ascii="Times New Roman" w:hAnsi="Times New Roman" w:cs="Times New Roman"/>
                <w:noProof/>
                <w:lang w:val="es-ES" w:eastAsia="es-ES"/>
              </w:rPr>
              <w:drawing>
                <wp:anchor distT="0" distB="0" distL="114300" distR="114300" simplePos="0" relativeHeight="251982336" behindDoc="0" locked="0" layoutInCell="1" allowOverlap="1" wp14:anchorId="365DD23D" wp14:editId="1FB543C6">
                  <wp:simplePos x="0" y="0"/>
                  <wp:positionH relativeFrom="margin">
                    <wp:posOffset>43815</wp:posOffset>
                  </wp:positionH>
                  <wp:positionV relativeFrom="paragraph">
                    <wp:posOffset>63500</wp:posOffset>
                  </wp:positionV>
                  <wp:extent cx="2615565" cy="1804670"/>
                  <wp:effectExtent l="0" t="0" r="0" b="5080"/>
                  <wp:wrapSquare wrapText="bothSides"/>
                  <wp:docPr id="68" name="Grá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tc>
        <w:tc>
          <w:tcPr>
            <w:tcW w:w="4860" w:type="dxa"/>
          </w:tcPr>
          <w:p w14:paraId="773E14D5" w14:textId="77777777" w:rsidR="00D67B50" w:rsidRPr="00D67B50" w:rsidRDefault="00D67B50" w:rsidP="00D67B50">
            <w:pPr>
              <w:jc w:val="both"/>
              <w:rPr>
                <w:rFonts w:ascii="Times New Roman" w:hAnsi="Times New Roman" w:cs="Times New Roman"/>
              </w:rPr>
            </w:pPr>
            <w:r w:rsidRPr="00D67B50">
              <w:rPr>
                <w:rFonts w:ascii="Times New Roman" w:hAnsi="Times New Roman" w:cs="Times New Roman"/>
                <w:noProof/>
                <w:lang w:val="es-ES" w:eastAsia="es-ES"/>
              </w:rPr>
              <w:drawing>
                <wp:anchor distT="0" distB="0" distL="114300" distR="114300" simplePos="0" relativeHeight="251981312" behindDoc="0" locked="0" layoutInCell="1" allowOverlap="1" wp14:anchorId="5452DDA0" wp14:editId="07F5C146">
                  <wp:simplePos x="0" y="0"/>
                  <wp:positionH relativeFrom="margin">
                    <wp:posOffset>69022</wp:posOffset>
                  </wp:positionH>
                  <wp:positionV relativeFrom="paragraph">
                    <wp:posOffset>63500</wp:posOffset>
                  </wp:positionV>
                  <wp:extent cx="2806700" cy="1804035"/>
                  <wp:effectExtent l="0" t="0" r="0" b="5715"/>
                  <wp:wrapSquare wrapText="bothSides"/>
                  <wp:docPr id="72" name="Gráfico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tc>
      </w:tr>
      <w:tr w:rsidR="00D67B50" w:rsidRPr="00D67B50" w14:paraId="0E165E3E" w14:textId="77777777" w:rsidTr="00D67B50">
        <w:trPr>
          <w:trHeight w:val="270"/>
        </w:trPr>
        <w:tc>
          <w:tcPr>
            <w:tcW w:w="9265" w:type="dxa"/>
            <w:gridSpan w:val="2"/>
          </w:tcPr>
          <w:p w14:paraId="06007712" w14:textId="304D947C" w:rsidR="00D67B50" w:rsidRPr="00D67B50" w:rsidRDefault="00D67B50" w:rsidP="00D67B50">
            <w:pPr>
              <w:jc w:val="both"/>
              <w:rPr>
                <w:rFonts w:ascii="Times New Roman" w:hAnsi="Times New Roman" w:cs="Times New Roman"/>
                <w:sz w:val="16"/>
                <w:szCs w:val="14"/>
              </w:rPr>
            </w:pPr>
            <w:r w:rsidRPr="001D1FFA">
              <w:rPr>
                <w:rFonts w:ascii="Times New Roman" w:hAnsi="Times New Roman" w:cs="Times New Roman"/>
                <w:bCs/>
                <w:sz w:val="16"/>
                <w:szCs w:val="14"/>
              </w:rPr>
              <w:t>Fuente:</w:t>
            </w:r>
            <w:r w:rsidRPr="001D1FFA">
              <w:rPr>
                <w:rFonts w:ascii="Times New Roman" w:hAnsi="Times New Roman" w:cs="Times New Roman"/>
                <w:sz w:val="16"/>
                <w:szCs w:val="14"/>
              </w:rPr>
              <w:t xml:space="preserve"> </w:t>
            </w:r>
            <w:r w:rsidR="001D1FFA">
              <w:rPr>
                <w:rFonts w:ascii="Times New Roman" w:hAnsi="Times New Roman" w:cs="Times New Roman"/>
                <w:sz w:val="16"/>
                <w:szCs w:val="14"/>
              </w:rPr>
              <w:t>Dirección de Análisis y Política Fiscal</w:t>
            </w:r>
            <w:r w:rsidRPr="00D67B50">
              <w:rPr>
                <w:rFonts w:ascii="Times New Roman" w:hAnsi="Times New Roman" w:cs="Times New Roman"/>
                <w:sz w:val="16"/>
                <w:szCs w:val="14"/>
              </w:rPr>
              <w:t xml:space="preserve"> con in</w:t>
            </w:r>
            <w:r w:rsidR="001D1FFA">
              <w:rPr>
                <w:rFonts w:ascii="Times New Roman" w:hAnsi="Times New Roman" w:cs="Times New Roman"/>
                <w:sz w:val="16"/>
                <w:szCs w:val="14"/>
              </w:rPr>
              <w:t>formación del Banco de Guatemala</w:t>
            </w:r>
            <w:r w:rsidRPr="00D67B50">
              <w:rPr>
                <w:rFonts w:ascii="Times New Roman" w:hAnsi="Times New Roman" w:cs="Times New Roman"/>
                <w:sz w:val="16"/>
                <w:szCs w:val="14"/>
              </w:rPr>
              <w:t>.</w:t>
            </w:r>
          </w:p>
          <w:p w14:paraId="5AE49433" w14:textId="77777777" w:rsidR="00D67B50" w:rsidRPr="00D67B50" w:rsidRDefault="00D67B50" w:rsidP="00D67B50">
            <w:pPr>
              <w:jc w:val="both"/>
              <w:rPr>
                <w:rFonts w:ascii="Times New Roman" w:hAnsi="Times New Roman" w:cs="Times New Roman"/>
                <w:noProof/>
                <w:lang w:eastAsia="es-GT"/>
              </w:rPr>
            </w:pPr>
          </w:p>
        </w:tc>
      </w:tr>
    </w:tbl>
    <w:p w14:paraId="0B2A31B7" w14:textId="77777777" w:rsidR="00D67B50" w:rsidRPr="00D67B50" w:rsidRDefault="00D67B50" w:rsidP="00D67B50">
      <w:pPr>
        <w:autoSpaceDE w:val="0"/>
        <w:autoSpaceDN w:val="0"/>
        <w:adjustRightInd w:val="0"/>
        <w:spacing w:after="0" w:line="240" w:lineRule="auto"/>
        <w:jc w:val="both"/>
        <w:rPr>
          <w:rFonts w:ascii="Times New Roman" w:hAnsi="Times New Roman" w:cs="Times New Roman"/>
        </w:rPr>
      </w:pPr>
    </w:p>
    <w:p w14:paraId="6CC1EE01" w14:textId="461E1BAF" w:rsidR="00D67B50" w:rsidRPr="002C7396" w:rsidRDefault="002C49DE" w:rsidP="00D67B50">
      <w:pPr>
        <w:spacing w:after="0" w:line="240" w:lineRule="auto"/>
        <w:jc w:val="both"/>
        <w:rPr>
          <w:rFonts w:ascii="Times New Roman" w:hAnsi="Times New Roman" w:cs="Times New Roman"/>
        </w:rPr>
      </w:pPr>
      <w:r>
        <w:rPr>
          <w:rFonts w:ascii="Times New Roman" w:hAnsi="Times New Roman" w:cs="Times New Roman"/>
        </w:rPr>
        <w:t>Los d</w:t>
      </w:r>
      <w:r w:rsidR="00D67B50" w:rsidRPr="002C7396">
        <w:rPr>
          <w:rFonts w:ascii="Times New Roman" w:hAnsi="Times New Roman" w:cs="Times New Roman"/>
        </w:rPr>
        <w:t>eterminantes de este resultado puede</w:t>
      </w:r>
      <w:r>
        <w:rPr>
          <w:rFonts w:ascii="Times New Roman" w:hAnsi="Times New Roman" w:cs="Times New Roman"/>
        </w:rPr>
        <w:t>n</w:t>
      </w:r>
      <w:r w:rsidR="00D67B50" w:rsidRPr="002C7396">
        <w:rPr>
          <w:rFonts w:ascii="Times New Roman" w:hAnsi="Times New Roman" w:cs="Times New Roman"/>
        </w:rPr>
        <w:t xml:space="preserve"> explicarse por las importaciones gravadas que a junio cayeron en valor y volumen, los principales rubros que sufrieron esta caída fueron las gasolinas (-55%), el diésel (-61.8%), maíz amarillo (-77.3%) y el gas propano (-58.9, si se mide a través de los capítulos del sistema arancelario centroamericano se reporta una caída en 19 capítulos de 97, siendo el más afectado el de combustibles minerales (capitulo 27).</w:t>
      </w:r>
    </w:p>
    <w:p w14:paraId="66D482DD" w14:textId="77777777" w:rsidR="00D67B50" w:rsidRPr="002C7396" w:rsidRDefault="00D67B50" w:rsidP="00D67B50">
      <w:pPr>
        <w:spacing w:after="0" w:line="240" w:lineRule="auto"/>
        <w:jc w:val="both"/>
        <w:rPr>
          <w:rFonts w:ascii="Times New Roman" w:hAnsi="Times New Roman" w:cs="Times New Roman"/>
        </w:rPr>
      </w:pPr>
    </w:p>
    <w:p w14:paraId="01AD44B6" w14:textId="77777777" w:rsidR="00D67B50" w:rsidRPr="002C7396" w:rsidRDefault="00D67B50" w:rsidP="00D67B50">
      <w:pPr>
        <w:spacing w:after="0" w:line="240" w:lineRule="auto"/>
        <w:jc w:val="both"/>
        <w:rPr>
          <w:rFonts w:ascii="Times New Roman" w:hAnsi="Times New Roman" w:cs="Times New Roman"/>
        </w:rPr>
      </w:pPr>
      <w:r w:rsidRPr="002C7396">
        <w:rPr>
          <w:rFonts w:ascii="Times New Roman" w:hAnsi="Times New Roman" w:cs="Times New Roman"/>
        </w:rPr>
        <w:t>En los últimos tres meses del ejercicio fiscal 2020 la movilidad empezó a recuperarse gradualmente, la liberación del confinamiento, el relajamiento de las restricciones y las medidas de reapertura gradual del transporte público, centros comerciales, actividades laborales y otros sectores, marcaban la recuperación de la recaudación tributaria esto a pesar de que la movilidad no era igual a los niveles previos al COVID-19.</w:t>
      </w:r>
    </w:p>
    <w:p w14:paraId="6F31A739" w14:textId="77777777" w:rsidR="00D67B50" w:rsidRPr="002C7396" w:rsidRDefault="00D67B50" w:rsidP="00D67B50">
      <w:pPr>
        <w:spacing w:after="0" w:line="240" w:lineRule="auto"/>
        <w:jc w:val="both"/>
        <w:rPr>
          <w:rFonts w:ascii="Times New Roman" w:hAnsi="Times New Roman" w:cs="Times New Roman"/>
          <w:u w:val="single"/>
        </w:rPr>
      </w:pPr>
    </w:p>
    <w:p w14:paraId="5EE91CE2" w14:textId="77777777" w:rsidR="00D67B50" w:rsidRPr="002C7396" w:rsidRDefault="00D67B50" w:rsidP="00D67B50">
      <w:pPr>
        <w:spacing w:after="0" w:line="240" w:lineRule="auto"/>
        <w:jc w:val="both"/>
        <w:rPr>
          <w:rFonts w:ascii="Times New Roman" w:hAnsi="Times New Roman" w:cs="Times New Roman"/>
        </w:rPr>
      </w:pPr>
      <w:r w:rsidRPr="002C7396">
        <w:rPr>
          <w:rFonts w:ascii="Times New Roman" w:hAnsi="Times New Roman" w:cs="Times New Roman"/>
        </w:rPr>
        <w:t xml:space="preserve">La brecha </w:t>
      </w:r>
      <w:r w:rsidR="00E55B3A" w:rsidRPr="002C7396">
        <w:rPr>
          <w:rFonts w:ascii="Times New Roman" w:hAnsi="Times New Roman" w:cs="Times New Roman"/>
        </w:rPr>
        <w:t>de recaudación con respecto a presupuesto</w:t>
      </w:r>
      <w:r w:rsidRPr="002C7396">
        <w:rPr>
          <w:rFonts w:ascii="Times New Roman" w:hAnsi="Times New Roman" w:cs="Times New Roman"/>
        </w:rPr>
        <w:t xml:space="preserve"> a finales de diciembre</w:t>
      </w:r>
      <w:r w:rsidR="005D28D7" w:rsidRPr="002C7396">
        <w:rPr>
          <w:rFonts w:ascii="Times New Roman" w:hAnsi="Times New Roman" w:cs="Times New Roman"/>
        </w:rPr>
        <w:t>,</w:t>
      </w:r>
      <w:r w:rsidRPr="002C7396">
        <w:rPr>
          <w:rFonts w:ascii="Times New Roman" w:hAnsi="Times New Roman" w:cs="Times New Roman"/>
        </w:rPr>
        <w:t xml:space="preserve"> aunque negativa</w:t>
      </w:r>
      <w:r w:rsidR="005D28D7" w:rsidRPr="002C7396">
        <w:rPr>
          <w:rFonts w:ascii="Times New Roman" w:hAnsi="Times New Roman" w:cs="Times New Roman"/>
        </w:rPr>
        <w:t>,</w:t>
      </w:r>
      <w:r w:rsidRPr="002C7396">
        <w:rPr>
          <w:rFonts w:ascii="Times New Roman" w:hAnsi="Times New Roman" w:cs="Times New Roman"/>
        </w:rPr>
        <w:t xml:space="preserve"> fue menor a lo que originalmente se tenía previsto en los inicios de la pandemia (Q5,700 millones), según datos de cierre la recaudación tributaria se ubicó en Q60,279.4 millones generando una brecha fiscal de Q3,748.3 millones respecto al presupuesto, impuestos que mostraron recuperación en el último trimestre fueron el IVA doméstico y el IVA asociado al comercio exterior, este cierre representa un grado de ejecución respecto a la meta de presupuesto de 94.1% y representa el 10.1% del Producto Interno Bruto.</w:t>
      </w:r>
    </w:p>
    <w:p w14:paraId="1A6CAA40" w14:textId="77777777" w:rsidR="00B6733D" w:rsidRPr="002C7396" w:rsidRDefault="00B6733D" w:rsidP="00D67B50">
      <w:pPr>
        <w:spacing w:after="0" w:line="240" w:lineRule="auto"/>
        <w:jc w:val="both"/>
        <w:rPr>
          <w:rFonts w:ascii="Times New Roman" w:hAnsi="Times New Roman" w:cs="Times New Roman"/>
        </w:rPr>
      </w:pPr>
    </w:p>
    <w:p w14:paraId="55CC0F7F" w14:textId="66E3CC03" w:rsidR="00D67B50" w:rsidRPr="00B6733D" w:rsidRDefault="00C027A7" w:rsidP="00B6733D">
      <w:pPr>
        <w:pStyle w:val="Epgrafe"/>
        <w:spacing w:after="0"/>
        <w:jc w:val="center"/>
        <w:rPr>
          <w:rFonts w:ascii="Times New Roman" w:hAnsi="Times New Roman" w:cs="Times New Roman"/>
          <w:b/>
          <w:bCs/>
          <w:i w:val="0"/>
          <w:color w:val="auto"/>
          <w:sz w:val="22"/>
        </w:rPr>
      </w:pPr>
      <w:bookmarkStart w:id="586" w:name="_Toc81573078"/>
      <w:r w:rsidRPr="00B6733D">
        <w:rPr>
          <w:rFonts w:ascii="Times New Roman" w:hAnsi="Times New Roman" w:cs="Times New Roman"/>
          <w:b/>
          <w:color w:val="auto"/>
          <w:sz w:val="22"/>
        </w:rPr>
        <w:t xml:space="preserve">Gráfico </w:t>
      </w:r>
      <w:r w:rsidRPr="00B6733D">
        <w:rPr>
          <w:rFonts w:ascii="Times New Roman" w:hAnsi="Times New Roman" w:cs="Times New Roman"/>
          <w:b/>
          <w:color w:val="auto"/>
          <w:sz w:val="22"/>
        </w:rPr>
        <w:fldChar w:fldCharType="begin"/>
      </w:r>
      <w:r w:rsidRPr="00B6733D">
        <w:rPr>
          <w:rFonts w:ascii="Times New Roman" w:hAnsi="Times New Roman" w:cs="Times New Roman"/>
          <w:b/>
          <w:color w:val="auto"/>
          <w:sz w:val="22"/>
        </w:rPr>
        <w:instrText xml:space="preserve"> SEQ Gráfico \* ARABIC </w:instrText>
      </w:r>
      <w:r w:rsidRPr="00B6733D">
        <w:rPr>
          <w:rFonts w:ascii="Times New Roman" w:hAnsi="Times New Roman" w:cs="Times New Roman"/>
          <w:b/>
          <w:color w:val="auto"/>
          <w:sz w:val="22"/>
        </w:rPr>
        <w:fldChar w:fldCharType="separate"/>
      </w:r>
      <w:r w:rsidR="00D6529D">
        <w:rPr>
          <w:rFonts w:ascii="Times New Roman" w:hAnsi="Times New Roman" w:cs="Times New Roman"/>
          <w:b/>
          <w:noProof/>
          <w:color w:val="auto"/>
          <w:sz w:val="22"/>
        </w:rPr>
        <w:t>28</w:t>
      </w:r>
      <w:r w:rsidRPr="00B6733D">
        <w:rPr>
          <w:rFonts w:ascii="Times New Roman" w:hAnsi="Times New Roman" w:cs="Times New Roman"/>
          <w:b/>
          <w:color w:val="auto"/>
          <w:sz w:val="22"/>
        </w:rPr>
        <w:fldChar w:fldCharType="end"/>
      </w:r>
      <w:r w:rsidRPr="00B6733D">
        <w:rPr>
          <w:rFonts w:ascii="Times New Roman" w:hAnsi="Times New Roman" w:cs="Times New Roman"/>
          <w:b/>
          <w:color w:val="auto"/>
          <w:sz w:val="22"/>
        </w:rPr>
        <w:t xml:space="preserve">  </w:t>
      </w:r>
      <w:r w:rsidR="00D67B50" w:rsidRPr="00B6733D">
        <w:rPr>
          <w:rFonts w:ascii="Times New Roman" w:hAnsi="Times New Roman" w:cs="Times New Roman"/>
          <w:b/>
          <w:bCs/>
          <w:i w:val="0"/>
          <w:color w:val="auto"/>
          <w:sz w:val="22"/>
        </w:rPr>
        <w:t>Recaudación Tributaria</w:t>
      </w:r>
      <w:bookmarkEnd w:id="586"/>
    </w:p>
    <w:p w14:paraId="107B6876" w14:textId="77777777" w:rsidR="00D67B50" w:rsidRPr="00B6733D" w:rsidRDefault="00D67B50" w:rsidP="00B6733D">
      <w:pPr>
        <w:autoSpaceDE w:val="0"/>
        <w:autoSpaceDN w:val="0"/>
        <w:adjustRightInd w:val="0"/>
        <w:spacing w:after="0" w:line="240" w:lineRule="auto"/>
        <w:jc w:val="center"/>
        <w:rPr>
          <w:rFonts w:ascii="Times New Roman" w:hAnsi="Times New Roman" w:cs="Times New Roman"/>
          <w:bCs/>
          <w:szCs w:val="24"/>
        </w:rPr>
      </w:pPr>
      <w:r w:rsidRPr="00B6733D">
        <w:rPr>
          <w:rFonts w:ascii="Times New Roman" w:hAnsi="Times New Roman" w:cs="Times New Roman"/>
          <w:bCs/>
          <w:szCs w:val="24"/>
        </w:rPr>
        <w:t>Millones de quetzales</w:t>
      </w:r>
    </w:p>
    <w:p w14:paraId="69632ADD" w14:textId="77777777" w:rsidR="00D67B50" w:rsidRPr="00D67B50" w:rsidRDefault="00D67B50" w:rsidP="00D67B50">
      <w:pPr>
        <w:autoSpaceDE w:val="0"/>
        <w:autoSpaceDN w:val="0"/>
        <w:adjustRightInd w:val="0"/>
        <w:spacing w:after="0" w:line="240" w:lineRule="auto"/>
        <w:jc w:val="center"/>
        <w:rPr>
          <w:rFonts w:ascii="Times New Roman" w:hAnsi="Times New Roman" w:cs="Times New Roman"/>
          <w:b/>
          <w:bCs/>
          <w:sz w:val="24"/>
          <w:szCs w:val="24"/>
        </w:rPr>
      </w:pPr>
      <w:r w:rsidRPr="00D67B50">
        <w:rPr>
          <w:rFonts w:ascii="Times New Roman" w:hAnsi="Times New Roman" w:cs="Times New Roman"/>
          <w:b/>
          <w:noProof/>
          <w:sz w:val="24"/>
          <w:szCs w:val="24"/>
          <w:lang w:val="es-ES" w:eastAsia="es-ES"/>
        </w:rPr>
        <w:drawing>
          <wp:inline distT="0" distB="0" distL="0" distR="0" wp14:anchorId="33428B3B" wp14:editId="7A045E33">
            <wp:extent cx="4445000" cy="2703444"/>
            <wp:effectExtent l="0" t="0" r="0" b="1905"/>
            <wp:docPr id="73"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C7062BD" w14:textId="77777777" w:rsidR="00D67B50" w:rsidRPr="00D67B50" w:rsidRDefault="00D67B50" w:rsidP="00D67B50">
      <w:pPr>
        <w:spacing w:after="0" w:line="240" w:lineRule="auto"/>
        <w:jc w:val="center"/>
        <w:rPr>
          <w:rFonts w:ascii="Times New Roman" w:hAnsi="Times New Roman" w:cs="Times New Roman"/>
          <w:sz w:val="6"/>
          <w:szCs w:val="24"/>
        </w:rPr>
      </w:pPr>
    </w:p>
    <w:p w14:paraId="1E88A934" w14:textId="61BC1F5E" w:rsidR="00D67B50" w:rsidRPr="00D67B50" w:rsidRDefault="00D67B50" w:rsidP="00D67B50">
      <w:pPr>
        <w:autoSpaceDE w:val="0"/>
        <w:autoSpaceDN w:val="0"/>
        <w:adjustRightInd w:val="0"/>
        <w:spacing w:after="0" w:line="240" w:lineRule="auto"/>
        <w:ind w:left="1416"/>
        <w:jc w:val="both"/>
        <w:rPr>
          <w:rFonts w:ascii="Times New Roman" w:hAnsi="Times New Roman" w:cs="Times New Roman"/>
          <w:sz w:val="16"/>
          <w:szCs w:val="24"/>
        </w:rPr>
      </w:pPr>
      <w:r w:rsidRPr="00D67B50">
        <w:rPr>
          <w:rFonts w:ascii="Times New Roman" w:hAnsi="Times New Roman" w:cs="Times New Roman"/>
          <w:sz w:val="16"/>
          <w:szCs w:val="24"/>
        </w:rPr>
        <w:t xml:space="preserve">Fuente: </w:t>
      </w:r>
      <w:r w:rsidR="001D1FFA">
        <w:rPr>
          <w:rFonts w:ascii="Times New Roman" w:hAnsi="Times New Roman" w:cs="Times New Roman"/>
          <w:sz w:val="16"/>
          <w:szCs w:val="24"/>
        </w:rPr>
        <w:t>Dirección de Análisis y Política Fiscal</w:t>
      </w:r>
    </w:p>
    <w:p w14:paraId="7BD000BC" w14:textId="77777777" w:rsidR="00D67B50" w:rsidRPr="002C7396" w:rsidRDefault="00D67B50" w:rsidP="00D67B50">
      <w:pPr>
        <w:spacing w:after="0" w:line="240" w:lineRule="auto"/>
        <w:rPr>
          <w:rFonts w:ascii="Times New Roman" w:hAnsi="Times New Roman" w:cs="Times New Roman"/>
          <w:color w:val="FF0000"/>
          <w:sz w:val="20"/>
          <w:szCs w:val="24"/>
          <w:highlight w:val="yellow"/>
        </w:rPr>
      </w:pPr>
    </w:p>
    <w:p w14:paraId="75B92C1F" w14:textId="77777777" w:rsidR="00D67B50" w:rsidRPr="002C7396" w:rsidRDefault="00D67B50" w:rsidP="00D67B50">
      <w:pPr>
        <w:spacing w:after="0" w:line="240" w:lineRule="auto"/>
        <w:jc w:val="both"/>
        <w:rPr>
          <w:rFonts w:ascii="Times New Roman" w:hAnsi="Times New Roman" w:cs="Times New Roman"/>
          <w:szCs w:val="24"/>
        </w:rPr>
      </w:pPr>
      <w:r w:rsidRPr="002C7396">
        <w:rPr>
          <w:rFonts w:ascii="Times New Roman" w:hAnsi="Times New Roman" w:cs="Times New Roman"/>
          <w:szCs w:val="24"/>
        </w:rPr>
        <w:t>En diciembre, la reapertura gradual de la economía nacional provocó cambios positivos, varios indicadores de corto plazo apuntan a que la recuperación de la economía nacional fue mejor de lo que se había proyectado para 2020; dicho comportamiento provocó que la meta mensual de presupuesto se superara en Q763.1 millones, siendo el ISR, ISO, los derivados del petróleo y el impuesto de circulación de vehículos, los impuestos que contribuyeron con esta brecha positiva.</w:t>
      </w:r>
    </w:p>
    <w:p w14:paraId="5BDE9CF8" w14:textId="77777777" w:rsidR="00D67B50" w:rsidRPr="002C7396" w:rsidRDefault="00D67B50" w:rsidP="00D67B50">
      <w:pPr>
        <w:spacing w:after="0" w:line="240" w:lineRule="auto"/>
        <w:jc w:val="both"/>
        <w:rPr>
          <w:rFonts w:ascii="Times New Roman" w:hAnsi="Times New Roman" w:cs="Times New Roman"/>
          <w:szCs w:val="24"/>
        </w:rPr>
      </w:pPr>
    </w:p>
    <w:tbl>
      <w:tblPr>
        <w:tblStyle w:val="Tablaconcuadrcula"/>
        <w:tblW w:w="0" w:type="auto"/>
        <w:shd w:val="clear" w:color="auto" w:fill="D9E2F3" w:themeFill="accent5" w:themeFillTint="33"/>
        <w:tblLook w:val="04A0" w:firstRow="1" w:lastRow="0" w:firstColumn="1" w:lastColumn="0" w:noHBand="0" w:noVBand="1"/>
      </w:tblPr>
      <w:tblGrid>
        <w:gridCol w:w="8978"/>
      </w:tblGrid>
      <w:tr w:rsidR="00D67B50" w:rsidRPr="002C7396" w14:paraId="44EF5E16" w14:textId="77777777" w:rsidTr="00D67B50">
        <w:tc>
          <w:tcPr>
            <w:tcW w:w="8978" w:type="dxa"/>
            <w:shd w:val="clear" w:color="auto" w:fill="D9E2F3" w:themeFill="accent5" w:themeFillTint="33"/>
          </w:tcPr>
          <w:p w14:paraId="45757B22" w14:textId="087922D4" w:rsidR="003851AF" w:rsidRPr="005D08EF" w:rsidRDefault="003851AF" w:rsidP="005D08EF">
            <w:pPr>
              <w:jc w:val="center"/>
              <w:rPr>
                <w:rFonts w:ascii="Times New Roman" w:hAnsi="Times New Roman" w:cs="Times New Roman"/>
                <w:b/>
                <w:bCs/>
                <w:szCs w:val="24"/>
              </w:rPr>
            </w:pPr>
            <w:r w:rsidRPr="005D08EF">
              <w:rPr>
                <w:rFonts w:ascii="Times New Roman" w:hAnsi="Times New Roman" w:cs="Times New Roman"/>
                <w:b/>
                <w:bCs/>
                <w:szCs w:val="24"/>
              </w:rPr>
              <w:t xml:space="preserve">Recuadro </w:t>
            </w:r>
            <w:r w:rsidR="005D08EF" w:rsidRPr="005D08EF">
              <w:rPr>
                <w:rFonts w:ascii="Times New Roman" w:hAnsi="Times New Roman" w:cs="Times New Roman"/>
                <w:b/>
                <w:bCs/>
                <w:szCs w:val="24"/>
              </w:rPr>
              <w:t>3</w:t>
            </w:r>
            <w:r w:rsidR="002005A5">
              <w:rPr>
                <w:rFonts w:ascii="Times New Roman" w:hAnsi="Times New Roman" w:cs="Times New Roman"/>
                <w:b/>
                <w:bCs/>
                <w:szCs w:val="24"/>
              </w:rPr>
              <w:t>: Acciones de la SAT en 2020</w:t>
            </w:r>
          </w:p>
          <w:p w14:paraId="63649EAF" w14:textId="77777777" w:rsidR="005D08EF" w:rsidRDefault="005D08EF" w:rsidP="00D67B50">
            <w:pPr>
              <w:jc w:val="both"/>
              <w:rPr>
                <w:rFonts w:ascii="Times New Roman" w:hAnsi="Times New Roman" w:cs="Times New Roman"/>
                <w:szCs w:val="24"/>
              </w:rPr>
            </w:pPr>
          </w:p>
          <w:p w14:paraId="0638ABBE" w14:textId="15CC8DB2" w:rsidR="00D67B50" w:rsidRPr="002C7396" w:rsidRDefault="00D67B50" w:rsidP="00D67B50">
            <w:pPr>
              <w:jc w:val="both"/>
              <w:rPr>
                <w:rFonts w:ascii="Times New Roman" w:hAnsi="Times New Roman" w:cs="Times New Roman"/>
                <w:szCs w:val="24"/>
              </w:rPr>
            </w:pPr>
            <w:r w:rsidRPr="002C7396">
              <w:rPr>
                <w:rFonts w:ascii="Times New Roman" w:hAnsi="Times New Roman" w:cs="Times New Roman"/>
                <w:szCs w:val="24"/>
              </w:rPr>
              <w:t>Dentro de las principales acciones que la Superintendencia de administración Tributaria -SAT- puso en marcha para contener la caída en la recaudación tributaria del ejercicio fiscal 2020 destacan la ejecución del plan operativo anual que si bien no consideraba acciones para atender la pandemia se complementó con las acciones y medidas impulsadas las cuales tenían como objetivo potencializar el desempeño de SAT, a partir del mes de agosto se observó un cambio en la tendencia en la recaudación tributaria producto de una apertura moderada de la economía y el seguimiento de las acciones formuladas por SAT para contener la caída de la recaudación.</w:t>
            </w:r>
          </w:p>
          <w:p w14:paraId="47213CBD" w14:textId="77777777" w:rsidR="00D67B50" w:rsidRPr="002C7396" w:rsidRDefault="00D67B50" w:rsidP="00D67B50">
            <w:pPr>
              <w:jc w:val="both"/>
              <w:rPr>
                <w:rFonts w:ascii="Times New Roman" w:hAnsi="Times New Roman" w:cs="Times New Roman"/>
                <w:szCs w:val="24"/>
              </w:rPr>
            </w:pPr>
          </w:p>
          <w:p w14:paraId="6123F8A6" w14:textId="77777777" w:rsidR="00D67B50" w:rsidRPr="002C7396" w:rsidRDefault="00D67B50" w:rsidP="00D67B50">
            <w:pPr>
              <w:jc w:val="both"/>
              <w:rPr>
                <w:rFonts w:ascii="Times New Roman" w:hAnsi="Times New Roman" w:cs="Times New Roman"/>
                <w:szCs w:val="24"/>
              </w:rPr>
            </w:pPr>
            <w:r w:rsidRPr="002C7396">
              <w:rPr>
                <w:rFonts w:ascii="Times New Roman" w:hAnsi="Times New Roman" w:cs="Times New Roman"/>
                <w:szCs w:val="24"/>
              </w:rPr>
              <w:t xml:space="preserve">Las acciones realizadas por el ente recaudador se resumen en el siguiente esquema, con dichas acciones se logró superar las expectativas de medio año cuando se esperaba que la brecha de recaudación fuera cercana a Q6,000 millones al final del ejercicio la brecha </w:t>
            </w:r>
            <w:r w:rsidR="002C7396" w:rsidRPr="002C7396">
              <w:rPr>
                <w:rFonts w:ascii="Times New Roman" w:hAnsi="Times New Roman" w:cs="Times New Roman"/>
                <w:szCs w:val="24"/>
              </w:rPr>
              <w:t>fiscal,</w:t>
            </w:r>
            <w:r w:rsidRPr="002C7396">
              <w:rPr>
                <w:rFonts w:ascii="Times New Roman" w:hAnsi="Times New Roman" w:cs="Times New Roman"/>
                <w:szCs w:val="24"/>
              </w:rPr>
              <w:t xml:space="preserve"> aunque negativa fue menor de lo estimado en junio (Q3,748.3 millones) medido respecto a la meta de presupuesto.</w:t>
            </w:r>
          </w:p>
          <w:p w14:paraId="3C06D7EA" w14:textId="77777777" w:rsidR="00D67B50" w:rsidRPr="002C7396" w:rsidRDefault="00D67B50" w:rsidP="00D67B50">
            <w:pPr>
              <w:jc w:val="both"/>
              <w:rPr>
                <w:rFonts w:ascii="Times New Roman" w:hAnsi="Times New Roman" w:cs="Times New Roman"/>
                <w:szCs w:val="24"/>
              </w:rPr>
            </w:pPr>
          </w:p>
          <w:p w14:paraId="6D95FD27" w14:textId="77777777" w:rsidR="00D67B50" w:rsidRPr="002C7396" w:rsidRDefault="00D67B50" w:rsidP="00D67B50">
            <w:pPr>
              <w:jc w:val="center"/>
              <w:rPr>
                <w:rFonts w:ascii="Times New Roman" w:hAnsi="Times New Roman" w:cs="Times New Roman"/>
                <w:szCs w:val="24"/>
              </w:rPr>
            </w:pPr>
            <w:r w:rsidRPr="002C7396">
              <w:rPr>
                <w:rFonts w:ascii="Times" w:hAnsi="Times" w:cs="Segoe UI"/>
                <w:noProof/>
                <w:color w:val="2E74B5" w:themeColor="accent1" w:themeShade="BF"/>
                <w:sz w:val="20"/>
                <w:lang w:val="es-ES" w:eastAsia="es-ES"/>
              </w:rPr>
              <w:drawing>
                <wp:inline distT="0" distB="0" distL="0" distR="0" wp14:anchorId="3FFCF504" wp14:editId="149EC2D4">
                  <wp:extent cx="5302135" cy="2392597"/>
                  <wp:effectExtent l="0" t="0" r="0" b="8255"/>
                  <wp:docPr id="7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3340" t="9444" r="3847" b="15737"/>
                          <a:stretch/>
                        </pic:blipFill>
                        <pic:spPr bwMode="auto">
                          <a:xfrm>
                            <a:off x="0" y="0"/>
                            <a:ext cx="5304245" cy="2393549"/>
                          </a:xfrm>
                          <a:prstGeom prst="rect">
                            <a:avLst/>
                          </a:prstGeom>
                          <a:noFill/>
                          <a:ln>
                            <a:noFill/>
                          </a:ln>
                          <a:extLst>
                            <a:ext uri="{53640926-AAD7-44D8-BBD7-CCE9431645EC}">
                              <a14:shadowObscured xmlns:a14="http://schemas.microsoft.com/office/drawing/2010/main"/>
                            </a:ext>
                          </a:extLst>
                        </pic:spPr>
                      </pic:pic>
                    </a:graphicData>
                  </a:graphic>
                </wp:inline>
              </w:drawing>
            </w:r>
          </w:p>
          <w:p w14:paraId="2E1DB682" w14:textId="77777777" w:rsidR="00D67B50" w:rsidRPr="002C7396" w:rsidRDefault="00D67B50" w:rsidP="00D67B50">
            <w:pPr>
              <w:jc w:val="both"/>
              <w:rPr>
                <w:rFonts w:ascii="Times New Roman" w:hAnsi="Times New Roman" w:cs="Times New Roman"/>
                <w:szCs w:val="24"/>
              </w:rPr>
            </w:pPr>
          </w:p>
        </w:tc>
      </w:tr>
    </w:tbl>
    <w:p w14:paraId="2DF9490F" w14:textId="77777777" w:rsidR="00D67B50" w:rsidRDefault="00D67B50" w:rsidP="00D67B50">
      <w:pPr>
        <w:spacing w:after="0" w:line="240" w:lineRule="auto"/>
        <w:jc w:val="both"/>
        <w:rPr>
          <w:rFonts w:ascii="Times New Roman" w:hAnsi="Times New Roman" w:cs="Times New Roman"/>
          <w:sz w:val="24"/>
          <w:szCs w:val="24"/>
        </w:rPr>
      </w:pPr>
    </w:p>
    <w:p w14:paraId="4F74A0D6" w14:textId="77777777" w:rsidR="00647036" w:rsidRPr="004133EB" w:rsidRDefault="00647036" w:rsidP="001032E7">
      <w:pPr>
        <w:pStyle w:val="Prrafodelista"/>
        <w:numPr>
          <w:ilvl w:val="0"/>
          <w:numId w:val="9"/>
        </w:numPr>
        <w:shd w:val="clear" w:color="auto" w:fill="BDD6EE" w:themeFill="accent1" w:themeFillTint="66"/>
        <w:spacing w:after="0" w:line="240" w:lineRule="auto"/>
        <w:contextualSpacing w:val="0"/>
        <w:jc w:val="both"/>
        <w:outlineLvl w:val="2"/>
        <w:rPr>
          <w:rFonts w:ascii="Times New Roman" w:hAnsi="Times New Roman" w:cs="Times New Roman"/>
          <w:b/>
          <w:vanish/>
        </w:rPr>
      </w:pPr>
      <w:bookmarkStart w:id="587" w:name="_Toc14780442"/>
      <w:bookmarkStart w:id="588" w:name="_Toc14780676"/>
      <w:bookmarkStart w:id="589" w:name="_Toc14781080"/>
      <w:bookmarkStart w:id="590" w:name="_Toc14781163"/>
      <w:bookmarkStart w:id="591" w:name="_Toc14783065"/>
      <w:bookmarkStart w:id="592" w:name="_Toc14783173"/>
      <w:bookmarkStart w:id="593" w:name="_Toc14783330"/>
      <w:bookmarkStart w:id="594" w:name="_Toc14783687"/>
      <w:bookmarkStart w:id="595" w:name="_Toc14783860"/>
      <w:bookmarkStart w:id="596" w:name="_Toc14784234"/>
      <w:bookmarkStart w:id="597" w:name="_Toc14784319"/>
      <w:bookmarkStart w:id="598" w:name="_Toc14784405"/>
      <w:bookmarkStart w:id="599" w:name="_Toc14784490"/>
      <w:bookmarkStart w:id="600" w:name="_Toc14784575"/>
      <w:bookmarkStart w:id="601" w:name="_Toc14784660"/>
      <w:bookmarkStart w:id="602" w:name="_Toc14784745"/>
      <w:bookmarkStart w:id="603" w:name="_Toc14784830"/>
      <w:bookmarkStart w:id="604" w:name="_Toc14784929"/>
      <w:bookmarkStart w:id="605" w:name="_Toc14785301"/>
      <w:bookmarkStart w:id="606" w:name="_Toc14785386"/>
      <w:bookmarkStart w:id="607" w:name="_Toc14785537"/>
      <w:bookmarkStart w:id="608" w:name="_Toc14785670"/>
      <w:bookmarkStart w:id="609" w:name="_Toc14785805"/>
      <w:bookmarkStart w:id="610" w:name="_Toc14785888"/>
      <w:bookmarkStart w:id="611" w:name="_Toc14853968"/>
      <w:bookmarkStart w:id="612" w:name="_Toc14857174"/>
      <w:bookmarkStart w:id="613" w:name="_Toc14857644"/>
      <w:bookmarkStart w:id="614" w:name="_Toc16147300"/>
      <w:bookmarkStart w:id="615" w:name="_Toc16151931"/>
      <w:bookmarkStart w:id="616" w:name="_Toc16152150"/>
      <w:bookmarkStart w:id="617" w:name="_Toc16152891"/>
      <w:bookmarkStart w:id="618" w:name="_Toc16153309"/>
      <w:bookmarkStart w:id="619" w:name="_Toc16154439"/>
      <w:bookmarkStart w:id="620" w:name="_Toc16154528"/>
      <w:bookmarkStart w:id="621" w:name="_Toc16155015"/>
      <w:bookmarkStart w:id="622" w:name="_Toc48295607"/>
      <w:bookmarkStart w:id="623" w:name="_Toc48295734"/>
      <w:bookmarkStart w:id="624" w:name="_Toc48295861"/>
      <w:bookmarkStart w:id="625" w:name="_Toc48295987"/>
      <w:bookmarkStart w:id="626" w:name="_Toc48296111"/>
      <w:bookmarkStart w:id="627" w:name="_Toc48296234"/>
      <w:bookmarkStart w:id="628" w:name="_Toc48296357"/>
      <w:bookmarkStart w:id="629" w:name="_Toc48296468"/>
      <w:bookmarkStart w:id="630" w:name="_Toc48296577"/>
      <w:bookmarkStart w:id="631" w:name="_Toc48652724"/>
      <w:bookmarkStart w:id="632" w:name="_Toc48652993"/>
      <w:bookmarkStart w:id="633" w:name="_Toc48653723"/>
      <w:bookmarkStart w:id="634" w:name="_Toc48653837"/>
      <w:bookmarkStart w:id="635" w:name="_Toc48653946"/>
      <w:bookmarkStart w:id="636" w:name="_Toc48654054"/>
      <w:bookmarkStart w:id="637" w:name="_Toc49170978"/>
      <w:bookmarkStart w:id="638" w:name="_Toc49171086"/>
      <w:bookmarkStart w:id="639" w:name="_Toc49171194"/>
      <w:bookmarkStart w:id="640" w:name="_Toc49171325"/>
      <w:bookmarkStart w:id="641" w:name="_Toc49939450"/>
      <w:bookmarkStart w:id="642" w:name="_Toc73093119"/>
      <w:bookmarkStart w:id="643" w:name="_Toc73095130"/>
      <w:bookmarkStart w:id="644" w:name="_Toc73095234"/>
      <w:bookmarkStart w:id="645" w:name="_Toc73513981"/>
      <w:bookmarkStart w:id="646" w:name="_Toc81571759"/>
      <w:bookmarkStart w:id="647" w:name="_Toc81571880"/>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14:paraId="484B0A28" w14:textId="77777777" w:rsidR="00647036" w:rsidRPr="004133EB" w:rsidRDefault="00647036" w:rsidP="001032E7">
      <w:pPr>
        <w:pStyle w:val="Prrafodelista"/>
        <w:numPr>
          <w:ilvl w:val="0"/>
          <w:numId w:val="9"/>
        </w:numPr>
        <w:shd w:val="clear" w:color="auto" w:fill="BDD6EE" w:themeFill="accent1" w:themeFillTint="66"/>
        <w:spacing w:after="0" w:line="240" w:lineRule="auto"/>
        <w:contextualSpacing w:val="0"/>
        <w:jc w:val="both"/>
        <w:outlineLvl w:val="2"/>
        <w:rPr>
          <w:rFonts w:ascii="Times New Roman" w:hAnsi="Times New Roman" w:cs="Times New Roman"/>
          <w:b/>
          <w:vanish/>
        </w:rPr>
      </w:pPr>
      <w:bookmarkStart w:id="648" w:name="_Toc14780443"/>
      <w:bookmarkStart w:id="649" w:name="_Toc14780677"/>
      <w:bookmarkStart w:id="650" w:name="_Toc14781081"/>
      <w:bookmarkStart w:id="651" w:name="_Toc14781164"/>
      <w:bookmarkStart w:id="652" w:name="_Toc14783066"/>
      <w:bookmarkStart w:id="653" w:name="_Toc14783174"/>
      <w:bookmarkStart w:id="654" w:name="_Toc14783331"/>
      <w:bookmarkStart w:id="655" w:name="_Toc14783688"/>
      <w:bookmarkStart w:id="656" w:name="_Toc14783861"/>
      <w:bookmarkStart w:id="657" w:name="_Toc14784235"/>
      <w:bookmarkStart w:id="658" w:name="_Toc14784320"/>
      <w:bookmarkStart w:id="659" w:name="_Toc14784406"/>
      <w:bookmarkStart w:id="660" w:name="_Toc14784491"/>
      <w:bookmarkStart w:id="661" w:name="_Toc14784576"/>
      <w:bookmarkStart w:id="662" w:name="_Toc14784661"/>
      <w:bookmarkStart w:id="663" w:name="_Toc14784746"/>
      <w:bookmarkStart w:id="664" w:name="_Toc14784831"/>
      <w:bookmarkStart w:id="665" w:name="_Toc14784930"/>
      <w:bookmarkStart w:id="666" w:name="_Toc14785302"/>
      <w:bookmarkStart w:id="667" w:name="_Toc14785387"/>
      <w:bookmarkStart w:id="668" w:name="_Toc14785538"/>
      <w:bookmarkStart w:id="669" w:name="_Toc14785671"/>
      <w:bookmarkStart w:id="670" w:name="_Toc14785806"/>
      <w:bookmarkStart w:id="671" w:name="_Toc14785889"/>
      <w:bookmarkStart w:id="672" w:name="_Toc14853969"/>
      <w:bookmarkStart w:id="673" w:name="_Toc14857175"/>
      <w:bookmarkStart w:id="674" w:name="_Toc14857645"/>
      <w:bookmarkStart w:id="675" w:name="_Toc16147301"/>
      <w:bookmarkStart w:id="676" w:name="_Toc16151932"/>
      <w:bookmarkStart w:id="677" w:name="_Toc16152151"/>
      <w:bookmarkStart w:id="678" w:name="_Toc16152892"/>
      <w:bookmarkStart w:id="679" w:name="_Toc16153310"/>
      <w:bookmarkStart w:id="680" w:name="_Toc16154440"/>
      <w:bookmarkStart w:id="681" w:name="_Toc16154529"/>
      <w:bookmarkStart w:id="682" w:name="_Toc16155016"/>
      <w:bookmarkStart w:id="683" w:name="_Toc48295608"/>
      <w:bookmarkStart w:id="684" w:name="_Toc48295735"/>
      <w:bookmarkStart w:id="685" w:name="_Toc48295862"/>
      <w:bookmarkStart w:id="686" w:name="_Toc48295988"/>
      <w:bookmarkStart w:id="687" w:name="_Toc48296112"/>
      <w:bookmarkStart w:id="688" w:name="_Toc48296235"/>
      <w:bookmarkStart w:id="689" w:name="_Toc48296358"/>
      <w:bookmarkStart w:id="690" w:name="_Toc48296469"/>
      <w:bookmarkStart w:id="691" w:name="_Toc48296578"/>
      <w:bookmarkStart w:id="692" w:name="_Toc48652725"/>
      <w:bookmarkStart w:id="693" w:name="_Toc48652994"/>
      <w:bookmarkStart w:id="694" w:name="_Toc48653724"/>
      <w:bookmarkStart w:id="695" w:name="_Toc48653838"/>
      <w:bookmarkStart w:id="696" w:name="_Toc48653947"/>
      <w:bookmarkStart w:id="697" w:name="_Toc48654055"/>
      <w:bookmarkStart w:id="698" w:name="_Toc49170979"/>
      <w:bookmarkStart w:id="699" w:name="_Toc49171087"/>
      <w:bookmarkStart w:id="700" w:name="_Toc49171195"/>
      <w:bookmarkStart w:id="701" w:name="_Toc49171326"/>
      <w:bookmarkStart w:id="702" w:name="_Toc49939451"/>
      <w:bookmarkStart w:id="703" w:name="_Toc73093120"/>
      <w:bookmarkStart w:id="704" w:name="_Toc73095131"/>
      <w:bookmarkStart w:id="705" w:name="_Toc73095235"/>
      <w:bookmarkStart w:id="706" w:name="_Toc73513982"/>
      <w:bookmarkStart w:id="707" w:name="_Toc81571760"/>
      <w:bookmarkStart w:id="708" w:name="_Toc81571881"/>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01D18743" w14:textId="77777777" w:rsidR="00647036" w:rsidRPr="004133EB" w:rsidRDefault="00647036" w:rsidP="001032E7">
      <w:pPr>
        <w:pStyle w:val="Prrafodelista"/>
        <w:numPr>
          <w:ilvl w:val="0"/>
          <w:numId w:val="9"/>
        </w:numPr>
        <w:shd w:val="clear" w:color="auto" w:fill="BDD6EE" w:themeFill="accent1" w:themeFillTint="66"/>
        <w:spacing w:after="0" w:line="240" w:lineRule="auto"/>
        <w:contextualSpacing w:val="0"/>
        <w:jc w:val="both"/>
        <w:outlineLvl w:val="2"/>
        <w:rPr>
          <w:rFonts w:ascii="Times New Roman" w:hAnsi="Times New Roman" w:cs="Times New Roman"/>
          <w:b/>
          <w:vanish/>
        </w:rPr>
      </w:pPr>
      <w:bookmarkStart w:id="709" w:name="_Toc14780444"/>
      <w:bookmarkStart w:id="710" w:name="_Toc14780678"/>
      <w:bookmarkStart w:id="711" w:name="_Toc14781082"/>
      <w:bookmarkStart w:id="712" w:name="_Toc14781165"/>
      <w:bookmarkStart w:id="713" w:name="_Toc14783067"/>
      <w:bookmarkStart w:id="714" w:name="_Toc14783175"/>
      <w:bookmarkStart w:id="715" w:name="_Toc14783332"/>
      <w:bookmarkStart w:id="716" w:name="_Toc14783689"/>
      <w:bookmarkStart w:id="717" w:name="_Toc14783862"/>
      <w:bookmarkStart w:id="718" w:name="_Toc14784236"/>
      <w:bookmarkStart w:id="719" w:name="_Toc14784321"/>
      <w:bookmarkStart w:id="720" w:name="_Toc14784407"/>
      <w:bookmarkStart w:id="721" w:name="_Toc14784492"/>
      <w:bookmarkStart w:id="722" w:name="_Toc14784577"/>
      <w:bookmarkStart w:id="723" w:name="_Toc14784662"/>
      <w:bookmarkStart w:id="724" w:name="_Toc14784747"/>
      <w:bookmarkStart w:id="725" w:name="_Toc14784832"/>
      <w:bookmarkStart w:id="726" w:name="_Toc14784931"/>
      <w:bookmarkStart w:id="727" w:name="_Toc14785303"/>
      <w:bookmarkStart w:id="728" w:name="_Toc14785388"/>
      <w:bookmarkStart w:id="729" w:name="_Toc14785539"/>
      <w:bookmarkStart w:id="730" w:name="_Toc14785672"/>
      <w:bookmarkStart w:id="731" w:name="_Toc14785807"/>
      <w:bookmarkStart w:id="732" w:name="_Toc14785890"/>
      <w:bookmarkStart w:id="733" w:name="_Toc14853970"/>
      <w:bookmarkStart w:id="734" w:name="_Toc14857176"/>
      <w:bookmarkStart w:id="735" w:name="_Toc14857646"/>
      <w:bookmarkStart w:id="736" w:name="_Toc16147302"/>
      <w:bookmarkStart w:id="737" w:name="_Toc16151933"/>
      <w:bookmarkStart w:id="738" w:name="_Toc16152152"/>
      <w:bookmarkStart w:id="739" w:name="_Toc16152893"/>
      <w:bookmarkStart w:id="740" w:name="_Toc16153311"/>
      <w:bookmarkStart w:id="741" w:name="_Toc16154441"/>
      <w:bookmarkStart w:id="742" w:name="_Toc16154530"/>
      <w:bookmarkStart w:id="743" w:name="_Toc16155017"/>
      <w:bookmarkStart w:id="744" w:name="_Toc48295609"/>
      <w:bookmarkStart w:id="745" w:name="_Toc48295736"/>
      <w:bookmarkStart w:id="746" w:name="_Toc48295863"/>
      <w:bookmarkStart w:id="747" w:name="_Toc48295989"/>
      <w:bookmarkStart w:id="748" w:name="_Toc48296113"/>
      <w:bookmarkStart w:id="749" w:name="_Toc48296236"/>
      <w:bookmarkStart w:id="750" w:name="_Toc48296359"/>
      <w:bookmarkStart w:id="751" w:name="_Toc48296470"/>
      <w:bookmarkStart w:id="752" w:name="_Toc48296579"/>
      <w:bookmarkStart w:id="753" w:name="_Toc48652726"/>
      <w:bookmarkStart w:id="754" w:name="_Toc48652995"/>
      <w:bookmarkStart w:id="755" w:name="_Toc48653725"/>
      <w:bookmarkStart w:id="756" w:name="_Toc48653839"/>
      <w:bookmarkStart w:id="757" w:name="_Toc48653948"/>
      <w:bookmarkStart w:id="758" w:name="_Toc48654056"/>
      <w:bookmarkStart w:id="759" w:name="_Toc49170980"/>
      <w:bookmarkStart w:id="760" w:name="_Toc49171088"/>
      <w:bookmarkStart w:id="761" w:name="_Toc49171196"/>
      <w:bookmarkStart w:id="762" w:name="_Toc49171327"/>
      <w:bookmarkStart w:id="763" w:name="_Toc49939452"/>
      <w:bookmarkStart w:id="764" w:name="_Toc73093121"/>
      <w:bookmarkStart w:id="765" w:name="_Toc73095132"/>
      <w:bookmarkStart w:id="766" w:name="_Toc73095236"/>
      <w:bookmarkStart w:id="767" w:name="_Toc73513983"/>
      <w:bookmarkStart w:id="768" w:name="_Toc81571761"/>
      <w:bookmarkStart w:id="769" w:name="_Toc81571882"/>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5E3EC9F0" w14:textId="77777777" w:rsidR="00647036" w:rsidRPr="004133EB" w:rsidRDefault="00647036" w:rsidP="001032E7">
      <w:pPr>
        <w:pStyle w:val="Prrafodelista"/>
        <w:numPr>
          <w:ilvl w:val="1"/>
          <w:numId w:val="9"/>
        </w:numPr>
        <w:shd w:val="clear" w:color="auto" w:fill="BDD6EE" w:themeFill="accent1" w:themeFillTint="66"/>
        <w:spacing w:after="0" w:line="240" w:lineRule="auto"/>
        <w:contextualSpacing w:val="0"/>
        <w:jc w:val="both"/>
        <w:outlineLvl w:val="2"/>
        <w:rPr>
          <w:rFonts w:ascii="Times New Roman" w:hAnsi="Times New Roman" w:cs="Times New Roman"/>
          <w:b/>
          <w:vanish/>
        </w:rPr>
      </w:pPr>
      <w:bookmarkStart w:id="770" w:name="_Toc14780445"/>
      <w:bookmarkStart w:id="771" w:name="_Toc14780679"/>
      <w:bookmarkStart w:id="772" w:name="_Toc14781083"/>
      <w:bookmarkStart w:id="773" w:name="_Toc14781166"/>
      <w:bookmarkStart w:id="774" w:name="_Toc14783068"/>
      <w:bookmarkStart w:id="775" w:name="_Toc14783176"/>
      <w:bookmarkStart w:id="776" w:name="_Toc14783333"/>
      <w:bookmarkStart w:id="777" w:name="_Toc14783690"/>
      <w:bookmarkStart w:id="778" w:name="_Toc14783863"/>
      <w:bookmarkStart w:id="779" w:name="_Toc14784237"/>
      <w:bookmarkStart w:id="780" w:name="_Toc14784322"/>
      <w:bookmarkStart w:id="781" w:name="_Toc14784408"/>
      <w:bookmarkStart w:id="782" w:name="_Toc14784493"/>
      <w:bookmarkStart w:id="783" w:name="_Toc14784578"/>
      <w:bookmarkStart w:id="784" w:name="_Toc14784663"/>
      <w:bookmarkStart w:id="785" w:name="_Toc14784748"/>
      <w:bookmarkStart w:id="786" w:name="_Toc14784833"/>
      <w:bookmarkStart w:id="787" w:name="_Toc14784932"/>
      <w:bookmarkStart w:id="788" w:name="_Toc14785304"/>
      <w:bookmarkStart w:id="789" w:name="_Toc14785389"/>
      <w:bookmarkStart w:id="790" w:name="_Toc14785540"/>
      <w:bookmarkStart w:id="791" w:name="_Toc14785673"/>
      <w:bookmarkStart w:id="792" w:name="_Toc14785808"/>
      <w:bookmarkStart w:id="793" w:name="_Toc14785891"/>
      <w:bookmarkStart w:id="794" w:name="_Toc14853971"/>
      <w:bookmarkStart w:id="795" w:name="_Toc14857177"/>
      <w:bookmarkStart w:id="796" w:name="_Toc14857647"/>
      <w:bookmarkStart w:id="797" w:name="_Toc16147303"/>
      <w:bookmarkStart w:id="798" w:name="_Toc16151934"/>
      <w:bookmarkStart w:id="799" w:name="_Toc16152153"/>
      <w:bookmarkStart w:id="800" w:name="_Toc16152894"/>
      <w:bookmarkStart w:id="801" w:name="_Toc16153312"/>
      <w:bookmarkStart w:id="802" w:name="_Toc16154442"/>
      <w:bookmarkStart w:id="803" w:name="_Toc16154531"/>
      <w:bookmarkStart w:id="804" w:name="_Toc16155018"/>
      <w:bookmarkStart w:id="805" w:name="_Toc48295610"/>
      <w:bookmarkStart w:id="806" w:name="_Toc48295737"/>
      <w:bookmarkStart w:id="807" w:name="_Toc48295864"/>
      <w:bookmarkStart w:id="808" w:name="_Toc48295990"/>
      <w:bookmarkStart w:id="809" w:name="_Toc48296114"/>
      <w:bookmarkStart w:id="810" w:name="_Toc48296237"/>
      <w:bookmarkStart w:id="811" w:name="_Toc48296360"/>
      <w:bookmarkStart w:id="812" w:name="_Toc48296471"/>
      <w:bookmarkStart w:id="813" w:name="_Toc48296580"/>
      <w:bookmarkStart w:id="814" w:name="_Toc48652727"/>
      <w:bookmarkStart w:id="815" w:name="_Toc48652996"/>
      <w:bookmarkStart w:id="816" w:name="_Toc48653726"/>
      <w:bookmarkStart w:id="817" w:name="_Toc48653840"/>
      <w:bookmarkStart w:id="818" w:name="_Toc48653949"/>
      <w:bookmarkStart w:id="819" w:name="_Toc48654057"/>
      <w:bookmarkStart w:id="820" w:name="_Toc49170981"/>
      <w:bookmarkStart w:id="821" w:name="_Toc49171089"/>
      <w:bookmarkStart w:id="822" w:name="_Toc49171197"/>
      <w:bookmarkStart w:id="823" w:name="_Toc49171328"/>
      <w:bookmarkStart w:id="824" w:name="_Toc49939453"/>
      <w:bookmarkStart w:id="825" w:name="_Toc73093122"/>
      <w:bookmarkStart w:id="826" w:name="_Toc73095133"/>
      <w:bookmarkStart w:id="827" w:name="_Toc73095237"/>
      <w:bookmarkStart w:id="828" w:name="_Toc73513984"/>
      <w:bookmarkStart w:id="829" w:name="_Toc81571762"/>
      <w:bookmarkStart w:id="830" w:name="_Toc81571883"/>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29D5E9A9" w14:textId="77777777" w:rsidR="00647036" w:rsidRPr="004133EB" w:rsidRDefault="00647036" w:rsidP="001032E7">
      <w:pPr>
        <w:pStyle w:val="Prrafodelista"/>
        <w:numPr>
          <w:ilvl w:val="1"/>
          <w:numId w:val="9"/>
        </w:numPr>
        <w:shd w:val="clear" w:color="auto" w:fill="BDD6EE" w:themeFill="accent1" w:themeFillTint="66"/>
        <w:spacing w:after="0" w:line="240" w:lineRule="auto"/>
        <w:contextualSpacing w:val="0"/>
        <w:jc w:val="both"/>
        <w:outlineLvl w:val="2"/>
        <w:rPr>
          <w:rFonts w:ascii="Times New Roman" w:hAnsi="Times New Roman" w:cs="Times New Roman"/>
          <w:b/>
          <w:vanish/>
        </w:rPr>
      </w:pPr>
      <w:bookmarkStart w:id="831" w:name="_Toc14780446"/>
      <w:bookmarkStart w:id="832" w:name="_Toc14780680"/>
      <w:bookmarkStart w:id="833" w:name="_Toc14781084"/>
      <w:bookmarkStart w:id="834" w:name="_Toc14781167"/>
      <w:bookmarkStart w:id="835" w:name="_Toc14783069"/>
      <w:bookmarkStart w:id="836" w:name="_Toc14783177"/>
      <w:bookmarkStart w:id="837" w:name="_Toc14783334"/>
      <w:bookmarkStart w:id="838" w:name="_Toc14783691"/>
      <w:bookmarkStart w:id="839" w:name="_Toc14783864"/>
      <w:bookmarkStart w:id="840" w:name="_Toc14784238"/>
      <w:bookmarkStart w:id="841" w:name="_Toc14784323"/>
      <w:bookmarkStart w:id="842" w:name="_Toc14784409"/>
      <w:bookmarkStart w:id="843" w:name="_Toc14784494"/>
      <w:bookmarkStart w:id="844" w:name="_Toc14784579"/>
      <w:bookmarkStart w:id="845" w:name="_Toc14784664"/>
      <w:bookmarkStart w:id="846" w:name="_Toc14784749"/>
      <w:bookmarkStart w:id="847" w:name="_Toc14784834"/>
      <w:bookmarkStart w:id="848" w:name="_Toc14784933"/>
      <w:bookmarkStart w:id="849" w:name="_Toc14785305"/>
      <w:bookmarkStart w:id="850" w:name="_Toc14785390"/>
      <w:bookmarkStart w:id="851" w:name="_Toc14785541"/>
      <w:bookmarkStart w:id="852" w:name="_Toc14785674"/>
      <w:bookmarkStart w:id="853" w:name="_Toc14785809"/>
      <w:bookmarkStart w:id="854" w:name="_Toc14785892"/>
      <w:bookmarkStart w:id="855" w:name="_Toc14853972"/>
      <w:bookmarkStart w:id="856" w:name="_Toc14857178"/>
      <w:bookmarkStart w:id="857" w:name="_Toc14857648"/>
      <w:bookmarkStart w:id="858" w:name="_Toc16147304"/>
      <w:bookmarkStart w:id="859" w:name="_Toc16151935"/>
      <w:bookmarkStart w:id="860" w:name="_Toc16152154"/>
      <w:bookmarkStart w:id="861" w:name="_Toc16152895"/>
      <w:bookmarkStart w:id="862" w:name="_Toc16153313"/>
      <w:bookmarkStart w:id="863" w:name="_Toc16154443"/>
      <w:bookmarkStart w:id="864" w:name="_Toc16154532"/>
      <w:bookmarkStart w:id="865" w:name="_Toc16155019"/>
      <w:bookmarkStart w:id="866" w:name="_Toc48295611"/>
      <w:bookmarkStart w:id="867" w:name="_Toc48295738"/>
      <w:bookmarkStart w:id="868" w:name="_Toc48295865"/>
      <w:bookmarkStart w:id="869" w:name="_Toc48295991"/>
      <w:bookmarkStart w:id="870" w:name="_Toc48296115"/>
      <w:bookmarkStart w:id="871" w:name="_Toc48296238"/>
      <w:bookmarkStart w:id="872" w:name="_Toc48296361"/>
      <w:bookmarkStart w:id="873" w:name="_Toc48296472"/>
      <w:bookmarkStart w:id="874" w:name="_Toc48296581"/>
      <w:bookmarkStart w:id="875" w:name="_Toc48652728"/>
      <w:bookmarkStart w:id="876" w:name="_Toc48652997"/>
      <w:bookmarkStart w:id="877" w:name="_Toc48653727"/>
      <w:bookmarkStart w:id="878" w:name="_Toc48653841"/>
      <w:bookmarkStart w:id="879" w:name="_Toc48653950"/>
      <w:bookmarkStart w:id="880" w:name="_Toc48654058"/>
      <w:bookmarkStart w:id="881" w:name="_Toc49170982"/>
      <w:bookmarkStart w:id="882" w:name="_Toc49171090"/>
      <w:bookmarkStart w:id="883" w:name="_Toc49171198"/>
      <w:bookmarkStart w:id="884" w:name="_Toc49171329"/>
      <w:bookmarkStart w:id="885" w:name="_Toc49939454"/>
      <w:bookmarkStart w:id="886" w:name="_Toc73093123"/>
      <w:bookmarkStart w:id="887" w:name="_Toc73095134"/>
      <w:bookmarkStart w:id="888" w:name="_Toc73095238"/>
      <w:bookmarkStart w:id="889" w:name="_Toc73513985"/>
      <w:bookmarkStart w:id="890" w:name="_Toc81571763"/>
      <w:bookmarkStart w:id="891" w:name="_Toc81571884"/>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14:paraId="0E71D156" w14:textId="77777777" w:rsidR="000D5A7E" w:rsidRPr="004133EB" w:rsidRDefault="000D5A7E" w:rsidP="001032E7">
      <w:pPr>
        <w:pStyle w:val="Prrafodelista"/>
        <w:numPr>
          <w:ilvl w:val="0"/>
          <w:numId w:val="10"/>
        </w:numPr>
        <w:spacing w:after="0" w:line="240" w:lineRule="auto"/>
        <w:contextualSpacing w:val="0"/>
        <w:jc w:val="both"/>
        <w:outlineLvl w:val="2"/>
        <w:rPr>
          <w:rFonts w:ascii="Times New Roman" w:hAnsi="Times New Roman" w:cs="Times New Roman"/>
          <w:b/>
          <w:vanish/>
          <w:sz w:val="24"/>
        </w:rPr>
      </w:pPr>
      <w:bookmarkStart w:id="892" w:name="_Toc14780447"/>
      <w:bookmarkStart w:id="893" w:name="_Toc14780681"/>
      <w:bookmarkStart w:id="894" w:name="_Toc14781085"/>
      <w:bookmarkStart w:id="895" w:name="_Toc14781168"/>
      <w:bookmarkStart w:id="896" w:name="_Toc14783070"/>
      <w:bookmarkStart w:id="897" w:name="_Toc14783178"/>
      <w:bookmarkStart w:id="898" w:name="_Toc14783335"/>
      <w:bookmarkStart w:id="899" w:name="_Toc14783692"/>
      <w:bookmarkStart w:id="900" w:name="_Toc14783865"/>
      <w:bookmarkStart w:id="901" w:name="_Toc14784239"/>
      <w:bookmarkStart w:id="902" w:name="_Toc14784324"/>
      <w:bookmarkStart w:id="903" w:name="_Toc14784410"/>
      <w:bookmarkStart w:id="904" w:name="_Toc14784495"/>
      <w:bookmarkStart w:id="905" w:name="_Toc14784580"/>
      <w:bookmarkStart w:id="906" w:name="_Toc14784665"/>
      <w:bookmarkStart w:id="907" w:name="_Toc14784750"/>
      <w:bookmarkStart w:id="908" w:name="_Toc14784835"/>
      <w:bookmarkStart w:id="909" w:name="_Toc14784934"/>
      <w:bookmarkStart w:id="910" w:name="_Toc14785306"/>
      <w:bookmarkStart w:id="911" w:name="_Toc14785391"/>
      <w:bookmarkStart w:id="912" w:name="_Toc14785542"/>
      <w:bookmarkStart w:id="913" w:name="_Toc14785675"/>
      <w:bookmarkStart w:id="914" w:name="_Toc14785810"/>
      <w:bookmarkStart w:id="915" w:name="_Toc14785893"/>
      <w:bookmarkStart w:id="916" w:name="_Toc14853973"/>
      <w:bookmarkStart w:id="917" w:name="_Toc14857179"/>
      <w:bookmarkStart w:id="918" w:name="_Toc14857649"/>
      <w:bookmarkStart w:id="919" w:name="_Toc16147305"/>
      <w:bookmarkStart w:id="920" w:name="_Toc16151936"/>
      <w:bookmarkStart w:id="921" w:name="_Toc16152155"/>
      <w:bookmarkStart w:id="922" w:name="_Toc16152896"/>
      <w:bookmarkStart w:id="923" w:name="_Toc16153314"/>
      <w:bookmarkStart w:id="924" w:name="_Toc16154444"/>
      <w:bookmarkStart w:id="925" w:name="_Toc16154533"/>
      <w:bookmarkStart w:id="926" w:name="_Toc16155020"/>
      <w:bookmarkStart w:id="927" w:name="_Toc48295612"/>
      <w:bookmarkStart w:id="928" w:name="_Toc48295739"/>
      <w:bookmarkStart w:id="929" w:name="_Toc48295866"/>
      <w:bookmarkStart w:id="930" w:name="_Toc48295992"/>
      <w:bookmarkStart w:id="931" w:name="_Toc48296116"/>
      <w:bookmarkStart w:id="932" w:name="_Toc48296239"/>
      <w:bookmarkStart w:id="933" w:name="_Toc48296362"/>
      <w:bookmarkStart w:id="934" w:name="_Toc48296473"/>
      <w:bookmarkStart w:id="935" w:name="_Toc48296582"/>
      <w:bookmarkStart w:id="936" w:name="_Toc48652729"/>
      <w:bookmarkStart w:id="937" w:name="_Toc48652998"/>
      <w:bookmarkStart w:id="938" w:name="_Toc48653728"/>
      <w:bookmarkStart w:id="939" w:name="_Toc48653842"/>
      <w:bookmarkStart w:id="940" w:name="_Toc48653951"/>
      <w:bookmarkStart w:id="941" w:name="_Toc48654059"/>
      <w:bookmarkStart w:id="942" w:name="_Toc49170983"/>
      <w:bookmarkStart w:id="943" w:name="_Toc49171091"/>
      <w:bookmarkStart w:id="944" w:name="_Toc49171199"/>
      <w:bookmarkStart w:id="945" w:name="_Toc49171330"/>
      <w:bookmarkStart w:id="946" w:name="_Toc49939455"/>
      <w:bookmarkStart w:id="947" w:name="_Toc73093124"/>
      <w:bookmarkStart w:id="948" w:name="_Toc73095135"/>
      <w:bookmarkStart w:id="949" w:name="_Toc73095239"/>
      <w:bookmarkStart w:id="950" w:name="_Toc73513986"/>
      <w:bookmarkStart w:id="951" w:name="_Toc81571764"/>
      <w:bookmarkStart w:id="952" w:name="_Toc81571885"/>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14:paraId="3F789B05" w14:textId="77777777" w:rsidR="000D5A7E" w:rsidRPr="004133EB" w:rsidRDefault="000D5A7E" w:rsidP="001032E7">
      <w:pPr>
        <w:pStyle w:val="Prrafodelista"/>
        <w:numPr>
          <w:ilvl w:val="0"/>
          <w:numId w:val="10"/>
        </w:numPr>
        <w:spacing w:after="0" w:line="240" w:lineRule="auto"/>
        <w:contextualSpacing w:val="0"/>
        <w:jc w:val="both"/>
        <w:outlineLvl w:val="2"/>
        <w:rPr>
          <w:rFonts w:ascii="Times New Roman" w:hAnsi="Times New Roman" w:cs="Times New Roman"/>
          <w:b/>
          <w:vanish/>
          <w:sz w:val="24"/>
        </w:rPr>
      </w:pPr>
      <w:bookmarkStart w:id="953" w:name="_Toc16152897"/>
      <w:bookmarkStart w:id="954" w:name="_Toc16153315"/>
      <w:bookmarkStart w:id="955" w:name="_Toc16154445"/>
      <w:bookmarkStart w:id="956" w:name="_Toc16154534"/>
      <w:bookmarkStart w:id="957" w:name="_Toc16155021"/>
      <w:bookmarkStart w:id="958" w:name="_Toc48295613"/>
      <w:bookmarkStart w:id="959" w:name="_Toc48295740"/>
      <w:bookmarkStart w:id="960" w:name="_Toc48295867"/>
      <w:bookmarkStart w:id="961" w:name="_Toc48295993"/>
      <w:bookmarkStart w:id="962" w:name="_Toc48296117"/>
      <w:bookmarkStart w:id="963" w:name="_Toc48296240"/>
      <w:bookmarkStart w:id="964" w:name="_Toc48296363"/>
      <w:bookmarkStart w:id="965" w:name="_Toc48296474"/>
      <w:bookmarkStart w:id="966" w:name="_Toc48296583"/>
      <w:bookmarkStart w:id="967" w:name="_Toc48652730"/>
      <w:bookmarkStart w:id="968" w:name="_Toc48652999"/>
      <w:bookmarkStart w:id="969" w:name="_Toc48653729"/>
      <w:bookmarkStart w:id="970" w:name="_Toc48653843"/>
      <w:bookmarkStart w:id="971" w:name="_Toc48653952"/>
      <w:bookmarkStart w:id="972" w:name="_Toc48654060"/>
      <w:bookmarkStart w:id="973" w:name="_Toc49170984"/>
      <w:bookmarkStart w:id="974" w:name="_Toc49171092"/>
      <w:bookmarkStart w:id="975" w:name="_Toc49171200"/>
      <w:bookmarkStart w:id="976" w:name="_Toc49171331"/>
      <w:bookmarkStart w:id="977" w:name="_Toc49939456"/>
      <w:bookmarkStart w:id="978" w:name="_Toc73093125"/>
      <w:bookmarkStart w:id="979" w:name="_Toc73095136"/>
      <w:bookmarkStart w:id="980" w:name="_Toc73095240"/>
      <w:bookmarkStart w:id="981" w:name="_Toc73513987"/>
      <w:bookmarkStart w:id="982" w:name="_Toc81571765"/>
      <w:bookmarkStart w:id="983" w:name="_Toc81571886"/>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14:paraId="10DFF34C" w14:textId="77777777" w:rsidR="000D5A7E" w:rsidRPr="004133EB" w:rsidRDefault="000D5A7E" w:rsidP="001032E7">
      <w:pPr>
        <w:pStyle w:val="Prrafodelista"/>
        <w:numPr>
          <w:ilvl w:val="1"/>
          <w:numId w:val="10"/>
        </w:numPr>
        <w:spacing w:after="0" w:line="240" w:lineRule="auto"/>
        <w:contextualSpacing w:val="0"/>
        <w:jc w:val="both"/>
        <w:outlineLvl w:val="2"/>
        <w:rPr>
          <w:rFonts w:ascii="Times New Roman" w:hAnsi="Times New Roman" w:cs="Times New Roman"/>
          <w:b/>
          <w:vanish/>
          <w:sz w:val="24"/>
        </w:rPr>
      </w:pPr>
      <w:bookmarkStart w:id="984" w:name="_Toc16152898"/>
      <w:bookmarkStart w:id="985" w:name="_Toc16153316"/>
      <w:bookmarkStart w:id="986" w:name="_Toc16154446"/>
      <w:bookmarkStart w:id="987" w:name="_Toc16154535"/>
      <w:bookmarkStart w:id="988" w:name="_Toc16155022"/>
      <w:bookmarkStart w:id="989" w:name="_Toc48295614"/>
      <w:bookmarkStart w:id="990" w:name="_Toc48295741"/>
      <w:bookmarkStart w:id="991" w:name="_Toc48295868"/>
      <w:bookmarkStart w:id="992" w:name="_Toc48295994"/>
      <w:bookmarkStart w:id="993" w:name="_Toc48296118"/>
      <w:bookmarkStart w:id="994" w:name="_Toc48296241"/>
      <w:bookmarkStart w:id="995" w:name="_Toc48296364"/>
      <w:bookmarkStart w:id="996" w:name="_Toc48296475"/>
      <w:bookmarkStart w:id="997" w:name="_Toc48296584"/>
      <w:bookmarkStart w:id="998" w:name="_Toc48652731"/>
      <w:bookmarkStart w:id="999" w:name="_Toc48653000"/>
      <w:bookmarkStart w:id="1000" w:name="_Toc48653730"/>
      <w:bookmarkStart w:id="1001" w:name="_Toc48653844"/>
      <w:bookmarkStart w:id="1002" w:name="_Toc48653953"/>
      <w:bookmarkStart w:id="1003" w:name="_Toc48654061"/>
      <w:bookmarkStart w:id="1004" w:name="_Toc49170985"/>
      <w:bookmarkStart w:id="1005" w:name="_Toc49171093"/>
      <w:bookmarkStart w:id="1006" w:name="_Toc49171201"/>
      <w:bookmarkStart w:id="1007" w:name="_Toc49171332"/>
      <w:bookmarkStart w:id="1008" w:name="_Toc49939457"/>
      <w:bookmarkStart w:id="1009" w:name="_Toc73093126"/>
      <w:bookmarkStart w:id="1010" w:name="_Toc73095137"/>
      <w:bookmarkStart w:id="1011" w:name="_Toc73095241"/>
      <w:bookmarkStart w:id="1012" w:name="_Toc73513988"/>
      <w:bookmarkStart w:id="1013" w:name="_Toc81571766"/>
      <w:bookmarkStart w:id="1014" w:name="_Toc81571887"/>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7A857456" w14:textId="77777777" w:rsidR="001210B1" w:rsidRPr="003C14E4" w:rsidRDefault="001210B1" w:rsidP="001032E7">
      <w:pPr>
        <w:pStyle w:val="Sinespaciado"/>
        <w:numPr>
          <w:ilvl w:val="0"/>
          <w:numId w:val="36"/>
        </w:numPr>
        <w:tabs>
          <w:tab w:val="left" w:pos="993"/>
        </w:tabs>
        <w:ind w:left="567"/>
        <w:jc w:val="both"/>
        <w:outlineLvl w:val="2"/>
        <w:rPr>
          <w:rFonts w:ascii="Times New Roman" w:hAnsi="Times New Roman" w:cs="Times New Roman"/>
          <w:b/>
          <w:sz w:val="24"/>
        </w:rPr>
      </w:pPr>
      <w:bookmarkStart w:id="1015" w:name="_Toc16155024"/>
      <w:bookmarkStart w:id="1016" w:name="_Toc49939458"/>
      <w:bookmarkStart w:id="1017" w:name="_Toc81571888"/>
      <w:r w:rsidRPr="003C14E4">
        <w:rPr>
          <w:rFonts w:ascii="Times New Roman" w:hAnsi="Times New Roman" w:cs="Times New Roman"/>
          <w:b/>
          <w:sz w:val="24"/>
        </w:rPr>
        <w:t xml:space="preserve">Gasto </w:t>
      </w:r>
      <w:r w:rsidR="00784A73">
        <w:rPr>
          <w:rFonts w:ascii="Times New Roman" w:hAnsi="Times New Roman" w:cs="Times New Roman"/>
          <w:b/>
          <w:sz w:val="24"/>
        </w:rPr>
        <w:t>p</w:t>
      </w:r>
      <w:r w:rsidRPr="003C14E4">
        <w:rPr>
          <w:rFonts w:ascii="Times New Roman" w:hAnsi="Times New Roman" w:cs="Times New Roman"/>
          <w:b/>
          <w:sz w:val="24"/>
        </w:rPr>
        <w:t>úblico</w:t>
      </w:r>
      <w:bookmarkEnd w:id="1015"/>
      <w:bookmarkEnd w:id="1016"/>
      <w:bookmarkEnd w:id="1017"/>
    </w:p>
    <w:p w14:paraId="6CCCFD40" w14:textId="77777777" w:rsidR="00CC06E7" w:rsidRPr="004133EB" w:rsidRDefault="00CC06E7" w:rsidP="002C7396">
      <w:pPr>
        <w:pStyle w:val="Sinespaciado"/>
        <w:ind w:left="1418"/>
        <w:jc w:val="both"/>
        <w:rPr>
          <w:rFonts w:ascii="Times New Roman" w:hAnsi="Times New Roman" w:cs="Times New Roman"/>
          <w:b/>
        </w:rPr>
      </w:pPr>
    </w:p>
    <w:p w14:paraId="0F1C83C1" w14:textId="77777777" w:rsidR="00024D23" w:rsidRPr="004133EB" w:rsidRDefault="00130097" w:rsidP="002C7396">
      <w:pPr>
        <w:spacing w:after="0" w:line="240" w:lineRule="auto"/>
        <w:jc w:val="both"/>
        <w:rPr>
          <w:rFonts w:ascii="Times New Roman" w:hAnsi="Times New Roman" w:cs="Times New Roman"/>
        </w:rPr>
      </w:pPr>
      <w:r w:rsidRPr="00130097">
        <w:rPr>
          <w:rFonts w:ascii="Times New Roman" w:hAnsi="Times New Roman" w:cs="Times New Roman"/>
        </w:rPr>
        <w:t xml:space="preserve">En el </w:t>
      </w:r>
      <w:r w:rsidR="00024D23" w:rsidRPr="004133EB">
        <w:rPr>
          <w:rFonts w:ascii="Times New Roman" w:hAnsi="Times New Roman" w:cs="Times New Roman"/>
        </w:rPr>
        <w:t xml:space="preserve">2019 se tenía previsto un desempeño favorable de la ejecución de gasto público, teniendo en cuenta </w:t>
      </w:r>
      <w:r w:rsidR="001E0E44" w:rsidRPr="004133EB">
        <w:rPr>
          <w:rFonts w:ascii="Times New Roman" w:hAnsi="Times New Roman" w:cs="Times New Roman"/>
        </w:rPr>
        <w:t>que,</w:t>
      </w:r>
      <w:r w:rsidR="00024D23" w:rsidRPr="004133EB">
        <w:rPr>
          <w:rFonts w:ascii="Times New Roman" w:hAnsi="Times New Roman" w:cs="Times New Roman"/>
        </w:rPr>
        <w:t xml:space="preserve"> al ser el último año de gestión de la administración pública</w:t>
      </w:r>
      <w:r w:rsidR="001E0E44" w:rsidRPr="004133EB">
        <w:rPr>
          <w:rFonts w:ascii="Times New Roman" w:hAnsi="Times New Roman" w:cs="Times New Roman"/>
        </w:rPr>
        <w:t>,</w:t>
      </w:r>
      <w:r w:rsidR="00024D23" w:rsidRPr="004133EB">
        <w:rPr>
          <w:rFonts w:ascii="Times New Roman" w:hAnsi="Times New Roman" w:cs="Times New Roman"/>
        </w:rPr>
        <w:t xml:space="preserve"> la ejecución de algunos programas se iba a acelerar. De esa cuenta, la ejecución efectivamente fue alta, ubicá</w:t>
      </w:r>
      <w:r w:rsidR="00C94429">
        <w:rPr>
          <w:rFonts w:ascii="Times New Roman" w:hAnsi="Times New Roman" w:cs="Times New Roman"/>
        </w:rPr>
        <w:t>ndose en 93.8%, aunque no superó</w:t>
      </w:r>
      <w:r w:rsidR="00024D23" w:rsidRPr="004133EB">
        <w:rPr>
          <w:rFonts w:ascii="Times New Roman" w:hAnsi="Times New Roman" w:cs="Times New Roman"/>
        </w:rPr>
        <w:t xml:space="preserve"> a la observada en 2018 (96.0%), es importante hacer notar que en </w:t>
      </w:r>
      <w:r w:rsidR="00C94429">
        <w:rPr>
          <w:rFonts w:ascii="Times New Roman" w:hAnsi="Times New Roman" w:cs="Times New Roman"/>
        </w:rPr>
        <w:t>este último</w:t>
      </w:r>
      <w:r w:rsidR="00024D23" w:rsidRPr="004133EB">
        <w:rPr>
          <w:rFonts w:ascii="Times New Roman" w:hAnsi="Times New Roman" w:cs="Times New Roman"/>
        </w:rPr>
        <w:t xml:space="preserve"> año el presupuesto no fue aprobado</w:t>
      </w:r>
      <w:r w:rsidR="00C94429">
        <w:rPr>
          <w:rFonts w:ascii="Times New Roman" w:hAnsi="Times New Roman" w:cs="Times New Roman"/>
        </w:rPr>
        <w:t xml:space="preserve"> por el Congreso de la República</w:t>
      </w:r>
      <w:r w:rsidR="00024D23" w:rsidRPr="004133EB">
        <w:rPr>
          <w:rFonts w:ascii="Times New Roman" w:hAnsi="Times New Roman" w:cs="Times New Roman"/>
        </w:rPr>
        <w:t>.</w:t>
      </w:r>
    </w:p>
    <w:p w14:paraId="53F72E32" w14:textId="77777777" w:rsidR="00E56E65" w:rsidRPr="004133EB" w:rsidRDefault="00E56E65" w:rsidP="002C7396">
      <w:pPr>
        <w:spacing w:after="0" w:line="240" w:lineRule="auto"/>
        <w:rPr>
          <w:rFonts w:ascii="Times New Roman" w:hAnsi="Times New Roman" w:cs="Times New Roman"/>
        </w:rPr>
      </w:pPr>
    </w:p>
    <w:p w14:paraId="3DB92DD7" w14:textId="1A2E11B3" w:rsidR="00024D23" w:rsidRPr="004133EB" w:rsidRDefault="00024D23" w:rsidP="002C7396">
      <w:pPr>
        <w:spacing w:after="0" w:line="240" w:lineRule="auto"/>
        <w:jc w:val="both"/>
        <w:rPr>
          <w:rFonts w:ascii="Times New Roman" w:hAnsi="Times New Roman" w:cs="Times New Roman"/>
        </w:rPr>
      </w:pPr>
      <w:r w:rsidRPr="004133EB">
        <w:rPr>
          <w:rFonts w:ascii="Times New Roman" w:hAnsi="Times New Roman" w:cs="Times New Roman"/>
        </w:rPr>
        <w:t xml:space="preserve">Uno de los factores clave de la ejecución presupuestaria de 2019 fue la aprobación del Presupuesto General de Ingresos y Egresos para el Ejercicio Fiscal 2019, por medio del Decreto 25-2018, el monto inicial del mismo ascendió a Q87,715.1 millones. El contar con un presupuesto propio para 2019 facilitó el trabajo de las entidades con relación a que el presupuesto estaba acorde a las necesidades institucionales y las actividades contaban con la fuente de financiamiento debidamente identificada desde el principio para asegurar su ejecución. </w:t>
      </w:r>
      <w:r w:rsidR="001E0E44" w:rsidRPr="004133EB">
        <w:rPr>
          <w:rFonts w:ascii="Times New Roman" w:hAnsi="Times New Roman" w:cs="Times New Roman"/>
        </w:rPr>
        <w:t>Por lo cual, el presupuesto era funcional para los objetivos que se habían planteado.</w:t>
      </w:r>
      <w:r w:rsidR="00E4773A">
        <w:rPr>
          <w:rFonts w:ascii="Times New Roman" w:hAnsi="Times New Roman" w:cs="Times New Roman"/>
        </w:rPr>
        <w:t xml:space="preserve">  </w:t>
      </w:r>
      <w:r w:rsidRPr="004133EB">
        <w:rPr>
          <w:rFonts w:ascii="Times New Roman" w:hAnsi="Times New Roman" w:cs="Times New Roman"/>
        </w:rPr>
        <w:t xml:space="preserve">Lo anterior fue evidente durante el primer cuatrimestre </w:t>
      </w:r>
      <w:r w:rsidR="007701E8">
        <w:rPr>
          <w:rFonts w:ascii="Times New Roman" w:hAnsi="Times New Roman" w:cs="Times New Roman"/>
        </w:rPr>
        <w:t>de</w:t>
      </w:r>
      <w:r w:rsidRPr="004133EB">
        <w:rPr>
          <w:rFonts w:ascii="Times New Roman" w:hAnsi="Times New Roman" w:cs="Times New Roman"/>
        </w:rPr>
        <w:t xml:space="preserve"> 2019, con tasas de crecimiento superiores al 18.0% y </w:t>
      </w:r>
      <w:r w:rsidR="0092793C" w:rsidRPr="004133EB">
        <w:rPr>
          <w:rFonts w:ascii="Times New Roman" w:hAnsi="Times New Roman" w:cs="Times New Roman"/>
        </w:rPr>
        <w:t>persistentemente</w:t>
      </w:r>
      <w:r w:rsidRPr="004133EB">
        <w:rPr>
          <w:rFonts w:ascii="Times New Roman" w:hAnsi="Times New Roman" w:cs="Times New Roman"/>
        </w:rPr>
        <w:t xml:space="preserve"> de dos dígitos para el resto del año, cerrando con un crecimiento interanual de 10.0%. Esto permitió el cumplimiento de los objetivos de las entidades y coadyuvó al logro de resultados en materia de política pública.</w:t>
      </w:r>
    </w:p>
    <w:p w14:paraId="042067A7" w14:textId="77777777" w:rsidR="008C4D3C" w:rsidRPr="004133EB" w:rsidRDefault="008C4D3C" w:rsidP="002C7396">
      <w:pPr>
        <w:spacing w:after="0" w:line="240" w:lineRule="auto"/>
        <w:jc w:val="both"/>
        <w:rPr>
          <w:rFonts w:ascii="Times New Roman" w:hAnsi="Times New Roman" w:cs="Times New Roman"/>
        </w:rPr>
      </w:pPr>
    </w:p>
    <w:p w14:paraId="6A351D46" w14:textId="77777777" w:rsidR="00024D23" w:rsidRPr="004133EB" w:rsidRDefault="00024D23" w:rsidP="002C7396">
      <w:pPr>
        <w:spacing w:after="0" w:line="240" w:lineRule="auto"/>
        <w:jc w:val="both"/>
        <w:rPr>
          <w:rFonts w:ascii="Times New Roman" w:hAnsi="Times New Roman" w:cs="Times New Roman"/>
        </w:rPr>
      </w:pPr>
      <w:r w:rsidRPr="004133EB">
        <w:rPr>
          <w:rFonts w:ascii="Times New Roman" w:hAnsi="Times New Roman" w:cs="Times New Roman"/>
        </w:rPr>
        <w:t>La ejecución de gasto al cierre de 2019 se situó (sin incluir las amortizaciones de deuda pública) en Q79,836.2 millones, con un crecimiento interanual de 9.8%, superior a</w:t>
      </w:r>
      <w:r w:rsidR="00EE3E86" w:rsidRPr="004133EB">
        <w:rPr>
          <w:rFonts w:ascii="Times New Roman" w:hAnsi="Times New Roman" w:cs="Times New Roman"/>
        </w:rPr>
        <w:t>l observado en</w:t>
      </w:r>
      <w:r w:rsidRPr="004133EB">
        <w:rPr>
          <w:rFonts w:ascii="Times New Roman" w:hAnsi="Times New Roman" w:cs="Times New Roman"/>
        </w:rPr>
        <w:t xml:space="preserve"> 2018, con un aumento nominal de Q7,125.6 millones</w:t>
      </w:r>
      <w:r w:rsidR="007701E8">
        <w:rPr>
          <w:rFonts w:ascii="Times New Roman" w:hAnsi="Times New Roman" w:cs="Times New Roman"/>
        </w:rPr>
        <w:t>. Asi</w:t>
      </w:r>
      <w:r w:rsidRPr="004133EB">
        <w:rPr>
          <w:rFonts w:ascii="Times New Roman" w:hAnsi="Times New Roman" w:cs="Times New Roman"/>
        </w:rPr>
        <w:t>mismo</w:t>
      </w:r>
      <w:r w:rsidR="007701E8">
        <w:rPr>
          <w:rFonts w:ascii="Times New Roman" w:hAnsi="Times New Roman" w:cs="Times New Roman"/>
        </w:rPr>
        <w:t>,</w:t>
      </w:r>
      <w:r w:rsidRPr="004133EB">
        <w:rPr>
          <w:rFonts w:ascii="Times New Roman" w:hAnsi="Times New Roman" w:cs="Times New Roman"/>
        </w:rPr>
        <w:t xml:space="preserve"> dicho crecimiento fue superior a lo observado en los tres años anteriores. En enero de 2019 el crecimiento interanual experimen</w:t>
      </w:r>
      <w:r w:rsidR="00EE3E86" w:rsidRPr="004133EB">
        <w:rPr>
          <w:rFonts w:ascii="Times New Roman" w:hAnsi="Times New Roman" w:cs="Times New Roman"/>
        </w:rPr>
        <w:t>tado fue alto ubicándose en 20.9%</w:t>
      </w:r>
      <w:r w:rsidRPr="004133EB">
        <w:rPr>
          <w:rFonts w:ascii="Times New Roman" w:hAnsi="Times New Roman" w:cs="Times New Roman"/>
        </w:rPr>
        <w:t>, siendo el más alto reportado en el año, y se debió principalmente al aporte extraordinario al Tribunal Supremo Electoral (TSE) por Q252.1</w:t>
      </w:r>
      <w:r w:rsidR="007701E8">
        <w:rPr>
          <w:rFonts w:ascii="Times New Roman" w:hAnsi="Times New Roman" w:cs="Times New Roman"/>
        </w:rPr>
        <w:t xml:space="preserve"> millones</w:t>
      </w:r>
      <w:r w:rsidRPr="004133EB">
        <w:rPr>
          <w:rFonts w:ascii="Times New Roman" w:hAnsi="Times New Roman" w:cs="Times New Roman"/>
        </w:rPr>
        <w:t xml:space="preserve"> derivado de las Elecciones Generales que se llevaron a cabo en este año, el aporte total dado al TSE ascendió a Q522.9 millones y fue transferido en gran parte entre enero y febrero. </w:t>
      </w:r>
      <w:r w:rsidR="00132D23">
        <w:rPr>
          <w:rFonts w:ascii="Times New Roman" w:hAnsi="Times New Roman" w:cs="Times New Roman"/>
        </w:rPr>
        <w:t>Además</w:t>
      </w:r>
      <w:r w:rsidRPr="004133EB">
        <w:rPr>
          <w:rFonts w:ascii="Times New Roman" w:hAnsi="Times New Roman" w:cs="Times New Roman"/>
        </w:rPr>
        <w:t xml:space="preserve">, se dio el primer pago de la alimentación escolar, la cual aumentó en ese año la asignación diaria por estudiante, y la valija didáctica para el personal docente.  </w:t>
      </w:r>
    </w:p>
    <w:p w14:paraId="12B0FBB2" w14:textId="77777777" w:rsidR="008C4D3C" w:rsidRPr="004133EB" w:rsidRDefault="008C4D3C" w:rsidP="002C7396">
      <w:pPr>
        <w:spacing w:after="0" w:line="240" w:lineRule="auto"/>
        <w:jc w:val="both"/>
        <w:rPr>
          <w:rFonts w:ascii="Times New Roman" w:hAnsi="Times New Roman" w:cs="Times New Roman"/>
        </w:rPr>
      </w:pPr>
    </w:p>
    <w:p w14:paraId="2AB49968" w14:textId="77777777" w:rsidR="00024D23" w:rsidRPr="004133EB" w:rsidRDefault="00024D23" w:rsidP="002C7396">
      <w:pPr>
        <w:spacing w:after="0" w:line="240" w:lineRule="auto"/>
        <w:jc w:val="both"/>
        <w:rPr>
          <w:rFonts w:ascii="Times New Roman" w:hAnsi="Times New Roman" w:cs="Times New Roman"/>
        </w:rPr>
      </w:pPr>
      <w:r w:rsidRPr="004133EB">
        <w:rPr>
          <w:rFonts w:ascii="Times New Roman" w:hAnsi="Times New Roman" w:cs="Times New Roman"/>
        </w:rPr>
        <w:t xml:space="preserve">Otro elemento relevante de la ejecución de 2019 es en relación </w:t>
      </w:r>
      <w:r w:rsidR="00E975A3" w:rsidRPr="004133EB">
        <w:rPr>
          <w:rFonts w:ascii="Times New Roman" w:hAnsi="Times New Roman" w:cs="Times New Roman"/>
        </w:rPr>
        <w:t>a</w:t>
      </w:r>
      <w:r w:rsidRPr="004133EB">
        <w:rPr>
          <w:rFonts w:ascii="Times New Roman" w:hAnsi="Times New Roman" w:cs="Times New Roman"/>
        </w:rPr>
        <w:t xml:space="preserve"> la conclusión del proceso de asimilación de los nuevos sistemas de control de la Contraloría General de Cuentas y la aplicación de las nuevas normas de contrataciones del Estado, esto en años anteriores había propiciado una rigidez en la ejecución del gasto, misma que se empezó a desvanecer a partir del año 2018.</w:t>
      </w:r>
    </w:p>
    <w:p w14:paraId="6D6DF808" w14:textId="77777777" w:rsidR="008C4D3C" w:rsidRPr="004133EB" w:rsidRDefault="008C4D3C" w:rsidP="002C7396">
      <w:pPr>
        <w:spacing w:after="0" w:line="240" w:lineRule="auto"/>
        <w:jc w:val="both"/>
        <w:rPr>
          <w:rFonts w:ascii="Times New Roman" w:hAnsi="Times New Roman" w:cs="Times New Roman"/>
        </w:rPr>
      </w:pPr>
    </w:p>
    <w:p w14:paraId="2ED12F29" w14:textId="77777777" w:rsidR="00024D23" w:rsidRPr="004133EB" w:rsidRDefault="00024D23" w:rsidP="002C7396">
      <w:pPr>
        <w:spacing w:after="0" w:line="240" w:lineRule="auto"/>
        <w:jc w:val="both"/>
        <w:rPr>
          <w:rFonts w:ascii="Times New Roman" w:hAnsi="Times New Roman" w:cs="Times New Roman"/>
        </w:rPr>
      </w:pPr>
      <w:r w:rsidRPr="004133EB">
        <w:rPr>
          <w:rFonts w:ascii="Times New Roman" w:hAnsi="Times New Roman" w:cs="Times New Roman"/>
        </w:rPr>
        <w:t xml:space="preserve">A nivel de rubro de la cuenta económica del gasto, se </w:t>
      </w:r>
      <w:r w:rsidR="00132D23">
        <w:rPr>
          <w:rFonts w:ascii="Times New Roman" w:hAnsi="Times New Roman" w:cs="Times New Roman"/>
        </w:rPr>
        <w:t xml:space="preserve">pueden apreciar las variaciones relevantes en términos de la ejecución presupuestaria en dicho año, en la que destacan </w:t>
      </w:r>
      <w:r w:rsidRPr="004133EB">
        <w:rPr>
          <w:rFonts w:ascii="Times New Roman" w:hAnsi="Times New Roman" w:cs="Times New Roman"/>
        </w:rPr>
        <w:t>las remuneraciones</w:t>
      </w:r>
      <w:r w:rsidR="00132D23">
        <w:rPr>
          <w:rFonts w:ascii="Times New Roman" w:hAnsi="Times New Roman" w:cs="Times New Roman"/>
        </w:rPr>
        <w:t xml:space="preserve"> por el peso que tienen dentro del gasto total</w:t>
      </w:r>
      <w:r w:rsidRPr="004133EB">
        <w:rPr>
          <w:rFonts w:ascii="Times New Roman" w:hAnsi="Times New Roman" w:cs="Times New Roman"/>
        </w:rPr>
        <w:t>,</w:t>
      </w:r>
      <w:r w:rsidR="00132D23">
        <w:rPr>
          <w:rFonts w:ascii="Times New Roman" w:hAnsi="Times New Roman" w:cs="Times New Roman"/>
        </w:rPr>
        <w:t xml:space="preserve"> las cuales </w:t>
      </w:r>
      <w:r w:rsidRPr="004133EB">
        <w:rPr>
          <w:rFonts w:ascii="Times New Roman" w:hAnsi="Times New Roman" w:cs="Times New Roman"/>
        </w:rPr>
        <w:t>se situaron en Q26,035.5 millones, con un aumento con respecto a 2018 de</w:t>
      </w:r>
      <w:r w:rsidR="00132D23">
        <w:rPr>
          <w:rFonts w:ascii="Times New Roman" w:hAnsi="Times New Roman" w:cs="Times New Roman"/>
        </w:rPr>
        <w:t xml:space="preserve"> Q</w:t>
      </w:r>
      <w:r w:rsidRPr="004133EB">
        <w:rPr>
          <w:rFonts w:ascii="Times New Roman" w:hAnsi="Times New Roman" w:cs="Times New Roman"/>
        </w:rPr>
        <w:t>2,740.7 millones (11.8%), resultado de las mejoras salariales en</w:t>
      </w:r>
      <w:r w:rsidR="00132D23">
        <w:rPr>
          <w:rFonts w:ascii="Times New Roman" w:hAnsi="Times New Roman" w:cs="Times New Roman"/>
        </w:rPr>
        <w:t xml:space="preserve"> </w:t>
      </w:r>
      <w:r w:rsidRPr="004133EB">
        <w:rPr>
          <w:rFonts w:ascii="Times New Roman" w:hAnsi="Times New Roman" w:cs="Times New Roman"/>
        </w:rPr>
        <w:t>l</w:t>
      </w:r>
      <w:r w:rsidR="00132D23">
        <w:rPr>
          <w:rFonts w:ascii="Times New Roman" w:hAnsi="Times New Roman" w:cs="Times New Roman"/>
        </w:rPr>
        <w:t>os</w:t>
      </w:r>
      <w:r w:rsidRPr="004133EB">
        <w:rPr>
          <w:rFonts w:ascii="Times New Roman" w:hAnsi="Times New Roman" w:cs="Times New Roman"/>
        </w:rPr>
        <w:t xml:space="preserve"> Ministerio</w:t>
      </w:r>
      <w:r w:rsidR="00132D23">
        <w:rPr>
          <w:rFonts w:ascii="Times New Roman" w:hAnsi="Times New Roman" w:cs="Times New Roman"/>
        </w:rPr>
        <w:t>s</w:t>
      </w:r>
      <w:r w:rsidRPr="004133EB">
        <w:rPr>
          <w:rFonts w:ascii="Times New Roman" w:hAnsi="Times New Roman" w:cs="Times New Roman"/>
        </w:rPr>
        <w:t xml:space="preserve"> de Educación, Salud Pública y Asistencia Social y Gobernación.</w:t>
      </w:r>
    </w:p>
    <w:p w14:paraId="2A0B133C" w14:textId="77777777" w:rsidR="00024D23" w:rsidRPr="004133EB" w:rsidRDefault="00024D23" w:rsidP="002C7396">
      <w:pPr>
        <w:spacing w:after="0" w:line="240" w:lineRule="auto"/>
        <w:jc w:val="both"/>
        <w:rPr>
          <w:rFonts w:ascii="Times New Roman" w:hAnsi="Times New Roman" w:cs="Times New Roman"/>
        </w:rPr>
      </w:pPr>
    </w:p>
    <w:p w14:paraId="05EDA863" w14:textId="77777777" w:rsidR="00024D23" w:rsidRPr="004133EB" w:rsidRDefault="00024D23" w:rsidP="002C7396">
      <w:pPr>
        <w:spacing w:after="0" w:line="240" w:lineRule="auto"/>
        <w:jc w:val="both"/>
        <w:rPr>
          <w:rFonts w:ascii="Times New Roman" w:hAnsi="Times New Roman" w:cs="Times New Roman"/>
        </w:rPr>
      </w:pPr>
      <w:r w:rsidRPr="004133EB">
        <w:rPr>
          <w:rFonts w:ascii="Times New Roman" w:hAnsi="Times New Roman" w:cs="Times New Roman"/>
        </w:rPr>
        <w:t>En el caso de Educación, el crecimiento interanual fue de 1</w:t>
      </w:r>
      <w:r w:rsidR="005B5752" w:rsidRPr="004133EB">
        <w:rPr>
          <w:rFonts w:ascii="Times New Roman" w:hAnsi="Times New Roman" w:cs="Times New Roman"/>
        </w:rPr>
        <w:t>3</w:t>
      </w:r>
      <w:r w:rsidRPr="004133EB">
        <w:rPr>
          <w:rFonts w:ascii="Times New Roman" w:hAnsi="Times New Roman" w:cs="Times New Roman"/>
        </w:rPr>
        <w:t>.</w:t>
      </w:r>
      <w:r w:rsidR="005B5752" w:rsidRPr="004133EB">
        <w:rPr>
          <w:rFonts w:ascii="Times New Roman" w:hAnsi="Times New Roman" w:cs="Times New Roman"/>
        </w:rPr>
        <w:t>0</w:t>
      </w:r>
      <w:r w:rsidRPr="004133EB">
        <w:rPr>
          <w:rFonts w:ascii="Times New Roman" w:hAnsi="Times New Roman" w:cs="Times New Roman"/>
        </w:rPr>
        <w:t xml:space="preserve">%, el cual se debió a que la nómina del magisterio nacional es considerable y el aumento mensual fue de Q500.0, lo cual incidió significativamente en la ejecución y crecimiento de este rubro. Asimismo, el Ministerio de Salud Pública hizo un ajuste salarial que depende del nivel actual de ingreso del trabajador, es decir, el aumento es mayor en la medida en que el ingreso del trabajador es más bajo y viceversa, dicho aumento se realizó al personal médico y administrativo, por lo cual, el crecimiento interanual de este rubro fue de 41.7%. Es importante considerar que estas dos entidades tienen aumentos anuales por concepto de escalafón o por antigüedad, lo que incide anualmente en el volumen de la nómina estatal.  </w:t>
      </w:r>
    </w:p>
    <w:p w14:paraId="09618B4D" w14:textId="77777777" w:rsidR="00024D23" w:rsidRPr="004133EB" w:rsidRDefault="00024D23" w:rsidP="002C7396">
      <w:pPr>
        <w:spacing w:after="0" w:line="240" w:lineRule="auto"/>
        <w:jc w:val="both"/>
        <w:rPr>
          <w:rFonts w:ascii="Times New Roman" w:hAnsi="Times New Roman" w:cs="Times New Roman"/>
        </w:rPr>
      </w:pPr>
    </w:p>
    <w:p w14:paraId="7E29B853" w14:textId="77777777" w:rsidR="00024D23" w:rsidRPr="004133EB" w:rsidRDefault="00024D23" w:rsidP="002C7396">
      <w:pPr>
        <w:spacing w:after="0" w:line="240" w:lineRule="auto"/>
        <w:jc w:val="both"/>
        <w:rPr>
          <w:rFonts w:ascii="Times New Roman" w:hAnsi="Times New Roman" w:cs="Times New Roman"/>
        </w:rPr>
      </w:pPr>
      <w:r w:rsidRPr="004133EB">
        <w:rPr>
          <w:rFonts w:ascii="Times New Roman" w:hAnsi="Times New Roman" w:cs="Times New Roman"/>
        </w:rPr>
        <w:t xml:space="preserve">Por su parte, el Ministerio de Gobernación otorgó un aumento salarial de Q1,000 para los agentes de policía, los inspectores recibieron Q1,300 y para otros cargos superiores como el de director general el incremento fue de Q7,500. En este Ministerio el crecimiento del gasto fue más moderado, ubicándose en 2.3%. </w:t>
      </w:r>
    </w:p>
    <w:p w14:paraId="21914090" w14:textId="77777777" w:rsidR="00024D23" w:rsidRPr="004133EB" w:rsidRDefault="00024D23" w:rsidP="002C7396">
      <w:pPr>
        <w:spacing w:after="0" w:line="240" w:lineRule="auto"/>
        <w:jc w:val="both"/>
        <w:rPr>
          <w:rFonts w:ascii="Times New Roman" w:hAnsi="Times New Roman" w:cs="Times New Roman"/>
        </w:rPr>
      </w:pPr>
    </w:p>
    <w:p w14:paraId="5C66AA41" w14:textId="77777777" w:rsidR="00024D23" w:rsidRDefault="00024D23" w:rsidP="002C7396">
      <w:pPr>
        <w:spacing w:after="0" w:line="240" w:lineRule="auto"/>
        <w:jc w:val="both"/>
        <w:rPr>
          <w:rFonts w:ascii="Times New Roman" w:hAnsi="Times New Roman" w:cs="Times New Roman"/>
        </w:rPr>
      </w:pPr>
      <w:r w:rsidRPr="004133EB">
        <w:rPr>
          <w:rFonts w:ascii="Times New Roman" w:hAnsi="Times New Roman" w:cs="Times New Roman"/>
        </w:rPr>
        <w:t>El otro rubro que mostró un aumento importante fueron los intereses de la deuda pública, los cuales aumentaron Q1,206.3 millones</w:t>
      </w:r>
      <w:r w:rsidR="0061017F">
        <w:rPr>
          <w:rFonts w:ascii="Times New Roman" w:hAnsi="Times New Roman" w:cs="Times New Roman"/>
        </w:rPr>
        <w:t xml:space="preserve"> (1</w:t>
      </w:r>
      <w:r w:rsidRPr="004133EB">
        <w:rPr>
          <w:rFonts w:ascii="Times New Roman" w:hAnsi="Times New Roman" w:cs="Times New Roman"/>
        </w:rPr>
        <w:t xml:space="preserve">4.2%) </w:t>
      </w:r>
      <w:r w:rsidR="0061017F">
        <w:rPr>
          <w:rFonts w:ascii="Times New Roman" w:hAnsi="Times New Roman" w:cs="Times New Roman"/>
        </w:rPr>
        <w:t xml:space="preserve">más </w:t>
      </w:r>
      <w:r w:rsidRPr="004133EB">
        <w:rPr>
          <w:rFonts w:ascii="Times New Roman" w:hAnsi="Times New Roman" w:cs="Times New Roman"/>
        </w:rPr>
        <w:t>que lo observado en el año previo, es importante indicar que el principal aumento se dio en los intereses de deuda interna que aumentaron Q770.2 millones, influenciado por un mayor pago de vencimiento</w:t>
      </w:r>
      <w:r w:rsidR="005B5752" w:rsidRPr="004133EB">
        <w:rPr>
          <w:rFonts w:ascii="Times New Roman" w:hAnsi="Times New Roman" w:cs="Times New Roman"/>
        </w:rPr>
        <w:t>s</w:t>
      </w:r>
      <w:r w:rsidRPr="004133EB">
        <w:rPr>
          <w:rFonts w:ascii="Times New Roman" w:hAnsi="Times New Roman" w:cs="Times New Roman"/>
        </w:rPr>
        <w:t xml:space="preserve"> en dicho año que ejerció una mayor presión en el pago adicional de intereses, además del aumento en las colocaciones de Bonos del Tesoro. Asimismo, los intereses por deuda externa aumentaron Q435.9 millones, derivado de la colocación de Eurobonos, colocación que no se efectuó en 2018 y esto aumenta el pago de intereses, además en promedio el tipo de cambio sufrió una depreciación lo que igualmente provoca que el pago de intereses en moneda extranjera aumente. </w:t>
      </w:r>
    </w:p>
    <w:p w14:paraId="699E6690" w14:textId="77777777" w:rsidR="0061017F" w:rsidRPr="004133EB" w:rsidRDefault="0061017F" w:rsidP="002C7396">
      <w:pPr>
        <w:spacing w:after="0" w:line="240" w:lineRule="auto"/>
        <w:jc w:val="both"/>
        <w:rPr>
          <w:rFonts w:ascii="Times New Roman" w:hAnsi="Times New Roman" w:cs="Times New Roman"/>
        </w:rPr>
      </w:pPr>
    </w:p>
    <w:p w14:paraId="7CD1922D" w14:textId="77777777" w:rsidR="00024D23" w:rsidRPr="004133EB" w:rsidRDefault="00024D23" w:rsidP="002C7396">
      <w:pPr>
        <w:spacing w:after="0" w:line="240" w:lineRule="auto"/>
        <w:jc w:val="both"/>
        <w:rPr>
          <w:rFonts w:ascii="Times New Roman" w:hAnsi="Times New Roman" w:cs="Times New Roman"/>
        </w:rPr>
      </w:pPr>
      <w:r w:rsidRPr="004133EB">
        <w:rPr>
          <w:rFonts w:ascii="Times New Roman" w:hAnsi="Times New Roman" w:cs="Times New Roman"/>
        </w:rPr>
        <w:t xml:space="preserve">Al igual que se observó en 2018, otro rubro importante para el 2019 fue el dinamismo en la inversión real directa, se ubicó en Q4,968.0 millones, con un aumento interanual de Q1,082.2 millones (27.9%), esto es relevante, dado que se </w:t>
      </w:r>
      <w:r w:rsidR="008C4D3C" w:rsidRPr="004133EB">
        <w:rPr>
          <w:rFonts w:ascii="Times New Roman" w:hAnsi="Times New Roman" w:cs="Times New Roman"/>
        </w:rPr>
        <w:t>está</w:t>
      </w:r>
      <w:r w:rsidRPr="004133EB">
        <w:rPr>
          <w:rFonts w:ascii="Times New Roman" w:hAnsi="Times New Roman" w:cs="Times New Roman"/>
        </w:rPr>
        <w:t xml:space="preserve"> comparando con un año 2018 en el cual el crecimiento fue bastante significativo (Q1,793.6 millones), en el 2016 y 2017 la inversión estuvo muy deprimida por los problemas en la realización de eventos de licitación y adjudicación de proyectos de infraestructura, en 2016 la inversión </w:t>
      </w:r>
      <w:r w:rsidR="008C4D3C" w:rsidRPr="004133EB">
        <w:rPr>
          <w:rFonts w:ascii="Times New Roman" w:hAnsi="Times New Roman" w:cs="Times New Roman"/>
        </w:rPr>
        <w:t>cayó</w:t>
      </w:r>
      <w:r w:rsidRPr="004133EB">
        <w:rPr>
          <w:rFonts w:ascii="Times New Roman" w:hAnsi="Times New Roman" w:cs="Times New Roman"/>
        </w:rPr>
        <w:t xml:space="preserve"> 37.9% y en 2017 se ubicó en un nivel muy parecido al observado en 2015. La alta ejecución reportada en el Ministerio de Comunicaciones, Infraestructura y Vivienda juega un rol importante en este rubro, debido a las ampliaciones, mejoramientos, construcciones y reposiciones de carreteras y puentes en varios lugares del territorio nacional.</w:t>
      </w:r>
    </w:p>
    <w:p w14:paraId="0EE1CFD2" w14:textId="77777777" w:rsidR="008C4D3C" w:rsidRPr="004133EB" w:rsidRDefault="008C4D3C" w:rsidP="002C7396">
      <w:pPr>
        <w:spacing w:after="0" w:line="240" w:lineRule="auto"/>
        <w:jc w:val="both"/>
        <w:rPr>
          <w:rFonts w:ascii="Times New Roman" w:hAnsi="Times New Roman" w:cs="Times New Roman"/>
        </w:rPr>
      </w:pPr>
    </w:p>
    <w:p w14:paraId="07EE6E5B" w14:textId="77777777" w:rsidR="008C4D3C" w:rsidRPr="004133EB" w:rsidRDefault="00024D23" w:rsidP="002C7396">
      <w:pPr>
        <w:spacing w:after="0" w:line="240" w:lineRule="auto"/>
        <w:jc w:val="both"/>
        <w:rPr>
          <w:rFonts w:ascii="Times New Roman" w:hAnsi="Times New Roman" w:cs="Times New Roman"/>
        </w:rPr>
      </w:pPr>
      <w:r w:rsidRPr="004133EB">
        <w:rPr>
          <w:rFonts w:ascii="Times New Roman" w:hAnsi="Times New Roman" w:cs="Times New Roman"/>
        </w:rPr>
        <w:t xml:space="preserve">En las transferencias de capital también se observa un aumento de Q879 millones en 2019, lo que hace junto con la inversión real directa apuntalar el gasto de capital del gobierno para ese año. Este comportamiento en las transferencias de capital se debió principalmente al aumento en el aporte a las municipalidades del país debido a la mayor asignación presupuestaria producto </w:t>
      </w:r>
      <w:r w:rsidR="005B5752" w:rsidRPr="004133EB">
        <w:rPr>
          <w:rFonts w:ascii="Times New Roman" w:hAnsi="Times New Roman" w:cs="Times New Roman"/>
        </w:rPr>
        <w:t xml:space="preserve">de </w:t>
      </w:r>
      <w:r w:rsidRPr="004133EB">
        <w:rPr>
          <w:rFonts w:ascii="Times New Roman" w:hAnsi="Times New Roman" w:cs="Times New Roman"/>
        </w:rPr>
        <w:t>una estimación optimista de recaudación tributaria prevista en el presupuesto de ese año y por ello al final del año, la ejecución en las transferencias hacia las municipalidades reporto un crecimiento de 12.1%.</w:t>
      </w:r>
    </w:p>
    <w:p w14:paraId="610C3BF9" w14:textId="77777777" w:rsidR="00024D23" w:rsidRPr="004133EB" w:rsidRDefault="00024D23" w:rsidP="002C7396">
      <w:pPr>
        <w:spacing w:after="0" w:line="240" w:lineRule="auto"/>
        <w:jc w:val="both"/>
        <w:rPr>
          <w:rFonts w:ascii="Times New Roman" w:hAnsi="Times New Roman" w:cs="Times New Roman"/>
        </w:rPr>
      </w:pPr>
      <w:r w:rsidRPr="004133EB">
        <w:rPr>
          <w:rFonts w:ascii="Times New Roman" w:hAnsi="Times New Roman" w:cs="Times New Roman"/>
        </w:rPr>
        <w:t xml:space="preserve"> </w:t>
      </w:r>
    </w:p>
    <w:p w14:paraId="2D65B206" w14:textId="77777777" w:rsidR="00024D23" w:rsidRPr="004133EB" w:rsidRDefault="00024D23" w:rsidP="002C7396">
      <w:pPr>
        <w:spacing w:after="0" w:line="240" w:lineRule="auto"/>
        <w:jc w:val="both"/>
        <w:rPr>
          <w:rFonts w:ascii="Times New Roman" w:hAnsi="Times New Roman" w:cs="Times New Roman"/>
        </w:rPr>
      </w:pPr>
      <w:r w:rsidRPr="004133EB">
        <w:rPr>
          <w:rFonts w:ascii="Times New Roman" w:hAnsi="Times New Roman" w:cs="Times New Roman"/>
        </w:rPr>
        <w:t xml:space="preserve">Por su parte, las transferencias corrientes también mostraron un aumento (Q499.4 millones) las cuales están influenciadas por aquellas que se realizaron hacia el sector privado, resaltando en este caso, el aumento en el aporte diario a las asociaciones de padres de familia derivado del aumento al programa de alimentación escolar, el cual para 2019 ascendió a Q4.00 diarios. </w:t>
      </w:r>
    </w:p>
    <w:p w14:paraId="316B5F9B" w14:textId="77777777" w:rsidR="008C4D3C" w:rsidRPr="004133EB" w:rsidRDefault="008C4D3C" w:rsidP="002C7396">
      <w:pPr>
        <w:spacing w:after="0" w:line="240" w:lineRule="auto"/>
        <w:jc w:val="both"/>
        <w:rPr>
          <w:rFonts w:ascii="Times New Roman" w:hAnsi="Times New Roman" w:cs="Times New Roman"/>
        </w:rPr>
      </w:pPr>
    </w:p>
    <w:p w14:paraId="7F3F8576" w14:textId="77777777" w:rsidR="00024D23" w:rsidRPr="004133EB" w:rsidRDefault="00024D23" w:rsidP="002C7396">
      <w:pPr>
        <w:spacing w:after="0" w:line="240" w:lineRule="auto"/>
        <w:jc w:val="both"/>
        <w:rPr>
          <w:rFonts w:ascii="Times New Roman" w:hAnsi="Times New Roman" w:cs="Times New Roman"/>
        </w:rPr>
      </w:pPr>
      <w:r w:rsidRPr="004133EB">
        <w:rPr>
          <w:rFonts w:ascii="Times New Roman" w:hAnsi="Times New Roman" w:cs="Times New Roman"/>
        </w:rPr>
        <w:t xml:space="preserve">Por otro lado, las prestaciones a la seguridad social, que incluye el pago de pensiones y jubilaciones a los trabajadores del Estado, mostró un aumento interanual en la ejecución de 2019 de Q435.7 millones, mientras que la variación interanual observada en 2018 fue negativa en Q33.9 millones, ambas diferencias se deben principalmente al cambio de registro a nivel de renglón de gasto, situación que se normalizó en 2019, por lo que la variación entre ambos años, una vez ajustada las diferencias, es mucho menor, que es explicada por al aumento normal en el número de pensionados que se da todos los años, tomando en cuenta que en ese año no hubo incremento en el valor de las pensiones. </w:t>
      </w:r>
    </w:p>
    <w:p w14:paraId="42EFFCFF" w14:textId="77777777" w:rsidR="008C4D3C" w:rsidRPr="004133EB" w:rsidRDefault="008C4D3C" w:rsidP="002C7396">
      <w:pPr>
        <w:spacing w:after="0" w:line="240" w:lineRule="auto"/>
        <w:jc w:val="both"/>
        <w:rPr>
          <w:rFonts w:ascii="Times New Roman" w:hAnsi="Times New Roman" w:cs="Times New Roman"/>
        </w:rPr>
      </w:pPr>
    </w:p>
    <w:p w14:paraId="0BC9A9AB" w14:textId="77777777" w:rsidR="00024D23" w:rsidRDefault="00024D23" w:rsidP="002C7396">
      <w:pPr>
        <w:spacing w:after="0" w:line="240" w:lineRule="auto"/>
        <w:jc w:val="both"/>
        <w:rPr>
          <w:rFonts w:ascii="Times New Roman" w:hAnsi="Times New Roman" w:cs="Times New Roman"/>
        </w:rPr>
      </w:pPr>
      <w:r w:rsidRPr="004133EB">
        <w:rPr>
          <w:rFonts w:ascii="Times New Roman" w:hAnsi="Times New Roman" w:cs="Times New Roman"/>
        </w:rPr>
        <w:t xml:space="preserve">El otro rubro que aumentó en 2019 pero de manera bastante moderada fueron los bienes y servicios, con un crecimiento interanual de Q270.2 millones (3.2%), debido en buena medida a la limitación de recursos por una recaudación tributaria muy por debajo de la meta presupuestaria y por el aumento en el rubro remuneraciones por las mejoras salariales en varias instituciones. Entidades como Salud Pública incrementó su gasto en bienes y servicios en 9.5%, dicho incremento se destinó a compra de medicamentos, elementos y compuestos químicos (compra de oxígeno), materiales médicos y quirúrgicos, alimentos, arrendamientos y una parte importante también en sentencias judiciales relacionados con demandas laborales. Asimismo, el Ministerio de la Defensa Nacional aumentó su ejecución en 2019 en construcciones militares, combustibles y lubricantes, alimentos y recompensas para seguridad del Estado. </w:t>
      </w:r>
    </w:p>
    <w:p w14:paraId="527EAF3B" w14:textId="77777777" w:rsidR="008B3A74" w:rsidRDefault="008B3A74" w:rsidP="008131F9">
      <w:pPr>
        <w:spacing w:after="0" w:line="240" w:lineRule="auto"/>
        <w:jc w:val="both"/>
        <w:rPr>
          <w:rFonts w:ascii="Times New Roman" w:hAnsi="Times New Roman" w:cs="Times New Roman"/>
        </w:rPr>
      </w:pPr>
    </w:p>
    <w:p w14:paraId="6115476B" w14:textId="175A0891" w:rsidR="003E14B7" w:rsidRPr="003E14B7" w:rsidRDefault="003E14B7" w:rsidP="003E14B7">
      <w:pPr>
        <w:pStyle w:val="Epgrafe"/>
        <w:jc w:val="center"/>
        <w:rPr>
          <w:rFonts w:ascii="Times New Roman" w:hAnsi="Times New Roman" w:cs="Times New Roman"/>
          <w:b/>
          <w:color w:val="auto"/>
          <w:sz w:val="20"/>
        </w:rPr>
      </w:pPr>
      <w:bookmarkStart w:id="1018" w:name="_Toc81573079"/>
      <w:r w:rsidRPr="003E14B7">
        <w:rPr>
          <w:rFonts w:ascii="Times New Roman" w:hAnsi="Times New Roman" w:cs="Times New Roman"/>
          <w:b/>
          <w:color w:val="auto"/>
          <w:sz w:val="20"/>
        </w:rPr>
        <w:t xml:space="preserve">Gráfico </w:t>
      </w:r>
      <w:r w:rsidRPr="003E14B7">
        <w:rPr>
          <w:rFonts w:ascii="Times New Roman" w:hAnsi="Times New Roman" w:cs="Times New Roman"/>
          <w:b/>
          <w:color w:val="auto"/>
          <w:sz w:val="20"/>
        </w:rPr>
        <w:fldChar w:fldCharType="begin"/>
      </w:r>
      <w:r w:rsidRPr="003E14B7">
        <w:rPr>
          <w:rFonts w:ascii="Times New Roman" w:hAnsi="Times New Roman" w:cs="Times New Roman"/>
          <w:b/>
          <w:color w:val="auto"/>
          <w:sz w:val="20"/>
        </w:rPr>
        <w:instrText xml:space="preserve"> SEQ Gráfico \* ARABIC </w:instrText>
      </w:r>
      <w:r w:rsidRPr="003E14B7">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29</w:t>
      </w:r>
      <w:r w:rsidRPr="003E14B7">
        <w:rPr>
          <w:rFonts w:ascii="Times New Roman" w:hAnsi="Times New Roman" w:cs="Times New Roman"/>
          <w:b/>
          <w:color w:val="auto"/>
          <w:sz w:val="20"/>
        </w:rPr>
        <w:fldChar w:fldCharType="end"/>
      </w:r>
      <w:r w:rsidRPr="003E14B7">
        <w:rPr>
          <w:rFonts w:ascii="Times New Roman" w:hAnsi="Times New Roman" w:cs="Times New Roman"/>
          <w:b/>
          <w:color w:val="auto"/>
          <w:sz w:val="20"/>
        </w:rPr>
        <w:t xml:space="preserve">  </w:t>
      </w:r>
      <w:r w:rsidRPr="003E14B7">
        <w:rPr>
          <w:rFonts w:ascii="Times New Roman" w:hAnsi="Times New Roman" w:cs="Times New Roman"/>
          <w:b/>
          <w:i w:val="0"/>
          <w:color w:val="auto"/>
          <w:sz w:val="20"/>
        </w:rPr>
        <w:t>Ejecución de gasto 2018-2019</w:t>
      </w:r>
      <w:bookmarkEnd w:id="1018"/>
    </w:p>
    <w:tbl>
      <w:tblPr>
        <w:tblW w:w="10223" w:type="dxa"/>
        <w:tblInd w:w="-584" w:type="dxa"/>
        <w:tblLayout w:type="fixed"/>
        <w:tblLook w:val="04A0" w:firstRow="1" w:lastRow="0" w:firstColumn="1" w:lastColumn="0" w:noHBand="0" w:noVBand="1"/>
      </w:tblPr>
      <w:tblGrid>
        <w:gridCol w:w="4184"/>
        <w:gridCol w:w="6039"/>
      </w:tblGrid>
      <w:tr w:rsidR="008B3A74" w:rsidRPr="004133EB" w14:paraId="7125697B" w14:textId="77777777" w:rsidTr="00D7254E">
        <w:trPr>
          <w:trHeight w:val="2337"/>
        </w:trPr>
        <w:tc>
          <w:tcPr>
            <w:tcW w:w="4184" w:type="dxa"/>
          </w:tcPr>
          <w:p w14:paraId="0861BDAC" w14:textId="77777777" w:rsidR="008B3A74" w:rsidRPr="004133EB" w:rsidRDefault="00D7254E" w:rsidP="00D7254E">
            <w:pPr>
              <w:pStyle w:val="Sinespaciado"/>
              <w:jc w:val="both"/>
              <w:rPr>
                <w:rFonts w:ascii="Times New Roman" w:hAnsi="Times New Roman" w:cs="Times New Roman"/>
                <w:sz w:val="20"/>
              </w:rPr>
            </w:pPr>
            <w:r>
              <w:rPr>
                <w:rFonts w:ascii="Times New Roman" w:hAnsi="Times New Roman" w:cs="Times New Roman"/>
                <w:noProof/>
                <w:sz w:val="20"/>
                <w:lang w:val="es-ES" w:eastAsia="es-ES"/>
              </w:rPr>
              <mc:AlternateContent>
                <mc:Choice Requires="wpg">
                  <w:drawing>
                    <wp:anchor distT="0" distB="0" distL="114300" distR="114300" simplePos="0" relativeHeight="251944448" behindDoc="0" locked="0" layoutInCell="1" allowOverlap="1" wp14:anchorId="354B4CC9" wp14:editId="29A4F74A">
                      <wp:simplePos x="0" y="0"/>
                      <wp:positionH relativeFrom="column">
                        <wp:posOffset>205105</wp:posOffset>
                      </wp:positionH>
                      <wp:positionV relativeFrom="paragraph">
                        <wp:posOffset>14605</wp:posOffset>
                      </wp:positionV>
                      <wp:extent cx="2380615" cy="2601595"/>
                      <wp:effectExtent l="0" t="0" r="635" b="8255"/>
                      <wp:wrapSquare wrapText="bothSides"/>
                      <wp:docPr id="5" name="Group 5"/>
                      <wp:cNvGraphicFramePr/>
                      <a:graphic xmlns:a="http://schemas.openxmlformats.org/drawingml/2006/main">
                        <a:graphicData uri="http://schemas.microsoft.com/office/word/2010/wordprocessingGroup">
                          <wpg:wgp>
                            <wpg:cNvGrpSpPr/>
                            <wpg:grpSpPr>
                              <a:xfrm>
                                <a:off x="0" y="0"/>
                                <a:ext cx="2380615" cy="2601595"/>
                                <a:chOff x="0" y="0"/>
                                <a:chExt cx="2631392" cy="2744566"/>
                              </a:xfrm>
                            </wpg:grpSpPr>
                            <wpg:graphicFrame>
                              <wpg:cNvPr id="4" name="Gráfico 28"/>
                              <wpg:cNvFrPr/>
                              <wpg:xfrm>
                                <a:off x="43132" y="370936"/>
                                <a:ext cx="2588260" cy="2373630"/>
                              </wpg:xfrm>
                              <a:graphic>
                                <a:graphicData uri="http://schemas.openxmlformats.org/drawingml/2006/chart">
                                  <c:chart xmlns:c="http://schemas.openxmlformats.org/drawingml/2006/chart" xmlns:r="http://schemas.openxmlformats.org/officeDocument/2006/relationships" r:id="rId57"/>
                                </a:graphicData>
                              </a:graphic>
                            </wpg:graphicFrame>
                            <wps:wsp>
                              <wps:cNvPr id="217" name="Text Box 2"/>
                              <wps:cNvSpPr txBox="1">
                                <a:spLocks noChangeArrowheads="1"/>
                              </wps:cNvSpPr>
                              <wps:spPr bwMode="auto">
                                <a:xfrm>
                                  <a:off x="0" y="0"/>
                                  <a:ext cx="2587625" cy="431165"/>
                                </a:xfrm>
                                <a:prstGeom prst="rect">
                                  <a:avLst/>
                                </a:prstGeom>
                                <a:solidFill>
                                  <a:srgbClr val="FFFFFF"/>
                                </a:solidFill>
                                <a:ln w="9525">
                                  <a:noFill/>
                                  <a:miter lim="800000"/>
                                  <a:headEnd/>
                                  <a:tailEnd/>
                                </a:ln>
                              </wps:spPr>
                              <wps:txbx>
                                <w:txbxContent>
                                  <w:p w14:paraId="6C01334E" w14:textId="77777777" w:rsidR="00A36CEB" w:rsidRPr="00B6733D" w:rsidRDefault="00A36CEB" w:rsidP="0011129D">
                                    <w:pPr>
                                      <w:spacing w:after="100" w:afterAutospacing="1"/>
                                      <w:jc w:val="center"/>
                                      <w:rPr>
                                        <w:rFonts w:ascii="Times New Roman" w:hAnsi="Times New Roman" w:cs="Times New Roman"/>
                                        <w:b/>
                                        <w:bCs/>
                                        <w:color w:val="525252" w:themeColor="accent3" w:themeShade="80"/>
                                        <w:sz w:val="20"/>
                                        <w:lang w:val="es-ES"/>
                                      </w:rPr>
                                    </w:pPr>
                                    <w:r w:rsidRPr="00B6733D">
                                      <w:rPr>
                                        <w:rFonts w:ascii="Times New Roman" w:hAnsi="Times New Roman" w:cs="Times New Roman"/>
                                        <w:b/>
                                        <w:bCs/>
                                        <w:color w:val="525252" w:themeColor="accent3" w:themeShade="80"/>
                                        <w:sz w:val="20"/>
                                        <w:lang w:val="es-ES"/>
                                      </w:rPr>
                                      <w:t>Ejecución por rubro de cuenta económica               2019-2018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354B4CC9" id="Group 5" o:spid="_x0000_s1035" style="position:absolute;left:0;text-align:left;margin-left:16.15pt;margin-top:1.15pt;width:187.45pt;height:204.85pt;z-index:251944448;mso-width-relative:margin;mso-height-relative:margin" coordsize="26313,27445"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KAAAAAAAAACEA&#10;zf3if4ksAACJLAAALQAAAGRycy9lbWJlZGRpbmdzL01pY3Jvc29mdF9FeGNlbF9Xb3Jrc2hlZXQu&#10;eGxzeFBLAwQUAAYACAAAACEANzG9kXsBAACEBQAAEwAIAltDb250ZW50X1R5cGVzXS54bWw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8" o:spid="_x0000_s1036" type="#_x0000_t75" style="position:absolute;left:404;top:3729;width:25942;height:23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">
                        <v:imagedata r:id="rId58" o:title=""/>
                        <o:lock v:ext="edit" aspectratio="f"/>
                      </v:shape>
                      <v:shape id="Text Box 2" o:spid="_x0000_s1037" type="#_x0000_t202" style="position:absolute;width:25876;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C01334E" w14:textId="77777777" w:rsidR="00A36CEB" w:rsidRPr="00B6733D" w:rsidRDefault="00A36CEB" w:rsidP="0011129D">
                              <w:pPr>
                                <w:spacing w:after="100" w:afterAutospacing="1"/>
                                <w:jc w:val="center"/>
                                <w:rPr>
                                  <w:rFonts w:ascii="Times New Roman" w:hAnsi="Times New Roman" w:cs="Times New Roman"/>
                                  <w:b/>
                                  <w:bCs/>
                                  <w:color w:val="525252" w:themeColor="accent3" w:themeShade="80"/>
                                  <w:sz w:val="20"/>
                                  <w:lang w:val="es-ES"/>
                                </w:rPr>
                              </w:pPr>
                              <w:r w:rsidRPr="00B6733D">
                                <w:rPr>
                                  <w:rFonts w:ascii="Times New Roman" w:hAnsi="Times New Roman" w:cs="Times New Roman"/>
                                  <w:b/>
                                  <w:bCs/>
                                  <w:color w:val="525252" w:themeColor="accent3" w:themeShade="80"/>
                                  <w:sz w:val="20"/>
                                  <w:lang w:val="es-ES"/>
                                </w:rPr>
                                <w:t>Ejecución por rubro de cuenta económica               2019-2018</w:t>
                              </w:r>
                            </w:p>
                          </w:txbxContent>
                        </v:textbox>
                      </v:shape>
                      <w10:wrap type="square"/>
                    </v:group>
                    <o:OLEObject Type="Embed" ProgID="Excel.Chart.8" ShapeID="Gráfico 28" DrawAspect="Content" ObjectID="_1692186284" r:id="rId59">
                      <o:FieldCodes>\s</o:FieldCodes>
                    </o:OLEObject>
                  </w:pict>
                </mc:Fallback>
              </mc:AlternateContent>
            </w:r>
          </w:p>
        </w:tc>
        <w:tc>
          <w:tcPr>
            <w:tcW w:w="6039" w:type="dxa"/>
          </w:tcPr>
          <w:p w14:paraId="28B6353F" w14:textId="77777777" w:rsidR="008B3A74" w:rsidRPr="008B3A74" w:rsidRDefault="008B3A74" w:rsidP="00D7254E">
            <w:pPr>
              <w:pStyle w:val="Sinespaciado"/>
              <w:jc w:val="center"/>
              <w:rPr>
                <w:rFonts w:ascii="Times New Roman" w:hAnsi="Times New Roman" w:cs="Times New Roman"/>
                <w:sz w:val="20"/>
              </w:rPr>
            </w:pPr>
            <w:r w:rsidRPr="008B3A74">
              <w:rPr>
                <w:rFonts w:ascii="Times New Roman" w:hAnsi="Times New Roman" w:cs="Times New Roman"/>
                <w:noProof/>
                <w:sz w:val="18"/>
                <w:lang w:val="es-ES" w:eastAsia="es-ES"/>
              </w:rPr>
              <w:drawing>
                <wp:inline distT="0" distB="0" distL="0" distR="0" wp14:anchorId="7ACC7082" wp14:editId="38AF952B">
                  <wp:extent cx="3619932" cy="261937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14:paraId="434C8B58" w14:textId="77777777" w:rsidR="00D7254E" w:rsidRDefault="00D7254E" w:rsidP="00D7254E">
      <w:pPr>
        <w:spacing w:after="0" w:line="240" w:lineRule="auto"/>
        <w:jc w:val="both"/>
        <w:rPr>
          <w:rFonts w:ascii="Times New Roman" w:hAnsi="Times New Roman" w:cs="Times New Roman"/>
          <w:highlight w:val="yellow"/>
        </w:rPr>
      </w:pPr>
      <w:r w:rsidRPr="00784A73">
        <w:rPr>
          <w:rFonts w:ascii="Times New Roman" w:hAnsi="Times New Roman" w:cs="Times New Roman"/>
          <w:sz w:val="16"/>
        </w:rPr>
        <w:t>Fuente: Dirección de Análisis y Política Fiscal</w:t>
      </w:r>
    </w:p>
    <w:p w14:paraId="6A8A8BF4" w14:textId="77777777" w:rsidR="008B3A74" w:rsidRDefault="008B3A74" w:rsidP="008131F9">
      <w:pPr>
        <w:spacing w:after="0" w:line="240" w:lineRule="auto"/>
        <w:jc w:val="both"/>
        <w:rPr>
          <w:rFonts w:ascii="Times New Roman" w:hAnsi="Times New Roman" w:cs="Times New Roman"/>
        </w:rPr>
      </w:pPr>
    </w:p>
    <w:p w14:paraId="6027F970"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En lo que respecta a la ejecución institucional, para el cierre de 2019 se ubicó en Q82,839.0 millones lo cual dio como resultado un grado de ejecución total de 93.8%, lo cual representó un avance de Q7,561.9 millones respecto al año previo. El grado de ejecución presupuestaria de la Administración Central, se ubicó por arriba del promedio de ejecución de los últimos cinco años (2014-2018) siendo de 92.0%.</w:t>
      </w:r>
    </w:p>
    <w:p w14:paraId="789929CE" w14:textId="77777777" w:rsidR="00024D23" w:rsidRPr="004133EB" w:rsidRDefault="00024D23" w:rsidP="008131F9">
      <w:pPr>
        <w:spacing w:after="0" w:line="240" w:lineRule="auto"/>
        <w:jc w:val="both"/>
        <w:rPr>
          <w:rFonts w:ascii="Times New Roman" w:hAnsi="Times New Roman" w:cs="Times New Roman"/>
        </w:rPr>
      </w:pPr>
    </w:p>
    <w:p w14:paraId="26E5C829" w14:textId="77777777" w:rsidR="00024D23"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El grado de ejecución presupuestaria, muestra una alta dispersión entre las diferentes entidades, lo </w:t>
      </w:r>
      <w:r w:rsidR="008C4D3C" w:rsidRPr="004133EB">
        <w:rPr>
          <w:rFonts w:ascii="Times New Roman" w:hAnsi="Times New Roman" w:cs="Times New Roman"/>
        </w:rPr>
        <w:t>cual</w:t>
      </w:r>
      <w:r w:rsidRPr="004133EB">
        <w:rPr>
          <w:rFonts w:ascii="Times New Roman" w:hAnsi="Times New Roman" w:cs="Times New Roman"/>
        </w:rPr>
        <w:t xml:space="preserve"> depende de diversos factores como la capacidad real de ejecución de cada institución, del financiamiento disponible y de algunas variables exógenas como las rigideces legales o institucionales. En ese sentido, la entidad que mostró el mayor grado de ejecución fue el Ministerio de la Defensa Nacional, con 98.3%, el programa de mayor incidencia en el monto ejecutado fue Defensa de la Soberanía e Integridad Territorial. Asimismo, la Presidencia de la República mostró un grado de ejecución de 97.9% en donde el programa de seguridad presidencial no solo es el más importante en esta entidad, sino que también muestra el mayor porcentaje de ejecución.</w:t>
      </w:r>
    </w:p>
    <w:p w14:paraId="583C9E57" w14:textId="77777777" w:rsidR="00024D23" w:rsidRPr="004133EB" w:rsidRDefault="00024D23" w:rsidP="008131F9">
      <w:pPr>
        <w:spacing w:after="0" w:line="240" w:lineRule="auto"/>
        <w:jc w:val="both"/>
        <w:rPr>
          <w:rFonts w:ascii="Times New Roman" w:hAnsi="Times New Roman" w:cs="Times New Roman"/>
        </w:rPr>
      </w:pPr>
    </w:p>
    <w:p w14:paraId="28935A74" w14:textId="77777777" w:rsidR="008C4D3C" w:rsidRPr="004133EB" w:rsidRDefault="00024D23" w:rsidP="008131F9">
      <w:pPr>
        <w:spacing w:after="0" w:line="240" w:lineRule="auto"/>
        <w:jc w:val="both"/>
        <w:rPr>
          <w:rFonts w:ascii="Times New Roman" w:hAnsi="Times New Roman" w:cs="Times New Roman"/>
        </w:rPr>
      </w:pPr>
      <w:r w:rsidRPr="004133EB">
        <w:rPr>
          <w:rFonts w:ascii="Times New Roman" w:hAnsi="Times New Roman" w:cs="Times New Roman"/>
        </w:rPr>
        <w:t>Los Servicios de la Deuda Pública y las Obligaciones del Estado a Cargo del Tesoro representan para 2019 un poco menos del 50% del presupuesto aprobado, en el caso de las Obligaciones, el nivel de ejecución de 93.6% da cuenta de que se ha cumplido con las trasferencias corrientes y de capital hacia las entidades descentralizadas y autónomas; respecto al Servicio de la Deuda Pública reporta una ejecución del 96.9%, dando cuenta que durante el año se mantuvo el compromiso del Gobierno de Guatemala de cumplir con sus acreedores.</w:t>
      </w:r>
    </w:p>
    <w:p w14:paraId="3801EEBB" w14:textId="77777777" w:rsidR="003F725A" w:rsidRPr="004133EB" w:rsidRDefault="003F725A" w:rsidP="008131F9">
      <w:pPr>
        <w:spacing w:after="0" w:line="240" w:lineRule="auto"/>
        <w:jc w:val="both"/>
        <w:rPr>
          <w:rFonts w:ascii="Times New Roman" w:hAnsi="Times New Roman" w:cs="Times New Roman"/>
        </w:rPr>
      </w:pPr>
    </w:p>
    <w:p w14:paraId="3D304690" w14:textId="77777777" w:rsidR="003F725A" w:rsidRPr="004133EB" w:rsidRDefault="003F725A" w:rsidP="008131F9">
      <w:pPr>
        <w:spacing w:after="0" w:line="240" w:lineRule="auto"/>
        <w:jc w:val="both"/>
        <w:rPr>
          <w:rFonts w:ascii="Times New Roman" w:hAnsi="Times New Roman" w:cs="Times New Roman"/>
        </w:rPr>
      </w:pPr>
      <w:r w:rsidRPr="004133EB">
        <w:rPr>
          <w:rFonts w:ascii="Times New Roman" w:hAnsi="Times New Roman" w:cs="Times New Roman"/>
        </w:rPr>
        <w:t>Respecto a sus principales programas se puede comentar que</w:t>
      </w:r>
      <w:r w:rsidR="00DB21F9" w:rsidRPr="004133EB">
        <w:rPr>
          <w:rFonts w:ascii="Times New Roman" w:hAnsi="Times New Roman" w:cs="Times New Roman"/>
        </w:rPr>
        <w:t>, el Ministerio de Educación, mues</w:t>
      </w:r>
      <w:r w:rsidRPr="004133EB">
        <w:rPr>
          <w:rFonts w:ascii="Times New Roman" w:hAnsi="Times New Roman" w:cs="Times New Roman"/>
        </w:rPr>
        <w:t>tr</w:t>
      </w:r>
      <w:r w:rsidR="00DB21F9" w:rsidRPr="004133EB">
        <w:rPr>
          <w:rFonts w:ascii="Times New Roman" w:hAnsi="Times New Roman" w:cs="Times New Roman"/>
        </w:rPr>
        <w:t>a</w:t>
      </w:r>
      <w:r w:rsidRPr="004133EB">
        <w:rPr>
          <w:rFonts w:ascii="Times New Roman" w:hAnsi="Times New Roman" w:cs="Times New Roman"/>
        </w:rPr>
        <w:t xml:space="preserve"> un alto grado de ejecución, apoyada por la ejecución de los programas de educación escolar pre primaria, primaria y básica, </w:t>
      </w:r>
      <w:r w:rsidR="00DB21F9" w:rsidRPr="004133EB">
        <w:rPr>
          <w:rFonts w:ascii="Times New Roman" w:hAnsi="Times New Roman" w:cs="Times New Roman"/>
        </w:rPr>
        <w:t xml:space="preserve">entre los tres programas representan </w:t>
      </w:r>
      <w:r w:rsidR="0079629A" w:rsidRPr="004133EB">
        <w:rPr>
          <w:rFonts w:ascii="Times New Roman" w:hAnsi="Times New Roman" w:cs="Times New Roman"/>
        </w:rPr>
        <w:t xml:space="preserve">más del 70% del presupuesto de la entidad, los cuales reportan niveles de ejecución superiores al 90%. </w:t>
      </w:r>
      <w:r w:rsidRPr="004133EB">
        <w:rPr>
          <w:rFonts w:ascii="Times New Roman" w:hAnsi="Times New Roman" w:cs="Times New Roman"/>
        </w:rPr>
        <w:t>En términos interanuales, Educación tuvo un crecimiento de 1</w:t>
      </w:r>
      <w:r w:rsidR="0079629A" w:rsidRPr="004133EB">
        <w:rPr>
          <w:rFonts w:ascii="Times New Roman" w:hAnsi="Times New Roman" w:cs="Times New Roman"/>
        </w:rPr>
        <w:t>3.0</w:t>
      </w:r>
      <w:r w:rsidRPr="004133EB">
        <w:rPr>
          <w:rFonts w:ascii="Times New Roman" w:hAnsi="Times New Roman" w:cs="Times New Roman"/>
        </w:rPr>
        <w:t xml:space="preserve">%, </w:t>
      </w:r>
      <w:r w:rsidR="0079629A" w:rsidRPr="004133EB">
        <w:rPr>
          <w:rFonts w:ascii="Times New Roman" w:hAnsi="Times New Roman" w:cs="Times New Roman"/>
        </w:rPr>
        <w:t>el cual estuvo impulsado</w:t>
      </w:r>
      <w:r w:rsidR="00D64BC3" w:rsidRPr="004133EB">
        <w:rPr>
          <w:rFonts w:ascii="Times New Roman" w:hAnsi="Times New Roman" w:cs="Times New Roman"/>
        </w:rPr>
        <w:t xml:space="preserve"> en parte por la mejora salarial. </w:t>
      </w:r>
    </w:p>
    <w:p w14:paraId="000FD8DC" w14:textId="77777777" w:rsidR="00D64BC3" w:rsidRPr="004133EB" w:rsidRDefault="00D64BC3" w:rsidP="008131F9">
      <w:pPr>
        <w:spacing w:after="0" w:line="240" w:lineRule="auto"/>
        <w:jc w:val="both"/>
        <w:rPr>
          <w:rFonts w:ascii="Times New Roman" w:hAnsi="Times New Roman" w:cs="Times New Roman"/>
        </w:rPr>
      </w:pPr>
    </w:p>
    <w:p w14:paraId="7AFF1B87" w14:textId="77777777" w:rsidR="000009B1" w:rsidRPr="004133EB" w:rsidRDefault="00D64BC3"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Los programas más importantes del Ministerio de Salud Pública, como lo son la recuperación de la salud y </w:t>
      </w:r>
      <w:r w:rsidR="000009B1" w:rsidRPr="004133EB">
        <w:rPr>
          <w:rFonts w:ascii="Times New Roman" w:hAnsi="Times New Roman" w:cs="Times New Roman"/>
        </w:rPr>
        <w:t xml:space="preserve">el fomento de la salud y medicina preventiva, reportan niveles de ejecución superiores al 95%. Resalta el retroceso en la ejecución del programa de la prevención de la mortalidad materna y neonatal, ejecutando Q249.8 millones menos que el año previo. </w:t>
      </w:r>
    </w:p>
    <w:p w14:paraId="27CFFF4F" w14:textId="77777777" w:rsidR="000009B1" w:rsidRPr="004133EB" w:rsidRDefault="000009B1" w:rsidP="008131F9">
      <w:pPr>
        <w:spacing w:after="0" w:line="240" w:lineRule="auto"/>
        <w:jc w:val="both"/>
        <w:rPr>
          <w:rFonts w:ascii="Times New Roman" w:hAnsi="Times New Roman" w:cs="Times New Roman"/>
        </w:rPr>
      </w:pPr>
    </w:p>
    <w:p w14:paraId="71824526" w14:textId="77777777" w:rsidR="00D64BC3" w:rsidRPr="004133EB" w:rsidRDefault="00D64BC3"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En lo que respecta al Ministerio de Gobernación, su programa más importante y el cual representa cerca del </w:t>
      </w:r>
      <w:r w:rsidR="0031626A" w:rsidRPr="004133EB">
        <w:rPr>
          <w:rFonts w:ascii="Times New Roman" w:hAnsi="Times New Roman" w:cs="Times New Roman"/>
        </w:rPr>
        <w:t>80</w:t>
      </w:r>
      <w:r w:rsidRPr="004133EB">
        <w:rPr>
          <w:rFonts w:ascii="Times New Roman" w:hAnsi="Times New Roman" w:cs="Times New Roman"/>
        </w:rPr>
        <w:t>% de su presupuesto, los servicios de seguridad a las pe</w:t>
      </w:r>
      <w:r w:rsidR="0031626A" w:rsidRPr="004133EB">
        <w:rPr>
          <w:rFonts w:ascii="Times New Roman" w:hAnsi="Times New Roman" w:cs="Times New Roman"/>
        </w:rPr>
        <w:t>rsonas y su patrimonio, reporta</w:t>
      </w:r>
      <w:r w:rsidRPr="004133EB">
        <w:rPr>
          <w:rFonts w:ascii="Times New Roman" w:hAnsi="Times New Roman" w:cs="Times New Roman"/>
        </w:rPr>
        <w:t xml:space="preserve"> una ejecución de </w:t>
      </w:r>
      <w:r w:rsidR="0031626A" w:rsidRPr="004133EB">
        <w:rPr>
          <w:rFonts w:ascii="Times New Roman" w:hAnsi="Times New Roman" w:cs="Times New Roman"/>
        </w:rPr>
        <w:t>91</w:t>
      </w:r>
      <w:r w:rsidRPr="004133EB">
        <w:rPr>
          <w:rFonts w:ascii="Times New Roman" w:hAnsi="Times New Roman" w:cs="Times New Roman"/>
        </w:rPr>
        <w:t>.</w:t>
      </w:r>
      <w:r w:rsidR="0031626A" w:rsidRPr="004133EB">
        <w:rPr>
          <w:rFonts w:ascii="Times New Roman" w:hAnsi="Times New Roman" w:cs="Times New Roman"/>
        </w:rPr>
        <w:t>0</w:t>
      </w:r>
      <w:r w:rsidRPr="004133EB">
        <w:rPr>
          <w:rFonts w:ascii="Times New Roman" w:hAnsi="Times New Roman" w:cs="Times New Roman"/>
        </w:rPr>
        <w:t>%</w:t>
      </w:r>
      <w:r w:rsidR="0031626A" w:rsidRPr="004133EB">
        <w:rPr>
          <w:rFonts w:ascii="Times New Roman" w:hAnsi="Times New Roman" w:cs="Times New Roman"/>
        </w:rPr>
        <w:t>. En 2019 resalta el incremento salarial para los agentes de policía, los inspectores y para otros cargos superiores.</w:t>
      </w:r>
      <w:r w:rsidRPr="004133EB">
        <w:rPr>
          <w:rFonts w:ascii="Times New Roman" w:hAnsi="Times New Roman" w:cs="Times New Roman"/>
        </w:rPr>
        <w:t xml:space="preserve"> </w:t>
      </w:r>
      <w:r w:rsidR="0031626A" w:rsidRPr="004133EB">
        <w:rPr>
          <w:rFonts w:ascii="Times New Roman" w:hAnsi="Times New Roman" w:cs="Times New Roman"/>
        </w:rPr>
        <w:t>No obstante, e</w:t>
      </w:r>
      <w:r w:rsidRPr="004133EB">
        <w:rPr>
          <w:rFonts w:ascii="Times New Roman" w:hAnsi="Times New Roman" w:cs="Times New Roman"/>
        </w:rPr>
        <w:t>sta entidad repo</w:t>
      </w:r>
      <w:r w:rsidR="0031626A" w:rsidRPr="004133EB">
        <w:rPr>
          <w:rFonts w:ascii="Times New Roman" w:hAnsi="Times New Roman" w:cs="Times New Roman"/>
        </w:rPr>
        <w:t>rtó un crecimiento interanual negativo de</w:t>
      </w:r>
      <w:r w:rsidRPr="004133EB">
        <w:rPr>
          <w:rFonts w:ascii="Times New Roman" w:hAnsi="Times New Roman" w:cs="Times New Roman"/>
        </w:rPr>
        <w:t xml:space="preserve"> </w:t>
      </w:r>
      <w:r w:rsidR="0031626A" w:rsidRPr="004133EB">
        <w:rPr>
          <w:rFonts w:ascii="Times New Roman" w:hAnsi="Times New Roman" w:cs="Times New Roman"/>
        </w:rPr>
        <w:t>4</w:t>
      </w:r>
      <w:r w:rsidRPr="004133EB">
        <w:rPr>
          <w:rFonts w:ascii="Times New Roman" w:hAnsi="Times New Roman" w:cs="Times New Roman"/>
        </w:rPr>
        <w:t>.</w:t>
      </w:r>
      <w:r w:rsidR="0031626A" w:rsidRPr="004133EB">
        <w:rPr>
          <w:rFonts w:ascii="Times New Roman" w:hAnsi="Times New Roman" w:cs="Times New Roman"/>
        </w:rPr>
        <w:t>0</w:t>
      </w:r>
      <w:r w:rsidRPr="004133EB">
        <w:rPr>
          <w:rFonts w:ascii="Times New Roman" w:hAnsi="Times New Roman" w:cs="Times New Roman"/>
        </w:rPr>
        <w:t>% en 201</w:t>
      </w:r>
      <w:r w:rsidR="0031626A" w:rsidRPr="004133EB">
        <w:rPr>
          <w:rFonts w:ascii="Times New Roman" w:hAnsi="Times New Roman" w:cs="Times New Roman"/>
        </w:rPr>
        <w:t>9</w:t>
      </w:r>
      <w:r w:rsidR="00CB5D3A" w:rsidRPr="004133EB">
        <w:rPr>
          <w:rFonts w:ascii="Times New Roman" w:hAnsi="Times New Roman" w:cs="Times New Roman"/>
        </w:rPr>
        <w:t xml:space="preserve">, explicado principalmente por el retroceso en la ejecución del rubro de bienes y servicios. </w:t>
      </w:r>
    </w:p>
    <w:p w14:paraId="2DA3BFA3" w14:textId="77777777" w:rsidR="00CB5D3A" w:rsidRPr="004133EB" w:rsidRDefault="00CB5D3A" w:rsidP="008131F9">
      <w:pPr>
        <w:spacing w:after="0" w:line="240" w:lineRule="auto"/>
        <w:jc w:val="both"/>
        <w:rPr>
          <w:rFonts w:ascii="Times New Roman" w:hAnsi="Times New Roman" w:cs="Times New Roman"/>
        </w:rPr>
      </w:pPr>
    </w:p>
    <w:p w14:paraId="7DFB9B5D" w14:textId="77777777" w:rsidR="007F549F" w:rsidRPr="004133EB" w:rsidRDefault="00CB5D3A" w:rsidP="008131F9">
      <w:pPr>
        <w:spacing w:after="0" w:line="240" w:lineRule="auto"/>
        <w:jc w:val="both"/>
        <w:rPr>
          <w:rFonts w:ascii="Times New Roman" w:hAnsi="Times New Roman" w:cs="Times New Roman"/>
        </w:rPr>
      </w:pPr>
      <w:r w:rsidRPr="004133EB">
        <w:rPr>
          <w:rFonts w:ascii="Times New Roman" w:hAnsi="Times New Roman" w:cs="Times New Roman"/>
        </w:rPr>
        <w:t xml:space="preserve">Asimismo, el Ministerio de Comunicaciones, mostró una ejecución de </w:t>
      </w:r>
      <w:r w:rsidR="00593041" w:rsidRPr="004133EB">
        <w:rPr>
          <w:rFonts w:ascii="Times New Roman" w:hAnsi="Times New Roman" w:cs="Times New Roman"/>
        </w:rPr>
        <w:t>91</w:t>
      </w:r>
      <w:r w:rsidRPr="004133EB">
        <w:rPr>
          <w:rFonts w:ascii="Times New Roman" w:hAnsi="Times New Roman" w:cs="Times New Roman"/>
        </w:rPr>
        <w:t>.</w:t>
      </w:r>
      <w:r w:rsidR="00593041" w:rsidRPr="004133EB">
        <w:rPr>
          <w:rFonts w:ascii="Times New Roman" w:hAnsi="Times New Roman" w:cs="Times New Roman"/>
        </w:rPr>
        <w:t>6</w:t>
      </w:r>
      <w:r w:rsidRPr="004133EB">
        <w:rPr>
          <w:rFonts w:ascii="Times New Roman" w:hAnsi="Times New Roman" w:cs="Times New Roman"/>
        </w:rPr>
        <w:t>% en 201</w:t>
      </w:r>
      <w:r w:rsidR="00593041" w:rsidRPr="004133EB">
        <w:rPr>
          <w:rFonts w:ascii="Times New Roman" w:hAnsi="Times New Roman" w:cs="Times New Roman"/>
        </w:rPr>
        <w:t xml:space="preserve">9, reportando un crecimiento interanual en términos nominales de Q1,076.2 millones, equivalente a 22.5%. </w:t>
      </w:r>
      <w:r w:rsidR="007F549F" w:rsidRPr="004133EB">
        <w:rPr>
          <w:rFonts w:ascii="Times New Roman" w:hAnsi="Times New Roman" w:cs="Times New Roman"/>
        </w:rPr>
        <w:t>El programa desarrollo de la infraestructura vial representa el 78.4%</w:t>
      </w:r>
      <w:r w:rsidR="003D60C2" w:rsidRPr="004133EB">
        <w:rPr>
          <w:rFonts w:ascii="Times New Roman" w:hAnsi="Times New Roman" w:cs="Times New Roman"/>
        </w:rPr>
        <w:t xml:space="preserve"> del presupuesto</w:t>
      </w:r>
      <w:r w:rsidR="007F549F" w:rsidRPr="004133EB">
        <w:rPr>
          <w:rFonts w:ascii="Times New Roman" w:hAnsi="Times New Roman" w:cs="Times New Roman"/>
        </w:rPr>
        <w:t xml:space="preserve"> y reporta una ejecución de 92.1%, </w:t>
      </w:r>
      <w:r w:rsidRPr="004133EB">
        <w:rPr>
          <w:rFonts w:ascii="Times New Roman" w:hAnsi="Times New Roman" w:cs="Times New Roman"/>
        </w:rPr>
        <w:t>la c</w:t>
      </w:r>
      <w:r w:rsidR="003D60C2" w:rsidRPr="004133EB">
        <w:rPr>
          <w:rFonts w:ascii="Times New Roman" w:hAnsi="Times New Roman" w:cs="Times New Roman"/>
        </w:rPr>
        <w:t>ual se explica por el impulso que ha tenido</w:t>
      </w:r>
      <w:r w:rsidRPr="004133EB">
        <w:rPr>
          <w:rFonts w:ascii="Times New Roman" w:hAnsi="Times New Roman" w:cs="Times New Roman"/>
        </w:rPr>
        <w:t xml:space="preserve"> la infraestructura vial</w:t>
      </w:r>
      <w:r w:rsidR="003D60C2" w:rsidRPr="004133EB">
        <w:rPr>
          <w:rFonts w:ascii="Times New Roman" w:hAnsi="Times New Roman" w:cs="Times New Roman"/>
        </w:rPr>
        <w:t xml:space="preserve"> </w:t>
      </w:r>
      <w:r w:rsidR="007F549F" w:rsidRPr="004133EB">
        <w:rPr>
          <w:rFonts w:ascii="Times New Roman" w:hAnsi="Times New Roman" w:cs="Times New Roman"/>
        </w:rPr>
        <w:t>en los últimos dos años</w:t>
      </w:r>
      <w:r w:rsidRPr="004133EB">
        <w:rPr>
          <w:rFonts w:ascii="Times New Roman" w:hAnsi="Times New Roman" w:cs="Times New Roman"/>
        </w:rPr>
        <w:t xml:space="preserve">.  </w:t>
      </w:r>
    </w:p>
    <w:p w14:paraId="3884461B" w14:textId="77777777" w:rsidR="007F549F" w:rsidRPr="004133EB" w:rsidRDefault="007F549F" w:rsidP="008131F9">
      <w:pPr>
        <w:spacing w:after="0" w:line="240" w:lineRule="auto"/>
        <w:jc w:val="both"/>
        <w:rPr>
          <w:rFonts w:ascii="Times New Roman" w:hAnsi="Times New Roman" w:cs="Times New Roman"/>
        </w:rPr>
      </w:pPr>
    </w:p>
    <w:p w14:paraId="45825572" w14:textId="77777777" w:rsidR="003F725A" w:rsidRPr="004133EB" w:rsidRDefault="003A396E" w:rsidP="008131F9">
      <w:pPr>
        <w:spacing w:after="0" w:line="240" w:lineRule="auto"/>
        <w:jc w:val="both"/>
        <w:rPr>
          <w:rFonts w:ascii="Times New Roman" w:hAnsi="Times New Roman" w:cs="Times New Roman"/>
        </w:rPr>
      </w:pPr>
      <w:r w:rsidRPr="004133EB">
        <w:rPr>
          <w:rFonts w:ascii="Times New Roman" w:hAnsi="Times New Roman" w:cs="Times New Roman"/>
        </w:rPr>
        <w:t>En relación con el</w:t>
      </w:r>
      <w:r w:rsidR="00CB5D3A" w:rsidRPr="004133EB">
        <w:rPr>
          <w:rFonts w:ascii="Times New Roman" w:hAnsi="Times New Roman" w:cs="Times New Roman"/>
        </w:rPr>
        <w:t xml:space="preserve"> Ministerio de la Defensa Nacional,</w:t>
      </w:r>
      <w:r w:rsidR="00BF53DF" w:rsidRPr="004133EB">
        <w:rPr>
          <w:rFonts w:ascii="Times New Roman" w:hAnsi="Times New Roman" w:cs="Times New Roman"/>
        </w:rPr>
        <w:t xml:space="preserve"> reporta un nivel de ejecución de 98.3% y un crecimiento interanual 24.4%. S</w:t>
      </w:r>
      <w:r w:rsidR="00CB5D3A" w:rsidRPr="004133EB">
        <w:rPr>
          <w:rFonts w:ascii="Times New Roman" w:hAnsi="Times New Roman" w:cs="Times New Roman"/>
        </w:rPr>
        <w:t xml:space="preserve">u </w:t>
      </w:r>
      <w:r w:rsidR="00BF53DF" w:rsidRPr="004133EB">
        <w:rPr>
          <w:rFonts w:ascii="Times New Roman" w:hAnsi="Times New Roman" w:cs="Times New Roman"/>
        </w:rPr>
        <w:t>programa más relevante</w:t>
      </w:r>
      <w:r w:rsidR="00CB5D3A" w:rsidRPr="004133EB">
        <w:rPr>
          <w:rFonts w:ascii="Times New Roman" w:hAnsi="Times New Roman" w:cs="Times New Roman"/>
        </w:rPr>
        <w:t xml:space="preserve">, la defensa de la soberanía e integridad territorial </w:t>
      </w:r>
      <w:r w:rsidR="00BF53DF" w:rsidRPr="004133EB">
        <w:rPr>
          <w:rFonts w:ascii="Times New Roman" w:hAnsi="Times New Roman" w:cs="Times New Roman"/>
        </w:rPr>
        <w:t>reportó una ejecución cercana al 100</w:t>
      </w:r>
      <w:r w:rsidR="00CB5D3A" w:rsidRPr="004133EB">
        <w:rPr>
          <w:rFonts w:ascii="Times New Roman" w:hAnsi="Times New Roman" w:cs="Times New Roman"/>
        </w:rPr>
        <w:t xml:space="preserve">%. </w:t>
      </w:r>
      <w:r w:rsidR="00BF53DF" w:rsidRPr="004133EB">
        <w:rPr>
          <w:rFonts w:ascii="Times New Roman" w:hAnsi="Times New Roman" w:cs="Times New Roman"/>
        </w:rPr>
        <w:t xml:space="preserve">Por su parte, el </w:t>
      </w:r>
      <w:r w:rsidR="00F856D7" w:rsidRPr="004133EB">
        <w:rPr>
          <w:rFonts w:ascii="Times New Roman" w:hAnsi="Times New Roman" w:cs="Times New Roman"/>
        </w:rPr>
        <w:t xml:space="preserve">programa de prevención de hechos delictivos contra el patrimonio </w:t>
      </w:r>
      <w:r w:rsidR="000A56E5" w:rsidRPr="004133EB">
        <w:rPr>
          <w:rFonts w:ascii="Times New Roman" w:hAnsi="Times New Roman" w:cs="Times New Roman"/>
        </w:rPr>
        <w:t xml:space="preserve">reportó un retroceso significativo de 66.4% respecto al año previo. </w:t>
      </w:r>
    </w:p>
    <w:p w14:paraId="3414D5E0" w14:textId="77777777" w:rsidR="003D60C2" w:rsidRDefault="003D60C2" w:rsidP="0098402F">
      <w:pPr>
        <w:spacing w:after="0" w:line="240" w:lineRule="auto"/>
        <w:rPr>
          <w:rFonts w:ascii="Times New Roman" w:hAnsi="Times New Roman" w:cs="Times New Roman"/>
          <w:b/>
          <w:color w:val="000000" w:themeColor="text1"/>
          <w:szCs w:val="28"/>
        </w:rPr>
      </w:pPr>
      <w:bookmarkStart w:id="1019" w:name="_Hlk9540557"/>
    </w:p>
    <w:bookmarkEnd w:id="1019"/>
    <w:p w14:paraId="1E5DB597" w14:textId="77777777" w:rsidR="003D60C2" w:rsidRDefault="009776C2" w:rsidP="004F13E4">
      <w:pPr>
        <w:spacing w:after="0" w:line="240" w:lineRule="auto"/>
        <w:jc w:val="both"/>
        <w:rPr>
          <w:rFonts w:ascii="Times New Roman" w:hAnsi="Times New Roman" w:cs="Times New Roman"/>
        </w:rPr>
      </w:pPr>
      <w:r w:rsidRPr="004133EB">
        <w:rPr>
          <w:rFonts w:ascii="Times New Roman" w:hAnsi="Times New Roman" w:cs="Times New Roman"/>
        </w:rPr>
        <w:t xml:space="preserve">A nivel de cada entidad de gobierno, se evaluó el grado de ejecución presupuestaria con respecto al comportamiento histórico, siendo este el promedio de los últimos 5 años (período 2014-2018), el cual da muestras que, en 2019 </w:t>
      </w:r>
      <w:r w:rsidR="00A74BEE" w:rsidRPr="004133EB">
        <w:rPr>
          <w:rFonts w:ascii="Times New Roman" w:hAnsi="Times New Roman" w:cs="Times New Roman"/>
        </w:rPr>
        <w:t>la gran mayoría de las entidades se encuentran por arriba o en un nivel similar a su ejecución promedio, resalta el caso del Ministerio de Comunicaciones que ha mejorado considerablemente su nivel de ejecución, siendo la entidad que reporta la mayor brecha</w:t>
      </w:r>
      <w:r w:rsidR="00511C4B" w:rsidRPr="004133EB">
        <w:rPr>
          <w:rFonts w:ascii="Times New Roman" w:hAnsi="Times New Roman" w:cs="Times New Roman"/>
        </w:rPr>
        <w:t xml:space="preserve"> </w:t>
      </w:r>
      <w:r w:rsidR="00A74BEE" w:rsidRPr="004133EB">
        <w:rPr>
          <w:rFonts w:ascii="Times New Roman" w:hAnsi="Times New Roman" w:cs="Times New Roman"/>
        </w:rPr>
        <w:t>entre su ejecución p</w:t>
      </w:r>
      <w:r w:rsidR="00511C4B" w:rsidRPr="004133EB">
        <w:rPr>
          <w:rFonts w:ascii="Times New Roman" w:hAnsi="Times New Roman" w:cs="Times New Roman"/>
        </w:rPr>
        <w:t>romedio y la observada en 2019 (17.8%).</w:t>
      </w:r>
      <w:r w:rsidR="00A90FA2" w:rsidRPr="004133EB">
        <w:rPr>
          <w:rFonts w:ascii="Times New Roman" w:hAnsi="Times New Roman" w:cs="Times New Roman"/>
        </w:rPr>
        <w:t xml:space="preserve"> </w:t>
      </w:r>
      <w:r w:rsidR="00511C4B" w:rsidRPr="004133EB">
        <w:rPr>
          <w:rFonts w:ascii="Times New Roman" w:hAnsi="Times New Roman" w:cs="Times New Roman"/>
        </w:rPr>
        <w:t xml:space="preserve"> </w:t>
      </w:r>
      <w:r w:rsidR="007E3CF2" w:rsidRPr="004133EB">
        <w:rPr>
          <w:rFonts w:ascii="Times New Roman" w:hAnsi="Times New Roman" w:cs="Times New Roman"/>
        </w:rPr>
        <w:t xml:space="preserve">Por su parte, la excepción es </w:t>
      </w:r>
      <w:r w:rsidR="00A74BEE" w:rsidRPr="004133EB">
        <w:rPr>
          <w:rFonts w:ascii="Times New Roman" w:hAnsi="Times New Roman" w:cs="Times New Roman"/>
        </w:rPr>
        <w:t xml:space="preserve">el Ministerio de </w:t>
      </w:r>
      <w:r w:rsidR="007E3CF2" w:rsidRPr="004133EB">
        <w:rPr>
          <w:rFonts w:ascii="Times New Roman" w:hAnsi="Times New Roman" w:cs="Times New Roman"/>
        </w:rPr>
        <w:t xml:space="preserve">Energía y Minas, </w:t>
      </w:r>
      <w:r w:rsidR="00A74BEE" w:rsidRPr="004133EB">
        <w:rPr>
          <w:rFonts w:ascii="Times New Roman" w:hAnsi="Times New Roman" w:cs="Times New Roman"/>
        </w:rPr>
        <w:t>cuya ejecución promedio es de 93.3% y en 2019 descendió cinco puntos porcent</w:t>
      </w:r>
      <w:r w:rsidR="004F13E4">
        <w:rPr>
          <w:rFonts w:ascii="Times New Roman" w:hAnsi="Times New Roman" w:cs="Times New Roman"/>
        </w:rPr>
        <w:t xml:space="preserve">uales hasta ubicarse en 88.3%. </w:t>
      </w:r>
    </w:p>
    <w:p w14:paraId="0C0C12B6" w14:textId="77777777" w:rsidR="004F13E4" w:rsidRDefault="004F13E4" w:rsidP="004F13E4">
      <w:pPr>
        <w:spacing w:after="0" w:line="240" w:lineRule="auto"/>
        <w:jc w:val="both"/>
        <w:rPr>
          <w:rFonts w:ascii="Times New Roman" w:hAnsi="Times New Roman" w:cs="Times New Roman"/>
          <w:sz w:val="16"/>
        </w:rPr>
      </w:pPr>
    </w:p>
    <w:p w14:paraId="46369414" w14:textId="77777777" w:rsidR="00BB1C39" w:rsidRPr="00A40BB4" w:rsidRDefault="000B6895" w:rsidP="000B6895">
      <w:pPr>
        <w:spacing w:after="0" w:line="240" w:lineRule="auto"/>
        <w:jc w:val="both"/>
        <w:rPr>
          <w:rFonts w:ascii="Times New Roman" w:hAnsi="Times New Roman" w:cs="Times New Roman"/>
        </w:rPr>
      </w:pPr>
      <w:r w:rsidRPr="00A40BB4">
        <w:rPr>
          <w:rFonts w:ascii="Times New Roman" w:hAnsi="Times New Roman" w:cs="Times New Roman"/>
        </w:rPr>
        <w:t>E</w:t>
      </w:r>
      <w:r w:rsidR="003B606E" w:rsidRPr="00A40BB4">
        <w:rPr>
          <w:rFonts w:ascii="Times New Roman" w:hAnsi="Times New Roman" w:cs="Times New Roman"/>
        </w:rPr>
        <w:t>l</w:t>
      </w:r>
      <w:r w:rsidRPr="00A40BB4">
        <w:rPr>
          <w:rFonts w:ascii="Times New Roman" w:hAnsi="Times New Roman" w:cs="Times New Roman"/>
        </w:rPr>
        <w:t xml:space="preserve"> 2020</w:t>
      </w:r>
      <w:r w:rsidR="003B606E" w:rsidRPr="00A40BB4">
        <w:rPr>
          <w:rFonts w:ascii="Times New Roman" w:hAnsi="Times New Roman" w:cs="Times New Roman"/>
        </w:rPr>
        <w:t xml:space="preserve"> arrancaba una nueva administración pública con un </w:t>
      </w:r>
      <w:r w:rsidRPr="00A40BB4">
        <w:rPr>
          <w:rFonts w:ascii="Times New Roman" w:hAnsi="Times New Roman" w:cs="Times New Roman"/>
        </w:rPr>
        <w:t xml:space="preserve">Proyecto de Presupuesto General de Ingresos y Egresos del Estado para dicho Ejercicio Fiscal </w:t>
      </w:r>
      <w:r w:rsidR="003B606E" w:rsidRPr="00A40BB4">
        <w:rPr>
          <w:rFonts w:ascii="Times New Roman" w:hAnsi="Times New Roman" w:cs="Times New Roman"/>
        </w:rPr>
        <w:t xml:space="preserve">que </w:t>
      </w:r>
      <w:r w:rsidRPr="00A40BB4">
        <w:rPr>
          <w:rFonts w:ascii="Times New Roman" w:hAnsi="Times New Roman" w:cs="Times New Roman"/>
        </w:rPr>
        <w:t>no fue aprobado en el término que establece la Constitución Política de la República de Guatemala, por lo tanto, entro en vigor el Presupuesto General de Ingresos y Egresos del Estado del Ejercicio Fiscal 2019, siendo el monto inicial del presupuesto de Q</w:t>
      </w:r>
      <w:r w:rsidR="003B606E" w:rsidRPr="00A40BB4">
        <w:rPr>
          <w:rFonts w:ascii="Times New Roman" w:hAnsi="Times New Roman" w:cs="Times New Roman"/>
        </w:rPr>
        <w:t>8</w:t>
      </w:r>
      <w:r w:rsidRPr="00A40BB4">
        <w:rPr>
          <w:rFonts w:ascii="Times New Roman" w:hAnsi="Times New Roman" w:cs="Times New Roman"/>
        </w:rPr>
        <w:t>7,</w:t>
      </w:r>
      <w:r w:rsidR="003B606E" w:rsidRPr="00A40BB4">
        <w:rPr>
          <w:rFonts w:ascii="Times New Roman" w:hAnsi="Times New Roman" w:cs="Times New Roman"/>
        </w:rPr>
        <w:t>71</w:t>
      </w:r>
      <w:r w:rsidRPr="00A40BB4">
        <w:rPr>
          <w:rFonts w:ascii="Times New Roman" w:hAnsi="Times New Roman" w:cs="Times New Roman"/>
        </w:rPr>
        <w:t>5</w:t>
      </w:r>
      <w:r w:rsidR="003B606E" w:rsidRPr="00A40BB4">
        <w:rPr>
          <w:rFonts w:ascii="Times New Roman" w:hAnsi="Times New Roman" w:cs="Times New Roman"/>
        </w:rPr>
        <w:t>.1</w:t>
      </w:r>
      <w:r w:rsidRPr="00A40BB4">
        <w:rPr>
          <w:rFonts w:ascii="Times New Roman" w:hAnsi="Times New Roman" w:cs="Times New Roman"/>
        </w:rPr>
        <w:t xml:space="preserve"> millones</w:t>
      </w:r>
      <w:r w:rsidR="00BB1C39" w:rsidRPr="00A40BB4">
        <w:rPr>
          <w:rFonts w:ascii="Times New Roman" w:hAnsi="Times New Roman" w:cs="Times New Roman"/>
        </w:rPr>
        <w:t xml:space="preserve">. El no contar con un presupuesto aprobado afectó el arranque de la </w:t>
      </w:r>
      <w:r w:rsidR="0061017F">
        <w:rPr>
          <w:rFonts w:ascii="Times New Roman" w:hAnsi="Times New Roman" w:cs="Times New Roman"/>
        </w:rPr>
        <w:t xml:space="preserve">nueva </w:t>
      </w:r>
      <w:r w:rsidR="00BB1C39" w:rsidRPr="00A40BB4">
        <w:rPr>
          <w:rFonts w:ascii="Times New Roman" w:hAnsi="Times New Roman" w:cs="Times New Roman"/>
        </w:rPr>
        <w:t>administración ya que la programación no se encuentra acorde a las necesidades que fueron planteadas por las diversas instituciones, e</w:t>
      </w:r>
      <w:r w:rsidRPr="00A40BB4">
        <w:rPr>
          <w:rFonts w:ascii="Times New Roman" w:hAnsi="Times New Roman" w:cs="Times New Roman"/>
        </w:rPr>
        <w:t>sta situación condujo a la autoridad fiscal a organizar y realizar una serie de acciones tendentes a reorientar un presupuesto que no era funcional para los objetivos que se habían planteado para dicho año,</w:t>
      </w:r>
      <w:r w:rsidR="00BB1C39" w:rsidRPr="00A40BB4">
        <w:rPr>
          <w:rFonts w:ascii="Times New Roman" w:hAnsi="Times New Roman" w:cs="Times New Roman"/>
        </w:rPr>
        <w:t xml:space="preserve"> adicionalmente la coyuntura derivada del COVID-19 agregó dificultades adicionales que no estaban contempladas a principio de año, situación que requirió la búsqueda necesaria de fuentes de financiamiento para viabilizar la ejecución en el 2020.  </w:t>
      </w:r>
    </w:p>
    <w:p w14:paraId="36DB9371" w14:textId="77777777" w:rsidR="00BB1C39" w:rsidRPr="00A40BB4" w:rsidRDefault="00BB1C39" w:rsidP="000B6895">
      <w:pPr>
        <w:spacing w:after="0" w:line="240" w:lineRule="auto"/>
        <w:jc w:val="both"/>
        <w:rPr>
          <w:rFonts w:ascii="Times New Roman" w:hAnsi="Times New Roman" w:cs="Times New Roman"/>
        </w:rPr>
      </w:pPr>
    </w:p>
    <w:p w14:paraId="20B4172A" w14:textId="77777777" w:rsidR="0078275D" w:rsidRPr="00A40BB4" w:rsidRDefault="00BB1C39" w:rsidP="00B952D4">
      <w:pPr>
        <w:spacing w:after="0" w:line="240" w:lineRule="auto"/>
        <w:jc w:val="both"/>
        <w:rPr>
          <w:rFonts w:ascii="Times New Roman" w:hAnsi="Times New Roman" w:cs="Times New Roman"/>
        </w:rPr>
      </w:pPr>
      <w:r w:rsidRPr="00A40BB4">
        <w:rPr>
          <w:rFonts w:ascii="Times New Roman" w:hAnsi="Times New Roman" w:cs="Times New Roman"/>
        </w:rPr>
        <w:t>Derivado de esta situación, se</w:t>
      </w:r>
      <w:r w:rsidR="000B6895" w:rsidRPr="00A40BB4">
        <w:rPr>
          <w:rFonts w:ascii="Times New Roman" w:hAnsi="Times New Roman" w:cs="Times New Roman"/>
        </w:rPr>
        <w:t xml:space="preserve"> complicó la ejecución</w:t>
      </w:r>
      <w:r w:rsidRPr="00A40BB4">
        <w:rPr>
          <w:rFonts w:ascii="Times New Roman" w:hAnsi="Times New Roman" w:cs="Times New Roman"/>
        </w:rPr>
        <w:t xml:space="preserve"> del gasto</w:t>
      </w:r>
      <w:r w:rsidR="00B47F3B" w:rsidRPr="00A40BB4">
        <w:rPr>
          <w:rFonts w:ascii="Times New Roman" w:hAnsi="Times New Roman" w:cs="Times New Roman"/>
        </w:rPr>
        <w:t xml:space="preserve"> público total</w:t>
      </w:r>
      <w:r w:rsidR="000B6895" w:rsidRPr="00A40BB4">
        <w:rPr>
          <w:rFonts w:ascii="Times New Roman" w:hAnsi="Times New Roman" w:cs="Times New Roman"/>
        </w:rPr>
        <w:t xml:space="preserve"> en los primeros meses del año, </w:t>
      </w:r>
      <w:r w:rsidR="00EA1BC2" w:rsidRPr="00A40BB4">
        <w:rPr>
          <w:rFonts w:ascii="Times New Roman" w:hAnsi="Times New Roman" w:cs="Times New Roman"/>
        </w:rPr>
        <w:t>a</w:t>
      </w:r>
      <w:r w:rsidR="000B6895" w:rsidRPr="00A40BB4">
        <w:rPr>
          <w:rFonts w:ascii="Times New Roman" w:hAnsi="Times New Roman" w:cs="Times New Roman"/>
        </w:rPr>
        <w:t>l</w:t>
      </w:r>
      <w:r w:rsidR="00EA1BC2" w:rsidRPr="00A40BB4">
        <w:rPr>
          <w:rFonts w:ascii="Times New Roman" w:hAnsi="Times New Roman" w:cs="Times New Roman"/>
        </w:rPr>
        <w:t xml:space="preserve"> cierre del primer cuatrimestre el gasto público se </w:t>
      </w:r>
      <w:r w:rsidR="00B47F3B" w:rsidRPr="00A40BB4">
        <w:rPr>
          <w:rFonts w:ascii="Times New Roman" w:hAnsi="Times New Roman" w:cs="Times New Roman"/>
        </w:rPr>
        <w:t>estaba contrayendo</w:t>
      </w:r>
      <w:r w:rsidR="00EA1BC2" w:rsidRPr="00A40BB4">
        <w:rPr>
          <w:rFonts w:ascii="Times New Roman" w:hAnsi="Times New Roman" w:cs="Times New Roman"/>
        </w:rPr>
        <w:t xml:space="preserve"> de forma interanual en </w:t>
      </w:r>
      <w:r w:rsidR="00B47F3B" w:rsidRPr="00A40BB4">
        <w:rPr>
          <w:rFonts w:ascii="Times New Roman" w:hAnsi="Times New Roman" w:cs="Times New Roman"/>
        </w:rPr>
        <w:t>1</w:t>
      </w:r>
      <w:r w:rsidR="00EA1BC2" w:rsidRPr="00A40BB4">
        <w:rPr>
          <w:rFonts w:ascii="Times New Roman" w:hAnsi="Times New Roman" w:cs="Times New Roman"/>
        </w:rPr>
        <w:t>.</w:t>
      </w:r>
      <w:r w:rsidR="00B47F3B" w:rsidRPr="00A40BB4">
        <w:rPr>
          <w:rFonts w:ascii="Times New Roman" w:hAnsi="Times New Roman" w:cs="Times New Roman"/>
        </w:rPr>
        <w:t>6</w:t>
      </w:r>
      <w:r w:rsidR="00EA1BC2" w:rsidRPr="00A40BB4">
        <w:rPr>
          <w:rFonts w:ascii="Times New Roman" w:hAnsi="Times New Roman" w:cs="Times New Roman"/>
        </w:rPr>
        <w:t>% (equivalente a Q4</w:t>
      </w:r>
      <w:r w:rsidR="00B47F3B" w:rsidRPr="00A40BB4">
        <w:rPr>
          <w:rFonts w:ascii="Times New Roman" w:hAnsi="Times New Roman" w:cs="Times New Roman"/>
        </w:rPr>
        <w:t>09</w:t>
      </w:r>
      <w:r w:rsidR="00EA1BC2" w:rsidRPr="00A40BB4">
        <w:rPr>
          <w:rFonts w:ascii="Times New Roman" w:hAnsi="Times New Roman" w:cs="Times New Roman"/>
        </w:rPr>
        <w:t>.</w:t>
      </w:r>
      <w:r w:rsidR="00B47F3B" w:rsidRPr="00A40BB4">
        <w:rPr>
          <w:rFonts w:ascii="Times New Roman" w:hAnsi="Times New Roman" w:cs="Times New Roman"/>
        </w:rPr>
        <w:t>1</w:t>
      </w:r>
      <w:r w:rsidR="00EA1BC2" w:rsidRPr="00A40BB4">
        <w:rPr>
          <w:rFonts w:ascii="Times New Roman" w:hAnsi="Times New Roman" w:cs="Times New Roman"/>
        </w:rPr>
        <w:t xml:space="preserve"> millones), </w:t>
      </w:r>
      <w:r w:rsidR="0078275D" w:rsidRPr="00A40BB4">
        <w:rPr>
          <w:rFonts w:ascii="Times New Roman" w:hAnsi="Times New Roman" w:cs="Times New Roman"/>
        </w:rPr>
        <w:t>dado que en estos meses las entidades de gobierno estaban enfocando los esfuerzos en la arquitectura y diseño de los programas y actividades que conformarían la atención integral del COVID-19, al programa 94 “Atención por desastres naturales y Calamidades Públicas” se le adicionó el subprograma 09 “Estado de Calamidad Pública por Emergencia COVID-19 (DG 5-2020)”. Adicionalmente, se diseñó un Tablero de Seguimiento de los programas sociales y económicos en atención al COVID-19 que incorporaba acciones adicionales.</w:t>
      </w:r>
    </w:p>
    <w:p w14:paraId="37E97A2E" w14:textId="77777777" w:rsidR="0078275D" w:rsidRPr="00A40BB4" w:rsidRDefault="0078275D" w:rsidP="00B952D4">
      <w:pPr>
        <w:spacing w:after="0" w:line="240" w:lineRule="auto"/>
        <w:jc w:val="both"/>
        <w:rPr>
          <w:rFonts w:ascii="Times New Roman" w:hAnsi="Times New Roman" w:cs="Times New Roman"/>
        </w:rPr>
      </w:pPr>
    </w:p>
    <w:p w14:paraId="1300FAF9" w14:textId="77777777" w:rsidR="00014C55" w:rsidRPr="00A40BB4" w:rsidRDefault="00D914DD" w:rsidP="00B952D4">
      <w:pPr>
        <w:spacing w:after="0" w:line="240" w:lineRule="auto"/>
        <w:jc w:val="both"/>
        <w:rPr>
          <w:rFonts w:ascii="Times New Roman" w:hAnsi="Times New Roman" w:cs="Times New Roman"/>
        </w:rPr>
      </w:pPr>
      <w:r w:rsidRPr="00A40BB4">
        <w:rPr>
          <w:rFonts w:ascii="Times New Roman" w:hAnsi="Times New Roman" w:cs="Times New Roman"/>
        </w:rPr>
        <w:t>Después del primer cuatrimestre del año, la dinámica del gasto público estuvo influenciada por la propagación de la pandemia COVID-19 en Guatemala, la cual provocó una crisis sanitaria y económica sin precedentes, se adoptaron medidas de confinamiento y de distanciamiento social, afectando los ingresos de las familias y las empresas. Para mitigar y reducir los efectos sanitarios y económicos adversos para los guatemaltecos, fue importante la intervención del Estado, a través de una política fiscal expansiva, es</w:t>
      </w:r>
      <w:r w:rsidR="0061017F">
        <w:rPr>
          <w:rFonts w:ascii="Times New Roman" w:hAnsi="Times New Roman" w:cs="Times New Roman"/>
        </w:rPr>
        <w:t xml:space="preserve"> por ello que el gobierno diseñó</w:t>
      </w:r>
      <w:r w:rsidRPr="00A40BB4">
        <w:rPr>
          <w:rFonts w:ascii="Times New Roman" w:hAnsi="Times New Roman" w:cs="Times New Roman"/>
        </w:rPr>
        <w:t xml:space="preserve"> una serie de programas sociales y económicos para la atención del COVID-19, los cuales impulsaron el gasto público.</w:t>
      </w:r>
    </w:p>
    <w:p w14:paraId="27A8E824" w14:textId="77777777" w:rsidR="0024774E" w:rsidRPr="00A40BB4" w:rsidRDefault="0024774E" w:rsidP="00B952D4">
      <w:pPr>
        <w:spacing w:after="0" w:line="240" w:lineRule="auto"/>
        <w:jc w:val="both"/>
        <w:rPr>
          <w:rFonts w:ascii="Times New Roman" w:hAnsi="Times New Roman" w:cs="Times New Roman"/>
        </w:rPr>
      </w:pPr>
    </w:p>
    <w:p w14:paraId="15DE8413" w14:textId="77777777" w:rsidR="0024774E" w:rsidRPr="00A40BB4" w:rsidRDefault="00422B97" w:rsidP="0024774E">
      <w:pPr>
        <w:spacing w:after="0" w:line="240" w:lineRule="auto"/>
        <w:jc w:val="both"/>
        <w:rPr>
          <w:rFonts w:ascii="Times New Roman" w:hAnsi="Times New Roman" w:cs="Times New Roman"/>
        </w:rPr>
      </w:pPr>
      <w:r w:rsidRPr="00A40BB4">
        <w:rPr>
          <w:rFonts w:ascii="Times New Roman" w:hAnsi="Times New Roman" w:cs="Times New Roman"/>
        </w:rPr>
        <w:t xml:space="preserve">Derivado de esto, a lo largo de 2020 conforme avanzaban los meses se observó </w:t>
      </w:r>
      <w:r w:rsidR="0024774E" w:rsidRPr="00A40BB4">
        <w:rPr>
          <w:rFonts w:ascii="Times New Roman" w:hAnsi="Times New Roman" w:cs="Times New Roman"/>
        </w:rPr>
        <w:t>un</w:t>
      </w:r>
      <w:r w:rsidRPr="00A40BB4">
        <w:rPr>
          <w:rFonts w:ascii="Times New Roman" w:hAnsi="Times New Roman" w:cs="Times New Roman"/>
        </w:rPr>
        <w:t xml:space="preserve"> mejor</w:t>
      </w:r>
      <w:r w:rsidR="0024774E" w:rsidRPr="00A40BB4">
        <w:rPr>
          <w:rFonts w:ascii="Times New Roman" w:hAnsi="Times New Roman" w:cs="Times New Roman"/>
        </w:rPr>
        <w:t xml:space="preserve"> desempeño de la ejecución de gasto público, teniendo en cuenta que, </w:t>
      </w:r>
      <w:r w:rsidRPr="00A40BB4">
        <w:rPr>
          <w:rFonts w:ascii="Times New Roman" w:hAnsi="Times New Roman" w:cs="Times New Roman"/>
        </w:rPr>
        <w:t>en algunas entidades específicas que concentraban programas asociados al COVID-19</w:t>
      </w:r>
      <w:r w:rsidR="0024774E" w:rsidRPr="00A40BB4">
        <w:rPr>
          <w:rFonts w:ascii="Times New Roman" w:hAnsi="Times New Roman" w:cs="Times New Roman"/>
        </w:rPr>
        <w:t xml:space="preserve"> la ejecución se iba a acelerar. </w:t>
      </w:r>
    </w:p>
    <w:p w14:paraId="147D7BF6" w14:textId="77777777" w:rsidR="00344D60" w:rsidRPr="00A40BB4" w:rsidRDefault="00344D60" w:rsidP="0024774E">
      <w:pPr>
        <w:spacing w:after="0" w:line="240" w:lineRule="auto"/>
        <w:jc w:val="both"/>
        <w:rPr>
          <w:rFonts w:ascii="Times New Roman" w:hAnsi="Times New Roman" w:cs="Times New Roman"/>
        </w:rPr>
      </w:pPr>
    </w:p>
    <w:p w14:paraId="2D09428B" w14:textId="77777777" w:rsidR="00344D60" w:rsidRPr="00A40BB4" w:rsidRDefault="00344D60" w:rsidP="00344D60">
      <w:pPr>
        <w:spacing w:after="0" w:line="240" w:lineRule="auto"/>
        <w:jc w:val="both"/>
        <w:rPr>
          <w:rFonts w:ascii="Times New Roman" w:hAnsi="Times New Roman" w:cs="Times New Roman"/>
        </w:rPr>
      </w:pPr>
      <w:r w:rsidRPr="00A40BB4">
        <w:rPr>
          <w:rFonts w:ascii="Times New Roman" w:hAnsi="Times New Roman" w:cs="Times New Roman"/>
        </w:rPr>
        <w:t>En el transcurso de 2020, derivado de la pandemia COVID-19 y otros compromisos adquiridos anteriormente, el Congreso de la República aprobó ampliaciones presupuestarias acorde a las nuevas necesidades coyunturales. Se aprobaron tres decretos (Decretos 12-2020, 13-2020 y 20-2020), los cuales sumaron Q19,806.4 millones, siendo estos:</w:t>
      </w:r>
    </w:p>
    <w:p w14:paraId="574A8E7C" w14:textId="77777777" w:rsidR="00344D60" w:rsidRPr="00A40BB4" w:rsidRDefault="00344D60" w:rsidP="00344D60">
      <w:pPr>
        <w:spacing w:after="0" w:line="240" w:lineRule="auto"/>
        <w:jc w:val="both"/>
        <w:rPr>
          <w:rFonts w:ascii="Times New Roman" w:hAnsi="Times New Roman" w:cs="Times New Roman"/>
        </w:rPr>
      </w:pPr>
    </w:p>
    <w:p w14:paraId="62490988" w14:textId="77777777" w:rsidR="00344D60" w:rsidRPr="00A40BB4" w:rsidRDefault="00344D60" w:rsidP="001032E7">
      <w:pPr>
        <w:pStyle w:val="Prrafodelista"/>
        <w:numPr>
          <w:ilvl w:val="0"/>
          <w:numId w:val="18"/>
        </w:numPr>
        <w:spacing w:after="0" w:line="240" w:lineRule="auto"/>
        <w:jc w:val="both"/>
        <w:rPr>
          <w:rFonts w:ascii="Times New Roman" w:hAnsi="Times New Roman" w:cs="Times New Roman"/>
        </w:rPr>
      </w:pPr>
      <w:r w:rsidRPr="00A40BB4">
        <w:rPr>
          <w:rFonts w:ascii="Times New Roman" w:hAnsi="Times New Roman" w:cs="Times New Roman"/>
        </w:rPr>
        <w:t xml:space="preserve">Decreto 12-2020 “Ley de Emergencia COVID-19” por Q3,667.5 millones </w:t>
      </w:r>
    </w:p>
    <w:p w14:paraId="26FF821F" w14:textId="77777777" w:rsidR="00344D60" w:rsidRPr="00A40BB4" w:rsidRDefault="00344D60" w:rsidP="001032E7">
      <w:pPr>
        <w:pStyle w:val="Prrafodelista"/>
        <w:numPr>
          <w:ilvl w:val="0"/>
          <w:numId w:val="18"/>
        </w:numPr>
        <w:spacing w:after="0" w:line="240" w:lineRule="auto"/>
        <w:jc w:val="both"/>
        <w:rPr>
          <w:rFonts w:ascii="Times New Roman" w:hAnsi="Times New Roman" w:cs="Times New Roman"/>
        </w:rPr>
      </w:pPr>
      <w:r w:rsidRPr="00A40BB4">
        <w:rPr>
          <w:rFonts w:ascii="Times New Roman" w:hAnsi="Times New Roman" w:cs="Times New Roman"/>
        </w:rPr>
        <w:t xml:space="preserve">Decreto 13-2020 “Ley de Rescate Económico para Familias” por Q11,000 millones </w:t>
      </w:r>
    </w:p>
    <w:p w14:paraId="332F9F54" w14:textId="77777777" w:rsidR="00344D60" w:rsidRPr="00A40BB4" w:rsidRDefault="00344D60" w:rsidP="001032E7">
      <w:pPr>
        <w:pStyle w:val="Prrafodelista"/>
        <w:numPr>
          <w:ilvl w:val="0"/>
          <w:numId w:val="18"/>
        </w:numPr>
        <w:spacing w:after="0" w:line="240" w:lineRule="auto"/>
        <w:jc w:val="both"/>
        <w:rPr>
          <w:rFonts w:ascii="Times New Roman" w:hAnsi="Times New Roman" w:cs="Times New Roman"/>
        </w:rPr>
      </w:pPr>
      <w:r w:rsidRPr="00A40BB4">
        <w:rPr>
          <w:rFonts w:ascii="Times New Roman" w:hAnsi="Times New Roman" w:cs="Times New Roman"/>
        </w:rPr>
        <w:t>Decreto 20-2020 “Ampliación del Presupuesto General de Ingresos y Egresos del Estado para el Ejercicio Fiscal Dos Mil Veinte” por Q5,138.9 millones</w:t>
      </w:r>
    </w:p>
    <w:p w14:paraId="4500189B" w14:textId="77777777" w:rsidR="00344D60" w:rsidRPr="00A40BB4" w:rsidRDefault="00344D60" w:rsidP="00344D60">
      <w:pPr>
        <w:spacing w:after="0" w:line="240" w:lineRule="auto"/>
        <w:jc w:val="both"/>
        <w:rPr>
          <w:rFonts w:ascii="Times New Roman" w:hAnsi="Times New Roman" w:cs="Times New Roman"/>
        </w:rPr>
      </w:pPr>
    </w:p>
    <w:p w14:paraId="2FBCC9E7" w14:textId="1D115F22" w:rsidR="00344D60" w:rsidRPr="00A40BB4" w:rsidRDefault="0061017F" w:rsidP="00344D60">
      <w:pPr>
        <w:spacing w:after="0" w:line="240" w:lineRule="auto"/>
        <w:jc w:val="both"/>
        <w:rPr>
          <w:rFonts w:ascii="Times New Roman" w:hAnsi="Times New Roman" w:cs="Times New Roman"/>
        </w:rPr>
      </w:pPr>
      <w:r>
        <w:rPr>
          <w:rFonts w:ascii="Times New Roman" w:hAnsi="Times New Roman" w:cs="Times New Roman"/>
        </w:rPr>
        <w:t xml:space="preserve">De esa cuenta, </w:t>
      </w:r>
      <w:r w:rsidR="00344D60" w:rsidRPr="00A40BB4">
        <w:rPr>
          <w:rFonts w:ascii="Times New Roman" w:hAnsi="Times New Roman" w:cs="Times New Roman"/>
        </w:rPr>
        <w:t>el presupuesto vigente de 2020 finalizó en Q107,760.7 millones, siendo las ampliaciones totales por un monto de Q20,045.7 millones, dado que se realizó una ampliación adicional por Q239.3 millones que no requería de aprobación por parte</w:t>
      </w:r>
      <w:r w:rsidR="000A66AB">
        <w:rPr>
          <w:rFonts w:ascii="Times New Roman" w:hAnsi="Times New Roman" w:cs="Times New Roman"/>
        </w:rPr>
        <w:t xml:space="preserve"> del Congreso de la República debido a</w:t>
      </w:r>
      <w:r w:rsidR="00344D60" w:rsidRPr="00A40BB4">
        <w:rPr>
          <w:rFonts w:ascii="Times New Roman" w:hAnsi="Times New Roman" w:cs="Times New Roman"/>
        </w:rPr>
        <w:t xml:space="preserve"> que ya se encontraba contemplada en el decreto original 25-2018. </w:t>
      </w:r>
    </w:p>
    <w:p w14:paraId="789A635A" w14:textId="77777777" w:rsidR="00344D60" w:rsidRPr="00A40BB4" w:rsidRDefault="00344D60" w:rsidP="00344D60">
      <w:pPr>
        <w:spacing w:after="0" w:line="240" w:lineRule="auto"/>
        <w:jc w:val="both"/>
        <w:rPr>
          <w:rFonts w:ascii="Times New Roman" w:hAnsi="Times New Roman" w:cs="Times New Roman"/>
          <w:lang w:val="es-ES"/>
        </w:rPr>
      </w:pPr>
    </w:p>
    <w:p w14:paraId="55E27BFD" w14:textId="77777777" w:rsidR="00344D60" w:rsidRPr="00A40BB4" w:rsidRDefault="0061017F" w:rsidP="00344D60">
      <w:pPr>
        <w:spacing w:after="0" w:line="240" w:lineRule="auto"/>
        <w:jc w:val="both"/>
        <w:rPr>
          <w:rFonts w:ascii="Times New Roman" w:hAnsi="Times New Roman" w:cs="Times New Roman"/>
        </w:rPr>
      </w:pPr>
      <w:r>
        <w:rPr>
          <w:rFonts w:ascii="Times New Roman" w:hAnsi="Times New Roman" w:cs="Times New Roman"/>
        </w:rPr>
        <w:t>Por lo anterior</w:t>
      </w:r>
      <w:r w:rsidR="00344D60" w:rsidRPr="00A40BB4">
        <w:rPr>
          <w:rFonts w:ascii="Times New Roman" w:hAnsi="Times New Roman" w:cs="Times New Roman"/>
        </w:rPr>
        <w:t xml:space="preserve">, </w:t>
      </w:r>
      <w:r>
        <w:rPr>
          <w:rFonts w:ascii="Times New Roman" w:hAnsi="Times New Roman" w:cs="Times New Roman"/>
        </w:rPr>
        <w:t>e</w:t>
      </w:r>
      <w:r w:rsidR="00344D60" w:rsidRPr="00A40BB4">
        <w:rPr>
          <w:rFonts w:ascii="Times New Roman" w:hAnsi="Times New Roman" w:cs="Times New Roman"/>
        </w:rPr>
        <w:t>l cierre de 2020, la ejecución de gasto público que incluye amortizaciones de la deuda pública, se ubicó en Q94,625.4 millones, con un crecimiento interanual de 16.6%, equivalente a Q13,786.4 millones. De no haberse dado la pandemia del COVID-19 y el gasto relacionada a la misma, el ritmo de ejecución del gasto público hubiera sido únicamente de 0.3%.</w:t>
      </w:r>
    </w:p>
    <w:p w14:paraId="6CBB8255" w14:textId="77777777" w:rsidR="0061017F" w:rsidRDefault="0061017F" w:rsidP="002C7396">
      <w:pPr>
        <w:pStyle w:val="Epgrafe"/>
        <w:spacing w:after="0"/>
        <w:rPr>
          <w:rFonts w:ascii="Times New Roman" w:hAnsi="Times New Roman" w:cs="Times New Roman"/>
          <w:b/>
          <w:bCs/>
          <w:i w:val="0"/>
          <w:iCs w:val="0"/>
          <w:color w:val="auto"/>
          <w:sz w:val="22"/>
          <w:szCs w:val="22"/>
        </w:rPr>
      </w:pPr>
    </w:p>
    <w:p w14:paraId="7083E685" w14:textId="5D40F546" w:rsidR="00811214" w:rsidRPr="00A7229F" w:rsidRDefault="003E14B7" w:rsidP="00E4773A">
      <w:pPr>
        <w:pStyle w:val="Epgrafe"/>
        <w:spacing w:after="0"/>
        <w:jc w:val="center"/>
        <w:rPr>
          <w:rFonts w:ascii="Times New Roman" w:hAnsi="Times New Roman" w:cs="Times New Roman"/>
          <w:b/>
          <w:bCs/>
          <w:i w:val="0"/>
          <w:iCs w:val="0"/>
          <w:color w:val="auto"/>
          <w:sz w:val="22"/>
          <w:szCs w:val="22"/>
        </w:rPr>
      </w:pPr>
      <w:bookmarkStart w:id="1020" w:name="_Toc81573080"/>
      <w:r w:rsidRPr="003E14B7">
        <w:rPr>
          <w:rFonts w:ascii="Times New Roman" w:hAnsi="Times New Roman" w:cs="Times New Roman"/>
          <w:b/>
          <w:color w:val="auto"/>
          <w:sz w:val="20"/>
        </w:rPr>
        <w:t xml:space="preserve">Gráfico </w:t>
      </w:r>
      <w:r w:rsidRPr="003E14B7">
        <w:rPr>
          <w:rFonts w:ascii="Times New Roman" w:hAnsi="Times New Roman" w:cs="Times New Roman"/>
          <w:b/>
          <w:color w:val="auto"/>
          <w:sz w:val="20"/>
        </w:rPr>
        <w:fldChar w:fldCharType="begin"/>
      </w:r>
      <w:r w:rsidRPr="003E14B7">
        <w:rPr>
          <w:rFonts w:ascii="Times New Roman" w:hAnsi="Times New Roman" w:cs="Times New Roman"/>
          <w:b/>
          <w:color w:val="auto"/>
          <w:sz w:val="20"/>
        </w:rPr>
        <w:instrText xml:space="preserve"> SEQ Gráfico \* ARABIC </w:instrText>
      </w:r>
      <w:r w:rsidRPr="003E14B7">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30</w:t>
      </w:r>
      <w:r w:rsidRPr="003E14B7">
        <w:rPr>
          <w:rFonts w:ascii="Times New Roman" w:hAnsi="Times New Roman" w:cs="Times New Roman"/>
          <w:b/>
          <w:color w:val="auto"/>
          <w:sz w:val="20"/>
        </w:rPr>
        <w:fldChar w:fldCharType="end"/>
      </w:r>
      <w:r w:rsidRPr="003E14B7">
        <w:rPr>
          <w:rFonts w:ascii="Times New Roman" w:hAnsi="Times New Roman" w:cs="Times New Roman"/>
          <w:b/>
          <w:color w:val="auto"/>
          <w:sz w:val="20"/>
        </w:rPr>
        <w:t xml:space="preserve">  </w:t>
      </w:r>
      <w:r w:rsidR="00811214" w:rsidRPr="00A7229F">
        <w:rPr>
          <w:rFonts w:ascii="Times New Roman" w:hAnsi="Times New Roman" w:cs="Times New Roman"/>
          <w:b/>
          <w:bCs/>
          <w:i w:val="0"/>
          <w:iCs w:val="0"/>
          <w:color w:val="auto"/>
          <w:sz w:val="22"/>
          <w:szCs w:val="22"/>
        </w:rPr>
        <w:t>Ritmo de ejecución del gasto público</w:t>
      </w:r>
      <w:r w:rsidR="0024774E">
        <w:rPr>
          <w:rFonts w:ascii="Times New Roman" w:hAnsi="Times New Roman" w:cs="Times New Roman"/>
          <w:b/>
          <w:bCs/>
          <w:i w:val="0"/>
          <w:iCs w:val="0"/>
          <w:color w:val="auto"/>
          <w:sz w:val="22"/>
          <w:szCs w:val="22"/>
        </w:rPr>
        <w:t>*</w:t>
      </w:r>
      <w:bookmarkEnd w:id="1020"/>
    </w:p>
    <w:p w14:paraId="0F2F6F09" w14:textId="77777777" w:rsidR="00811214" w:rsidRPr="004133EB" w:rsidRDefault="001525C5" w:rsidP="00E4773A">
      <w:pPr>
        <w:spacing w:after="0" w:line="240" w:lineRule="auto"/>
        <w:jc w:val="center"/>
        <w:rPr>
          <w:rFonts w:ascii="Times New Roman" w:hAnsi="Times New Roman" w:cs="Times New Roman"/>
          <w:sz w:val="18"/>
          <w:szCs w:val="18"/>
        </w:rPr>
      </w:pPr>
      <w:r>
        <w:rPr>
          <w:rFonts w:ascii="Times New Roman" w:hAnsi="Times New Roman" w:cs="Times New Roman"/>
          <w:noProof/>
          <w:lang w:val="es-ES" w:eastAsia="es-ES"/>
        </w:rPr>
        <w:drawing>
          <wp:anchor distT="0" distB="0" distL="114300" distR="114300" simplePos="0" relativeHeight="251929088" behindDoc="0" locked="0" layoutInCell="1" allowOverlap="1" wp14:anchorId="31546D3A" wp14:editId="42FA70CE">
            <wp:simplePos x="0" y="0"/>
            <wp:positionH relativeFrom="column">
              <wp:posOffset>127000</wp:posOffset>
            </wp:positionH>
            <wp:positionV relativeFrom="paragraph">
              <wp:posOffset>161925</wp:posOffset>
            </wp:positionV>
            <wp:extent cx="5486400" cy="2794635"/>
            <wp:effectExtent l="0" t="0" r="0" b="5715"/>
            <wp:wrapSquare wrapText="bothSides"/>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r w:rsidR="00811214" w:rsidRPr="004133EB">
        <w:rPr>
          <w:rFonts w:ascii="Times New Roman" w:hAnsi="Times New Roman" w:cs="Times New Roman"/>
          <w:sz w:val="18"/>
          <w:szCs w:val="18"/>
        </w:rPr>
        <w:t>Variación interanual (%)</w:t>
      </w:r>
    </w:p>
    <w:p w14:paraId="29C36358" w14:textId="77777777" w:rsidR="0024774E" w:rsidRDefault="0024774E" w:rsidP="00B952D4">
      <w:pPr>
        <w:spacing w:after="0" w:line="240" w:lineRule="auto"/>
        <w:jc w:val="both"/>
        <w:rPr>
          <w:rFonts w:ascii="Times New Roman" w:hAnsi="Times New Roman" w:cs="Times New Roman"/>
          <w:sz w:val="16"/>
        </w:rPr>
      </w:pPr>
      <w:r>
        <w:rPr>
          <w:rFonts w:ascii="Times New Roman" w:hAnsi="Times New Roman" w:cs="Times New Roman"/>
          <w:sz w:val="16"/>
        </w:rPr>
        <w:t>*Incluye amortizaciones de la deuda pública</w:t>
      </w:r>
    </w:p>
    <w:p w14:paraId="47C6EDDA" w14:textId="77777777" w:rsidR="00014C55" w:rsidRDefault="00766310" w:rsidP="00B952D4">
      <w:pPr>
        <w:spacing w:after="0" w:line="240" w:lineRule="auto"/>
        <w:jc w:val="both"/>
        <w:rPr>
          <w:rFonts w:ascii="Times New Roman" w:hAnsi="Times New Roman" w:cs="Times New Roman"/>
          <w:highlight w:val="yellow"/>
        </w:rPr>
      </w:pPr>
      <w:r w:rsidRPr="00784A73">
        <w:rPr>
          <w:rFonts w:ascii="Times New Roman" w:hAnsi="Times New Roman" w:cs="Times New Roman"/>
          <w:sz w:val="16"/>
        </w:rPr>
        <w:t>Fuente: Dirección de Análisis y Política Fiscal</w:t>
      </w:r>
    </w:p>
    <w:p w14:paraId="359F9797" w14:textId="77777777" w:rsidR="00FC15FD" w:rsidRDefault="00FC15FD" w:rsidP="002C7396">
      <w:pPr>
        <w:spacing w:after="0" w:line="240" w:lineRule="auto"/>
        <w:jc w:val="both"/>
        <w:rPr>
          <w:rFonts w:ascii="Times New Roman" w:hAnsi="Times New Roman" w:cs="Times New Roman"/>
          <w:highlight w:val="yellow"/>
        </w:rPr>
      </w:pPr>
    </w:p>
    <w:p w14:paraId="46875C10" w14:textId="77777777" w:rsidR="006A1942" w:rsidRPr="00A40BB4" w:rsidRDefault="006A1942" w:rsidP="002C7396">
      <w:pPr>
        <w:spacing w:line="240" w:lineRule="auto"/>
        <w:jc w:val="both"/>
        <w:rPr>
          <w:rFonts w:ascii="Times New Roman" w:eastAsia="Times New Roman" w:hAnsi="Times New Roman" w:cs="Times New Roman"/>
        </w:rPr>
      </w:pPr>
      <w:r w:rsidRPr="00A40BB4">
        <w:rPr>
          <w:rFonts w:ascii="Times New Roman" w:eastAsia="Times New Roman" w:hAnsi="Times New Roman" w:cs="Times New Roman"/>
        </w:rPr>
        <w:t>Una ejecución moderada es bastante normal en el primer año de una nueva administración pública, ya que se da un proceso de adaptación de las nuevas autoridades y funcionarios al que hacer de la administración pública. El 2020 fue la e</w:t>
      </w:r>
      <w:r w:rsidR="0078275D" w:rsidRPr="00A40BB4">
        <w:rPr>
          <w:rFonts w:ascii="Times New Roman" w:eastAsia="Times New Roman" w:hAnsi="Times New Roman" w:cs="Times New Roman"/>
        </w:rPr>
        <w:t>xcepción a este comportamiento histórico</w:t>
      </w:r>
      <w:r w:rsidRPr="00A40BB4">
        <w:rPr>
          <w:rFonts w:ascii="Times New Roman" w:eastAsia="Times New Roman" w:hAnsi="Times New Roman" w:cs="Times New Roman"/>
        </w:rPr>
        <w:t xml:space="preserve">, </w:t>
      </w:r>
      <w:r w:rsidR="0061017F">
        <w:rPr>
          <w:rFonts w:ascii="Times New Roman" w:eastAsia="Times New Roman" w:hAnsi="Times New Roman" w:cs="Times New Roman"/>
        </w:rPr>
        <w:t>debido a</w:t>
      </w:r>
      <w:r w:rsidR="0078275D" w:rsidRPr="00A40BB4">
        <w:rPr>
          <w:rFonts w:ascii="Times New Roman" w:eastAsia="Times New Roman" w:hAnsi="Times New Roman" w:cs="Times New Roman"/>
        </w:rPr>
        <w:t xml:space="preserve"> </w:t>
      </w:r>
      <w:r w:rsidRPr="00A40BB4">
        <w:rPr>
          <w:rFonts w:ascii="Times New Roman" w:eastAsia="Times New Roman" w:hAnsi="Times New Roman" w:cs="Times New Roman"/>
        </w:rPr>
        <w:t xml:space="preserve">las particularidades derivadas del COVID-19 que hicieron necesaria una fuerte intervención por parte del Estado. </w:t>
      </w:r>
    </w:p>
    <w:p w14:paraId="51E3B458" w14:textId="77777777" w:rsidR="009045FA" w:rsidRPr="00A40BB4" w:rsidRDefault="00EE7CD0" w:rsidP="002C7396">
      <w:pPr>
        <w:tabs>
          <w:tab w:val="left" w:pos="5103"/>
        </w:tabs>
        <w:spacing w:after="0" w:line="240" w:lineRule="auto"/>
        <w:jc w:val="both"/>
        <w:rPr>
          <w:rFonts w:ascii="Times New Roman" w:hAnsi="Times New Roman" w:cs="Times New Roman"/>
        </w:rPr>
      </w:pPr>
      <w:r w:rsidRPr="00A40BB4">
        <w:rPr>
          <w:rFonts w:ascii="Times New Roman" w:hAnsi="Times New Roman" w:cs="Times New Roman"/>
        </w:rPr>
        <w:t xml:space="preserve">A nivel de los </w:t>
      </w:r>
      <w:r w:rsidR="000B6895" w:rsidRPr="00A40BB4">
        <w:rPr>
          <w:rFonts w:ascii="Times New Roman" w:hAnsi="Times New Roman" w:cs="Times New Roman"/>
        </w:rPr>
        <w:t>rubro</w:t>
      </w:r>
      <w:r w:rsidRPr="00A40BB4">
        <w:rPr>
          <w:rFonts w:ascii="Times New Roman" w:hAnsi="Times New Roman" w:cs="Times New Roman"/>
        </w:rPr>
        <w:t xml:space="preserve">s por cuenta económica del gasto, </w:t>
      </w:r>
      <w:r w:rsidR="00393C68">
        <w:rPr>
          <w:rFonts w:ascii="Times New Roman" w:hAnsi="Times New Roman" w:cs="Times New Roman"/>
        </w:rPr>
        <w:t xml:space="preserve">son </w:t>
      </w:r>
      <w:r w:rsidRPr="00A40BB4">
        <w:rPr>
          <w:rFonts w:ascii="Times New Roman" w:hAnsi="Times New Roman" w:cs="Times New Roman"/>
        </w:rPr>
        <w:t>las transferencias corrientes</w:t>
      </w:r>
      <w:r w:rsidR="009045FA" w:rsidRPr="00A40BB4">
        <w:rPr>
          <w:rFonts w:ascii="Times New Roman" w:hAnsi="Times New Roman" w:cs="Times New Roman"/>
        </w:rPr>
        <w:t xml:space="preserve"> al sector privado</w:t>
      </w:r>
      <w:r w:rsidRPr="00A40BB4">
        <w:rPr>
          <w:rFonts w:ascii="Times New Roman" w:hAnsi="Times New Roman" w:cs="Times New Roman"/>
        </w:rPr>
        <w:t xml:space="preserve"> principalmente por las transferencias otorgadas a personas i</w:t>
      </w:r>
      <w:r w:rsidR="00393C68">
        <w:rPr>
          <w:rFonts w:ascii="Times New Roman" w:hAnsi="Times New Roman" w:cs="Times New Roman"/>
        </w:rPr>
        <w:t>ndividuales y al sector privado las que muestran mayor dinamismo,</w:t>
      </w:r>
      <w:r w:rsidRPr="00A40BB4">
        <w:rPr>
          <w:rFonts w:ascii="Times New Roman" w:hAnsi="Times New Roman" w:cs="Times New Roman"/>
        </w:rPr>
        <w:t xml:space="preserve"> esto se debió a que los programas</w:t>
      </w:r>
      <w:r w:rsidR="00393C68">
        <w:rPr>
          <w:rFonts w:ascii="Times New Roman" w:hAnsi="Times New Roman" w:cs="Times New Roman"/>
        </w:rPr>
        <w:t xml:space="preserve"> asociados al</w:t>
      </w:r>
      <w:r w:rsidRPr="00A40BB4">
        <w:rPr>
          <w:rFonts w:ascii="Times New Roman" w:hAnsi="Times New Roman" w:cs="Times New Roman"/>
        </w:rPr>
        <w:t xml:space="preserve"> COVID-19 más importantes como el Bono Familia por Q6,000 millones y el Fondo de Protección de Empleo por Q2,000 millones se registraron en dicho rubro, incluyendo los Q150 millones que se </w:t>
      </w:r>
      <w:r w:rsidR="00393C68">
        <w:rPr>
          <w:rFonts w:ascii="Times New Roman" w:hAnsi="Times New Roman" w:cs="Times New Roman"/>
        </w:rPr>
        <w:t>asignaron</w:t>
      </w:r>
      <w:r w:rsidRPr="00A40BB4">
        <w:rPr>
          <w:rFonts w:ascii="Times New Roman" w:hAnsi="Times New Roman" w:cs="Times New Roman"/>
        </w:rPr>
        <w:t xml:space="preserve"> para pensionados y jubilados del Estado. </w:t>
      </w:r>
      <w:r w:rsidR="009045FA" w:rsidRPr="00A40BB4">
        <w:rPr>
          <w:rFonts w:ascii="Times New Roman" w:hAnsi="Times New Roman" w:cs="Times New Roman"/>
        </w:rPr>
        <w:t>En línea con lo observado en diferente</w:t>
      </w:r>
      <w:r w:rsidR="00393C68">
        <w:rPr>
          <w:rFonts w:ascii="Times New Roman" w:hAnsi="Times New Roman" w:cs="Times New Roman"/>
        </w:rPr>
        <w:t>s países, Guatemala también optó</w:t>
      </w:r>
      <w:r w:rsidR="009045FA" w:rsidRPr="00A40BB4">
        <w:rPr>
          <w:rFonts w:ascii="Times New Roman" w:hAnsi="Times New Roman" w:cs="Times New Roman"/>
        </w:rPr>
        <w:t xml:space="preserve"> por las transferencias corrientes a hogares y al sector productivo como principal herramienta para mitigar los efectos sociales y económicos de la pandemia. </w:t>
      </w:r>
    </w:p>
    <w:p w14:paraId="278A6857" w14:textId="77777777" w:rsidR="009045FA" w:rsidRPr="00A40BB4" w:rsidRDefault="009045FA" w:rsidP="002C7396">
      <w:pPr>
        <w:tabs>
          <w:tab w:val="left" w:pos="5103"/>
        </w:tabs>
        <w:spacing w:after="0" w:line="240" w:lineRule="auto"/>
        <w:jc w:val="both"/>
        <w:rPr>
          <w:rFonts w:ascii="Times New Roman" w:hAnsi="Times New Roman" w:cs="Times New Roman"/>
        </w:rPr>
      </w:pPr>
    </w:p>
    <w:p w14:paraId="03D19951" w14:textId="77777777" w:rsidR="00EE7CD0" w:rsidRPr="00A40BB4" w:rsidRDefault="00EE7CD0" w:rsidP="002C7396">
      <w:pPr>
        <w:tabs>
          <w:tab w:val="left" w:pos="5103"/>
        </w:tabs>
        <w:spacing w:after="0" w:line="240" w:lineRule="auto"/>
        <w:jc w:val="both"/>
        <w:rPr>
          <w:rFonts w:ascii="Times New Roman" w:hAnsi="Times New Roman" w:cs="Times New Roman"/>
        </w:rPr>
      </w:pPr>
      <w:r w:rsidRPr="00A40BB4">
        <w:rPr>
          <w:rFonts w:ascii="Times New Roman" w:hAnsi="Times New Roman" w:cs="Times New Roman"/>
        </w:rPr>
        <w:t xml:space="preserve">En lo que respecta a las transferencias corrientes al sector público, reportan un crecimiento interanual moderado de 3.1%, como resultado del desempeño mostrado por la recaudación tributaria, cuyo impacto fue visible en una menor disponibilidad de recursos para las entidades que por mandato legal reciben transferencias a su presupuesto provenientes de la recaudación tributaria.  </w:t>
      </w:r>
    </w:p>
    <w:p w14:paraId="1AF36563" w14:textId="77777777" w:rsidR="00EE7CD0" w:rsidRPr="00A40BB4" w:rsidRDefault="00EE7CD0" w:rsidP="002C7396">
      <w:pPr>
        <w:tabs>
          <w:tab w:val="left" w:pos="5103"/>
        </w:tabs>
        <w:spacing w:after="0" w:line="240" w:lineRule="auto"/>
        <w:jc w:val="both"/>
        <w:rPr>
          <w:rFonts w:ascii="Times New Roman" w:hAnsi="Times New Roman" w:cs="Times New Roman"/>
        </w:rPr>
      </w:pPr>
    </w:p>
    <w:p w14:paraId="068539D8" w14:textId="77777777" w:rsidR="006A30B5" w:rsidRPr="00A40BB4" w:rsidRDefault="006A30B5" w:rsidP="002C7396">
      <w:pPr>
        <w:tabs>
          <w:tab w:val="left" w:pos="5103"/>
        </w:tabs>
        <w:spacing w:after="0" w:line="240" w:lineRule="auto"/>
        <w:jc w:val="both"/>
        <w:rPr>
          <w:rFonts w:ascii="Times New Roman" w:hAnsi="Times New Roman" w:cs="Times New Roman"/>
        </w:rPr>
      </w:pPr>
      <w:r w:rsidRPr="00A40BB4">
        <w:rPr>
          <w:rFonts w:ascii="Times New Roman" w:hAnsi="Times New Roman" w:cs="Times New Roman"/>
        </w:rPr>
        <w:t xml:space="preserve">Asimismo, el rubro de la inversión financiera reportó un crecimiento negativo en 2019 y en 2020 creció de forma exponencial, esto debido a que en este rubro se registra la concesión de préstamos a corto y largo plazo, de carácter reintegrable, la realización de este gasto responde a la consecución de objetivos de política y no lograr rentabilidad en la aplicación de excedentes financieros. </w:t>
      </w:r>
      <w:r w:rsidR="00344D60" w:rsidRPr="00A40BB4">
        <w:rPr>
          <w:rFonts w:ascii="Times New Roman" w:hAnsi="Times New Roman" w:cs="Times New Roman"/>
        </w:rPr>
        <w:t>P</w:t>
      </w:r>
      <w:r w:rsidRPr="00A40BB4">
        <w:rPr>
          <w:rFonts w:ascii="Times New Roman" w:hAnsi="Times New Roman" w:cs="Times New Roman"/>
        </w:rPr>
        <w:t xml:space="preserve">ara la atención del COVID-19, </w:t>
      </w:r>
      <w:r w:rsidR="00344D60" w:rsidRPr="00A40BB4">
        <w:rPr>
          <w:rFonts w:ascii="Times New Roman" w:hAnsi="Times New Roman" w:cs="Times New Roman"/>
        </w:rPr>
        <w:t xml:space="preserve">fueron </w:t>
      </w:r>
      <w:r w:rsidRPr="00A40BB4">
        <w:rPr>
          <w:rFonts w:ascii="Times New Roman" w:hAnsi="Times New Roman" w:cs="Times New Roman"/>
        </w:rPr>
        <w:t xml:space="preserve">ejecutados mediante el Fondo de Capital de Trabajo por Q250 millones, el Fondo de Crédito de Capital de Trabajo por Q2,300 millones y el Fondo para las Micro, Pequeñas y Medianas empresas por Q400 millones, los cuales se enfocaban en otorgar recursos económicos en forma de préstamos en condiciones blandas a las empresas (micro, pequeñas y medianas) para blindar su capacidad de mantenerse a flote mientras estuvieran en vigencia las medidas sanitarias y de confinamiento. </w:t>
      </w:r>
    </w:p>
    <w:p w14:paraId="4008D3C2" w14:textId="77777777" w:rsidR="006A30B5" w:rsidRPr="00A40BB4" w:rsidRDefault="006A30B5" w:rsidP="002C7396">
      <w:pPr>
        <w:tabs>
          <w:tab w:val="left" w:pos="5103"/>
        </w:tabs>
        <w:spacing w:after="0" w:line="240" w:lineRule="auto"/>
        <w:jc w:val="both"/>
        <w:rPr>
          <w:rFonts w:ascii="Times New Roman" w:hAnsi="Times New Roman" w:cs="Times New Roman"/>
        </w:rPr>
      </w:pPr>
    </w:p>
    <w:p w14:paraId="2DB08D79" w14:textId="77777777" w:rsidR="006A30B5" w:rsidRPr="00A40BB4" w:rsidRDefault="006A30B5" w:rsidP="002C7396">
      <w:pPr>
        <w:tabs>
          <w:tab w:val="left" w:pos="5103"/>
        </w:tabs>
        <w:spacing w:after="0" w:line="240" w:lineRule="auto"/>
        <w:jc w:val="both"/>
        <w:rPr>
          <w:rFonts w:ascii="Times New Roman" w:hAnsi="Times New Roman" w:cs="Times New Roman"/>
        </w:rPr>
      </w:pPr>
      <w:r w:rsidRPr="00A40BB4">
        <w:rPr>
          <w:rFonts w:ascii="Times New Roman" w:hAnsi="Times New Roman" w:cs="Times New Roman"/>
        </w:rPr>
        <w:t>Por su parte, las remuneraciones crecieron (6.3%), aunque en menor proporción a lo observado durante 2019 (11.8%), esto se explica porque en 2019 se dieron mejoras</w:t>
      </w:r>
      <w:r w:rsidR="00A33AA0">
        <w:rPr>
          <w:rFonts w:ascii="Times New Roman" w:hAnsi="Times New Roman" w:cs="Times New Roman"/>
        </w:rPr>
        <w:t xml:space="preserve"> salariales principalmente en los</w:t>
      </w:r>
      <w:r w:rsidRPr="00A40BB4">
        <w:rPr>
          <w:rFonts w:ascii="Times New Roman" w:hAnsi="Times New Roman" w:cs="Times New Roman"/>
        </w:rPr>
        <w:t xml:space="preserve"> Ministerio</w:t>
      </w:r>
      <w:r w:rsidR="00A33AA0">
        <w:rPr>
          <w:rFonts w:ascii="Times New Roman" w:hAnsi="Times New Roman" w:cs="Times New Roman"/>
        </w:rPr>
        <w:t>s</w:t>
      </w:r>
      <w:r w:rsidRPr="00A40BB4">
        <w:rPr>
          <w:rFonts w:ascii="Times New Roman" w:hAnsi="Times New Roman" w:cs="Times New Roman"/>
        </w:rPr>
        <w:t xml:space="preserve"> de Educación al magisterio nacional, Salud Pública y Asistencia Social y Gobernación</w:t>
      </w:r>
      <w:r w:rsidR="00A33AA0">
        <w:rPr>
          <w:rFonts w:ascii="Times New Roman" w:hAnsi="Times New Roman" w:cs="Times New Roman"/>
        </w:rPr>
        <w:t>,</w:t>
      </w:r>
      <w:r w:rsidRPr="00A40BB4">
        <w:rPr>
          <w:rFonts w:ascii="Times New Roman" w:hAnsi="Times New Roman" w:cs="Times New Roman"/>
        </w:rPr>
        <w:t xml:space="preserve"> estos incrementos aumentaron el volumen de la nómina estatal significativamente en 2019 y en 2020 se continuó viendo el efecto de las negociaciones realizadas en otros años, en el Ministerio de Educación el efecto es de 5% de incremento salarial, de acuerdo a lo acordado en el pacto colectivo firmado en 2018, adicionalmente se tiene el incremento que corresponde al escalafón o por antigüedad. Además, en Gobernación se cumplió con el compromiso adquirido en el pacto colectivo por el incremento salarial a los agentes de la Policía Nacional Civil (PNC). Durante 2020 no se negociaron nuevos pactos colectivos. </w:t>
      </w:r>
    </w:p>
    <w:p w14:paraId="6930262F" w14:textId="77777777" w:rsidR="006A30B5" w:rsidRPr="00A40BB4" w:rsidRDefault="006A30B5" w:rsidP="002C7396">
      <w:pPr>
        <w:tabs>
          <w:tab w:val="left" w:pos="5103"/>
        </w:tabs>
        <w:spacing w:after="0" w:line="240" w:lineRule="auto"/>
        <w:jc w:val="both"/>
        <w:rPr>
          <w:rFonts w:ascii="Times New Roman" w:hAnsi="Times New Roman" w:cs="Times New Roman"/>
        </w:rPr>
      </w:pPr>
    </w:p>
    <w:p w14:paraId="7735C0FF" w14:textId="77777777" w:rsidR="006A30B5" w:rsidRPr="00A40BB4" w:rsidRDefault="006A30B5" w:rsidP="002C7396">
      <w:pPr>
        <w:tabs>
          <w:tab w:val="left" w:pos="5103"/>
        </w:tabs>
        <w:spacing w:after="0" w:line="240" w:lineRule="auto"/>
        <w:jc w:val="both"/>
        <w:rPr>
          <w:rFonts w:ascii="Times New Roman" w:hAnsi="Times New Roman" w:cs="Times New Roman"/>
        </w:rPr>
      </w:pPr>
      <w:r w:rsidRPr="00A40BB4">
        <w:rPr>
          <w:rFonts w:ascii="Times New Roman" w:hAnsi="Times New Roman" w:cs="Times New Roman"/>
        </w:rPr>
        <w:t xml:space="preserve">En cuanto al rubro de bienes y servicios, este reporta un crecimiento de 14.2%, siendo el Ministerio de Economía la entidad con el mayor crecimiento en dicho rubro, aunque se encuentra asociado a la sentencia judicial y al cumplimiento de la obligación de pago a Teco Guatemala Holdings por Q292.5 millones. </w:t>
      </w:r>
      <w:r w:rsidR="00021954" w:rsidRPr="00A40BB4">
        <w:rPr>
          <w:rFonts w:ascii="Times New Roman" w:hAnsi="Times New Roman" w:cs="Times New Roman"/>
        </w:rPr>
        <w:t>E</w:t>
      </w:r>
      <w:r w:rsidRPr="00A40BB4">
        <w:rPr>
          <w:rFonts w:ascii="Times New Roman" w:hAnsi="Times New Roman" w:cs="Times New Roman"/>
        </w:rPr>
        <w:t xml:space="preserve">s importante resaltar el pago realizado por el caso de arbitraje, dado que dicho pago permitió descongelar los recursos en el Banco de New York Mellon y realizar el pago de cupón a los tenedores del eurobono 2026, evitando caer en un default, lo cual coadyuvó a que Guatemala continué su relación positiva con inversionistas y organismos financieros internacionales. </w:t>
      </w:r>
    </w:p>
    <w:p w14:paraId="6439F45D" w14:textId="77777777" w:rsidR="006A30B5" w:rsidRPr="00A40BB4" w:rsidRDefault="006A30B5" w:rsidP="002C7396">
      <w:pPr>
        <w:tabs>
          <w:tab w:val="left" w:pos="5103"/>
        </w:tabs>
        <w:spacing w:after="0" w:line="240" w:lineRule="auto"/>
        <w:jc w:val="both"/>
        <w:rPr>
          <w:rFonts w:ascii="Times New Roman" w:hAnsi="Times New Roman" w:cs="Times New Roman"/>
        </w:rPr>
      </w:pPr>
    </w:p>
    <w:p w14:paraId="1E608C33" w14:textId="77777777" w:rsidR="00021954" w:rsidRPr="00A40BB4" w:rsidRDefault="00021954" w:rsidP="002C7396">
      <w:pPr>
        <w:pStyle w:val="Sinespaciado"/>
        <w:jc w:val="both"/>
        <w:rPr>
          <w:rFonts w:ascii="Times New Roman" w:hAnsi="Times New Roman" w:cs="Times New Roman"/>
        </w:rPr>
      </w:pPr>
      <w:r w:rsidRPr="00A40BB4">
        <w:rPr>
          <w:rFonts w:ascii="Times New Roman" w:hAnsi="Times New Roman" w:cs="Times New Roman"/>
          <w:lang w:val="es-MX"/>
        </w:rPr>
        <w:t>E</w:t>
      </w:r>
      <w:r w:rsidRPr="00A40BB4">
        <w:rPr>
          <w:rFonts w:ascii="Times New Roman" w:hAnsi="Times New Roman" w:cs="Times New Roman"/>
        </w:rPr>
        <w:t xml:space="preserve">l rubro de bienes y servicios del Ministerio de Agricultura, Ganadería y Alimentación y del Ministerio de Desarrollo Social, está asociado a la dotación alimentaria para asegurar la seguridad alimentaria a personas vulnerables por los efectos del COVID-19. Por su parte, el Ministerio de Salud Pública y Asistencia Social reporta un aumento de Q395.1 millones, asociado a </w:t>
      </w:r>
      <w:r w:rsidR="00A33AA0">
        <w:rPr>
          <w:rFonts w:ascii="Times New Roman" w:hAnsi="Times New Roman" w:cs="Times New Roman"/>
        </w:rPr>
        <w:t>la mayor ejecución</w:t>
      </w:r>
      <w:r w:rsidRPr="00A40BB4">
        <w:rPr>
          <w:rFonts w:ascii="Times New Roman" w:hAnsi="Times New Roman" w:cs="Times New Roman"/>
        </w:rPr>
        <w:t xml:space="preserve"> </w:t>
      </w:r>
      <w:r w:rsidR="00A33AA0" w:rsidRPr="00A40BB4">
        <w:rPr>
          <w:rFonts w:ascii="Times New Roman" w:hAnsi="Times New Roman" w:cs="Times New Roman"/>
        </w:rPr>
        <w:t xml:space="preserve">en </w:t>
      </w:r>
      <w:r w:rsidR="00A33AA0">
        <w:rPr>
          <w:rFonts w:ascii="Times New Roman" w:hAnsi="Times New Roman" w:cs="Times New Roman"/>
        </w:rPr>
        <w:t xml:space="preserve">renglones tales como: </w:t>
      </w:r>
      <w:r w:rsidRPr="00A40BB4">
        <w:rPr>
          <w:rFonts w:ascii="Times New Roman" w:hAnsi="Times New Roman" w:cs="Times New Roman"/>
        </w:rPr>
        <w:t xml:space="preserve">los servicios médicos-sanitarios, útiles menores, suministros e instrumental médico quirúrgico, de laboratorio y cuidado de la salud, los cuales se deben en gran medida </w:t>
      </w:r>
      <w:r w:rsidR="00A33AA0">
        <w:rPr>
          <w:rFonts w:ascii="Times New Roman" w:hAnsi="Times New Roman" w:cs="Times New Roman"/>
        </w:rPr>
        <w:t>a las intervenciones que realizó</w:t>
      </w:r>
      <w:r w:rsidRPr="00A40BB4">
        <w:rPr>
          <w:rFonts w:ascii="Times New Roman" w:hAnsi="Times New Roman" w:cs="Times New Roman"/>
        </w:rPr>
        <w:t xml:space="preserve"> este Ministerio para atender la emergencia del COVID-19. Mientras que el Ministerio de Comunicaciones aumentó su ejecución en este rubro en Q350.3 millones por el mantenimiento de obras.  </w:t>
      </w:r>
    </w:p>
    <w:p w14:paraId="78EF3007" w14:textId="77777777" w:rsidR="001C4D69" w:rsidRPr="00A40BB4" w:rsidRDefault="001C4D69" w:rsidP="002C7396">
      <w:pPr>
        <w:pStyle w:val="Sinespaciado"/>
        <w:jc w:val="both"/>
        <w:rPr>
          <w:rFonts w:ascii="Times New Roman" w:hAnsi="Times New Roman" w:cs="Times New Roman"/>
        </w:rPr>
      </w:pPr>
    </w:p>
    <w:p w14:paraId="0B1282E5" w14:textId="77777777" w:rsidR="001C4D69" w:rsidRPr="00A40BB4" w:rsidRDefault="001C4D69" w:rsidP="002C7396">
      <w:pPr>
        <w:spacing w:line="240" w:lineRule="auto"/>
        <w:jc w:val="both"/>
        <w:rPr>
          <w:rFonts w:ascii="Times New Roman" w:hAnsi="Times New Roman" w:cs="Times New Roman"/>
        </w:rPr>
      </w:pPr>
      <w:r w:rsidRPr="00A40BB4">
        <w:rPr>
          <w:rFonts w:ascii="Times New Roman" w:hAnsi="Times New Roman" w:cs="Times New Roman"/>
        </w:rPr>
        <w:t xml:space="preserve">En cuanto a los intereses de la deuda pública, dicho rubro aumentó en Q641.7 millones respecto lo observado en 2019, de los cuales se dio un aumento en los intereses de la deuda interna por Q244.5 millones. Asimismo, los intereses de la deuda externa aumentaron en Q397.2 millones, principalmente por la colocación de Eurobonos, para final de año el tipo de cambio tuvo una depreciación lo que genera que el pago de intereses en moneda extranjera aumente. </w:t>
      </w:r>
    </w:p>
    <w:p w14:paraId="60343287" w14:textId="77777777" w:rsidR="001C4D69" w:rsidRPr="00A40BB4" w:rsidRDefault="001C4D69" w:rsidP="002C7396">
      <w:pPr>
        <w:spacing w:line="240" w:lineRule="auto"/>
        <w:jc w:val="both"/>
        <w:rPr>
          <w:rFonts w:ascii="Times New Roman" w:hAnsi="Times New Roman" w:cs="Times New Roman"/>
        </w:rPr>
      </w:pPr>
      <w:r w:rsidRPr="00A40BB4">
        <w:rPr>
          <w:rFonts w:ascii="Times New Roman" w:hAnsi="Times New Roman" w:cs="Times New Roman"/>
        </w:rPr>
        <w:t>En las transferencias de capital también se observa un aumento de Q387.8 millones en 2020, que junto con la inversión financiera hacen apuntalar el gasto de capital del gobierno en este año.  Este comportamiento se debió principalmente al aumento en el aporte a los Consejos Departamentales de Desarrollo (CODEDES) por Q490.1 millones, los cuales tendrían como destino proyectos de reactivación económica luego de la contracción que sufrió la economía guatemalteca por los efectos adversos del COVID-19. Por su parte, el aporte a las municipalidades fue menor a lo presupuestado y por debajo de lo observado en 2019 (en Q204.7 millones), debido a la contracción en los ingresos tributarios.</w:t>
      </w:r>
    </w:p>
    <w:p w14:paraId="4D834CBE" w14:textId="77777777" w:rsidR="001C4D69" w:rsidRPr="00A40BB4" w:rsidRDefault="001C4D69" w:rsidP="002C7396">
      <w:pPr>
        <w:spacing w:line="240" w:lineRule="auto"/>
        <w:jc w:val="both"/>
        <w:rPr>
          <w:rFonts w:ascii="Times New Roman" w:hAnsi="Times New Roman" w:cs="Times New Roman"/>
        </w:rPr>
      </w:pPr>
      <w:r w:rsidRPr="00A40BB4">
        <w:rPr>
          <w:rFonts w:ascii="Times New Roman" w:hAnsi="Times New Roman" w:cs="Times New Roman"/>
        </w:rPr>
        <w:t>En cuanto a las prestaciones a la seguridad social, que incluye el pago de pensiones y jubilaciones a los trabajadores del Estado, estas dan cuenta de un leve crecimiento de Q25.8 millones respecto a lo observado en 2019.  En 2020 el programa del Adulto Mayo</w:t>
      </w:r>
      <w:r w:rsidR="008C5470" w:rsidRPr="00A40BB4">
        <w:rPr>
          <w:rFonts w:ascii="Times New Roman" w:hAnsi="Times New Roman" w:cs="Times New Roman"/>
        </w:rPr>
        <w:t xml:space="preserve">r reporto una menor ejecución (en </w:t>
      </w:r>
      <w:r w:rsidRPr="00A40BB4">
        <w:rPr>
          <w:rFonts w:ascii="Times New Roman" w:hAnsi="Times New Roman" w:cs="Times New Roman"/>
        </w:rPr>
        <w:t xml:space="preserve">Q2.5 millones) y Q150 millones </w:t>
      </w:r>
      <w:r w:rsidR="008C5470" w:rsidRPr="00A40BB4">
        <w:rPr>
          <w:rFonts w:ascii="Times New Roman" w:hAnsi="Times New Roman" w:cs="Times New Roman"/>
        </w:rPr>
        <w:t xml:space="preserve">correspondientes originalmente </w:t>
      </w:r>
      <w:r w:rsidR="007D6646" w:rsidRPr="00A40BB4">
        <w:rPr>
          <w:rFonts w:ascii="Times New Roman" w:hAnsi="Times New Roman" w:cs="Times New Roman"/>
        </w:rPr>
        <w:t xml:space="preserve">destinados </w:t>
      </w:r>
      <w:r w:rsidR="008C5470" w:rsidRPr="00A40BB4">
        <w:rPr>
          <w:rFonts w:ascii="Times New Roman" w:hAnsi="Times New Roman" w:cs="Times New Roman"/>
        </w:rPr>
        <w:t>a</w:t>
      </w:r>
      <w:r w:rsidRPr="00A40BB4">
        <w:rPr>
          <w:rFonts w:ascii="Times New Roman" w:hAnsi="Times New Roman" w:cs="Times New Roman"/>
        </w:rPr>
        <w:t xml:space="preserve">l Fondo de Protección de Empleo se reorientaron hacia un bono único de pensionados y jubilados del Estado con el propósito de apoyarlos ante los efectos de la pandemia, </w:t>
      </w:r>
      <w:r w:rsidR="008C5470" w:rsidRPr="00A40BB4">
        <w:rPr>
          <w:rFonts w:ascii="Times New Roman" w:hAnsi="Times New Roman" w:cs="Times New Roman"/>
        </w:rPr>
        <w:t xml:space="preserve">dicho bono se </w:t>
      </w:r>
      <w:r w:rsidRPr="00A40BB4">
        <w:rPr>
          <w:rFonts w:ascii="Times New Roman" w:hAnsi="Times New Roman" w:cs="Times New Roman"/>
        </w:rPr>
        <w:t>registr</w:t>
      </w:r>
      <w:r w:rsidR="008C5470" w:rsidRPr="00A40BB4">
        <w:rPr>
          <w:rFonts w:ascii="Times New Roman" w:hAnsi="Times New Roman" w:cs="Times New Roman"/>
        </w:rPr>
        <w:t>ó</w:t>
      </w:r>
      <w:r w:rsidRPr="00A40BB4">
        <w:rPr>
          <w:rFonts w:ascii="Times New Roman" w:hAnsi="Times New Roman" w:cs="Times New Roman"/>
        </w:rPr>
        <w:t xml:space="preserve"> en las transferencias corrientes a personas individuales. </w:t>
      </w:r>
    </w:p>
    <w:p w14:paraId="4123FDD9" w14:textId="77777777" w:rsidR="003E4C0D" w:rsidRPr="00A40BB4" w:rsidRDefault="003E4C0D" w:rsidP="002C7396">
      <w:pPr>
        <w:spacing w:line="240" w:lineRule="auto"/>
        <w:jc w:val="both"/>
        <w:rPr>
          <w:rFonts w:ascii="Times New Roman" w:hAnsi="Times New Roman" w:cs="Times New Roman"/>
        </w:rPr>
      </w:pPr>
      <w:r w:rsidRPr="00A40BB4">
        <w:rPr>
          <w:rFonts w:ascii="Times New Roman" w:hAnsi="Times New Roman" w:cs="Times New Roman"/>
        </w:rPr>
        <w:t xml:space="preserve">El principal ajuste del gasto en 2020 se refleja en la inversión real directa, al cierre de 2020 cayó en 41.4%, siendo equivalente a Q2,039.8 millones, en línea con el bajo dinamismo en la ejecución por parte del Ministerio de Comunicaciones, siendo una de las entidades más rezagadas en cuanto a nivel de ejecución (69.6%), equivalente a una caída interanual de 17.8%. Esta situación se debió en parte a las medidas de confinamiento y distanciamiento social que se establecieron en varios meses del año y al bajo nivel de recaudación tributaria que afecto varios rubros de gasto especialmente la inversión. </w:t>
      </w:r>
    </w:p>
    <w:p w14:paraId="1CCE4C18" w14:textId="77777777" w:rsidR="003E4C0D" w:rsidRPr="00A40BB4" w:rsidRDefault="00E2226C" w:rsidP="002C7396">
      <w:pPr>
        <w:spacing w:line="240" w:lineRule="auto"/>
        <w:jc w:val="both"/>
        <w:rPr>
          <w:rFonts w:ascii="Times New Roman" w:hAnsi="Times New Roman" w:cs="Times New Roman"/>
          <w:b/>
        </w:rPr>
      </w:pPr>
      <w:r w:rsidRPr="00A40BB4">
        <w:rPr>
          <w:rFonts w:ascii="Times New Roman" w:hAnsi="Times New Roman" w:cs="Times New Roman"/>
        </w:rPr>
        <w:t>E</w:t>
      </w:r>
      <w:r w:rsidR="003E4C0D" w:rsidRPr="00A40BB4">
        <w:rPr>
          <w:rFonts w:ascii="Times New Roman" w:hAnsi="Times New Roman" w:cs="Times New Roman"/>
        </w:rPr>
        <w:t xml:space="preserve">l alto crecimiento del gasto público </w:t>
      </w:r>
      <w:r w:rsidRPr="00A40BB4">
        <w:rPr>
          <w:rFonts w:ascii="Times New Roman" w:hAnsi="Times New Roman" w:cs="Times New Roman"/>
        </w:rPr>
        <w:t xml:space="preserve">en 2020 </w:t>
      </w:r>
      <w:r w:rsidR="003E4C0D" w:rsidRPr="00A40BB4">
        <w:rPr>
          <w:rFonts w:ascii="Times New Roman" w:hAnsi="Times New Roman" w:cs="Times New Roman"/>
        </w:rPr>
        <w:t>estu</w:t>
      </w:r>
      <w:r w:rsidRPr="00A40BB4">
        <w:rPr>
          <w:rFonts w:ascii="Times New Roman" w:hAnsi="Times New Roman" w:cs="Times New Roman"/>
        </w:rPr>
        <w:t>vo relacionado a g</w:t>
      </w:r>
      <w:r w:rsidR="003E4C0D" w:rsidRPr="00A40BB4">
        <w:rPr>
          <w:rFonts w:ascii="Times New Roman" w:hAnsi="Times New Roman" w:cs="Times New Roman"/>
        </w:rPr>
        <w:t>astos de funcionamiento y de inversión financiera en atención a la crisis del COVID-19</w:t>
      </w:r>
      <w:r w:rsidRPr="00A40BB4">
        <w:rPr>
          <w:rFonts w:ascii="Times New Roman" w:hAnsi="Times New Roman" w:cs="Times New Roman"/>
        </w:rPr>
        <w:t>.</w:t>
      </w:r>
      <w:r w:rsidR="003E4C0D" w:rsidRPr="00A40BB4">
        <w:rPr>
          <w:rFonts w:ascii="Times New Roman" w:hAnsi="Times New Roman" w:cs="Times New Roman"/>
        </w:rPr>
        <w:t xml:space="preserve"> </w:t>
      </w:r>
    </w:p>
    <w:p w14:paraId="3149FB87" w14:textId="77777777" w:rsidR="007D6646" w:rsidRPr="00A40BB4" w:rsidRDefault="007D6646" w:rsidP="002C7396">
      <w:pPr>
        <w:spacing w:after="0" w:line="240" w:lineRule="auto"/>
        <w:jc w:val="both"/>
        <w:rPr>
          <w:rFonts w:ascii="Times New Roman" w:hAnsi="Times New Roman" w:cs="Times New Roman"/>
        </w:rPr>
      </w:pPr>
      <w:r w:rsidRPr="00A40BB4">
        <w:rPr>
          <w:rFonts w:ascii="Times New Roman" w:hAnsi="Times New Roman" w:cs="Times New Roman"/>
        </w:rPr>
        <w:t>En lo que respecta a la ejecución institucional 2020, el grado de ejecución presupuestaria de la Administración Central</w:t>
      </w:r>
      <w:r w:rsidR="00287397" w:rsidRPr="00A40BB4">
        <w:rPr>
          <w:rFonts w:ascii="Times New Roman" w:hAnsi="Times New Roman" w:cs="Times New Roman"/>
        </w:rPr>
        <w:t xml:space="preserve"> se ubicó en</w:t>
      </w:r>
      <w:r w:rsidRPr="00A40BB4">
        <w:rPr>
          <w:rFonts w:ascii="Times New Roman" w:hAnsi="Times New Roman" w:cs="Times New Roman"/>
        </w:rPr>
        <w:t xml:space="preserve"> 89.7%, por abajo del promedio de ejecución de los últimos cinco años (2015-2019) siendo de 92.4%, aunque hay que considerar que el presupuesto tuvo tres ampliaciones presupuestarias cuyo espacio</w:t>
      </w:r>
      <w:r w:rsidR="00287397" w:rsidRPr="00A40BB4">
        <w:rPr>
          <w:rFonts w:ascii="Times New Roman" w:hAnsi="Times New Roman" w:cs="Times New Roman"/>
        </w:rPr>
        <w:t xml:space="preserve"> creado</w:t>
      </w:r>
      <w:r w:rsidRPr="00A40BB4">
        <w:rPr>
          <w:rFonts w:ascii="Times New Roman" w:hAnsi="Times New Roman" w:cs="Times New Roman"/>
        </w:rPr>
        <w:t xml:space="preserve"> no fue utilizado en su totalidad.</w:t>
      </w:r>
    </w:p>
    <w:p w14:paraId="7E433677" w14:textId="77777777" w:rsidR="007D6646" w:rsidRPr="00A40BB4" w:rsidRDefault="007D6646" w:rsidP="002C7396">
      <w:pPr>
        <w:spacing w:after="0" w:line="240" w:lineRule="auto"/>
        <w:jc w:val="both"/>
        <w:rPr>
          <w:rFonts w:ascii="Times New Roman" w:hAnsi="Times New Roman" w:cs="Times New Roman"/>
        </w:rPr>
      </w:pPr>
    </w:p>
    <w:p w14:paraId="738D7DEB" w14:textId="77777777" w:rsidR="002D074E" w:rsidRPr="00A40BB4" w:rsidRDefault="007D6646" w:rsidP="002C7396">
      <w:pPr>
        <w:spacing w:after="0" w:line="240" w:lineRule="auto"/>
        <w:jc w:val="both"/>
        <w:rPr>
          <w:rFonts w:ascii="Times New Roman" w:hAnsi="Times New Roman" w:cs="Times New Roman"/>
        </w:rPr>
      </w:pPr>
      <w:r w:rsidRPr="00A40BB4">
        <w:rPr>
          <w:rFonts w:ascii="Times New Roman" w:hAnsi="Times New Roman" w:cs="Times New Roman"/>
        </w:rPr>
        <w:t xml:space="preserve">El grado de ejecución presupuestaria, muestra una alta dispersión entre las diferentes entidades, en 2020 en particular cobraron relevancia entidades que vieron un incremento sustancial en su presupuesto para la atención de la crisis del COVID-19, tal es el caso del Ministerio de Economía y Ministerio de Desarrollo Social, </w:t>
      </w:r>
      <w:r w:rsidR="00232330" w:rsidRPr="00A40BB4">
        <w:rPr>
          <w:rFonts w:ascii="Times New Roman" w:hAnsi="Times New Roman" w:cs="Times New Roman"/>
        </w:rPr>
        <w:t xml:space="preserve">poniéndose </w:t>
      </w:r>
      <w:r w:rsidRPr="00A40BB4">
        <w:rPr>
          <w:rFonts w:ascii="Times New Roman" w:hAnsi="Times New Roman" w:cs="Times New Roman"/>
        </w:rPr>
        <w:t>a prueba la capacidad de ejecución de la</w:t>
      </w:r>
      <w:r w:rsidR="00232330" w:rsidRPr="00A40BB4">
        <w:rPr>
          <w:rFonts w:ascii="Times New Roman" w:hAnsi="Times New Roman" w:cs="Times New Roman"/>
        </w:rPr>
        <w:t>s</w:t>
      </w:r>
      <w:r w:rsidRPr="00A40BB4">
        <w:rPr>
          <w:rFonts w:ascii="Times New Roman" w:hAnsi="Times New Roman" w:cs="Times New Roman"/>
        </w:rPr>
        <w:t xml:space="preserve"> </w:t>
      </w:r>
      <w:r w:rsidR="00232330" w:rsidRPr="00A40BB4">
        <w:rPr>
          <w:rFonts w:ascii="Times New Roman" w:hAnsi="Times New Roman" w:cs="Times New Roman"/>
        </w:rPr>
        <w:t>instituciones derivado de las presiones y demandas de la población para la atención de la crisis</w:t>
      </w:r>
      <w:r w:rsidRPr="00A40BB4">
        <w:rPr>
          <w:rFonts w:ascii="Times New Roman" w:hAnsi="Times New Roman" w:cs="Times New Roman"/>
        </w:rPr>
        <w:t xml:space="preserve">. </w:t>
      </w:r>
      <w:r w:rsidR="00A33AA0">
        <w:rPr>
          <w:rFonts w:ascii="Times New Roman" w:hAnsi="Times New Roman" w:cs="Times New Roman"/>
        </w:rPr>
        <w:t>Asi</w:t>
      </w:r>
      <w:r w:rsidR="002D074E" w:rsidRPr="00A40BB4">
        <w:rPr>
          <w:rFonts w:ascii="Times New Roman" w:hAnsi="Times New Roman" w:cs="Times New Roman"/>
        </w:rPr>
        <w:t xml:space="preserve">mismo, la ejecución está relacionada a las fuentes de financiamiento disponibles, de la reprogramación que pudieran haber hecho durante el año por la no aprobación del presupuesto 2020 y de otras variables exógenas como rigideces legales o institucionales. </w:t>
      </w:r>
    </w:p>
    <w:p w14:paraId="1624A8F8" w14:textId="77777777" w:rsidR="002D074E" w:rsidRPr="00A40BB4" w:rsidRDefault="002D074E" w:rsidP="002C7396">
      <w:pPr>
        <w:spacing w:after="0" w:line="240" w:lineRule="auto"/>
        <w:jc w:val="both"/>
        <w:rPr>
          <w:rFonts w:ascii="Times New Roman" w:hAnsi="Times New Roman" w:cs="Times New Roman"/>
        </w:rPr>
      </w:pPr>
    </w:p>
    <w:p w14:paraId="1772EAAB" w14:textId="77777777" w:rsidR="002D074E" w:rsidRPr="00A40BB4" w:rsidRDefault="002D074E" w:rsidP="002C7396">
      <w:pPr>
        <w:spacing w:after="0" w:line="240" w:lineRule="auto"/>
        <w:jc w:val="both"/>
        <w:rPr>
          <w:rFonts w:ascii="Times New Roman" w:hAnsi="Times New Roman" w:cs="Times New Roman"/>
        </w:rPr>
      </w:pPr>
      <w:r w:rsidRPr="00A40BB4">
        <w:rPr>
          <w:rFonts w:ascii="Times New Roman" w:hAnsi="Times New Roman" w:cs="Times New Roman"/>
        </w:rPr>
        <w:t xml:space="preserve">El mayor grado de ejecución fue el Ministerio de Economía, con 96.7%, siendo impulsado principalmente por el programa 94 “Atención por Desastres y Calamidades Públicas” y el subprograma 09 “Estado de Calamidad Pública por Emergencia del COVID-19”, el cual fue ejecutado en su totalidad. Asimismo, el Ministerio de Desarrollo Social tuvo una alta ejecución, siendo de 96.1%, asociado también a las actividades que tuvo a su cargo para la atención </w:t>
      </w:r>
      <w:r w:rsidR="00362DE9" w:rsidRPr="00A40BB4">
        <w:rPr>
          <w:rFonts w:ascii="Times New Roman" w:hAnsi="Times New Roman" w:cs="Times New Roman"/>
        </w:rPr>
        <w:t xml:space="preserve">de la emergencia del COVID-19, </w:t>
      </w:r>
      <w:r w:rsidR="00A33AA0">
        <w:rPr>
          <w:rFonts w:ascii="Times New Roman" w:hAnsi="Times New Roman" w:cs="Times New Roman"/>
        </w:rPr>
        <w:t>r</w:t>
      </w:r>
      <w:r w:rsidRPr="00A40BB4">
        <w:rPr>
          <w:rFonts w:ascii="Times New Roman" w:hAnsi="Times New Roman" w:cs="Times New Roman"/>
        </w:rPr>
        <w:t>esalta la alta ejecución en las transferencias monetarias en salud y educación enfocadas en la prevención de la desnutrición crónica y el programa de apoyo en el consumo adecuado de alimentos.</w:t>
      </w:r>
    </w:p>
    <w:p w14:paraId="2EA15AEB" w14:textId="77777777" w:rsidR="00362DE9" w:rsidRPr="00A40BB4" w:rsidRDefault="00362DE9" w:rsidP="002C7396">
      <w:pPr>
        <w:spacing w:after="0" w:line="240" w:lineRule="auto"/>
        <w:jc w:val="both"/>
        <w:rPr>
          <w:rFonts w:ascii="Times New Roman" w:hAnsi="Times New Roman" w:cs="Times New Roman"/>
        </w:rPr>
      </w:pPr>
    </w:p>
    <w:p w14:paraId="7F29B711" w14:textId="77777777" w:rsidR="00362DE9" w:rsidRPr="00A40BB4" w:rsidRDefault="00362DE9" w:rsidP="002C7396">
      <w:pPr>
        <w:spacing w:after="0" w:line="240" w:lineRule="auto"/>
        <w:jc w:val="both"/>
        <w:rPr>
          <w:rFonts w:ascii="Times New Roman" w:hAnsi="Times New Roman" w:cs="Times New Roman"/>
        </w:rPr>
      </w:pPr>
      <w:r w:rsidRPr="00A40BB4">
        <w:rPr>
          <w:rFonts w:ascii="Times New Roman" w:hAnsi="Times New Roman" w:cs="Times New Roman"/>
        </w:rPr>
        <w:t xml:space="preserve">En cuanto al Ministerio de Defensa Nacional, este reportó una ejecución de 94.8%, asociado al programa Defensa de la Soberanía e Integridad Territorial, siendo el programa más importante de esta entidad. Por su parte, el Ministerio de Educación reporto un nivel de ejecución de 94.1%, de esta entidad resalta el programa de apoyo para el consumo adecuado de alimentos que reporta un crecimiento interanual de 11.0%, a pesar de la suspensión de clases en los centros educativos públicos, se facultó a las Organizaciones de Padres de Familia (OPF) a adquirir alimentos y en los casos en los que los centros educativos no contarán con una OPF, las direcciones departamentales serían las encargadas de la compra y distribución de los alimentos. Este programa es muy relevante, muchos niños dependen de la alimentación escolar para su subsistencia y con el cierre de las escuelas, por la propagación del COVID-19, su nutrición pudo verse comprometida. La entidad virtual del Servicio de la Deuda Pública le sigue con un nivel de 91.9%, siendo importante dado que es ahí donde se registra el pago de intereses, comisiones y amortizaciones de deuda pública por compromisos adquiridos con tenedores de títulos de deuda. Otras entidades cuyo nivel de ejecución se encuentra por arriba de la ejecución total son las Obligaciones del Estado (91.6%), Relaciones Exteriores (91.6%), la PGN (91.2%) y Trabajo y Previsión Social (91.0%). </w:t>
      </w:r>
    </w:p>
    <w:p w14:paraId="7E61153D" w14:textId="77777777" w:rsidR="00362DE9" w:rsidRPr="00A40BB4" w:rsidRDefault="00362DE9" w:rsidP="002C7396">
      <w:pPr>
        <w:spacing w:after="0" w:line="240" w:lineRule="auto"/>
        <w:jc w:val="both"/>
        <w:rPr>
          <w:rFonts w:ascii="Times New Roman" w:hAnsi="Times New Roman" w:cs="Times New Roman"/>
        </w:rPr>
      </w:pPr>
    </w:p>
    <w:p w14:paraId="6D78ADFB" w14:textId="77777777" w:rsidR="00362DE9" w:rsidRPr="00A40BB4" w:rsidRDefault="00362DE9" w:rsidP="002C7396">
      <w:pPr>
        <w:spacing w:after="0" w:line="240" w:lineRule="auto"/>
        <w:jc w:val="both"/>
        <w:rPr>
          <w:rFonts w:ascii="Times New Roman" w:hAnsi="Times New Roman" w:cs="Times New Roman"/>
        </w:rPr>
      </w:pPr>
      <w:r w:rsidRPr="00A40BB4">
        <w:rPr>
          <w:rFonts w:ascii="Times New Roman" w:hAnsi="Times New Roman" w:cs="Times New Roman"/>
        </w:rPr>
        <w:t>Por su parte, el resto de entidades se encuentra</w:t>
      </w:r>
      <w:r w:rsidR="00A33AA0">
        <w:rPr>
          <w:rFonts w:ascii="Times New Roman" w:hAnsi="Times New Roman" w:cs="Times New Roman"/>
        </w:rPr>
        <w:t>n</w:t>
      </w:r>
      <w:r w:rsidRPr="00A40BB4">
        <w:rPr>
          <w:rFonts w:ascii="Times New Roman" w:hAnsi="Times New Roman" w:cs="Times New Roman"/>
        </w:rPr>
        <w:t xml:space="preserve"> por debajo de la ejecución institucional total. Resalta el caso de Agricultura, Ganadería y Alimentación (70.7%), Comunicaciones, Infraestructura y Vivienda (69.6%) y Cultura y Deportes (65.4%). En el caso de Agricultura, tuvo un incremento significativo en su presupuesto por los programas asociados a la atención del COVID-19, de los cuales el programa de agricultura campesina no logró viabilizar su ejecución, la cual fue nula y en el caso de la dotación alimentaria se tuvieron retrasos en la regularización de los recursos. El Ministerio de Comunicaciones fue la entidad que más cayó en términos absolutos, con Q1,045.7 millones de ejecución menos a lo reportado en 2019, lo cual se encuentra asociado principalmente a la caída en la inversión real directa.</w:t>
      </w:r>
    </w:p>
    <w:p w14:paraId="49B77AE2" w14:textId="77777777" w:rsidR="007453F6" w:rsidRDefault="007453F6" w:rsidP="002C7396">
      <w:pPr>
        <w:spacing w:after="0" w:line="240" w:lineRule="auto"/>
        <w:jc w:val="both"/>
        <w:rPr>
          <w:rFonts w:ascii="Times New Roman" w:hAnsi="Times New Roman" w:cs="Times New Roman"/>
        </w:rPr>
      </w:pPr>
    </w:p>
    <w:p w14:paraId="1EF1FDF4" w14:textId="77777777" w:rsidR="00B6733D" w:rsidRDefault="00B6733D" w:rsidP="002C7396">
      <w:pPr>
        <w:spacing w:after="0" w:line="240" w:lineRule="auto"/>
        <w:jc w:val="both"/>
        <w:rPr>
          <w:rFonts w:ascii="Times New Roman" w:hAnsi="Times New Roman" w:cs="Times New Roman"/>
        </w:rPr>
      </w:pPr>
    </w:p>
    <w:p w14:paraId="44A848EA" w14:textId="77777777" w:rsidR="00B6733D" w:rsidRDefault="00B6733D" w:rsidP="002C7396">
      <w:pPr>
        <w:spacing w:after="0" w:line="240" w:lineRule="auto"/>
        <w:jc w:val="both"/>
        <w:rPr>
          <w:rFonts w:ascii="Times New Roman" w:hAnsi="Times New Roman" w:cs="Times New Roman"/>
        </w:rPr>
      </w:pPr>
    </w:p>
    <w:p w14:paraId="07021998" w14:textId="77777777" w:rsidR="00B6733D" w:rsidRDefault="00B6733D" w:rsidP="002C7396">
      <w:pPr>
        <w:spacing w:after="0" w:line="240" w:lineRule="auto"/>
        <w:jc w:val="both"/>
        <w:rPr>
          <w:rFonts w:ascii="Times New Roman" w:hAnsi="Times New Roman" w:cs="Times New Roman"/>
        </w:rPr>
      </w:pPr>
    </w:p>
    <w:p w14:paraId="769C94DD" w14:textId="77777777" w:rsidR="00B6733D" w:rsidRDefault="00B6733D" w:rsidP="002C7396">
      <w:pPr>
        <w:spacing w:after="0" w:line="240" w:lineRule="auto"/>
        <w:jc w:val="both"/>
        <w:rPr>
          <w:rFonts w:ascii="Times New Roman" w:hAnsi="Times New Roman" w:cs="Times New Roman"/>
        </w:rPr>
      </w:pPr>
    </w:p>
    <w:p w14:paraId="7007C869" w14:textId="77777777" w:rsidR="00B6733D" w:rsidRDefault="00B6733D" w:rsidP="002C7396">
      <w:pPr>
        <w:spacing w:after="0" w:line="240" w:lineRule="auto"/>
        <w:jc w:val="both"/>
        <w:rPr>
          <w:rFonts w:ascii="Times New Roman" w:hAnsi="Times New Roman" w:cs="Times New Roman"/>
        </w:rPr>
      </w:pPr>
    </w:p>
    <w:p w14:paraId="75A05429" w14:textId="77777777" w:rsidR="00B6733D" w:rsidRDefault="00B6733D" w:rsidP="002C7396">
      <w:pPr>
        <w:spacing w:after="0" w:line="240" w:lineRule="auto"/>
        <w:jc w:val="both"/>
        <w:rPr>
          <w:rFonts w:ascii="Times New Roman" w:hAnsi="Times New Roman" w:cs="Times New Roman"/>
        </w:rPr>
      </w:pPr>
    </w:p>
    <w:p w14:paraId="22C99804" w14:textId="77777777" w:rsidR="00B6733D" w:rsidRDefault="00B6733D" w:rsidP="002C7396">
      <w:pPr>
        <w:spacing w:after="0" w:line="240" w:lineRule="auto"/>
        <w:jc w:val="both"/>
        <w:rPr>
          <w:rFonts w:ascii="Times New Roman" w:hAnsi="Times New Roman" w:cs="Times New Roman"/>
        </w:rPr>
      </w:pPr>
    </w:p>
    <w:p w14:paraId="2AD99351" w14:textId="77777777" w:rsidR="00B6733D" w:rsidRDefault="00B6733D" w:rsidP="002C7396">
      <w:pPr>
        <w:spacing w:after="0" w:line="240" w:lineRule="auto"/>
        <w:jc w:val="both"/>
        <w:rPr>
          <w:rFonts w:ascii="Times New Roman" w:hAnsi="Times New Roman" w:cs="Times New Roman"/>
        </w:rPr>
      </w:pPr>
    </w:p>
    <w:p w14:paraId="77F5574D" w14:textId="77777777" w:rsidR="00B6733D" w:rsidRDefault="00B6733D" w:rsidP="002C7396">
      <w:pPr>
        <w:spacing w:after="0" w:line="240" w:lineRule="auto"/>
        <w:jc w:val="both"/>
        <w:rPr>
          <w:rFonts w:ascii="Times New Roman" w:hAnsi="Times New Roman" w:cs="Times New Roman"/>
        </w:rPr>
      </w:pPr>
    </w:p>
    <w:p w14:paraId="1A230CC0" w14:textId="77777777" w:rsidR="00B6733D" w:rsidRDefault="00B6733D" w:rsidP="002C7396">
      <w:pPr>
        <w:spacing w:after="0" w:line="240" w:lineRule="auto"/>
        <w:jc w:val="both"/>
        <w:rPr>
          <w:rFonts w:ascii="Times New Roman" w:hAnsi="Times New Roman" w:cs="Times New Roman"/>
        </w:rPr>
      </w:pPr>
    </w:p>
    <w:p w14:paraId="4DACEB41" w14:textId="77777777" w:rsidR="00B6733D" w:rsidRDefault="00B6733D" w:rsidP="002C7396">
      <w:pPr>
        <w:spacing w:after="0" w:line="240" w:lineRule="auto"/>
        <w:jc w:val="both"/>
        <w:rPr>
          <w:rFonts w:ascii="Times New Roman" w:hAnsi="Times New Roman" w:cs="Times New Roman"/>
        </w:rPr>
      </w:pPr>
    </w:p>
    <w:p w14:paraId="7DC9FDB8" w14:textId="77777777" w:rsidR="00B6733D" w:rsidRDefault="00B6733D" w:rsidP="002C7396">
      <w:pPr>
        <w:spacing w:after="0" w:line="240" w:lineRule="auto"/>
        <w:jc w:val="both"/>
        <w:rPr>
          <w:rFonts w:ascii="Times New Roman" w:hAnsi="Times New Roman" w:cs="Times New Roman"/>
        </w:rPr>
      </w:pPr>
    </w:p>
    <w:p w14:paraId="49176545" w14:textId="77777777" w:rsidR="00B6733D" w:rsidRDefault="00B6733D" w:rsidP="002C7396">
      <w:pPr>
        <w:spacing w:after="0" w:line="240" w:lineRule="auto"/>
        <w:jc w:val="both"/>
        <w:rPr>
          <w:rFonts w:ascii="Times New Roman" w:hAnsi="Times New Roman" w:cs="Times New Roman"/>
        </w:rPr>
      </w:pPr>
    </w:p>
    <w:p w14:paraId="2194D16C" w14:textId="77777777" w:rsidR="00B6733D" w:rsidRDefault="00B6733D" w:rsidP="002C7396">
      <w:pPr>
        <w:spacing w:after="0" w:line="240" w:lineRule="auto"/>
        <w:jc w:val="both"/>
        <w:rPr>
          <w:rFonts w:ascii="Times New Roman" w:hAnsi="Times New Roman" w:cs="Times New Roman"/>
        </w:rPr>
      </w:pPr>
    </w:p>
    <w:p w14:paraId="6532EF67" w14:textId="77777777" w:rsidR="00B6733D" w:rsidRDefault="00B6733D" w:rsidP="002C7396">
      <w:pPr>
        <w:spacing w:after="0" w:line="240" w:lineRule="auto"/>
        <w:jc w:val="both"/>
        <w:rPr>
          <w:rFonts w:ascii="Times New Roman" w:hAnsi="Times New Roman" w:cs="Times New Roman"/>
        </w:rPr>
      </w:pPr>
    </w:p>
    <w:p w14:paraId="6E173415" w14:textId="77777777" w:rsidR="00B6733D" w:rsidRDefault="00B6733D" w:rsidP="002C7396">
      <w:pPr>
        <w:spacing w:after="0" w:line="240" w:lineRule="auto"/>
        <w:jc w:val="both"/>
        <w:rPr>
          <w:rFonts w:ascii="Times New Roman" w:hAnsi="Times New Roman" w:cs="Times New Roman"/>
        </w:rPr>
      </w:pPr>
    </w:p>
    <w:p w14:paraId="0B35F887" w14:textId="77777777" w:rsidR="00B6733D" w:rsidRDefault="00B6733D" w:rsidP="002C7396">
      <w:pPr>
        <w:spacing w:after="0" w:line="240" w:lineRule="auto"/>
        <w:jc w:val="both"/>
        <w:rPr>
          <w:rFonts w:ascii="Times New Roman" w:hAnsi="Times New Roman" w:cs="Times New Roman"/>
        </w:rPr>
      </w:pPr>
    </w:p>
    <w:p w14:paraId="308BFFED" w14:textId="77777777" w:rsidR="00B6733D" w:rsidRDefault="00B6733D" w:rsidP="002C7396">
      <w:pPr>
        <w:spacing w:after="0" w:line="240" w:lineRule="auto"/>
        <w:jc w:val="both"/>
        <w:rPr>
          <w:rFonts w:ascii="Times New Roman" w:hAnsi="Times New Roman" w:cs="Times New Roman"/>
        </w:rPr>
      </w:pPr>
    </w:p>
    <w:p w14:paraId="05E5F95F" w14:textId="77777777" w:rsidR="00B6733D" w:rsidRDefault="00B6733D" w:rsidP="002C7396">
      <w:pPr>
        <w:spacing w:after="0" w:line="240" w:lineRule="auto"/>
        <w:jc w:val="both"/>
        <w:rPr>
          <w:rFonts w:ascii="Times New Roman" w:hAnsi="Times New Roman" w:cs="Times New Roman"/>
        </w:rPr>
      </w:pPr>
    </w:p>
    <w:p w14:paraId="629C75EB" w14:textId="77777777" w:rsidR="00B6733D" w:rsidRDefault="00B6733D" w:rsidP="002C7396">
      <w:pPr>
        <w:spacing w:after="0" w:line="240" w:lineRule="auto"/>
        <w:jc w:val="both"/>
        <w:rPr>
          <w:rFonts w:ascii="Times New Roman" w:hAnsi="Times New Roman" w:cs="Times New Roman"/>
        </w:rPr>
      </w:pPr>
    </w:p>
    <w:p w14:paraId="2764B25B" w14:textId="77777777" w:rsidR="00B6733D" w:rsidRDefault="00B6733D" w:rsidP="002C7396">
      <w:pPr>
        <w:spacing w:after="0" w:line="240" w:lineRule="auto"/>
        <w:jc w:val="both"/>
        <w:rPr>
          <w:rFonts w:ascii="Times New Roman" w:hAnsi="Times New Roman" w:cs="Times New Roman"/>
        </w:rPr>
      </w:pPr>
    </w:p>
    <w:p w14:paraId="5D1B1BCF" w14:textId="77777777" w:rsidR="00B6733D" w:rsidRDefault="00B6733D" w:rsidP="002C7396">
      <w:pPr>
        <w:spacing w:after="0" w:line="240" w:lineRule="auto"/>
        <w:jc w:val="both"/>
        <w:rPr>
          <w:rFonts w:ascii="Times New Roman" w:hAnsi="Times New Roman" w:cs="Times New Roman"/>
        </w:rPr>
      </w:pPr>
    </w:p>
    <w:p w14:paraId="7406AA5D" w14:textId="77777777" w:rsidR="00B6733D" w:rsidRDefault="00B6733D" w:rsidP="002C7396">
      <w:pPr>
        <w:spacing w:after="0" w:line="240" w:lineRule="auto"/>
        <w:jc w:val="both"/>
        <w:rPr>
          <w:rFonts w:ascii="Times New Roman" w:hAnsi="Times New Roman" w:cs="Times New Roman"/>
        </w:rPr>
      </w:pPr>
    </w:p>
    <w:p w14:paraId="3EC2ADA4" w14:textId="77777777" w:rsidR="00B6733D" w:rsidRDefault="00B6733D" w:rsidP="002C7396">
      <w:pPr>
        <w:spacing w:after="0" w:line="240" w:lineRule="auto"/>
        <w:jc w:val="both"/>
        <w:rPr>
          <w:rFonts w:ascii="Times New Roman" w:hAnsi="Times New Roman" w:cs="Times New Roman"/>
        </w:rPr>
      </w:pPr>
    </w:p>
    <w:p w14:paraId="4D8C5028" w14:textId="77777777" w:rsidR="00B6733D" w:rsidRDefault="00B6733D" w:rsidP="002C7396">
      <w:pPr>
        <w:spacing w:after="0" w:line="240" w:lineRule="auto"/>
        <w:jc w:val="both"/>
        <w:rPr>
          <w:rFonts w:ascii="Times New Roman" w:hAnsi="Times New Roman" w:cs="Times New Roman"/>
        </w:rPr>
      </w:pPr>
    </w:p>
    <w:p w14:paraId="1AEBF7BC" w14:textId="77777777" w:rsidR="00B6733D" w:rsidRDefault="00B6733D" w:rsidP="002C7396">
      <w:pPr>
        <w:spacing w:after="0" w:line="240" w:lineRule="auto"/>
        <w:jc w:val="both"/>
        <w:rPr>
          <w:rFonts w:ascii="Times New Roman" w:hAnsi="Times New Roman" w:cs="Times New Roman"/>
        </w:rPr>
      </w:pPr>
    </w:p>
    <w:p w14:paraId="698B9BAB" w14:textId="77777777" w:rsidR="00B6733D" w:rsidRDefault="00B6733D" w:rsidP="002C7396">
      <w:pPr>
        <w:spacing w:after="0" w:line="240" w:lineRule="auto"/>
        <w:jc w:val="both"/>
        <w:rPr>
          <w:rFonts w:ascii="Times New Roman" w:hAnsi="Times New Roman" w:cs="Times New Roman"/>
        </w:rPr>
      </w:pPr>
    </w:p>
    <w:p w14:paraId="2BDFEE0D" w14:textId="77777777" w:rsidR="00B6733D" w:rsidRDefault="00B6733D" w:rsidP="002C7396">
      <w:pPr>
        <w:spacing w:after="0" w:line="240" w:lineRule="auto"/>
        <w:jc w:val="both"/>
        <w:rPr>
          <w:rFonts w:ascii="Times New Roman" w:hAnsi="Times New Roman" w:cs="Times New Roman"/>
        </w:rPr>
      </w:pPr>
    </w:p>
    <w:p w14:paraId="48BC3706" w14:textId="77777777" w:rsidR="00B6733D" w:rsidRPr="002C7396" w:rsidRDefault="00B6733D" w:rsidP="002C7396">
      <w:pPr>
        <w:spacing w:after="0" w:line="240" w:lineRule="auto"/>
        <w:jc w:val="both"/>
        <w:rPr>
          <w:rFonts w:ascii="Times New Roman" w:hAnsi="Times New Roman" w:cs="Times New Roman"/>
        </w:rPr>
      </w:pPr>
    </w:p>
    <w:p w14:paraId="7797B3E6" w14:textId="25A877F8" w:rsidR="007D6646" w:rsidRPr="003E14B7" w:rsidRDefault="0014127C" w:rsidP="00B6733D">
      <w:pPr>
        <w:pStyle w:val="Epgrafe"/>
        <w:spacing w:after="0"/>
        <w:jc w:val="center"/>
        <w:rPr>
          <w:rFonts w:ascii="Times New Roman" w:hAnsi="Times New Roman" w:cs="Times New Roman"/>
          <w:b/>
          <w:color w:val="auto"/>
          <w:sz w:val="20"/>
          <w:szCs w:val="20"/>
        </w:rPr>
      </w:pPr>
      <w:bookmarkStart w:id="1021" w:name="_Toc81573035"/>
      <w:r w:rsidRPr="003E14B7">
        <w:rPr>
          <w:rFonts w:ascii="Times New Roman" w:hAnsi="Times New Roman" w:cs="Times New Roman"/>
          <w:b/>
          <w:color w:val="auto"/>
          <w:sz w:val="20"/>
        </w:rPr>
        <w:t xml:space="preserve">Tabla </w:t>
      </w:r>
      <w:r w:rsidRPr="003E14B7">
        <w:rPr>
          <w:rFonts w:ascii="Times New Roman" w:hAnsi="Times New Roman" w:cs="Times New Roman"/>
          <w:b/>
          <w:color w:val="auto"/>
          <w:sz w:val="20"/>
        </w:rPr>
        <w:fldChar w:fldCharType="begin"/>
      </w:r>
      <w:r w:rsidRPr="003E14B7">
        <w:rPr>
          <w:rFonts w:ascii="Times New Roman" w:hAnsi="Times New Roman" w:cs="Times New Roman"/>
          <w:b/>
          <w:color w:val="auto"/>
          <w:sz w:val="20"/>
        </w:rPr>
        <w:instrText xml:space="preserve"> SEQ Tabla \* ARABIC </w:instrText>
      </w:r>
      <w:r w:rsidRPr="003E14B7">
        <w:rPr>
          <w:rFonts w:ascii="Times New Roman" w:hAnsi="Times New Roman" w:cs="Times New Roman"/>
          <w:b/>
          <w:color w:val="auto"/>
          <w:sz w:val="20"/>
        </w:rPr>
        <w:fldChar w:fldCharType="separate"/>
      </w:r>
      <w:r w:rsidR="009E18F8">
        <w:rPr>
          <w:rFonts w:ascii="Times New Roman" w:hAnsi="Times New Roman" w:cs="Times New Roman"/>
          <w:b/>
          <w:noProof/>
          <w:color w:val="auto"/>
          <w:sz w:val="20"/>
        </w:rPr>
        <w:t>13</w:t>
      </w:r>
      <w:r w:rsidRPr="003E14B7">
        <w:rPr>
          <w:rFonts w:ascii="Times New Roman" w:hAnsi="Times New Roman" w:cs="Times New Roman"/>
          <w:b/>
          <w:color w:val="auto"/>
          <w:sz w:val="20"/>
        </w:rPr>
        <w:fldChar w:fldCharType="end"/>
      </w:r>
      <w:r w:rsidRPr="003E14B7">
        <w:rPr>
          <w:rFonts w:ascii="Times New Roman" w:hAnsi="Times New Roman" w:cs="Times New Roman"/>
          <w:b/>
          <w:color w:val="auto"/>
          <w:sz w:val="20"/>
        </w:rPr>
        <w:t xml:space="preserve">  </w:t>
      </w:r>
      <w:r w:rsidR="007D6646" w:rsidRPr="003E14B7">
        <w:rPr>
          <w:rFonts w:ascii="Times New Roman" w:hAnsi="Times New Roman" w:cs="Times New Roman"/>
          <w:b/>
          <w:color w:val="auto"/>
          <w:sz w:val="20"/>
          <w:szCs w:val="20"/>
        </w:rPr>
        <w:t>Ejecución de programas de entidades seleccionadas</w:t>
      </w:r>
      <w:bookmarkEnd w:id="1021"/>
    </w:p>
    <w:p w14:paraId="11DD6CC7" w14:textId="77777777" w:rsidR="007D6646" w:rsidRPr="00EA29C0" w:rsidRDefault="007D6646" w:rsidP="007D6646">
      <w:pPr>
        <w:spacing w:after="0" w:line="240" w:lineRule="auto"/>
        <w:jc w:val="center"/>
        <w:rPr>
          <w:rFonts w:ascii="Times New Roman" w:hAnsi="Times New Roman" w:cs="Times New Roman"/>
          <w:color w:val="000000" w:themeColor="text1"/>
          <w:sz w:val="18"/>
        </w:rPr>
      </w:pPr>
      <w:r w:rsidRPr="00EA29C0">
        <w:rPr>
          <w:rFonts w:ascii="Times New Roman" w:hAnsi="Times New Roman" w:cs="Times New Roman"/>
          <w:b/>
          <w:color w:val="000000" w:themeColor="text1"/>
          <w:sz w:val="32"/>
          <w:szCs w:val="28"/>
        </w:rPr>
        <w:t xml:space="preserve"> </w:t>
      </w:r>
      <w:r w:rsidRPr="00EA29C0">
        <w:rPr>
          <w:rFonts w:ascii="Times New Roman" w:hAnsi="Times New Roman" w:cs="Times New Roman"/>
          <w:color w:val="000000" w:themeColor="text1"/>
          <w:sz w:val="18"/>
        </w:rPr>
        <w:t>Al 31 de diciembre de 201</w:t>
      </w:r>
      <w:r w:rsidR="00362DE9" w:rsidRPr="00EA29C0">
        <w:rPr>
          <w:rFonts w:ascii="Times New Roman" w:hAnsi="Times New Roman" w:cs="Times New Roman"/>
          <w:color w:val="000000" w:themeColor="text1"/>
          <w:sz w:val="18"/>
        </w:rPr>
        <w:t>9</w:t>
      </w:r>
      <w:r w:rsidRPr="00EA29C0">
        <w:rPr>
          <w:rFonts w:ascii="Times New Roman" w:hAnsi="Times New Roman" w:cs="Times New Roman"/>
          <w:color w:val="000000" w:themeColor="text1"/>
          <w:sz w:val="18"/>
        </w:rPr>
        <w:t xml:space="preserve"> y 20</w:t>
      </w:r>
      <w:r w:rsidR="00362DE9" w:rsidRPr="00EA29C0">
        <w:rPr>
          <w:rFonts w:ascii="Times New Roman" w:hAnsi="Times New Roman" w:cs="Times New Roman"/>
          <w:color w:val="000000" w:themeColor="text1"/>
          <w:sz w:val="18"/>
        </w:rPr>
        <w:t>20</w:t>
      </w:r>
    </w:p>
    <w:p w14:paraId="76A2C942" w14:textId="77777777" w:rsidR="00362DE9" w:rsidRPr="00EA29C0" w:rsidRDefault="00671185" w:rsidP="00362DE9">
      <w:pPr>
        <w:pStyle w:val="Sinespaciado"/>
        <w:jc w:val="center"/>
        <w:rPr>
          <w:rFonts w:ascii="Times New Roman" w:hAnsi="Times New Roman" w:cs="Times New Roman"/>
          <w:color w:val="000000" w:themeColor="text1"/>
          <w:sz w:val="18"/>
        </w:rPr>
      </w:pPr>
      <w:r w:rsidRPr="00EA29C0">
        <w:rPr>
          <w:noProof/>
          <w:lang w:val="es-ES" w:eastAsia="es-ES"/>
        </w:rPr>
        <w:drawing>
          <wp:anchor distT="0" distB="0" distL="114300" distR="114300" simplePos="0" relativeHeight="251934208" behindDoc="0" locked="0" layoutInCell="1" allowOverlap="1" wp14:anchorId="04F42DD5" wp14:editId="1CC6750A">
            <wp:simplePos x="0" y="0"/>
            <wp:positionH relativeFrom="column">
              <wp:posOffset>1739</wp:posOffset>
            </wp:positionH>
            <wp:positionV relativeFrom="paragraph">
              <wp:posOffset>189865</wp:posOffset>
            </wp:positionV>
            <wp:extent cx="5522595" cy="7095490"/>
            <wp:effectExtent l="0" t="0" r="190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22595" cy="709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7D6646" w:rsidRPr="00EA29C0">
        <w:rPr>
          <w:rFonts w:ascii="Times New Roman" w:hAnsi="Times New Roman" w:cs="Times New Roman"/>
          <w:color w:val="000000" w:themeColor="text1"/>
          <w:sz w:val="18"/>
        </w:rPr>
        <w:t>Millones de quetzales y porcentaje de ejecución</w:t>
      </w:r>
    </w:p>
    <w:p w14:paraId="5E0FE74E" w14:textId="77777777" w:rsidR="007D6646" w:rsidRPr="00EA29C0" w:rsidRDefault="007D6646" w:rsidP="00671185">
      <w:pPr>
        <w:pStyle w:val="Sinespaciado"/>
        <w:rPr>
          <w:rFonts w:ascii="Times New Roman" w:hAnsi="Times New Roman" w:cs="Times New Roman"/>
          <w:sz w:val="16"/>
        </w:rPr>
      </w:pPr>
      <w:r w:rsidRPr="00EA29C0">
        <w:rPr>
          <w:rFonts w:ascii="Times New Roman" w:hAnsi="Times New Roman" w:cs="Times New Roman"/>
          <w:sz w:val="16"/>
        </w:rPr>
        <w:t>Fuente: Dirección de Análisis y Política Fiscal</w:t>
      </w:r>
    </w:p>
    <w:p w14:paraId="23297EC5" w14:textId="77777777" w:rsidR="00362DE9" w:rsidRPr="00EA29C0" w:rsidRDefault="00362DE9" w:rsidP="007D6646">
      <w:pPr>
        <w:pStyle w:val="Sinespaciado"/>
        <w:rPr>
          <w:rFonts w:ascii="Times New Roman" w:hAnsi="Times New Roman" w:cs="Times New Roman"/>
          <w:color w:val="000000" w:themeColor="text1"/>
        </w:rPr>
      </w:pPr>
    </w:p>
    <w:p w14:paraId="09F10078" w14:textId="77777777" w:rsidR="00A7074E" w:rsidRPr="00EA29C0" w:rsidRDefault="007D6646" w:rsidP="007D6646">
      <w:pPr>
        <w:spacing w:after="0" w:line="240" w:lineRule="auto"/>
        <w:jc w:val="both"/>
        <w:rPr>
          <w:rFonts w:ascii="Times New Roman" w:hAnsi="Times New Roman" w:cs="Times New Roman"/>
        </w:rPr>
      </w:pPr>
      <w:r w:rsidRPr="00EA29C0">
        <w:rPr>
          <w:rFonts w:ascii="Times New Roman" w:hAnsi="Times New Roman" w:cs="Times New Roman"/>
        </w:rPr>
        <w:t>A nivel de cada entidad de gobierno, se evaluó el grado de ejecución presupuestaria con respecto al comportamiento histórico, siendo este el promedio de los últimos 5 años (período 201</w:t>
      </w:r>
      <w:r w:rsidR="007453F6" w:rsidRPr="00EA29C0">
        <w:rPr>
          <w:rFonts w:ascii="Times New Roman" w:hAnsi="Times New Roman" w:cs="Times New Roman"/>
        </w:rPr>
        <w:t>5-2019</w:t>
      </w:r>
      <w:r w:rsidRPr="00EA29C0">
        <w:rPr>
          <w:rFonts w:ascii="Times New Roman" w:hAnsi="Times New Roman" w:cs="Times New Roman"/>
        </w:rPr>
        <w:t>),</w:t>
      </w:r>
      <w:r w:rsidR="007453F6" w:rsidRPr="00EA29C0">
        <w:rPr>
          <w:rFonts w:ascii="Times New Roman" w:hAnsi="Times New Roman" w:cs="Times New Roman"/>
        </w:rPr>
        <w:t xml:space="preserve"> el cual muestra que, en 2020</w:t>
      </w:r>
      <w:r w:rsidR="00A7074E" w:rsidRPr="00EA29C0">
        <w:rPr>
          <w:rFonts w:ascii="Times New Roman" w:hAnsi="Times New Roman" w:cs="Times New Roman"/>
        </w:rPr>
        <w:t xml:space="preserve"> únicamente dos entidades superaron su nivel promedio siendo el Ministerio de Desarrollo Social (96.1%) y el Ministerio de Economía (96.7%), el alto dinamismo en la ejecución se debió a que dichas entidades concentraron los programas en atención al COVID-19, los cuales fueron de alta prioridad durante 2020.</w:t>
      </w:r>
    </w:p>
    <w:p w14:paraId="7DABB835" w14:textId="77777777" w:rsidR="00A7074E" w:rsidRPr="00EA29C0" w:rsidRDefault="00A7074E" w:rsidP="007D6646">
      <w:pPr>
        <w:spacing w:after="0" w:line="240" w:lineRule="auto"/>
        <w:jc w:val="both"/>
        <w:rPr>
          <w:rFonts w:ascii="Times New Roman" w:hAnsi="Times New Roman" w:cs="Times New Roman"/>
        </w:rPr>
      </w:pPr>
    </w:p>
    <w:p w14:paraId="3FC6C76F" w14:textId="77777777" w:rsidR="00EA29C0" w:rsidRPr="00EA29C0" w:rsidRDefault="00EA29C0" w:rsidP="00EA29C0">
      <w:pPr>
        <w:spacing w:after="0" w:line="240" w:lineRule="auto"/>
        <w:jc w:val="both"/>
        <w:rPr>
          <w:rFonts w:ascii="Times New Roman" w:hAnsi="Times New Roman" w:cs="Times New Roman"/>
        </w:rPr>
      </w:pPr>
      <w:r w:rsidRPr="00EA29C0">
        <w:rPr>
          <w:rFonts w:ascii="Times New Roman" w:hAnsi="Times New Roman" w:cs="Times New Roman"/>
        </w:rPr>
        <w:t xml:space="preserve">Por su parte, en 2020 el resto de entidades (19) </w:t>
      </w:r>
      <w:r w:rsidR="007D6646" w:rsidRPr="00EA29C0">
        <w:rPr>
          <w:rFonts w:ascii="Times New Roman" w:hAnsi="Times New Roman" w:cs="Times New Roman"/>
        </w:rPr>
        <w:t xml:space="preserve">se encuentran por </w:t>
      </w:r>
      <w:r w:rsidRPr="00EA29C0">
        <w:rPr>
          <w:rFonts w:ascii="Times New Roman" w:hAnsi="Times New Roman" w:cs="Times New Roman"/>
        </w:rPr>
        <w:t>debajo de su</w:t>
      </w:r>
      <w:r w:rsidR="007D6646" w:rsidRPr="00EA29C0">
        <w:rPr>
          <w:rFonts w:ascii="Times New Roman" w:hAnsi="Times New Roman" w:cs="Times New Roman"/>
        </w:rPr>
        <w:t xml:space="preserve"> ejecuci</w:t>
      </w:r>
      <w:r w:rsidRPr="00EA29C0">
        <w:rPr>
          <w:rFonts w:ascii="Times New Roman" w:hAnsi="Times New Roman" w:cs="Times New Roman"/>
        </w:rPr>
        <w:t xml:space="preserve">ón promedio, resalta el caso del Ministerio de Energía y Minas con 14.2 puntos porcentuales, Ministerio de Agricultura, Ganadería y Alimentación con 13.4 puntos porcentuales y el Ministerio de Finanzas Públicas con 12.3 puntos porcentuales por debajo del promedio. </w:t>
      </w:r>
    </w:p>
    <w:p w14:paraId="47DDC2AB" w14:textId="77777777" w:rsidR="00EA29C0" w:rsidRPr="00EA29C0" w:rsidRDefault="00EA29C0" w:rsidP="00EA29C0">
      <w:pPr>
        <w:spacing w:after="0" w:line="240" w:lineRule="auto"/>
        <w:jc w:val="both"/>
        <w:rPr>
          <w:rFonts w:ascii="Times New Roman" w:hAnsi="Times New Roman" w:cs="Times New Roman"/>
        </w:rPr>
      </w:pPr>
    </w:p>
    <w:p w14:paraId="2181EFB1" w14:textId="22F1AC5C" w:rsidR="003E14B7" w:rsidRPr="003E14B7" w:rsidRDefault="003E14B7" w:rsidP="00E4773A">
      <w:pPr>
        <w:pStyle w:val="Epgrafe"/>
        <w:spacing w:after="0"/>
        <w:jc w:val="center"/>
        <w:rPr>
          <w:rFonts w:ascii="Times New Roman" w:hAnsi="Times New Roman" w:cs="Times New Roman"/>
          <w:b/>
          <w:i w:val="0"/>
          <w:noProof/>
          <w:color w:val="auto"/>
          <w:sz w:val="22"/>
          <w:szCs w:val="22"/>
        </w:rPr>
      </w:pPr>
      <w:bookmarkStart w:id="1022" w:name="_Toc81573081"/>
      <w:r w:rsidRPr="003E14B7">
        <w:rPr>
          <w:rFonts w:ascii="Times New Roman" w:hAnsi="Times New Roman" w:cs="Times New Roman"/>
          <w:b/>
          <w:color w:val="auto"/>
          <w:sz w:val="20"/>
        </w:rPr>
        <w:t xml:space="preserve">Gráfico </w:t>
      </w:r>
      <w:r w:rsidRPr="003E14B7">
        <w:rPr>
          <w:rFonts w:ascii="Times New Roman" w:hAnsi="Times New Roman" w:cs="Times New Roman"/>
          <w:b/>
          <w:color w:val="auto"/>
          <w:sz w:val="20"/>
        </w:rPr>
        <w:fldChar w:fldCharType="begin"/>
      </w:r>
      <w:r w:rsidRPr="003E14B7">
        <w:rPr>
          <w:rFonts w:ascii="Times New Roman" w:hAnsi="Times New Roman" w:cs="Times New Roman"/>
          <w:b/>
          <w:color w:val="auto"/>
          <w:sz w:val="20"/>
        </w:rPr>
        <w:instrText xml:space="preserve"> SEQ Gráfico \* ARABIC </w:instrText>
      </w:r>
      <w:r w:rsidRPr="003E14B7">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31</w:t>
      </w:r>
      <w:r w:rsidRPr="003E14B7">
        <w:rPr>
          <w:rFonts w:ascii="Times New Roman" w:hAnsi="Times New Roman" w:cs="Times New Roman"/>
          <w:b/>
          <w:color w:val="auto"/>
          <w:sz w:val="20"/>
        </w:rPr>
        <w:fldChar w:fldCharType="end"/>
      </w:r>
      <w:r w:rsidRPr="003E14B7">
        <w:rPr>
          <w:rFonts w:ascii="Times New Roman" w:hAnsi="Times New Roman" w:cs="Times New Roman"/>
          <w:b/>
          <w:color w:val="auto"/>
          <w:sz w:val="20"/>
        </w:rPr>
        <w:t xml:space="preserve">  </w:t>
      </w:r>
      <w:r>
        <w:rPr>
          <w:rFonts w:ascii="Times New Roman" w:hAnsi="Times New Roman" w:cs="Times New Roman"/>
          <w:b/>
          <w:i w:val="0"/>
          <w:color w:val="auto"/>
          <w:sz w:val="22"/>
          <w:szCs w:val="22"/>
        </w:rPr>
        <w:t>G</w:t>
      </w:r>
      <w:r w:rsidRPr="00CC0BC4">
        <w:rPr>
          <w:rFonts w:ascii="Times New Roman" w:hAnsi="Times New Roman" w:cs="Times New Roman"/>
          <w:b/>
          <w:i w:val="0"/>
          <w:color w:val="auto"/>
          <w:sz w:val="22"/>
          <w:szCs w:val="22"/>
        </w:rPr>
        <w:t>rado de Ejecución Presupuestaria Institucional</w:t>
      </w:r>
      <w:bookmarkEnd w:id="1022"/>
    </w:p>
    <w:p w14:paraId="10D51D6A" w14:textId="77777777" w:rsidR="007D6646" w:rsidRPr="00EA29C0" w:rsidRDefault="007D6646" w:rsidP="007D6646">
      <w:pPr>
        <w:spacing w:after="0" w:line="240" w:lineRule="auto"/>
        <w:jc w:val="center"/>
        <w:rPr>
          <w:rFonts w:ascii="Times New Roman" w:hAnsi="Times New Roman" w:cs="Times New Roman"/>
          <w:sz w:val="16"/>
        </w:rPr>
      </w:pPr>
      <w:r w:rsidRPr="00EA29C0">
        <w:rPr>
          <w:rFonts w:ascii="Times New Roman" w:hAnsi="Times New Roman" w:cs="Times New Roman"/>
          <w:sz w:val="18"/>
        </w:rPr>
        <w:t>Promedio 201</w:t>
      </w:r>
      <w:r w:rsidR="004A67B2" w:rsidRPr="00EA29C0">
        <w:rPr>
          <w:rFonts w:ascii="Times New Roman" w:hAnsi="Times New Roman" w:cs="Times New Roman"/>
          <w:sz w:val="18"/>
        </w:rPr>
        <w:t>5</w:t>
      </w:r>
      <w:r w:rsidRPr="00EA29C0">
        <w:rPr>
          <w:rFonts w:ascii="Times New Roman" w:hAnsi="Times New Roman" w:cs="Times New Roman"/>
          <w:sz w:val="18"/>
        </w:rPr>
        <w:t>-201</w:t>
      </w:r>
      <w:r w:rsidR="004A67B2" w:rsidRPr="00EA29C0">
        <w:rPr>
          <w:rFonts w:ascii="Times New Roman" w:hAnsi="Times New Roman" w:cs="Times New Roman"/>
          <w:sz w:val="18"/>
        </w:rPr>
        <w:t>9</w:t>
      </w:r>
      <w:r w:rsidRPr="00EA29C0">
        <w:rPr>
          <w:rFonts w:ascii="Times New Roman" w:hAnsi="Times New Roman" w:cs="Times New Roman"/>
          <w:sz w:val="18"/>
        </w:rPr>
        <w:t xml:space="preserve"> y ejecución 20</w:t>
      </w:r>
      <w:r w:rsidR="004A67B2" w:rsidRPr="00EA29C0">
        <w:rPr>
          <w:rFonts w:ascii="Times New Roman" w:hAnsi="Times New Roman" w:cs="Times New Roman"/>
          <w:sz w:val="18"/>
        </w:rPr>
        <w:t>20</w:t>
      </w:r>
    </w:p>
    <w:p w14:paraId="5AD62341" w14:textId="77777777" w:rsidR="007D6646" w:rsidRPr="00EA29C0" w:rsidRDefault="007D6646" w:rsidP="007D6646">
      <w:pPr>
        <w:pStyle w:val="Sinespaciado"/>
        <w:jc w:val="center"/>
        <w:rPr>
          <w:rFonts w:ascii="Times New Roman" w:hAnsi="Times New Roman" w:cs="Times New Roman"/>
          <w:sz w:val="18"/>
        </w:rPr>
      </w:pPr>
      <w:r w:rsidRPr="00EA29C0">
        <w:rPr>
          <w:rFonts w:ascii="Times New Roman" w:hAnsi="Times New Roman" w:cs="Times New Roman"/>
          <w:sz w:val="18"/>
        </w:rPr>
        <w:t>Cifras en porcentajes</w:t>
      </w:r>
    </w:p>
    <w:p w14:paraId="641353D8" w14:textId="77777777" w:rsidR="00C401B4" w:rsidRDefault="00C401B4" w:rsidP="007D6646">
      <w:pPr>
        <w:pStyle w:val="Sinespaciado"/>
        <w:jc w:val="center"/>
        <w:rPr>
          <w:rFonts w:ascii="Times New Roman" w:hAnsi="Times New Roman" w:cs="Times New Roman"/>
          <w:sz w:val="18"/>
          <w:highlight w:val="cyan"/>
        </w:rPr>
      </w:pPr>
    </w:p>
    <w:p w14:paraId="54848080" w14:textId="77777777" w:rsidR="00C401B4" w:rsidRPr="007D6646" w:rsidRDefault="00C401B4" w:rsidP="007D6646">
      <w:pPr>
        <w:pStyle w:val="Sinespaciado"/>
        <w:jc w:val="center"/>
        <w:rPr>
          <w:rFonts w:ascii="Times New Roman" w:hAnsi="Times New Roman" w:cs="Times New Roman"/>
          <w:sz w:val="18"/>
          <w:highlight w:val="cyan"/>
        </w:rPr>
      </w:pPr>
      <w:r w:rsidRPr="00A24902">
        <w:rPr>
          <w:rFonts w:ascii="Times New Roman" w:hAnsi="Times New Roman" w:cs="Times New Roman"/>
          <w:noProof/>
          <w:sz w:val="20"/>
          <w:lang w:val="es-ES" w:eastAsia="es-ES"/>
        </w:rPr>
        <w:drawing>
          <wp:inline distT="0" distB="0" distL="0" distR="0" wp14:anchorId="55D5BD95" wp14:editId="0484D12F">
            <wp:extent cx="5963285" cy="3234905"/>
            <wp:effectExtent l="0" t="0" r="0" b="381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A429214" w14:textId="77777777" w:rsidR="003E4C0D" w:rsidRDefault="007D6646" w:rsidP="002C7396">
      <w:pPr>
        <w:spacing w:after="0" w:line="240" w:lineRule="auto"/>
        <w:jc w:val="both"/>
        <w:rPr>
          <w:rFonts w:ascii="Times New Roman" w:hAnsi="Times New Roman" w:cs="Times New Roman"/>
          <w:sz w:val="16"/>
        </w:rPr>
      </w:pPr>
      <w:r w:rsidRPr="00EA29C0">
        <w:rPr>
          <w:rFonts w:ascii="Times New Roman" w:hAnsi="Times New Roman" w:cs="Times New Roman"/>
          <w:sz w:val="16"/>
        </w:rPr>
        <w:t>Fuente: Dirección de Análisis y Política Fiscal</w:t>
      </w:r>
    </w:p>
    <w:p w14:paraId="66EAF277" w14:textId="77777777" w:rsidR="002C7396" w:rsidRPr="003E4C0D" w:rsidRDefault="002C7396" w:rsidP="002C7396">
      <w:pPr>
        <w:spacing w:after="0" w:line="240" w:lineRule="auto"/>
        <w:jc w:val="both"/>
        <w:rPr>
          <w:rFonts w:ascii="Times New Roman" w:hAnsi="Times New Roman" w:cs="Times New Roman"/>
          <w:lang w:val="es-MX"/>
        </w:rPr>
      </w:pPr>
    </w:p>
    <w:tbl>
      <w:tblPr>
        <w:tblStyle w:val="Tablaconcuadrcula"/>
        <w:tblW w:w="0" w:type="auto"/>
        <w:tblLook w:val="04A0" w:firstRow="1" w:lastRow="0" w:firstColumn="1" w:lastColumn="0" w:noHBand="0" w:noVBand="1"/>
      </w:tblPr>
      <w:tblGrid>
        <w:gridCol w:w="8828"/>
      </w:tblGrid>
      <w:tr w:rsidR="003C43B2" w:rsidRPr="004133EB" w14:paraId="6965060C" w14:textId="77777777" w:rsidTr="00E4773A">
        <w:trPr>
          <w:trHeight w:val="2125"/>
        </w:trPr>
        <w:tc>
          <w:tcPr>
            <w:tcW w:w="8828" w:type="dxa"/>
            <w:shd w:val="clear" w:color="auto" w:fill="DEEAF6" w:themeFill="accent1" w:themeFillTint="33"/>
          </w:tcPr>
          <w:p w14:paraId="5E6499F8" w14:textId="076A3E02" w:rsidR="003C43B2" w:rsidRPr="004133EB" w:rsidRDefault="00AE6EFB" w:rsidP="007F33BC">
            <w:pPr>
              <w:jc w:val="center"/>
              <w:rPr>
                <w:rFonts w:ascii="Times New Roman" w:hAnsi="Times New Roman" w:cs="Times New Roman"/>
                <w:b/>
                <w:bCs/>
              </w:rPr>
            </w:pPr>
            <w:r>
              <w:rPr>
                <w:rFonts w:ascii="Times New Roman" w:hAnsi="Times New Roman" w:cs="Times New Roman"/>
                <w:b/>
                <w:bCs/>
              </w:rPr>
              <w:t>Re</w:t>
            </w:r>
            <w:r w:rsidR="007F33BC">
              <w:rPr>
                <w:rFonts w:ascii="Times New Roman" w:hAnsi="Times New Roman" w:cs="Times New Roman"/>
                <w:b/>
                <w:bCs/>
              </w:rPr>
              <w:t xml:space="preserve">cuadro 4: </w:t>
            </w:r>
            <w:r w:rsidR="003C43B2" w:rsidRPr="004133EB">
              <w:rPr>
                <w:rFonts w:ascii="Times New Roman" w:hAnsi="Times New Roman" w:cs="Times New Roman"/>
                <w:b/>
                <w:bCs/>
              </w:rPr>
              <w:t>Plan General de Atención a la Emergencia COVID-19</w:t>
            </w:r>
          </w:p>
          <w:p w14:paraId="547397A8" w14:textId="77777777" w:rsidR="003C43B2" w:rsidRPr="004133EB" w:rsidRDefault="003C43B2" w:rsidP="002C7396">
            <w:pPr>
              <w:jc w:val="both"/>
              <w:rPr>
                <w:rFonts w:ascii="Times New Roman" w:hAnsi="Times New Roman" w:cs="Times New Roman"/>
              </w:rPr>
            </w:pPr>
          </w:p>
          <w:p w14:paraId="718DFCB1" w14:textId="77777777" w:rsidR="003C43B2" w:rsidRPr="004133EB" w:rsidRDefault="003C43B2" w:rsidP="002C7396">
            <w:pPr>
              <w:jc w:val="both"/>
              <w:rPr>
                <w:rFonts w:ascii="Times New Roman" w:hAnsi="Times New Roman" w:cs="Times New Roman"/>
              </w:rPr>
            </w:pPr>
            <w:r w:rsidRPr="004133EB">
              <w:rPr>
                <w:rFonts w:ascii="Times New Roman" w:hAnsi="Times New Roman" w:cs="Times New Roman"/>
              </w:rPr>
              <w:t>A partir del primer trimestre de 2020 la orientación del gasto público t</w:t>
            </w:r>
            <w:r w:rsidR="007C41BE">
              <w:rPr>
                <w:rFonts w:ascii="Times New Roman" w:hAnsi="Times New Roman" w:cs="Times New Roman"/>
              </w:rPr>
              <w:t>uvo</w:t>
            </w:r>
            <w:r w:rsidRPr="004133EB">
              <w:rPr>
                <w:rFonts w:ascii="Times New Roman" w:hAnsi="Times New Roman" w:cs="Times New Roman"/>
              </w:rPr>
              <w:t xml:space="preserve"> una nueva arista. Este nuevo componente sería como consecuencia de la emergencia causada por el COVID-19. El gobierno de Guatemala </w:t>
            </w:r>
            <w:r w:rsidR="0055454E">
              <w:rPr>
                <w:rFonts w:ascii="Times New Roman" w:hAnsi="Times New Roman" w:cs="Times New Roman"/>
              </w:rPr>
              <w:t>plasma la orientación que tendría</w:t>
            </w:r>
            <w:r w:rsidRPr="004133EB">
              <w:rPr>
                <w:rFonts w:ascii="Times New Roman" w:hAnsi="Times New Roman" w:cs="Times New Roman"/>
              </w:rPr>
              <w:t xml:space="preserve"> el gasto público en el “Plan General de Atención a la Emergencia COVID-19”. </w:t>
            </w:r>
          </w:p>
          <w:p w14:paraId="6F240B62" w14:textId="77777777" w:rsidR="003C43B2" w:rsidRPr="004133EB" w:rsidRDefault="003C43B2" w:rsidP="002C7396">
            <w:pPr>
              <w:jc w:val="both"/>
              <w:rPr>
                <w:rFonts w:ascii="Times New Roman" w:hAnsi="Times New Roman" w:cs="Times New Roman"/>
              </w:rPr>
            </w:pPr>
          </w:p>
          <w:p w14:paraId="54D59CD2" w14:textId="77777777" w:rsidR="003C43B2" w:rsidRPr="004133EB" w:rsidRDefault="003C43B2" w:rsidP="002C7396">
            <w:pPr>
              <w:jc w:val="both"/>
              <w:rPr>
                <w:rFonts w:ascii="Times New Roman" w:hAnsi="Times New Roman" w:cs="Times New Roman"/>
              </w:rPr>
            </w:pPr>
            <w:r w:rsidRPr="004133EB">
              <w:rPr>
                <w:rFonts w:ascii="Times New Roman" w:hAnsi="Times New Roman" w:cs="Times New Roman"/>
              </w:rPr>
              <w:t xml:space="preserve">En un principio el Gobierno de Guatemala tomó medidas de contención contra la propagación del virus, sin embargo, el 13 de marzo del 2020 se reportó en territorio guatemalteco el primer caso de COVID-19 y dos días después ocurre el primer fallecimiento. En respuesta </w:t>
            </w:r>
            <w:r w:rsidR="0055454E">
              <w:rPr>
                <w:rFonts w:ascii="Times New Roman" w:hAnsi="Times New Roman" w:cs="Times New Roman"/>
              </w:rPr>
              <w:t>se tomaron</w:t>
            </w:r>
            <w:r w:rsidRPr="004133EB">
              <w:rPr>
                <w:rFonts w:ascii="Times New Roman" w:hAnsi="Times New Roman" w:cs="Times New Roman"/>
              </w:rPr>
              <w:t xml:space="preserve"> medidas drásticas, haciendo prevalecer la vida y seguridad de las personas en todo el territorio nacional.  </w:t>
            </w:r>
          </w:p>
          <w:p w14:paraId="21EE05A0" w14:textId="77777777" w:rsidR="003C43B2" w:rsidRPr="004133EB" w:rsidRDefault="003C43B2" w:rsidP="002C7396">
            <w:pPr>
              <w:jc w:val="both"/>
              <w:rPr>
                <w:rFonts w:ascii="Times New Roman" w:hAnsi="Times New Roman" w:cs="Times New Roman"/>
              </w:rPr>
            </w:pPr>
          </w:p>
          <w:p w14:paraId="435A7CBA" w14:textId="77777777" w:rsidR="003C43B2" w:rsidRPr="004133EB" w:rsidRDefault="003C43B2" w:rsidP="002C7396">
            <w:pPr>
              <w:jc w:val="both"/>
              <w:rPr>
                <w:rFonts w:ascii="Times New Roman" w:hAnsi="Times New Roman" w:cs="Times New Roman"/>
              </w:rPr>
            </w:pPr>
            <w:r w:rsidRPr="004133EB">
              <w:rPr>
                <w:rFonts w:ascii="Times New Roman" w:hAnsi="Times New Roman" w:cs="Times New Roman"/>
              </w:rPr>
              <w:t>En el Plan General de Atención a la Emergencia COVID-19 se plantea reducir los impactos en los sectores de salud, económico, social, ambiental y de seguridad, ante las medidas tomadas en el contexto del estado de calamidad.</w:t>
            </w:r>
          </w:p>
          <w:p w14:paraId="016FCEDB" w14:textId="77777777" w:rsidR="003C43B2" w:rsidRPr="004133EB" w:rsidRDefault="003C43B2" w:rsidP="002C7396">
            <w:pPr>
              <w:jc w:val="both"/>
              <w:rPr>
                <w:rFonts w:ascii="Times New Roman" w:hAnsi="Times New Roman" w:cs="Times New Roman"/>
              </w:rPr>
            </w:pPr>
          </w:p>
          <w:p w14:paraId="395F4E86" w14:textId="77777777" w:rsidR="003C43B2" w:rsidRPr="004133EB" w:rsidRDefault="0055454E" w:rsidP="002C7396">
            <w:pPr>
              <w:jc w:val="both"/>
              <w:rPr>
                <w:rFonts w:ascii="Times New Roman" w:hAnsi="Times New Roman" w:cs="Times New Roman"/>
              </w:rPr>
            </w:pPr>
            <w:r>
              <w:rPr>
                <w:rFonts w:ascii="Times New Roman" w:hAnsi="Times New Roman" w:cs="Times New Roman"/>
              </w:rPr>
              <w:t>Se conformaron</w:t>
            </w:r>
            <w:r w:rsidR="003C43B2" w:rsidRPr="004133EB">
              <w:rPr>
                <w:rFonts w:ascii="Times New Roman" w:hAnsi="Times New Roman" w:cs="Times New Roman"/>
              </w:rPr>
              <w:t xml:space="preserve"> mesas de emergencia de alto nivel del sector social, económico y seguridad dirigidas a reducir el impacto económico y social con el acompañamiento coordinado y sustantivo de las fuerzas </w:t>
            </w:r>
            <w:r>
              <w:rPr>
                <w:rFonts w:ascii="Times New Roman" w:hAnsi="Times New Roman" w:cs="Times New Roman"/>
              </w:rPr>
              <w:t>de seguridad. Las mesas, elaboraro</w:t>
            </w:r>
            <w:r w:rsidR="003C43B2" w:rsidRPr="004133EB">
              <w:rPr>
                <w:rFonts w:ascii="Times New Roman" w:hAnsi="Times New Roman" w:cs="Times New Roman"/>
              </w:rPr>
              <w:t>n planes con enfoque preve</w:t>
            </w:r>
            <w:r>
              <w:rPr>
                <w:rFonts w:ascii="Times New Roman" w:hAnsi="Times New Roman" w:cs="Times New Roman"/>
              </w:rPr>
              <w:t>ntivo y reactivo que establecieron</w:t>
            </w:r>
            <w:r w:rsidR="003C43B2" w:rsidRPr="004133EB">
              <w:rPr>
                <w:rFonts w:ascii="Times New Roman" w:hAnsi="Times New Roman" w:cs="Times New Roman"/>
              </w:rPr>
              <w:t xml:space="preserve"> la ruta a seguir para que el país alcance la recuperación de las inevitables consecuencias que conlleva la mitigación del COVID-19 y que las instituciones deben implementar en función de su mandato para la atención de la población.</w:t>
            </w:r>
          </w:p>
          <w:p w14:paraId="18542F8B" w14:textId="77777777" w:rsidR="003C43B2" w:rsidRPr="004133EB" w:rsidRDefault="003C43B2" w:rsidP="002C7396">
            <w:pPr>
              <w:jc w:val="both"/>
              <w:rPr>
                <w:rFonts w:ascii="Times New Roman" w:hAnsi="Times New Roman" w:cs="Times New Roman"/>
              </w:rPr>
            </w:pPr>
          </w:p>
          <w:p w14:paraId="70B0A3A9" w14:textId="77777777" w:rsidR="003C43B2" w:rsidRPr="004133EB" w:rsidRDefault="003C43B2" w:rsidP="002C7396">
            <w:pPr>
              <w:jc w:val="both"/>
              <w:rPr>
                <w:rFonts w:ascii="Times New Roman" w:hAnsi="Times New Roman" w:cs="Times New Roman"/>
              </w:rPr>
            </w:pPr>
            <w:r w:rsidRPr="004133EB">
              <w:rPr>
                <w:rFonts w:ascii="Times New Roman" w:hAnsi="Times New Roman" w:cs="Times New Roman"/>
              </w:rPr>
              <w:t xml:space="preserve">Se considera que en Guatemala habrá importantes impactos sobre la población, no solo desde un ámbito económico sino también en lo social; una de las más grandes preocupaciones </w:t>
            </w:r>
            <w:r w:rsidR="0055454E">
              <w:rPr>
                <w:rFonts w:ascii="Times New Roman" w:hAnsi="Times New Roman" w:cs="Times New Roman"/>
              </w:rPr>
              <w:t>fue</w:t>
            </w:r>
            <w:r w:rsidRPr="004133EB">
              <w:rPr>
                <w:rFonts w:ascii="Times New Roman" w:hAnsi="Times New Roman" w:cs="Times New Roman"/>
              </w:rPr>
              <w:t xml:space="preserve"> la disminución en los ingresos para la subsistencia de las familias, principalmente en el sector informal y agrícola, las remesas enviadas desde el exterior y contracción del sector turístico, lo que podría repercutir en el incremento de los niveles de pobreza general y extrema.</w:t>
            </w:r>
          </w:p>
          <w:p w14:paraId="43838521" w14:textId="77777777" w:rsidR="003C43B2" w:rsidRPr="004133EB" w:rsidRDefault="003C43B2" w:rsidP="002C7396">
            <w:pPr>
              <w:jc w:val="both"/>
              <w:rPr>
                <w:rFonts w:ascii="Times New Roman" w:hAnsi="Times New Roman" w:cs="Times New Roman"/>
              </w:rPr>
            </w:pPr>
          </w:p>
          <w:p w14:paraId="27970AD9" w14:textId="77777777" w:rsidR="003C43B2" w:rsidRPr="004133EB" w:rsidRDefault="003C43B2" w:rsidP="002C7396">
            <w:pPr>
              <w:jc w:val="both"/>
              <w:rPr>
                <w:rFonts w:ascii="Times New Roman" w:hAnsi="Times New Roman" w:cs="Times New Roman"/>
              </w:rPr>
            </w:pPr>
            <w:r w:rsidRPr="004133EB">
              <w:rPr>
                <w:rFonts w:ascii="Times New Roman" w:hAnsi="Times New Roman" w:cs="Times New Roman"/>
              </w:rPr>
              <w:t>El gobierno de Guatemala por intermedio de la Mesa de Emergencia Económica, la cual es coordinada por el Ministerio d</w:t>
            </w:r>
            <w:r w:rsidR="0055454E">
              <w:rPr>
                <w:rFonts w:ascii="Times New Roman" w:hAnsi="Times New Roman" w:cs="Times New Roman"/>
              </w:rPr>
              <w:t>e Finanzas Públicas y</w:t>
            </w:r>
            <w:r w:rsidRPr="004133EB">
              <w:rPr>
                <w:rFonts w:ascii="Times New Roman" w:hAnsi="Times New Roman" w:cs="Times New Roman"/>
              </w:rPr>
              <w:t xml:space="preserve"> forman parte </w:t>
            </w:r>
            <w:r w:rsidR="0055454E">
              <w:rPr>
                <w:rFonts w:ascii="Times New Roman" w:hAnsi="Times New Roman" w:cs="Times New Roman"/>
              </w:rPr>
              <w:t>de ella los</w:t>
            </w:r>
            <w:r w:rsidRPr="004133EB">
              <w:rPr>
                <w:rFonts w:ascii="Times New Roman" w:hAnsi="Times New Roman" w:cs="Times New Roman"/>
              </w:rPr>
              <w:t xml:space="preserve"> Ministerio</w:t>
            </w:r>
            <w:r w:rsidR="0055454E">
              <w:rPr>
                <w:rFonts w:ascii="Times New Roman" w:hAnsi="Times New Roman" w:cs="Times New Roman"/>
              </w:rPr>
              <w:t>s</w:t>
            </w:r>
            <w:r w:rsidRPr="004133EB">
              <w:rPr>
                <w:rFonts w:ascii="Times New Roman" w:hAnsi="Times New Roman" w:cs="Times New Roman"/>
              </w:rPr>
              <w:t xml:space="preserve"> de Sa</w:t>
            </w:r>
            <w:r w:rsidR="0055454E">
              <w:rPr>
                <w:rFonts w:ascii="Times New Roman" w:hAnsi="Times New Roman" w:cs="Times New Roman"/>
              </w:rPr>
              <w:t>lud Pública y Asistencia Social y</w:t>
            </w:r>
            <w:r w:rsidRPr="004133EB">
              <w:rPr>
                <w:rFonts w:ascii="Times New Roman" w:hAnsi="Times New Roman" w:cs="Times New Roman"/>
              </w:rPr>
              <w:t xml:space="preserve"> Economía, Banco de Guatemala, Superintendencia de Bancos, Superintendencia de Administración Tributaria, Secretaría de Planificación y Programación de la Presidencia, PRONACOM e invitados del sector privado, </w:t>
            </w:r>
            <w:r w:rsidR="0055454E">
              <w:rPr>
                <w:rFonts w:ascii="Times New Roman" w:hAnsi="Times New Roman" w:cs="Times New Roman"/>
              </w:rPr>
              <w:t>diseño</w:t>
            </w:r>
            <w:r w:rsidRPr="004133EB">
              <w:rPr>
                <w:rFonts w:ascii="Times New Roman" w:hAnsi="Times New Roman" w:cs="Times New Roman"/>
              </w:rPr>
              <w:t xml:space="preserve"> el Programa Nacional de Emergencia y Rec</w:t>
            </w:r>
            <w:r w:rsidR="0055454E">
              <w:rPr>
                <w:rFonts w:ascii="Times New Roman" w:hAnsi="Times New Roman" w:cs="Times New Roman"/>
              </w:rPr>
              <w:t xml:space="preserve">uperación Económica, el cual </w:t>
            </w:r>
            <w:r w:rsidRPr="004133EB">
              <w:rPr>
                <w:rFonts w:ascii="Times New Roman" w:hAnsi="Times New Roman" w:cs="Times New Roman"/>
              </w:rPr>
              <w:t>se encuentra en ejecución. Este está orientado a atenuar los efectos económicos de la emergencia, contiene acciones que amortigüen los efectos en la población que será la más afectada y evitar el aumento de las brechas del desarrollo.</w:t>
            </w:r>
          </w:p>
          <w:p w14:paraId="6887E1B9" w14:textId="77777777" w:rsidR="003C43B2" w:rsidRPr="004133EB" w:rsidRDefault="003C43B2" w:rsidP="002C7396">
            <w:pPr>
              <w:jc w:val="both"/>
              <w:rPr>
                <w:rFonts w:ascii="Times New Roman" w:hAnsi="Times New Roman" w:cs="Times New Roman"/>
              </w:rPr>
            </w:pPr>
          </w:p>
          <w:p w14:paraId="3FEB6D91" w14:textId="77777777" w:rsidR="003C43B2" w:rsidRPr="004133EB" w:rsidRDefault="003C43B2" w:rsidP="002C7396">
            <w:pPr>
              <w:jc w:val="both"/>
              <w:rPr>
                <w:rFonts w:ascii="Times New Roman" w:hAnsi="Times New Roman" w:cs="Times New Roman"/>
              </w:rPr>
            </w:pPr>
            <w:r w:rsidRPr="004133EB">
              <w:rPr>
                <w:rFonts w:ascii="Times New Roman" w:hAnsi="Times New Roman" w:cs="Times New Roman"/>
              </w:rPr>
              <w:t>El objetivo general del plan es: “Disponer de un conjunto de medidas en los ámbitos social, económico y seguridad para proteger a la población más vulnerable y minimizar el impacto derivado de la pandemia COVID-19, contrarrestando los efectos negativos en la actividad económica y propiciar una convivencia en un ambiente de paz y seguridad”.</w:t>
            </w:r>
          </w:p>
          <w:p w14:paraId="45D73B14" w14:textId="77777777" w:rsidR="003C43B2" w:rsidRPr="004133EB" w:rsidRDefault="003C43B2" w:rsidP="002C7396">
            <w:pPr>
              <w:jc w:val="both"/>
              <w:rPr>
                <w:rFonts w:ascii="Times New Roman" w:hAnsi="Times New Roman" w:cs="Times New Roman"/>
              </w:rPr>
            </w:pPr>
          </w:p>
          <w:p w14:paraId="6D023B37" w14:textId="77777777" w:rsidR="003C43B2" w:rsidRPr="004133EB" w:rsidRDefault="0055454E" w:rsidP="002C7396">
            <w:pPr>
              <w:jc w:val="both"/>
              <w:rPr>
                <w:rFonts w:ascii="Times New Roman" w:hAnsi="Times New Roman" w:cs="Times New Roman"/>
              </w:rPr>
            </w:pPr>
            <w:r>
              <w:rPr>
                <w:rFonts w:ascii="Times New Roman" w:hAnsi="Times New Roman" w:cs="Times New Roman"/>
              </w:rPr>
              <w:t>El Plan General pretende</w:t>
            </w:r>
            <w:r w:rsidR="003C43B2" w:rsidRPr="004133EB">
              <w:rPr>
                <w:rFonts w:ascii="Times New Roman" w:hAnsi="Times New Roman" w:cs="Times New Roman"/>
              </w:rPr>
              <w:t xml:space="preserve"> brindar una respuesta inmediata para contrarrestar los efectos desfavorables derivados de las medidas de contención y emergencia del COVID-19; es por ello, que se divide en tres grandes componentes:</w:t>
            </w:r>
          </w:p>
          <w:p w14:paraId="09A69BBA" w14:textId="77777777" w:rsidR="003C43B2" w:rsidRPr="004133EB" w:rsidRDefault="003C43B2" w:rsidP="002C7396">
            <w:pPr>
              <w:jc w:val="both"/>
              <w:rPr>
                <w:rFonts w:ascii="Times New Roman" w:hAnsi="Times New Roman" w:cs="Times New Roman"/>
              </w:rPr>
            </w:pPr>
          </w:p>
          <w:p w14:paraId="57B0F407" w14:textId="77777777" w:rsidR="003C43B2" w:rsidRPr="004133EB" w:rsidRDefault="003C43B2" w:rsidP="001032E7">
            <w:pPr>
              <w:pStyle w:val="Prrafodelista"/>
              <w:numPr>
                <w:ilvl w:val="0"/>
                <w:numId w:val="13"/>
              </w:numPr>
              <w:jc w:val="both"/>
              <w:rPr>
                <w:rFonts w:ascii="Times New Roman" w:hAnsi="Times New Roman" w:cs="Times New Roman"/>
                <w:b/>
                <w:bCs/>
              </w:rPr>
            </w:pPr>
            <w:r w:rsidRPr="004133EB">
              <w:rPr>
                <w:rFonts w:ascii="Times New Roman" w:hAnsi="Times New Roman" w:cs="Times New Roman"/>
                <w:b/>
                <w:bCs/>
              </w:rPr>
              <w:t xml:space="preserve">Social: </w:t>
            </w:r>
            <w:r w:rsidRPr="004133EB">
              <w:rPr>
                <w:rFonts w:ascii="Times New Roman" w:hAnsi="Times New Roman" w:cs="Times New Roman"/>
              </w:rPr>
              <w:t>Este componente de acción de respuesta, complementará las acciones que lidera el Ministerio de Salud Pública y Asistencia Social como entidad rectora ante la emergencia sanitaria, en materia de prevención dirigido a la población en general y atención a los pacientes en cuarentena y con diagnóstico positivo con la afección del COVID-19, garantizando el acceso integral a los servicios de salud.</w:t>
            </w:r>
          </w:p>
          <w:p w14:paraId="3A8E98FE" w14:textId="77777777" w:rsidR="003C43B2" w:rsidRPr="004133EB" w:rsidRDefault="003C43B2" w:rsidP="002C7396">
            <w:pPr>
              <w:pStyle w:val="Prrafodelista"/>
              <w:ind w:left="360"/>
              <w:jc w:val="both"/>
              <w:rPr>
                <w:rFonts w:ascii="Times New Roman" w:hAnsi="Times New Roman" w:cs="Times New Roman"/>
                <w:b/>
                <w:bCs/>
              </w:rPr>
            </w:pPr>
          </w:p>
          <w:p w14:paraId="0B902A0F" w14:textId="77777777" w:rsidR="003C43B2" w:rsidRPr="004133EB" w:rsidRDefault="003C43B2" w:rsidP="001032E7">
            <w:pPr>
              <w:pStyle w:val="Prrafodelista"/>
              <w:numPr>
                <w:ilvl w:val="0"/>
                <w:numId w:val="13"/>
              </w:numPr>
              <w:jc w:val="both"/>
              <w:rPr>
                <w:rFonts w:ascii="Times New Roman" w:hAnsi="Times New Roman" w:cs="Times New Roman"/>
              </w:rPr>
            </w:pPr>
            <w:r w:rsidRPr="004133EB">
              <w:rPr>
                <w:rFonts w:ascii="Times New Roman" w:hAnsi="Times New Roman" w:cs="Times New Roman"/>
                <w:b/>
                <w:bCs/>
              </w:rPr>
              <w:t xml:space="preserve">Económico: </w:t>
            </w:r>
            <w:r w:rsidR="0055454E">
              <w:rPr>
                <w:rFonts w:ascii="Times New Roman" w:hAnsi="Times New Roman" w:cs="Times New Roman"/>
              </w:rPr>
              <w:t>Se creó</w:t>
            </w:r>
            <w:r w:rsidRPr="004133EB">
              <w:rPr>
                <w:rFonts w:ascii="Times New Roman" w:hAnsi="Times New Roman" w:cs="Times New Roman"/>
              </w:rPr>
              <w:t xml:space="preserve"> la mesa económica de alto nivel para dar seguimiento a las estrategias de estabilidad económica ante la pandemia COVID-19. Derivado de las acciones planteadas, se presentan medidas orientadas a la población que se encuentra en condiciones de riesgo y vulnerabilidad de padecer las consecuencias del impacto negativo. El empleo ha sido uno de los sectores más afectados; </w:t>
            </w:r>
            <w:r w:rsidR="00370D04" w:rsidRPr="004133EB">
              <w:rPr>
                <w:rFonts w:ascii="Times New Roman" w:hAnsi="Times New Roman" w:cs="Times New Roman"/>
              </w:rPr>
              <w:t>ya que,</w:t>
            </w:r>
            <w:r w:rsidRPr="004133EB">
              <w:rPr>
                <w:rFonts w:ascii="Times New Roman" w:hAnsi="Times New Roman" w:cs="Times New Roman"/>
              </w:rPr>
              <w:t xml:space="preserve"> derivado de las medidas tomadas para la contenci</w:t>
            </w:r>
            <w:r w:rsidR="00370D04">
              <w:rPr>
                <w:rFonts w:ascii="Times New Roman" w:hAnsi="Times New Roman" w:cs="Times New Roman"/>
              </w:rPr>
              <w:t>ón de la pandemia,</w:t>
            </w:r>
            <w:r w:rsidRPr="004133EB">
              <w:rPr>
                <w:rFonts w:ascii="Times New Roman" w:hAnsi="Times New Roman" w:cs="Times New Roman"/>
              </w:rPr>
              <w:t xml:space="preserve"> muchos de los negocios, comercios y otros han tenido que cerrar y en algunos casos no se garantiza el ingreso mínimo para que las familias puedan asegurar la cobertura de sus necesidades básicas.</w:t>
            </w:r>
          </w:p>
          <w:p w14:paraId="34AA3680" w14:textId="77777777" w:rsidR="003C43B2" w:rsidRPr="004133EB" w:rsidRDefault="003C43B2" w:rsidP="002C7396">
            <w:pPr>
              <w:jc w:val="both"/>
              <w:rPr>
                <w:rFonts w:ascii="Times New Roman" w:hAnsi="Times New Roman" w:cs="Times New Roman"/>
              </w:rPr>
            </w:pPr>
          </w:p>
          <w:p w14:paraId="00F9970F" w14:textId="77777777" w:rsidR="003C43B2" w:rsidRPr="004133EB" w:rsidRDefault="003C43B2" w:rsidP="002C7396">
            <w:pPr>
              <w:ind w:left="360"/>
              <w:jc w:val="both"/>
              <w:rPr>
                <w:rFonts w:ascii="Times New Roman" w:hAnsi="Times New Roman" w:cs="Times New Roman"/>
              </w:rPr>
            </w:pPr>
            <w:r w:rsidRPr="004133EB">
              <w:rPr>
                <w:rFonts w:ascii="Times New Roman" w:hAnsi="Times New Roman" w:cs="Times New Roman"/>
              </w:rPr>
              <w:t xml:space="preserve">Este componente se enfoca a la aplicación de una política fiscal anticíclica mediante la ampliación presupuestaria, la aprobación de otras fuentes de financiamiento como préstamos y el incremento a la inversión pública en infraestructura y dotación de insumos, principalmente la orientada a atender la emergencia derivada de la pandemia. </w:t>
            </w:r>
          </w:p>
          <w:p w14:paraId="0224C3AA" w14:textId="77777777" w:rsidR="003C43B2" w:rsidRPr="004133EB" w:rsidRDefault="003C43B2" w:rsidP="002C7396">
            <w:pPr>
              <w:ind w:left="360"/>
              <w:jc w:val="both"/>
              <w:rPr>
                <w:rFonts w:ascii="Times New Roman" w:hAnsi="Times New Roman" w:cs="Times New Roman"/>
              </w:rPr>
            </w:pPr>
          </w:p>
          <w:p w14:paraId="5773007D" w14:textId="77777777" w:rsidR="003C43B2" w:rsidRPr="004133EB" w:rsidRDefault="003C43B2" w:rsidP="002C7396">
            <w:pPr>
              <w:ind w:left="360"/>
              <w:jc w:val="both"/>
              <w:rPr>
                <w:rFonts w:ascii="Times New Roman" w:hAnsi="Times New Roman" w:cs="Times New Roman"/>
              </w:rPr>
            </w:pPr>
            <w:r w:rsidRPr="004133EB">
              <w:rPr>
                <w:rFonts w:ascii="Times New Roman" w:hAnsi="Times New Roman" w:cs="Times New Roman"/>
              </w:rPr>
              <w:t xml:space="preserve">El componente económico está dividido en subsectores que se conforman por empleo, infraestructura, sector financiero, productividad y protección al consumidor, que se consideran de suma importancia para lograr reducir el riesgo de que la población que integra los grupos vulnerables sea la más afectada. Se mencionará aquellos que tengan una implicación directa con la orientación del ingreso, gasto público o el financiamiento. </w:t>
            </w:r>
          </w:p>
          <w:p w14:paraId="71E6956E" w14:textId="77777777" w:rsidR="003C43B2" w:rsidRPr="004133EB" w:rsidRDefault="003C43B2" w:rsidP="002C7396">
            <w:pPr>
              <w:ind w:left="360"/>
              <w:jc w:val="both"/>
              <w:rPr>
                <w:rFonts w:ascii="Times New Roman" w:hAnsi="Times New Roman" w:cs="Times New Roman"/>
              </w:rPr>
            </w:pPr>
          </w:p>
          <w:p w14:paraId="2B0EFC7E" w14:textId="4A16159B" w:rsidR="003C43B2" w:rsidRPr="00E4773A" w:rsidRDefault="003C43B2" w:rsidP="00E4773A">
            <w:pPr>
              <w:pStyle w:val="Prrafodelista"/>
              <w:numPr>
                <w:ilvl w:val="0"/>
                <w:numId w:val="14"/>
              </w:numPr>
              <w:jc w:val="both"/>
              <w:rPr>
                <w:rFonts w:ascii="Times New Roman" w:hAnsi="Times New Roman" w:cs="Times New Roman"/>
              </w:rPr>
            </w:pPr>
            <w:r w:rsidRPr="004133EB">
              <w:rPr>
                <w:rFonts w:ascii="Times New Roman" w:hAnsi="Times New Roman" w:cs="Times New Roman"/>
                <w:b/>
                <w:bCs/>
              </w:rPr>
              <w:t>Empleo:</w:t>
            </w:r>
            <w:r w:rsidR="00370D04">
              <w:rPr>
                <w:rFonts w:ascii="Times New Roman" w:hAnsi="Times New Roman" w:cs="Times New Roman"/>
              </w:rPr>
              <w:t xml:space="preserve"> Promueve</w:t>
            </w:r>
            <w:r w:rsidRPr="004133EB">
              <w:rPr>
                <w:rFonts w:ascii="Times New Roman" w:hAnsi="Times New Roman" w:cs="Times New Roman"/>
              </w:rPr>
              <w:t xml:space="preserve"> que la población tenga acceso a los beneficios del Estado en condiciones de igualdad y equidad, asegurar los salarios y sueldos, que permitan mantener los ingresos de las familias durante la etapa de emergencia. También se gestionará el acceso a crédito y emprendimiento.</w:t>
            </w:r>
          </w:p>
          <w:p w14:paraId="0954FC3A" w14:textId="713A6D9C" w:rsidR="003C43B2" w:rsidRPr="00E4773A" w:rsidRDefault="003C43B2" w:rsidP="00E4773A">
            <w:pPr>
              <w:pStyle w:val="Prrafodelista"/>
              <w:numPr>
                <w:ilvl w:val="0"/>
                <w:numId w:val="14"/>
              </w:numPr>
              <w:jc w:val="both"/>
              <w:rPr>
                <w:rFonts w:ascii="Times New Roman" w:hAnsi="Times New Roman" w:cs="Times New Roman"/>
              </w:rPr>
            </w:pPr>
            <w:r w:rsidRPr="004133EB">
              <w:rPr>
                <w:rFonts w:ascii="Times New Roman" w:hAnsi="Times New Roman" w:cs="Times New Roman"/>
                <w:b/>
                <w:bCs/>
              </w:rPr>
              <w:t>Infraestructura:</w:t>
            </w:r>
            <w:r w:rsidRPr="004133EB">
              <w:rPr>
                <w:rFonts w:ascii="Times New Roman" w:hAnsi="Times New Roman" w:cs="Times New Roman"/>
              </w:rPr>
              <w:t xml:space="preserve"> En la Política Económica 2016 -2021 “Crecimiento Económico Inc</w:t>
            </w:r>
            <w:r w:rsidR="00370D04">
              <w:rPr>
                <w:rFonts w:ascii="Times New Roman" w:hAnsi="Times New Roman" w:cs="Times New Roman"/>
              </w:rPr>
              <w:t>luyente y Sostenible” se planteó</w:t>
            </w:r>
            <w:r w:rsidRPr="004133EB">
              <w:rPr>
                <w:rFonts w:ascii="Times New Roman" w:hAnsi="Times New Roman" w:cs="Times New Roman"/>
              </w:rPr>
              <w:t xml:space="preserve"> la necesidad de dinamizar economía local, la transformación productiva y orientación a otros sectores como turismo, construcción u otros; a través de la inversión en infraestructura básica y para conectividad. Debido a la emergencia suscitada es necesario asegurar la infraestructura productiva como la de puertos y aeropuertos para garantizar el traslado de medicamentos y alimentos, y la infraestructura en salud. Esto a través de la aplicación de la política fiscal anticíclica con el incremento a la inversión pública en infraestructura, principalmente la orientada a atender la emergencia derivada de la pandemia.</w:t>
            </w:r>
          </w:p>
          <w:p w14:paraId="1C5CEE00" w14:textId="77777777" w:rsidR="003C43B2" w:rsidRPr="004133EB" w:rsidRDefault="003C43B2" w:rsidP="001032E7">
            <w:pPr>
              <w:pStyle w:val="Prrafodelista"/>
              <w:numPr>
                <w:ilvl w:val="0"/>
                <w:numId w:val="14"/>
              </w:numPr>
              <w:jc w:val="both"/>
              <w:rPr>
                <w:rFonts w:ascii="Times New Roman" w:hAnsi="Times New Roman" w:cs="Times New Roman"/>
              </w:rPr>
            </w:pPr>
            <w:r w:rsidRPr="004133EB">
              <w:rPr>
                <w:rFonts w:ascii="Times New Roman" w:hAnsi="Times New Roman" w:cs="Times New Roman"/>
                <w:b/>
                <w:bCs/>
              </w:rPr>
              <w:t xml:space="preserve">Financiero: </w:t>
            </w:r>
            <w:r w:rsidRPr="004133EB">
              <w:rPr>
                <w:rFonts w:ascii="Times New Roman" w:hAnsi="Times New Roman" w:cs="Times New Roman"/>
              </w:rPr>
              <w:t>Medidas que permitan la diversificación de la inversión y de los sectores productivos del país. La aplicación de la Política Monetaria, Cambiaria y Crediticia y la estabilidad del sistema financiero son de suma importancia para lograrlo. Sin embargo, se debe considerar la solvencia, liquidez y recursos del sistema bancario, subsidios, incentivos fiscales, y otros orientados a la pequeña y mediana empresa.</w:t>
            </w:r>
          </w:p>
          <w:p w14:paraId="342340EE" w14:textId="77777777" w:rsidR="003C43B2" w:rsidRPr="004133EB" w:rsidRDefault="003C43B2" w:rsidP="002C7396">
            <w:pPr>
              <w:ind w:left="1080"/>
              <w:jc w:val="both"/>
              <w:rPr>
                <w:rFonts w:ascii="Times New Roman" w:hAnsi="Times New Roman" w:cs="Times New Roman"/>
              </w:rPr>
            </w:pPr>
          </w:p>
          <w:p w14:paraId="477EB683" w14:textId="77777777" w:rsidR="003C43B2" w:rsidRPr="004133EB" w:rsidRDefault="003C43B2" w:rsidP="002C7396">
            <w:pPr>
              <w:ind w:left="1080"/>
              <w:jc w:val="both"/>
              <w:rPr>
                <w:rFonts w:ascii="Times New Roman" w:hAnsi="Times New Roman" w:cs="Times New Roman"/>
              </w:rPr>
            </w:pPr>
            <w:r w:rsidRPr="004133EB">
              <w:rPr>
                <w:rFonts w:ascii="Times New Roman" w:hAnsi="Times New Roman" w:cs="Times New Roman"/>
              </w:rPr>
              <w:t xml:space="preserve">Se </w:t>
            </w:r>
            <w:r w:rsidR="00F951F0">
              <w:rPr>
                <w:rFonts w:ascii="Times New Roman" w:hAnsi="Times New Roman" w:cs="Times New Roman"/>
              </w:rPr>
              <w:t>dieron</w:t>
            </w:r>
            <w:r w:rsidRPr="004133EB">
              <w:rPr>
                <w:rFonts w:ascii="Times New Roman" w:hAnsi="Times New Roman" w:cs="Times New Roman"/>
              </w:rPr>
              <w:t xml:space="preserve"> préstamos blandos para los pequeños y medianos productores, otorgando facilidades a las empresas que trabajan y ofrecen sus servicios en las áreas de turismo, comercio y construcción. Los programas de adulto mayor y para la agricultura campesina, permitirán atender a dos sectores desprotegidos y vulnerables a través de la adquisición de alimentos y transferencias económicas directas.</w:t>
            </w:r>
          </w:p>
          <w:p w14:paraId="632CA770" w14:textId="77777777" w:rsidR="003C43B2" w:rsidRPr="004133EB" w:rsidRDefault="003C43B2" w:rsidP="002C7396">
            <w:pPr>
              <w:ind w:left="360"/>
              <w:jc w:val="both"/>
              <w:rPr>
                <w:rFonts w:ascii="Times New Roman" w:hAnsi="Times New Roman" w:cs="Times New Roman"/>
              </w:rPr>
            </w:pPr>
          </w:p>
          <w:p w14:paraId="43206A73" w14:textId="77777777" w:rsidR="003C43B2" w:rsidRPr="004133EB" w:rsidRDefault="003C43B2" w:rsidP="001032E7">
            <w:pPr>
              <w:pStyle w:val="Prrafodelista"/>
              <w:numPr>
                <w:ilvl w:val="0"/>
                <w:numId w:val="13"/>
              </w:numPr>
              <w:jc w:val="both"/>
              <w:rPr>
                <w:rFonts w:ascii="Times New Roman" w:hAnsi="Times New Roman" w:cs="Times New Roman"/>
              </w:rPr>
            </w:pPr>
            <w:r w:rsidRPr="004133EB">
              <w:rPr>
                <w:rFonts w:ascii="Times New Roman" w:hAnsi="Times New Roman" w:cs="Times New Roman"/>
                <w:b/>
                <w:bCs/>
              </w:rPr>
              <w:t xml:space="preserve">Seguridad, migración y ambiente: </w:t>
            </w:r>
            <w:r w:rsidRPr="004133EB">
              <w:rPr>
                <w:rFonts w:ascii="Times New Roman" w:hAnsi="Times New Roman" w:cs="Times New Roman"/>
              </w:rPr>
              <w:t>Contiene una serie de medidas complementarias a los planes de protección civil y defensa nacional liderados por el Ministerio de Gobernación y el Ministerio de la Defensa Nacional respectivamente, las cuales tienen por finalidad, proveer seguridad a la población, salvaguardar su integridad física y la de su patrimonio, resguardar las fronteras del país para asegurar los ingresos y egresos de personas de manera segura; así como garantizar la observancia de las medidas que sean tomadas por parte del Organismo Ejecutivo.</w:t>
            </w:r>
          </w:p>
          <w:p w14:paraId="4DA093CB" w14:textId="77777777" w:rsidR="003C43B2" w:rsidRPr="004133EB" w:rsidRDefault="003C43B2" w:rsidP="002C7396">
            <w:pPr>
              <w:ind w:left="360"/>
              <w:jc w:val="both"/>
              <w:rPr>
                <w:rFonts w:ascii="Times New Roman" w:hAnsi="Times New Roman" w:cs="Times New Roman"/>
              </w:rPr>
            </w:pPr>
          </w:p>
          <w:p w14:paraId="2452C0AB" w14:textId="77777777" w:rsidR="003C43B2" w:rsidRPr="004133EB" w:rsidRDefault="003C43B2" w:rsidP="002C7396">
            <w:pPr>
              <w:ind w:left="360"/>
              <w:jc w:val="both"/>
              <w:rPr>
                <w:rFonts w:ascii="Times New Roman" w:hAnsi="Times New Roman" w:cs="Times New Roman"/>
              </w:rPr>
            </w:pPr>
            <w:r w:rsidRPr="004133EB">
              <w:rPr>
                <w:rFonts w:ascii="Times New Roman" w:hAnsi="Times New Roman" w:cs="Times New Roman"/>
              </w:rPr>
              <w:t>Para la respuesta efectiva ante el estado de calamidad decretado por el Gobierno, resulta fundamental, además, adoptar acciones vinculadas a la protección del ambiente y las alertas tempranas en áreas expuestas a amenazas por eventos hidrometeorológicos o antropogénicos, que permitan reducir la vulnerabilidad social, económica, de infraestructura y ambiental, a efecto de resguardar los medios de vida que serán necesarios para la recuperación económica; y que además, no se incremente la vulnerabilidad ya existente por la emergencia actual.</w:t>
            </w:r>
          </w:p>
          <w:p w14:paraId="15B62582" w14:textId="77777777" w:rsidR="003C43B2" w:rsidRPr="004133EB" w:rsidRDefault="003C43B2" w:rsidP="002C7396">
            <w:pPr>
              <w:ind w:left="360"/>
              <w:jc w:val="both"/>
              <w:rPr>
                <w:rFonts w:ascii="Times New Roman" w:hAnsi="Times New Roman" w:cs="Times New Roman"/>
              </w:rPr>
            </w:pPr>
          </w:p>
          <w:p w14:paraId="07C9A759" w14:textId="77777777" w:rsidR="003C43B2" w:rsidRPr="004133EB" w:rsidRDefault="003C43B2" w:rsidP="002C7396">
            <w:pPr>
              <w:jc w:val="both"/>
              <w:rPr>
                <w:rFonts w:ascii="Times New Roman" w:hAnsi="Times New Roman" w:cs="Times New Roman"/>
              </w:rPr>
            </w:pPr>
            <w:r w:rsidRPr="004133EB">
              <w:rPr>
                <w:rFonts w:ascii="Times New Roman" w:hAnsi="Times New Roman" w:cs="Times New Roman"/>
              </w:rPr>
              <w:t>El Plan General de Atención de Emergencia fue publicado oficialmente en mayo de 2020, este plan surgió como una necesidad apremiante para darle respuesta inmediata a la población guatemalteca ante los efectos desfavorables causados por la emergencia del COVID-19. Cada uno de los componentes (social, económico y seguridad, migración y ambiente) busca brindar una respuesta oportuna ante la emergencia, siendo esto posible a través de la aplicación de una política fiscal anticíclica, lo cual requiere de ampliación presupuestaria, reorientación de recursos, la aprobación de otras fuentes de financiamiento como préstamos y el incremento a la inversión pública en infraestructura y dotación de insumos.</w:t>
            </w:r>
          </w:p>
          <w:p w14:paraId="5E25C0DF" w14:textId="77777777" w:rsidR="003C43B2" w:rsidRPr="004133EB" w:rsidRDefault="003C43B2" w:rsidP="002C7396">
            <w:pPr>
              <w:jc w:val="both"/>
              <w:rPr>
                <w:rFonts w:ascii="Times New Roman" w:hAnsi="Times New Roman" w:cs="Times New Roman"/>
              </w:rPr>
            </w:pPr>
          </w:p>
        </w:tc>
      </w:tr>
    </w:tbl>
    <w:p w14:paraId="63A5EECC" w14:textId="77777777" w:rsidR="006A30B5" w:rsidRDefault="006A30B5" w:rsidP="000B6895">
      <w:pPr>
        <w:tabs>
          <w:tab w:val="left" w:pos="5103"/>
        </w:tabs>
        <w:spacing w:after="0" w:line="240" w:lineRule="auto"/>
        <w:jc w:val="both"/>
        <w:rPr>
          <w:rFonts w:ascii="Times New Roman" w:hAnsi="Times New Roman" w:cs="Times New Roman"/>
          <w:highlight w:val="yellow"/>
        </w:rPr>
      </w:pPr>
    </w:p>
    <w:p w14:paraId="6FC6EC49" w14:textId="77777777" w:rsidR="00D7254E" w:rsidRPr="00D7254E" w:rsidRDefault="00D9565C" w:rsidP="000B6895">
      <w:pPr>
        <w:tabs>
          <w:tab w:val="left" w:pos="5103"/>
        </w:tabs>
        <w:spacing w:after="0" w:line="240" w:lineRule="auto"/>
        <w:jc w:val="both"/>
        <w:rPr>
          <w:rFonts w:ascii="Times New Roman" w:hAnsi="Times New Roman" w:cs="Times New Roman"/>
        </w:rPr>
      </w:pPr>
      <w:r>
        <w:rPr>
          <w:rFonts w:ascii="Times New Roman" w:hAnsi="Times New Roman" w:cs="Times New Roman"/>
        </w:rPr>
        <w:t>Adicional</w:t>
      </w:r>
      <w:r w:rsidR="004F00D8">
        <w:rPr>
          <w:rFonts w:ascii="Times New Roman" w:hAnsi="Times New Roman" w:cs="Times New Roman"/>
        </w:rPr>
        <w:t>,</w:t>
      </w:r>
      <w:r w:rsidR="00D7254E" w:rsidRPr="00D7254E">
        <w:rPr>
          <w:rFonts w:ascii="Times New Roman" w:hAnsi="Times New Roman" w:cs="Times New Roman"/>
        </w:rPr>
        <w:t xml:space="preserve"> a la </w:t>
      </w:r>
      <w:r w:rsidR="004F00D8">
        <w:rPr>
          <w:rFonts w:ascii="Times New Roman" w:hAnsi="Times New Roman" w:cs="Times New Roman"/>
        </w:rPr>
        <w:t>crisis ocasionada por la emergencia sanitaria y económica del COVID-19, en el último trimestre d</w:t>
      </w:r>
      <w:r>
        <w:rPr>
          <w:rFonts w:ascii="Times New Roman" w:hAnsi="Times New Roman" w:cs="Times New Roman"/>
        </w:rPr>
        <w:t>e 2020</w:t>
      </w:r>
      <w:r w:rsidR="004F00D8">
        <w:rPr>
          <w:rFonts w:ascii="Times New Roman" w:hAnsi="Times New Roman" w:cs="Times New Roman"/>
        </w:rPr>
        <w:t xml:space="preserve"> Guatemala se enfrentó a do</w:t>
      </w:r>
      <w:r>
        <w:rPr>
          <w:rFonts w:ascii="Times New Roman" w:hAnsi="Times New Roman" w:cs="Times New Roman"/>
        </w:rPr>
        <w:t xml:space="preserve">s tormentas tropicales, ETA e IOTA, a pesar que las trayectorias de ETA e IOTA no tocaron el territorio de Guatemala, en la zona de influencia acontecieron intensas tormentas y vientos que tuvieron efectos adversos en la población debido a las inundaciones, deslizamientos y flujos de lodo que fueron reportados en 16 de 22 departamentos, donde los daños más catastróficos se reportaron en: Alta Verapaz, Izabal, Quiché, Huehuetenango, Petén, Zacapa y Chiquimula. </w:t>
      </w:r>
    </w:p>
    <w:p w14:paraId="3D63A71A" w14:textId="77777777" w:rsidR="00D7254E" w:rsidRPr="0085368D" w:rsidRDefault="00D7254E" w:rsidP="000B6895">
      <w:pPr>
        <w:tabs>
          <w:tab w:val="left" w:pos="5103"/>
        </w:tabs>
        <w:spacing w:after="0" w:line="240" w:lineRule="auto"/>
        <w:jc w:val="both"/>
        <w:rPr>
          <w:rFonts w:ascii="Times New Roman" w:hAnsi="Times New Roman" w:cs="Times New Roman"/>
        </w:rPr>
      </w:pPr>
    </w:p>
    <w:p w14:paraId="330E7094" w14:textId="77777777" w:rsidR="00C14FCF" w:rsidRPr="00C14FCF" w:rsidRDefault="00C14FCF" w:rsidP="000B6895">
      <w:pPr>
        <w:tabs>
          <w:tab w:val="left" w:pos="5103"/>
        </w:tabs>
        <w:spacing w:after="0" w:line="240" w:lineRule="auto"/>
        <w:jc w:val="both"/>
        <w:rPr>
          <w:rFonts w:ascii="Times New Roman" w:hAnsi="Times New Roman" w:cs="Times New Roman"/>
        </w:rPr>
      </w:pPr>
      <w:r w:rsidRPr="00C14FCF">
        <w:rPr>
          <w:rFonts w:ascii="Times New Roman" w:hAnsi="Times New Roman" w:cs="Times New Roman"/>
        </w:rPr>
        <w:t xml:space="preserve">En el </w:t>
      </w:r>
      <w:r>
        <w:rPr>
          <w:rFonts w:ascii="Times New Roman" w:hAnsi="Times New Roman" w:cs="Times New Roman"/>
        </w:rPr>
        <w:t xml:space="preserve">Decreto Gubernativo 20-2020 se considera que es deber del Estado reducir los efectos provocados por toda calamidad pública derivada de un suceso natural </w:t>
      </w:r>
      <w:r w:rsidR="008B3343">
        <w:rPr>
          <w:rFonts w:ascii="Times New Roman" w:hAnsi="Times New Roman" w:cs="Times New Roman"/>
        </w:rPr>
        <w:t xml:space="preserve">que produzca alteración del entorno físico y social que pueda causar pérdidas humanas y contar con una respuesta oportuna para las áreas geográficas o comunidades afectadas. Se declaró Estado de Calamidad Pública por un plazo de 30 días, en los departamentos de Petén, Quiché, Alta Verapaz, Izabal, Chiquimula, Zacapa, Jutiapa, El Progreso y Santa Rosa. </w:t>
      </w:r>
    </w:p>
    <w:p w14:paraId="4C01B954" w14:textId="77777777" w:rsidR="00C14FCF" w:rsidRDefault="00C14FCF" w:rsidP="000B6895">
      <w:pPr>
        <w:tabs>
          <w:tab w:val="left" w:pos="5103"/>
        </w:tabs>
        <w:spacing w:after="0" w:line="240" w:lineRule="auto"/>
        <w:jc w:val="both"/>
        <w:rPr>
          <w:rFonts w:ascii="Times New Roman" w:hAnsi="Times New Roman" w:cs="Times New Roman"/>
          <w:highlight w:val="yellow"/>
        </w:rPr>
      </w:pPr>
    </w:p>
    <w:p w14:paraId="792FA401" w14:textId="77777777" w:rsidR="008B3343" w:rsidRPr="005D4EDB" w:rsidRDefault="008B3343" w:rsidP="000B6895">
      <w:pPr>
        <w:tabs>
          <w:tab w:val="left" w:pos="5103"/>
        </w:tabs>
        <w:spacing w:after="0" w:line="240" w:lineRule="auto"/>
        <w:jc w:val="both"/>
        <w:rPr>
          <w:rFonts w:ascii="Times New Roman" w:hAnsi="Times New Roman" w:cs="Times New Roman"/>
        </w:rPr>
      </w:pPr>
      <w:r w:rsidRPr="005D4EDB">
        <w:rPr>
          <w:rFonts w:ascii="Times New Roman" w:hAnsi="Times New Roman" w:cs="Times New Roman"/>
        </w:rPr>
        <w:t>Durante el plazo del Estado de Calamidad Pública, se establecieron las siguientes medidas:</w:t>
      </w:r>
    </w:p>
    <w:p w14:paraId="33B3A80F" w14:textId="77777777" w:rsidR="008B3343" w:rsidRPr="005D4EDB" w:rsidRDefault="005D4EDB" w:rsidP="00E4773A">
      <w:pPr>
        <w:pStyle w:val="Prrafodelista"/>
        <w:numPr>
          <w:ilvl w:val="0"/>
          <w:numId w:val="20"/>
        </w:numPr>
        <w:tabs>
          <w:tab w:val="left" w:pos="5103"/>
        </w:tabs>
        <w:spacing w:after="0" w:line="240" w:lineRule="auto"/>
        <w:ind w:left="567"/>
        <w:jc w:val="both"/>
        <w:rPr>
          <w:rFonts w:ascii="Times New Roman" w:hAnsi="Times New Roman" w:cs="Times New Roman"/>
        </w:rPr>
      </w:pPr>
      <w:r w:rsidRPr="005D4EDB">
        <w:rPr>
          <w:rFonts w:ascii="Times New Roman" w:hAnsi="Times New Roman" w:cs="Times New Roman"/>
        </w:rPr>
        <w:t>Centralizar en la Coordinadora Nacional para la Reducción de Desastres (CONRED) todas las acciones que tiendan a prevenir, mitigar y atender los daños derivados de los efectos de “ETA”</w:t>
      </w:r>
    </w:p>
    <w:p w14:paraId="0E431E4B" w14:textId="77777777" w:rsidR="005D4EDB" w:rsidRPr="005D4EDB" w:rsidRDefault="005D4EDB" w:rsidP="00E4773A">
      <w:pPr>
        <w:pStyle w:val="Prrafodelista"/>
        <w:numPr>
          <w:ilvl w:val="0"/>
          <w:numId w:val="20"/>
        </w:numPr>
        <w:tabs>
          <w:tab w:val="left" w:pos="5103"/>
        </w:tabs>
        <w:spacing w:after="0" w:line="240" w:lineRule="auto"/>
        <w:ind w:left="567"/>
        <w:jc w:val="both"/>
        <w:rPr>
          <w:rFonts w:ascii="Times New Roman" w:hAnsi="Times New Roman" w:cs="Times New Roman"/>
        </w:rPr>
      </w:pPr>
      <w:r w:rsidRPr="005D4EDB">
        <w:rPr>
          <w:rFonts w:ascii="Times New Roman" w:hAnsi="Times New Roman" w:cs="Times New Roman"/>
        </w:rPr>
        <w:t xml:space="preserve">Limitar el derecho de libre locomoción, en donde establezca CONRED y las entidades de seguridad nacional </w:t>
      </w:r>
    </w:p>
    <w:p w14:paraId="3FEDEABA" w14:textId="77777777" w:rsidR="005D4EDB" w:rsidRDefault="005D4EDB" w:rsidP="00E4773A">
      <w:pPr>
        <w:pStyle w:val="Prrafodelista"/>
        <w:numPr>
          <w:ilvl w:val="0"/>
          <w:numId w:val="20"/>
        </w:numPr>
        <w:tabs>
          <w:tab w:val="left" w:pos="5103"/>
        </w:tabs>
        <w:spacing w:after="0" w:line="240" w:lineRule="auto"/>
        <w:ind w:left="567"/>
        <w:jc w:val="both"/>
        <w:rPr>
          <w:rFonts w:ascii="Times New Roman" w:hAnsi="Times New Roman" w:cs="Times New Roman"/>
        </w:rPr>
      </w:pPr>
      <w:r w:rsidRPr="005D4EDB">
        <w:rPr>
          <w:rFonts w:ascii="Times New Roman" w:hAnsi="Times New Roman" w:cs="Times New Roman"/>
        </w:rPr>
        <w:t>Prohibir la circulación</w:t>
      </w:r>
      <w:r>
        <w:rPr>
          <w:rFonts w:ascii="Times New Roman" w:hAnsi="Times New Roman" w:cs="Times New Roman"/>
        </w:rPr>
        <w:t xml:space="preserve"> o estacion</w:t>
      </w:r>
      <w:r w:rsidR="006559F5">
        <w:rPr>
          <w:rFonts w:ascii="Times New Roman" w:hAnsi="Times New Roman" w:cs="Times New Roman"/>
        </w:rPr>
        <w:t>amiento de vehículos en lugares, zonas u horas determinadas, impedir su salida fuera de las poblaciones o someterlos a registro;</w:t>
      </w:r>
    </w:p>
    <w:p w14:paraId="2552C65A" w14:textId="77777777" w:rsidR="006559F5" w:rsidRDefault="006559F5" w:rsidP="00E4773A">
      <w:pPr>
        <w:pStyle w:val="Prrafodelista"/>
        <w:numPr>
          <w:ilvl w:val="0"/>
          <w:numId w:val="20"/>
        </w:numPr>
        <w:tabs>
          <w:tab w:val="left" w:pos="5103"/>
        </w:tabs>
        <w:spacing w:after="0" w:line="240" w:lineRule="auto"/>
        <w:ind w:left="567"/>
        <w:jc w:val="both"/>
        <w:rPr>
          <w:rFonts w:ascii="Times New Roman" w:hAnsi="Times New Roman" w:cs="Times New Roman"/>
        </w:rPr>
      </w:pPr>
      <w:r>
        <w:rPr>
          <w:rFonts w:ascii="Times New Roman" w:hAnsi="Times New Roman" w:cs="Times New Roman"/>
        </w:rPr>
        <w:t>Impedir la concentración de personas, aun cuando fueren de carácter privado</w:t>
      </w:r>
    </w:p>
    <w:p w14:paraId="739029EF" w14:textId="77777777" w:rsidR="006559F5" w:rsidRDefault="006559F5" w:rsidP="00E4773A">
      <w:pPr>
        <w:pStyle w:val="Prrafodelista"/>
        <w:numPr>
          <w:ilvl w:val="0"/>
          <w:numId w:val="20"/>
        </w:numPr>
        <w:tabs>
          <w:tab w:val="left" w:pos="5103"/>
        </w:tabs>
        <w:spacing w:after="0" w:line="240" w:lineRule="auto"/>
        <w:ind w:left="567"/>
        <w:jc w:val="both"/>
        <w:rPr>
          <w:rFonts w:ascii="Times New Roman" w:hAnsi="Times New Roman" w:cs="Times New Roman"/>
        </w:rPr>
      </w:pPr>
      <w:r>
        <w:rPr>
          <w:rFonts w:ascii="Times New Roman" w:hAnsi="Times New Roman" w:cs="Times New Roman"/>
        </w:rPr>
        <w:t>Ordenar la evacuación de los habitantes de las regiones afectadas o áreas declaradas de alto riesgo;</w:t>
      </w:r>
    </w:p>
    <w:p w14:paraId="7CA59B59" w14:textId="77777777" w:rsidR="006559F5" w:rsidRDefault="006559F5" w:rsidP="00E4773A">
      <w:pPr>
        <w:pStyle w:val="Prrafodelista"/>
        <w:numPr>
          <w:ilvl w:val="0"/>
          <w:numId w:val="20"/>
        </w:numPr>
        <w:tabs>
          <w:tab w:val="left" w:pos="5103"/>
        </w:tabs>
        <w:spacing w:after="0" w:line="240" w:lineRule="auto"/>
        <w:ind w:left="567"/>
        <w:jc w:val="both"/>
        <w:rPr>
          <w:rFonts w:ascii="Times New Roman" w:hAnsi="Times New Roman" w:cs="Times New Roman"/>
        </w:rPr>
      </w:pPr>
      <w:r>
        <w:rPr>
          <w:rFonts w:ascii="Times New Roman" w:hAnsi="Times New Roman" w:cs="Times New Roman"/>
        </w:rPr>
        <w:t>Exigir de los particulares el auxilio o cooperación que sean indispensables para el mejor control de la situación en aquellas áreas o zonas afectadas;</w:t>
      </w:r>
    </w:p>
    <w:p w14:paraId="7845AA54" w14:textId="77777777" w:rsidR="006559F5" w:rsidRDefault="006559F5" w:rsidP="00E4773A">
      <w:pPr>
        <w:pStyle w:val="Prrafodelista"/>
        <w:numPr>
          <w:ilvl w:val="0"/>
          <w:numId w:val="20"/>
        </w:numPr>
        <w:tabs>
          <w:tab w:val="left" w:pos="5103"/>
        </w:tabs>
        <w:spacing w:after="0" w:line="240" w:lineRule="auto"/>
        <w:ind w:left="567"/>
        <w:jc w:val="both"/>
        <w:rPr>
          <w:rFonts w:ascii="Times New Roman" w:hAnsi="Times New Roman" w:cs="Times New Roman"/>
        </w:rPr>
      </w:pPr>
      <w:r>
        <w:rPr>
          <w:rFonts w:ascii="Times New Roman" w:hAnsi="Times New Roman" w:cs="Times New Roman"/>
        </w:rPr>
        <w:t xml:space="preserve">Dictar las medidas adecuadas para el resguardo de las fronteras internacionales. </w:t>
      </w:r>
    </w:p>
    <w:p w14:paraId="23A4423E" w14:textId="77777777" w:rsidR="006559F5" w:rsidRDefault="006559F5" w:rsidP="006559F5">
      <w:pPr>
        <w:tabs>
          <w:tab w:val="left" w:pos="5103"/>
        </w:tabs>
        <w:spacing w:after="0" w:line="240" w:lineRule="auto"/>
        <w:jc w:val="both"/>
        <w:rPr>
          <w:rFonts w:ascii="Times New Roman" w:hAnsi="Times New Roman" w:cs="Times New Roman"/>
        </w:rPr>
      </w:pPr>
    </w:p>
    <w:p w14:paraId="6F8E0363" w14:textId="77777777" w:rsidR="006559F5" w:rsidRDefault="006559F5" w:rsidP="006559F5">
      <w:pPr>
        <w:tabs>
          <w:tab w:val="left" w:pos="5103"/>
        </w:tabs>
        <w:spacing w:after="0" w:line="240" w:lineRule="auto"/>
        <w:jc w:val="both"/>
        <w:rPr>
          <w:rFonts w:ascii="Times New Roman" w:hAnsi="Times New Roman" w:cs="Times New Roman"/>
        </w:rPr>
      </w:pPr>
      <w:r>
        <w:rPr>
          <w:rFonts w:ascii="Times New Roman" w:hAnsi="Times New Roman" w:cs="Times New Roman"/>
        </w:rPr>
        <w:t>Respecto a las donaciones, estas deben ser consignadas y registradas a nombre del Estado de Guatemala y coordinadas por la CONRED</w:t>
      </w:r>
      <w:r w:rsidR="00E629FD">
        <w:rPr>
          <w:rFonts w:ascii="Times New Roman" w:hAnsi="Times New Roman" w:cs="Times New Roman"/>
        </w:rPr>
        <w:t>. En cuanto a los bienes y servicios y contrataciones, se autorizó la compra y las contrataciones para la ejecución y supervisión de trabajos relacionados con el objeto del Decreto, sin sujetarse a los requisitos de licitación pública establecidos por ley.</w:t>
      </w:r>
    </w:p>
    <w:p w14:paraId="3624D604" w14:textId="77777777" w:rsidR="00820085" w:rsidRDefault="00820085" w:rsidP="006559F5">
      <w:pPr>
        <w:tabs>
          <w:tab w:val="left" w:pos="5103"/>
        </w:tabs>
        <w:spacing w:after="0" w:line="240" w:lineRule="auto"/>
        <w:jc w:val="both"/>
        <w:rPr>
          <w:rFonts w:ascii="Times New Roman" w:hAnsi="Times New Roman" w:cs="Times New Roman"/>
        </w:rPr>
      </w:pPr>
    </w:p>
    <w:p w14:paraId="1E107A92" w14:textId="6B3AA550" w:rsidR="000A36C9" w:rsidRPr="00E4773A" w:rsidRDefault="00820085" w:rsidP="00C14FCF">
      <w:pPr>
        <w:tabs>
          <w:tab w:val="left" w:pos="5103"/>
        </w:tabs>
        <w:spacing w:after="0" w:line="240" w:lineRule="auto"/>
        <w:jc w:val="both"/>
        <w:rPr>
          <w:rFonts w:ascii="Times New Roman" w:hAnsi="Times New Roman" w:cs="Times New Roman"/>
          <w:highlight w:val="yellow"/>
        </w:rPr>
      </w:pPr>
      <w:r>
        <w:rPr>
          <w:rFonts w:ascii="Times New Roman" w:hAnsi="Times New Roman" w:cs="Times New Roman"/>
        </w:rPr>
        <w:t>En el Decreto Gubernativo 21-2020 se declara el Estado de Calamidad Pública en el departamento de Huehuetenango</w:t>
      </w:r>
      <w:r w:rsidR="000A36C9">
        <w:rPr>
          <w:rFonts w:ascii="Times New Roman" w:hAnsi="Times New Roman" w:cs="Times New Roman"/>
        </w:rPr>
        <w:t>.</w:t>
      </w:r>
      <w:r>
        <w:rPr>
          <w:rFonts w:ascii="Times New Roman" w:hAnsi="Times New Roman" w:cs="Times New Roman"/>
        </w:rPr>
        <w:t xml:space="preserve"> </w:t>
      </w:r>
      <w:r w:rsidR="00E4773A">
        <w:rPr>
          <w:rFonts w:ascii="Times New Roman" w:hAnsi="Times New Roman" w:cs="Times New Roman"/>
        </w:rPr>
        <w:t xml:space="preserve"> </w:t>
      </w:r>
      <w:r w:rsidR="00C14FCF" w:rsidRPr="0085368D">
        <w:rPr>
          <w:rFonts w:ascii="Times New Roman" w:hAnsi="Times New Roman" w:cs="Times New Roman"/>
        </w:rPr>
        <w:t>En respuesta, el Gobierno de Guatemala</w:t>
      </w:r>
      <w:r w:rsidR="00C14FCF">
        <w:rPr>
          <w:rFonts w:ascii="Times New Roman" w:hAnsi="Times New Roman" w:cs="Times New Roman"/>
        </w:rPr>
        <w:t xml:space="preserve"> agrego un nuevo subprograma al </w:t>
      </w:r>
      <w:r w:rsidR="00C14FCF" w:rsidRPr="0085368D">
        <w:rPr>
          <w:rFonts w:ascii="Times New Roman" w:hAnsi="Times New Roman" w:cs="Times New Roman"/>
        </w:rPr>
        <w:t>programa 94 “Atención por desastres nat</w:t>
      </w:r>
      <w:r w:rsidR="00C14FCF">
        <w:rPr>
          <w:rFonts w:ascii="Times New Roman" w:hAnsi="Times New Roman" w:cs="Times New Roman"/>
        </w:rPr>
        <w:t>urales y Calamidades Públicas” siendo el</w:t>
      </w:r>
      <w:r w:rsidR="00C14FCF" w:rsidRPr="0085368D">
        <w:rPr>
          <w:rFonts w:ascii="Times New Roman" w:hAnsi="Times New Roman" w:cs="Times New Roman"/>
        </w:rPr>
        <w:t xml:space="preserve"> subprograma </w:t>
      </w:r>
      <w:r w:rsidR="00C14FCF">
        <w:rPr>
          <w:rFonts w:ascii="Times New Roman" w:hAnsi="Times New Roman" w:cs="Times New Roman"/>
        </w:rPr>
        <w:t>11</w:t>
      </w:r>
      <w:r w:rsidR="00C14FCF" w:rsidRPr="0085368D">
        <w:rPr>
          <w:rFonts w:ascii="Times New Roman" w:hAnsi="Times New Roman" w:cs="Times New Roman"/>
        </w:rPr>
        <w:t xml:space="preserve"> “Estado de Calamidad Pública</w:t>
      </w:r>
      <w:r w:rsidR="00C14FCF">
        <w:rPr>
          <w:rFonts w:ascii="Times New Roman" w:hAnsi="Times New Roman" w:cs="Times New Roman"/>
        </w:rPr>
        <w:t xml:space="preserve"> por Depresión Tropical ETA </w:t>
      </w:r>
      <w:r w:rsidR="00C14FCF" w:rsidRPr="0085368D">
        <w:rPr>
          <w:rFonts w:ascii="Times New Roman" w:hAnsi="Times New Roman" w:cs="Times New Roman"/>
        </w:rPr>
        <w:t xml:space="preserve">(DG </w:t>
      </w:r>
      <w:r w:rsidR="00C14FCF">
        <w:rPr>
          <w:rFonts w:ascii="Times New Roman" w:hAnsi="Times New Roman" w:cs="Times New Roman"/>
        </w:rPr>
        <w:t>20</w:t>
      </w:r>
      <w:r w:rsidR="00C14FCF" w:rsidRPr="0085368D">
        <w:rPr>
          <w:rFonts w:ascii="Times New Roman" w:hAnsi="Times New Roman" w:cs="Times New Roman"/>
        </w:rPr>
        <w:t>-2020</w:t>
      </w:r>
      <w:r w:rsidR="00C14FCF">
        <w:rPr>
          <w:rFonts w:ascii="Times New Roman" w:hAnsi="Times New Roman" w:cs="Times New Roman"/>
        </w:rPr>
        <w:t xml:space="preserve"> y 21-2020</w:t>
      </w:r>
      <w:r w:rsidR="000A36C9">
        <w:rPr>
          <w:rFonts w:ascii="Times New Roman" w:hAnsi="Times New Roman" w:cs="Times New Roman"/>
        </w:rPr>
        <w:t>)”, al cual le fue asignado un presupuesto de Q356.1 millones, con una ejecución al cierre de 2020 de Q86.7 millones.</w:t>
      </w:r>
    </w:p>
    <w:p w14:paraId="793AE730" w14:textId="77777777" w:rsidR="000A36C9" w:rsidRDefault="000A36C9" w:rsidP="00C14FCF">
      <w:pPr>
        <w:tabs>
          <w:tab w:val="left" w:pos="5103"/>
        </w:tabs>
        <w:spacing w:after="0" w:line="240" w:lineRule="auto"/>
        <w:jc w:val="both"/>
        <w:rPr>
          <w:rFonts w:ascii="Times New Roman" w:hAnsi="Times New Roman" w:cs="Times New Roman"/>
        </w:rPr>
      </w:pPr>
    </w:p>
    <w:p w14:paraId="63C40676" w14:textId="77777777" w:rsidR="00091C7A" w:rsidRDefault="000A36C9" w:rsidP="00091C7A">
      <w:pPr>
        <w:tabs>
          <w:tab w:val="left" w:pos="5103"/>
        </w:tabs>
        <w:spacing w:after="0" w:line="240" w:lineRule="auto"/>
        <w:jc w:val="both"/>
        <w:rPr>
          <w:rFonts w:ascii="Times New Roman" w:hAnsi="Times New Roman" w:cs="Times New Roman"/>
        </w:rPr>
      </w:pPr>
      <w:r>
        <w:rPr>
          <w:rFonts w:ascii="Times New Roman" w:hAnsi="Times New Roman" w:cs="Times New Roman"/>
        </w:rPr>
        <w:t>Los Ministerios y las principales actividades que tuvieron ejecución para la atención de la emergencia ocasionada por la depresión tropical ETA fueron:</w:t>
      </w:r>
      <w:r w:rsidR="00AF78E3">
        <w:rPr>
          <w:rFonts w:ascii="Times New Roman" w:hAnsi="Times New Roman" w:cs="Times New Roman"/>
        </w:rPr>
        <w:t xml:space="preserve"> Comunicaciones, Infraestructura y Vivien</w:t>
      </w:r>
      <w:r w:rsidR="00697697">
        <w:rPr>
          <w:rFonts w:ascii="Times New Roman" w:hAnsi="Times New Roman" w:cs="Times New Roman"/>
        </w:rPr>
        <w:t>da con Q</w:t>
      </w:r>
      <w:r w:rsidR="00B70A4D">
        <w:rPr>
          <w:rFonts w:ascii="Times New Roman" w:hAnsi="Times New Roman" w:cs="Times New Roman"/>
        </w:rPr>
        <w:t>49</w:t>
      </w:r>
      <w:r w:rsidR="00697697">
        <w:rPr>
          <w:rFonts w:ascii="Times New Roman" w:hAnsi="Times New Roman" w:cs="Times New Roman"/>
        </w:rPr>
        <w:t>.</w:t>
      </w:r>
      <w:r w:rsidR="00B70A4D">
        <w:rPr>
          <w:rFonts w:ascii="Times New Roman" w:hAnsi="Times New Roman" w:cs="Times New Roman"/>
        </w:rPr>
        <w:t>4</w:t>
      </w:r>
      <w:r w:rsidR="00697697">
        <w:rPr>
          <w:rFonts w:ascii="Times New Roman" w:hAnsi="Times New Roman" w:cs="Times New Roman"/>
        </w:rPr>
        <w:t xml:space="preserve"> millones por intervenciones realizadas para la atención de daños provocados, seguidamente Desarrollo Social tuvo una ejecución de Q22.9 millones por dotación de alimentos (Q16.9 millones), materiales de construcción y enseres (Q5.0 millones) y raciones de alimentos para personas atendidas (Q1.0 millones), en las Obligaciones del Estado a cargo del Tesoro con Q10.0 millones correspondientes a una transferencia hacia el Registro Nacional de las Personas (RENAP), dado que fue necesario la movilización de recursos para la identificación de personas que perdieron todo a causa de las depresiones tropicales, los afectados fueron</w:t>
      </w:r>
      <w:r w:rsidR="00697697" w:rsidRPr="00697697">
        <w:rPr>
          <w:rFonts w:ascii="Times New Roman" w:hAnsi="Times New Roman" w:cs="Times New Roman"/>
        </w:rPr>
        <w:t xml:space="preserve"> exonerados del pago del Documento Personal de Identificación (DPI) y de </w:t>
      </w:r>
      <w:r w:rsidR="00697697">
        <w:rPr>
          <w:rFonts w:ascii="Times New Roman" w:hAnsi="Times New Roman" w:cs="Times New Roman"/>
        </w:rPr>
        <w:t>las certificaciones registrales</w:t>
      </w:r>
      <w:r w:rsidR="00091C7A">
        <w:rPr>
          <w:rFonts w:ascii="Times New Roman" w:hAnsi="Times New Roman" w:cs="Times New Roman"/>
        </w:rPr>
        <w:t>, por último en Agricultura, Ganadería y Alimentación se ejecutaron Q4.4 millones de i</w:t>
      </w:r>
      <w:r w:rsidR="00091C7A" w:rsidRPr="00091C7A">
        <w:rPr>
          <w:rFonts w:ascii="Times New Roman" w:hAnsi="Times New Roman" w:cs="Times New Roman"/>
        </w:rPr>
        <w:t>nsumos agropecuarios en apoyo a la recupera</w:t>
      </w:r>
      <w:r w:rsidR="00091C7A">
        <w:rPr>
          <w:rFonts w:ascii="Times New Roman" w:hAnsi="Times New Roman" w:cs="Times New Roman"/>
        </w:rPr>
        <w:t>ción de la producción agrícola.</w:t>
      </w:r>
    </w:p>
    <w:p w14:paraId="7238B79A" w14:textId="77777777" w:rsidR="00091C7A" w:rsidRPr="005A7A3D" w:rsidRDefault="00091C7A" w:rsidP="005A7A3D">
      <w:pPr>
        <w:tabs>
          <w:tab w:val="left" w:pos="5103"/>
        </w:tabs>
        <w:spacing w:after="0" w:line="240" w:lineRule="auto"/>
        <w:jc w:val="both"/>
        <w:rPr>
          <w:rFonts w:ascii="Times New Roman" w:hAnsi="Times New Roman" w:cs="Times New Roman"/>
          <w:sz w:val="16"/>
        </w:rPr>
      </w:pPr>
    </w:p>
    <w:p w14:paraId="04E88DE1" w14:textId="32E16E2D" w:rsidR="00091C7A" w:rsidRPr="00B6733D" w:rsidRDefault="0014127C" w:rsidP="005A7A3D">
      <w:pPr>
        <w:pStyle w:val="Epgrafe"/>
        <w:spacing w:after="0"/>
        <w:jc w:val="center"/>
        <w:rPr>
          <w:rFonts w:ascii="Times New Roman" w:hAnsi="Times New Roman" w:cs="Times New Roman"/>
          <w:b/>
          <w:color w:val="auto"/>
          <w:sz w:val="22"/>
        </w:rPr>
      </w:pPr>
      <w:bookmarkStart w:id="1023" w:name="_Toc81573036"/>
      <w:r w:rsidRPr="00B6733D">
        <w:rPr>
          <w:rFonts w:ascii="Times New Roman" w:hAnsi="Times New Roman" w:cs="Times New Roman"/>
          <w:b/>
          <w:color w:val="auto"/>
          <w:sz w:val="22"/>
        </w:rPr>
        <w:t xml:space="preserve">Tabla </w:t>
      </w:r>
      <w:r w:rsidRPr="00B6733D">
        <w:rPr>
          <w:rFonts w:ascii="Times New Roman" w:hAnsi="Times New Roman" w:cs="Times New Roman"/>
          <w:b/>
          <w:color w:val="auto"/>
          <w:sz w:val="22"/>
        </w:rPr>
        <w:fldChar w:fldCharType="begin"/>
      </w:r>
      <w:r w:rsidRPr="00B6733D">
        <w:rPr>
          <w:rFonts w:ascii="Times New Roman" w:hAnsi="Times New Roman" w:cs="Times New Roman"/>
          <w:b/>
          <w:color w:val="auto"/>
          <w:sz w:val="22"/>
        </w:rPr>
        <w:instrText xml:space="preserve"> SEQ Tabla \* ARABIC </w:instrText>
      </w:r>
      <w:r w:rsidRPr="00B6733D">
        <w:rPr>
          <w:rFonts w:ascii="Times New Roman" w:hAnsi="Times New Roman" w:cs="Times New Roman"/>
          <w:b/>
          <w:color w:val="auto"/>
          <w:sz w:val="22"/>
        </w:rPr>
        <w:fldChar w:fldCharType="separate"/>
      </w:r>
      <w:r w:rsidR="009E18F8">
        <w:rPr>
          <w:rFonts w:ascii="Times New Roman" w:hAnsi="Times New Roman" w:cs="Times New Roman"/>
          <w:b/>
          <w:noProof/>
          <w:color w:val="auto"/>
          <w:sz w:val="22"/>
        </w:rPr>
        <w:t>14</w:t>
      </w:r>
      <w:r w:rsidRPr="00B6733D">
        <w:rPr>
          <w:rFonts w:ascii="Times New Roman" w:hAnsi="Times New Roman" w:cs="Times New Roman"/>
          <w:b/>
          <w:color w:val="auto"/>
          <w:sz w:val="22"/>
        </w:rPr>
        <w:fldChar w:fldCharType="end"/>
      </w:r>
      <w:r w:rsidRPr="00B6733D">
        <w:rPr>
          <w:rFonts w:ascii="Times New Roman" w:hAnsi="Times New Roman" w:cs="Times New Roman"/>
          <w:b/>
          <w:color w:val="auto"/>
          <w:sz w:val="22"/>
        </w:rPr>
        <w:t xml:space="preserve">  </w:t>
      </w:r>
      <w:r w:rsidR="00091C7A" w:rsidRPr="00B6733D">
        <w:rPr>
          <w:rFonts w:ascii="Times New Roman" w:hAnsi="Times New Roman" w:cs="Times New Roman"/>
          <w:b/>
          <w:color w:val="auto"/>
          <w:sz w:val="22"/>
        </w:rPr>
        <w:t>Programas Sociales y Económicos en Atención a la Depresión Tropical ETA</w:t>
      </w:r>
      <w:bookmarkEnd w:id="1023"/>
    </w:p>
    <w:p w14:paraId="689798D3" w14:textId="77777777" w:rsidR="00091C7A" w:rsidRPr="00091C7A" w:rsidRDefault="00091C7A" w:rsidP="005A7A3D">
      <w:pPr>
        <w:tabs>
          <w:tab w:val="left" w:pos="5103"/>
        </w:tabs>
        <w:spacing w:after="0" w:line="240" w:lineRule="auto"/>
        <w:jc w:val="center"/>
        <w:rPr>
          <w:rFonts w:ascii="Times New Roman" w:hAnsi="Times New Roman" w:cs="Times New Roman"/>
          <w:sz w:val="20"/>
        </w:rPr>
      </w:pPr>
      <w:r w:rsidRPr="00091C7A">
        <w:rPr>
          <w:rFonts w:ascii="Times New Roman" w:hAnsi="Times New Roman" w:cs="Times New Roman"/>
          <w:sz w:val="20"/>
        </w:rPr>
        <w:t>Ejecución 2020</w:t>
      </w:r>
    </w:p>
    <w:p w14:paraId="0A6C0084" w14:textId="6B4F316C" w:rsidR="003D7B59" w:rsidRPr="003D7B59" w:rsidRDefault="00091C7A" w:rsidP="003D7B59">
      <w:pPr>
        <w:tabs>
          <w:tab w:val="left" w:pos="5103"/>
        </w:tabs>
        <w:jc w:val="center"/>
        <w:rPr>
          <w:sz w:val="20"/>
          <w:szCs w:val="20"/>
        </w:rPr>
      </w:pPr>
      <w:r w:rsidRPr="00091C7A">
        <w:rPr>
          <w:rFonts w:ascii="Times New Roman" w:hAnsi="Times New Roman" w:cs="Times New Roman"/>
          <w:sz w:val="20"/>
        </w:rPr>
        <w:t>Millones de quetzales y porcentajes</w:t>
      </w:r>
      <w:r w:rsidR="000A36C9">
        <w:rPr>
          <w:rFonts w:ascii="Times New Roman" w:hAnsi="Times New Roman" w:cs="Times New Roman"/>
        </w:rPr>
        <w:t xml:space="preserve"> </w:t>
      </w:r>
    </w:p>
    <w:tbl>
      <w:tblPr>
        <w:tblW w:w="9062" w:type="dxa"/>
        <w:tblCellMar>
          <w:left w:w="70" w:type="dxa"/>
          <w:right w:w="70" w:type="dxa"/>
        </w:tblCellMar>
        <w:tblLook w:val="04A0" w:firstRow="1" w:lastRow="0" w:firstColumn="1" w:lastColumn="0" w:noHBand="0" w:noVBand="1"/>
      </w:tblPr>
      <w:tblGrid>
        <w:gridCol w:w="5519"/>
        <w:gridCol w:w="1185"/>
        <w:gridCol w:w="1134"/>
        <w:gridCol w:w="1224"/>
      </w:tblGrid>
      <w:tr w:rsidR="003D7B59" w:rsidRPr="003D7B59" w14:paraId="6654494A" w14:textId="77777777" w:rsidTr="00E4773A">
        <w:trPr>
          <w:divId w:val="1914584246"/>
          <w:trHeight w:val="450"/>
        </w:trPr>
        <w:tc>
          <w:tcPr>
            <w:tcW w:w="551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260A926" w14:textId="48FF6FAC" w:rsidR="003D7B59" w:rsidRPr="003D7B59" w:rsidRDefault="003D7B59" w:rsidP="003D7B59">
            <w:pPr>
              <w:spacing w:line="240" w:lineRule="auto"/>
              <w:jc w:val="center"/>
              <w:rPr>
                <w:rFonts w:ascii="Times New Roman" w:eastAsia="Times New Roman" w:hAnsi="Times New Roman" w:cs="Times New Roman"/>
                <w:b/>
                <w:bCs/>
                <w:color w:val="000000"/>
                <w:sz w:val="20"/>
                <w:szCs w:val="20"/>
                <w:lang w:eastAsia="es-GT"/>
              </w:rPr>
            </w:pPr>
            <w:r w:rsidRPr="003D7B59">
              <w:rPr>
                <w:rFonts w:ascii="Times New Roman" w:eastAsia="Times New Roman" w:hAnsi="Times New Roman" w:cs="Times New Roman"/>
                <w:b/>
                <w:bCs/>
                <w:color w:val="000000"/>
                <w:sz w:val="20"/>
                <w:szCs w:val="20"/>
                <w:lang w:eastAsia="es-GT"/>
              </w:rPr>
              <w:t>Actividades</w:t>
            </w:r>
          </w:p>
        </w:tc>
        <w:tc>
          <w:tcPr>
            <w:tcW w:w="11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45E5C7" w14:textId="77777777" w:rsidR="003D7B59" w:rsidRPr="003D7B59" w:rsidRDefault="003D7B59" w:rsidP="003D7B59">
            <w:pPr>
              <w:spacing w:after="0" w:line="240" w:lineRule="auto"/>
              <w:jc w:val="center"/>
              <w:rPr>
                <w:rFonts w:ascii="Times New Roman" w:eastAsia="Times New Roman" w:hAnsi="Times New Roman" w:cs="Times New Roman"/>
                <w:b/>
                <w:bCs/>
                <w:color w:val="000000"/>
                <w:sz w:val="20"/>
                <w:szCs w:val="20"/>
                <w:lang w:eastAsia="es-GT"/>
              </w:rPr>
            </w:pPr>
            <w:r w:rsidRPr="003D7B59">
              <w:rPr>
                <w:rFonts w:ascii="Times New Roman" w:eastAsia="Times New Roman" w:hAnsi="Times New Roman" w:cs="Times New Roman"/>
                <w:b/>
                <w:bCs/>
                <w:color w:val="000000"/>
                <w:sz w:val="20"/>
                <w:szCs w:val="20"/>
                <w:lang w:eastAsia="es-GT"/>
              </w:rPr>
              <w:t>Presupuesto Vigente</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18CEE5E" w14:textId="77777777" w:rsidR="003D7B59" w:rsidRPr="003D7B59" w:rsidRDefault="003D7B59" w:rsidP="003D7B59">
            <w:pPr>
              <w:spacing w:after="0" w:line="240" w:lineRule="auto"/>
              <w:jc w:val="center"/>
              <w:rPr>
                <w:rFonts w:ascii="Times New Roman" w:eastAsia="Times New Roman" w:hAnsi="Times New Roman" w:cs="Times New Roman"/>
                <w:b/>
                <w:bCs/>
                <w:color w:val="000000"/>
                <w:sz w:val="20"/>
                <w:szCs w:val="20"/>
                <w:lang w:eastAsia="es-GT"/>
              </w:rPr>
            </w:pPr>
            <w:r w:rsidRPr="003D7B59">
              <w:rPr>
                <w:rFonts w:ascii="Times New Roman" w:eastAsia="Times New Roman" w:hAnsi="Times New Roman" w:cs="Times New Roman"/>
                <w:b/>
                <w:bCs/>
                <w:color w:val="000000"/>
                <w:sz w:val="20"/>
                <w:szCs w:val="20"/>
                <w:lang w:eastAsia="es-GT"/>
              </w:rPr>
              <w:t>Al cierre 2020</w:t>
            </w:r>
          </w:p>
        </w:tc>
        <w:tc>
          <w:tcPr>
            <w:tcW w:w="1224"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36A1555B" w14:textId="77777777" w:rsidR="003D7B59" w:rsidRPr="003D7B59" w:rsidRDefault="003D7B59" w:rsidP="003D7B59">
            <w:pPr>
              <w:spacing w:after="0" w:line="240" w:lineRule="auto"/>
              <w:jc w:val="center"/>
              <w:rPr>
                <w:rFonts w:ascii="Times New Roman" w:eastAsia="Times New Roman" w:hAnsi="Times New Roman" w:cs="Times New Roman"/>
                <w:b/>
                <w:bCs/>
                <w:color w:val="000000"/>
                <w:sz w:val="20"/>
                <w:szCs w:val="20"/>
                <w:lang w:eastAsia="es-GT"/>
              </w:rPr>
            </w:pPr>
            <w:r w:rsidRPr="003D7B59">
              <w:rPr>
                <w:rFonts w:ascii="Times New Roman" w:eastAsia="Times New Roman" w:hAnsi="Times New Roman" w:cs="Times New Roman"/>
                <w:b/>
                <w:bCs/>
                <w:color w:val="000000"/>
                <w:sz w:val="20"/>
                <w:szCs w:val="20"/>
                <w:lang w:eastAsia="es-GT"/>
              </w:rPr>
              <w:t>% de Ejecución</w:t>
            </w:r>
          </w:p>
        </w:tc>
      </w:tr>
      <w:tr w:rsidR="003D7B59" w:rsidRPr="003D7B59" w14:paraId="00E5EBAB" w14:textId="77777777" w:rsidTr="00E4773A">
        <w:trPr>
          <w:divId w:val="1914584246"/>
          <w:trHeight w:val="450"/>
        </w:trPr>
        <w:tc>
          <w:tcPr>
            <w:tcW w:w="5519" w:type="dxa"/>
            <w:vMerge/>
            <w:tcBorders>
              <w:top w:val="single" w:sz="8" w:space="0" w:color="auto"/>
              <w:left w:val="single" w:sz="8" w:space="0" w:color="auto"/>
              <w:bottom w:val="single" w:sz="8" w:space="0" w:color="000000"/>
              <w:right w:val="single" w:sz="8" w:space="0" w:color="auto"/>
            </w:tcBorders>
            <w:vAlign w:val="center"/>
            <w:hideMark/>
          </w:tcPr>
          <w:p w14:paraId="4A8C95CA" w14:textId="77777777" w:rsidR="003D7B59" w:rsidRPr="003D7B59" w:rsidRDefault="003D7B59" w:rsidP="003D7B59">
            <w:pPr>
              <w:spacing w:after="0" w:line="240" w:lineRule="auto"/>
              <w:rPr>
                <w:rFonts w:ascii="Times New Roman" w:eastAsia="Times New Roman" w:hAnsi="Times New Roman" w:cs="Times New Roman"/>
                <w:b/>
                <w:bCs/>
                <w:color w:val="000000"/>
                <w:sz w:val="20"/>
                <w:szCs w:val="20"/>
                <w:lang w:eastAsia="es-GT"/>
              </w:rPr>
            </w:pPr>
          </w:p>
        </w:tc>
        <w:tc>
          <w:tcPr>
            <w:tcW w:w="1185" w:type="dxa"/>
            <w:vMerge/>
            <w:tcBorders>
              <w:top w:val="single" w:sz="8" w:space="0" w:color="auto"/>
              <w:left w:val="single" w:sz="8" w:space="0" w:color="auto"/>
              <w:bottom w:val="single" w:sz="8" w:space="0" w:color="000000"/>
              <w:right w:val="single" w:sz="8" w:space="0" w:color="auto"/>
            </w:tcBorders>
            <w:vAlign w:val="center"/>
            <w:hideMark/>
          </w:tcPr>
          <w:p w14:paraId="0E5B5488" w14:textId="77777777" w:rsidR="003D7B59" w:rsidRPr="003D7B59" w:rsidRDefault="003D7B59" w:rsidP="003D7B59">
            <w:pPr>
              <w:spacing w:after="0" w:line="240" w:lineRule="auto"/>
              <w:rPr>
                <w:rFonts w:ascii="Times New Roman" w:eastAsia="Times New Roman" w:hAnsi="Times New Roman" w:cs="Times New Roman"/>
                <w:b/>
                <w:bCs/>
                <w:color w:val="000000"/>
                <w:sz w:val="20"/>
                <w:szCs w:val="20"/>
                <w:lang w:eastAsia="es-GT"/>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60C69954" w14:textId="77777777" w:rsidR="003D7B59" w:rsidRPr="003D7B59" w:rsidRDefault="003D7B59" w:rsidP="003D7B59">
            <w:pPr>
              <w:spacing w:after="0" w:line="240" w:lineRule="auto"/>
              <w:rPr>
                <w:rFonts w:ascii="Times New Roman" w:eastAsia="Times New Roman" w:hAnsi="Times New Roman" w:cs="Times New Roman"/>
                <w:b/>
                <w:bCs/>
                <w:color w:val="000000"/>
                <w:sz w:val="20"/>
                <w:szCs w:val="20"/>
                <w:lang w:eastAsia="es-GT"/>
              </w:rPr>
            </w:pPr>
          </w:p>
        </w:tc>
        <w:tc>
          <w:tcPr>
            <w:tcW w:w="1224" w:type="dxa"/>
            <w:vMerge/>
            <w:tcBorders>
              <w:top w:val="single" w:sz="8" w:space="0" w:color="auto"/>
              <w:left w:val="nil"/>
              <w:bottom w:val="single" w:sz="8" w:space="0" w:color="000000"/>
              <w:right w:val="single" w:sz="8" w:space="0" w:color="auto"/>
            </w:tcBorders>
            <w:vAlign w:val="center"/>
            <w:hideMark/>
          </w:tcPr>
          <w:p w14:paraId="3DF526FF" w14:textId="77777777" w:rsidR="003D7B59" w:rsidRPr="003D7B59" w:rsidRDefault="003D7B59" w:rsidP="003D7B59">
            <w:pPr>
              <w:spacing w:after="0" w:line="240" w:lineRule="auto"/>
              <w:rPr>
                <w:rFonts w:ascii="Times New Roman" w:eastAsia="Times New Roman" w:hAnsi="Times New Roman" w:cs="Times New Roman"/>
                <w:b/>
                <w:bCs/>
                <w:color w:val="000000"/>
                <w:sz w:val="20"/>
                <w:szCs w:val="20"/>
                <w:lang w:eastAsia="es-GT"/>
              </w:rPr>
            </w:pPr>
          </w:p>
        </w:tc>
      </w:tr>
      <w:tr w:rsidR="003D7B59" w:rsidRPr="003D7B59" w14:paraId="180071A3" w14:textId="77777777" w:rsidTr="00E4773A">
        <w:trPr>
          <w:divId w:val="1914584246"/>
          <w:trHeight w:val="330"/>
        </w:trPr>
        <w:tc>
          <w:tcPr>
            <w:tcW w:w="5519" w:type="dxa"/>
            <w:tcBorders>
              <w:top w:val="nil"/>
              <w:left w:val="single" w:sz="8" w:space="0" w:color="auto"/>
              <w:bottom w:val="nil"/>
              <w:right w:val="single" w:sz="8" w:space="0" w:color="auto"/>
            </w:tcBorders>
            <w:shd w:val="clear" w:color="auto" w:fill="auto"/>
            <w:noWrap/>
            <w:vAlign w:val="center"/>
            <w:hideMark/>
          </w:tcPr>
          <w:p w14:paraId="0F8EA93C" w14:textId="77777777" w:rsidR="003D7B59" w:rsidRPr="003D7B59" w:rsidRDefault="003D7B59" w:rsidP="003D7B59">
            <w:pPr>
              <w:spacing w:after="0" w:line="240" w:lineRule="auto"/>
              <w:jc w:val="center"/>
              <w:rPr>
                <w:rFonts w:ascii="Times New Roman" w:eastAsia="Times New Roman" w:hAnsi="Times New Roman" w:cs="Times New Roman"/>
                <w:b/>
                <w:bCs/>
                <w:color w:val="000000"/>
                <w:sz w:val="20"/>
                <w:szCs w:val="20"/>
                <w:lang w:eastAsia="es-GT"/>
              </w:rPr>
            </w:pPr>
            <w:r w:rsidRPr="003D7B59">
              <w:rPr>
                <w:rFonts w:ascii="Times New Roman" w:eastAsia="Times New Roman" w:hAnsi="Times New Roman" w:cs="Times New Roman"/>
                <w:b/>
                <w:bCs/>
                <w:color w:val="000000"/>
                <w:sz w:val="20"/>
                <w:szCs w:val="20"/>
                <w:lang w:eastAsia="es-GT"/>
              </w:rPr>
              <w:t>Total</w:t>
            </w:r>
          </w:p>
        </w:tc>
        <w:tc>
          <w:tcPr>
            <w:tcW w:w="1185" w:type="dxa"/>
            <w:tcBorders>
              <w:top w:val="nil"/>
              <w:left w:val="nil"/>
              <w:bottom w:val="nil"/>
              <w:right w:val="single" w:sz="8" w:space="0" w:color="auto"/>
            </w:tcBorders>
            <w:shd w:val="clear" w:color="auto" w:fill="auto"/>
            <w:noWrap/>
            <w:vAlign w:val="center"/>
            <w:hideMark/>
          </w:tcPr>
          <w:p w14:paraId="6EFF196B" w14:textId="77777777" w:rsidR="003D7B59" w:rsidRPr="003D7B59" w:rsidRDefault="003D7B59" w:rsidP="003D7B59">
            <w:pPr>
              <w:spacing w:after="0" w:line="240" w:lineRule="auto"/>
              <w:jc w:val="center"/>
              <w:rPr>
                <w:rFonts w:ascii="Times New Roman" w:eastAsia="Times New Roman" w:hAnsi="Times New Roman" w:cs="Times New Roman"/>
                <w:b/>
                <w:bCs/>
                <w:color w:val="000000"/>
                <w:sz w:val="20"/>
                <w:szCs w:val="20"/>
                <w:lang w:eastAsia="es-GT"/>
              </w:rPr>
            </w:pPr>
            <w:r w:rsidRPr="003D7B59">
              <w:rPr>
                <w:rFonts w:ascii="Times New Roman" w:eastAsia="Times New Roman" w:hAnsi="Times New Roman" w:cs="Times New Roman"/>
                <w:b/>
                <w:bCs/>
                <w:color w:val="000000"/>
                <w:sz w:val="20"/>
                <w:szCs w:val="20"/>
                <w:lang w:eastAsia="es-GT"/>
              </w:rPr>
              <w:t>356.1</w:t>
            </w:r>
          </w:p>
        </w:tc>
        <w:tc>
          <w:tcPr>
            <w:tcW w:w="1134" w:type="dxa"/>
            <w:tcBorders>
              <w:top w:val="nil"/>
              <w:left w:val="nil"/>
              <w:bottom w:val="nil"/>
              <w:right w:val="single" w:sz="8" w:space="0" w:color="auto"/>
            </w:tcBorders>
            <w:shd w:val="clear" w:color="auto" w:fill="auto"/>
            <w:noWrap/>
            <w:vAlign w:val="center"/>
            <w:hideMark/>
          </w:tcPr>
          <w:p w14:paraId="4B7F132C" w14:textId="77777777" w:rsidR="003D7B59" w:rsidRPr="003D7B59" w:rsidRDefault="003D7B59" w:rsidP="003D7B59">
            <w:pPr>
              <w:spacing w:after="0" w:line="240" w:lineRule="auto"/>
              <w:jc w:val="center"/>
              <w:rPr>
                <w:rFonts w:ascii="Times New Roman" w:eastAsia="Times New Roman" w:hAnsi="Times New Roman" w:cs="Times New Roman"/>
                <w:b/>
                <w:bCs/>
                <w:color w:val="000000"/>
                <w:sz w:val="20"/>
                <w:szCs w:val="20"/>
                <w:lang w:eastAsia="es-GT"/>
              </w:rPr>
            </w:pPr>
            <w:r w:rsidRPr="003D7B59">
              <w:rPr>
                <w:rFonts w:ascii="Times New Roman" w:eastAsia="Times New Roman" w:hAnsi="Times New Roman" w:cs="Times New Roman"/>
                <w:b/>
                <w:bCs/>
                <w:color w:val="000000"/>
                <w:sz w:val="20"/>
                <w:szCs w:val="20"/>
                <w:lang w:eastAsia="es-GT"/>
              </w:rPr>
              <w:t>86.7</w:t>
            </w:r>
          </w:p>
        </w:tc>
        <w:tc>
          <w:tcPr>
            <w:tcW w:w="1224" w:type="dxa"/>
            <w:tcBorders>
              <w:top w:val="nil"/>
              <w:left w:val="nil"/>
              <w:bottom w:val="nil"/>
              <w:right w:val="single" w:sz="8" w:space="0" w:color="auto"/>
            </w:tcBorders>
            <w:shd w:val="clear" w:color="auto" w:fill="auto"/>
            <w:noWrap/>
            <w:vAlign w:val="center"/>
            <w:hideMark/>
          </w:tcPr>
          <w:p w14:paraId="650F536D" w14:textId="77777777" w:rsidR="003D7B59" w:rsidRPr="003D7B59" w:rsidRDefault="003D7B59" w:rsidP="003D7B59">
            <w:pPr>
              <w:spacing w:after="0" w:line="240" w:lineRule="auto"/>
              <w:jc w:val="center"/>
              <w:rPr>
                <w:rFonts w:ascii="Times New Roman" w:eastAsia="Times New Roman" w:hAnsi="Times New Roman" w:cs="Times New Roman"/>
                <w:b/>
                <w:bCs/>
                <w:color w:val="000000"/>
                <w:sz w:val="20"/>
                <w:szCs w:val="20"/>
                <w:lang w:eastAsia="es-GT"/>
              </w:rPr>
            </w:pPr>
            <w:r w:rsidRPr="003D7B59">
              <w:rPr>
                <w:rFonts w:ascii="Times New Roman" w:eastAsia="Times New Roman" w:hAnsi="Times New Roman" w:cs="Times New Roman"/>
                <w:b/>
                <w:bCs/>
                <w:color w:val="000000"/>
                <w:sz w:val="20"/>
                <w:szCs w:val="20"/>
                <w:lang w:eastAsia="es-GT"/>
              </w:rPr>
              <w:t>24.3</w:t>
            </w:r>
          </w:p>
        </w:tc>
      </w:tr>
      <w:tr w:rsidR="003D7B59" w:rsidRPr="003D7B59" w14:paraId="2E49F99A" w14:textId="77777777" w:rsidTr="00E4773A">
        <w:trPr>
          <w:divId w:val="1914584246"/>
          <w:trHeight w:val="405"/>
        </w:trPr>
        <w:tc>
          <w:tcPr>
            <w:tcW w:w="5519" w:type="dxa"/>
            <w:tcBorders>
              <w:top w:val="nil"/>
              <w:left w:val="single" w:sz="8" w:space="0" w:color="auto"/>
              <w:bottom w:val="nil"/>
              <w:right w:val="single" w:sz="8" w:space="0" w:color="auto"/>
            </w:tcBorders>
            <w:shd w:val="clear" w:color="000000" w:fill="DBDBDB"/>
            <w:noWrap/>
            <w:vAlign w:val="center"/>
            <w:hideMark/>
          </w:tcPr>
          <w:p w14:paraId="6414496A" w14:textId="77777777" w:rsidR="003D7B59" w:rsidRPr="003D7B59" w:rsidRDefault="003D7B59" w:rsidP="003D7B59">
            <w:pPr>
              <w:spacing w:after="0" w:line="240" w:lineRule="auto"/>
              <w:rPr>
                <w:rFonts w:ascii="Times New Roman" w:eastAsia="Times New Roman" w:hAnsi="Times New Roman" w:cs="Times New Roman"/>
                <w:b/>
                <w:bCs/>
                <w:color w:val="000000"/>
                <w:sz w:val="20"/>
                <w:szCs w:val="20"/>
                <w:lang w:eastAsia="es-GT"/>
              </w:rPr>
            </w:pPr>
            <w:r w:rsidRPr="003D7B59">
              <w:rPr>
                <w:rFonts w:ascii="Times New Roman" w:eastAsia="Times New Roman" w:hAnsi="Times New Roman" w:cs="Times New Roman"/>
                <w:b/>
                <w:bCs/>
                <w:color w:val="000000"/>
                <w:sz w:val="20"/>
                <w:szCs w:val="20"/>
                <w:lang w:eastAsia="es-GT"/>
              </w:rPr>
              <w:t>Ministerio de Comunicaciones, Infraestructura y Vivienda</w:t>
            </w:r>
          </w:p>
        </w:tc>
        <w:tc>
          <w:tcPr>
            <w:tcW w:w="1185" w:type="dxa"/>
            <w:tcBorders>
              <w:top w:val="nil"/>
              <w:left w:val="nil"/>
              <w:bottom w:val="nil"/>
              <w:right w:val="single" w:sz="8" w:space="0" w:color="auto"/>
            </w:tcBorders>
            <w:shd w:val="clear" w:color="000000" w:fill="DBDBDB"/>
            <w:noWrap/>
            <w:vAlign w:val="center"/>
            <w:hideMark/>
          </w:tcPr>
          <w:p w14:paraId="7951411E" w14:textId="77777777" w:rsidR="003D7B59" w:rsidRPr="003D7B59" w:rsidRDefault="003D7B59" w:rsidP="003D7B59">
            <w:pPr>
              <w:spacing w:after="0" w:line="240" w:lineRule="auto"/>
              <w:jc w:val="center"/>
              <w:rPr>
                <w:rFonts w:ascii="Times New Roman" w:eastAsia="Times New Roman" w:hAnsi="Times New Roman" w:cs="Times New Roman"/>
                <w:b/>
                <w:bCs/>
                <w:color w:val="000000"/>
                <w:sz w:val="20"/>
                <w:szCs w:val="20"/>
                <w:lang w:eastAsia="es-GT"/>
              </w:rPr>
            </w:pPr>
            <w:r w:rsidRPr="003D7B59">
              <w:rPr>
                <w:rFonts w:ascii="Times New Roman" w:eastAsia="Times New Roman" w:hAnsi="Times New Roman" w:cs="Times New Roman"/>
                <w:b/>
                <w:bCs/>
                <w:color w:val="000000"/>
                <w:sz w:val="20"/>
                <w:szCs w:val="20"/>
                <w:lang w:eastAsia="es-GT"/>
              </w:rPr>
              <w:t>276.7</w:t>
            </w:r>
          </w:p>
        </w:tc>
        <w:tc>
          <w:tcPr>
            <w:tcW w:w="1134" w:type="dxa"/>
            <w:tcBorders>
              <w:top w:val="nil"/>
              <w:left w:val="nil"/>
              <w:bottom w:val="nil"/>
              <w:right w:val="single" w:sz="8" w:space="0" w:color="auto"/>
            </w:tcBorders>
            <w:shd w:val="clear" w:color="000000" w:fill="DBDBDB"/>
            <w:noWrap/>
            <w:vAlign w:val="center"/>
            <w:hideMark/>
          </w:tcPr>
          <w:p w14:paraId="3D3C2564" w14:textId="77777777" w:rsidR="003D7B59" w:rsidRPr="003D7B59" w:rsidRDefault="003D7B59" w:rsidP="003D7B59">
            <w:pPr>
              <w:spacing w:after="0" w:line="240" w:lineRule="auto"/>
              <w:jc w:val="center"/>
              <w:rPr>
                <w:rFonts w:ascii="Times New Roman" w:eastAsia="Times New Roman" w:hAnsi="Times New Roman" w:cs="Times New Roman"/>
                <w:b/>
                <w:bCs/>
                <w:color w:val="000000"/>
                <w:sz w:val="20"/>
                <w:szCs w:val="20"/>
                <w:lang w:eastAsia="es-GT"/>
              </w:rPr>
            </w:pPr>
            <w:r w:rsidRPr="003D7B59">
              <w:rPr>
                <w:rFonts w:ascii="Times New Roman" w:eastAsia="Times New Roman" w:hAnsi="Times New Roman" w:cs="Times New Roman"/>
                <w:b/>
                <w:bCs/>
                <w:color w:val="000000"/>
                <w:sz w:val="20"/>
                <w:szCs w:val="20"/>
                <w:lang w:eastAsia="es-GT"/>
              </w:rPr>
              <w:t>49.4</w:t>
            </w:r>
          </w:p>
        </w:tc>
        <w:tc>
          <w:tcPr>
            <w:tcW w:w="1224" w:type="dxa"/>
            <w:tcBorders>
              <w:top w:val="nil"/>
              <w:left w:val="nil"/>
              <w:bottom w:val="nil"/>
              <w:right w:val="single" w:sz="8" w:space="0" w:color="auto"/>
            </w:tcBorders>
            <w:shd w:val="clear" w:color="000000" w:fill="DBDBDB"/>
            <w:noWrap/>
            <w:vAlign w:val="center"/>
            <w:hideMark/>
          </w:tcPr>
          <w:p w14:paraId="47735328" w14:textId="77777777" w:rsidR="003D7B59" w:rsidRPr="003D7B59" w:rsidRDefault="003D7B59" w:rsidP="003D7B59">
            <w:pPr>
              <w:spacing w:after="0" w:line="240" w:lineRule="auto"/>
              <w:jc w:val="center"/>
              <w:rPr>
                <w:rFonts w:ascii="Times New Roman" w:eastAsia="Times New Roman" w:hAnsi="Times New Roman" w:cs="Times New Roman"/>
                <w:b/>
                <w:bCs/>
                <w:color w:val="000000"/>
                <w:sz w:val="20"/>
                <w:szCs w:val="20"/>
                <w:lang w:eastAsia="es-GT"/>
              </w:rPr>
            </w:pPr>
            <w:r w:rsidRPr="003D7B59">
              <w:rPr>
                <w:rFonts w:ascii="Times New Roman" w:eastAsia="Times New Roman" w:hAnsi="Times New Roman" w:cs="Times New Roman"/>
                <w:b/>
                <w:bCs/>
                <w:color w:val="000000"/>
                <w:sz w:val="20"/>
                <w:szCs w:val="20"/>
                <w:lang w:eastAsia="es-GT"/>
              </w:rPr>
              <w:t>17.8</w:t>
            </w:r>
          </w:p>
        </w:tc>
      </w:tr>
      <w:tr w:rsidR="003D7B59" w:rsidRPr="003D7B59" w14:paraId="7A37044E" w14:textId="77777777" w:rsidTr="00E4773A">
        <w:trPr>
          <w:divId w:val="1914584246"/>
          <w:trHeight w:val="600"/>
        </w:trPr>
        <w:tc>
          <w:tcPr>
            <w:tcW w:w="5519" w:type="dxa"/>
            <w:tcBorders>
              <w:top w:val="nil"/>
              <w:left w:val="single" w:sz="8" w:space="0" w:color="auto"/>
              <w:bottom w:val="nil"/>
              <w:right w:val="single" w:sz="8" w:space="0" w:color="auto"/>
            </w:tcBorders>
            <w:shd w:val="clear" w:color="auto" w:fill="auto"/>
            <w:vAlign w:val="center"/>
            <w:hideMark/>
          </w:tcPr>
          <w:p w14:paraId="66F95B24" w14:textId="77777777" w:rsidR="003D7B59" w:rsidRPr="003D7B59" w:rsidRDefault="003D7B59" w:rsidP="003D7B59">
            <w:pPr>
              <w:spacing w:after="0" w:line="240" w:lineRule="auto"/>
              <w:rPr>
                <w:rFonts w:ascii="Times New Roman" w:eastAsia="Times New Roman" w:hAnsi="Times New Roman" w:cs="Times New Roman"/>
                <w:color w:val="000000"/>
                <w:sz w:val="20"/>
                <w:szCs w:val="20"/>
                <w:lang w:eastAsia="es-GT"/>
              </w:rPr>
            </w:pPr>
            <w:r w:rsidRPr="003D7B59">
              <w:rPr>
                <w:rFonts w:ascii="Times New Roman" w:eastAsia="Times New Roman" w:hAnsi="Times New Roman" w:cs="Times New Roman"/>
                <w:color w:val="000000"/>
                <w:sz w:val="20"/>
                <w:szCs w:val="20"/>
                <w:lang w:eastAsia="es-GT"/>
              </w:rPr>
              <w:t>Intervenciones realizadas para la atención de daños provocados por</w:t>
            </w:r>
            <w:r w:rsidRPr="003D7B59">
              <w:rPr>
                <w:rFonts w:ascii="Times New Roman" w:eastAsia="Times New Roman" w:hAnsi="Times New Roman" w:cs="Times New Roman"/>
                <w:color w:val="000000"/>
                <w:sz w:val="20"/>
                <w:szCs w:val="20"/>
                <w:lang w:eastAsia="es-GT"/>
              </w:rPr>
              <w:br/>
              <w:t>Depresión Tropical ETA</w:t>
            </w:r>
          </w:p>
        </w:tc>
        <w:tc>
          <w:tcPr>
            <w:tcW w:w="1185" w:type="dxa"/>
            <w:tcBorders>
              <w:top w:val="nil"/>
              <w:left w:val="nil"/>
              <w:bottom w:val="nil"/>
              <w:right w:val="single" w:sz="8" w:space="0" w:color="auto"/>
            </w:tcBorders>
            <w:shd w:val="clear" w:color="auto" w:fill="auto"/>
            <w:vAlign w:val="center"/>
            <w:hideMark/>
          </w:tcPr>
          <w:p w14:paraId="072A57E3" w14:textId="77777777" w:rsidR="003D7B59" w:rsidRPr="003D7B59" w:rsidRDefault="003D7B59" w:rsidP="003D7B59">
            <w:pPr>
              <w:spacing w:after="0" w:line="240" w:lineRule="auto"/>
              <w:jc w:val="center"/>
              <w:rPr>
                <w:rFonts w:ascii="Times New Roman" w:eastAsia="Times New Roman" w:hAnsi="Times New Roman" w:cs="Times New Roman"/>
                <w:color w:val="000000"/>
                <w:sz w:val="20"/>
                <w:szCs w:val="20"/>
                <w:lang w:eastAsia="es-GT"/>
              </w:rPr>
            </w:pPr>
            <w:r w:rsidRPr="003D7B59">
              <w:rPr>
                <w:rFonts w:ascii="Times New Roman" w:eastAsia="Times New Roman" w:hAnsi="Times New Roman" w:cs="Times New Roman"/>
                <w:color w:val="000000"/>
                <w:sz w:val="20"/>
                <w:szCs w:val="20"/>
                <w:lang w:eastAsia="es-GT"/>
              </w:rPr>
              <w:t>276.7</w:t>
            </w:r>
          </w:p>
        </w:tc>
        <w:tc>
          <w:tcPr>
            <w:tcW w:w="1134" w:type="dxa"/>
            <w:tcBorders>
              <w:top w:val="nil"/>
              <w:left w:val="nil"/>
              <w:bottom w:val="nil"/>
              <w:right w:val="single" w:sz="8" w:space="0" w:color="auto"/>
            </w:tcBorders>
            <w:shd w:val="clear" w:color="auto" w:fill="auto"/>
            <w:noWrap/>
            <w:vAlign w:val="center"/>
            <w:hideMark/>
          </w:tcPr>
          <w:p w14:paraId="7E7A50D7" w14:textId="77777777" w:rsidR="003D7B59" w:rsidRPr="003D7B59" w:rsidRDefault="003D7B59" w:rsidP="003D7B59">
            <w:pPr>
              <w:spacing w:after="0" w:line="240" w:lineRule="auto"/>
              <w:jc w:val="center"/>
              <w:rPr>
                <w:rFonts w:ascii="Times New Roman" w:eastAsia="Times New Roman" w:hAnsi="Times New Roman" w:cs="Times New Roman"/>
                <w:color w:val="000000"/>
                <w:sz w:val="20"/>
                <w:szCs w:val="20"/>
                <w:lang w:eastAsia="es-GT"/>
              </w:rPr>
            </w:pPr>
            <w:r w:rsidRPr="003D7B59">
              <w:rPr>
                <w:rFonts w:ascii="Times New Roman" w:eastAsia="Times New Roman" w:hAnsi="Times New Roman" w:cs="Times New Roman"/>
                <w:color w:val="000000"/>
                <w:sz w:val="20"/>
                <w:szCs w:val="20"/>
                <w:lang w:eastAsia="es-GT"/>
              </w:rPr>
              <w:t>49.4</w:t>
            </w:r>
          </w:p>
        </w:tc>
        <w:tc>
          <w:tcPr>
            <w:tcW w:w="1224" w:type="dxa"/>
            <w:tcBorders>
              <w:top w:val="nil"/>
              <w:left w:val="nil"/>
              <w:bottom w:val="nil"/>
              <w:right w:val="single" w:sz="8" w:space="0" w:color="auto"/>
            </w:tcBorders>
            <w:shd w:val="clear" w:color="auto" w:fill="auto"/>
            <w:noWrap/>
            <w:vAlign w:val="center"/>
            <w:hideMark/>
          </w:tcPr>
          <w:p w14:paraId="357C3CD8" w14:textId="77777777" w:rsidR="003D7B59" w:rsidRPr="003D7B59" w:rsidRDefault="003D7B59" w:rsidP="003D7B59">
            <w:pPr>
              <w:spacing w:after="0" w:line="240" w:lineRule="auto"/>
              <w:jc w:val="center"/>
              <w:rPr>
                <w:rFonts w:ascii="Times New Roman" w:eastAsia="Times New Roman" w:hAnsi="Times New Roman" w:cs="Times New Roman"/>
                <w:color w:val="000000"/>
                <w:sz w:val="20"/>
                <w:szCs w:val="20"/>
                <w:lang w:eastAsia="es-GT"/>
              </w:rPr>
            </w:pPr>
            <w:r w:rsidRPr="003D7B59">
              <w:rPr>
                <w:rFonts w:ascii="Times New Roman" w:eastAsia="Times New Roman" w:hAnsi="Times New Roman" w:cs="Times New Roman"/>
                <w:color w:val="000000"/>
                <w:sz w:val="20"/>
                <w:szCs w:val="20"/>
                <w:lang w:eastAsia="es-GT"/>
              </w:rPr>
              <w:t>17.8</w:t>
            </w:r>
          </w:p>
        </w:tc>
      </w:tr>
      <w:tr w:rsidR="003D7B59" w:rsidRPr="003D7B59" w14:paraId="6CBF969F" w14:textId="77777777" w:rsidTr="00E4773A">
        <w:trPr>
          <w:divId w:val="1914584246"/>
          <w:trHeight w:val="435"/>
        </w:trPr>
        <w:tc>
          <w:tcPr>
            <w:tcW w:w="5519" w:type="dxa"/>
            <w:tcBorders>
              <w:top w:val="nil"/>
              <w:left w:val="single" w:sz="8" w:space="0" w:color="auto"/>
              <w:bottom w:val="nil"/>
              <w:right w:val="single" w:sz="8" w:space="0" w:color="auto"/>
            </w:tcBorders>
            <w:shd w:val="clear" w:color="000000" w:fill="DBDBDB"/>
            <w:noWrap/>
            <w:vAlign w:val="center"/>
            <w:hideMark/>
          </w:tcPr>
          <w:p w14:paraId="2BAD1C5F" w14:textId="77777777" w:rsidR="003D7B59" w:rsidRPr="003D7B59" w:rsidRDefault="003D7B59" w:rsidP="003D7B59">
            <w:pPr>
              <w:spacing w:after="0" w:line="240" w:lineRule="auto"/>
              <w:rPr>
                <w:rFonts w:ascii="Times New Roman" w:eastAsia="Times New Roman" w:hAnsi="Times New Roman" w:cs="Times New Roman"/>
                <w:b/>
                <w:bCs/>
                <w:color w:val="000000"/>
                <w:sz w:val="20"/>
                <w:szCs w:val="20"/>
                <w:lang w:eastAsia="es-GT"/>
              </w:rPr>
            </w:pPr>
            <w:r w:rsidRPr="003D7B59">
              <w:rPr>
                <w:rFonts w:ascii="Times New Roman" w:eastAsia="Times New Roman" w:hAnsi="Times New Roman" w:cs="Times New Roman"/>
                <w:b/>
                <w:bCs/>
                <w:color w:val="000000"/>
                <w:sz w:val="20"/>
                <w:szCs w:val="20"/>
                <w:lang w:eastAsia="es-GT"/>
              </w:rPr>
              <w:t>Ministerio de Desarrollo Social</w:t>
            </w:r>
          </w:p>
        </w:tc>
        <w:tc>
          <w:tcPr>
            <w:tcW w:w="1185" w:type="dxa"/>
            <w:tcBorders>
              <w:top w:val="nil"/>
              <w:left w:val="nil"/>
              <w:bottom w:val="nil"/>
              <w:right w:val="single" w:sz="8" w:space="0" w:color="auto"/>
            </w:tcBorders>
            <w:shd w:val="clear" w:color="000000" w:fill="DBDBDB"/>
            <w:noWrap/>
            <w:vAlign w:val="center"/>
            <w:hideMark/>
          </w:tcPr>
          <w:p w14:paraId="2B26420D" w14:textId="77777777" w:rsidR="003D7B59" w:rsidRPr="003D7B59" w:rsidRDefault="003D7B59" w:rsidP="003D7B59">
            <w:pPr>
              <w:spacing w:after="0" w:line="240" w:lineRule="auto"/>
              <w:jc w:val="center"/>
              <w:rPr>
                <w:rFonts w:ascii="Times New Roman" w:eastAsia="Times New Roman" w:hAnsi="Times New Roman" w:cs="Times New Roman"/>
                <w:b/>
                <w:bCs/>
                <w:color w:val="000000"/>
                <w:sz w:val="20"/>
                <w:szCs w:val="20"/>
                <w:lang w:eastAsia="es-GT"/>
              </w:rPr>
            </w:pPr>
            <w:r w:rsidRPr="003D7B59">
              <w:rPr>
                <w:rFonts w:ascii="Times New Roman" w:eastAsia="Times New Roman" w:hAnsi="Times New Roman" w:cs="Times New Roman"/>
                <w:b/>
                <w:bCs/>
                <w:color w:val="000000"/>
                <w:sz w:val="20"/>
                <w:szCs w:val="20"/>
                <w:lang w:eastAsia="es-GT"/>
              </w:rPr>
              <w:t>41.1</w:t>
            </w:r>
          </w:p>
        </w:tc>
        <w:tc>
          <w:tcPr>
            <w:tcW w:w="1134" w:type="dxa"/>
            <w:tcBorders>
              <w:top w:val="nil"/>
              <w:left w:val="nil"/>
              <w:bottom w:val="nil"/>
              <w:right w:val="single" w:sz="8" w:space="0" w:color="auto"/>
            </w:tcBorders>
            <w:shd w:val="clear" w:color="000000" w:fill="DBDBDB"/>
            <w:noWrap/>
            <w:vAlign w:val="bottom"/>
            <w:hideMark/>
          </w:tcPr>
          <w:p w14:paraId="75C0C8E2" w14:textId="77777777" w:rsidR="003D7B59" w:rsidRPr="003D7B59" w:rsidRDefault="003D7B59" w:rsidP="003D7B59">
            <w:pPr>
              <w:spacing w:after="0" w:line="240" w:lineRule="auto"/>
              <w:jc w:val="center"/>
              <w:rPr>
                <w:rFonts w:ascii="Times New Roman" w:eastAsia="Times New Roman" w:hAnsi="Times New Roman" w:cs="Times New Roman"/>
                <w:b/>
                <w:bCs/>
                <w:color w:val="000000"/>
                <w:sz w:val="20"/>
                <w:szCs w:val="20"/>
                <w:lang w:eastAsia="es-GT"/>
              </w:rPr>
            </w:pPr>
            <w:r w:rsidRPr="003D7B59">
              <w:rPr>
                <w:rFonts w:ascii="Times New Roman" w:eastAsia="Times New Roman" w:hAnsi="Times New Roman" w:cs="Times New Roman"/>
                <w:b/>
                <w:bCs/>
                <w:color w:val="000000"/>
                <w:sz w:val="20"/>
                <w:szCs w:val="20"/>
                <w:lang w:eastAsia="es-GT"/>
              </w:rPr>
              <w:t>22.9</w:t>
            </w:r>
          </w:p>
        </w:tc>
        <w:tc>
          <w:tcPr>
            <w:tcW w:w="1224" w:type="dxa"/>
            <w:tcBorders>
              <w:top w:val="nil"/>
              <w:left w:val="nil"/>
              <w:bottom w:val="nil"/>
              <w:right w:val="single" w:sz="8" w:space="0" w:color="auto"/>
            </w:tcBorders>
            <w:shd w:val="clear" w:color="000000" w:fill="DBDBDB"/>
            <w:noWrap/>
            <w:vAlign w:val="center"/>
            <w:hideMark/>
          </w:tcPr>
          <w:p w14:paraId="7FE76FF9" w14:textId="77777777" w:rsidR="003D7B59" w:rsidRPr="003D7B59" w:rsidRDefault="003D7B59" w:rsidP="003D7B59">
            <w:pPr>
              <w:spacing w:after="0" w:line="240" w:lineRule="auto"/>
              <w:jc w:val="center"/>
              <w:rPr>
                <w:rFonts w:ascii="Times New Roman" w:eastAsia="Times New Roman" w:hAnsi="Times New Roman" w:cs="Times New Roman"/>
                <w:b/>
                <w:bCs/>
                <w:color w:val="000000"/>
                <w:sz w:val="20"/>
                <w:szCs w:val="20"/>
                <w:lang w:eastAsia="es-GT"/>
              </w:rPr>
            </w:pPr>
            <w:r w:rsidRPr="003D7B59">
              <w:rPr>
                <w:rFonts w:ascii="Times New Roman" w:eastAsia="Times New Roman" w:hAnsi="Times New Roman" w:cs="Times New Roman"/>
                <w:b/>
                <w:bCs/>
                <w:color w:val="000000"/>
                <w:sz w:val="20"/>
                <w:szCs w:val="20"/>
                <w:lang w:eastAsia="es-GT"/>
              </w:rPr>
              <w:t>55.7</w:t>
            </w:r>
          </w:p>
        </w:tc>
      </w:tr>
      <w:tr w:rsidR="003D7B59" w:rsidRPr="003D7B59" w14:paraId="41404250" w14:textId="77777777" w:rsidTr="00E4773A">
        <w:trPr>
          <w:divId w:val="1914584246"/>
          <w:trHeight w:val="600"/>
        </w:trPr>
        <w:tc>
          <w:tcPr>
            <w:tcW w:w="5519" w:type="dxa"/>
            <w:tcBorders>
              <w:top w:val="nil"/>
              <w:left w:val="single" w:sz="8" w:space="0" w:color="auto"/>
              <w:bottom w:val="nil"/>
              <w:right w:val="single" w:sz="8" w:space="0" w:color="auto"/>
            </w:tcBorders>
            <w:shd w:val="clear" w:color="auto" w:fill="auto"/>
            <w:vAlign w:val="center"/>
            <w:hideMark/>
          </w:tcPr>
          <w:p w14:paraId="0D0232A6" w14:textId="77777777" w:rsidR="003D7B59" w:rsidRPr="003D7B59" w:rsidRDefault="003D7B59" w:rsidP="003D7B59">
            <w:pPr>
              <w:spacing w:after="0" w:line="240" w:lineRule="auto"/>
              <w:rPr>
                <w:rFonts w:ascii="Times New Roman" w:eastAsia="Times New Roman" w:hAnsi="Times New Roman" w:cs="Times New Roman"/>
                <w:color w:val="000000"/>
                <w:sz w:val="20"/>
                <w:szCs w:val="20"/>
                <w:lang w:eastAsia="es-GT"/>
              </w:rPr>
            </w:pPr>
            <w:r w:rsidRPr="003D7B59">
              <w:rPr>
                <w:rFonts w:ascii="Times New Roman" w:eastAsia="Times New Roman" w:hAnsi="Times New Roman" w:cs="Times New Roman"/>
                <w:color w:val="000000"/>
                <w:sz w:val="20"/>
                <w:szCs w:val="20"/>
                <w:lang w:eastAsia="es-GT"/>
              </w:rPr>
              <w:t>Intervenciones realizadas para la atención de daños provocados por</w:t>
            </w:r>
            <w:r w:rsidRPr="003D7B59">
              <w:rPr>
                <w:rFonts w:ascii="Times New Roman" w:eastAsia="Times New Roman" w:hAnsi="Times New Roman" w:cs="Times New Roman"/>
                <w:color w:val="000000"/>
                <w:sz w:val="20"/>
                <w:szCs w:val="20"/>
                <w:lang w:eastAsia="es-GT"/>
              </w:rPr>
              <w:br/>
              <w:t>Depresión Tropical ETA</w:t>
            </w:r>
          </w:p>
        </w:tc>
        <w:tc>
          <w:tcPr>
            <w:tcW w:w="1185" w:type="dxa"/>
            <w:tcBorders>
              <w:top w:val="nil"/>
              <w:left w:val="nil"/>
              <w:bottom w:val="nil"/>
              <w:right w:val="single" w:sz="8" w:space="0" w:color="auto"/>
            </w:tcBorders>
            <w:shd w:val="clear" w:color="auto" w:fill="auto"/>
            <w:noWrap/>
            <w:vAlign w:val="center"/>
            <w:hideMark/>
          </w:tcPr>
          <w:p w14:paraId="285DB88A" w14:textId="77777777" w:rsidR="003D7B59" w:rsidRPr="003D7B59" w:rsidRDefault="003D7B59" w:rsidP="003D7B59">
            <w:pPr>
              <w:spacing w:after="0" w:line="240" w:lineRule="auto"/>
              <w:jc w:val="center"/>
              <w:rPr>
                <w:rFonts w:ascii="Times New Roman" w:eastAsia="Times New Roman" w:hAnsi="Times New Roman" w:cs="Times New Roman"/>
                <w:color w:val="000000"/>
                <w:sz w:val="20"/>
                <w:szCs w:val="20"/>
                <w:lang w:eastAsia="es-GT"/>
              </w:rPr>
            </w:pPr>
            <w:r w:rsidRPr="003D7B59">
              <w:rPr>
                <w:rFonts w:ascii="Times New Roman" w:eastAsia="Times New Roman" w:hAnsi="Times New Roman" w:cs="Times New Roman"/>
                <w:color w:val="000000"/>
                <w:sz w:val="20"/>
                <w:szCs w:val="20"/>
                <w:lang w:eastAsia="es-GT"/>
              </w:rPr>
              <w:t>0.6</w:t>
            </w:r>
          </w:p>
        </w:tc>
        <w:tc>
          <w:tcPr>
            <w:tcW w:w="1134" w:type="dxa"/>
            <w:tcBorders>
              <w:top w:val="nil"/>
              <w:left w:val="nil"/>
              <w:bottom w:val="nil"/>
              <w:right w:val="single" w:sz="8" w:space="0" w:color="auto"/>
            </w:tcBorders>
            <w:shd w:val="clear" w:color="auto" w:fill="auto"/>
            <w:noWrap/>
            <w:vAlign w:val="center"/>
            <w:hideMark/>
          </w:tcPr>
          <w:p w14:paraId="2E7D3C62" w14:textId="77777777" w:rsidR="003D7B59" w:rsidRPr="003D7B59" w:rsidRDefault="003D7B59" w:rsidP="003D7B59">
            <w:pPr>
              <w:spacing w:after="0" w:line="240" w:lineRule="auto"/>
              <w:jc w:val="center"/>
              <w:rPr>
                <w:rFonts w:ascii="Times New Roman" w:eastAsia="Times New Roman" w:hAnsi="Times New Roman" w:cs="Times New Roman"/>
                <w:color w:val="000000"/>
                <w:sz w:val="20"/>
                <w:szCs w:val="20"/>
                <w:lang w:eastAsia="es-GT"/>
              </w:rPr>
            </w:pPr>
            <w:r w:rsidRPr="003D7B59">
              <w:rPr>
                <w:rFonts w:ascii="Times New Roman" w:eastAsia="Times New Roman" w:hAnsi="Times New Roman" w:cs="Times New Roman"/>
                <w:color w:val="000000"/>
                <w:sz w:val="20"/>
                <w:szCs w:val="20"/>
                <w:lang w:eastAsia="es-GT"/>
              </w:rPr>
              <w:t>0.0</w:t>
            </w:r>
          </w:p>
        </w:tc>
        <w:tc>
          <w:tcPr>
            <w:tcW w:w="1224" w:type="dxa"/>
            <w:tcBorders>
              <w:top w:val="nil"/>
              <w:left w:val="nil"/>
              <w:bottom w:val="nil"/>
              <w:right w:val="single" w:sz="8" w:space="0" w:color="auto"/>
            </w:tcBorders>
            <w:shd w:val="clear" w:color="auto" w:fill="auto"/>
            <w:noWrap/>
            <w:vAlign w:val="center"/>
            <w:hideMark/>
          </w:tcPr>
          <w:p w14:paraId="15824290" w14:textId="77777777" w:rsidR="003D7B59" w:rsidRPr="003D7B59" w:rsidRDefault="003D7B59" w:rsidP="003D7B59">
            <w:pPr>
              <w:spacing w:after="0" w:line="240" w:lineRule="auto"/>
              <w:jc w:val="center"/>
              <w:rPr>
                <w:rFonts w:ascii="Times New Roman" w:eastAsia="Times New Roman" w:hAnsi="Times New Roman" w:cs="Times New Roman"/>
                <w:color w:val="000000"/>
                <w:sz w:val="20"/>
                <w:szCs w:val="20"/>
                <w:lang w:eastAsia="es-GT"/>
              </w:rPr>
            </w:pPr>
            <w:r w:rsidRPr="003D7B59">
              <w:rPr>
                <w:rFonts w:ascii="Times New Roman" w:eastAsia="Times New Roman" w:hAnsi="Times New Roman" w:cs="Times New Roman"/>
                <w:color w:val="000000"/>
                <w:sz w:val="20"/>
                <w:szCs w:val="20"/>
                <w:lang w:eastAsia="es-GT"/>
              </w:rPr>
              <w:t>0.0</w:t>
            </w:r>
          </w:p>
        </w:tc>
      </w:tr>
      <w:tr w:rsidR="003D7B59" w:rsidRPr="003D7B59" w14:paraId="7241095B" w14:textId="77777777" w:rsidTr="00E4773A">
        <w:trPr>
          <w:divId w:val="1914584246"/>
          <w:trHeight w:val="300"/>
        </w:trPr>
        <w:tc>
          <w:tcPr>
            <w:tcW w:w="5519" w:type="dxa"/>
            <w:tcBorders>
              <w:top w:val="nil"/>
              <w:left w:val="single" w:sz="8" w:space="0" w:color="auto"/>
              <w:bottom w:val="nil"/>
              <w:right w:val="single" w:sz="8" w:space="0" w:color="auto"/>
            </w:tcBorders>
            <w:shd w:val="clear" w:color="auto" w:fill="auto"/>
            <w:vAlign w:val="bottom"/>
            <w:hideMark/>
          </w:tcPr>
          <w:p w14:paraId="593CD326" w14:textId="77777777" w:rsidR="003D7B59" w:rsidRPr="003D7B59" w:rsidRDefault="003D7B59" w:rsidP="003D7B59">
            <w:pPr>
              <w:spacing w:after="0" w:line="240" w:lineRule="auto"/>
              <w:rPr>
                <w:rFonts w:ascii="Times New Roman" w:eastAsia="Times New Roman" w:hAnsi="Times New Roman" w:cs="Times New Roman"/>
                <w:color w:val="000000"/>
                <w:sz w:val="20"/>
                <w:szCs w:val="20"/>
                <w:lang w:eastAsia="es-GT"/>
              </w:rPr>
            </w:pPr>
            <w:r w:rsidRPr="003D7B59">
              <w:rPr>
                <w:rFonts w:ascii="Times New Roman" w:eastAsia="Times New Roman" w:hAnsi="Times New Roman" w:cs="Times New Roman"/>
                <w:color w:val="000000"/>
                <w:sz w:val="20"/>
                <w:szCs w:val="20"/>
                <w:lang w:eastAsia="es-GT"/>
              </w:rPr>
              <w:t>Dotacion de alimentos en atención a la depresión tropical</w:t>
            </w:r>
          </w:p>
        </w:tc>
        <w:tc>
          <w:tcPr>
            <w:tcW w:w="1185" w:type="dxa"/>
            <w:tcBorders>
              <w:top w:val="nil"/>
              <w:left w:val="nil"/>
              <w:bottom w:val="nil"/>
              <w:right w:val="single" w:sz="8" w:space="0" w:color="auto"/>
            </w:tcBorders>
            <w:shd w:val="clear" w:color="auto" w:fill="auto"/>
            <w:vAlign w:val="center"/>
            <w:hideMark/>
          </w:tcPr>
          <w:p w14:paraId="0D7D3BB7" w14:textId="77777777" w:rsidR="003D7B59" w:rsidRPr="003D7B59" w:rsidRDefault="003D7B59" w:rsidP="003D7B59">
            <w:pPr>
              <w:spacing w:after="0" w:line="240" w:lineRule="auto"/>
              <w:jc w:val="center"/>
              <w:rPr>
                <w:rFonts w:ascii="Times New Roman" w:eastAsia="Times New Roman" w:hAnsi="Times New Roman" w:cs="Times New Roman"/>
                <w:color w:val="000000"/>
                <w:sz w:val="20"/>
                <w:szCs w:val="20"/>
                <w:lang w:eastAsia="es-GT"/>
              </w:rPr>
            </w:pPr>
            <w:r w:rsidRPr="003D7B59">
              <w:rPr>
                <w:rFonts w:ascii="Times New Roman" w:eastAsia="Times New Roman" w:hAnsi="Times New Roman" w:cs="Times New Roman"/>
                <w:color w:val="000000"/>
                <w:sz w:val="20"/>
                <w:szCs w:val="20"/>
                <w:lang w:eastAsia="es-GT"/>
              </w:rPr>
              <w:t>18.0</w:t>
            </w:r>
          </w:p>
        </w:tc>
        <w:tc>
          <w:tcPr>
            <w:tcW w:w="1134" w:type="dxa"/>
            <w:tcBorders>
              <w:top w:val="nil"/>
              <w:left w:val="nil"/>
              <w:bottom w:val="nil"/>
              <w:right w:val="single" w:sz="8" w:space="0" w:color="auto"/>
            </w:tcBorders>
            <w:shd w:val="clear" w:color="auto" w:fill="auto"/>
            <w:noWrap/>
            <w:vAlign w:val="center"/>
            <w:hideMark/>
          </w:tcPr>
          <w:p w14:paraId="186885F8" w14:textId="77777777" w:rsidR="003D7B59" w:rsidRPr="003D7B59" w:rsidRDefault="003D7B59" w:rsidP="003D7B59">
            <w:pPr>
              <w:spacing w:after="0" w:line="240" w:lineRule="auto"/>
              <w:jc w:val="center"/>
              <w:rPr>
                <w:rFonts w:ascii="Times New Roman" w:eastAsia="Times New Roman" w:hAnsi="Times New Roman" w:cs="Times New Roman"/>
                <w:color w:val="000000"/>
                <w:sz w:val="20"/>
                <w:szCs w:val="20"/>
                <w:lang w:eastAsia="es-GT"/>
              </w:rPr>
            </w:pPr>
            <w:r w:rsidRPr="003D7B59">
              <w:rPr>
                <w:rFonts w:ascii="Times New Roman" w:eastAsia="Times New Roman" w:hAnsi="Times New Roman" w:cs="Times New Roman"/>
                <w:color w:val="000000"/>
                <w:sz w:val="20"/>
                <w:szCs w:val="20"/>
                <w:lang w:eastAsia="es-GT"/>
              </w:rPr>
              <w:t>16.9</w:t>
            </w:r>
          </w:p>
        </w:tc>
        <w:tc>
          <w:tcPr>
            <w:tcW w:w="1224" w:type="dxa"/>
            <w:tcBorders>
              <w:top w:val="nil"/>
              <w:left w:val="nil"/>
              <w:bottom w:val="nil"/>
              <w:right w:val="single" w:sz="8" w:space="0" w:color="auto"/>
            </w:tcBorders>
            <w:shd w:val="clear" w:color="auto" w:fill="auto"/>
            <w:noWrap/>
            <w:vAlign w:val="center"/>
            <w:hideMark/>
          </w:tcPr>
          <w:p w14:paraId="7CE82E31" w14:textId="77777777" w:rsidR="003D7B59" w:rsidRPr="003D7B59" w:rsidRDefault="003D7B59" w:rsidP="003D7B59">
            <w:pPr>
              <w:spacing w:after="0" w:line="240" w:lineRule="auto"/>
              <w:jc w:val="center"/>
              <w:rPr>
                <w:rFonts w:ascii="Times New Roman" w:eastAsia="Times New Roman" w:hAnsi="Times New Roman" w:cs="Times New Roman"/>
                <w:color w:val="000000"/>
                <w:sz w:val="20"/>
                <w:szCs w:val="20"/>
                <w:lang w:eastAsia="es-GT"/>
              </w:rPr>
            </w:pPr>
            <w:r w:rsidRPr="003D7B59">
              <w:rPr>
                <w:rFonts w:ascii="Times New Roman" w:eastAsia="Times New Roman" w:hAnsi="Times New Roman" w:cs="Times New Roman"/>
                <w:color w:val="000000"/>
                <w:sz w:val="20"/>
                <w:szCs w:val="20"/>
                <w:lang w:eastAsia="es-GT"/>
              </w:rPr>
              <w:t>93.9</w:t>
            </w:r>
          </w:p>
        </w:tc>
      </w:tr>
      <w:tr w:rsidR="003D7B59" w:rsidRPr="003D7B59" w14:paraId="30B59B4E" w14:textId="77777777" w:rsidTr="00E4773A">
        <w:trPr>
          <w:divId w:val="1914584246"/>
          <w:trHeight w:val="300"/>
        </w:trPr>
        <w:tc>
          <w:tcPr>
            <w:tcW w:w="5519" w:type="dxa"/>
            <w:tcBorders>
              <w:top w:val="nil"/>
              <w:left w:val="single" w:sz="8" w:space="0" w:color="auto"/>
              <w:bottom w:val="nil"/>
              <w:right w:val="single" w:sz="8" w:space="0" w:color="auto"/>
            </w:tcBorders>
            <w:shd w:val="clear" w:color="auto" w:fill="auto"/>
            <w:vAlign w:val="bottom"/>
            <w:hideMark/>
          </w:tcPr>
          <w:p w14:paraId="4410D621" w14:textId="77777777" w:rsidR="003D7B59" w:rsidRPr="003D7B59" w:rsidRDefault="003D7B59" w:rsidP="003D7B59">
            <w:pPr>
              <w:spacing w:after="0" w:line="240" w:lineRule="auto"/>
              <w:rPr>
                <w:rFonts w:ascii="Times New Roman" w:eastAsia="Times New Roman" w:hAnsi="Times New Roman" w:cs="Times New Roman"/>
                <w:color w:val="000000"/>
                <w:sz w:val="20"/>
                <w:szCs w:val="20"/>
                <w:lang w:eastAsia="es-GT"/>
              </w:rPr>
            </w:pPr>
            <w:r w:rsidRPr="003D7B59">
              <w:rPr>
                <w:rFonts w:ascii="Times New Roman" w:eastAsia="Times New Roman" w:hAnsi="Times New Roman" w:cs="Times New Roman"/>
                <w:color w:val="000000"/>
                <w:sz w:val="20"/>
                <w:szCs w:val="20"/>
                <w:lang w:eastAsia="es-GT"/>
              </w:rPr>
              <w:t xml:space="preserve">Materiales de construcción y enseres </w:t>
            </w:r>
          </w:p>
        </w:tc>
        <w:tc>
          <w:tcPr>
            <w:tcW w:w="1185" w:type="dxa"/>
            <w:tcBorders>
              <w:top w:val="nil"/>
              <w:left w:val="nil"/>
              <w:bottom w:val="nil"/>
              <w:right w:val="single" w:sz="8" w:space="0" w:color="auto"/>
            </w:tcBorders>
            <w:shd w:val="clear" w:color="auto" w:fill="auto"/>
            <w:vAlign w:val="center"/>
            <w:hideMark/>
          </w:tcPr>
          <w:p w14:paraId="54F38362" w14:textId="77777777" w:rsidR="003D7B59" w:rsidRPr="003D7B59" w:rsidRDefault="003D7B59" w:rsidP="003D7B59">
            <w:pPr>
              <w:spacing w:after="0" w:line="240" w:lineRule="auto"/>
              <w:jc w:val="center"/>
              <w:rPr>
                <w:rFonts w:ascii="Times New Roman" w:eastAsia="Times New Roman" w:hAnsi="Times New Roman" w:cs="Times New Roman"/>
                <w:color w:val="000000"/>
                <w:sz w:val="20"/>
                <w:szCs w:val="20"/>
                <w:lang w:eastAsia="es-GT"/>
              </w:rPr>
            </w:pPr>
            <w:r w:rsidRPr="003D7B59">
              <w:rPr>
                <w:rFonts w:ascii="Times New Roman" w:eastAsia="Times New Roman" w:hAnsi="Times New Roman" w:cs="Times New Roman"/>
                <w:color w:val="000000"/>
                <w:sz w:val="20"/>
                <w:szCs w:val="20"/>
                <w:lang w:eastAsia="es-GT"/>
              </w:rPr>
              <w:t>21.4</w:t>
            </w:r>
          </w:p>
        </w:tc>
        <w:tc>
          <w:tcPr>
            <w:tcW w:w="1134" w:type="dxa"/>
            <w:tcBorders>
              <w:top w:val="nil"/>
              <w:left w:val="nil"/>
              <w:bottom w:val="nil"/>
              <w:right w:val="single" w:sz="8" w:space="0" w:color="auto"/>
            </w:tcBorders>
            <w:shd w:val="clear" w:color="auto" w:fill="auto"/>
            <w:noWrap/>
            <w:vAlign w:val="center"/>
            <w:hideMark/>
          </w:tcPr>
          <w:p w14:paraId="1D0426D0" w14:textId="77777777" w:rsidR="003D7B59" w:rsidRPr="003D7B59" w:rsidRDefault="003D7B59" w:rsidP="003D7B59">
            <w:pPr>
              <w:spacing w:after="0" w:line="240" w:lineRule="auto"/>
              <w:jc w:val="center"/>
              <w:rPr>
                <w:rFonts w:ascii="Times New Roman" w:eastAsia="Times New Roman" w:hAnsi="Times New Roman" w:cs="Times New Roman"/>
                <w:color w:val="000000"/>
                <w:sz w:val="20"/>
                <w:szCs w:val="20"/>
                <w:lang w:eastAsia="es-GT"/>
              </w:rPr>
            </w:pPr>
            <w:r w:rsidRPr="003D7B59">
              <w:rPr>
                <w:rFonts w:ascii="Times New Roman" w:eastAsia="Times New Roman" w:hAnsi="Times New Roman" w:cs="Times New Roman"/>
                <w:color w:val="000000"/>
                <w:sz w:val="20"/>
                <w:szCs w:val="20"/>
                <w:lang w:eastAsia="es-GT"/>
              </w:rPr>
              <w:t>5.0</w:t>
            </w:r>
          </w:p>
        </w:tc>
        <w:tc>
          <w:tcPr>
            <w:tcW w:w="1224" w:type="dxa"/>
            <w:tcBorders>
              <w:top w:val="nil"/>
              <w:left w:val="nil"/>
              <w:bottom w:val="nil"/>
              <w:right w:val="single" w:sz="8" w:space="0" w:color="auto"/>
            </w:tcBorders>
            <w:shd w:val="clear" w:color="auto" w:fill="auto"/>
            <w:noWrap/>
            <w:vAlign w:val="center"/>
            <w:hideMark/>
          </w:tcPr>
          <w:p w14:paraId="4351B5BB" w14:textId="77777777" w:rsidR="003D7B59" w:rsidRPr="003D7B59" w:rsidRDefault="003D7B59" w:rsidP="003D7B59">
            <w:pPr>
              <w:spacing w:after="0" w:line="240" w:lineRule="auto"/>
              <w:jc w:val="center"/>
              <w:rPr>
                <w:rFonts w:ascii="Times New Roman" w:eastAsia="Times New Roman" w:hAnsi="Times New Roman" w:cs="Times New Roman"/>
                <w:color w:val="000000"/>
                <w:sz w:val="20"/>
                <w:szCs w:val="20"/>
                <w:lang w:eastAsia="es-GT"/>
              </w:rPr>
            </w:pPr>
            <w:r w:rsidRPr="003D7B59">
              <w:rPr>
                <w:rFonts w:ascii="Times New Roman" w:eastAsia="Times New Roman" w:hAnsi="Times New Roman" w:cs="Times New Roman"/>
                <w:color w:val="000000"/>
                <w:sz w:val="20"/>
                <w:szCs w:val="20"/>
                <w:lang w:eastAsia="es-GT"/>
              </w:rPr>
              <w:t>23.2</w:t>
            </w:r>
          </w:p>
        </w:tc>
      </w:tr>
      <w:tr w:rsidR="003D7B59" w:rsidRPr="003D7B59" w14:paraId="3EFE2024" w14:textId="77777777" w:rsidTr="00E4773A">
        <w:trPr>
          <w:divId w:val="1914584246"/>
          <w:trHeight w:val="600"/>
        </w:trPr>
        <w:tc>
          <w:tcPr>
            <w:tcW w:w="5519" w:type="dxa"/>
            <w:tcBorders>
              <w:top w:val="nil"/>
              <w:left w:val="single" w:sz="8" w:space="0" w:color="auto"/>
              <w:bottom w:val="nil"/>
              <w:right w:val="single" w:sz="8" w:space="0" w:color="auto"/>
            </w:tcBorders>
            <w:shd w:val="clear" w:color="auto" w:fill="auto"/>
            <w:vAlign w:val="bottom"/>
            <w:hideMark/>
          </w:tcPr>
          <w:p w14:paraId="4213C70B" w14:textId="77777777" w:rsidR="003D7B59" w:rsidRPr="003D7B59" w:rsidRDefault="003D7B59" w:rsidP="003D7B59">
            <w:pPr>
              <w:spacing w:after="0" w:line="240" w:lineRule="auto"/>
              <w:rPr>
                <w:rFonts w:ascii="Times New Roman" w:eastAsia="Times New Roman" w:hAnsi="Times New Roman" w:cs="Times New Roman"/>
                <w:color w:val="000000"/>
                <w:sz w:val="20"/>
                <w:szCs w:val="20"/>
                <w:lang w:eastAsia="es-GT"/>
              </w:rPr>
            </w:pPr>
            <w:r w:rsidRPr="003D7B59">
              <w:rPr>
                <w:rFonts w:ascii="Times New Roman" w:eastAsia="Times New Roman" w:hAnsi="Times New Roman" w:cs="Times New Roman"/>
                <w:color w:val="000000"/>
                <w:sz w:val="20"/>
                <w:szCs w:val="20"/>
                <w:lang w:eastAsia="es-GT"/>
              </w:rPr>
              <w:t>Raciones de alimentos para personas atendidas por la emergencia causada</w:t>
            </w:r>
          </w:p>
        </w:tc>
        <w:tc>
          <w:tcPr>
            <w:tcW w:w="1185" w:type="dxa"/>
            <w:tcBorders>
              <w:top w:val="nil"/>
              <w:left w:val="nil"/>
              <w:bottom w:val="nil"/>
              <w:right w:val="single" w:sz="8" w:space="0" w:color="auto"/>
            </w:tcBorders>
            <w:shd w:val="clear" w:color="auto" w:fill="auto"/>
            <w:vAlign w:val="center"/>
            <w:hideMark/>
          </w:tcPr>
          <w:p w14:paraId="0BC7C452" w14:textId="77777777" w:rsidR="003D7B59" w:rsidRPr="003D7B59" w:rsidRDefault="003D7B59" w:rsidP="003D7B59">
            <w:pPr>
              <w:spacing w:after="0" w:line="240" w:lineRule="auto"/>
              <w:jc w:val="center"/>
              <w:rPr>
                <w:rFonts w:ascii="Times New Roman" w:eastAsia="Times New Roman" w:hAnsi="Times New Roman" w:cs="Times New Roman"/>
                <w:color w:val="000000"/>
                <w:sz w:val="20"/>
                <w:szCs w:val="20"/>
                <w:lang w:eastAsia="es-GT"/>
              </w:rPr>
            </w:pPr>
            <w:r w:rsidRPr="003D7B59">
              <w:rPr>
                <w:rFonts w:ascii="Times New Roman" w:eastAsia="Times New Roman" w:hAnsi="Times New Roman" w:cs="Times New Roman"/>
                <w:color w:val="000000"/>
                <w:sz w:val="20"/>
                <w:szCs w:val="20"/>
                <w:lang w:eastAsia="es-GT"/>
              </w:rPr>
              <w:t>1.1</w:t>
            </w:r>
          </w:p>
        </w:tc>
        <w:tc>
          <w:tcPr>
            <w:tcW w:w="1134" w:type="dxa"/>
            <w:tcBorders>
              <w:top w:val="nil"/>
              <w:left w:val="nil"/>
              <w:bottom w:val="nil"/>
              <w:right w:val="single" w:sz="8" w:space="0" w:color="auto"/>
            </w:tcBorders>
            <w:shd w:val="clear" w:color="auto" w:fill="auto"/>
            <w:noWrap/>
            <w:vAlign w:val="center"/>
            <w:hideMark/>
          </w:tcPr>
          <w:p w14:paraId="09C330AB" w14:textId="77777777" w:rsidR="003D7B59" w:rsidRPr="003D7B59" w:rsidRDefault="003D7B59" w:rsidP="003D7B59">
            <w:pPr>
              <w:spacing w:after="0" w:line="240" w:lineRule="auto"/>
              <w:jc w:val="center"/>
              <w:rPr>
                <w:rFonts w:ascii="Times New Roman" w:eastAsia="Times New Roman" w:hAnsi="Times New Roman" w:cs="Times New Roman"/>
                <w:color w:val="000000"/>
                <w:sz w:val="20"/>
                <w:szCs w:val="20"/>
                <w:lang w:eastAsia="es-GT"/>
              </w:rPr>
            </w:pPr>
            <w:r w:rsidRPr="003D7B59">
              <w:rPr>
                <w:rFonts w:ascii="Times New Roman" w:eastAsia="Times New Roman" w:hAnsi="Times New Roman" w:cs="Times New Roman"/>
                <w:color w:val="000000"/>
                <w:sz w:val="20"/>
                <w:szCs w:val="20"/>
                <w:lang w:eastAsia="es-GT"/>
              </w:rPr>
              <w:t>1.0</w:t>
            </w:r>
          </w:p>
        </w:tc>
        <w:tc>
          <w:tcPr>
            <w:tcW w:w="1224" w:type="dxa"/>
            <w:tcBorders>
              <w:top w:val="nil"/>
              <w:left w:val="nil"/>
              <w:bottom w:val="nil"/>
              <w:right w:val="single" w:sz="8" w:space="0" w:color="auto"/>
            </w:tcBorders>
            <w:shd w:val="clear" w:color="auto" w:fill="auto"/>
            <w:noWrap/>
            <w:vAlign w:val="center"/>
            <w:hideMark/>
          </w:tcPr>
          <w:p w14:paraId="202ED069" w14:textId="77777777" w:rsidR="003D7B59" w:rsidRPr="003D7B59" w:rsidRDefault="003D7B59" w:rsidP="003D7B59">
            <w:pPr>
              <w:spacing w:after="0" w:line="240" w:lineRule="auto"/>
              <w:jc w:val="center"/>
              <w:rPr>
                <w:rFonts w:ascii="Times New Roman" w:eastAsia="Times New Roman" w:hAnsi="Times New Roman" w:cs="Times New Roman"/>
                <w:color w:val="000000"/>
                <w:sz w:val="20"/>
                <w:szCs w:val="20"/>
                <w:lang w:eastAsia="es-GT"/>
              </w:rPr>
            </w:pPr>
            <w:r w:rsidRPr="003D7B59">
              <w:rPr>
                <w:rFonts w:ascii="Times New Roman" w:eastAsia="Times New Roman" w:hAnsi="Times New Roman" w:cs="Times New Roman"/>
                <w:color w:val="000000"/>
                <w:sz w:val="20"/>
                <w:szCs w:val="20"/>
                <w:lang w:eastAsia="es-GT"/>
              </w:rPr>
              <w:t>89.9</w:t>
            </w:r>
          </w:p>
        </w:tc>
      </w:tr>
      <w:tr w:rsidR="003D7B59" w:rsidRPr="003D7B59" w14:paraId="10A9CC9A" w14:textId="77777777" w:rsidTr="00E4773A">
        <w:trPr>
          <w:divId w:val="1914584246"/>
          <w:trHeight w:val="465"/>
        </w:trPr>
        <w:tc>
          <w:tcPr>
            <w:tcW w:w="5519" w:type="dxa"/>
            <w:tcBorders>
              <w:top w:val="nil"/>
              <w:left w:val="single" w:sz="8" w:space="0" w:color="auto"/>
              <w:bottom w:val="nil"/>
              <w:right w:val="single" w:sz="8" w:space="0" w:color="auto"/>
            </w:tcBorders>
            <w:shd w:val="clear" w:color="000000" w:fill="DBDBDB"/>
            <w:noWrap/>
            <w:vAlign w:val="center"/>
            <w:hideMark/>
          </w:tcPr>
          <w:p w14:paraId="3623D04F" w14:textId="77777777" w:rsidR="003D7B59" w:rsidRPr="003D7B59" w:rsidRDefault="003D7B59" w:rsidP="003D7B59">
            <w:pPr>
              <w:spacing w:after="0" w:line="240" w:lineRule="auto"/>
              <w:rPr>
                <w:rFonts w:ascii="Times New Roman" w:eastAsia="Times New Roman" w:hAnsi="Times New Roman" w:cs="Times New Roman"/>
                <w:b/>
                <w:bCs/>
                <w:color w:val="000000"/>
                <w:sz w:val="20"/>
                <w:szCs w:val="20"/>
                <w:lang w:eastAsia="es-GT"/>
              </w:rPr>
            </w:pPr>
            <w:r w:rsidRPr="003D7B59">
              <w:rPr>
                <w:rFonts w:ascii="Times New Roman" w:eastAsia="Times New Roman" w:hAnsi="Times New Roman" w:cs="Times New Roman"/>
                <w:b/>
                <w:bCs/>
                <w:color w:val="000000"/>
                <w:sz w:val="20"/>
                <w:szCs w:val="20"/>
                <w:lang w:eastAsia="es-GT"/>
              </w:rPr>
              <w:t xml:space="preserve">Obligaciones del Estado a Cargo del Tesoro </w:t>
            </w:r>
          </w:p>
        </w:tc>
        <w:tc>
          <w:tcPr>
            <w:tcW w:w="1185" w:type="dxa"/>
            <w:tcBorders>
              <w:top w:val="nil"/>
              <w:left w:val="nil"/>
              <w:bottom w:val="nil"/>
              <w:right w:val="single" w:sz="8" w:space="0" w:color="auto"/>
            </w:tcBorders>
            <w:shd w:val="clear" w:color="000000" w:fill="DBDBDB"/>
            <w:noWrap/>
            <w:vAlign w:val="center"/>
            <w:hideMark/>
          </w:tcPr>
          <w:p w14:paraId="16FB2844" w14:textId="77777777" w:rsidR="003D7B59" w:rsidRPr="003D7B59" w:rsidRDefault="003D7B59" w:rsidP="003D7B59">
            <w:pPr>
              <w:spacing w:after="0" w:line="240" w:lineRule="auto"/>
              <w:jc w:val="center"/>
              <w:rPr>
                <w:rFonts w:ascii="Times New Roman" w:eastAsia="Times New Roman" w:hAnsi="Times New Roman" w:cs="Times New Roman"/>
                <w:b/>
                <w:bCs/>
                <w:color w:val="000000"/>
                <w:sz w:val="20"/>
                <w:szCs w:val="20"/>
                <w:lang w:eastAsia="es-GT"/>
              </w:rPr>
            </w:pPr>
            <w:r w:rsidRPr="003D7B59">
              <w:rPr>
                <w:rFonts w:ascii="Times New Roman" w:eastAsia="Times New Roman" w:hAnsi="Times New Roman" w:cs="Times New Roman"/>
                <w:b/>
                <w:bCs/>
                <w:color w:val="000000"/>
                <w:sz w:val="20"/>
                <w:szCs w:val="20"/>
                <w:lang w:eastAsia="es-GT"/>
              </w:rPr>
              <w:t>10.0</w:t>
            </w:r>
          </w:p>
        </w:tc>
        <w:tc>
          <w:tcPr>
            <w:tcW w:w="1134" w:type="dxa"/>
            <w:tcBorders>
              <w:top w:val="nil"/>
              <w:left w:val="nil"/>
              <w:bottom w:val="nil"/>
              <w:right w:val="single" w:sz="8" w:space="0" w:color="auto"/>
            </w:tcBorders>
            <w:shd w:val="clear" w:color="000000" w:fill="DBDBDB"/>
            <w:noWrap/>
            <w:vAlign w:val="center"/>
            <w:hideMark/>
          </w:tcPr>
          <w:p w14:paraId="3C4469B5" w14:textId="77777777" w:rsidR="003D7B59" w:rsidRPr="003D7B59" w:rsidRDefault="003D7B59" w:rsidP="003D7B59">
            <w:pPr>
              <w:spacing w:after="0" w:line="240" w:lineRule="auto"/>
              <w:jc w:val="center"/>
              <w:rPr>
                <w:rFonts w:ascii="Times New Roman" w:eastAsia="Times New Roman" w:hAnsi="Times New Roman" w:cs="Times New Roman"/>
                <w:b/>
                <w:bCs/>
                <w:color w:val="000000"/>
                <w:sz w:val="20"/>
                <w:szCs w:val="20"/>
                <w:lang w:eastAsia="es-GT"/>
              </w:rPr>
            </w:pPr>
            <w:r w:rsidRPr="003D7B59">
              <w:rPr>
                <w:rFonts w:ascii="Times New Roman" w:eastAsia="Times New Roman" w:hAnsi="Times New Roman" w:cs="Times New Roman"/>
                <w:b/>
                <w:bCs/>
                <w:color w:val="000000"/>
                <w:sz w:val="20"/>
                <w:szCs w:val="20"/>
                <w:lang w:eastAsia="es-GT"/>
              </w:rPr>
              <w:t>10.0</w:t>
            </w:r>
          </w:p>
        </w:tc>
        <w:tc>
          <w:tcPr>
            <w:tcW w:w="1224" w:type="dxa"/>
            <w:tcBorders>
              <w:top w:val="nil"/>
              <w:left w:val="nil"/>
              <w:bottom w:val="nil"/>
              <w:right w:val="single" w:sz="8" w:space="0" w:color="auto"/>
            </w:tcBorders>
            <w:shd w:val="clear" w:color="000000" w:fill="DBDBDB"/>
            <w:noWrap/>
            <w:vAlign w:val="center"/>
            <w:hideMark/>
          </w:tcPr>
          <w:p w14:paraId="279816A7" w14:textId="77777777" w:rsidR="003D7B59" w:rsidRPr="003D7B59" w:rsidRDefault="003D7B59" w:rsidP="003D7B59">
            <w:pPr>
              <w:spacing w:after="0" w:line="240" w:lineRule="auto"/>
              <w:jc w:val="center"/>
              <w:rPr>
                <w:rFonts w:ascii="Times New Roman" w:eastAsia="Times New Roman" w:hAnsi="Times New Roman" w:cs="Times New Roman"/>
                <w:b/>
                <w:bCs/>
                <w:color w:val="000000"/>
                <w:sz w:val="20"/>
                <w:szCs w:val="20"/>
                <w:lang w:eastAsia="es-GT"/>
              </w:rPr>
            </w:pPr>
            <w:r w:rsidRPr="003D7B59">
              <w:rPr>
                <w:rFonts w:ascii="Times New Roman" w:eastAsia="Times New Roman" w:hAnsi="Times New Roman" w:cs="Times New Roman"/>
                <w:b/>
                <w:bCs/>
                <w:color w:val="000000"/>
                <w:sz w:val="20"/>
                <w:szCs w:val="20"/>
                <w:lang w:eastAsia="es-GT"/>
              </w:rPr>
              <w:t>100.0</w:t>
            </w:r>
          </w:p>
        </w:tc>
      </w:tr>
      <w:tr w:rsidR="003D7B59" w:rsidRPr="003D7B59" w14:paraId="30ECD497" w14:textId="77777777" w:rsidTr="00E4773A">
        <w:trPr>
          <w:divId w:val="1914584246"/>
          <w:trHeight w:val="300"/>
        </w:trPr>
        <w:tc>
          <w:tcPr>
            <w:tcW w:w="5519" w:type="dxa"/>
            <w:tcBorders>
              <w:top w:val="nil"/>
              <w:left w:val="single" w:sz="8" w:space="0" w:color="auto"/>
              <w:bottom w:val="nil"/>
              <w:right w:val="single" w:sz="8" w:space="0" w:color="auto"/>
            </w:tcBorders>
            <w:shd w:val="clear" w:color="auto" w:fill="auto"/>
            <w:vAlign w:val="bottom"/>
            <w:hideMark/>
          </w:tcPr>
          <w:p w14:paraId="5D1AF1CE" w14:textId="77777777" w:rsidR="003D7B59" w:rsidRPr="003D7B59" w:rsidRDefault="003D7B59" w:rsidP="003D7B59">
            <w:pPr>
              <w:spacing w:after="0" w:line="240" w:lineRule="auto"/>
              <w:rPr>
                <w:rFonts w:ascii="Times New Roman" w:eastAsia="Times New Roman" w:hAnsi="Times New Roman" w:cs="Times New Roman"/>
                <w:color w:val="000000"/>
                <w:sz w:val="20"/>
                <w:szCs w:val="20"/>
                <w:lang w:eastAsia="es-GT"/>
              </w:rPr>
            </w:pPr>
            <w:r w:rsidRPr="003D7B59">
              <w:rPr>
                <w:rFonts w:ascii="Times New Roman" w:eastAsia="Times New Roman" w:hAnsi="Times New Roman" w:cs="Times New Roman"/>
                <w:color w:val="000000"/>
                <w:sz w:val="20"/>
                <w:szCs w:val="20"/>
                <w:lang w:eastAsia="es-GT"/>
              </w:rPr>
              <w:t>Transferencia al Registro Nacional de las Personas (RENAP)</w:t>
            </w:r>
          </w:p>
        </w:tc>
        <w:tc>
          <w:tcPr>
            <w:tcW w:w="1185" w:type="dxa"/>
            <w:tcBorders>
              <w:top w:val="nil"/>
              <w:left w:val="nil"/>
              <w:bottom w:val="nil"/>
              <w:right w:val="single" w:sz="8" w:space="0" w:color="auto"/>
            </w:tcBorders>
            <w:shd w:val="clear" w:color="auto" w:fill="auto"/>
            <w:vAlign w:val="center"/>
            <w:hideMark/>
          </w:tcPr>
          <w:p w14:paraId="6DBB5F13" w14:textId="77777777" w:rsidR="003D7B59" w:rsidRPr="003D7B59" w:rsidRDefault="003D7B59" w:rsidP="003D7B59">
            <w:pPr>
              <w:spacing w:after="0" w:line="240" w:lineRule="auto"/>
              <w:jc w:val="center"/>
              <w:rPr>
                <w:rFonts w:ascii="Times New Roman" w:eastAsia="Times New Roman" w:hAnsi="Times New Roman" w:cs="Times New Roman"/>
                <w:color w:val="000000"/>
                <w:sz w:val="20"/>
                <w:szCs w:val="20"/>
                <w:lang w:eastAsia="es-GT"/>
              </w:rPr>
            </w:pPr>
            <w:r w:rsidRPr="003D7B59">
              <w:rPr>
                <w:rFonts w:ascii="Times New Roman" w:eastAsia="Times New Roman" w:hAnsi="Times New Roman" w:cs="Times New Roman"/>
                <w:color w:val="000000"/>
                <w:sz w:val="20"/>
                <w:szCs w:val="20"/>
                <w:lang w:eastAsia="es-GT"/>
              </w:rPr>
              <w:t>10.0</w:t>
            </w:r>
          </w:p>
        </w:tc>
        <w:tc>
          <w:tcPr>
            <w:tcW w:w="1134" w:type="dxa"/>
            <w:tcBorders>
              <w:top w:val="nil"/>
              <w:left w:val="nil"/>
              <w:bottom w:val="nil"/>
              <w:right w:val="single" w:sz="8" w:space="0" w:color="auto"/>
            </w:tcBorders>
            <w:shd w:val="clear" w:color="auto" w:fill="auto"/>
            <w:noWrap/>
            <w:vAlign w:val="center"/>
            <w:hideMark/>
          </w:tcPr>
          <w:p w14:paraId="483B43AE" w14:textId="77777777" w:rsidR="003D7B59" w:rsidRPr="003D7B59" w:rsidRDefault="003D7B59" w:rsidP="003D7B59">
            <w:pPr>
              <w:spacing w:after="0" w:line="240" w:lineRule="auto"/>
              <w:jc w:val="center"/>
              <w:rPr>
                <w:rFonts w:ascii="Times New Roman" w:eastAsia="Times New Roman" w:hAnsi="Times New Roman" w:cs="Times New Roman"/>
                <w:color w:val="000000"/>
                <w:sz w:val="20"/>
                <w:szCs w:val="20"/>
                <w:lang w:eastAsia="es-GT"/>
              </w:rPr>
            </w:pPr>
            <w:r w:rsidRPr="003D7B59">
              <w:rPr>
                <w:rFonts w:ascii="Times New Roman" w:eastAsia="Times New Roman" w:hAnsi="Times New Roman" w:cs="Times New Roman"/>
                <w:color w:val="000000"/>
                <w:sz w:val="20"/>
                <w:szCs w:val="20"/>
                <w:lang w:eastAsia="es-GT"/>
              </w:rPr>
              <w:t>10.0</w:t>
            </w:r>
          </w:p>
        </w:tc>
        <w:tc>
          <w:tcPr>
            <w:tcW w:w="1224" w:type="dxa"/>
            <w:tcBorders>
              <w:top w:val="nil"/>
              <w:left w:val="nil"/>
              <w:bottom w:val="nil"/>
              <w:right w:val="single" w:sz="8" w:space="0" w:color="auto"/>
            </w:tcBorders>
            <w:shd w:val="clear" w:color="auto" w:fill="auto"/>
            <w:noWrap/>
            <w:vAlign w:val="center"/>
            <w:hideMark/>
          </w:tcPr>
          <w:p w14:paraId="24A033B8" w14:textId="77777777" w:rsidR="003D7B59" w:rsidRPr="003D7B59" w:rsidRDefault="003D7B59" w:rsidP="003D7B59">
            <w:pPr>
              <w:spacing w:after="0" w:line="240" w:lineRule="auto"/>
              <w:jc w:val="center"/>
              <w:rPr>
                <w:rFonts w:ascii="Times New Roman" w:eastAsia="Times New Roman" w:hAnsi="Times New Roman" w:cs="Times New Roman"/>
                <w:color w:val="000000"/>
                <w:sz w:val="20"/>
                <w:szCs w:val="20"/>
                <w:lang w:eastAsia="es-GT"/>
              </w:rPr>
            </w:pPr>
            <w:r w:rsidRPr="003D7B59">
              <w:rPr>
                <w:rFonts w:ascii="Times New Roman" w:eastAsia="Times New Roman" w:hAnsi="Times New Roman" w:cs="Times New Roman"/>
                <w:color w:val="000000"/>
                <w:sz w:val="20"/>
                <w:szCs w:val="20"/>
                <w:lang w:eastAsia="es-GT"/>
              </w:rPr>
              <w:t>100.0</w:t>
            </w:r>
          </w:p>
        </w:tc>
      </w:tr>
      <w:tr w:rsidR="003D7B59" w:rsidRPr="003D7B59" w14:paraId="5DD99BD8" w14:textId="77777777" w:rsidTr="00E4773A">
        <w:trPr>
          <w:divId w:val="1914584246"/>
          <w:trHeight w:val="465"/>
        </w:trPr>
        <w:tc>
          <w:tcPr>
            <w:tcW w:w="5519" w:type="dxa"/>
            <w:tcBorders>
              <w:top w:val="nil"/>
              <w:left w:val="single" w:sz="8" w:space="0" w:color="auto"/>
              <w:bottom w:val="nil"/>
              <w:right w:val="single" w:sz="8" w:space="0" w:color="auto"/>
            </w:tcBorders>
            <w:shd w:val="clear" w:color="000000" w:fill="DBDBDB"/>
            <w:noWrap/>
            <w:vAlign w:val="center"/>
            <w:hideMark/>
          </w:tcPr>
          <w:p w14:paraId="08A467EC" w14:textId="77777777" w:rsidR="003D7B59" w:rsidRPr="003D7B59" w:rsidRDefault="003D7B59" w:rsidP="003D7B59">
            <w:pPr>
              <w:spacing w:after="0" w:line="240" w:lineRule="auto"/>
              <w:rPr>
                <w:rFonts w:ascii="Times New Roman" w:eastAsia="Times New Roman" w:hAnsi="Times New Roman" w:cs="Times New Roman"/>
                <w:b/>
                <w:bCs/>
                <w:color w:val="000000"/>
                <w:sz w:val="20"/>
                <w:szCs w:val="20"/>
                <w:lang w:eastAsia="es-GT"/>
              </w:rPr>
            </w:pPr>
            <w:r w:rsidRPr="003D7B59">
              <w:rPr>
                <w:rFonts w:ascii="Times New Roman" w:eastAsia="Times New Roman" w:hAnsi="Times New Roman" w:cs="Times New Roman"/>
                <w:b/>
                <w:bCs/>
                <w:color w:val="000000"/>
                <w:sz w:val="20"/>
                <w:szCs w:val="20"/>
                <w:lang w:eastAsia="es-GT"/>
              </w:rPr>
              <w:t>Ministerio de Agricultura, Ganaderia y Alimentación</w:t>
            </w:r>
          </w:p>
        </w:tc>
        <w:tc>
          <w:tcPr>
            <w:tcW w:w="1185" w:type="dxa"/>
            <w:tcBorders>
              <w:top w:val="nil"/>
              <w:left w:val="nil"/>
              <w:bottom w:val="nil"/>
              <w:right w:val="single" w:sz="8" w:space="0" w:color="auto"/>
            </w:tcBorders>
            <w:shd w:val="clear" w:color="000000" w:fill="DBDBDB"/>
            <w:noWrap/>
            <w:vAlign w:val="center"/>
            <w:hideMark/>
          </w:tcPr>
          <w:p w14:paraId="26336BA7" w14:textId="77777777" w:rsidR="003D7B59" w:rsidRPr="003D7B59" w:rsidRDefault="003D7B59" w:rsidP="003D7B59">
            <w:pPr>
              <w:spacing w:after="0" w:line="240" w:lineRule="auto"/>
              <w:jc w:val="center"/>
              <w:rPr>
                <w:rFonts w:ascii="Times New Roman" w:eastAsia="Times New Roman" w:hAnsi="Times New Roman" w:cs="Times New Roman"/>
                <w:b/>
                <w:bCs/>
                <w:color w:val="000000"/>
                <w:sz w:val="20"/>
                <w:szCs w:val="20"/>
                <w:lang w:eastAsia="es-GT"/>
              </w:rPr>
            </w:pPr>
            <w:r w:rsidRPr="003D7B59">
              <w:rPr>
                <w:rFonts w:ascii="Times New Roman" w:eastAsia="Times New Roman" w:hAnsi="Times New Roman" w:cs="Times New Roman"/>
                <w:b/>
                <w:bCs/>
                <w:color w:val="000000"/>
                <w:sz w:val="20"/>
                <w:szCs w:val="20"/>
                <w:lang w:eastAsia="es-GT"/>
              </w:rPr>
              <w:t>26.3</w:t>
            </w:r>
          </w:p>
        </w:tc>
        <w:tc>
          <w:tcPr>
            <w:tcW w:w="1134" w:type="dxa"/>
            <w:tcBorders>
              <w:top w:val="nil"/>
              <w:left w:val="nil"/>
              <w:bottom w:val="nil"/>
              <w:right w:val="single" w:sz="8" w:space="0" w:color="auto"/>
            </w:tcBorders>
            <w:shd w:val="clear" w:color="000000" w:fill="DBDBDB"/>
            <w:noWrap/>
            <w:vAlign w:val="bottom"/>
            <w:hideMark/>
          </w:tcPr>
          <w:p w14:paraId="1DB5B1DF" w14:textId="77777777" w:rsidR="003D7B59" w:rsidRPr="003D7B59" w:rsidRDefault="003D7B59" w:rsidP="003D7B59">
            <w:pPr>
              <w:spacing w:after="0" w:line="240" w:lineRule="auto"/>
              <w:jc w:val="center"/>
              <w:rPr>
                <w:rFonts w:ascii="Times New Roman" w:eastAsia="Times New Roman" w:hAnsi="Times New Roman" w:cs="Times New Roman"/>
                <w:b/>
                <w:bCs/>
                <w:color w:val="000000"/>
                <w:sz w:val="20"/>
                <w:szCs w:val="20"/>
                <w:lang w:eastAsia="es-GT"/>
              </w:rPr>
            </w:pPr>
            <w:r w:rsidRPr="003D7B59">
              <w:rPr>
                <w:rFonts w:ascii="Times New Roman" w:eastAsia="Times New Roman" w:hAnsi="Times New Roman" w:cs="Times New Roman"/>
                <w:b/>
                <w:bCs/>
                <w:color w:val="000000"/>
                <w:sz w:val="20"/>
                <w:szCs w:val="20"/>
                <w:lang w:eastAsia="es-GT"/>
              </w:rPr>
              <w:t>4.4</w:t>
            </w:r>
          </w:p>
        </w:tc>
        <w:tc>
          <w:tcPr>
            <w:tcW w:w="1224" w:type="dxa"/>
            <w:tcBorders>
              <w:top w:val="nil"/>
              <w:left w:val="nil"/>
              <w:bottom w:val="nil"/>
              <w:right w:val="single" w:sz="8" w:space="0" w:color="auto"/>
            </w:tcBorders>
            <w:shd w:val="clear" w:color="000000" w:fill="DBDBDB"/>
            <w:noWrap/>
            <w:vAlign w:val="center"/>
            <w:hideMark/>
          </w:tcPr>
          <w:p w14:paraId="5E75876F" w14:textId="77777777" w:rsidR="003D7B59" w:rsidRPr="003D7B59" w:rsidRDefault="003D7B59" w:rsidP="003D7B59">
            <w:pPr>
              <w:spacing w:after="0" w:line="240" w:lineRule="auto"/>
              <w:jc w:val="center"/>
              <w:rPr>
                <w:rFonts w:ascii="Times New Roman" w:eastAsia="Times New Roman" w:hAnsi="Times New Roman" w:cs="Times New Roman"/>
                <w:b/>
                <w:bCs/>
                <w:color w:val="000000"/>
                <w:sz w:val="20"/>
                <w:szCs w:val="20"/>
                <w:lang w:eastAsia="es-GT"/>
              </w:rPr>
            </w:pPr>
            <w:r w:rsidRPr="003D7B59">
              <w:rPr>
                <w:rFonts w:ascii="Times New Roman" w:eastAsia="Times New Roman" w:hAnsi="Times New Roman" w:cs="Times New Roman"/>
                <w:b/>
                <w:bCs/>
                <w:color w:val="000000"/>
                <w:sz w:val="20"/>
                <w:szCs w:val="20"/>
                <w:lang w:eastAsia="es-GT"/>
              </w:rPr>
              <w:t>16.7</w:t>
            </w:r>
          </w:p>
        </w:tc>
      </w:tr>
      <w:tr w:rsidR="003D7B59" w:rsidRPr="003D7B59" w14:paraId="17F4F83D" w14:textId="77777777" w:rsidTr="00E4773A">
        <w:trPr>
          <w:divId w:val="1914584246"/>
          <w:trHeight w:val="600"/>
        </w:trPr>
        <w:tc>
          <w:tcPr>
            <w:tcW w:w="5519" w:type="dxa"/>
            <w:tcBorders>
              <w:top w:val="nil"/>
              <w:left w:val="single" w:sz="8" w:space="0" w:color="auto"/>
              <w:bottom w:val="nil"/>
              <w:right w:val="single" w:sz="8" w:space="0" w:color="auto"/>
            </w:tcBorders>
            <w:shd w:val="clear" w:color="auto" w:fill="auto"/>
            <w:vAlign w:val="bottom"/>
            <w:hideMark/>
          </w:tcPr>
          <w:p w14:paraId="003C843D" w14:textId="77777777" w:rsidR="003D7B59" w:rsidRPr="003D7B59" w:rsidRDefault="003D7B59" w:rsidP="003D7B59">
            <w:pPr>
              <w:spacing w:after="0" w:line="240" w:lineRule="auto"/>
              <w:rPr>
                <w:rFonts w:ascii="Times New Roman" w:eastAsia="Times New Roman" w:hAnsi="Times New Roman" w:cs="Times New Roman"/>
                <w:color w:val="000000"/>
                <w:sz w:val="20"/>
                <w:szCs w:val="20"/>
                <w:lang w:eastAsia="es-GT"/>
              </w:rPr>
            </w:pPr>
            <w:r w:rsidRPr="003D7B59">
              <w:rPr>
                <w:rFonts w:ascii="Times New Roman" w:eastAsia="Times New Roman" w:hAnsi="Times New Roman" w:cs="Times New Roman"/>
                <w:color w:val="000000"/>
                <w:sz w:val="20"/>
                <w:szCs w:val="20"/>
                <w:lang w:eastAsia="es-GT"/>
              </w:rPr>
              <w:t xml:space="preserve"> Insumos agropecuarios en apoyo a la recuperación de la producción agrícola por los daños causados por la depresión tropical ETA</w:t>
            </w:r>
          </w:p>
        </w:tc>
        <w:tc>
          <w:tcPr>
            <w:tcW w:w="1185" w:type="dxa"/>
            <w:tcBorders>
              <w:top w:val="nil"/>
              <w:left w:val="nil"/>
              <w:bottom w:val="nil"/>
              <w:right w:val="single" w:sz="8" w:space="0" w:color="auto"/>
            </w:tcBorders>
            <w:shd w:val="clear" w:color="auto" w:fill="auto"/>
            <w:vAlign w:val="center"/>
            <w:hideMark/>
          </w:tcPr>
          <w:p w14:paraId="2CA9D8AD" w14:textId="77777777" w:rsidR="003D7B59" w:rsidRPr="003D7B59" w:rsidRDefault="003D7B59" w:rsidP="003D7B59">
            <w:pPr>
              <w:spacing w:after="0" w:line="240" w:lineRule="auto"/>
              <w:jc w:val="center"/>
              <w:rPr>
                <w:rFonts w:ascii="Times New Roman" w:eastAsia="Times New Roman" w:hAnsi="Times New Roman" w:cs="Times New Roman"/>
                <w:color w:val="000000"/>
                <w:sz w:val="20"/>
                <w:szCs w:val="20"/>
                <w:lang w:eastAsia="es-GT"/>
              </w:rPr>
            </w:pPr>
            <w:r w:rsidRPr="003D7B59">
              <w:rPr>
                <w:rFonts w:ascii="Times New Roman" w:eastAsia="Times New Roman" w:hAnsi="Times New Roman" w:cs="Times New Roman"/>
                <w:color w:val="000000"/>
                <w:sz w:val="20"/>
                <w:szCs w:val="20"/>
                <w:lang w:eastAsia="es-GT"/>
              </w:rPr>
              <w:t>26.3</w:t>
            </w:r>
          </w:p>
        </w:tc>
        <w:tc>
          <w:tcPr>
            <w:tcW w:w="1134" w:type="dxa"/>
            <w:tcBorders>
              <w:top w:val="nil"/>
              <w:left w:val="nil"/>
              <w:bottom w:val="nil"/>
              <w:right w:val="single" w:sz="8" w:space="0" w:color="auto"/>
            </w:tcBorders>
            <w:shd w:val="clear" w:color="auto" w:fill="auto"/>
            <w:noWrap/>
            <w:vAlign w:val="center"/>
            <w:hideMark/>
          </w:tcPr>
          <w:p w14:paraId="0AEA2764" w14:textId="77777777" w:rsidR="003D7B59" w:rsidRPr="003D7B59" w:rsidRDefault="003D7B59" w:rsidP="003D7B59">
            <w:pPr>
              <w:spacing w:after="0" w:line="240" w:lineRule="auto"/>
              <w:jc w:val="center"/>
              <w:rPr>
                <w:rFonts w:ascii="Times New Roman" w:eastAsia="Times New Roman" w:hAnsi="Times New Roman" w:cs="Times New Roman"/>
                <w:color w:val="000000"/>
                <w:sz w:val="20"/>
                <w:szCs w:val="20"/>
                <w:lang w:eastAsia="es-GT"/>
              </w:rPr>
            </w:pPr>
            <w:r w:rsidRPr="003D7B59">
              <w:rPr>
                <w:rFonts w:ascii="Times New Roman" w:eastAsia="Times New Roman" w:hAnsi="Times New Roman" w:cs="Times New Roman"/>
                <w:color w:val="000000"/>
                <w:sz w:val="20"/>
                <w:szCs w:val="20"/>
                <w:lang w:eastAsia="es-GT"/>
              </w:rPr>
              <w:t>4.4</w:t>
            </w:r>
          </w:p>
        </w:tc>
        <w:tc>
          <w:tcPr>
            <w:tcW w:w="1224" w:type="dxa"/>
            <w:tcBorders>
              <w:top w:val="nil"/>
              <w:left w:val="nil"/>
              <w:bottom w:val="nil"/>
              <w:right w:val="single" w:sz="8" w:space="0" w:color="auto"/>
            </w:tcBorders>
            <w:shd w:val="clear" w:color="auto" w:fill="auto"/>
            <w:noWrap/>
            <w:vAlign w:val="center"/>
            <w:hideMark/>
          </w:tcPr>
          <w:p w14:paraId="53F5CE37" w14:textId="77777777" w:rsidR="003D7B59" w:rsidRPr="003D7B59" w:rsidRDefault="003D7B59" w:rsidP="003D7B59">
            <w:pPr>
              <w:spacing w:after="0" w:line="240" w:lineRule="auto"/>
              <w:jc w:val="center"/>
              <w:rPr>
                <w:rFonts w:ascii="Times New Roman" w:eastAsia="Times New Roman" w:hAnsi="Times New Roman" w:cs="Times New Roman"/>
                <w:color w:val="000000"/>
                <w:sz w:val="20"/>
                <w:szCs w:val="20"/>
                <w:lang w:eastAsia="es-GT"/>
              </w:rPr>
            </w:pPr>
            <w:r w:rsidRPr="003D7B59">
              <w:rPr>
                <w:rFonts w:ascii="Times New Roman" w:eastAsia="Times New Roman" w:hAnsi="Times New Roman" w:cs="Times New Roman"/>
                <w:color w:val="000000"/>
                <w:sz w:val="20"/>
                <w:szCs w:val="20"/>
                <w:lang w:eastAsia="es-GT"/>
              </w:rPr>
              <w:t>16.7</w:t>
            </w:r>
          </w:p>
        </w:tc>
      </w:tr>
      <w:tr w:rsidR="003D7B59" w:rsidRPr="003D7B59" w14:paraId="3004AC6A" w14:textId="77777777" w:rsidTr="00E4773A">
        <w:trPr>
          <w:divId w:val="1914584246"/>
          <w:trHeight w:val="465"/>
        </w:trPr>
        <w:tc>
          <w:tcPr>
            <w:tcW w:w="5519" w:type="dxa"/>
            <w:tcBorders>
              <w:top w:val="nil"/>
              <w:left w:val="single" w:sz="8" w:space="0" w:color="auto"/>
              <w:bottom w:val="nil"/>
              <w:right w:val="single" w:sz="8" w:space="0" w:color="auto"/>
            </w:tcBorders>
            <w:shd w:val="clear" w:color="000000" w:fill="DBDBDB"/>
            <w:noWrap/>
            <w:vAlign w:val="center"/>
            <w:hideMark/>
          </w:tcPr>
          <w:p w14:paraId="2BE3F0FC" w14:textId="77777777" w:rsidR="003D7B59" w:rsidRPr="003D7B59" w:rsidRDefault="003D7B59" w:rsidP="003D7B59">
            <w:pPr>
              <w:spacing w:after="0" w:line="240" w:lineRule="auto"/>
              <w:rPr>
                <w:rFonts w:ascii="Times New Roman" w:eastAsia="Times New Roman" w:hAnsi="Times New Roman" w:cs="Times New Roman"/>
                <w:b/>
                <w:bCs/>
                <w:color w:val="000000"/>
                <w:sz w:val="20"/>
                <w:szCs w:val="20"/>
                <w:lang w:eastAsia="es-GT"/>
              </w:rPr>
            </w:pPr>
            <w:r w:rsidRPr="003D7B59">
              <w:rPr>
                <w:rFonts w:ascii="Times New Roman" w:eastAsia="Times New Roman" w:hAnsi="Times New Roman" w:cs="Times New Roman"/>
                <w:b/>
                <w:bCs/>
                <w:color w:val="000000"/>
                <w:sz w:val="20"/>
                <w:szCs w:val="20"/>
                <w:lang w:eastAsia="es-GT"/>
              </w:rPr>
              <w:t xml:space="preserve">Ministerio de Cultura y Deportes </w:t>
            </w:r>
          </w:p>
        </w:tc>
        <w:tc>
          <w:tcPr>
            <w:tcW w:w="1185" w:type="dxa"/>
            <w:tcBorders>
              <w:top w:val="nil"/>
              <w:left w:val="nil"/>
              <w:bottom w:val="nil"/>
              <w:right w:val="single" w:sz="8" w:space="0" w:color="auto"/>
            </w:tcBorders>
            <w:shd w:val="clear" w:color="000000" w:fill="DBDBDB"/>
            <w:noWrap/>
            <w:vAlign w:val="center"/>
            <w:hideMark/>
          </w:tcPr>
          <w:p w14:paraId="62A0CF8F" w14:textId="77777777" w:rsidR="003D7B59" w:rsidRPr="003D7B59" w:rsidRDefault="003D7B59" w:rsidP="003D7B59">
            <w:pPr>
              <w:spacing w:after="0" w:line="240" w:lineRule="auto"/>
              <w:jc w:val="center"/>
              <w:rPr>
                <w:rFonts w:ascii="Times New Roman" w:eastAsia="Times New Roman" w:hAnsi="Times New Roman" w:cs="Times New Roman"/>
                <w:b/>
                <w:bCs/>
                <w:color w:val="000000"/>
                <w:sz w:val="20"/>
                <w:szCs w:val="20"/>
                <w:lang w:eastAsia="es-GT"/>
              </w:rPr>
            </w:pPr>
            <w:r w:rsidRPr="003D7B59">
              <w:rPr>
                <w:rFonts w:ascii="Times New Roman" w:eastAsia="Times New Roman" w:hAnsi="Times New Roman" w:cs="Times New Roman"/>
                <w:b/>
                <w:bCs/>
                <w:color w:val="000000"/>
                <w:sz w:val="20"/>
                <w:szCs w:val="20"/>
                <w:lang w:eastAsia="es-GT"/>
              </w:rPr>
              <w:t>2.0</w:t>
            </w:r>
          </w:p>
        </w:tc>
        <w:tc>
          <w:tcPr>
            <w:tcW w:w="1134" w:type="dxa"/>
            <w:tcBorders>
              <w:top w:val="nil"/>
              <w:left w:val="nil"/>
              <w:bottom w:val="nil"/>
              <w:right w:val="single" w:sz="8" w:space="0" w:color="auto"/>
            </w:tcBorders>
            <w:shd w:val="clear" w:color="000000" w:fill="DBDBDB"/>
            <w:noWrap/>
            <w:vAlign w:val="center"/>
            <w:hideMark/>
          </w:tcPr>
          <w:p w14:paraId="4E477CE3" w14:textId="77777777" w:rsidR="003D7B59" w:rsidRPr="003D7B59" w:rsidRDefault="003D7B59" w:rsidP="003D7B59">
            <w:pPr>
              <w:spacing w:after="0" w:line="240" w:lineRule="auto"/>
              <w:jc w:val="center"/>
              <w:rPr>
                <w:rFonts w:ascii="Times New Roman" w:eastAsia="Times New Roman" w:hAnsi="Times New Roman" w:cs="Times New Roman"/>
                <w:b/>
                <w:bCs/>
                <w:color w:val="000000"/>
                <w:sz w:val="20"/>
                <w:szCs w:val="20"/>
                <w:lang w:eastAsia="es-GT"/>
              </w:rPr>
            </w:pPr>
            <w:r w:rsidRPr="003D7B59">
              <w:rPr>
                <w:rFonts w:ascii="Times New Roman" w:eastAsia="Times New Roman" w:hAnsi="Times New Roman" w:cs="Times New Roman"/>
                <w:b/>
                <w:bCs/>
                <w:color w:val="000000"/>
                <w:sz w:val="20"/>
                <w:szCs w:val="20"/>
                <w:lang w:eastAsia="es-GT"/>
              </w:rPr>
              <w:t>0.0</w:t>
            </w:r>
          </w:p>
        </w:tc>
        <w:tc>
          <w:tcPr>
            <w:tcW w:w="1224" w:type="dxa"/>
            <w:tcBorders>
              <w:top w:val="nil"/>
              <w:left w:val="nil"/>
              <w:bottom w:val="nil"/>
              <w:right w:val="single" w:sz="8" w:space="0" w:color="auto"/>
            </w:tcBorders>
            <w:shd w:val="clear" w:color="000000" w:fill="DBDBDB"/>
            <w:noWrap/>
            <w:vAlign w:val="center"/>
            <w:hideMark/>
          </w:tcPr>
          <w:p w14:paraId="278EE56F" w14:textId="77777777" w:rsidR="003D7B59" w:rsidRPr="003D7B59" w:rsidRDefault="003D7B59" w:rsidP="003D7B59">
            <w:pPr>
              <w:spacing w:after="0" w:line="240" w:lineRule="auto"/>
              <w:jc w:val="center"/>
              <w:rPr>
                <w:rFonts w:ascii="Times New Roman" w:eastAsia="Times New Roman" w:hAnsi="Times New Roman" w:cs="Times New Roman"/>
                <w:b/>
                <w:bCs/>
                <w:color w:val="000000"/>
                <w:sz w:val="20"/>
                <w:szCs w:val="20"/>
                <w:lang w:eastAsia="es-GT"/>
              </w:rPr>
            </w:pPr>
            <w:r w:rsidRPr="003D7B59">
              <w:rPr>
                <w:rFonts w:ascii="Times New Roman" w:eastAsia="Times New Roman" w:hAnsi="Times New Roman" w:cs="Times New Roman"/>
                <w:b/>
                <w:bCs/>
                <w:color w:val="000000"/>
                <w:sz w:val="20"/>
                <w:szCs w:val="20"/>
                <w:lang w:eastAsia="es-GT"/>
              </w:rPr>
              <w:t>0.0</w:t>
            </w:r>
          </w:p>
        </w:tc>
      </w:tr>
      <w:tr w:rsidR="003D7B59" w:rsidRPr="003D7B59" w14:paraId="49687FE6" w14:textId="77777777" w:rsidTr="00E4773A">
        <w:trPr>
          <w:divId w:val="1914584246"/>
          <w:trHeight w:val="615"/>
        </w:trPr>
        <w:tc>
          <w:tcPr>
            <w:tcW w:w="5519" w:type="dxa"/>
            <w:tcBorders>
              <w:top w:val="nil"/>
              <w:left w:val="single" w:sz="8" w:space="0" w:color="auto"/>
              <w:bottom w:val="single" w:sz="8" w:space="0" w:color="auto"/>
              <w:right w:val="single" w:sz="8" w:space="0" w:color="auto"/>
            </w:tcBorders>
            <w:shd w:val="clear" w:color="auto" w:fill="auto"/>
            <w:vAlign w:val="bottom"/>
            <w:hideMark/>
          </w:tcPr>
          <w:p w14:paraId="3E573739" w14:textId="77777777" w:rsidR="003D7B59" w:rsidRPr="003D7B59" w:rsidRDefault="003D7B59" w:rsidP="003D7B59">
            <w:pPr>
              <w:spacing w:after="0" w:line="240" w:lineRule="auto"/>
              <w:rPr>
                <w:rFonts w:ascii="Times New Roman" w:eastAsia="Times New Roman" w:hAnsi="Times New Roman" w:cs="Times New Roman"/>
                <w:color w:val="000000"/>
                <w:sz w:val="20"/>
                <w:szCs w:val="20"/>
                <w:lang w:eastAsia="es-GT"/>
              </w:rPr>
            </w:pPr>
            <w:r w:rsidRPr="003D7B59">
              <w:rPr>
                <w:rFonts w:ascii="Times New Roman" w:eastAsia="Times New Roman" w:hAnsi="Times New Roman" w:cs="Times New Roman"/>
                <w:color w:val="000000"/>
                <w:sz w:val="20"/>
                <w:szCs w:val="20"/>
                <w:lang w:eastAsia="es-GT"/>
              </w:rPr>
              <w:t>Intervenciones realizadas para la atención de daños provocados por</w:t>
            </w:r>
            <w:r w:rsidRPr="003D7B59">
              <w:rPr>
                <w:rFonts w:ascii="Times New Roman" w:eastAsia="Times New Roman" w:hAnsi="Times New Roman" w:cs="Times New Roman"/>
                <w:color w:val="000000"/>
                <w:sz w:val="20"/>
                <w:szCs w:val="20"/>
                <w:lang w:eastAsia="es-GT"/>
              </w:rPr>
              <w:br/>
              <w:t>Depresión Tropical ETA</w:t>
            </w:r>
          </w:p>
        </w:tc>
        <w:tc>
          <w:tcPr>
            <w:tcW w:w="1185" w:type="dxa"/>
            <w:tcBorders>
              <w:top w:val="nil"/>
              <w:left w:val="single" w:sz="8" w:space="0" w:color="auto"/>
              <w:bottom w:val="single" w:sz="8" w:space="0" w:color="auto"/>
              <w:right w:val="single" w:sz="8" w:space="0" w:color="auto"/>
            </w:tcBorders>
            <w:shd w:val="clear" w:color="auto" w:fill="auto"/>
            <w:vAlign w:val="center"/>
            <w:hideMark/>
          </w:tcPr>
          <w:p w14:paraId="32EE61F2" w14:textId="77777777" w:rsidR="003D7B59" w:rsidRPr="003D7B59" w:rsidRDefault="003D7B59" w:rsidP="003D7B59">
            <w:pPr>
              <w:spacing w:after="0" w:line="240" w:lineRule="auto"/>
              <w:jc w:val="center"/>
              <w:rPr>
                <w:rFonts w:ascii="Times New Roman" w:eastAsia="Times New Roman" w:hAnsi="Times New Roman" w:cs="Times New Roman"/>
                <w:color w:val="000000"/>
                <w:sz w:val="20"/>
                <w:szCs w:val="20"/>
                <w:lang w:eastAsia="es-GT"/>
              </w:rPr>
            </w:pPr>
            <w:r w:rsidRPr="003D7B59">
              <w:rPr>
                <w:rFonts w:ascii="Times New Roman" w:eastAsia="Times New Roman" w:hAnsi="Times New Roman" w:cs="Times New Roman"/>
                <w:color w:val="000000"/>
                <w:sz w:val="20"/>
                <w:szCs w:val="20"/>
                <w:lang w:eastAsia="es-GT"/>
              </w:rPr>
              <w:t>2.0</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7E304B64" w14:textId="77777777" w:rsidR="003D7B59" w:rsidRPr="003D7B59" w:rsidRDefault="003D7B59" w:rsidP="003D7B59">
            <w:pPr>
              <w:spacing w:after="0" w:line="240" w:lineRule="auto"/>
              <w:jc w:val="center"/>
              <w:rPr>
                <w:rFonts w:ascii="Times New Roman" w:eastAsia="Times New Roman" w:hAnsi="Times New Roman" w:cs="Times New Roman"/>
                <w:color w:val="000000"/>
                <w:sz w:val="20"/>
                <w:szCs w:val="20"/>
                <w:lang w:eastAsia="es-GT"/>
              </w:rPr>
            </w:pPr>
            <w:r w:rsidRPr="003D7B59">
              <w:rPr>
                <w:rFonts w:ascii="Times New Roman" w:eastAsia="Times New Roman" w:hAnsi="Times New Roman" w:cs="Times New Roman"/>
                <w:color w:val="000000"/>
                <w:sz w:val="20"/>
                <w:szCs w:val="20"/>
                <w:lang w:eastAsia="es-GT"/>
              </w:rPr>
              <w:t>0.0</w:t>
            </w:r>
          </w:p>
        </w:tc>
        <w:tc>
          <w:tcPr>
            <w:tcW w:w="1224" w:type="dxa"/>
            <w:tcBorders>
              <w:top w:val="nil"/>
              <w:left w:val="nil"/>
              <w:bottom w:val="single" w:sz="8" w:space="0" w:color="auto"/>
              <w:right w:val="single" w:sz="8" w:space="0" w:color="auto"/>
            </w:tcBorders>
            <w:shd w:val="clear" w:color="auto" w:fill="auto"/>
            <w:noWrap/>
            <w:vAlign w:val="center"/>
            <w:hideMark/>
          </w:tcPr>
          <w:p w14:paraId="1DC92A4D" w14:textId="77777777" w:rsidR="003D7B59" w:rsidRPr="003D7B59" w:rsidRDefault="003D7B59" w:rsidP="003D7B59">
            <w:pPr>
              <w:spacing w:after="0" w:line="240" w:lineRule="auto"/>
              <w:jc w:val="center"/>
              <w:rPr>
                <w:rFonts w:ascii="Times New Roman" w:eastAsia="Times New Roman" w:hAnsi="Times New Roman" w:cs="Times New Roman"/>
                <w:color w:val="000000"/>
                <w:sz w:val="20"/>
                <w:szCs w:val="20"/>
                <w:lang w:eastAsia="es-GT"/>
              </w:rPr>
            </w:pPr>
            <w:r w:rsidRPr="003D7B59">
              <w:rPr>
                <w:rFonts w:ascii="Times New Roman" w:eastAsia="Times New Roman" w:hAnsi="Times New Roman" w:cs="Times New Roman"/>
                <w:color w:val="000000"/>
                <w:sz w:val="20"/>
                <w:szCs w:val="20"/>
                <w:lang w:eastAsia="es-GT"/>
              </w:rPr>
              <w:t>0.0</w:t>
            </w:r>
          </w:p>
        </w:tc>
      </w:tr>
    </w:tbl>
    <w:p w14:paraId="32D81A52" w14:textId="0235F6F1" w:rsidR="00091C7A" w:rsidRDefault="00091C7A" w:rsidP="00091C7A">
      <w:pPr>
        <w:pStyle w:val="Sinespaciado"/>
        <w:ind w:firstLine="708"/>
        <w:jc w:val="both"/>
        <w:rPr>
          <w:rFonts w:ascii="Times New Roman" w:hAnsi="Times New Roman" w:cs="Times New Roman"/>
          <w:sz w:val="16"/>
          <w:szCs w:val="14"/>
        </w:rPr>
      </w:pPr>
      <w:r w:rsidRPr="00091C7A">
        <w:rPr>
          <w:rFonts w:ascii="Times New Roman" w:hAnsi="Times New Roman" w:cs="Times New Roman"/>
          <w:sz w:val="16"/>
          <w:szCs w:val="14"/>
        </w:rPr>
        <w:t xml:space="preserve"> </w:t>
      </w:r>
      <w:r w:rsidRPr="00784A73">
        <w:rPr>
          <w:rFonts w:ascii="Times New Roman" w:hAnsi="Times New Roman" w:cs="Times New Roman"/>
          <w:sz w:val="16"/>
          <w:szCs w:val="14"/>
        </w:rPr>
        <w:t>Fuente: Dirección de Análisis y Política Fiscal</w:t>
      </w:r>
    </w:p>
    <w:p w14:paraId="27768D51" w14:textId="077FFFC1" w:rsidR="00B70A4D" w:rsidRDefault="00B70A4D" w:rsidP="00A40BB4">
      <w:pPr>
        <w:tabs>
          <w:tab w:val="left" w:pos="5103"/>
        </w:tabs>
        <w:spacing w:after="0" w:line="240" w:lineRule="auto"/>
        <w:jc w:val="both"/>
        <w:rPr>
          <w:rFonts w:ascii="Times New Roman" w:hAnsi="Times New Roman" w:cs="Times New Roman"/>
          <w:b/>
          <w:sz w:val="24"/>
        </w:rPr>
      </w:pPr>
      <w:bookmarkStart w:id="1024" w:name="_Toc16155025"/>
      <w:bookmarkStart w:id="1025" w:name="_Toc49939459"/>
    </w:p>
    <w:p w14:paraId="54834CDA" w14:textId="24FCFE92" w:rsidR="00E4773A" w:rsidRDefault="00E4773A" w:rsidP="00A40BB4">
      <w:pPr>
        <w:tabs>
          <w:tab w:val="left" w:pos="5103"/>
        </w:tabs>
        <w:spacing w:after="0" w:line="240" w:lineRule="auto"/>
        <w:jc w:val="both"/>
        <w:rPr>
          <w:rFonts w:ascii="Times New Roman" w:hAnsi="Times New Roman" w:cs="Times New Roman"/>
          <w:b/>
          <w:sz w:val="24"/>
        </w:rPr>
      </w:pPr>
    </w:p>
    <w:p w14:paraId="18BEDB7E" w14:textId="77777777" w:rsidR="00E4773A" w:rsidRDefault="00E4773A" w:rsidP="00A40BB4">
      <w:pPr>
        <w:tabs>
          <w:tab w:val="left" w:pos="5103"/>
        </w:tabs>
        <w:spacing w:after="0" w:line="240" w:lineRule="auto"/>
        <w:jc w:val="both"/>
        <w:rPr>
          <w:rFonts w:ascii="Times New Roman" w:hAnsi="Times New Roman" w:cs="Times New Roman"/>
          <w:b/>
          <w:sz w:val="24"/>
        </w:rPr>
      </w:pPr>
    </w:p>
    <w:tbl>
      <w:tblPr>
        <w:tblStyle w:val="Tablaconcuadrcula"/>
        <w:tblW w:w="0" w:type="auto"/>
        <w:tblLook w:val="04A0" w:firstRow="1" w:lastRow="0" w:firstColumn="1" w:lastColumn="0" w:noHBand="0" w:noVBand="1"/>
      </w:tblPr>
      <w:tblGrid>
        <w:gridCol w:w="8856"/>
      </w:tblGrid>
      <w:tr w:rsidR="00B70A4D" w:rsidRPr="004133EB" w14:paraId="61EF9EA1" w14:textId="77777777" w:rsidTr="00B70A4D">
        <w:tc>
          <w:tcPr>
            <w:tcW w:w="8828" w:type="dxa"/>
            <w:shd w:val="clear" w:color="auto" w:fill="DEEAF6" w:themeFill="accent1" w:themeFillTint="33"/>
          </w:tcPr>
          <w:p w14:paraId="0A181886" w14:textId="1A7213AF" w:rsidR="00B70A4D" w:rsidRPr="004133EB" w:rsidRDefault="00AE6EFB" w:rsidP="00AE6EFB">
            <w:pPr>
              <w:jc w:val="center"/>
              <w:rPr>
                <w:rFonts w:ascii="Times New Roman" w:hAnsi="Times New Roman" w:cs="Times New Roman"/>
                <w:b/>
                <w:bCs/>
              </w:rPr>
            </w:pPr>
            <w:r>
              <w:rPr>
                <w:rFonts w:ascii="Times New Roman" w:hAnsi="Times New Roman" w:cs="Times New Roman"/>
                <w:b/>
                <w:bCs/>
              </w:rPr>
              <w:t xml:space="preserve">Recuadro 5: </w:t>
            </w:r>
            <w:r w:rsidR="00B70A4D">
              <w:rPr>
                <w:rFonts w:ascii="Times New Roman" w:hAnsi="Times New Roman" w:cs="Times New Roman"/>
                <w:b/>
                <w:bCs/>
              </w:rPr>
              <w:t>Evaluación de Daños y Pérdidas: Huracanes ETA e IOTA</w:t>
            </w:r>
          </w:p>
          <w:p w14:paraId="597173B7" w14:textId="77777777" w:rsidR="00B70A4D" w:rsidRPr="004133EB" w:rsidRDefault="00B70A4D" w:rsidP="00B70A4D">
            <w:pPr>
              <w:jc w:val="both"/>
              <w:rPr>
                <w:rFonts w:ascii="Times New Roman" w:hAnsi="Times New Roman" w:cs="Times New Roman"/>
              </w:rPr>
            </w:pPr>
          </w:p>
          <w:p w14:paraId="707125AB" w14:textId="77777777" w:rsidR="00B70A4D" w:rsidRPr="00B70A4D" w:rsidRDefault="00B70A4D" w:rsidP="00B70A4D">
            <w:pPr>
              <w:jc w:val="both"/>
              <w:rPr>
                <w:rFonts w:ascii="Times New Roman" w:hAnsi="Times New Roman" w:cs="Times New Roman"/>
              </w:rPr>
            </w:pPr>
            <w:r w:rsidRPr="00B70A4D">
              <w:rPr>
                <w:rFonts w:ascii="Times New Roman" w:hAnsi="Times New Roman" w:cs="Times New Roman"/>
              </w:rPr>
              <w:t>El estudio a cargo de la Comisión Económica para América Latina y el Caribe</w:t>
            </w:r>
            <w:r>
              <w:rPr>
                <w:rFonts w:ascii="Times New Roman" w:hAnsi="Times New Roman" w:cs="Times New Roman"/>
              </w:rPr>
              <w:t xml:space="preserve"> (CEPAL)</w:t>
            </w:r>
            <w:r w:rsidRPr="00B70A4D">
              <w:rPr>
                <w:rFonts w:ascii="Times New Roman" w:hAnsi="Times New Roman" w:cs="Times New Roman"/>
              </w:rPr>
              <w:t xml:space="preserve"> “Evaluación de daños y pérdidas: huracanes Eta e Iota” contó con la contribución de varios actores del Banco Mundial (BM), Banco Interamericano de Desarrollo (BID), especialistas sectoriales, la Agencia de la ONU para los refugiados (ACNUR), la Organización de las Naciones Unidas para la Alimentación y la Agricultura (FAO), entre otras.</w:t>
            </w:r>
          </w:p>
          <w:p w14:paraId="3FBF0A6E" w14:textId="77777777" w:rsidR="00B70A4D" w:rsidRPr="00B70A4D" w:rsidRDefault="00B70A4D" w:rsidP="00B70A4D">
            <w:pPr>
              <w:jc w:val="both"/>
              <w:rPr>
                <w:rFonts w:ascii="Times New Roman" w:hAnsi="Times New Roman" w:cs="Times New Roman"/>
              </w:rPr>
            </w:pPr>
          </w:p>
          <w:p w14:paraId="1EFFFACD" w14:textId="77777777" w:rsidR="00B70A4D" w:rsidRPr="00B70A4D" w:rsidRDefault="00B70A4D" w:rsidP="00B70A4D">
            <w:pPr>
              <w:jc w:val="both"/>
              <w:rPr>
                <w:rFonts w:ascii="Times New Roman" w:hAnsi="Times New Roman" w:cs="Times New Roman"/>
              </w:rPr>
            </w:pPr>
            <w:r w:rsidRPr="00B70A4D">
              <w:rPr>
                <w:rFonts w:ascii="Times New Roman" w:hAnsi="Times New Roman" w:cs="Times New Roman"/>
              </w:rPr>
              <w:t>De acuerdo al estudio, el huracán ETA tuvo su formación el 31 de octubre y se disipo el 13 de noviembre, mientras que el huracán IOTA se formó el viernes 13 de noviembre, volviéndose más fuerte al acercarse a Centroamérica. A pesar que las trayectorias de los huracanes Eta e Iota no tocaron el territorio guatemalteco, en la zona de influencia ocurrieron intensas tormentas tropicales con efectos devastadores por las intensas lluvias que ocasionaron inundaciones, deslizamientos y flujos de lodo catastrófico.</w:t>
            </w:r>
          </w:p>
          <w:p w14:paraId="5D453FF8" w14:textId="77777777" w:rsidR="00B70A4D" w:rsidRPr="00B70A4D" w:rsidRDefault="00B70A4D" w:rsidP="00B70A4D">
            <w:pPr>
              <w:jc w:val="both"/>
              <w:rPr>
                <w:rFonts w:ascii="Times New Roman" w:hAnsi="Times New Roman" w:cs="Times New Roman"/>
              </w:rPr>
            </w:pPr>
          </w:p>
          <w:p w14:paraId="44B40175" w14:textId="77777777" w:rsidR="00B70A4D" w:rsidRPr="00B70A4D" w:rsidRDefault="00B70A4D" w:rsidP="00B70A4D">
            <w:pPr>
              <w:jc w:val="both"/>
              <w:rPr>
                <w:rFonts w:ascii="Times New Roman" w:hAnsi="Times New Roman" w:cs="Times New Roman"/>
              </w:rPr>
            </w:pPr>
            <w:r w:rsidRPr="00B70A4D">
              <w:rPr>
                <w:rFonts w:ascii="Times New Roman" w:hAnsi="Times New Roman" w:cs="Times New Roman"/>
              </w:rPr>
              <w:t xml:space="preserve">En los territorios afectados viven alrededor de 5 millones de personas, siendo afectadas zonas rurales con altos niveles de pobreza extrema, el departamento más afectado </w:t>
            </w:r>
            <w:r>
              <w:rPr>
                <w:rFonts w:ascii="Times New Roman" w:hAnsi="Times New Roman" w:cs="Times New Roman"/>
              </w:rPr>
              <w:t xml:space="preserve">fue </w:t>
            </w:r>
            <w:r w:rsidRPr="00B70A4D">
              <w:rPr>
                <w:rFonts w:ascii="Times New Roman" w:hAnsi="Times New Roman" w:cs="Times New Roman"/>
              </w:rPr>
              <w:t>Alta Verapaz.</w:t>
            </w:r>
          </w:p>
          <w:p w14:paraId="48A8C2B7" w14:textId="77777777" w:rsidR="00B70A4D" w:rsidRPr="00B70A4D" w:rsidRDefault="00B70A4D" w:rsidP="00B70A4D">
            <w:pPr>
              <w:jc w:val="both"/>
              <w:rPr>
                <w:rFonts w:ascii="Times New Roman" w:hAnsi="Times New Roman" w:cs="Times New Roman"/>
              </w:rPr>
            </w:pPr>
          </w:p>
          <w:p w14:paraId="0D42BED3" w14:textId="36CC5ED4" w:rsidR="00B70A4D" w:rsidRDefault="00B70A4D" w:rsidP="00B70A4D">
            <w:pPr>
              <w:jc w:val="both"/>
              <w:rPr>
                <w:rFonts w:ascii="Times New Roman" w:hAnsi="Times New Roman" w:cs="Times New Roman"/>
              </w:rPr>
            </w:pPr>
            <w:r w:rsidRPr="00B70A4D">
              <w:rPr>
                <w:rFonts w:ascii="Times New Roman" w:hAnsi="Times New Roman" w:cs="Times New Roman"/>
              </w:rPr>
              <w:t>El estudio estimo que los efectos totales causados por estas tormentas tropicales fueron de aproximadamente Q5,597 millones (</w:t>
            </w:r>
            <w:r w:rsidR="001E0F98">
              <w:rPr>
                <w:rFonts w:ascii="Times New Roman" w:hAnsi="Times New Roman" w:cs="Times New Roman"/>
              </w:rPr>
              <w:t>0.9</w:t>
            </w:r>
            <w:r w:rsidRPr="00B70A4D">
              <w:rPr>
                <w:rFonts w:ascii="Times New Roman" w:hAnsi="Times New Roman" w:cs="Times New Roman"/>
              </w:rPr>
              <w:t xml:space="preserve">% del PIB). Los daños representaron el 55% de la afectación, las perdidas 33% y los costos adicionales 12%. El sector privado sufrió el 81% de la afectación total. Por su parte, los efectos totales que </w:t>
            </w:r>
            <w:r w:rsidR="001E0F98">
              <w:rPr>
                <w:rFonts w:ascii="Times New Roman" w:hAnsi="Times New Roman" w:cs="Times New Roman"/>
              </w:rPr>
              <w:t>tuvo el desastre en el sector pú</w:t>
            </w:r>
            <w:r w:rsidRPr="00B70A4D">
              <w:rPr>
                <w:rFonts w:ascii="Times New Roman" w:hAnsi="Times New Roman" w:cs="Times New Roman"/>
              </w:rPr>
              <w:t>blico fueron de aproximadamente Q1,068 millones.</w:t>
            </w:r>
          </w:p>
          <w:p w14:paraId="00E7D173" w14:textId="5044EE28" w:rsidR="0005664E" w:rsidRDefault="0005664E" w:rsidP="0005664E">
            <w:pPr>
              <w:jc w:val="both"/>
              <w:rPr>
                <w:rFonts w:ascii="Times New Roman" w:hAnsi="Times New Roman" w:cs="Times New Roman"/>
                <w:sz w:val="18"/>
              </w:rPr>
            </w:pPr>
          </w:p>
          <w:p w14:paraId="7F7156E9" w14:textId="60820C38" w:rsidR="00E851D2" w:rsidRPr="009E18F8" w:rsidRDefault="00E851D2" w:rsidP="00E851D2">
            <w:pPr>
              <w:pStyle w:val="Epgrafe"/>
              <w:keepNext/>
              <w:jc w:val="center"/>
              <w:rPr>
                <w:rFonts w:ascii="Times New Roman" w:hAnsi="Times New Roman" w:cs="Times New Roman"/>
                <w:b/>
                <w:color w:val="auto"/>
              </w:rPr>
            </w:pPr>
            <w:bookmarkStart w:id="1026" w:name="_Toc81573082"/>
            <w:r w:rsidRPr="009E18F8">
              <w:rPr>
                <w:rFonts w:ascii="Times New Roman" w:hAnsi="Times New Roman" w:cs="Times New Roman"/>
                <w:noProof/>
                <w:color w:val="auto"/>
                <w:shd w:val="clear" w:color="auto" w:fill="DEEAF6" w:themeFill="accent1" w:themeFillTint="33"/>
                <w:lang w:val="es-ES" w:eastAsia="es-ES"/>
              </w:rPr>
              <w:drawing>
                <wp:anchor distT="0" distB="0" distL="114300" distR="114300" simplePos="0" relativeHeight="251945472" behindDoc="0" locked="0" layoutInCell="1" allowOverlap="1" wp14:anchorId="6699BBE4" wp14:editId="479F64F8">
                  <wp:simplePos x="0" y="0"/>
                  <wp:positionH relativeFrom="column">
                    <wp:posOffset>3810</wp:posOffset>
                  </wp:positionH>
                  <wp:positionV relativeFrom="paragraph">
                    <wp:posOffset>162500</wp:posOffset>
                  </wp:positionV>
                  <wp:extent cx="5486400" cy="1991995"/>
                  <wp:effectExtent l="0" t="0" r="0" b="8255"/>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r w:rsidRPr="009E18F8">
              <w:rPr>
                <w:rFonts w:ascii="Times New Roman" w:hAnsi="Times New Roman" w:cs="Times New Roman"/>
                <w:b/>
                <w:color w:val="auto"/>
              </w:rPr>
              <w:t xml:space="preserve">Gráfico </w:t>
            </w:r>
            <w:r w:rsidRPr="009E18F8">
              <w:rPr>
                <w:rFonts w:ascii="Times New Roman" w:hAnsi="Times New Roman" w:cs="Times New Roman"/>
                <w:b/>
                <w:color w:val="auto"/>
              </w:rPr>
              <w:fldChar w:fldCharType="begin"/>
            </w:r>
            <w:r w:rsidRPr="009E18F8">
              <w:rPr>
                <w:rFonts w:ascii="Times New Roman" w:hAnsi="Times New Roman" w:cs="Times New Roman"/>
                <w:b/>
                <w:color w:val="auto"/>
              </w:rPr>
              <w:instrText xml:space="preserve"> SEQ Gráfico \* ARABIC </w:instrText>
            </w:r>
            <w:r w:rsidRPr="009E18F8">
              <w:rPr>
                <w:rFonts w:ascii="Times New Roman" w:hAnsi="Times New Roman" w:cs="Times New Roman"/>
                <w:b/>
                <w:color w:val="auto"/>
              </w:rPr>
              <w:fldChar w:fldCharType="separate"/>
            </w:r>
            <w:r w:rsidR="00D6529D" w:rsidRPr="009E18F8">
              <w:rPr>
                <w:rFonts w:ascii="Times New Roman" w:hAnsi="Times New Roman" w:cs="Times New Roman"/>
                <w:b/>
                <w:noProof/>
                <w:color w:val="auto"/>
              </w:rPr>
              <w:t>32</w:t>
            </w:r>
            <w:r w:rsidRPr="009E18F8">
              <w:rPr>
                <w:rFonts w:ascii="Times New Roman" w:hAnsi="Times New Roman" w:cs="Times New Roman"/>
                <w:b/>
                <w:color w:val="auto"/>
              </w:rPr>
              <w:fldChar w:fldCharType="end"/>
            </w:r>
            <w:r w:rsidRPr="009E18F8">
              <w:rPr>
                <w:rFonts w:ascii="Times New Roman" w:hAnsi="Times New Roman" w:cs="Times New Roman"/>
                <w:b/>
                <w:color w:val="auto"/>
              </w:rPr>
              <w:t xml:space="preserve">. </w:t>
            </w:r>
            <w:r w:rsidRPr="009E18F8">
              <w:rPr>
                <w:rFonts w:ascii="Times New Roman" w:hAnsi="Times New Roman" w:cs="Times New Roman"/>
                <w:b/>
                <w:color w:val="auto"/>
                <w:sz w:val="22"/>
              </w:rPr>
              <w:t>Efectos totales desglosados por sector</w:t>
            </w:r>
            <w:bookmarkEnd w:id="1026"/>
          </w:p>
          <w:p w14:paraId="2A93527B" w14:textId="77777777" w:rsidR="00E851D2" w:rsidRPr="005C7EBF" w:rsidRDefault="00E851D2" w:rsidP="00E851D2">
            <w:pPr>
              <w:jc w:val="both"/>
              <w:rPr>
                <w:rFonts w:ascii="Times New Roman" w:hAnsi="Times New Roman" w:cs="Times New Roman"/>
                <w:sz w:val="14"/>
              </w:rPr>
            </w:pPr>
            <w:r w:rsidRPr="005C7EBF">
              <w:rPr>
                <w:rFonts w:ascii="Times New Roman" w:hAnsi="Times New Roman" w:cs="Times New Roman"/>
                <w:sz w:val="14"/>
              </w:rPr>
              <w:t>Fuente: Estudio Evaluación de Daños y Pérdidas: Huracanes ETA e IOTA</w:t>
            </w:r>
          </w:p>
          <w:p w14:paraId="585AC925" w14:textId="03FCF3FA" w:rsidR="0005664E" w:rsidRDefault="0005664E" w:rsidP="0005664E">
            <w:pPr>
              <w:jc w:val="both"/>
              <w:rPr>
                <w:rFonts w:ascii="Times New Roman" w:hAnsi="Times New Roman" w:cs="Times New Roman"/>
                <w:sz w:val="18"/>
              </w:rPr>
            </w:pPr>
          </w:p>
          <w:p w14:paraId="2DE37C44" w14:textId="384B5054" w:rsidR="0006645B" w:rsidRDefault="0005664E" w:rsidP="0005664E">
            <w:pPr>
              <w:jc w:val="both"/>
              <w:rPr>
                <w:rFonts w:ascii="Times New Roman" w:hAnsi="Times New Roman" w:cs="Times New Roman"/>
              </w:rPr>
            </w:pPr>
            <w:r w:rsidRPr="0005664E">
              <w:rPr>
                <w:rFonts w:ascii="Times New Roman" w:hAnsi="Times New Roman" w:cs="Times New Roman"/>
              </w:rPr>
              <w:t>En general, los efectos estuvieron concentrados en el sector social, 51</w:t>
            </w:r>
            <w:r w:rsidR="0006645B">
              <w:rPr>
                <w:rFonts w:ascii="Times New Roman" w:hAnsi="Times New Roman" w:cs="Times New Roman"/>
              </w:rPr>
              <w:t>.4</w:t>
            </w:r>
            <w:r w:rsidRPr="0005664E">
              <w:rPr>
                <w:rFonts w:ascii="Times New Roman" w:hAnsi="Times New Roman" w:cs="Times New Roman"/>
              </w:rPr>
              <w:t>%, seguido por el</w:t>
            </w:r>
            <w:r w:rsidR="0006645B">
              <w:rPr>
                <w:rFonts w:ascii="Times New Roman" w:hAnsi="Times New Roman" w:cs="Times New Roman"/>
              </w:rPr>
              <w:t xml:space="preserve"> sector productivo</w:t>
            </w:r>
            <w:r w:rsidRPr="0005664E">
              <w:rPr>
                <w:rFonts w:ascii="Times New Roman" w:hAnsi="Times New Roman" w:cs="Times New Roman"/>
              </w:rPr>
              <w:t xml:space="preserve"> 33</w:t>
            </w:r>
            <w:r w:rsidR="0006645B">
              <w:rPr>
                <w:rFonts w:ascii="Times New Roman" w:hAnsi="Times New Roman" w:cs="Times New Roman"/>
              </w:rPr>
              <w:t>.4</w:t>
            </w:r>
            <w:r w:rsidRPr="0005664E">
              <w:rPr>
                <w:rFonts w:ascii="Times New Roman" w:hAnsi="Times New Roman" w:cs="Times New Roman"/>
              </w:rPr>
              <w:t>%</w:t>
            </w:r>
            <w:r w:rsidR="0006645B">
              <w:rPr>
                <w:rFonts w:ascii="Times New Roman" w:hAnsi="Times New Roman" w:cs="Times New Roman"/>
              </w:rPr>
              <w:t xml:space="preserve">, el sector infraestructura 8.6% y el sector medio ambiente 6.5%. </w:t>
            </w:r>
          </w:p>
          <w:p w14:paraId="0B230A42" w14:textId="77777777" w:rsidR="00E13C07" w:rsidRDefault="00E13C07" w:rsidP="0005664E">
            <w:pPr>
              <w:jc w:val="both"/>
              <w:rPr>
                <w:rFonts w:ascii="Times New Roman" w:hAnsi="Times New Roman" w:cs="Times New Roman"/>
              </w:rPr>
            </w:pPr>
          </w:p>
          <w:p w14:paraId="5A4D3960" w14:textId="77777777" w:rsidR="0006645B" w:rsidRDefault="00E13C07" w:rsidP="0005664E">
            <w:pPr>
              <w:jc w:val="both"/>
              <w:rPr>
                <w:rFonts w:ascii="Times New Roman" w:hAnsi="Times New Roman" w:cs="Times New Roman"/>
              </w:rPr>
            </w:pPr>
            <w:r>
              <w:rPr>
                <w:rFonts w:ascii="Times New Roman" w:hAnsi="Times New Roman" w:cs="Times New Roman"/>
              </w:rPr>
              <w:t xml:space="preserve">Dentro del sector social, el 85.3% de los efectos estuvieron concentrados en el subsector vivienda, seguido por el subsector salud (11.1%), costos de emergencia (2.1%) y educación (1.5%). Por su parte, en el sector productivo el 65% de los efectos se concentraron en el subsector agropecuario, seguido por el turismo (23.7%), comercio (7.1%) y la manufactura (4.2%). En el sector infraestructura, el 94.4% de los efectos se concentraron en el subsector transporte, seguido por agua y saneamiento (3.1%) y energía (2.5%). </w:t>
            </w:r>
          </w:p>
          <w:p w14:paraId="5F9F08F1" w14:textId="77777777" w:rsidR="0005664E" w:rsidRPr="005C7EBF" w:rsidRDefault="0005664E" w:rsidP="0005664E">
            <w:pPr>
              <w:jc w:val="both"/>
              <w:rPr>
                <w:rFonts w:ascii="Times New Roman" w:hAnsi="Times New Roman" w:cs="Times New Roman"/>
                <w:color w:val="222A35" w:themeColor="text2" w:themeShade="80"/>
              </w:rPr>
            </w:pPr>
          </w:p>
          <w:p w14:paraId="7326E30F" w14:textId="74D3CD61" w:rsidR="005C7EBF" w:rsidRPr="009E18F8" w:rsidRDefault="009E18F8" w:rsidP="009E18F8">
            <w:pPr>
              <w:pStyle w:val="Epgrafe"/>
              <w:keepNext/>
              <w:jc w:val="center"/>
            </w:pPr>
            <w:bookmarkStart w:id="1027" w:name="_Toc81573037"/>
            <w:r w:rsidRPr="009E18F8">
              <w:rPr>
                <w:rFonts w:ascii="Times New Roman" w:hAnsi="Times New Roman" w:cs="Times New Roman"/>
                <w:b/>
                <w:color w:val="auto"/>
                <w:sz w:val="20"/>
              </w:rPr>
              <w:t xml:space="preserve">Tabla </w:t>
            </w:r>
            <w:r w:rsidRPr="009E18F8">
              <w:rPr>
                <w:rFonts w:ascii="Times New Roman" w:hAnsi="Times New Roman" w:cs="Times New Roman"/>
                <w:b/>
                <w:color w:val="auto"/>
                <w:sz w:val="20"/>
              </w:rPr>
              <w:fldChar w:fldCharType="begin"/>
            </w:r>
            <w:r w:rsidRPr="009E18F8">
              <w:rPr>
                <w:rFonts w:ascii="Times New Roman" w:hAnsi="Times New Roman" w:cs="Times New Roman"/>
                <w:b/>
                <w:color w:val="auto"/>
                <w:sz w:val="20"/>
              </w:rPr>
              <w:instrText xml:space="preserve"> SEQ Tabla \* ARABIC </w:instrText>
            </w:r>
            <w:r w:rsidRPr="009E18F8">
              <w:rPr>
                <w:rFonts w:ascii="Times New Roman" w:hAnsi="Times New Roman" w:cs="Times New Roman"/>
                <w:b/>
                <w:color w:val="auto"/>
                <w:sz w:val="20"/>
              </w:rPr>
              <w:fldChar w:fldCharType="separate"/>
            </w:r>
            <w:r w:rsidRPr="009E18F8">
              <w:rPr>
                <w:rFonts w:ascii="Times New Roman" w:hAnsi="Times New Roman" w:cs="Times New Roman"/>
                <w:b/>
                <w:noProof/>
                <w:color w:val="auto"/>
                <w:sz w:val="20"/>
              </w:rPr>
              <w:t>15</w:t>
            </w:r>
            <w:r w:rsidRPr="009E18F8">
              <w:rPr>
                <w:rFonts w:ascii="Times New Roman" w:hAnsi="Times New Roman" w:cs="Times New Roman"/>
                <w:b/>
                <w:color w:val="auto"/>
                <w:sz w:val="20"/>
              </w:rPr>
              <w:fldChar w:fldCharType="end"/>
            </w:r>
            <w:r w:rsidRPr="009E18F8">
              <w:rPr>
                <w:rFonts w:ascii="Times New Roman" w:hAnsi="Times New Roman" w:cs="Times New Roman"/>
                <w:b/>
                <w:color w:val="auto"/>
                <w:sz w:val="20"/>
              </w:rPr>
              <w:t xml:space="preserve">.  </w:t>
            </w:r>
            <w:r w:rsidR="005C7EBF" w:rsidRPr="005C7EBF">
              <w:rPr>
                <w:rFonts w:ascii="Times New Roman" w:hAnsi="Times New Roman" w:cs="Times New Roman"/>
                <w:b/>
                <w:i w:val="0"/>
                <w:color w:val="222A35" w:themeColor="text2" w:themeShade="80"/>
                <w:sz w:val="20"/>
              </w:rPr>
              <w:t>Efectos sectoriales totales</w:t>
            </w:r>
            <w:bookmarkEnd w:id="1027"/>
          </w:p>
          <w:tbl>
            <w:tblPr>
              <w:tblStyle w:val="ListTable4Accent1"/>
              <w:tblW w:w="5460" w:type="dxa"/>
              <w:jc w:val="center"/>
              <w:tblLook w:val="04A0" w:firstRow="1" w:lastRow="0" w:firstColumn="1" w:lastColumn="0" w:noHBand="0" w:noVBand="1"/>
            </w:tblPr>
            <w:tblGrid>
              <w:gridCol w:w="1580"/>
              <w:gridCol w:w="1340"/>
              <w:gridCol w:w="1380"/>
              <w:gridCol w:w="1160"/>
            </w:tblGrid>
            <w:tr w:rsidR="00565542" w:rsidRPr="00565542" w14:paraId="1D3D5334" w14:textId="77777777" w:rsidTr="00565542">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80" w:type="dxa"/>
                  <w:tcBorders>
                    <w:top w:val="none" w:sz="0" w:space="0" w:color="auto"/>
                    <w:left w:val="none" w:sz="0" w:space="0" w:color="auto"/>
                    <w:bottom w:val="none" w:sz="0" w:space="0" w:color="auto"/>
                  </w:tcBorders>
                  <w:vAlign w:val="center"/>
                  <w:hideMark/>
                </w:tcPr>
                <w:p w14:paraId="35E1AAAA" w14:textId="77777777" w:rsidR="00565542" w:rsidRPr="00565542" w:rsidRDefault="00565542" w:rsidP="00565542">
                  <w:pPr>
                    <w:jc w:val="center"/>
                    <w:rPr>
                      <w:rFonts w:ascii="Times New Roman" w:eastAsia="Times New Roman" w:hAnsi="Times New Roman" w:cs="Times New Roman"/>
                      <w:color w:val="000000"/>
                      <w:sz w:val="16"/>
                      <w:szCs w:val="16"/>
                      <w:lang w:eastAsia="es-GT"/>
                    </w:rPr>
                  </w:pPr>
                  <w:r w:rsidRPr="00565542">
                    <w:rPr>
                      <w:rFonts w:ascii="Times New Roman" w:eastAsia="Times New Roman" w:hAnsi="Times New Roman" w:cs="Times New Roman"/>
                      <w:color w:val="000000"/>
                      <w:sz w:val="16"/>
                      <w:szCs w:val="16"/>
                      <w:lang w:val="es-CR" w:eastAsia="es-GT"/>
                    </w:rPr>
                    <w:t>Sectores</w:t>
                  </w:r>
                </w:p>
              </w:tc>
              <w:tc>
                <w:tcPr>
                  <w:tcW w:w="1340" w:type="dxa"/>
                  <w:tcBorders>
                    <w:top w:val="none" w:sz="0" w:space="0" w:color="auto"/>
                    <w:bottom w:val="none" w:sz="0" w:space="0" w:color="auto"/>
                  </w:tcBorders>
                  <w:vAlign w:val="center"/>
                  <w:hideMark/>
                </w:tcPr>
                <w:p w14:paraId="2D5D0B1C" w14:textId="77777777" w:rsidR="00565542" w:rsidRPr="00565542" w:rsidRDefault="00565542" w:rsidP="0056554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GT"/>
                    </w:rPr>
                  </w:pPr>
                  <w:r w:rsidRPr="00565542">
                    <w:rPr>
                      <w:rFonts w:ascii="Times New Roman" w:eastAsia="Times New Roman" w:hAnsi="Times New Roman" w:cs="Times New Roman"/>
                      <w:color w:val="000000"/>
                      <w:sz w:val="16"/>
                      <w:szCs w:val="16"/>
                      <w:lang w:val="es-CR" w:eastAsia="es-GT"/>
                    </w:rPr>
                    <w:t>Público</w:t>
                  </w:r>
                </w:p>
              </w:tc>
              <w:tc>
                <w:tcPr>
                  <w:tcW w:w="1380" w:type="dxa"/>
                  <w:tcBorders>
                    <w:top w:val="none" w:sz="0" w:space="0" w:color="auto"/>
                    <w:bottom w:val="none" w:sz="0" w:space="0" w:color="auto"/>
                  </w:tcBorders>
                  <w:vAlign w:val="center"/>
                  <w:hideMark/>
                </w:tcPr>
                <w:p w14:paraId="657FF25C" w14:textId="77777777" w:rsidR="00565542" w:rsidRPr="00565542" w:rsidRDefault="00565542" w:rsidP="0056554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GT"/>
                    </w:rPr>
                  </w:pPr>
                  <w:r w:rsidRPr="00565542">
                    <w:rPr>
                      <w:rFonts w:ascii="Times New Roman" w:eastAsia="Times New Roman" w:hAnsi="Times New Roman" w:cs="Times New Roman"/>
                      <w:color w:val="000000"/>
                      <w:sz w:val="16"/>
                      <w:szCs w:val="16"/>
                      <w:lang w:val="es-CR" w:eastAsia="es-GT"/>
                    </w:rPr>
                    <w:t>Privado</w:t>
                  </w:r>
                </w:p>
              </w:tc>
              <w:tc>
                <w:tcPr>
                  <w:tcW w:w="1160" w:type="dxa"/>
                  <w:tcBorders>
                    <w:top w:val="none" w:sz="0" w:space="0" w:color="auto"/>
                    <w:bottom w:val="none" w:sz="0" w:space="0" w:color="auto"/>
                    <w:right w:val="none" w:sz="0" w:space="0" w:color="auto"/>
                  </w:tcBorders>
                  <w:vAlign w:val="center"/>
                  <w:hideMark/>
                </w:tcPr>
                <w:p w14:paraId="78818E4F" w14:textId="77777777" w:rsidR="00565542" w:rsidRPr="00565542" w:rsidRDefault="00565542" w:rsidP="0056554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GT"/>
                    </w:rPr>
                  </w:pPr>
                  <w:r w:rsidRPr="00565542">
                    <w:rPr>
                      <w:rFonts w:ascii="Times New Roman" w:eastAsia="Times New Roman" w:hAnsi="Times New Roman" w:cs="Times New Roman"/>
                      <w:color w:val="000000"/>
                      <w:sz w:val="16"/>
                      <w:szCs w:val="16"/>
                      <w:lang w:val="es-CR" w:eastAsia="es-GT"/>
                    </w:rPr>
                    <w:t>Total</w:t>
                  </w:r>
                </w:p>
              </w:tc>
            </w:tr>
            <w:tr w:rsidR="00565542" w:rsidRPr="00565542" w14:paraId="3631C5F4" w14:textId="77777777" w:rsidTr="0056554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80" w:type="dxa"/>
                  <w:noWrap/>
                  <w:vAlign w:val="center"/>
                  <w:hideMark/>
                </w:tcPr>
                <w:p w14:paraId="54ADB7F3" w14:textId="77777777" w:rsidR="00565542" w:rsidRPr="00565542" w:rsidRDefault="00565542" w:rsidP="00565542">
                  <w:pPr>
                    <w:rPr>
                      <w:rFonts w:ascii="Times New Roman" w:eastAsia="Times New Roman" w:hAnsi="Times New Roman" w:cs="Times New Roman"/>
                      <w:b w:val="0"/>
                      <w:color w:val="000000"/>
                      <w:sz w:val="16"/>
                      <w:szCs w:val="16"/>
                      <w:lang w:eastAsia="es-GT"/>
                    </w:rPr>
                  </w:pPr>
                  <w:r w:rsidRPr="00565542">
                    <w:rPr>
                      <w:rFonts w:ascii="Times New Roman" w:eastAsia="Times New Roman" w:hAnsi="Times New Roman" w:cs="Times New Roman"/>
                      <w:b w:val="0"/>
                      <w:color w:val="000000"/>
                      <w:sz w:val="16"/>
                      <w:szCs w:val="16"/>
                      <w:lang w:val="es-CR" w:eastAsia="es-GT"/>
                    </w:rPr>
                    <w:t>Social</w:t>
                  </w:r>
                </w:p>
              </w:tc>
              <w:tc>
                <w:tcPr>
                  <w:tcW w:w="1340" w:type="dxa"/>
                  <w:noWrap/>
                  <w:vAlign w:val="center"/>
                  <w:hideMark/>
                </w:tcPr>
                <w:p w14:paraId="2776B8C0" w14:textId="77777777" w:rsidR="00565542" w:rsidRPr="00565542" w:rsidRDefault="00565542" w:rsidP="005655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GT"/>
                    </w:rPr>
                  </w:pPr>
                  <w:r w:rsidRPr="00565542">
                    <w:rPr>
                      <w:rFonts w:ascii="Times New Roman" w:eastAsia="Times New Roman" w:hAnsi="Times New Roman" w:cs="Times New Roman"/>
                      <w:color w:val="000000"/>
                      <w:sz w:val="16"/>
                      <w:szCs w:val="16"/>
                      <w:lang w:eastAsia="es-GT"/>
                    </w:rPr>
                    <w:t>Q424.0</w:t>
                  </w:r>
                </w:p>
              </w:tc>
              <w:tc>
                <w:tcPr>
                  <w:tcW w:w="1380" w:type="dxa"/>
                  <w:noWrap/>
                  <w:vAlign w:val="center"/>
                  <w:hideMark/>
                </w:tcPr>
                <w:p w14:paraId="109A5E91" w14:textId="77777777" w:rsidR="00565542" w:rsidRPr="00565542" w:rsidRDefault="00565542" w:rsidP="005655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GT"/>
                    </w:rPr>
                  </w:pPr>
                  <w:r w:rsidRPr="00565542">
                    <w:rPr>
                      <w:rFonts w:ascii="Times New Roman" w:eastAsia="Times New Roman" w:hAnsi="Times New Roman" w:cs="Times New Roman"/>
                      <w:color w:val="000000"/>
                      <w:sz w:val="16"/>
                      <w:szCs w:val="16"/>
                      <w:lang w:eastAsia="es-GT"/>
                    </w:rPr>
                    <w:t>Q2,453.0</w:t>
                  </w:r>
                </w:p>
              </w:tc>
              <w:tc>
                <w:tcPr>
                  <w:tcW w:w="1160" w:type="dxa"/>
                  <w:noWrap/>
                  <w:vAlign w:val="center"/>
                  <w:hideMark/>
                </w:tcPr>
                <w:p w14:paraId="0D2A98BA" w14:textId="77777777" w:rsidR="00565542" w:rsidRPr="00565542" w:rsidRDefault="00565542" w:rsidP="005655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GT"/>
                    </w:rPr>
                  </w:pPr>
                  <w:r w:rsidRPr="00565542">
                    <w:rPr>
                      <w:rFonts w:ascii="Times New Roman" w:eastAsia="Times New Roman" w:hAnsi="Times New Roman" w:cs="Times New Roman"/>
                      <w:color w:val="000000"/>
                      <w:sz w:val="16"/>
                      <w:szCs w:val="16"/>
                      <w:lang w:eastAsia="es-GT"/>
                    </w:rPr>
                    <w:t>Q</w:t>
                  </w:r>
                  <w:r w:rsidR="0006645B">
                    <w:rPr>
                      <w:rFonts w:ascii="Times New Roman" w:eastAsia="Times New Roman" w:hAnsi="Times New Roman" w:cs="Times New Roman"/>
                      <w:color w:val="000000"/>
                      <w:sz w:val="16"/>
                      <w:szCs w:val="16"/>
                      <w:lang w:eastAsia="es-GT"/>
                    </w:rPr>
                    <w:t>2,</w:t>
                  </w:r>
                  <w:r w:rsidRPr="00565542">
                    <w:rPr>
                      <w:rFonts w:ascii="Times New Roman" w:eastAsia="Times New Roman" w:hAnsi="Times New Roman" w:cs="Times New Roman"/>
                      <w:color w:val="000000"/>
                      <w:sz w:val="16"/>
                      <w:szCs w:val="16"/>
                      <w:lang w:eastAsia="es-GT"/>
                    </w:rPr>
                    <w:t>877.1</w:t>
                  </w:r>
                </w:p>
              </w:tc>
            </w:tr>
            <w:tr w:rsidR="00565542" w:rsidRPr="00565542" w14:paraId="6D8FF979" w14:textId="77777777" w:rsidTr="00565542">
              <w:trPr>
                <w:trHeight w:val="315"/>
                <w:jc w:val="center"/>
              </w:trPr>
              <w:tc>
                <w:tcPr>
                  <w:cnfStyle w:val="001000000000" w:firstRow="0" w:lastRow="0" w:firstColumn="1" w:lastColumn="0" w:oddVBand="0" w:evenVBand="0" w:oddHBand="0" w:evenHBand="0" w:firstRowFirstColumn="0" w:firstRowLastColumn="0" w:lastRowFirstColumn="0" w:lastRowLastColumn="0"/>
                  <w:tcW w:w="1580" w:type="dxa"/>
                  <w:noWrap/>
                  <w:vAlign w:val="center"/>
                  <w:hideMark/>
                </w:tcPr>
                <w:p w14:paraId="2E83E5D4" w14:textId="77777777" w:rsidR="00565542" w:rsidRPr="00565542" w:rsidRDefault="00565542" w:rsidP="00565542">
                  <w:pPr>
                    <w:rPr>
                      <w:rFonts w:ascii="Times New Roman" w:eastAsia="Times New Roman" w:hAnsi="Times New Roman" w:cs="Times New Roman"/>
                      <w:b w:val="0"/>
                      <w:color w:val="000000"/>
                      <w:sz w:val="16"/>
                      <w:szCs w:val="16"/>
                      <w:lang w:eastAsia="es-GT"/>
                    </w:rPr>
                  </w:pPr>
                  <w:r w:rsidRPr="00565542">
                    <w:rPr>
                      <w:rFonts w:ascii="Times New Roman" w:eastAsia="Times New Roman" w:hAnsi="Times New Roman" w:cs="Times New Roman"/>
                      <w:b w:val="0"/>
                      <w:color w:val="000000"/>
                      <w:sz w:val="16"/>
                      <w:szCs w:val="16"/>
                      <w:lang w:val="es-CR" w:eastAsia="es-GT"/>
                    </w:rPr>
                    <w:t>Productivo</w:t>
                  </w:r>
                </w:p>
              </w:tc>
              <w:tc>
                <w:tcPr>
                  <w:tcW w:w="1340" w:type="dxa"/>
                  <w:noWrap/>
                  <w:vAlign w:val="center"/>
                  <w:hideMark/>
                </w:tcPr>
                <w:p w14:paraId="1514B4BC" w14:textId="77777777" w:rsidR="00565542" w:rsidRPr="00565542" w:rsidRDefault="00565542" w:rsidP="005655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GT"/>
                    </w:rPr>
                  </w:pPr>
                  <w:r w:rsidRPr="00565542">
                    <w:rPr>
                      <w:rFonts w:ascii="Times New Roman" w:eastAsia="Times New Roman" w:hAnsi="Times New Roman" w:cs="Times New Roman"/>
                      <w:color w:val="000000"/>
                      <w:sz w:val="16"/>
                      <w:szCs w:val="16"/>
                      <w:lang w:eastAsia="es-GT"/>
                    </w:rPr>
                    <w:t>Q5.5</w:t>
                  </w:r>
                </w:p>
              </w:tc>
              <w:tc>
                <w:tcPr>
                  <w:tcW w:w="1380" w:type="dxa"/>
                  <w:noWrap/>
                  <w:vAlign w:val="center"/>
                  <w:hideMark/>
                </w:tcPr>
                <w:p w14:paraId="5666450C" w14:textId="77777777" w:rsidR="00565542" w:rsidRPr="00565542" w:rsidRDefault="00565542" w:rsidP="005655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GT"/>
                    </w:rPr>
                  </w:pPr>
                  <w:r w:rsidRPr="00565542">
                    <w:rPr>
                      <w:rFonts w:ascii="Times New Roman" w:eastAsia="Times New Roman" w:hAnsi="Times New Roman" w:cs="Times New Roman"/>
                      <w:color w:val="000000"/>
                      <w:sz w:val="16"/>
                      <w:szCs w:val="16"/>
                      <w:lang w:eastAsia="es-GT"/>
                    </w:rPr>
                    <w:t>Q1,864.4</w:t>
                  </w:r>
                </w:p>
              </w:tc>
              <w:tc>
                <w:tcPr>
                  <w:tcW w:w="1160" w:type="dxa"/>
                  <w:noWrap/>
                  <w:vAlign w:val="center"/>
                  <w:hideMark/>
                </w:tcPr>
                <w:p w14:paraId="2C73B268" w14:textId="77777777" w:rsidR="00565542" w:rsidRPr="00565542" w:rsidRDefault="00565542" w:rsidP="000664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GT"/>
                    </w:rPr>
                  </w:pPr>
                  <w:r w:rsidRPr="00565542">
                    <w:rPr>
                      <w:rFonts w:ascii="Times New Roman" w:eastAsia="Times New Roman" w:hAnsi="Times New Roman" w:cs="Times New Roman"/>
                      <w:color w:val="000000"/>
                      <w:sz w:val="16"/>
                      <w:szCs w:val="16"/>
                      <w:lang w:eastAsia="es-GT"/>
                    </w:rPr>
                    <w:t>Q</w:t>
                  </w:r>
                  <w:r w:rsidR="0006645B">
                    <w:rPr>
                      <w:rFonts w:ascii="Times New Roman" w:eastAsia="Times New Roman" w:hAnsi="Times New Roman" w:cs="Times New Roman"/>
                      <w:color w:val="000000"/>
                      <w:sz w:val="16"/>
                      <w:szCs w:val="16"/>
                      <w:lang w:eastAsia="es-GT"/>
                    </w:rPr>
                    <w:t>1,</w:t>
                  </w:r>
                  <w:r w:rsidRPr="00565542">
                    <w:rPr>
                      <w:rFonts w:ascii="Times New Roman" w:eastAsia="Times New Roman" w:hAnsi="Times New Roman" w:cs="Times New Roman"/>
                      <w:color w:val="000000"/>
                      <w:sz w:val="16"/>
                      <w:szCs w:val="16"/>
                      <w:lang w:eastAsia="es-GT"/>
                    </w:rPr>
                    <w:t>8</w:t>
                  </w:r>
                  <w:r w:rsidR="0006645B">
                    <w:rPr>
                      <w:rFonts w:ascii="Times New Roman" w:eastAsia="Times New Roman" w:hAnsi="Times New Roman" w:cs="Times New Roman"/>
                      <w:color w:val="000000"/>
                      <w:sz w:val="16"/>
                      <w:szCs w:val="16"/>
                      <w:lang w:eastAsia="es-GT"/>
                    </w:rPr>
                    <w:t>69</w:t>
                  </w:r>
                  <w:r w:rsidRPr="00565542">
                    <w:rPr>
                      <w:rFonts w:ascii="Times New Roman" w:eastAsia="Times New Roman" w:hAnsi="Times New Roman" w:cs="Times New Roman"/>
                      <w:color w:val="000000"/>
                      <w:sz w:val="16"/>
                      <w:szCs w:val="16"/>
                      <w:lang w:eastAsia="es-GT"/>
                    </w:rPr>
                    <w:t>.</w:t>
                  </w:r>
                  <w:r w:rsidR="0006645B">
                    <w:rPr>
                      <w:rFonts w:ascii="Times New Roman" w:eastAsia="Times New Roman" w:hAnsi="Times New Roman" w:cs="Times New Roman"/>
                      <w:color w:val="000000"/>
                      <w:sz w:val="16"/>
                      <w:szCs w:val="16"/>
                      <w:lang w:eastAsia="es-GT"/>
                    </w:rPr>
                    <w:t>9</w:t>
                  </w:r>
                </w:p>
              </w:tc>
            </w:tr>
            <w:tr w:rsidR="00565542" w:rsidRPr="00565542" w14:paraId="1794A28C" w14:textId="77777777" w:rsidTr="0056554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80" w:type="dxa"/>
                  <w:noWrap/>
                  <w:vAlign w:val="center"/>
                  <w:hideMark/>
                </w:tcPr>
                <w:p w14:paraId="476291EA" w14:textId="77777777" w:rsidR="00565542" w:rsidRPr="00565542" w:rsidRDefault="00565542" w:rsidP="00565542">
                  <w:pPr>
                    <w:rPr>
                      <w:rFonts w:ascii="Times New Roman" w:eastAsia="Times New Roman" w:hAnsi="Times New Roman" w:cs="Times New Roman"/>
                      <w:b w:val="0"/>
                      <w:color w:val="000000"/>
                      <w:sz w:val="16"/>
                      <w:szCs w:val="16"/>
                      <w:lang w:eastAsia="es-GT"/>
                    </w:rPr>
                  </w:pPr>
                  <w:r w:rsidRPr="00565542">
                    <w:rPr>
                      <w:rFonts w:ascii="Times New Roman" w:eastAsia="Times New Roman" w:hAnsi="Times New Roman" w:cs="Times New Roman"/>
                      <w:b w:val="0"/>
                      <w:color w:val="000000"/>
                      <w:sz w:val="16"/>
                      <w:szCs w:val="16"/>
                      <w:lang w:val="es-CR" w:eastAsia="es-GT"/>
                    </w:rPr>
                    <w:t>Infraestructura</w:t>
                  </w:r>
                </w:p>
              </w:tc>
              <w:tc>
                <w:tcPr>
                  <w:tcW w:w="1340" w:type="dxa"/>
                  <w:noWrap/>
                  <w:vAlign w:val="center"/>
                  <w:hideMark/>
                </w:tcPr>
                <w:p w14:paraId="2B849AB2" w14:textId="77777777" w:rsidR="00565542" w:rsidRPr="00565542" w:rsidRDefault="00565542" w:rsidP="005655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GT"/>
                    </w:rPr>
                  </w:pPr>
                  <w:r w:rsidRPr="00565542">
                    <w:rPr>
                      <w:rFonts w:ascii="Times New Roman" w:eastAsia="Times New Roman" w:hAnsi="Times New Roman" w:cs="Times New Roman"/>
                      <w:color w:val="000000"/>
                      <w:sz w:val="16"/>
                      <w:szCs w:val="16"/>
                      <w:lang w:eastAsia="es-GT"/>
                    </w:rPr>
                    <w:t>Q272.4</w:t>
                  </w:r>
                </w:p>
              </w:tc>
              <w:tc>
                <w:tcPr>
                  <w:tcW w:w="1380" w:type="dxa"/>
                  <w:noWrap/>
                  <w:vAlign w:val="center"/>
                  <w:hideMark/>
                </w:tcPr>
                <w:p w14:paraId="192F6C98" w14:textId="77777777" w:rsidR="00565542" w:rsidRPr="00565542" w:rsidRDefault="00565542" w:rsidP="005655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GT"/>
                    </w:rPr>
                  </w:pPr>
                  <w:r w:rsidRPr="00565542">
                    <w:rPr>
                      <w:rFonts w:ascii="Times New Roman" w:eastAsia="Times New Roman" w:hAnsi="Times New Roman" w:cs="Times New Roman"/>
                      <w:color w:val="000000"/>
                      <w:sz w:val="16"/>
                      <w:szCs w:val="16"/>
                      <w:lang w:eastAsia="es-GT"/>
                    </w:rPr>
                    <w:t>Q211.3</w:t>
                  </w:r>
                </w:p>
              </w:tc>
              <w:tc>
                <w:tcPr>
                  <w:tcW w:w="1160" w:type="dxa"/>
                  <w:noWrap/>
                  <w:vAlign w:val="center"/>
                  <w:hideMark/>
                </w:tcPr>
                <w:p w14:paraId="4B65B319" w14:textId="77777777" w:rsidR="00565542" w:rsidRPr="00565542" w:rsidRDefault="00565542" w:rsidP="005655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GT"/>
                    </w:rPr>
                  </w:pPr>
                  <w:r w:rsidRPr="00565542">
                    <w:rPr>
                      <w:rFonts w:ascii="Times New Roman" w:eastAsia="Times New Roman" w:hAnsi="Times New Roman" w:cs="Times New Roman"/>
                      <w:color w:val="000000"/>
                      <w:sz w:val="16"/>
                      <w:szCs w:val="16"/>
                      <w:lang w:eastAsia="es-GT"/>
                    </w:rPr>
                    <w:t>Q483.7</w:t>
                  </w:r>
                </w:p>
              </w:tc>
            </w:tr>
            <w:tr w:rsidR="00565542" w:rsidRPr="00565542" w14:paraId="5BC87837" w14:textId="77777777" w:rsidTr="00565542">
              <w:trPr>
                <w:trHeight w:val="315"/>
                <w:jc w:val="center"/>
              </w:trPr>
              <w:tc>
                <w:tcPr>
                  <w:cnfStyle w:val="001000000000" w:firstRow="0" w:lastRow="0" w:firstColumn="1" w:lastColumn="0" w:oddVBand="0" w:evenVBand="0" w:oddHBand="0" w:evenHBand="0" w:firstRowFirstColumn="0" w:firstRowLastColumn="0" w:lastRowFirstColumn="0" w:lastRowLastColumn="0"/>
                  <w:tcW w:w="1580" w:type="dxa"/>
                  <w:noWrap/>
                  <w:vAlign w:val="center"/>
                  <w:hideMark/>
                </w:tcPr>
                <w:p w14:paraId="3C2C8DE1" w14:textId="77777777" w:rsidR="00565542" w:rsidRPr="00565542" w:rsidRDefault="00565542" w:rsidP="00565542">
                  <w:pPr>
                    <w:rPr>
                      <w:rFonts w:ascii="Times New Roman" w:eastAsia="Times New Roman" w:hAnsi="Times New Roman" w:cs="Times New Roman"/>
                      <w:b w:val="0"/>
                      <w:color w:val="000000"/>
                      <w:sz w:val="16"/>
                      <w:szCs w:val="16"/>
                      <w:lang w:eastAsia="es-GT"/>
                    </w:rPr>
                  </w:pPr>
                  <w:r w:rsidRPr="00565542">
                    <w:rPr>
                      <w:rFonts w:ascii="Times New Roman" w:eastAsia="Times New Roman" w:hAnsi="Times New Roman" w:cs="Times New Roman"/>
                      <w:b w:val="0"/>
                      <w:color w:val="000000"/>
                      <w:sz w:val="16"/>
                      <w:szCs w:val="16"/>
                      <w:lang w:val="es-CR" w:eastAsia="es-GT"/>
                    </w:rPr>
                    <w:t>Medio ambiente</w:t>
                  </w:r>
                </w:p>
              </w:tc>
              <w:tc>
                <w:tcPr>
                  <w:tcW w:w="1340" w:type="dxa"/>
                  <w:noWrap/>
                  <w:vAlign w:val="center"/>
                  <w:hideMark/>
                </w:tcPr>
                <w:p w14:paraId="144BD359" w14:textId="77777777" w:rsidR="00565542" w:rsidRPr="00565542" w:rsidRDefault="00565542" w:rsidP="005655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GT"/>
                    </w:rPr>
                  </w:pPr>
                  <w:r w:rsidRPr="00565542">
                    <w:rPr>
                      <w:rFonts w:ascii="Times New Roman" w:eastAsia="Times New Roman" w:hAnsi="Times New Roman" w:cs="Times New Roman"/>
                      <w:color w:val="000000"/>
                      <w:sz w:val="16"/>
                      <w:szCs w:val="16"/>
                      <w:lang w:eastAsia="es-GT"/>
                    </w:rPr>
                    <w:t>Q366.3</w:t>
                  </w:r>
                </w:p>
              </w:tc>
              <w:tc>
                <w:tcPr>
                  <w:tcW w:w="1380" w:type="dxa"/>
                  <w:noWrap/>
                  <w:vAlign w:val="center"/>
                  <w:hideMark/>
                </w:tcPr>
                <w:p w14:paraId="3BF7B24F" w14:textId="77777777" w:rsidR="00565542" w:rsidRPr="00565542" w:rsidRDefault="00565542" w:rsidP="005655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GT"/>
                    </w:rPr>
                  </w:pPr>
                </w:p>
              </w:tc>
              <w:tc>
                <w:tcPr>
                  <w:tcW w:w="1160" w:type="dxa"/>
                  <w:noWrap/>
                  <w:vAlign w:val="center"/>
                  <w:hideMark/>
                </w:tcPr>
                <w:p w14:paraId="28804449" w14:textId="77777777" w:rsidR="00565542" w:rsidRPr="00565542" w:rsidRDefault="00565542" w:rsidP="005655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GT"/>
                    </w:rPr>
                  </w:pPr>
                  <w:r w:rsidRPr="00565542">
                    <w:rPr>
                      <w:rFonts w:ascii="Times New Roman" w:eastAsia="Times New Roman" w:hAnsi="Times New Roman" w:cs="Times New Roman"/>
                      <w:color w:val="000000"/>
                      <w:sz w:val="16"/>
                      <w:szCs w:val="16"/>
                      <w:lang w:eastAsia="es-GT"/>
                    </w:rPr>
                    <w:t>Q366.3</w:t>
                  </w:r>
                </w:p>
              </w:tc>
            </w:tr>
            <w:tr w:rsidR="00565542" w:rsidRPr="00565542" w14:paraId="208B11DA" w14:textId="77777777" w:rsidTr="0056554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80" w:type="dxa"/>
                  <w:vAlign w:val="center"/>
                  <w:hideMark/>
                </w:tcPr>
                <w:p w14:paraId="34B8ABB3" w14:textId="77777777" w:rsidR="00565542" w:rsidRPr="00565542" w:rsidRDefault="00565542" w:rsidP="00565542">
                  <w:pPr>
                    <w:rPr>
                      <w:rFonts w:ascii="Times New Roman" w:eastAsia="Times New Roman" w:hAnsi="Times New Roman" w:cs="Times New Roman"/>
                      <w:color w:val="000000"/>
                      <w:sz w:val="16"/>
                      <w:szCs w:val="16"/>
                      <w:lang w:eastAsia="es-GT"/>
                    </w:rPr>
                  </w:pPr>
                  <w:r w:rsidRPr="00565542">
                    <w:rPr>
                      <w:rFonts w:ascii="Times New Roman" w:eastAsia="Times New Roman" w:hAnsi="Times New Roman" w:cs="Times New Roman"/>
                      <w:color w:val="000000"/>
                      <w:sz w:val="16"/>
                      <w:szCs w:val="16"/>
                      <w:lang w:val="es-CR" w:eastAsia="es-GT"/>
                    </w:rPr>
                    <w:t>Total</w:t>
                  </w:r>
                </w:p>
              </w:tc>
              <w:tc>
                <w:tcPr>
                  <w:tcW w:w="1340" w:type="dxa"/>
                  <w:noWrap/>
                  <w:vAlign w:val="center"/>
                  <w:hideMark/>
                </w:tcPr>
                <w:p w14:paraId="2B9FC413" w14:textId="77777777" w:rsidR="00565542" w:rsidRPr="00565542" w:rsidRDefault="00565542" w:rsidP="005655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GT"/>
                    </w:rPr>
                  </w:pPr>
                  <w:r w:rsidRPr="00565542">
                    <w:rPr>
                      <w:rFonts w:ascii="Times New Roman" w:eastAsia="Times New Roman" w:hAnsi="Times New Roman" w:cs="Times New Roman"/>
                      <w:color w:val="000000"/>
                      <w:sz w:val="16"/>
                      <w:szCs w:val="16"/>
                      <w:lang w:eastAsia="es-GT"/>
                    </w:rPr>
                    <w:t>Q1,068.3</w:t>
                  </w:r>
                </w:p>
              </w:tc>
              <w:tc>
                <w:tcPr>
                  <w:tcW w:w="1380" w:type="dxa"/>
                  <w:noWrap/>
                  <w:vAlign w:val="center"/>
                  <w:hideMark/>
                </w:tcPr>
                <w:p w14:paraId="2B31E2C6" w14:textId="77777777" w:rsidR="00565542" w:rsidRPr="00565542" w:rsidRDefault="00565542" w:rsidP="005655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GT"/>
                    </w:rPr>
                  </w:pPr>
                  <w:r w:rsidRPr="00565542">
                    <w:rPr>
                      <w:rFonts w:ascii="Times New Roman" w:eastAsia="Times New Roman" w:hAnsi="Times New Roman" w:cs="Times New Roman"/>
                      <w:color w:val="000000"/>
                      <w:sz w:val="16"/>
                      <w:szCs w:val="16"/>
                      <w:lang w:eastAsia="es-GT"/>
                    </w:rPr>
                    <w:t>Q4,528.8</w:t>
                  </w:r>
                </w:p>
              </w:tc>
              <w:tc>
                <w:tcPr>
                  <w:tcW w:w="1160" w:type="dxa"/>
                  <w:noWrap/>
                  <w:vAlign w:val="center"/>
                  <w:hideMark/>
                </w:tcPr>
                <w:p w14:paraId="33D57F8D" w14:textId="77777777" w:rsidR="00565542" w:rsidRPr="00565542" w:rsidRDefault="00565542" w:rsidP="005655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GT"/>
                    </w:rPr>
                  </w:pPr>
                  <w:r w:rsidRPr="00565542">
                    <w:rPr>
                      <w:rFonts w:ascii="Times New Roman" w:eastAsia="Times New Roman" w:hAnsi="Times New Roman" w:cs="Times New Roman"/>
                      <w:color w:val="000000"/>
                      <w:sz w:val="16"/>
                      <w:szCs w:val="16"/>
                      <w:lang w:eastAsia="es-GT"/>
                    </w:rPr>
                    <w:t>Q5,597.0</w:t>
                  </w:r>
                </w:p>
              </w:tc>
            </w:tr>
          </w:tbl>
          <w:p w14:paraId="12389291" w14:textId="77777777" w:rsidR="005C7EBF" w:rsidRDefault="005C7EBF" w:rsidP="005C7EBF">
            <w:pPr>
              <w:jc w:val="both"/>
              <w:rPr>
                <w:rFonts w:ascii="Times New Roman" w:hAnsi="Times New Roman" w:cs="Times New Roman"/>
                <w:sz w:val="14"/>
              </w:rPr>
            </w:pPr>
          </w:p>
          <w:p w14:paraId="1F5B8B43" w14:textId="7CABFFC7" w:rsidR="005C7EBF" w:rsidRPr="00E4773A" w:rsidRDefault="00E4773A" w:rsidP="005C7EBF">
            <w:pPr>
              <w:jc w:val="both"/>
              <w:rPr>
                <w:rFonts w:ascii="Times New Roman" w:hAnsi="Times New Roman" w:cs="Times New Roman"/>
                <w:sz w:val="16"/>
              </w:rPr>
            </w:pPr>
            <w:r>
              <w:rPr>
                <w:rFonts w:ascii="Times New Roman" w:hAnsi="Times New Roman" w:cs="Times New Roman"/>
                <w:sz w:val="16"/>
              </w:rPr>
              <w:t xml:space="preserve">                                            </w:t>
            </w:r>
            <w:r w:rsidR="005C7EBF" w:rsidRPr="00E4773A">
              <w:rPr>
                <w:rFonts w:ascii="Times New Roman" w:hAnsi="Times New Roman" w:cs="Times New Roman"/>
                <w:sz w:val="16"/>
              </w:rPr>
              <w:t>Fuente: Estudio Evaluaci</w:t>
            </w:r>
            <w:r w:rsidR="00E13C07" w:rsidRPr="00E4773A">
              <w:rPr>
                <w:rFonts w:ascii="Times New Roman" w:hAnsi="Times New Roman" w:cs="Times New Roman"/>
                <w:sz w:val="16"/>
              </w:rPr>
              <w:t>ón de Daños y Pérdidas:</w:t>
            </w:r>
            <w:r w:rsidR="005C7EBF" w:rsidRPr="00E4773A">
              <w:rPr>
                <w:rFonts w:ascii="Times New Roman" w:hAnsi="Times New Roman" w:cs="Times New Roman"/>
                <w:sz w:val="16"/>
              </w:rPr>
              <w:t xml:space="preserve"> ETA e IOTA</w:t>
            </w:r>
          </w:p>
          <w:p w14:paraId="15FA40DD" w14:textId="77777777" w:rsidR="0005664E" w:rsidRDefault="0005664E" w:rsidP="0005664E">
            <w:pPr>
              <w:jc w:val="both"/>
              <w:rPr>
                <w:rFonts w:ascii="Times New Roman" w:hAnsi="Times New Roman" w:cs="Times New Roman"/>
              </w:rPr>
            </w:pPr>
          </w:p>
          <w:p w14:paraId="3C97289D" w14:textId="77777777" w:rsidR="0005664E" w:rsidRDefault="00E13C07" w:rsidP="0005664E">
            <w:pPr>
              <w:jc w:val="both"/>
              <w:rPr>
                <w:rFonts w:ascii="Times New Roman" w:hAnsi="Times New Roman" w:cs="Times New Roman"/>
              </w:rPr>
            </w:pPr>
            <w:r>
              <w:rPr>
                <w:rFonts w:ascii="Times New Roman" w:hAnsi="Times New Roman" w:cs="Times New Roman"/>
              </w:rPr>
              <w:t xml:space="preserve">Pese a que el 80.9% de los efectos totales de las tormentas tropicales se agruparon en el sector privado, se reconoce el rol del Estado </w:t>
            </w:r>
            <w:r w:rsidR="00833D32">
              <w:rPr>
                <w:rFonts w:ascii="Times New Roman" w:hAnsi="Times New Roman" w:cs="Times New Roman"/>
              </w:rPr>
              <w:t>en el apoyo a la reconstrucción, por ello se considera que es relevante considerar el proceso de reconstrucción con resiliencia, considerando aspectos mínimos como la gestión del territorio, planificación de la reconstrucción de asentamientos, acatamiento del código de construcción, protección financiera de toda inversión pública y rendición de cuentas. También es importante considerar la contratación de seguros dados los efectos extremos del cambio climático y considerando la alta vulnerabilidad del país.</w:t>
            </w:r>
          </w:p>
          <w:p w14:paraId="0DFDF012" w14:textId="77777777" w:rsidR="0005664E" w:rsidRPr="00B70A4D" w:rsidRDefault="0005664E" w:rsidP="0005664E">
            <w:pPr>
              <w:jc w:val="both"/>
              <w:rPr>
                <w:rFonts w:ascii="Times New Roman" w:hAnsi="Times New Roman" w:cs="Times New Roman"/>
              </w:rPr>
            </w:pPr>
          </w:p>
        </w:tc>
      </w:tr>
    </w:tbl>
    <w:p w14:paraId="40A57A41" w14:textId="77777777" w:rsidR="00B70A4D" w:rsidRDefault="00B70A4D" w:rsidP="00A40BB4">
      <w:pPr>
        <w:tabs>
          <w:tab w:val="left" w:pos="5103"/>
        </w:tabs>
        <w:spacing w:after="0" w:line="240" w:lineRule="auto"/>
        <w:jc w:val="both"/>
        <w:rPr>
          <w:rFonts w:ascii="Times New Roman" w:hAnsi="Times New Roman" w:cs="Times New Roman"/>
          <w:b/>
          <w:sz w:val="24"/>
        </w:rPr>
      </w:pPr>
    </w:p>
    <w:p w14:paraId="274FDB71" w14:textId="77777777" w:rsidR="00235021" w:rsidRPr="005135D3" w:rsidRDefault="00235021" w:rsidP="001032E7">
      <w:pPr>
        <w:pStyle w:val="Prrafodelista"/>
        <w:numPr>
          <w:ilvl w:val="0"/>
          <w:numId w:val="37"/>
        </w:numPr>
        <w:tabs>
          <w:tab w:val="left" w:pos="5103"/>
        </w:tabs>
        <w:spacing w:after="0" w:line="240" w:lineRule="auto"/>
        <w:ind w:left="567"/>
        <w:jc w:val="both"/>
        <w:outlineLvl w:val="1"/>
        <w:rPr>
          <w:rFonts w:ascii="Times New Roman" w:hAnsi="Times New Roman" w:cs="Times New Roman"/>
          <w:b/>
          <w:sz w:val="24"/>
        </w:rPr>
      </w:pPr>
      <w:bookmarkStart w:id="1028" w:name="_Toc81571889"/>
      <w:r w:rsidRPr="005135D3">
        <w:rPr>
          <w:rFonts w:ascii="Times New Roman" w:hAnsi="Times New Roman" w:cs="Times New Roman"/>
          <w:b/>
          <w:sz w:val="24"/>
        </w:rPr>
        <w:t xml:space="preserve">Déficit Fiscal y </w:t>
      </w:r>
      <w:r w:rsidR="008832E3" w:rsidRPr="005135D3">
        <w:rPr>
          <w:rFonts w:ascii="Times New Roman" w:hAnsi="Times New Roman" w:cs="Times New Roman"/>
          <w:b/>
          <w:sz w:val="24"/>
        </w:rPr>
        <w:t xml:space="preserve">su </w:t>
      </w:r>
      <w:r w:rsidR="00784A73" w:rsidRPr="005135D3">
        <w:rPr>
          <w:rFonts w:ascii="Times New Roman" w:hAnsi="Times New Roman" w:cs="Times New Roman"/>
          <w:b/>
          <w:sz w:val="24"/>
        </w:rPr>
        <w:t>f</w:t>
      </w:r>
      <w:r w:rsidRPr="005135D3">
        <w:rPr>
          <w:rFonts w:ascii="Times New Roman" w:hAnsi="Times New Roman" w:cs="Times New Roman"/>
          <w:b/>
          <w:sz w:val="24"/>
        </w:rPr>
        <w:t>inanciamiento</w:t>
      </w:r>
      <w:bookmarkEnd w:id="1024"/>
      <w:bookmarkEnd w:id="1025"/>
      <w:bookmarkEnd w:id="1028"/>
    </w:p>
    <w:p w14:paraId="3DA250FF" w14:textId="77777777" w:rsidR="007C7CF0" w:rsidRPr="004133EB" w:rsidRDefault="007C7CF0" w:rsidP="00A7771B">
      <w:pPr>
        <w:pStyle w:val="Sinespaciado"/>
        <w:ind w:left="1276"/>
        <w:jc w:val="both"/>
        <w:rPr>
          <w:rFonts w:ascii="Times New Roman" w:hAnsi="Times New Roman" w:cs="Times New Roman"/>
          <w:b/>
        </w:rPr>
      </w:pPr>
    </w:p>
    <w:p w14:paraId="170A2367" w14:textId="77777777" w:rsidR="00235021" w:rsidRPr="004133EB" w:rsidRDefault="007C7CF0" w:rsidP="00471B17">
      <w:pPr>
        <w:spacing w:after="0" w:line="240" w:lineRule="auto"/>
        <w:jc w:val="both"/>
        <w:rPr>
          <w:rFonts w:ascii="Times New Roman" w:hAnsi="Times New Roman" w:cs="Times New Roman"/>
          <w:lang w:val="es-MX"/>
        </w:rPr>
      </w:pPr>
      <w:r w:rsidRPr="004133EB">
        <w:rPr>
          <w:rFonts w:ascii="Times New Roman" w:hAnsi="Times New Roman" w:cs="Times New Roman"/>
          <w:lang w:val="es-MX"/>
        </w:rPr>
        <w:t xml:space="preserve">El </w:t>
      </w:r>
      <w:r w:rsidR="0035695E" w:rsidRPr="004133EB">
        <w:rPr>
          <w:rFonts w:ascii="Times New Roman" w:hAnsi="Times New Roman" w:cs="Times New Roman"/>
          <w:lang w:val="es-MX"/>
        </w:rPr>
        <w:t>ejercicio fiscal 201</w:t>
      </w:r>
      <w:r w:rsidR="003F4EE2" w:rsidRPr="004133EB">
        <w:rPr>
          <w:rFonts w:ascii="Times New Roman" w:hAnsi="Times New Roman" w:cs="Times New Roman"/>
          <w:lang w:val="es-MX"/>
        </w:rPr>
        <w:t>9</w:t>
      </w:r>
      <w:r w:rsidR="0035695E" w:rsidRPr="004133EB">
        <w:rPr>
          <w:rFonts w:ascii="Times New Roman" w:hAnsi="Times New Roman" w:cs="Times New Roman"/>
          <w:lang w:val="es-MX"/>
        </w:rPr>
        <w:t xml:space="preserve"> estuvo marcado por un </w:t>
      </w:r>
      <w:r w:rsidR="00631B25" w:rsidRPr="004133EB">
        <w:rPr>
          <w:rFonts w:ascii="Times New Roman" w:hAnsi="Times New Roman" w:cs="Times New Roman"/>
          <w:lang w:val="es-MX"/>
        </w:rPr>
        <w:t>entorno macroeconómico</w:t>
      </w:r>
      <w:r w:rsidR="00235021" w:rsidRPr="004133EB">
        <w:rPr>
          <w:rFonts w:ascii="Times New Roman" w:hAnsi="Times New Roman" w:cs="Times New Roman"/>
          <w:lang w:val="es-MX"/>
        </w:rPr>
        <w:t xml:space="preserve"> favorable</w:t>
      </w:r>
      <w:r w:rsidR="00631B25" w:rsidRPr="004133EB">
        <w:rPr>
          <w:rFonts w:ascii="Times New Roman" w:hAnsi="Times New Roman" w:cs="Times New Roman"/>
          <w:lang w:val="es-MX"/>
        </w:rPr>
        <w:t>, aunque con una carga tributaria reducida</w:t>
      </w:r>
      <w:r w:rsidR="00073B71" w:rsidRPr="004133EB">
        <w:rPr>
          <w:rFonts w:ascii="Times New Roman" w:hAnsi="Times New Roman" w:cs="Times New Roman"/>
          <w:lang w:val="es-MX"/>
        </w:rPr>
        <w:t xml:space="preserve">, siendo de 10.6%, la menor reportada desde 2015 </w:t>
      </w:r>
      <w:r w:rsidR="00631B25" w:rsidRPr="004133EB">
        <w:rPr>
          <w:rFonts w:ascii="Times New Roman" w:hAnsi="Times New Roman" w:cs="Times New Roman"/>
          <w:lang w:val="es-MX"/>
        </w:rPr>
        <w:t>y</w:t>
      </w:r>
      <w:r w:rsidR="00235021" w:rsidRPr="004133EB">
        <w:rPr>
          <w:rFonts w:ascii="Times New Roman" w:hAnsi="Times New Roman" w:cs="Times New Roman"/>
          <w:lang w:val="es-MX"/>
        </w:rPr>
        <w:t xml:space="preserve"> un dinamismo de la ejecución de gasto público</w:t>
      </w:r>
      <w:r w:rsidR="00073B71" w:rsidRPr="004133EB">
        <w:rPr>
          <w:rFonts w:ascii="Times New Roman" w:hAnsi="Times New Roman" w:cs="Times New Roman"/>
          <w:lang w:val="es-MX"/>
        </w:rPr>
        <w:t xml:space="preserve">, el cual se </w:t>
      </w:r>
      <w:r w:rsidR="005F1F4A" w:rsidRPr="004133EB">
        <w:rPr>
          <w:rFonts w:ascii="Times New Roman" w:hAnsi="Times New Roman" w:cs="Times New Roman"/>
          <w:lang w:val="es-MX"/>
        </w:rPr>
        <w:t>ubicó</w:t>
      </w:r>
      <w:r w:rsidR="00073B71" w:rsidRPr="004133EB">
        <w:rPr>
          <w:rFonts w:ascii="Times New Roman" w:hAnsi="Times New Roman" w:cs="Times New Roman"/>
          <w:lang w:val="es-MX"/>
        </w:rPr>
        <w:t xml:space="preserve"> en 13.5%, su mayor nivel desde </w:t>
      </w:r>
      <w:r w:rsidR="005F1F4A" w:rsidRPr="004133EB">
        <w:rPr>
          <w:rFonts w:ascii="Times New Roman" w:hAnsi="Times New Roman" w:cs="Times New Roman"/>
          <w:lang w:val="es-MX"/>
        </w:rPr>
        <w:t>2014, por l</w:t>
      </w:r>
      <w:r w:rsidR="00AD01A5" w:rsidRPr="004133EB">
        <w:rPr>
          <w:rFonts w:ascii="Times New Roman" w:hAnsi="Times New Roman" w:cs="Times New Roman"/>
          <w:lang w:val="es-MX"/>
        </w:rPr>
        <w:t>o cual el déficit fiscal aumentó</w:t>
      </w:r>
      <w:r w:rsidR="005F1F4A" w:rsidRPr="004133EB">
        <w:rPr>
          <w:rFonts w:ascii="Times New Roman" w:hAnsi="Times New Roman" w:cs="Times New Roman"/>
          <w:lang w:val="es-MX"/>
        </w:rPr>
        <w:t xml:space="preserve"> en 0.3% hasta ubicarse en 2.2% del PIB</w:t>
      </w:r>
      <w:r w:rsidR="00890F19" w:rsidRPr="004133EB">
        <w:rPr>
          <w:rFonts w:ascii="Times New Roman" w:hAnsi="Times New Roman" w:cs="Times New Roman"/>
          <w:lang w:val="es-MX"/>
        </w:rPr>
        <w:t xml:space="preserve"> (Q13,281.5 millones)</w:t>
      </w:r>
      <w:r w:rsidR="005F1F4A" w:rsidRPr="004133EB">
        <w:rPr>
          <w:rFonts w:ascii="Times New Roman" w:hAnsi="Times New Roman" w:cs="Times New Roman"/>
          <w:lang w:val="es-MX"/>
        </w:rPr>
        <w:t xml:space="preserve">. </w:t>
      </w:r>
      <w:r w:rsidR="00235021" w:rsidRPr="004133EB">
        <w:rPr>
          <w:rFonts w:ascii="Times New Roman" w:hAnsi="Times New Roman" w:cs="Times New Roman"/>
          <w:lang w:val="es-MX"/>
        </w:rPr>
        <w:t xml:space="preserve">A pesar del aumento observado en el déficit fiscal para </w:t>
      </w:r>
      <w:r w:rsidR="00322991" w:rsidRPr="004133EB">
        <w:rPr>
          <w:rFonts w:ascii="Times New Roman" w:hAnsi="Times New Roman" w:cs="Times New Roman"/>
          <w:lang w:val="es-MX"/>
        </w:rPr>
        <w:t>2019</w:t>
      </w:r>
      <w:r w:rsidR="0035695E" w:rsidRPr="004133EB">
        <w:rPr>
          <w:rFonts w:ascii="Times New Roman" w:hAnsi="Times New Roman" w:cs="Times New Roman"/>
          <w:lang w:val="es-MX"/>
        </w:rPr>
        <w:t>,</w:t>
      </w:r>
      <w:r w:rsidR="00235021" w:rsidRPr="004133EB">
        <w:rPr>
          <w:rFonts w:ascii="Times New Roman" w:hAnsi="Times New Roman" w:cs="Times New Roman"/>
          <w:lang w:val="es-MX"/>
        </w:rPr>
        <w:t xml:space="preserve"> e</w:t>
      </w:r>
      <w:r w:rsidR="0035695E" w:rsidRPr="004133EB">
        <w:rPr>
          <w:rFonts w:ascii="Times New Roman" w:hAnsi="Times New Roman" w:cs="Times New Roman"/>
          <w:lang w:val="es-MX"/>
        </w:rPr>
        <w:t>l</w:t>
      </w:r>
      <w:r w:rsidR="00235021" w:rsidRPr="004133EB">
        <w:rPr>
          <w:rFonts w:ascii="Times New Roman" w:hAnsi="Times New Roman" w:cs="Times New Roman"/>
          <w:lang w:val="es-MX"/>
        </w:rPr>
        <w:t xml:space="preserve"> resultado estuvo por debajo de la proyección prevista en el presupuesto, cuyo nivel, tomando en cuenta las ampliaciones presupuestarias, era de 2.</w:t>
      </w:r>
      <w:r w:rsidR="00322991" w:rsidRPr="004133EB">
        <w:rPr>
          <w:rFonts w:ascii="Times New Roman" w:hAnsi="Times New Roman" w:cs="Times New Roman"/>
          <w:lang w:val="es-MX"/>
        </w:rPr>
        <w:t>8</w:t>
      </w:r>
      <w:r w:rsidR="00235021" w:rsidRPr="004133EB">
        <w:rPr>
          <w:rFonts w:ascii="Times New Roman" w:hAnsi="Times New Roman" w:cs="Times New Roman"/>
          <w:lang w:val="es-MX"/>
        </w:rPr>
        <w:t xml:space="preserve">% del PIB.   </w:t>
      </w:r>
    </w:p>
    <w:p w14:paraId="7AFCD4F2" w14:textId="77777777" w:rsidR="00471B17" w:rsidRPr="004133EB" w:rsidRDefault="00471B17" w:rsidP="00471B17">
      <w:pPr>
        <w:spacing w:after="0" w:line="240" w:lineRule="auto"/>
        <w:jc w:val="both"/>
        <w:rPr>
          <w:rFonts w:ascii="Times New Roman" w:hAnsi="Times New Roman" w:cs="Times New Roman"/>
          <w:lang w:val="es-MX"/>
        </w:rPr>
      </w:pPr>
    </w:p>
    <w:p w14:paraId="50824066" w14:textId="77777777" w:rsidR="002D00E7" w:rsidRPr="004133EB" w:rsidRDefault="00235021" w:rsidP="00471B17">
      <w:pPr>
        <w:spacing w:after="0" w:line="240" w:lineRule="auto"/>
        <w:jc w:val="both"/>
        <w:rPr>
          <w:rFonts w:ascii="Times New Roman" w:hAnsi="Times New Roman" w:cs="Times New Roman"/>
          <w:lang w:val="es-MX"/>
        </w:rPr>
      </w:pPr>
      <w:r w:rsidRPr="004133EB">
        <w:rPr>
          <w:rFonts w:ascii="Times New Roman" w:hAnsi="Times New Roman" w:cs="Times New Roman"/>
          <w:lang w:val="es-MX"/>
        </w:rPr>
        <w:t>El déficit fiscal resultante se financió principalmente con</w:t>
      </w:r>
      <w:r w:rsidR="002D00E7" w:rsidRPr="004133EB">
        <w:rPr>
          <w:rFonts w:ascii="Times New Roman" w:hAnsi="Times New Roman" w:cs="Times New Roman"/>
          <w:lang w:val="es-MX"/>
        </w:rPr>
        <w:t>:</w:t>
      </w:r>
    </w:p>
    <w:p w14:paraId="2FED65E4" w14:textId="77777777" w:rsidR="00AC2DD2" w:rsidRPr="004133EB" w:rsidRDefault="00AC2DD2" w:rsidP="00471B17">
      <w:pPr>
        <w:spacing w:after="0" w:line="240" w:lineRule="auto"/>
        <w:jc w:val="both"/>
        <w:rPr>
          <w:rFonts w:ascii="Times New Roman" w:hAnsi="Times New Roman" w:cs="Times New Roman"/>
          <w:lang w:val="es-MX"/>
        </w:rPr>
      </w:pPr>
    </w:p>
    <w:p w14:paraId="3615CF4D" w14:textId="62AC0B69" w:rsidR="00AC2DD2" w:rsidRPr="00E4773A" w:rsidRDefault="002D00E7" w:rsidP="00E4773A">
      <w:pPr>
        <w:pStyle w:val="Prrafodelista"/>
        <w:numPr>
          <w:ilvl w:val="0"/>
          <w:numId w:val="5"/>
        </w:numPr>
        <w:spacing w:after="0" w:line="240" w:lineRule="auto"/>
        <w:ind w:left="360"/>
        <w:jc w:val="both"/>
        <w:rPr>
          <w:rFonts w:ascii="Times New Roman" w:hAnsi="Times New Roman" w:cs="Times New Roman"/>
          <w:lang w:val="es-MX"/>
        </w:rPr>
      </w:pPr>
      <w:r w:rsidRPr="004133EB">
        <w:rPr>
          <w:rFonts w:ascii="Times New Roman" w:hAnsi="Times New Roman" w:cs="Times New Roman"/>
          <w:lang w:val="es-MX"/>
        </w:rPr>
        <w:t>E</w:t>
      </w:r>
      <w:r w:rsidR="00235021" w:rsidRPr="004133EB">
        <w:rPr>
          <w:rFonts w:ascii="Times New Roman" w:hAnsi="Times New Roman" w:cs="Times New Roman"/>
          <w:lang w:val="es-MX"/>
        </w:rPr>
        <w:t>misión de Bonos del Tesoro, una parte de esta emisión fue en el mercado internacional de capitales (Eurobonos) por US$</w:t>
      </w:r>
      <w:r w:rsidR="00860842" w:rsidRPr="004133EB">
        <w:rPr>
          <w:rFonts w:ascii="Times New Roman" w:hAnsi="Times New Roman" w:cs="Times New Roman"/>
          <w:lang w:val="es-MX"/>
        </w:rPr>
        <w:t>1,2</w:t>
      </w:r>
      <w:r w:rsidR="00235021" w:rsidRPr="004133EB">
        <w:rPr>
          <w:rFonts w:ascii="Times New Roman" w:hAnsi="Times New Roman" w:cs="Times New Roman"/>
          <w:lang w:val="es-MX"/>
        </w:rPr>
        <w:t>00 millones, por el equivalente a Q</w:t>
      </w:r>
      <w:r w:rsidR="00860842" w:rsidRPr="004133EB">
        <w:rPr>
          <w:rFonts w:ascii="Times New Roman" w:hAnsi="Times New Roman" w:cs="Times New Roman"/>
          <w:lang w:val="es-MX"/>
        </w:rPr>
        <w:t>9</w:t>
      </w:r>
      <w:r w:rsidR="00235021" w:rsidRPr="004133EB">
        <w:rPr>
          <w:rFonts w:ascii="Times New Roman" w:hAnsi="Times New Roman" w:cs="Times New Roman"/>
          <w:lang w:val="es-MX"/>
        </w:rPr>
        <w:t>,</w:t>
      </w:r>
      <w:r w:rsidR="00860842" w:rsidRPr="004133EB">
        <w:rPr>
          <w:rFonts w:ascii="Times New Roman" w:hAnsi="Times New Roman" w:cs="Times New Roman"/>
          <w:lang w:val="es-MX"/>
        </w:rPr>
        <w:t>26</w:t>
      </w:r>
      <w:r w:rsidR="00235021" w:rsidRPr="004133EB">
        <w:rPr>
          <w:rFonts w:ascii="Times New Roman" w:hAnsi="Times New Roman" w:cs="Times New Roman"/>
          <w:lang w:val="es-MX"/>
        </w:rPr>
        <w:t>7.</w:t>
      </w:r>
      <w:r w:rsidR="00860842" w:rsidRPr="004133EB">
        <w:rPr>
          <w:rFonts w:ascii="Times New Roman" w:hAnsi="Times New Roman" w:cs="Times New Roman"/>
          <w:lang w:val="es-MX"/>
        </w:rPr>
        <w:t>2</w:t>
      </w:r>
      <w:r w:rsidR="00235021" w:rsidRPr="004133EB">
        <w:rPr>
          <w:rFonts w:ascii="Times New Roman" w:hAnsi="Times New Roman" w:cs="Times New Roman"/>
          <w:lang w:val="es-MX"/>
        </w:rPr>
        <w:t xml:space="preserve"> millones. </w:t>
      </w:r>
      <w:r w:rsidR="00860842" w:rsidRPr="004133EB">
        <w:rPr>
          <w:rFonts w:ascii="Times New Roman" w:hAnsi="Times New Roman" w:cs="Times New Roman"/>
          <w:lang w:val="es-MX"/>
        </w:rPr>
        <w:t xml:space="preserve">Los resultados de dicha colocación fueron positivos y se considera que las condiciones </w:t>
      </w:r>
      <w:r w:rsidR="00370348" w:rsidRPr="004133EB">
        <w:rPr>
          <w:rFonts w:ascii="Times New Roman" w:hAnsi="Times New Roman" w:cs="Times New Roman"/>
          <w:lang w:val="es-MX"/>
        </w:rPr>
        <w:t>fueron favorables, siendo de</w:t>
      </w:r>
      <w:r w:rsidR="00860842" w:rsidRPr="004133EB">
        <w:rPr>
          <w:rFonts w:ascii="Times New Roman" w:hAnsi="Times New Roman" w:cs="Times New Roman"/>
          <w:lang w:val="es-MX"/>
        </w:rPr>
        <w:t xml:space="preserve">: US$700 millones a 30 años plazo, con una tasa de interés de 6.125% y US$500 millones a 10 años plazo, con una tasa de 4.90%. </w:t>
      </w:r>
      <w:r w:rsidR="00235021" w:rsidRPr="004133EB">
        <w:rPr>
          <w:rFonts w:ascii="Times New Roman" w:hAnsi="Times New Roman" w:cs="Times New Roman"/>
          <w:lang w:val="es-MX"/>
        </w:rPr>
        <w:t>Asimismo, el complemento de dicha emisión se colocó en el mercado doméstico (Q</w:t>
      </w:r>
      <w:r w:rsidR="00370348" w:rsidRPr="004133EB">
        <w:rPr>
          <w:rFonts w:ascii="Times New Roman" w:hAnsi="Times New Roman" w:cs="Times New Roman"/>
          <w:lang w:val="es-MX"/>
        </w:rPr>
        <w:t>9</w:t>
      </w:r>
      <w:r w:rsidR="00235021" w:rsidRPr="004133EB">
        <w:rPr>
          <w:rFonts w:ascii="Times New Roman" w:hAnsi="Times New Roman" w:cs="Times New Roman"/>
          <w:lang w:val="es-MX"/>
        </w:rPr>
        <w:t>,</w:t>
      </w:r>
      <w:r w:rsidR="00370348" w:rsidRPr="004133EB">
        <w:rPr>
          <w:rFonts w:ascii="Times New Roman" w:hAnsi="Times New Roman" w:cs="Times New Roman"/>
          <w:lang w:val="es-MX"/>
        </w:rPr>
        <w:t>077</w:t>
      </w:r>
      <w:r w:rsidR="00235021" w:rsidRPr="004133EB">
        <w:rPr>
          <w:rFonts w:ascii="Times New Roman" w:hAnsi="Times New Roman" w:cs="Times New Roman"/>
          <w:lang w:val="es-MX"/>
        </w:rPr>
        <w:t>.</w:t>
      </w:r>
      <w:r w:rsidR="00370348" w:rsidRPr="004133EB">
        <w:rPr>
          <w:rFonts w:ascii="Times New Roman" w:hAnsi="Times New Roman" w:cs="Times New Roman"/>
          <w:lang w:val="es-MX"/>
        </w:rPr>
        <w:t>5</w:t>
      </w:r>
      <w:r w:rsidR="00235021" w:rsidRPr="004133EB">
        <w:rPr>
          <w:rFonts w:ascii="Times New Roman" w:hAnsi="Times New Roman" w:cs="Times New Roman"/>
          <w:lang w:val="es-MX"/>
        </w:rPr>
        <w:t xml:space="preserve"> millones), en este caso las condiciones fueron igualmente favorables ya que se obtuvo una tasa de interés promedio de 6.</w:t>
      </w:r>
      <w:r w:rsidR="006F436B" w:rsidRPr="004133EB">
        <w:rPr>
          <w:rFonts w:ascii="Times New Roman" w:hAnsi="Times New Roman" w:cs="Times New Roman"/>
          <w:lang w:val="es-MX"/>
        </w:rPr>
        <w:t>7</w:t>
      </w:r>
      <w:r w:rsidR="00235021" w:rsidRPr="004133EB">
        <w:rPr>
          <w:rFonts w:ascii="Times New Roman" w:hAnsi="Times New Roman" w:cs="Times New Roman"/>
          <w:lang w:val="es-MX"/>
        </w:rPr>
        <w:t>%, plazo promedio fue de 1</w:t>
      </w:r>
      <w:r w:rsidR="00E92DAA" w:rsidRPr="004133EB">
        <w:rPr>
          <w:rFonts w:ascii="Times New Roman" w:hAnsi="Times New Roman" w:cs="Times New Roman"/>
          <w:lang w:val="es-MX"/>
        </w:rPr>
        <w:t>6</w:t>
      </w:r>
      <w:r w:rsidR="00235021" w:rsidRPr="004133EB">
        <w:rPr>
          <w:rFonts w:ascii="Times New Roman" w:hAnsi="Times New Roman" w:cs="Times New Roman"/>
          <w:lang w:val="es-MX"/>
        </w:rPr>
        <w:t>.</w:t>
      </w:r>
      <w:r w:rsidR="00C21911" w:rsidRPr="004133EB">
        <w:rPr>
          <w:rFonts w:ascii="Times New Roman" w:hAnsi="Times New Roman" w:cs="Times New Roman"/>
          <w:lang w:val="es-MX"/>
        </w:rPr>
        <w:t>4</w:t>
      </w:r>
      <w:r w:rsidR="00235021" w:rsidRPr="004133EB">
        <w:rPr>
          <w:rFonts w:ascii="Times New Roman" w:hAnsi="Times New Roman" w:cs="Times New Roman"/>
          <w:lang w:val="es-MX"/>
        </w:rPr>
        <w:t xml:space="preserve"> años y una buena parte de la emisión se colocó con prima por lo que se obtuvieron recursos adicionales producto de la colocación por el equivalente a Q</w:t>
      </w:r>
      <w:r w:rsidR="00E92DAA" w:rsidRPr="004133EB">
        <w:rPr>
          <w:rFonts w:ascii="Times New Roman" w:hAnsi="Times New Roman" w:cs="Times New Roman"/>
          <w:lang w:val="es-MX"/>
        </w:rPr>
        <w:t>497</w:t>
      </w:r>
      <w:r w:rsidR="00235021" w:rsidRPr="004133EB">
        <w:rPr>
          <w:rFonts w:ascii="Times New Roman" w:hAnsi="Times New Roman" w:cs="Times New Roman"/>
          <w:lang w:val="es-MX"/>
        </w:rPr>
        <w:t>.</w:t>
      </w:r>
      <w:r w:rsidR="00E92DAA" w:rsidRPr="004133EB">
        <w:rPr>
          <w:rFonts w:ascii="Times New Roman" w:hAnsi="Times New Roman" w:cs="Times New Roman"/>
          <w:lang w:val="es-MX"/>
        </w:rPr>
        <w:t>2</w:t>
      </w:r>
      <w:r w:rsidR="00235021" w:rsidRPr="004133EB">
        <w:rPr>
          <w:rFonts w:ascii="Times New Roman" w:hAnsi="Times New Roman" w:cs="Times New Roman"/>
          <w:lang w:val="es-MX"/>
        </w:rPr>
        <w:t xml:space="preserve"> millones.</w:t>
      </w:r>
      <w:r w:rsidR="0035695E" w:rsidRPr="004133EB">
        <w:rPr>
          <w:rFonts w:ascii="Times New Roman" w:hAnsi="Times New Roman" w:cs="Times New Roman"/>
          <w:lang w:val="es-MX"/>
        </w:rPr>
        <w:t xml:space="preserve">  </w:t>
      </w:r>
    </w:p>
    <w:p w14:paraId="7DBE9A2E" w14:textId="77777777" w:rsidR="00471B17" w:rsidRDefault="00E92DAA" w:rsidP="001032E7">
      <w:pPr>
        <w:pStyle w:val="Prrafodelista"/>
        <w:numPr>
          <w:ilvl w:val="0"/>
          <w:numId w:val="5"/>
        </w:numPr>
        <w:spacing w:after="0" w:line="240" w:lineRule="auto"/>
        <w:ind w:left="360"/>
        <w:jc w:val="both"/>
        <w:rPr>
          <w:rFonts w:ascii="Times New Roman" w:hAnsi="Times New Roman" w:cs="Times New Roman"/>
          <w:lang w:val="es-MX"/>
        </w:rPr>
      </w:pPr>
      <w:r w:rsidRPr="004133EB">
        <w:rPr>
          <w:rFonts w:ascii="Times New Roman" w:hAnsi="Times New Roman" w:cs="Times New Roman"/>
          <w:lang w:val="es-MX"/>
        </w:rPr>
        <w:t>Los p</w:t>
      </w:r>
      <w:r w:rsidR="00235021" w:rsidRPr="004133EB">
        <w:rPr>
          <w:rFonts w:ascii="Times New Roman" w:hAnsi="Times New Roman" w:cs="Times New Roman"/>
          <w:lang w:val="es-MX"/>
        </w:rPr>
        <w:t>réstamos externos</w:t>
      </w:r>
      <w:r w:rsidRPr="004133EB">
        <w:rPr>
          <w:rFonts w:ascii="Times New Roman" w:hAnsi="Times New Roman" w:cs="Times New Roman"/>
          <w:lang w:val="es-MX"/>
        </w:rPr>
        <w:t xml:space="preserve"> netos</w:t>
      </w:r>
      <w:r w:rsidR="00235021" w:rsidRPr="004133EB">
        <w:rPr>
          <w:rFonts w:ascii="Times New Roman" w:hAnsi="Times New Roman" w:cs="Times New Roman"/>
          <w:lang w:val="es-MX"/>
        </w:rPr>
        <w:t>,</w:t>
      </w:r>
      <w:r w:rsidRPr="004133EB">
        <w:rPr>
          <w:rFonts w:ascii="Times New Roman" w:hAnsi="Times New Roman" w:cs="Times New Roman"/>
          <w:lang w:val="es-MX"/>
        </w:rPr>
        <w:t xml:space="preserve"> se ubicaron en terreno negativo, </w:t>
      </w:r>
      <w:r w:rsidR="0040762D" w:rsidRPr="004133EB">
        <w:rPr>
          <w:rFonts w:ascii="Times New Roman" w:hAnsi="Times New Roman" w:cs="Times New Roman"/>
          <w:lang w:val="es-MX"/>
        </w:rPr>
        <w:t xml:space="preserve">dado que las amortizaciones de préstamos (Q2,979.3 millones) superaron los desembolsos (Q625.3 millones), lo cual es positivo en el sentido que significa una reducción de la deuda pública con los organismos financieros multilaterales. </w:t>
      </w:r>
      <w:r w:rsidR="007C7CF0" w:rsidRPr="004133EB">
        <w:rPr>
          <w:rFonts w:ascii="Times New Roman" w:hAnsi="Times New Roman" w:cs="Times New Roman"/>
          <w:lang w:val="es-MX"/>
        </w:rPr>
        <w:t>Estos desembolsos sirvieron para el desarrollo de la infraestructura vial, apoyo al financiamiento de los programas sociales</w:t>
      </w:r>
      <w:r w:rsidR="00EF2419" w:rsidRPr="004133EB">
        <w:rPr>
          <w:rFonts w:ascii="Times New Roman" w:hAnsi="Times New Roman" w:cs="Times New Roman"/>
          <w:lang w:val="es-MX"/>
        </w:rPr>
        <w:t>:</w:t>
      </w:r>
      <w:r w:rsidR="007C7CF0" w:rsidRPr="004133EB">
        <w:rPr>
          <w:rFonts w:ascii="Times New Roman" w:hAnsi="Times New Roman" w:cs="Times New Roman"/>
          <w:lang w:val="es-MX"/>
        </w:rPr>
        <w:t xml:space="preserve"> como el apoyo al consumo adecuado de alimentos e infraestructura para el desarrollo social y para apoyo a los programas de educación escolar preprimaria, primaria y diversificada. </w:t>
      </w:r>
    </w:p>
    <w:p w14:paraId="142DD56B" w14:textId="77777777" w:rsidR="00C73EE1" w:rsidRDefault="00C73EE1" w:rsidP="00C73EE1">
      <w:pPr>
        <w:spacing w:after="0" w:line="240" w:lineRule="auto"/>
        <w:jc w:val="both"/>
        <w:rPr>
          <w:rFonts w:ascii="Times New Roman" w:hAnsi="Times New Roman" w:cs="Times New Roman"/>
          <w:lang w:val="es-MX"/>
        </w:rPr>
      </w:pPr>
    </w:p>
    <w:p w14:paraId="3D612357" w14:textId="77777777" w:rsidR="00C73EE1" w:rsidRPr="004133EB" w:rsidRDefault="00C73EE1" w:rsidP="00EA4B4C">
      <w:pPr>
        <w:spacing w:after="0" w:line="240" w:lineRule="auto"/>
        <w:jc w:val="both"/>
        <w:rPr>
          <w:rFonts w:ascii="Times New Roman" w:hAnsi="Times New Roman" w:cs="Times New Roman"/>
          <w:lang w:val="es-MX"/>
        </w:rPr>
      </w:pPr>
      <w:r w:rsidRPr="00E54FCD">
        <w:rPr>
          <w:rFonts w:ascii="Times New Roman" w:hAnsi="Times New Roman" w:cs="Times New Roman"/>
          <w:lang w:val="es-MX"/>
        </w:rPr>
        <w:t>Por su parte, en el ejercicio fiscal 2020 estuvo marcado por un entorno macroeconómico desfavorable a causa de los efectos económicos resultado de la pandemia COVID-19, con una carga tributaria que cayó hasta ubicarse en 10.1</w:t>
      </w:r>
      <w:r w:rsidR="00E54FCD">
        <w:rPr>
          <w:rFonts w:ascii="Times New Roman" w:hAnsi="Times New Roman" w:cs="Times New Roman"/>
          <w:lang w:val="es-MX"/>
        </w:rPr>
        <w:t xml:space="preserve">%, la menor reportada de la serie 2001-2020, </w:t>
      </w:r>
      <w:r w:rsidRPr="00E54FCD">
        <w:rPr>
          <w:rFonts w:ascii="Times New Roman" w:hAnsi="Times New Roman" w:cs="Times New Roman"/>
          <w:lang w:val="es-MX"/>
        </w:rPr>
        <w:t>y un dinamismo de la ejecución de gasto público, el cual se ubicó en 15</w:t>
      </w:r>
      <w:r w:rsidR="00E54FCD">
        <w:rPr>
          <w:rFonts w:ascii="Times New Roman" w:hAnsi="Times New Roman" w:cs="Times New Roman"/>
          <w:lang w:val="es-MX"/>
        </w:rPr>
        <w:t>.6</w:t>
      </w:r>
      <w:r w:rsidRPr="00E54FCD">
        <w:rPr>
          <w:rFonts w:ascii="Times New Roman" w:hAnsi="Times New Roman" w:cs="Times New Roman"/>
          <w:lang w:val="es-MX"/>
        </w:rPr>
        <w:t xml:space="preserve">%, </w:t>
      </w:r>
      <w:r w:rsidR="00E54FCD">
        <w:rPr>
          <w:rFonts w:ascii="Times New Roman" w:hAnsi="Times New Roman" w:cs="Times New Roman"/>
          <w:lang w:val="es-MX"/>
        </w:rPr>
        <w:t xml:space="preserve">siendo </w:t>
      </w:r>
      <w:r w:rsidR="00EA4B4C">
        <w:rPr>
          <w:rFonts w:ascii="Times New Roman" w:hAnsi="Times New Roman" w:cs="Times New Roman"/>
          <w:lang w:val="es-MX"/>
        </w:rPr>
        <w:t>el</w:t>
      </w:r>
      <w:r w:rsidRPr="00E54FCD">
        <w:rPr>
          <w:rFonts w:ascii="Times New Roman" w:hAnsi="Times New Roman" w:cs="Times New Roman"/>
          <w:lang w:val="es-MX"/>
        </w:rPr>
        <w:t xml:space="preserve"> mayor nivel</w:t>
      </w:r>
      <w:r w:rsidR="00E54FCD">
        <w:rPr>
          <w:rFonts w:ascii="Times New Roman" w:hAnsi="Times New Roman" w:cs="Times New Roman"/>
          <w:lang w:val="es-MX"/>
        </w:rPr>
        <w:t xml:space="preserve"> histórico</w:t>
      </w:r>
      <w:r w:rsidRPr="00E54FCD">
        <w:rPr>
          <w:rFonts w:ascii="Times New Roman" w:hAnsi="Times New Roman" w:cs="Times New Roman"/>
          <w:lang w:val="es-MX"/>
        </w:rPr>
        <w:t xml:space="preserve">, por lo cual el déficit fiscal aumentó en </w:t>
      </w:r>
      <w:r w:rsidR="00E54FCD">
        <w:rPr>
          <w:rFonts w:ascii="Times New Roman" w:hAnsi="Times New Roman" w:cs="Times New Roman"/>
          <w:lang w:val="es-MX"/>
        </w:rPr>
        <w:t>2</w:t>
      </w:r>
      <w:r w:rsidRPr="00E54FCD">
        <w:rPr>
          <w:rFonts w:ascii="Times New Roman" w:hAnsi="Times New Roman" w:cs="Times New Roman"/>
          <w:lang w:val="es-MX"/>
        </w:rPr>
        <w:t>.</w:t>
      </w:r>
      <w:r w:rsidR="00E54FCD">
        <w:rPr>
          <w:rFonts w:ascii="Times New Roman" w:hAnsi="Times New Roman" w:cs="Times New Roman"/>
          <w:lang w:val="es-MX"/>
        </w:rPr>
        <w:t>7</w:t>
      </w:r>
      <w:r w:rsidRPr="00E54FCD">
        <w:rPr>
          <w:rFonts w:ascii="Times New Roman" w:hAnsi="Times New Roman" w:cs="Times New Roman"/>
          <w:lang w:val="es-MX"/>
        </w:rPr>
        <w:t xml:space="preserve">% hasta ubicarse en </w:t>
      </w:r>
      <w:r w:rsidR="00E54FCD">
        <w:rPr>
          <w:rFonts w:ascii="Times New Roman" w:hAnsi="Times New Roman" w:cs="Times New Roman"/>
          <w:lang w:val="es-MX"/>
        </w:rPr>
        <w:t>4</w:t>
      </w:r>
      <w:r w:rsidRPr="00E54FCD">
        <w:rPr>
          <w:rFonts w:ascii="Times New Roman" w:hAnsi="Times New Roman" w:cs="Times New Roman"/>
          <w:lang w:val="es-MX"/>
        </w:rPr>
        <w:t>.</w:t>
      </w:r>
      <w:r w:rsidR="00E54FCD">
        <w:rPr>
          <w:rFonts w:ascii="Times New Roman" w:hAnsi="Times New Roman" w:cs="Times New Roman"/>
          <w:lang w:val="es-MX"/>
        </w:rPr>
        <w:t>9</w:t>
      </w:r>
      <w:r w:rsidRPr="00E54FCD">
        <w:rPr>
          <w:rFonts w:ascii="Times New Roman" w:hAnsi="Times New Roman" w:cs="Times New Roman"/>
          <w:lang w:val="es-MX"/>
        </w:rPr>
        <w:t>% del PIB</w:t>
      </w:r>
      <w:r w:rsidR="00E54FCD">
        <w:rPr>
          <w:rFonts w:ascii="Times New Roman" w:hAnsi="Times New Roman" w:cs="Times New Roman"/>
          <w:lang w:val="es-MX"/>
        </w:rPr>
        <w:t xml:space="preserve"> (Q29</w:t>
      </w:r>
      <w:r w:rsidRPr="00E54FCD">
        <w:rPr>
          <w:rFonts w:ascii="Times New Roman" w:hAnsi="Times New Roman" w:cs="Times New Roman"/>
          <w:lang w:val="es-MX"/>
        </w:rPr>
        <w:t>,</w:t>
      </w:r>
      <w:r w:rsidR="00E54FCD">
        <w:rPr>
          <w:rFonts w:ascii="Times New Roman" w:hAnsi="Times New Roman" w:cs="Times New Roman"/>
          <w:lang w:val="es-MX"/>
        </w:rPr>
        <w:t>463</w:t>
      </w:r>
      <w:r w:rsidRPr="00E54FCD">
        <w:rPr>
          <w:rFonts w:ascii="Times New Roman" w:hAnsi="Times New Roman" w:cs="Times New Roman"/>
          <w:lang w:val="es-MX"/>
        </w:rPr>
        <w:t>.</w:t>
      </w:r>
      <w:r w:rsidR="00E54FCD">
        <w:rPr>
          <w:rFonts w:ascii="Times New Roman" w:hAnsi="Times New Roman" w:cs="Times New Roman"/>
          <w:lang w:val="es-MX"/>
        </w:rPr>
        <w:t>4</w:t>
      </w:r>
      <w:r w:rsidRPr="00E54FCD">
        <w:rPr>
          <w:rFonts w:ascii="Times New Roman" w:hAnsi="Times New Roman" w:cs="Times New Roman"/>
          <w:lang w:val="es-MX"/>
        </w:rPr>
        <w:t xml:space="preserve"> millones)</w:t>
      </w:r>
      <w:r w:rsidR="00EA4B4C">
        <w:rPr>
          <w:rFonts w:ascii="Times New Roman" w:hAnsi="Times New Roman" w:cs="Times New Roman"/>
          <w:lang w:val="es-MX"/>
        </w:rPr>
        <w:t>, aunque hay que considerar que este incremento es de carácter temporal derivado de la coyuntura del COVID-19</w:t>
      </w:r>
      <w:r w:rsidRPr="00E54FCD">
        <w:rPr>
          <w:rFonts w:ascii="Times New Roman" w:hAnsi="Times New Roman" w:cs="Times New Roman"/>
          <w:lang w:val="es-MX"/>
        </w:rPr>
        <w:t>.</w:t>
      </w:r>
      <w:r w:rsidR="00EA4B4C">
        <w:rPr>
          <w:rFonts w:ascii="Times New Roman" w:hAnsi="Times New Roman" w:cs="Times New Roman"/>
          <w:lang w:val="es-MX"/>
        </w:rPr>
        <w:t xml:space="preserve"> </w:t>
      </w:r>
      <w:r w:rsidR="00EA4B4C" w:rsidRPr="00EA4B4C">
        <w:rPr>
          <w:rFonts w:ascii="Times New Roman" w:hAnsi="Times New Roman" w:cs="Times New Roman"/>
          <w:lang w:val="es-MX"/>
        </w:rPr>
        <w:t>No obstante, el alto nivel de déficit observado en 2020, este estuvo por debajo de lo programado en el presupuesto para dicho</w:t>
      </w:r>
      <w:r w:rsidR="00EA4B4C">
        <w:rPr>
          <w:rFonts w:ascii="Times New Roman" w:hAnsi="Times New Roman" w:cs="Times New Roman"/>
          <w:lang w:val="es-MX"/>
        </w:rPr>
        <w:t xml:space="preserve"> </w:t>
      </w:r>
      <w:r w:rsidR="00EA4B4C" w:rsidRPr="00EA4B4C">
        <w:rPr>
          <w:rFonts w:ascii="Times New Roman" w:hAnsi="Times New Roman" w:cs="Times New Roman"/>
          <w:lang w:val="es-MX"/>
        </w:rPr>
        <w:t>año, el cual se estimaba en 5.9% del PIB, al final del período se ubicó 1.0% del PIB por debajo de lo</w:t>
      </w:r>
      <w:r w:rsidR="00EA4B4C">
        <w:rPr>
          <w:rFonts w:ascii="Times New Roman" w:hAnsi="Times New Roman" w:cs="Times New Roman"/>
          <w:lang w:val="es-MX"/>
        </w:rPr>
        <w:t xml:space="preserve"> </w:t>
      </w:r>
      <w:r w:rsidR="00EA4B4C" w:rsidRPr="00EA4B4C">
        <w:rPr>
          <w:rFonts w:ascii="Times New Roman" w:hAnsi="Times New Roman" w:cs="Times New Roman"/>
          <w:lang w:val="es-MX"/>
        </w:rPr>
        <w:t>presupuestado.</w:t>
      </w:r>
      <w:r w:rsidR="00EA4B4C">
        <w:rPr>
          <w:rFonts w:ascii="Times New Roman" w:hAnsi="Times New Roman" w:cs="Times New Roman"/>
          <w:lang w:val="es-MX"/>
        </w:rPr>
        <w:t xml:space="preserve"> La </w:t>
      </w:r>
      <w:r w:rsidR="00E54FCD">
        <w:rPr>
          <w:rFonts w:ascii="Times New Roman" w:hAnsi="Times New Roman" w:cs="Times New Roman"/>
          <w:lang w:val="es-MX"/>
        </w:rPr>
        <w:t xml:space="preserve">perspectiva </w:t>
      </w:r>
      <w:r w:rsidR="00EA4B4C">
        <w:rPr>
          <w:rFonts w:ascii="Times New Roman" w:hAnsi="Times New Roman" w:cs="Times New Roman"/>
          <w:lang w:val="es-MX"/>
        </w:rPr>
        <w:t>es</w:t>
      </w:r>
      <w:r w:rsidR="00E54FCD">
        <w:rPr>
          <w:rFonts w:ascii="Times New Roman" w:hAnsi="Times New Roman" w:cs="Times New Roman"/>
          <w:lang w:val="es-MX"/>
        </w:rPr>
        <w:t xml:space="preserve"> buscar la consolidación fiscal en el mediano plazo, es decir, se </w:t>
      </w:r>
      <w:r w:rsidR="00BC74F4">
        <w:rPr>
          <w:rFonts w:ascii="Times New Roman" w:hAnsi="Times New Roman" w:cs="Times New Roman"/>
          <w:lang w:val="es-MX"/>
        </w:rPr>
        <w:t>buscará l</w:t>
      </w:r>
      <w:r w:rsidR="00F951F0">
        <w:rPr>
          <w:rFonts w:ascii="Times New Roman" w:hAnsi="Times New Roman" w:cs="Times New Roman"/>
          <w:lang w:val="es-MX"/>
        </w:rPr>
        <w:t>a reducción gradual</w:t>
      </w:r>
      <w:r w:rsidR="00E54FCD">
        <w:rPr>
          <w:rFonts w:ascii="Times New Roman" w:hAnsi="Times New Roman" w:cs="Times New Roman"/>
          <w:lang w:val="es-MX"/>
        </w:rPr>
        <w:t xml:space="preserve"> </w:t>
      </w:r>
      <w:r w:rsidR="00F951F0">
        <w:rPr>
          <w:rFonts w:ascii="Times New Roman" w:hAnsi="Times New Roman" w:cs="Times New Roman"/>
          <w:lang w:val="es-MX"/>
        </w:rPr>
        <w:t xml:space="preserve">del </w:t>
      </w:r>
      <w:r w:rsidR="00E54FCD">
        <w:rPr>
          <w:rFonts w:ascii="Times New Roman" w:hAnsi="Times New Roman" w:cs="Times New Roman"/>
          <w:lang w:val="es-MX"/>
        </w:rPr>
        <w:t>déficit</w:t>
      </w:r>
      <w:r w:rsidR="00F951F0">
        <w:rPr>
          <w:rFonts w:ascii="Times New Roman" w:hAnsi="Times New Roman" w:cs="Times New Roman"/>
          <w:lang w:val="es-MX"/>
        </w:rPr>
        <w:t xml:space="preserve"> fiscal, congruentes con preservar </w:t>
      </w:r>
      <w:r w:rsidR="00BC74F4">
        <w:rPr>
          <w:rFonts w:ascii="Times New Roman" w:hAnsi="Times New Roman" w:cs="Times New Roman"/>
          <w:lang w:val="es-MX"/>
        </w:rPr>
        <w:t>la sostenibilidad de la deuda pública</w:t>
      </w:r>
      <w:r w:rsidRPr="00E54FCD">
        <w:rPr>
          <w:rFonts w:ascii="Times New Roman" w:hAnsi="Times New Roman" w:cs="Times New Roman"/>
          <w:lang w:val="es-MX"/>
        </w:rPr>
        <w:t>.</w:t>
      </w:r>
      <w:r w:rsidRPr="004133EB">
        <w:rPr>
          <w:rFonts w:ascii="Times New Roman" w:hAnsi="Times New Roman" w:cs="Times New Roman"/>
          <w:lang w:val="es-MX"/>
        </w:rPr>
        <w:t xml:space="preserve">   </w:t>
      </w:r>
    </w:p>
    <w:p w14:paraId="5295A6A8" w14:textId="77777777" w:rsidR="00C73EE1" w:rsidRPr="004133EB" w:rsidRDefault="00C73EE1" w:rsidP="00C73EE1">
      <w:pPr>
        <w:spacing w:after="0" w:line="240" w:lineRule="auto"/>
        <w:jc w:val="both"/>
        <w:rPr>
          <w:rFonts w:ascii="Times New Roman" w:hAnsi="Times New Roman" w:cs="Times New Roman"/>
          <w:lang w:val="es-MX"/>
        </w:rPr>
      </w:pPr>
    </w:p>
    <w:p w14:paraId="52276401" w14:textId="77777777" w:rsidR="00C73EE1" w:rsidRPr="004133EB" w:rsidRDefault="00C73EE1" w:rsidP="00C73EE1">
      <w:pPr>
        <w:spacing w:after="0" w:line="240" w:lineRule="auto"/>
        <w:jc w:val="both"/>
        <w:rPr>
          <w:rFonts w:ascii="Times New Roman" w:hAnsi="Times New Roman" w:cs="Times New Roman"/>
          <w:lang w:val="es-MX"/>
        </w:rPr>
      </w:pPr>
      <w:r w:rsidRPr="004133EB">
        <w:rPr>
          <w:rFonts w:ascii="Times New Roman" w:hAnsi="Times New Roman" w:cs="Times New Roman"/>
          <w:lang w:val="es-MX"/>
        </w:rPr>
        <w:t>El déficit fiscal resultante se financió principalmente con:</w:t>
      </w:r>
    </w:p>
    <w:p w14:paraId="4C34668F" w14:textId="77777777" w:rsidR="00C73EE1" w:rsidRPr="004133EB" w:rsidRDefault="00C73EE1" w:rsidP="00C73EE1">
      <w:pPr>
        <w:spacing w:after="0" w:line="240" w:lineRule="auto"/>
        <w:jc w:val="both"/>
        <w:rPr>
          <w:rFonts w:ascii="Times New Roman" w:hAnsi="Times New Roman" w:cs="Times New Roman"/>
          <w:lang w:val="es-MX"/>
        </w:rPr>
      </w:pPr>
    </w:p>
    <w:p w14:paraId="2D4464EA" w14:textId="38EFECBE" w:rsidR="005355C7" w:rsidRPr="00E4773A" w:rsidRDefault="00C73EE1" w:rsidP="00E4773A">
      <w:pPr>
        <w:pStyle w:val="Prrafodelista"/>
        <w:numPr>
          <w:ilvl w:val="0"/>
          <w:numId w:val="19"/>
        </w:numPr>
        <w:spacing w:after="0" w:line="240" w:lineRule="auto"/>
        <w:jc w:val="both"/>
        <w:rPr>
          <w:rFonts w:ascii="Times New Roman" w:hAnsi="Times New Roman" w:cs="Times New Roman"/>
          <w:lang w:val="es-MX"/>
        </w:rPr>
      </w:pPr>
      <w:r w:rsidRPr="005355C7">
        <w:rPr>
          <w:rFonts w:ascii="Times New Roman" w:hAnsi="Times New Roman" w:cs="Times New Roman"/>
          <w:lang w:val="es-MX"/>
        </w:rPr>
        <w:t xml:space="preserve">Emisión de Bonos del Tesoro, </w:t>
      </w:r>
      <w:r w:rsidR="005355C7" w:rsidRPr="005355C7">
        <w:rPr>
          <w:rFonts w:ascii="Times New Roman" w:hAnsi="Times New Roman" w:cs="Times New Roman"/>
          <w:lang w:val="es-MX"/>
        </w:rPr>
        <w:t>el financiamiento del déficit fiscal recayó en la emisión y colocación de títulos de deuda, de la cual se realizó en un 73.8% en el mercado interno y el 26.2% en el mercado internacional de capitales mediante la colocación de un Eurobono.</w:t>
      </w:r>
    </w:p>
    <w:p w14:paraId="3D5C168E" w14:textId="3CEA0E4B" w:rsidR="005355C7" w:rsidRPr="00E4773A" w:rsidRDefault="005355C7" w:rsidP="00E4773A">
      <w:pPr>
        <w:pStyle w:val="Prrafodelista"/>
        <w:numPr>
          <w:ilvl w:val="0"/>
          <w:numId w:val="5"/>
        </w:numPr>
        <w:spacing w:after="0" w:line="240" w:lineRule="auto"/>
        <w:ind w:left="360"/>
        <w:jc w:val="both"/>
        <w:rPr>
          <w:rFonts w:ascii="Times New Roman" w:hAnsi="Times New Roman" w:cs="Times New Roman"/>
          <w:lang w:val="es-MX"/>
        </w:rPr>
      </w:pPr>
      <w:r w:rsidRPr="003627B4">
        <w:rPr>
          <w:rFonts w:ascii="Times New Roman" w:hAnsi="Times New Roman" w:cs="Times New Roman"/>
          <w:lang w:val="es-MX"/>
        </w:rPr>
        <w:t>Respecto a las colocaciones internas, es importante indicar que el monto demandado por los inversionistas superó ampliamente las colocaciones, lo adjudicado fue de Q26,045.0 millones. La adjudicación en moneda nacional fue de Q24,504.3 millones, con un rendimiento promedio ponderado de 5.1% y un plazo promedio de colocación de 16.3 años. Es decir, la preferencia de los inversionistas y del gobierno fue colocar a plazos largos de 15 y 20 años. Dentro de este monto se encuentra la autorización por medio del Decreto 13-2020 para la emisión, negociación y colocación de Bonos del Tesoro por un valor de Q11,000.0 millones, de los cuales se adjudicaron Q10,645.0 millones, estos fueron destinados en su totalidad a atender las actividades relacionadas a la atención de la emergenci</w:t>
      </w:r>
      <w:r w:rsidR="003627B4" w:rsidRPr="003627B4">
        <w:rPr>
          <w:rFonts w:ascii="Times New Roman" w:hAnsi="Times New Roman" w:cs="Times New Roman"/>
          <w:lang w:val="es-MX"/>
        </w:rPr>
        <w:t xml:space="preserve">a COVID-19, siendo un financiamiento extraordinario amparándose bajo el artículo 133 de la Constitución Política de la República de Guatemala, en el cual se  indica que se prevé el financiamiento por medio del Banco Central en caso de catástrofe o </w:t>
      </w:r>
      <w:r w:rsidR="003627B4">
        <w:rPr>
          <w:rFonts w:ascii="Times New Roman" w:hAnsi="Times New Roman" w:cs="Times New Roman"/>
          <w:lang w:val="es-MX"/>
        </w:rPr>
        <w:t>desastre público, siendo</w:t>
      </w:r>
      <w:r w:rsidR="003627B4" w:rsidRPr="003627B4">
        <w:rPr>
          <w:rFonts w:ascii="Times New Roman" w:hAnsi="Times New Roman" w:cs="Times New Roman"/>
          <w:lang w:val="es-MX"/>
        </w:rPr>
        <w:t xml:space="preserve"> </w:t>
      </w:r>
      <w:r w:rsidR="003627B4">
        <w:rPr>
          <w:rFonts w:ascii="Times New Roman" w:hAnsi="Times New Roman" w:cs="Times New Roman"/>
          <w:lang w:val="es-MX"/>
        </w:rPr>
        <w:t xml:space="preserve">un </w:t>
      </w:r>
      <w:r w:rsidR="003627B4" w:rsidRPr="003627B4">
        <w:rPr>
          <w:rFonts w:ascii="Times New Roman" w:hAnsi="Times New Roman" w:cs="Times New Roman"/>
          <w:lang w:val="es-MX"/>
        </w:rPr>
        <w:t>mecanismo de financiamiento de</w:t>
      </w:r>
      <w:r w:rsidR="003627B4">
        <w:rPr>
          <w:rFonts w:ascii="Times New Roman" w:hAnsi="Times New Roman" w:cs="Times New Roman"/>
          <w:lang w:val="es-MX"/>
        </w:rPr>
        <w:t xml:space="preserve"> carácter</w:t>
      </w:r>
      <w:r w:rsidR="003627B4" w:rsidRPr="003627B4">
        <w:rPr>
          <w:rFonts w:ascii="Times New Roman" w:hAnsi="Times New Roman" w:cs="Times New Roman"/>
          <w:lang w:val="es-MX"/>
        </w:rPr>
        <w:t xml:space="preserve"> temporal,</w:t>
      </w:r>
      <w:r w:rsidR="003627B4">
        <w:rPr>
          <w:rFonts w:ascii="Times New Roman" w:hAnsi="Times New Roman" w:cs="Times New Roman"/>
          <w:lang w:val="es-MX"/>
        </w:rPr>
        <w:t xml:space="preserve"> en caso contrario se </w:t>
      </w:r>
      <w:r w:rsidR="003627B4" w:rsidRPr="003627B4">
        <w:rPr>
          <w:rFonts w:ascii="Times New Roman" w:hAnsi="Times New Roman" w:cs="Times New Roman"/>
          <w:lang w:val="es-MX"/>
        </w:rPr>
        <w:t>podría poner en riesgo la estabilidad monetaria, cambiaria y crediticia del país.</w:t>
      </w:r>
      <w:r w:rsidR="00402376">
        <w:rPr>
          <w:rFonts w:ascii="Times New Roman" w:hAnsi="Times New Roman" w:cs="Times New Roman"/>
          <w:lang w:val="es-MX"/>
        </w:rPr>
        <w:t xml:space="preserve"> Adicionalmente, una </w:t>
      </w:r>
      <w:r w:rsidR="00402376" w:rsidRPr="004133EB">
        <w:rPr>
          <w:rFonts w:ascii="Times New Roman" w:hAnsi="Times New Roman" w:cs="Times New Roman"/>
          <w:lang w:val="es-MX"/>
        </w:rPr>
        <w:t>parte de la emisión se colocó con prima por lo que se obtuvieron recursos adicionales producto de la colocación por el equivalente a Q</w:t>
      </w:r>
      <w:r w:rsidR="00402376">
        <w:rPr>
          <w:rFonts w:ascii="Times New Roman" w:hAnsi="Times New Roman" w:cs="Times New Roman"/>
          <w:lang w:val="es-MX"/>
        </w:rPr>
        <w:t>1,884.1</w:t>
      </w:r>
      <w:r w:rsidR="00402376" w:rsidRPr="004133EB">
        <w:rPr>
          <w:rFonts w:ascii="Times New Roman" w:hAnsi="Times New Roman" w:cs="Times New Roman"/>
          <w:lang w:val="es-MX"/>
        </w:rPr>
        <w:t xml:space="preserve"> millones.  </w:t>
      </w:r>
    </w:p>
    <w:p w14:paraId="10DA213A" w14:textId="77777777" w:rsidR="003627B4" w:rsidRPr="00402376" w:rsidRDefault="003627B4" w:rsidP="001032E7">
      <w:pPr>
        <w:pStyle w:val="Prrafodelista"/>
        <w:numPr>
          <w:ilvl w:val="0"/>
          <w:numId w:val="5"/>
        </w:numPr>
        <w:spacing w:after="0" w:line="240" w:lineRule="auto"/>
        <w:ind w:left="284" w:hanging="284"/>
        <w:jc w:val="both"/>
        <w:rPr>
          <w:rFonts w:ascii="Times New Roman" w:hAnsi="Times New Roman" w:cs="Times New Roman"/>
          <w:lang w:val="es-MX"/>
        </w:rPr>
      </w:pPr>
      <w:r w:rsidRPr="00402376">
        <w:rPr>
          <w:rFonts w:ascii="Times New Roman" w:hAnsi="Times New Roman" w:cs="Times New Roman"/>
          <w:lang w:val="es-MX"/>
        </w:rPr>
        <w:t>E</w:t>
      </w:r>
      <w:r w:rsidR="00C73EE1" w:rsidRPr="00402376">
        <w:rPr>
          <w:rFonts w:ascii="Times New Roman" w:hAnsi="Times New Roman" w:cs="Times New Roman"/>
          <w:lang w:val="es-MX"/>
        </w:rPr>
        <w:t>n el mercado internacional de capitales</w:t>
      </w:r>
      <w:r w:rsidRPr="00402376">
        <w:rPr>
          <w:rFonts w:ascii="Times New Roman" w:hAnsi="Times New Roman" w:cs="Times New Roman"/>
          <w:lang w:val="es-MX"/>
        </w:rPr>
        <w:t>, se adjudicaron US$1,200 millones</w:t>
      </w:r>
      <w:r w:rsidR="00402376" w:rsidRPr="00402376">
        <w:rPr>
          <w:rFonts w:ascii="Times New Roman" w:hAnsi="Times New Roman" w:cs="Times New Roman"/>
          <w:lang w:val="es-MX"/>
        </w:rPr>
        <w:t xml:space="preserve"> (equivalente a Q9,254.5 millones)</w:t>
      </w:r>
      <w:r w:rsidRPr="00402376">
        <w:rPr>
          <w:rFonts w:ascii="Times New Roman" w:hAnsi="Times New Roman" w:cs="Times New Roman"/>
          <w:lang w:val="es-MX"/>
        </w:rPr>
        <w:t xml:space="preserve"> en dos tramos:</w:t>
      </w:r>
    </w:p>
    <w:p w14:paraId="1B39672B" w14:textId="77777777" w:rsidR="00402376" w:rsidRPr="003627B4" w:rsidRDefault="00402376" w:rsidP="00402376">
      <w:pPr>
        <w:pStyle w:val="Prrafodelista"/>
        <w:spacing w:after="0" w:line="240" w:lineRule="auto"/>
        <w:jc w:val="both"/>
        <w:rPr>
          <w:rFonts w:ascii="Times New Roman" w:hAnsi="Times New Roman" w:cs="Times New Roman"/>
          <w:lang w:val="es-MX"/>
        </w:rPr>
      </w:pPr>
    </w:p>
    <w:p w14:paraId="04379FD6" w14:textId="77777777" w:rsidR="003627B4" w:rsidRPr="00402376" w:rsidRDefault="003627B4" w:rsidP="001032E7">
      <w:pPr>
        <w:pStyle w:val="Prrafodelista"/>
        <w:numPr>
          <w:ilvl w:val="1"/>
          <w:numId w:val="5"/>
        </w:numPr>
        <w:spacing w:after="0" w:line="240" w:lineRule="auto"/>
        <w:jc w:val="both"/>
        <w:rPr>
          <w:rFonts w:ascii="Times New Roman" w:hAnsi="Times New Roman" w:cs="Times New Roman"/>
          <w:lang w:val="es-MX"/>
        </w:rPr>
      </w:pPr>
      <w:r w:rsidRPr="00402376">
        <w:rPr>
          <w:rFonts w:ascii="Times New Roman" w:hAnsi="Times New Roman" w:cs="Times New Roman"/>
          <w:lang w:val="es-MX"/>
        </w:rPr>
        <w:t>Primer Tramo: US$500 millones a 12 años plazo, con una tasa de 5.375%</w:t>
      </w:r>
    </w:p>
    <w:p w14:paraId="64FB8598" w14:textId="77777777" w:rsidR="003627B4" w:rsidRPr="00402376" w:rsidRDefault="003627B4" w:rsidP="001032E7">
      <w:pPr>
        <w:pStyle w:val="Prrafodelista"/>
        <w:numPr>
          <w:ilvl w:val="1"/>
          <w:numId w:val="5"/>
        </w:numPr>
        <w:spacing w:after="0" w:line="240" w:lineRule="auto"/>
        <w:jc w:val="both"/>
        <w:rPr>
          <w:rFonts w:ascii="Times New Roman" w:hAnsi="Times New Roman" w:cs="Times New Roman"/>
          <w:lang w:val="es-MX"/>
        </w:rPr>
      </w:pPr>
      <w:r w:rsidRPr="00402376">
        <w:rPr>
          <w:rFonts w:ascii="Times New Roman" w:hAnsi="Times New Roman" w:cs="Times New Roman"/>
          <w:lang w:val="es-MX"/>
        </w:rPr>
        <w:t>Segundo Tramo: US$700 millones a 30 años plazo, con una tasa de interés de 6.125%</w:t>
      </w:r>
    </w:p>
    <w:p w14:paraId="2041028B" w14:textId="77777777" w:rsidR="003627B4" w:rsidRDefault="003627B4" w:rsidP="003627B4">
      <w:pPr>
        <w:pStyle w:val="Prrafodelista"/>
        <w:spacing w:after="0" w:line="240" w:lineRule="auto"/>
        <w:jc w:val="both"/>
        <w:rPr>
          <w:rFonts w:ascii="Times New Roman" w:hAnsi="Times New Roman" w:cs="Times New Roman"/>
          <w:lang w:val="es-MX"/>
        </w:rPr>
      </w:pPr>
    </w:p>
    <w:p w14:paraId="443BAD99" w14:textId="3A4332E2" w:rsidR="003627B4" w:rsidRDefault="003627B4" w:rsidP="00E4773A">
      <w:pPr>
        <w:pStyle w:val="Prrafodelista"/>
        <w:spacing w:after="0" w:line="240" w:lineRule="auto"/>
        <w:ind w:left="284"/>
        <w:jc w:val="both"/>
        <w:rPr>
          <w:rFonts w:ascii="Times New Roman" w:hAnsi="Times New Roman" w:cs="Times New Roman"/>
          <w:lang w:val="es-MX"/>
        </w:rPr>
      </w:pPr>
      <w:r w:rsidRPr="003627B4">
        <w:rPr>
          <w:rFonts w:ascii="Times New Roman" w:hAnsi="Times New Roman" w:cs="Times New Roman"/>
          <w:lang w:val="es-MX"/>
        </w:rPr>
        <w:t>El primer tramo se estructuró para financiar proyectos sociales para dar respuesta a los efectos negativos</w:t>
      </w:r>
      <w:r>
        <w:rPr>
          <w:rFonts w:ascii="Times New Roman" w:hAnsi="Times New Roman" w:cs="Times New Roman"/>
          <w:lang w:val="es-MX"/>
        </w:rPr>
        <w:t xml:space="preserve"> </w:t>
      </w:r>
      <w:r w:rsidRPr="003627B4">
        <w:rPr>
          <w:rFonts w:ascii="Times New Roman" w:hAnsi="Times New Roman" w:cs="Times New Roman"/>
          <w:lang w:val="es-MX"/>
        </w:rPr>
        <w:t>del COVID-19. Guatemala fue el primer país en emitir un bono de estas características en Centroamérica y</w:t>
      </w:r>
      <w:r>
        <w:rPr>
          <w:rFonts w:ascii="Times New Roman" w:hAnsi="Times New Roman" w:cs="Times New Roman"/>
          <w:lang w:val="es-MX"/>
        </w:rPr>
        <w:t xml:space="preserve"> </w:t>
      </w:r>
      <w:r w:rsidRPr="003627B4">
        <w:rPr>
          <w:rFonts w:ascii="Times New Roman" w:hAnsi="Times New Roman" w:cs="Times New Roman"/>
          <w:lang w:val="es-MX"/>
        </w:rPr>
        <w:t>el Caribe y el segundo en Latinoamérica.</w:t>
      </w:r>
      <w:r>
        <w:rPr>
          <w:rFonts w:ascii="Times New Roman" w:hAnsi="Times New Roman" w:cs="Times New Roman"/>
          <w:lang w:val="es-MX"/>
        </w:rPr>
        <w:t xml:space="preserve"> </w:t>
      </w:r>
      <w:r w:rsidRPr="003627B4">
        <w:rPr>
          <w:rFonts w:ascii="Times New Roman" w:hAnsi="Times New Roman" w:cs="Times New Roman"/>
          <w:lang w:val="es-MX"/>
        </w:rPr>
        <w:t>Del segundo tramo sobresale el plazo cuyo vencimiento que es a 30 años, es decir 2050, y se destinó a</w:t>
      </w:r>
      <w:r>
        <w:rPr>
          <w:rFonts w:ascii="Times New Roman" w:hAnsi="Times New Roman" w:cs="Times New Roman"/>
          <w:lang w:val="es-MX"/>
        </w:rPr>
        <w:t xml:space="preserve"> </w:t>
      </w:r>
      <w:r w:rsidRPr="003627B4">
        <w:rPr>
          <w:rFonts w:ascii="Times New Roman" w:hAnsi="Times New Roman" w:cs="Times New Roman"/>
          <w:lang w:val="es-MX"/>
        </w:rPr>
        <w:t>formar parte del financiamiento del presupuesto para el ejercicio fiscal 2020. La colocación de eurobonos</w:t>
      </w:r>
      <w:r>
        <w:rPr>
          <w:rFonts w:ascii="Times New Roman" w:hAnsi="Times New Roman" w:cs="Times New Roman"/>
          <w:lang w:val="es-MX"/>
        </w:rPr>
        <w:t xml:space="preserve"> </w:t>
      </w:r>
      <w:r w:rsidRPr="003627B4">
        <w:rPr>
          <w:rFonts w:ascii="Times New Roman" w:hAnsi="Times New Roman" w:cs="Times New Roman"/>
          <w:lang w:val="es-MX"/>
        </w:rPr>
        <w:t>alcanzó una demanda histórica que sobrepasó los US$8,100 millones.</w:t>
      </w:r>
    </w:p>
    <w:p w14:paraId="407F9A94" w14:textId="03728820" w:rsidR="003C43B2" w:rsidRDefault="00C73EE1" w:rsidP="001032E7">
      <w:pPr>
        <w:pStyle w:val="Prrafodelista"/>
        <w:numPr>
          <w:ilvl w:val="0"/>
          <w:numId w:val="5"/>
        </w:numPr>
        <w:spacing w:after="0" w:line="240" w:lineRule="auto"/>
        <w:ind w:left="284" w:hanging="284"/>
        <w:jc w:val="both"/>
        <w:rPr>
          <w:rFonts w:ascii="Times New Roman" w:hAnsi="Times New Roman" w:cs="Times New Roman"/>
          <w:lang w:val="es-MX"/>
        </w:rPr>
      </w:pPr>
      <w:r w:rsidRPr="00377C37">
        <w:rPr>
          <w:rFonts w:ascii="Times New Roman" w:hAnsi="Times New Roman" w:cs="Times New Roman"/>
          <w:lang w:val="es-MX"/>
        </w:rPr>
        <w:t>Los préstamos externos netos,</w:t>
      </w:r>
      <w:r w:rsidR="00402376" w:rsidRPr="00377C37">
        <w:rPr>
          <w:rFonts w:ascii="Times New Roman" w:hAnsi="Times New Roman" w:cs="Times New Roman"/>
          <w:lang w:val="es-MX"/>
        </w:rPr>
        <w:t xml:space="preserve"> se ubicaron en terreno posit</w:t>
      </w:r>
      <w:r w:rsidRPr="00377C37">
        <w:rPr>
          <w:rFonts w:ascii="Times New Roman" w:hAnsi="Times New Roman" w:cs="Times New Roman"/>
          <w:lang w:val="es-MX"/>
        </w:rPr>
        <w:t>ivo, dado que las amortizaciones de préstamos (Q</w:t>
      </w:r>
      <w:r w:rsidR="00402376" w:rsidRPr="00377C37">
        <w:rPr>
          <w:rFonts w:ascii="Times New Roman" w:hAnsi="Times New Roman" w:cs="Times New Roman"/>
          <w:lang w:val="es-MX"/>
        </w:rPr>
        <w:t>3</w:t>
      </w:r>
      <w:r w:rsidRPr="00377C37">
        <w:rPr>
          <w:rFonts w:ascii="Times New Roman" w:hAnsi="Times New Roman" w:cs="Times New Roman"/>
          <w:lang w:val="es-MX"/>
        </w:rPr>
        <w:t>,</w:t>
      </w:r>
      <w:r w:rsidR="00402376" w:rsidRPr="00377C37">
        <w:rPr>
          <w:rFonts w:ascii="Times New Roman" w:hAnsi="Times New Roman" w:cs="Times New Roman"/>
          <w:lang w:val="es-MX"/>
        </w:rPr>
        <w:t>096</w:t>
      </w:r>
      <w:r w:rsidRPr="00377C37">
        <w:rPr>
          <w:rFonts w:ascii="Times New Roman" w:hAnsi="Times New Roman" w:cs="Times New Roman"/>
          <w:lang w:val="es-MX"/>
        </w:rPr>
        <w:t>.</w:t>
      </w:r>
      <w:r w:rsidR="00402376" w:rsidRPr="00377C37">
        <w:rPr>
          <w:rFonts w:ascii="Times New Roman" w:hAnsi="Times New Roman" w:cs="Times New Roman"/>
          <w:lang w:val="es-MX"/>
        </w:rPr>
        <w:t>4</w:t>
      </w:r>
      <w:r w:rsidRPr="00377C37">
        <w:rPr>
          <w:rFonts w:ascii="Times New Roman" w:hAnsi="Times New Roman" w:cs="Times New Roman"/>
          <w:lang w:val="es-MX"/>
        </w:rPr>
        <w:t xml:space="preserve"> m</w:t>
      </w:r>
      <w:r w:rsidR="00DA66DC" w:rsidRPr="00377C37">
        <w:rPr>
          <w:rFonts w:ascii="Times New Roman" w:hAnsi="Times New Roman" w:cs="Times New Roman"/>
          <w:lang w:val="es-MX"/>
        </w:rPr>
        <w:t>illones) fueron inferiores a</w:t>
      </w:r>
      <w:r w:rsidRPr="00377C37">
        <w:rPr>
          <w:rFonts w:ascii="Times New Roman" w:hAnsi="Times New Roman" w:cs="Times New Roman"/>
          <w:lang w:val="es-MX"/>
        </w:rPr>
        <w:t xml:space="preserve"> los desembolsos (Q</w:t>
      </w:r>
      <w:r w:rsidR="00402376" w:rsidRPr="00377C37">
        <w:rPr>
          <w:rFonts w:ascii="Times New Roman" w:hAnsi="Times New Roman" w:cs="Times New Roman"/>
          <w:lang w:val="es-MX"/>
        </w:rPr>
        <w:t>4,179</w:t>
      </w:r>
      <w:r w:rsidRPr="00377C37">
        <w:rPr>
          <w:rFonts w:ascii="Times New Roman" w:hAnsi="Times New Roman" w:cs="Times New Roman"/>
          <w:lang w:val="es-MX"/>
        </w:rPr>
        <w:t>.</w:t>
      </w:r>
      <w:r w:rsidR="00402376" w:rsidRPr="00377C37">
        <w:rPr>
          <w:rFonts w:ascii="Times New Roman" w:hAnsi="Times New Roman" w:cs="Times New Roman"/>
          <w:lang w:val="es-MX"/>
        </w:rPr>
        <w:t>2</w:t>
      </w:r>
      <w:r w:rsidRPr="00377C37">
        <w:rPr>
          <w:rFonts w:ascii="Times New Roman" w:hAnsi="Times New Roman" w:cs="Times New Roman"/>
          <w:lang w:val="es-MX"/>
        </w:rPr>
        <w:t xml:space="preserve"> millones),</w:t>
      </w:r>
      <w:r w:rsidR="00377C37" w:rsidRPr="00377C37">
        <w:rPr>
          <w:rFonts w:ascii="Times New Roman" w:hAnsi="Times New Roman" w:cs="Times New Roman"/>
          <w:lang w:val="es-MX"/>
        </w:rPr>
        <w:t xml:space="preserve"> los cuales se mostraron bastante dinámicos, esto se debió a que se negociaron préstamos nuevos y se logró liberar otros préstamos que desde hace varios años estaban entrampados en el Congreso de la República</w:t>
      </w:r>
      <w:r w:rsidR="00377C37">
        <w:rPr>
          <w:rFonts w:ascii="Times New Roman" w:hAnsi="Times New Roman" w:cs="Times New Roman"/>
          <w:lang w:val="es-MX"/>
        </w:rPr>
        <w:t>, en ese</w:t>
      </w:r>
      <w:r w:rsidR="00377C37" w:rsidRPr="00377C37">
        <w:rPr>
          <w:rFonts w:ascii="Times New Roman" w:hAnsi="Times New Roman" w:cs="Times New Roman"/>
          <w:lang w:val="es-MX"/>
        </w:rPr>
        <w:t xml:space="preserve"> sentido </w:t>
      </w:r>
      <w:r w:rsidR="00377C37">
        <w:rPr>
          <w:rFonts w:ascii="Times New Roman" w:hAnsi="Times New Roman" w:cs="Times New Roman"/>
          <w:lang w:val="es-MX"/>
        </w:rPr>
        <w:t>hay</w:t>
      </w:r>
      <w:r w:rsidR="00377C37" w:rsidRPr="00377C37">
        <w:rPr>
          <w:rFonts w:ascii="Times New Roman" w:hAnsi="Times New Roman" w:cs="Times New Roman"/>
          <w:lang w:val="es-MX"/>
        </w:rPr>
        <w:t xml:space="preserve"> un</w:t>
      </w:r>
      <w:r w:rsidR="00377C37">
        <w:rPr>
          <w:rFonts w:ascii="Times New Roman" w:hAnsi="Times New Roman" w:cs="Times New Roman"/>
          <w:lang w:val="es-MX"/>
        </w:rPr>
        <w:t xml:space="preserve"> aumento</w:t>
      </w:r>
      <w:r w:rsidR="00377C37" w:rsidRPr="00377C37">
        <w:rPr>
          <w:rFonts w:ascii="Times New Roman" w:hAnsi="Times New Roman" w:cs="Times New Roman"/>
          <w:lang w:val="es-MX"/>
        </w:rPr>
        <w:t xml:space="preserve"> de la deuda pública con los organismos financieros multilaterales</w:t>
      </w:r>
      <w:r w:rsidR="00D845A0">
        <w:rPr>
          <w:rFonts w:ascii="Times New Roman" w:hAnsi="Times New Roman" w:cs="Times New Roman"/>
          <w:lang w:val="es-MX"/>
        </w:rPr>
        <w:t>.</w:t>
      </w:r>
    </w:p>
    <w:p w14:paraId="5BDCE706" w14:textId="715E9F5B" w:rsidR="00E4773A" w:rsidRDefault="00E4773A" w:rsidP="00E851D2">
      <w:pPr>
        <w:pStyle w:val="Prrafodelista"/>
        <w:spacing w:after="0" w:line="240" w:lineRule="auto"/>
        <w:ind w:left="284"/>
        <w:jc w:val="both"/>
        <w:rPr>
          <w:rFonts w:ascii="Times New Roman" w:hAnsi="Times New Roman" w:cs="Times New Roman"/>
          <w:lang w:val="es-MX"/>
        </w:rPr>
      </w:pPr>
    </w:p>
    <w:p w14:paraId="56145314" w14:textId="6E5F7AE0" w:rsidR="00E851D2" w:rsidRDefault="00E851D2" w:rsidP="00E851D2">
      <w:pPr>
        <w:pStyle w:val="Prrafodelista"/>
        <w:spacing w:after="0" w:line="240" w:lineRule="auto"/>
        <w:ind w:left="284"/>
        <w:jc w:val="both"/>
        <w:rPr>
          <w:rFonts w:ascii="Times New Roman" w:hAnsi="Times New Roman" w:cs="Times New Roman"/>
          <w:lang w:val="es-MX"/>
        </w:rPr>
      </w:pPr>
    </w:p>
    <w:p w14:paraId="2A1BC43D" w14:textId="77777777" w:rsidR="009E18F8" w:rsidRDefault="009E18F8" w:rsidP="00313861">
      <w:pPr>
        <w:spacing w:after="0" w:line="240" w:lineRule="auto"/>
        <w:jc w:val="both"/>
        <w:rPr>
          <w:rFonts w:ascii="Times New Roman" w:hAnsi="Times New Roman" w:cs="Times New Roman"/>
          <w:lang w:val="es-MX"/>
        </w:rPr>
      </w:pPr>
    </w:p>
    <w:p w14:paraId="7A59EAFE" w14:textId="545709B2" w:rsidR="00313861" w:rsidRPr="00313861" w:rsidRDefault="00DB09BE" w:rsidP="00313861">
      <w:pPr>
        <w:spacing w:after="0" w:line="240" w:lineRule="auto"/>
        <w:jc w:val="both"/>
        <w:rPr>
          <w:rFonts w:ascii="Times New Roman" w:hAnsi="Times New Roman" w:cs="Times New Roman"/>
          <w:lang w:val="es-MX"/>
        </w:rPr>
      </w:pPr>
      <w:r>
        <w:rPr>
          <w:rFonts w:ascii="Times New Roman" w:hAnsi="Times New Roman" w:cs="Times New Roman"/>
          <w:noProof/>
          <w:sz w:val="18"/>
          <w:lang w:val="es-ES" w:eastAsia="es-ES"/>
        </w:rPr>
        <w:drawing>
          <wp:anchor distT="0" distB="0" distL="114300" distR="114300" simplePos="0" relativeHeight="251937280" behindDoc="1" locked="0" layoutInCell="1" allowOverlap="1" wp14:anchorId="09958D49" wp14:editId="6A9B206F">
            <wp:simplePos x="0" y="0"/>
            <wp:positionH relativeFrom="column">
              <wp:posOffset>62692</wp:posOffset>
            </wp:positionH>
            <wp:positionV relativeFrom="paragraph">
              <wp:posOffset>63500</wp:posOffset>
            </wp:positionV>
            <wp:extent cx="5486400" cy="2084705"/>
            <wp:effectExtent l="0" t="0" r="0" b="0"/>
            <wp:wrapNone/>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14:paraId="6698FA32" w14:textId="3C5D482D" w:rsidR="00C21911" w:rsidRPr="00313861" w:rsidRDefault="003E14B7" w:rsidP="00C834F3">
      <w:pPr>
        <w:pStyle w:val="Epgrafe"/>
        <w:spacing w:after="0"/>
        <w:jc w:val="center"/>
        <w:rPr>
          <w:rFonts w:ascii="Times New Roman" w:hAnsi="Times New Roman" w:cs="Times New Roman"/>
          <w:b/>
          <w:i w:val="0"/>
          <w:color w:val="auto"/>
          <w:sz w:val="22"/>
          <w:szCs w:val="22"/>
        </w:rPr>
      </w:pPr>
      <w:bookmarkStart w:id="1029" w:name="_Toc50016839"/>
      <w:bookmarkStart w:id="1030" w:name="_Toc81573083"/>
      <w:bookmarkStart w:id="1031" w:name="_Toc16158416"/>
      <w:r w:rsidRPr="003E14B7">
        <w:rPr>
          <w:rFonts w:ascii="Times New Roman" w:hAnsi="Times New Roman" w:cs="Times New Roman"/>
          <w:b/>
          <w:color w:val="auto"/>
          <w:sz w:val="20"/>
        </w:rPr>
        <w:t xml:space="preserve">Gráfico </w:t>
      </w:r>
      <w:r w:rsidRPr="003E14B7">
        <w:rPr>
          <w:rFonts w:ascii="Times New Roman" w:hAnsi="Times New Roman" w:cs="Times New Roman"/>
          <w:b/>
          <w:color w:val="auto"/>
          <w:sz w:val="20"/>
        </w:rPr>
        <w:fldChar w:fldCharType="begin"/>
      </w:r>
      <w:r w:rsidRPr="003E14B7">
        <w:rPr>
          <w:rFonts w:ascii="Times New Roman" w:hAnsi="Times New Roman" w:cs="Times New Roman"/>
          <w:b/>
          <w:color w:val="auto"/>
          <w:sz w:val="20"/>
        </w:rPr>
        <w:instrText xml:space="preserve"> SEQ Gráfico \* ARABIC </w:instrText>
      </w:r>
      <w:r w:rsidRPr="003E14B7">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33</w:t>
      </w:r>
      <w:r w:rsidRPr="003E14B7">
        <w:rPr>
          <w:rFonts w:ascii="Times New Roman" w:hAnsi="Times New Roman" w:cs="Times New Roman"/>
          <w:b/>
          <w:color w:val="auto"/>
          <w:sz w:val="20"/>
        </w:rPr>
        <w:fldChar w:fldCharType="end"/>
      </w:r>
      <w:r w:rsidRPr="003E14B7">
        <w:rPr>
          <w:rFonts w:ascii="Times New Roman" w:hAnsi="Times New Roman" w:cs="Times New Roman"/>
          <w:b/>
          <w:color w:val="auto"/>
          <w:sz w:val="20"/>
        </w:rPr>
        <w:t xml:space="preserve">  </w:t>
      </w:r>
      <w:r w:rsidR="00313861" w:rsidRPr="00313861">
        <w:rPr>
          <w:rFonts w:ascii="Times New Roman" w:hAnsi="Times New Roman" w:cs="Times New Roman"/>
          <w:b/>
          <w:i w:val="0"/>
          <w:color w:val="auto"/>
          <w:sz w:val="22"/>
          <w:szCs w:val="22"/>
        </w:rPr>
        <w:t>Resultado fiscal</w:t>
      </w:r>
      <w:bookmarkEnd w:id="1029"/>
      <w:bookmarkEnd w:id="1030"/>
    </w:p>
    <w:bookmarkEnd w:id="1031"/>
    <w:p w14:paraId="15C34DF9" w14:textId="77777777" w:rsidR="00AC2DD2" w:rsidRPr="004133EB" w:rsidRDefault="007453F6" w:rsidP="00784A73">
      <w:pPr>
        <w:pStyle w:val="Sinespaciado"/>
        <w:jc w:val="center"/>
        <w:rPr>
          <w:rFonts w:ascii="Times New Roman" w:hAnsi="Times New Roman" w:cs="Times New Roman"/>
          <w:sz w:val="18"/>
        </w:rPr>
      </w:pPr>
      <w:r>
        <w:rPr>
          <w:rFonts w:ascii="Times New Roman" w:hAnsi="Times New Roman" w:cs="Times New Roman"/>
          <w:sz w:val="18"/>
        </w:rPr>
        <w:t>2010 – 2020</w:t>
      </w:r>
    </w:p>
    <w:p w14:paraId="0092FBF7" w14:textId="77777777" w:rsidR="00AC2DD2" w:rsidRDefault="00AC2DD2" w:rsidP="00AC2DD2">
      <w:pPr>
        <w:pStyle w:val="Sinespaciado"/>
        <w:spacing w:after="240"/>
        <w:jc w:val="center"/>
        <w:rPr>
          <w:rFonts w:ascii="Times New Roman" w:hAnsi="Times New Roman" w:cs="Times New Roman"/>
          <w:sz w:val="18"/>
        </w:rPr>
      </w:pPr>
      <w:r w:rsidRPr="004133EB">
        <w:rPr>
          <w:rFonts w:ascii="Times New Roman" w:hAnsi="Times New Roman" w:cs="Times New Roman"/>
          <w:sz w:val="18"/>
        </w:rPr>
        <w:t>-Porcentajes del PIB-</w:t>
      </w:r>
    </w:p>
    <w:p w14:paraId="21D8D02E" w14:textId="77777777" w:rsidR="00DB09BE" w:rsidRPr="004133EB" w:rsidRDefault="00DB09BE" w:rsidP="00AC2DD2">
      <w:pPr>
        <w:pStyle w:val="Sinespaciado"/>
        <w:spacing w:after="240"/>
        <w:jc w:val="center"/>
        <w:rPr>
          <w:rFonts w:ascii="Times New Roman" w:hAnsi="Times New Roman" w:cs="Times New Roman"/>
          <w:sz w:val="18"/>
        </w:rPr>
      </w:pPr>
    </w:p>
    <w:p w14:paraId="15B736F4" w14:textId="77777777" w:rsidR="00215C62" w:rsidRPr="004133EB" w:rsidRDefault="00215C62" w:rsidP="004C139E">
      <w:pPr>
        <w:pStyle w:val="Sinespaciado"/>
        <w:jc w:val="center"/>
        <w:rPr>
          <w:rFonts w:ascii="Times New Roman" w:hAnsi="Times New Roman" w:cs="Times New Roman"/>
          <w:noProof/>
          <w:sz w:val="18"/>
          <w:lang w:eastAsia="es-GT"/>
        </w:rPr>
      </w:pPr>
    </w:p>
    <w:p w14:paraId="30C3DD23" w14:textId="77777777" w:rsidR="00426233" w:rsidRPr="004133EB" w:rsidRDefault="00426233" w:rsidP="004C139E">
      <w:pPr>
        <w:pStyle w:val="Sinespaciado"/>
        <w:jc w:val="center"/>
        <w:rPr>
          <w:rFonts w:ascii="Times New Roman" w:hAnsi="Times New Roman" w:cs="Times New Roman"/>
          <w:noProof/>
          <w:sz w:val="18"/>
          <w:lang w:eastAsia="es-GT"/>
        </w:rPr>
      </w:pPr>
    </w:p>
    <w:p w14:paraId="6507432B" w14:textId="77777777" w:rsidR="00426233" w:rsidRPr="004133EB" w:rsidRDefault="00426233" w:rsidP="004C139E">
      <w:pPr>
        <w:pStyle w:val="Sinespaciado"/>
        <w:jc w:val="center"/>
        <w:rPr>
          <w:rFonts w:ascii="Times New Roman" w:hAnsi="Times New Roman" w:cs="Times New Roman"/>
          <w:noProof/>
          <w:sz w:val="18"/>
          <w:lang w:eastAsia="es-GT"/>
        </w:rPr>
      </w:pPr>
    </w:p>
    <w:p w14:paraId="62A8BAB3" w14:textId="77777777" w:rsidR="00426233" w:rsidRPr="004133EB" w:rsidRDefault="00426233" w:rsidP="004C139E">
      <w:pPr>
        <w:pStyle w:val="Sinespaciado"/>
        <w:jc w:val="center"/>
        <w:rPr>
          <w:rFonts w:ascii="Times New Roman" w:hAnsi="Times New Roman" w:cs="Times New Roman"/>
          <w:b/>
        </w:rPr>
      </w:pPr>
    </w:p>
    <w:p w14:paraId="7E0F40BC" w14:textId="77777777" w:rsidR="00426233" w:rsidRPr="004133EB" w:rsidRDefault="00426233" w:rsidP="00AC2DD2">
      <w:pPr>
        <w:pStyle w:val="Sinespaciado"/>
        <w:ind w:left="708" w:firstLine="708"/>
        <w:jc w:val="both"/>
        <w:rPr>
          <w:rFonts w:ascii="Times New Roman" w:hAnsi="Times New Roman" w:cs="Times New Roman"/>
          <w:sz w:val="14"/>
          <w:szCs w:val="14"/>
        </w:rPr>
      </w:pPr>
    </w:p>
    <w:p w14:paraId="2A337917" w14:textId="77777777" w:rsidR="00DB09BE" w:rsidRDefault="00DB09BE" w:rsidP="00C86626">
      <w:pPr>
        <w:pStyle w:val="Sinespaciado"/>
        <w:ind w:firstLine="708"/>
        <w:jc w:val="both"/>
        <w:rPr>
          <w:rFonts w:ascii="Times New Roman" w:hAnsi="Times New Roman" w:cs="Times New Roman"/>
          <w:sz w:val="16"/>
          <w:szCs w:val="14"/>
        </w:rPr>
      </w:pPr>
    </w:p>
    <w:p w14:paraId="13B92686" w14:textId="77777777" w:rsidR="00DB09BE" w:rsidRDefault="00DB09BE" w:rsidP="00C86626">
      <w:pPr>
        <w:pStyle w:val="Sinespaciado"/>
        <w:ind w:firstLine="708"/>
        <w:jc w:val="both"/>
        <w:rPr>
          <w:rFonts w:ascii="Times New Roman" w:hAnsi="Times New Roman" w:cs="Times New Roman"/>
          <w:sz w:val="16"/>
          <w:szCs w:val="14"/>
        </w:rPr>
      </w:pPr>
    </w:p>
    <w:p w14:paraId="41079AE0" w14:textId="77777777" w:rsidR="00DB09BE" w:rsidRDefault="00DB09BE" w:rsidP="00C86626">
      <w:pPr>
        <w:pStyle w:val="Sinespaciado"/>
        <w:ind w:firstLine="708"/>
        <w:jc w:val="both"/>
        <w:rPr>
          <w:rFonts w:ascii="Times New Roman" w:hAnsi="Times New Roman" w:cs="Times New Roman"/>
          <w:sz w:val="16"/>
          <w:szCs w:val="14"/>
        </w:rPr>
      </w:pPr>
    </w:p>
    <w:p w14:paraId="7694890C" w14:textId="77777777" w:rsidR="00C834F3" w:rsidRDefault="00C834F3" w:rsidP="00B6733D">
      <w:pPr>
        <w:pStyle w:val="Sinespaciado"/>
        <w:ind w:firstLine="567"/>
        <w:jc w:val="both"/>
        <w:rPr>
          <w:rFonts w:ascii="Times New Roman" w:hAnsi="Times New Roman" w:cs="Times New Roman"/>
          <w:sz w:val="16"/>
          <w:szCs w:val="14"/>
        </w:rPr>
      </w:pPr>
    </w:p>
    <w:p w14:paraId="71D10964" w14:textId="5026FB31" w:rsidR="00DA66DC" w:rsidRDefault="00215C62" w:rsidP="00E4773A">
      <w:pPr>
        <w:pStyle w:val="Sinespaciado"/>
        <w:ind w:firstLine="567"/>
        <w:jc w:val="both"/>
        <w:rPr>
          <w:rFonts w:ascii="Times New Roman" w:hAnsi="Times New Roman" w:cs="Times New Roman"/>
          <w:sz w:val="16"/>
          <w:szCs w:val="14"/>
        </w:rPr>
      </w:pPr>
      <w:r w:rsidRPr="00784A73">
        <w:rPr>
          <w:rFonts w:ascii="Times New Roman" w:hAnsi="Times New Roman" w:cs="Times New Roman"/>
          <w:sz w:val="16"/>
          <w:szCs w:val="14"/>
        </w:rPr>
        <w:t>Fuente: Direcció</w:t>
      </w:r>
      <w:r w:rsidR="00AC2DD2" w:rsidRPr="00784A73">
        <w:rPr>
          <w:rFonts w:ascii="Times New Roman" w:hAnsi="Times New Roman" w:cs="Times New Roman"/>
          <w:sz w:val="16"/>
          <w:szCs w:val="14"/>
        </w:rPr>
        <w:t>n de Análisis y Política Fiscal</w:t>
      </w:r>
    </w:p>
    <w:p w14:paraId="7B622727" w14:textId="77777777" w:rsidR="00DA66DC" w:rsidRPr="00E4773A" w:rsidRDefault="00DA66DC" w:rsidP="00C86626">
      <w:pPr>
        <w:pStyle w:val="Sinespaciado"/>
        <w:ind w:firstLine="708"/>
        <w:jc w:val="both"/>
        <w:rPr>
          <w:rFonts w:ascii="Times New Roman" w:hAnsi="Times New Roman" w:cs="Times New Roman"/>
          <w:szCs w:val="14"/>
        </w:rPr>
      </w:pPr>
    </w:p>
    <w:p w14:paraId="7F84FDAC" w14:textId="77777777" w:rsidR="00284EBA" w:rsidRPr="00B35412" w:rsidRDefault="00284EBA" w:rsidP="001032E7">
      <w:pPr>
        <w:pStyle w:val="Sinespaciado"/>
        <w:numPr>
          <w:ilvl w:val="0"/>
          <w:numId w:val="37"/>
        </w:numPr>
        <w:ind w:left="567" w:hanging="283"/>
        <w:jc w:val="both"/>
        <w:outlineLvl w:val="2"/>
        <w:rPr>
          <w:rFonts w:ascii="Times New Roman" w:hAnsi="Times New Roman" w:cs="Times New Roman"/>
          <w:b/>
          <w:sz w:val="24"/>
        </w:rPr>
      </w:pPr>
      <w:bookmarkStart w:id="1032" w:name="_Toc49939460"/>
      <w:bookmarkStart w:id="1033" w:name="_Toc81571890"/>
      <w:r w:rsidRPr="00B35412">
        <w:rPr>
          <w:rFonts w:ascii="Times New Roman" w:hAnsi="Times New Roman" w:cs="Times New Roman"/>
          <w:b/>
          <w:sz w:val="24"/>
        </w:rPr>
        <w:t xml:space="preserve">Resultado del </w:t>
      </w:r>
      <w:r w:rsidR="00784A73" w:rsidRPr="00B35412">
        <w:rPr>
          <w:rFonts w:ascii="Times New Roman" w:hAnsi="Times New Roman" w:cs="Times New Roman"/>
          <w:b/>
          <w:sz w:val="24"/>
        </w:rPr>
        <w:t>sector público n</w:t>
      </w:r>
      <w:r w:rsidRPr="00B35412">
        <w:rPr>
          <w:rFonts w:ascii="Times New Roman" w:hAnsi="Times New Roman" w:cs="Times New Roman"/>
          <w:b/>
          <w:sz w:val="24"/>
        </w:rPr>
        <w:t xml:space="preserve">o </w:t>
      </w:r>
      <w:r w:rsidR="00784A73" w:rsidRPr="00B35412">
        <w:rPr>
          <w:rFonts w:ascii="Times New Roman" w:hAnsi="Times New Roman" w:cs="Times New Roman"/>
          <w:b/>
          <w:sz w:val="24"/>
        </w:rPr>
        <w:t>financiero c</w:t>
      </w:r>
      <w:r w:rsidRPr="00B35412">
        <w:rPr>
          <w:rFonts w:ascii="Times New Roman" w:hAnsi="Times New Roman" w:cs="Times New Roman"/>
          <w:b/>
          <w:sz w:val="24"/>
        </w:rPr>
        <w:t>onsolidado</w:t>
      </w:r>
      <w:bookmarkEnd w:id="1032"/>
      <w:bookmarkEnd w:id="1033"/>
    </w:p>
    <w:p w14:paraId="2C04AF17" w14:textId="77777777" w:rsidR="00284EBA" w:rsidRPr="00316EAE" w:rsidRDefault="00284EBA" w:rsidP="00215C62">
      <w:pPr>
        <w:pStyle w:val="Sinespaciado"/>
        <w:jc w:val="both"/>
        <w:rPr>
          <w:rFonts w:ascii="Times New Roman" w:eastAsiaTheme="majorEastAsia" w:hAnsi="Times New Roman" w:cs="Times New Roman"/>
          <w:bCs/>
          <w:szCs w:val="26"/>
          <w:highlight w:val="yellow"/>
          <w:lang w:eastAsia="es-ES"/>
        </w:rPr>
      </w:pPr>
    </w:p>
    <w:p w14:paraId="4ABDC5B8" w14:textId="77777777" w:rsidR="00B35412" w:rsidRDefault="00B35412" w:rsidP="00B35412">
      <w:pPr>
        <w:spacing w:after="0" w:line="240" w:lineRule="auto"/>
        <w:jc w:val="both"/>
        <w:rPr>
          <w:rFonts w:ascii="Times New Roman" w:hAnsi="Times New Roman" w:cs="Times New Roman"/>
        </w:rPr>
      </w:pPr>
      <w:r w:rsidRPr="002B72F6">
        <w:rPr>
          <w:rFonts w:ascii="Times New Roman" w:hAnsi="Times New Roman" w:cs="Times New Roman"/>
        </w:rPr>
        <w:t>El sector público no financiero</w:t>
      </w:r>
      <w:r>
        <w:rPr>
          <w:rFonts w:ascii="Times New Roman" w:hAnsi="Times New Roman" w:cs="Times New Roman"/>
        </w:rPr>
        <w:t xml:space="preserve"> -SPNF-</w:t>
      </w:r>
      <w:r w:rsidRPr="002B72F6">
        <w:rPr>
          <w:rFonts w:ascii="Times New Roman" w:hAnsi="Times New Roman" w:cs="Times New Roman"/>
        </w:rPr>
        <w:t xml:space="preserve"> considera las entidades de la Administración Central </w:t>
      </w:r>
      <w:r>
        <w:rPr>
          <w:rFonts w:ascii="Times New Roman" w:hAnsi="Times New Roman" w:cs="Times New Roman"/>
        </w:rPr>
        <w:t xml:space="preserve">( </w:t>
      </w:r>
      <w:r w:rsidRPr="002B72F6">
        <w:rPr>
          <w:rFonts w:ascii="Times New Roman" w:hAnsi="Times New Roman" w:cs="Times New Roman"/>
        </w:rPr>
        <w:t>Presidencia, Ministerios, Secretarías, Obligaciones del Estado, Servicio de la deuda Pública y la Procuraduría General de la Nación</w:t>
      </w:r>
      <w:r>
        <w:rPr>
          <w:rFonts w:ascii="Times New Roman" w:hAnsi="Times New Roman" w:cs="Times New Roman"/>
        </w:rPr>
        <w:t>, el</w:t>
      </w:r>
      <w:r w:rsidRPr="002B72F6">
        <w:rPr>
          <w:rFonts w:ascii="Times New Roman" w:hAnsi="Times New Roman" w:cs="Times New Roman"/>
        </w:rPr>
        <w:t xml:space="preserve"> Organismo Judicial, el Congreso de la República, todos los órganos de control jurídico-administrativo y político</w:t>
      </w:r>
      <w:r>
        <w:rPr>
          <w:rFonts w:ascii="Times New Roman" w:hAnsi="Times New Roman" w:cs="Times New Roman"/>
        </w:rPr>
        <w:t>)</w:t>
      </w:r>
      <w:r w:rsidRPr="002B72F6">
        <w:rPr>
          <w:rFonts w:ascii="Times New Roman" w:hAnsi="Times New Roman" w:cs="Times New Roman"/>
        </w:rPr>
        <w:t>, las entidades descentralizadas y autónomas, las entidades de seguridad social, las municipalidades, mancomunidades</w:t>
      </w:r>
      <w:r>
        <w:rPr>
          <w:rFonts w:ascii="Times New Roman" w:hAnsi="Times New Roman" w:cs="Times New Roman"/>
        </w:rPr>
        <w:t xml:space="preserve"> </w:t>
      </w:r>
      <w:r w:rsidRPr="002B72F6">
        <w:rPr>
          <w:rFonts w:ascii="Times New Roman" w:hAnsi="Times New Roman" w:cs="Times New Roman"/>
        </w:rPr>
        <w:t xml:space="preserve">y las empresas públicas nacionales y municipales. Lo que se excluye son las empresas públicas financieras </w:t>
      </w:r>
      <w:r>
        <w:rPr>
          <w:rFonts w:ascii="Times New Roman" w:hAnsi="Times New Roman" w:cs="Times New Roman"/>
        </w:rPr>
        <w:t xml:space="preserve">como </w:t>
      </w:r>
      <w:r w:rsidRPr="002B72F6">
        <w:rPr>
          <w:rFonts w:ascii="Times New Roman" w:hAnsi="Times New Roman" w:cs="Times New Roman"/>
        </w:rPr>
        <w:t xml:space="preserve">BANGUAT, SIB, CHN y CORFINA.   </w:t>
      </w:r>
    </w:p>
    <w:p w14:paraId="6D56FECE" w14:textId="77777777" w:rsidR="00B35412" w:rsidRDefault="00B35412" w:rsidP="00B35412">
      <w:pPr>
        <w:spacing w:after="0" w:line="240" w:lineRule="auto"/>
        <w:jc w:val="both"/>
        <w:rPr>
          <w:rFonts w:ascii="Times New Roman" w:hAnsi="Times New Roman" w:cs="Times New Roman"/>
        </w:rPr>
      </w:pPr>
    </w:p>
    <w:p w14:paraId="3D7A124F" w14:textId="77777777" w:rsidR="00B35412" w:rsidRDefault="00B35412" w:rsidP="00B35412">
      <w:pPr>
        <w:spacing w:after="0" w:line="240" w:lineRule="auto"/>
        <w:jc w:val="both"/>
        <w:rPr>
          <w:rFonts w:ascii="Times New Roman" w:hAnsi="Times New Roman" w:cs="Times New Roman"/>
        </w:rPr>
      </w:pPr>
      <w:r>
        <w:rPr>
          <w:rFonts w:ascii="Times New Roman" w:hAnsi="Times New Roman" w:cs="Times New Roman"/>
        </w:rPr>
        <w:t xml:space="preserve">Es importante resaltar que la información que se presenta a continuación corresponde a cifras consolidadas, esto con la finalidad de presentar al SPNF como una sola unidad económica. </w:t>
      </w:r>
      <w:r w:rsidRPr="002B72F6">
        <w:rPr>
          <w:rFonts w:ascii="Times New Roman" w:hAnsi="Times New Roman" w:cs="Times New Roman"/>
        </w:rPr>
        <w:t>Para efectos de consolidación se eliminan las operaciones reciprocas</w:t>
      </w:r>
      <w:r>
        <w:rPr>
          <w:rFonts w:ascii="Times New Roman" w:hAnsi="Times New Roman" w:cs="Times New Roman"/>
        </w:rPr>
        <w:t xml:space="preserve"> que se producen</w:t>
      </w:r>
      <w:r w:rsidRPr="002B72F6">
        <w:rPr>
          <w:rFonts w:ascii="Times New Roman" w:hAnsi="Times New Roman" w:cs="Times New Roman"/>
        </w:rPr>
        <w:t xml:space="preserve"> entre las diferentes entidades </w:t>
      </w:r>
      <w:r>
        <w:rPr>
          <w:rFonts w:ascii="Times New Roman" w:hAnsi="Times New Roman" w:cs="Times New Roman"/>
        </w:rPr>
        <w:t>que conforman</w:t>
      </w:r>
      <w:r w:rsidRPr="002B72F6">
        <w:rPr>
          <w:rFonts w:ascii="Times New Roman" w:hAnsi="Times New Roman" w:cs="Times New Roman"/>
        </w:rPr>
        <w:t xml:space="preserve"> </w:t>
      </w:r>
      <w:r>
        <w:rPr>
          <w:rFonts w:ascii="Times New Roman" w:hAnsi="Times New Roman" w:cs="Times New Roman"/>
        </w:rPr>
        <w:t>el SPNF</w:t>
      </w:r>
      <w:r w:rsidRPr="002B72F6">
        <w:rPr>
          <w:rFonts w:ascii="Times New Roman" w:hAnsi="Times New Roman" w:cs="Times New Roman"/>
        </w:rPr>
        <w:t>, principalmente transferencias, algunos servicios, traslado de utilidades, intereses de deuda entre entidades, entre otros rubros.</w:t>
      </w:r>
    </w:p>
    <w:p w14:paraId="0F1D22B7" w14:textId="77777777" w:rsidR="00B35412" w:rsidRPr="002B72F6" w:rsidRDefault="00B35412" w:rsidP="00B35412">
      <w:pPr>
        <w:spacing w:after="0" w:line="240" w:lineRule="auto"/>
        <w:jc w:val="both"/>
        <w:rPr>
          <w:rFonts w:ascii="Times New Roman" w:hAnsi="Times New Roman" w:cs="Times New Roman"/>
        </w:rPr>
      </w:pPr>
    </w:p>
    <w:p w14:paraId="6BC97AEE" w14:textId="7FACF44C" w:rsidR="00B35412" w:rsidRDefault="00B35412" w:rsidP="00B35412">
      <w:pPr>
        <w:spacing w:after="0" w:line="240" w:lineRule="auto"/>
        <w:jc w:val="both"/>
        <w:rPr>
          <w:rFonts w:ascii="Times New Roman" w:hAnsi="Times New Roman" w:cs="Times New Roman"/>
        </w:rPr>
      </w:pPr>
      <w:r w:rsidRPr="00823542">
        <w:rPr>
          <w:rFonts w:ascii="Times New Roman" w:hAnsi="Times New Roman" w:cs="Times New Roman"/>
        </w:rPr>
        <w:t>Los ingresos totales del SPNF en el 2020 se encuentra en</w:t>
      </w:r>
      <w:r>
        <w:rPr>
          <w:rFonts w:ascii="Times New Roman" w:hAnsi="Times New Roman" w:cs="Times New Roman"/>
        </w:rPr>
        <w:t xml:space="preserve"> </w:t>
      </w:r>
      <w:r w:rsidRPr="00823542">
        <w:rPr>
          <w:rFonts w:ascii="Times New Roman" w:hAnsi="Times New Roman" w:cs="Times New Roman"/>
        </w:rPr>
        <w:t>to</w:t>
      </w:r>
      <w:r>
        <w:rPr>
          <w:rFonts w:ascii="Times New Roman" w:hAnsi="Times New Roman" w:cs="Times New Roman"/>
        </w:rPr>
        <w:t>r</w:t>
      </w:r>
      <w:r w:rsidR="00935A6B">
        <w:rPr>
          <w:rFonts w:ascii="Times New Roman" w:hAnsi="Times New Roman" w:cs="Times New Roman"/>
        </w:rPr>
        <w:t>no al 14.7</w:t>
      </w:r>
      <w:r w:rsidRPr="00823542">
        <w:rPr>
          <w:rFonts w:ascii="Times New Roman" w:hAnsi="Times New Roman" w:cs="Times New Roman"/>
        </w:rPr>
        <w:t xml:space="preserve">% del PIB y la recaudación tributaria continúa siendo la principal fuente de financiamiento, significando el 70% de los ingresos totales consolidados. La carga tributaria del SPNF (contiene impuestos que recaudan entidades como el INGUAT por impuestos hoteleros y las municipalidades principalmente por IUSI) se encuentra en torno a los 10.32% del PIB y esto es </w:t>
      </w:r>
      <w:r>
        <w:rPr>
          <w:rFonts w:ascii="Times New Roman" w:hAnsi="Times New Roman" w:cs="Times New Roman"/>
        </w:rPr>
        <w:t xml:space="preserve">una </w:t>
      </w:r>
      <w:r w:rsidRPr="00823542">
        <w:rPr>
          <w:rFonts w:ascii="Times New Roman" w:hAnsi="Times New Roman" w:cs="Times New Roman"/>
        </w:rPr>
        <w:t>reducción de 0.5 puntos porcentuales respecto a 2019 la cual se encontraba en</w:t>
      </w:r>
      <w:r>
        <w:rPr>
          <w:rFonts w:ascii="Times New Roman" w:hAnsi="Times New Roman" w:cs="Times New Roman"/>
        </w:rPr>
        <w:t xml:space="preserve"> </w:t>
      </w:r>
      <w:r w:rsidRPr="00823542">
        <w:rPr>
          <w:rFonts w:ascii="Times New Roman" w:hAnsi="Times New Roman" w:cs="Times New Roman"/>
        </w:rPr>
        <w:t>torno a los 10.8% del PIB, esta diminución es explicada en buena medida por la situación vivida por la Pandemia del Covid-19. Los impuestos directos equivalen al 3.8% del PIB en 2020, siendo una reducción de 0.06 puntos porcentuales respecto a lo observado en el año previo y esto continúa con la tendencia negativa que se ha observado en los últimos años, pasando de ser un 4.0% en 2018 y del 3.</w:t>
      </w:r>
      <w:r w:rsidR="00935A6B">
        <w:rPr>
          <w:rFonts w:ascii="Times New Roman" w:hAnsi="Times New Roman" w:cs="Times New Roman"/>
        </w:rPr>
        <w:t>9</w:t>
      </w:r>
      <w:r w:rsidRPr="00823542">
        <w:rPr>
          <w:rFonts w:ascii="Times New Roman" w:hAnsi="Times New Roman" w:cs="Times New Roman"/>
        </w:rPr>
        <w:t xml:space="preserve">% en 2019. </w:t>
      </w:r>
      <w:r>
        <w:rPr>
          <w:rFonts w:ascii="Times New Roman" w:hAnsi="Times New Roman" w:cs="Times New Roman"/>
        </w:rPr>
        <w:t>Cabe resaltar que lo</w:t>
      </w:r>
      <w:r w:rsidRPr="00823542">
        <w:rPr>
          <w:rFonts w:ascii="Times New Roman" w:hAnsi="Times New Roman" w:cs="Times New Roman"/>
        </w:rPr>
        <w:t>s impuestos indirectos tuvieron una mayor disminución interanual que los impuestos directos, siendo esta de 0.45 puntos porcentuales, pasando de ser del 6.9% en 2019 al 6.4% en 2020.</w:t>
      </w:r>
      <w:r>
        <w:rPr>
          <w:rFonts w:ascii="Times New Roman" w:hAnsi="Times New Roman" w:cs="Times New Roman"/>
        </w:rPr>
        <w:t xml:space="preserve"> </w:t>
      </w:r>
    </w:p>
    <w:p w14:paraId="2B7DDBFF" w14:textId="77777777" w:rsidR="00B35412" w:rsidRDefault="00B35412" w:rsidP="00B35412">
      <w:pPr>
        <w:spacing w:after="0" w:line="240" w:lineRule="auto"/>
        <w:jc w:val="both"/>
        <w:rPr>
          <w:rFonts w:ascii="Times New Roman" w:hAnsi="Times New Roman" w:cs="Times New Roman"/>
        </w:rPr>
      </w:pPr>
    </w:p>
    <w:p w14:paraId="166D8FE5" w14:textId="13C9B3EB" w:rsidR="00B35412" w:rsidRDefault="00B35412" w:rsidP="00B35412">
      <w:pPr>
        <w:spacing w:after="0" w:line="240" w:lineRule="auto"/>
        <w:jc w:val="both"/>
        <w:rPr>
          <w:rFonts w:ascii="Times New Roman" w:hAnsi="Times New Roman" w:cs="Times New Roman"/>
        </w:rPr>
      </w:pPr>
      <w:r>
        <w:rPr>
          <w:rFonts w:ascii="Times New Roman" w:hAnsi="Times New Roman" w:cs="Times New Roman"/>
        </w:rPr>
        <w:t>Por su parte,</w:t>
      </w:r>
      <w:r w:rsidRPr="002B72F6">
        <w:rPr>
          <w:rFonts w:ascii="Times New Roman" w:hAnsi="Times New Roman" w:cs="Times New Roman"/>
        </w:rPr>
        <w:t xml:space="preserve"> los ingresos no tributarios </w:t>
      </w:r>
      <w:r w:rsidR="00935A6B">
        <w:rPr>
          <w:rFonts w:ascii="Times New Roman" w:hAnsi="Times New Roman" w:cs="Times New Roman"/>
        </w:rPr>
        <w:t>se situaron en torno al 4.4</w:t>
      </w:r>
      <w:r>
        <w:rPr>
          <w:rFonts w:ascii="Times New Roman" w:hAnsi="Times New Roman" w:cs="Times New Roman"/>
        </w:rPr>
        <w:t>% del PIB con las contribuciones a la seguridad social significando el 51% de estas y siendo del 2.2% del PIB. Entre el resto de los otros ingresos no tributarios se destaca a los ingresos por operaciones</w:t>
      </w:r>
      <w:r w:rsidR="00013727">
        <w:rPr>
          <w:rFonts w:ascii="Times New Roman" w:hAnsi="Times New Roman" w:cs="Times New Roman"/>
        </w:rPr>
        <w:t xml:space="preserve"> </w:t>
      </w:r>
      <w:r>
        <w:rPr>
          <w:rFonts w:ascii="Times New Roman" w:hAnsi="Times New Roman" w:cs="Times New Roman"/>
        </w:rPr>
        <w:t xml:space="preserve">siendo del 0.8% del PIB, las rentas de la propiedad con el 0.4% y </w:t>
      </w:r>
      <w:r w:rsidR="00013727">
        <w:rPr>
          <w:rFonts w:ascii="Times New Roman" w:hAnsi="Times New Roman" w:cs="Times New Roman"/>
        </w:rPr>
        <w:t xml:space="preserve">las Tasas con el 0.4%, </w:t>
      </w:r>
      <w:r w:rsidR="00013727" w:rsidRPr="00013727">
        <w:rPr>
          <w:rFonts w:ascii="Times New Roman" w:hAnsi="Times New Roman" w:cs="Times New Roman"/>
        </w:rPr>
        <w:t>mientras que el restante 0.5% del PIB incluyen a las ventas y servicios de la administración pública, derechos, contribuciones por mejora, arrendamientos de edificios, equipos e instalaciones, transferencias corrientes y otros no tributarios</w:t>
      </w:r>
      <w:r w:rsidR="00013727">
        <w:rPr>
          <w:rFonts w:ascii="Times New Roman" w:hAnsi="Times New Roman" w:cs="Times New Roman"/>
        </w:rPr>
        <w:t>.</w:t>
      </w:r>
    </w:p>
    <w:p w14:paraId="0435F7E5" w14:textId="77777777" w:rsidR="00B35412" w:rsidRPr="002B72F6" w:rsidRDefault="00B35412" w:rsidP="00B35412">
      <w:pPr>
        <w:spacing w:after="0" w:line="240" w:lineRule="auto"/>
        <w:jc w:val="both"/>
        <w:rPr>
          <w:rFonts w:ascii="Times New Roman" w:hAnsi="Times New Roman" w:cs="Times New Roman"/>
        </w:rPr>
      </w:pPr>
    </w:p>
    <w:p w14:paraId="2573CC68" w14:textId="3E6F0FCA" w:rsidR="00B35412" w:rsidRDefault="00B35412" w:rsidP="00B35412">
      <w:pPr>
        <w:spacing w:after="0" w:line="240" w:lineRule="auto"/>
        <w:jc w:val="both"/>
        <w:rPr>
          <w:rFonts w:ascii="Times New Roman" w:hAnsi="Times New Roman" w:cs="Times New Roman"/>
        </w:rPr>
      </w:pPr>
      <w:r w:rsidRPr="002B72F6">
        <w:rPr>
          <w:rFonts w:ascii="Times New Roman" w:hAnsi="Times New Roman" w:cs="Times New Roman"/>
        </w:rPr>
        <w:t xml:space="preserve">En lo que respecta al gasto público del </w:t>
      </w:r>
      <w:r>
        <w:rPr>
          <w:rFonts w:ascii="Times New Roman" w:hAnsi="Times New Roman" w:cs="Times New Roman"/>
        </w:rPr>
        <w:t>SPNF, este se observa para el 2020 en el equivalente al 18.</w:t>
      </w:r>
      <w:r w:rsidR="007F0518">
        <w:rPr>
          <w:rFonts w:ascii="Times New Roman" w:hAnsi="Times New Roman" w:cs="Times New Roman"/>
        </w:rPr>
        <w:t>5</w:t>
      </w:r>
      <w:r>
        <w:rPr>
          <w:rFonts w:ascii="Times New Roman" w:hAnsi="Times New Roman" w:cs="Times New Roman"/>
        </w:rPr>
        <w:t>% del PIB y siendo un incremento</w:t>
      </w:r>
      <w:r w:rsidRPr="002B72F6">
        <w:rPr>
          <w:rFonts w:ascii="Times New Roman" w:hAnsi="Times New Roman" w:cs="Times New Roman"/>
        </w:rPr>
        <w:t xml:space="preserve"> importante </w:t>
      </w:r>
      <w:r>
        <w:rPr>
          <w:rFonts w:ascii="Times New Roman" w:hAnsi="Times New Roman" w:cs="Times New Roman"/>
        </w:rPr>
        <w:t>de 1.2 puntos porcentuales respecto a lo observado en 2019. En buena medida, el incremento observado se atribuye a</w:t>
      </w:r>
      <w:r w:rsidRPr="009449DB">
        <w:rPr>
          <w:rFonts w:ascii="Times New Roman" w:hAnsi="Times New Roman" w:cs="Times New Roman"/>
        </w:rPr>
        <w:t xml:space="preserve"> las intervenciones que realizó el gobierno para atenuar el impacto</w:t>
      </w:r>
      <w:r>
        <w:rPr>
          <w:rFonts w:ascii="Times New Roman" w:hAnsi="Times New Roman" w:cs="Times New Roman"/>
        </w:rPr>
        <w:t xml:space="preserve"> de la Pandemia del Covid-19, siendo e</w:t>
      </w:r>
      <w:r w:rsidRPr="002B72F6">
        <w:rPr>
          <w:rFonts w:ascii="Times New Roman" w:hAnsi="Times New Roman" w:cs="Times New Roman"/>
        </w:rPr>
        <w:t>l gasto corriente</w:t>
      </w:r>
      <w:r>
        <w:rPr>
          <w:rFonts w:ascii="Times New Roman" w:hAnsi="Times New Roman" w:cs="Times New Roman"/>
        </w:rPr>
        <w:t xml:space="preserve"> el más significativo, representando el 88% del gasto total y situándose en torno al 16.2% </w:t>
      </w:r>
      <w:r w:rsidRPr="002B72F6">
        <w:rPr>
          <w:rFonts w:ascii="Times New Roman" w:hAnsi="Times New Roman" w:cs="Times New Roman"/>
        </w:rPr>
        <w:t>del PIB</w:t>
      </w:r>
      <w:r>
        <w:rPr>
          <w:rFonts w:ascii="Times New Roman" w:hAnsi="Times New Roman" w:cs="Times New Roman"/>
        </w:rPr>
        <w:t xml:space="preserve">. En términos interanuales, este es un incremento de 1.7 puntos porcentuales en los gastos corrientes respecto a los 14.6% observado en 2019. </w:t>
      </w:r>
    </w:p>
    <w:p w14:paraId="66757ECE" w14:textId="77777777" w:rsidR="00B35412" w:rsidRDefault="00B35412" w:rsidP="00B35412">
      <w:pPr>
        <w:spacing w:after="0" w:line="240" w:lineRule="auto"/>
        <w:jc w:val="both"/>
        <w:rPr>
          <w:rFonts w:ascii="Times New Roman" w:hAnsi="Times New Roman" w:cs="Times New Roman"/>
        </w:rPr>
      </w:pPr>
    </w:p>
    <w:p w14:paraId="7FA09B07" w14:textId="72708115" w:rsidR="00B35412" w:rsidRDefault="00B35412" w:rsidP="00B35412">
      <w:pPr>
        <w:spacing w:after="0" w:line="240" w:lineRule="auto"/>
        <w:jc w:val="both"/>
        <w:rPr>
          <w:rFonts w:ascii="Times New Roman" w:hAnsi="Times New Roman" w:cs="Times New Roman"/>
        </w:rPr>
      </w:pPr>
      <w:r>
        <w:rPr>
          <w:rFonts w:ascii="Times New Roman" w:hAnsi="Times New Roman" w:cs="Times New Roman"/>
        </w:rPr>
        <w:t>Entre los gastos corrientes, se resalta a los gastos de consumo los cuales equivalen al 10.2% del PIB y siendo las remuneraciones pagadas las más importantes con un 7.3% en términos del PIB, seguido de los bienes y servicios con el 2.7%. Por su parte, los gastos en prestaciones a la s</w:t>
      </w:r>
      <w:r w:rsidR="007F0518">
        <w:rPr>
          <w:rFonts w:ascii="Times New Roman" w:hAnsi="Times New Roman" w:cs="Times New Roman"/>
        </w:rPr>
        <w:t>eguridad social se sitúan en 1.7</w:t>
      </w:r>
      <w:r>
        <w:rPr>
          <w:rFonts w:ascii="Times New Roman" w:hAnsi="Times New Roman" w:cs="Times New Roman"/>
        </w:rPr>
        <w:t>% del PIB, mientas que los int</w:t>
      </w:r>
      <w:r w:rsidR="007F0518">
        <w:rPr>
          <w:rFonts w:ascii="Times New Roman" w:hAnsi="Times New Roman" w:cs="Times New Roman"/>
        </w:rPr>
        <w:t>ereses pagados equivalen al 1.5</w:t>
      </w:r>
      <w:r w:rsidR="00E4773A">
        <w:rPr>
          <w:rFonts w:ascii="Times New Roman" w:hAnsi="Times New Roman" w:cs="Times New Roman"/>
        </w:rPr>
        <w:t xml:space="preserve">%.  </w:t>
      </w:r>
      <w:r>
        <w:rPr>
          <w:rFonts w:ascii="Times New Roman" w:hAnsi="Times New Roman" w:cs="Times New Roman"/>
        </w:rPr>
        <w:t>El</w:t>
      </w:r>
      <w:r w:rsidRPr="002B72F6">
        <w:rPr>
          <w:rFonts w:ascii="Times New Roman" w:hAnsi="Times New Roman" w:cs="Times New Roman"/>
        </w:rPr>
        <w:t xml:space="preserve"> gasto de capital</w:t>
      </w:r>
      <w:r>
        <w:rPr>
          <w:rFonts w:ascii="Times New Roman" w:hAnsi="Times New Roman" w:cs="Times New Roman"/>
        </w:rPr>
        <w:t xml:space="preserve"> paso de ser el 2.</w:t>
      </w:r>
      <w:r w:rsidR="007F0518">
        <w:rPr>
          <w:rFonts w:ascii="Times New Roman" w:hAnsi="Times New Roman" w:cs="Times New Roman"/>
        </w:rPr>
        <w:t>7% del PIB en 2019, al 2.2</w:t>
      </w:r>
      <w:r>
        <w:rPr>
          <w:rFonts w:ascii="Times New Roman" w:hAnsi="Times New Roman" w:cs="Times New Roman"/>
        </w:rPr>
        <w:t>%, siendo esta una disminución de 0.45 puntos porcentuales y atribuido a la reducción de la inversión real directa la cual disminuyo en 0.47 puntos porcentuales</w:t>
      </w:r>
      <w:r w:rsidRPr="002B72F6">
        <w:rPr>
          <w:rFonts w:ascii="Times New Roman" w:hAnsi="Times New Roman" w:cs="Times New Roman"/>
        </w:rPr>
        <w:t xml:space="preserve">.  </w:t>
      </w:r>
    </w:p>
    <w:p w14:paraId="4F686868" w14:textId="77777777" w:rsidR="00B35412" w:rsidRPr="002B72F6" w:rsidRDefault="00B35412" w:rsidP="00B35412">
      <w:pPr>
        <w:spacing w:after="0" w:line="240" w:lineRule="auto"/>
        <w:jc w:val="both"/>
        <w:rPr>
          <w:rFonts w:ascii="Times New Roman" w:hAnsi="Times New Roman" w:cs="Times New Roman"/>
        </w:rPr>
      </w:pPr>
    </w:p>
    <w:p w14:paraId="737A4A33" w14:textId="77777777" w:rsidR="00B35412" w:rsidRDefault="00B35412" w:rsidP="00B35412">
      <w:pPr>
        <w:spacing w:after="0" w:line="240" w:lineRule="auto"/>
        <w:jc w:val="both"/>
        <w:rPr>
          <w:rFonts w:ascii="Times New Roman" w:hAnsi="Times New Roman" w:cs="Times New Roman"/>
        </w:rPr>
      </w:pPr>
      <w:r w:rsidRPr="002B72F6">
        <w:rPr>
          <w:rFonts w:ascii="Times New Roman" w:hAnsi="Times New Roman" w:cs="Times New Roman"/>
        </w:rPr>
        <w:t xml:space="preserve">El resultado fiscal </w:t>
      </w:r>
      <w:r>
        <w:rPr>
          <w:rFonts w:ascii="Times New Roman" w:hAnsi="Times New Roman" w:cs="Times New Roman"/>
        </w:rPr>
        <w:t>SPNF fue deficitario por 3.7% del PIB siendo un deterioro de la situación financiara respecto al déficit observado en 2017 del 1.7%. Esto es un incremento deficitario del 2.0 puntos porcentuales derivado a la disminución que sufrieron los ingresos totales y aunado al aumento del gasto público experimentado durante la pandemia del Covid-19</w:t>
      </w:r>
      <w:r w:rsidRPr="002B72F6">
        <w:rPr>
          <w:rFonts w:ascii="Times New Roman" w:hAnsi="Times New Roman" w:cs="Times New Roman"/>
        </w:rPr>
        <w:t>.</w:t>
      </w:r>
    </w:p>
    <w:p w14:paraId="5F7B2D2F" w14:textId="02C5208C" w:rsidR="00B6733D" w:rsidRPr="002E6414" w:rsidRDefault="00B6733D" w:rsidP="00B35412">
      <w:pPr>
        <w:spacing w:after="0" w:line="240" w:lineRule="auto"/>
        <w:jc w:val="both"/>
        <w:rPr>
          <w:rFonts w:ascii="Times New Roman" w:hAnsi="Times New Roman" w:cs="Times New Roman"/>
          <w:sz w:val="18"/>
        </w:rPr>
      </w:pPr>
    </w:p>
    <w:p w14:paraId="13814A81" w14:textId="3D440F07" w:rsidR="00B35412" w:rsidRPr="0014127C" w:rsidRDefault="0014127C" w:rsidP="00B6733D">
      <w:pPr>
        <w:pStyle w:val="Epgrafe"/>
        <w:spacing w:after="0"/>
        <w:jc w:val="center"/>
        <w:rPr>
          <w:rFonts w:ascii="Times New Roman" w:hAnsi="Times New Roman" w:cs="Times New Roman"/>
          <w:color w:val="auto"/>
          <w:sz w:val="22"/>
        </w:rPr>
      </w:pPr>
      <w:bookmarkStart w:id="1034" w:name="_Toc16160559"/>
      <w:bookmarkStart w:id="1035" w:name="_Toc81573038"/>
      <w:r w:rsidRPr="003E14B7">
        <w:rPr>
          <w:rFonts w:ascii="Times New Roman" w:hAnsi="Times New Roman" w:cs="Times New Roman"/>
          <w:b/>
          <w:color w:val="auto"/>
          <w:sz w:val="20"/>
        </w:rPr>
        <w:t xml:space="preserve">Tabla </w:t>
      </w:r>
      <w:r w:rsidRPr="003E14B7">
        <w:rPr>
          <w:rFonts w:ascii="Times New Roman" w:hAnsi="Times New Roman" w:cs="Times New Roman"/>
          <w:b/>
          <w:color w:val="auto"/>
          <w:sz w:val="20"/>
        </w:rPr>
        <w:fldChar w:fldCharType="begin"/>
      </w:r>
      <w:r w:rsidRPr="003E14B7">
        <w:rPr>
          <w:rFonts w:ascii="Times New Roman" w:hAnsi="Times New Roman" w:cs="Times New Roman"/>
          <w:b/>
          <w:color w:val="auto"/>
          <w:sz w:val="20"/>
        </w:rPr>
        <w:instrText xml:space="preserve"> SEQ Tabla \* ARABIC </w:instrText>
      </w:r>
      <w:r w:rsidRPr="003E14B7">
        <w:rPr>
          <w:rFonts w:ascii="Times New Roman" w:hAnsi="Times New Roman" w:cs="Times New Roman"/>
          <w:b/>
          <w:color w:val="auto"/>
          <w:sz w:val="20"/>
        </w:rPr>
        <w:fldChar w:fldCharType="separate"/>
      </w:r>
      <w:r w:rsidR="009E18F8">
        <w:rPr>
          <w:rFonts w:ascii="Times New Roman" w:hAnsi="Times New Roman" w:cs="Times New Roman"/>
          <w:b/>
          <w:noProof/>
          <w:color w:val="auto"/>
          <w:sz w:val="20"/>
        </w:rPr>
        <w:t>16</w:t>
      </w:r>
      <w:r w:rsidRPr="003E14B7">
        <w:rPr>
          <w:rFonts w:ascii="Times New Roman" w:hAnsi="Times New Roman" w:cs="Times New Roman"/>
          <w:b/>
          <w:color w:val="auto"/>
          <w:sz w:val="20"/>
        </w:rPr>
        <w:fldChar w:fldCharType="end"/>
      </w:r>
      <w:r w:rsidR="00B35412" w:rsidRPr="003E14B7">
        <w:rPr>
          <w:rFonts w:ascii="Times New Roman" w:hAnsi="Times New Roman" w:cs="Times New Roman"/>
          <w:b/>
          <w:color w:val="auto"/>
          <w:sz w:val="24"/>
        </w:rPr>
        <w:t xml:space="preserve"> </w:t>
      </w:r>
      <w:r w:rsidR="00B35412" w:rsidRPr="003E14B7">
        <w:rPr>
          <w:rFonts w:ascii="Times New Roman" w:hAnsi="Times New Roman" w:cs="Times New Roman"/>
          <w:b/>
          <w:color w:val="auto"/>
          <w:sz w:val="22"/>
        </w:rPr>
        <w:t>Sector Público No Financiero, Cuenta Económica Consolidada (% del PIB</w:t>
      </w:r>
      <w:r w:rsidR="00B35412" w:rsidRPr="003E14B7">
        <w:rPr>
          <w:rFonts w:ascii="Times New Roman" w:hAnsi="Times New Roman" w:cs="Times New Roman"/>
          <w:b/>
          <w:color w:val="auto"/>
          <w:sz w:val="20"/>
        </w:rPr>
        <w:t>)</w:t>
      </w:r>
      <w:bookmarkEnd w:id="1034"/>
      <w:bookmarkEnd w:id="1035"/>
    </w:p>
    <w:p w14:paraId="6213F5F3" w14:textId="77777777" w:rsidR="00B35412" w:rsidRDefault="00B35412" w:rsidP="00B6733D">
      <w:pPr>
        <w:spacing w:after="0"/>
        <w:jc w:val="center"/>
        <w:rPr>
          <w:rFonts w:ascii="Times New Roman" w:hAnsi="Times New Roman" w:cs="Times New Roman"/>
        </w:rPr>
      </w:pPr>
      <w:r w:rsidRPr="005A6F4A">
        <w:rPr>
          <w:rFonts w:ascii="Times New Roman" w:hAnsi="Times New Roman" w:cs="Times New Roman"/>
        </w:rPr>
        <w:t>201</w:t>
      </w:r>
      <w:r>
        <w:rPr>
          <w:rFonts w:ascii="Times New Roman" w:hAnsi="Times New Roman" w:cs="Times New Roman"/>
        </w:rPr>
        <w:t>8</w:t>
      </w:r>
      <w:r w:rsidRPr="005A6F4A">
        <w:rPr>
          <w:rFonts w:ascii="Times New Roman" w:hAnsi="Times New Roman" w:cs="Times New Roman"/>
        </w:rPr>
        <w:t>-20</w:t>
      </w:r>
      <w:r w:rsidR="00B6733D">
        <w:rPr>
          <w:rFonts w:ascii="Times New Roman" w:hAnsi="Times New Roman" w:cs="Times New Roman"/>
        </w:rPr>
        <w:t>20</w:t>
      </w:r>
    </w:p>
    <w:tbl>
      <w:tblPr>
        <w:tblW w:w="6878" w:type="dxa"/>
        <w:jc w:val="center"/>
        <w:tblCellMar>
          <w:left w:w="70" w:type="dxa"/>
          <w:right w:w="70" w:type="dxa"/>
        </w:tblCellMar>
        <w:tblLook w:val="04A0" w:firstRow="1" w:lastRow="0" w:firstColumn="1" w:lastColumn="0" w:noHBand="0" w:noVBand="1"/>
      </w:tblPr>
      <w:tblGrid>
        <w:gridCol w:w="3663"/>
        <w:gridCol w:w="1023"/>
        <w:gridCol w:w="1023"/>
        <w:gridCol w:w="1023"/>
        <w:gridCol w:w="146"/>
      </w:tblGrid>
      <w:tr w:rsidR="00B35412" w:rsidRPr="007C79D9" w14:paraId="7DF04E0B" w14:textId="77777777" w:rsidTr="00127939">
        <w:trPr>
          <w:gridAfter w:val="1"/>
          <w:wAfter w:w="146" w:type="dxa"/>
          <w:trHeight w:val="450"/>
          <w:jc w:val="center"/>
        </w:trPr>
        <w:tc>
          <w:tcPr>
            <w:tcW w:w="3663" w:type="dxa"/>
            <w:vMerge w:val="restart"/>
            <w:tcBorders>
              <w:top w:val="single" w:sz="8" w:space="0" w:color="auto"/>
              <w:left w:val="single" w:sz="8" w:space="0" w:color="auto"/>
              <w:bottom w:val="single" w:sz="8" w:space="0" w:color="000000"/>
              <w:right w:val="single" w:sz="8" w:space="0" w:color="auto"/>
            </w:tcBorders>
            <w:shd w:val="clear" w:color="000000" w:fill="BDD6EE"/>
            <w:noWrap/>
            <w:vAlign w:val="center"/>
            <w:hideMark/>
          </w:tcPr>
          <w:p w14:paraId="32CF693C" w14:textId="77777777" w:rsidR="00B35412" w:rsidRPr="007C79D9" w:rsidRDefault="00B35412" w:rsidP="00127939">
            <w:pPr>
              <w:spacing w:after="0" w:line="240" w:lineRule="auto"/>
              <w:jc w:val="center"/>
              <w:rPr>
                <w:rFonts w:ascii="Times New Roman" w:eastAsia="Times New Roman" w:hAnsi="Times New Roman" w:cs="Times New Roman"/>
                <w:b/>
                <w:bCs/>
                <w:color w:val="000000"/>
                <w:sz w:val="18"/>
                <w:szCs w:val="18"/>
                <w:lang w:eastAsia="es-GT"/>
              </w:rPr>
            </w:pPr>
            <w:r w:rsidRPr="007C79D9">
              <w:rPr>
                <w:rFonts w:ascii="Times New Roman" w:eastAsia="Times New Roman" w:hAnsi="Times New Roman" w:cs="Times New Roman"/>
                <w:b/>
                <w:bCs/>
                <w:color w:val="000000"/>
                <w:sz w:val="18"/>
                <w:szCs w:val="18"/>
                <w:lang w:eastAsia="es-GT"/>
              </w:rPr>
              <w:t>Descripción</w:t>
            </w:r>
          </w:p>
        </w:tc>
        <w:tc>
          <w:tcPr>
            <w:tcW w:w="1023" w:type="dxa"/>
            <w:vMerge w:val="restart"/>
            <w:tcBorders>
              <w:top w:val="single" w:sz="8" w:space="0" w:color="auto"/>
              <w:left w:val="single" w:sz="8" w:space="0" w:color="auto"/>
              <w:bottom w:val="single" w:sz="8" w:space="0" w:color="000000"/>
              <w:right w:val="single" w:sz="8" w:space="0" w:color="auto"/>
            </w:tcBorders>
            <w:shd w:val="clear" w:color="000000" w:fill="BDD6EE"/>
            <w:vAlign w:val="center"/>
            <w:hideMark/>
          </w:tcPr>
          <w:p w14:paraId="5A04E33C" w14:textId="77777777" w:rsidR="00B35412" w:rsidRPr="007C79D9" w:rsidRDefault="00B35412" w:rsidP="00127939">
            <w:pPr>
              <w:spacing w:after="0" w:line="240" w:lineRule="auto"/>
              <w:jc w:val="center"/>
              <w:rPr>
                <w:rFonts w:ascii="Times New Roman" w:eastAsia="Times New Roman" w:hAnsi="Times New Roman" w:cs="Times New Roman"/>
                <w:b/>
                <w:bCs/>
                <w:color w:val="000000"/>
                <w:sz w:val="18"/>
                <w:szCs w:val="18"/>
                <w:lang w:eastAsia="es-GT"/>
              </w:rPr>
            </w:pPr>
            <w:r w:rsidRPr="007C79D9">
              <w:rPr>
                <w:rFonts w:ascii="Times New Roman" w:eastAsia="Times New Roman" w:hAnsi="Times New Roman" w:cs="Times New Roman"/>
                <w:b/>
                <w:bCs/>
                <w:color w:val="000000"/>
                <w:sz w:val="18"/>
                <w:szCs w:val="18"/>
                <w:lang w:eastAsia="es-GT"/>
              </w:rPr>
              <w:t>2018</w:t>
            </w:r>
          </w:p>
        </w:tc>
        <w:tc>
          <w:tcPr>
            <w:tcW w:w="1023" w:type="dxa"/>
            <w:vMerge w:val="restart"/>
            <w:tcBorders>
              <w:top w:val="single" w:sz="8" w:space="0" w:color="auto"/>
              <w:left w:val="single" w:sz="8" w:space="0" w:color="auto"/>
              <w:bottom w:val="single" w:sz="8" w:space="0" w:color="000000"/>
              <w:right w:val="single" w:sz="8" w:space="0" w:color="auto"/>
            </w:tcBorders>
            <w:shd w:val="clear" w:color="000000" w:fill="BDD6EE"/>
            <w:vAlign w:val="center"/>
            <w:hideMark/>
          </w:tcPr>
          <w:p w14:paraId="088E56BB" w14:textId="77777777" w:rsidR="00B35412" w:rsidRPr="007C79D9" w:rsidRDefault="00B35412" w:rsidP="00127939">
            <w:pPr>
              <w:spacing w:after="0" w:line="240" w:lineRule="auto"/>
              <w:jc w:val="center"/>
              <w:rPr>
                <w:rFonts w:ascii="Times New Roman" w:eastAsia="Times New Roman" w:hAnsi="Times New Roman" w:cs="Times New Roman"/>
                <w:b/>
                <w:bCs/>
                <w:color w:val="000000"/>
                <w:sz w:val="18"/>
                <w:szCs w:val="18"/>
                <w:lang w:eastAsia="es-GT"/>
              </w:rPr>
            </w:pPr>
            <w:r w:rsidRPr="007C79D9">
              <w:rPr>
                <w:rFonts w:ascii="Times New Roman" w:eastAsia="Times New Roman" w:hAnsi="Times New Roman" w:cs="Times New Roman"/>
                <w:b/>
                <w:bCs/>
                <w:color w:val="000000"/>
                <w:sz w:val="18"/>
                <w:szCs w:val="18"/>
                <w:lang w:eastAsia="es-GT"/>
              </w:rPr>
              <w:t>2019</w:t>
            </w:r>
          </w:p>
        </w:tc>
        <w:tc>
          <w:tcPr>
            <w:tcW w:w="1023" w:type="dxa"/>
            <w:vMerge w:val="restart"/>
            <w:tcBorders>
              <w:top w:val="single" w:sz="8" w:space="0" w:color="auto"/>
              <w:left w:val="single" w:sz="8" w:space="0" w:color="auto"/>
              <w:bottom w:val="single" w:sz="8" w:space="0" w:color="000000"/>
              <w:right w:val="single" w:sz="8" w:space="0" w:color="auto"/>
            </w:tcBorders>
            <w:shd w:val="clear" w:color="000000" w:fill="BDD6EE"/>
            <w:vAlign w:val="center"/>
            <w:hideMark/>
          </w:tcPr>
          <w:p w14:paraId="57A206EB" w14:textId="77777777" w:rsidR="00B35412" w:rsidRPr="007C79D9" w:rsidRDefault="00B35412" w:rsidP="00127939">
            <w:pPr>
              <w:spacing w:after="0" w:line="240" w:lineRule="auto"/>
              <w:jc w:val="center"/>
              <w:rPr>
                <w:rFonts w:ascii="Times New Roman" w:eastAsia="Times New Roman" w:hAnsi="Times New Roman" w:cs="Times New Roman"/>
                <w:b/>
                <w:bCs/>
                <w:color w:val="000000"/>
                <w:sz w:val="18"/>
                <w:szCs w:val="18"/>
                <w:lang w:eastAsia="es-GT"/>
              </w:rPr>
            </w:pPr>
            <w:r w:rsidRPr="007C79D9">
              <w:rPr>
                <w:rFonts w:ascii="Times New Roman" w:eastAsia="Times New Roman" w:hAnsi="Times New Roman" w:cs="Times New Roman"/>
                <w:b/>
                <w:bCs/>
                <w:color w:val="000000"/>
                <w:sz w:val="18"/>
                <w:szCs w:val="18"/>
                <w:lang w:eastAsia="es-GT"/>
              </w:rPr>
              <w:t>2020</w:t>
            </w:r>
            <w:r>
              <w:rPr>
                <w:rFonts w:ascii="Times New Roman" w:eastAsia="Times New Roman" w:hAnsi="Times New Roman" w:cs="Times New Roman"/>
                <w:b/>
                <w:bCs/>
                <w:color w:val="000000"/>
                <w:sz w:val="18"/>
                <w:szCs w:val="18"/>
                <w:lang w:eastAsia="es-GT"/>
              </w:rPr>
              <w:t>*</w:t>
            </w:r>
          </w:p>
        </w:tc>
      </w:tr>
      <w:tr w:rsidR="00B35412" w:rsidRPr="007C79D9" w14:paraId="3CBFB31A" w14:textId="77777777" w:rsidTr="00B6733D">
        <w:trPr>
          <w:trHeight w:val="50"/>
          <w:jc w:val="center"/>
        </w:trPr>
        <w:tc>
          <w:tcPr>
            <w:tcW w:w="3663" w:type="dxa"/>
            <w:vMerge/>
            <w:tcBorders>
              <w:top w:val="single" w:sz="8" w:space="0" w:color="auto"/>
              <w:left w:val="single" w:sz="8" w:space="0" w:color="auto"/>
              <w:bottom w:val="single" w:sz="8" w:space="0" w:color="000000"/>
              <w:right w:val="single" w:sz="8" w:space="0" w:color="auto"/>
            </w:tcBorders>
            <w:vAlign w:val="center"/>
            <w:hideMark/>
          </w:tcPr>
          <w:p w14:paraId="06EEF2B0" w14:textId="77777777" w:rsidR="00B35412" w:rsidRPr="007C79D9" w:rsidRDefault="00B35412" w:rsidP="00127939">
            <w:pPr>
              <w:spacing w:after="0" w:line="240" w:lineRule="auto"/>
              <w:rPr>
                <w:rFonts w:ascii="Times New Roman" w:eastAsia="Times New Roman" w:hAnsi="Times New Roman" w:cs="Times New Roman"/>
                <w:b/>
                <w:bCs/>
                <w:color w:val="000000"/>
                <w:sz w:val="18"/>
                <w:szCs w:val="18"/>
                <w:lang w:eastAsia="es-GT"/>
              </w:rPr>
            </w:pPr>
          </w:p>
        </w:tc>
        <w:tc>
          <w:tcPr>
            <w:tcW w:w="1023" w:type="dxa"/>
            <w:vMerge/>
            <w:tcBorders>
              <w:top w:val="single" w:sz="8" w:space="0" w:color="auto"/>
              <w:left w:val="single" w:sz="8" w:space="0" w:color="auto"/>
              <w:bottom w:val="single" w:sz="8" w:space="0" w:color="000000"/>
              <w:right w:val="single" w:sz="8" w:space="0" w:color="auto"/>
            </w:tcBorders>
            <w:vAlign w:val="center"/>
            <w:hideMark/>
          </w:tcPr>
          <w:p w14:paraId="17E0F2A0" w14:textId="77777777" w:rsidR="00B35412" w:rsidRPr="007C79D9" w:rsidRDefault="00B35412" w:rsidP="00127939">
            <w:pPr>
              <w:spacing w:after="0" w:line="240" w:lineRule="auto"/>
              <w:rPr>
                <w:rFonts w:ascii="Times New Roman" w:eastAsia="Times New Roman" w:hAnsi="Times New Roman" w:cs="Times New Roman"/>
                <w:b/>
                <w:bCs/>
                <w:color w:val="000000"/>
                <w:sz w:val="18"/>
                <w:szCs w:val="18"/>
                <w:lang w:eastAsia="es-GT"/>
              </w:rPr>
            </w:pPr>
          </w:p>
        </w:tc>
        <w:tc>
          <w:tcPr>
            <w:tcW w:w="1023" w:type="dxa"/>
            <w:vMerge/>
            <w:tcBorders>
              <w:top w:val="single" w:sz="8" w:space="0" w:color="auto"/>
              <w:left w:val="single" w:sz="8" w:space="0" w:color="auto"/>
              <w:bottom w:val="single" w:sz="8" w:space="0" w:color="000000"/>
              <w:right w:val="single" w:sz="8" w:space="0" w:color="auto"/>
            </w:tcBorders>
            <w:vAlign w:val="center"/>
            <w:hideMark/>
          </w:tcPr>
          <w:p w14:paraId="2BC8AFCE" w14:textId="77777777" w:rsidR="00B35412" w:rsidRPr="007C79D9" w:rsidRDefault="00B35412" w:rsidP="00127939">
            <w:pPr>
              <w:spacing w:after="0" w:line="240" w:lineRule="auto"/>
              <w:rPr>
                <w:rFonts w:ascii="Times New Roman" w:eastAsia="Times New Roman" w:hAnsi="Times New Roman" w:cs="Times New Roman"/>
                <w:b/>
                <w:bCs/>
                <w:color w:val="000000"/>
                <w:sz w:val="18"/>
                <w:szCs w:val="18"/>
                <w:lang w:eastAsia="es-GT"/>
              </w:rPr>
            </w:pPr>
          </w:p>
        </w:tc>
        <w:tc>
          <w:tcPr>
            <w:tcW w:w="1023" w:type="dxa"/>
            <w:vMerge/>
            <w:tcBorders>
              <w:top w:val="single" w:sz="8" w:space="0" w:color="auto"/>
              <w:left w:val="single" w:sz="8" w:space="0" w:color="auto"/>
              <w:bottom w:val="single" w:sz="8" w:space="0" w:color="000000"/>
              <w:right w:val="single" w:sz="8" w:space="0" w:color="auto"/>
            </w:tcBorders>
            <w:vAlign w:val="center"/>
            <w:hideMark/>
          </w:tcPr>
          <w:p w14:paraId="4D0D36D8" w14:textId="77777777" w:rsidR="00B35412" w:rsidRPr="007C79D9" w:rsidRDefault="00B35412" w:rsidP="00127939">
            <w:pPr>
              <w:spacing w:after="0" w:line="240" w:lineRule="auto"/>
              <w:rPr>
                <w:rFonts w:ascii="Times New Roman" w:eastAsia="Times New Roman" w:hAnsi="Times New Roman" w:cs="Times New Roman"/>
                <w:b/>
                <w:bCs/>
                <w:color w:val="000000"/>
                <w:sz w:val="18"/>
                <w:szCs w:val="18"/>
                <w:lang w:eastAsia="es-GT"/>
              </w:rPr>
            </w:pPr>
          </w:p>
        </w:tc>
        <w:tc>
          <w:tcPr>
            <w:tcW w:w="146" w:type="dxa"/>
            <w:tcBorders>
              <w:top w:val="nil"/>
              <w:left w:val="nil"/>
              <w:bottom w:val="nil"/>
              <w:right w:val="nil"/>
            </w:tcBorders>
            <w:shd w:val="clear" w:color="auto" w:fill="auto"/>
            <w:noWrap/>
            <w:vAlign w:val="bottom"/>
            <w:hideMark/>
          </w:tcPr>
          <w:p w14:paraId="0EFDE17A" w14:textId="77777777" w:rsidR="00B35412" w:rsidRPr="007C79D9" w:rsidRDefault="00B35412" w:rsidP="00127939">
            <w:pPr>
              <w:spacing w:after="0" w:line="240" w:lineRule="auto"/>
              <w:jc w:val="center"/>
              <w:rPr>
                <w:rFonts w:ascii="Times New Roman" w:eastAsia="Times New Roman" w:hAnsi="Times New Roman" w:cs="Times New Roman"/>
                <w:b/>
                <w:bCs/>
                <w:color w:val="000000"/>
                <w:sz w:val="18"/>
                <w:szCs w:val="18"/>
                <w:lang w:eastAsia="es-GT"/>
              </w:rPr>
            </w:pPr>
          </w:p>
        </w:tc>
      </w:tr>
      <w:tr w:rsidR="00B35412" w:rsidRPr="007C79D9" w14:paraId="6884C86D" w14:textId="77777777" w:rsidTr="00127939">
        <w:trPr>
          <w:trHeight w:val="254"/>
          <w:jc w:val="center"/>
        </w:trPr>
        <w:tc>
          <w:tcPr>
            <w:tcW w:w="3663" w:type="dxa"/>
            <w:tcBorders>
              <w:top w:val="nil"/>
              <w:left w:val="single" w:sz="8" w:space="0" w:color="auto"/>
              <w:bottom w:val="nil"/>
              <w:right w:val="nil"/>
            </w:tcBorders>
            <w:shd w:val="clear" w:color="000000" w:fill="FFFFFF"/>
            <w:noWrap/>
            <w:vAlign w:val="center"/>
            <w:hideMark/>
          </w:tcPr>
          <w:p w14:paraId="2146C59D" w14:textId="77777777" w:rsidR="00B35412" w:rsidRPr="007C79D9" w:rsidRDefault="00B35412" w:rsidP="00127939">
            <w:pPr>
              <w:spacing w:after="0" w:line="240" w:lineRule="auto"/>
              <w:rPr>
                <w:rFonts w:ascii="Times New Roman" w:eastAsia="Times New Roman" w:hAnsi="Times New Roman" w:cs="Times New Roman"/>
                <w:b/>
                <w:bCs/>
                <w:color w:val="000000"/>
                <w:sz w:val="16"/>
                <w:szCs w:val="16"/>
                <w:lang w:eastAsia="es-GT"/>
              </w:rPr>
            </w:pPr>
            <w:r w:rsidRPr="007C79D9">
              <w:rPr>
                <w:rFonts w:ascii="Times New Roman" w:eastAsia="Times New Roman" w:hAnsi="Times New Roman" w:cs="Times New Roman"/>
                <w:b/>
                <w:bCs/>
                <w:sz w:val="16"/>
                <w:szCs w:val="16"/>
                <w:lang w:eastAsia="es-GT"/>
              </w:rPr>
              <w:t xml:space="preserve">Ingresos Totales </w:t>
            </w:r>
          </w:p>
        </w:tc>
        <w:tc>
          <w:tcPr>
            <w:tcW w:w="1023" w:type="dxa"/>
            <w:tcBorders>
              <w:top w:val="nil"/>
              <w:left w:val="single" w:sz="8" w:space="0" w:color="auto"/>
              <w:bottom w:val="nil"/>
              <w:right w:val="single" w:sz="8" w:space="0" w:color="auto"/>
            </w:tcBorders>
            <w:shd w:val="clear" w:color="000000" w:fill="FFFFFF"/>
            <w:noWrap/>
            <w:vAlign w:val="center"/>
            <w:hideMark/>
          </w:tcPr>
          <w:p w14:paraId="3317D15B" w14:textId="77777777" w:rsidR="00B35412" w:rsidRPr="007C79D9" w:rsidRDefault="00B35412" w:rsidP="00127939">
            <w:pPr>
              <w:spacing w:after="0" w:line="240" w:lineRule="auto"/>
              <w:jc w:val="center"/>
              <w:rPr>
                <w:rFonts w:ascii="Times New Roman" w:eastAsia="Times New Roman" w:hAnsi="Times New Roman" w:cs="Times New Roman"/>
                <w:b/>
                <w:bCs/>
                <w:color w:val="000000"/>
                <w:sz w:val="16"/>
                <w:szCs w:val="16"/>
                <w:lang w:eastAsia="es-GT"/>
              </w:rPr>
            </w:pPr>
            <w:r>
              <w:rPr>
                <w:b/>
                <w:bCs/>
                <w:sz w:val="16"/>
                <w:szCs w:val="16"/>
              </w:rPr>
              <w:t>15.76%</w:t>
            </w:r>
          </w:p>
        </w:tc>
        <w:tc>
          <w:tcPr>
            <w:tcW w:w="1023" w:type="dxa"/>
            <w:tcBorders>
              <w:top w:val="nil"/>
              <w:left w:val="nil"/>
              <w:bottom w:val="nil"/>
              <w:right w:val="single" w:sz="8" w:space="0" w:color="auto"/>
            </w:tcBorders>
            <w:shd w:val="clear" w:color="000000" w:fill="FFFFFF"/>
            <w:noWrap/>
            <w:vAlign w:val="center"/>
            <w:hideMark/>
          </w:tcPr>
          <w:p w14:paraId="33C7682D" w14:textId="77777777" w:rsidR="00B35412" w:rsidRPr="007C79D9" w:rsidRDefault="00B35412" w:rsidP="00127939">
            <w:pPr>
              <w:spacing w:after="0" w:line="240" w:lineRule="auto"/>
              <w:jc w:val="center"/>
              <w:rPr>
                <w:rFonts w:ascii="Times New Roman" w:eastAsia="Times New Roman" w:hAnsi="Times New Roman" w:cs="Times New Roman"/>
                <w:b/>
                <w:bCs/>
                <w:color w:val="000000"/>
                <w:sz w:val="16"/>
                <w:szCs w:val="16"/>
                <w:lang w:eastAsia="es-GT"/>
              </w:rPr>
            </w:pPr>
            <w:r>
              <w:rPr>
                <w:b/>
                <w:bCs/>
                <w:sz w:val="16"/>
                <w:szCs w:val="16"/>
              </w:rPr>
              <w:t>15.47%</w:t>
            </w:r>
          </w:p>
        </w:tc>
        <w:tc>
          <w:tcPr>
            <w:tcW w:w="1023" w:type="dxa"/>
            <w:tcBorders>
              <w:top w:val="nil"/>
              <w:left w:val="nil"/>
              <w:bottom w:val="nil"/>
              <w:right w:val="single" w:sz="8" w:space="0" w:color="auto"/>
            </w:tcBorders>
            <w:shd w:val="clear" w:color="000000" w:fill="FFFFFF"/>
            <w:noWrap/>
            <w:vAlign w:val="center"/>
            <w:hideMark/>
          </w:tcPr>
          <w:p w14:paraId="03F45134" w14:textId="77777777" w:rsidR="00B35412" w:rsidRPr="007C79D9" w:rsidRDefault="00B35412" w:rsidP="00127939">
            <w:pPr>
              <w:spacing w:after="0" w:line="240" w:lineRule="auto"/>
              <w:jc w:val="center"/>
              <w:rPr>
                <w:rFonts w:ascii="Times New Roman" w:eastAsia="Times New Roman" w:hAnsi="Times New Roman" w:cs="Times New Roman"/>
                <w:b/>
                <w:bCs/>
                <w:color w:val="000000"/>
                <w:sz w:val="16"/>
                <w:szCs w:val="16"/>
                <w:lang w:eastAsia="es-GT"/>
              </w:rPr>
            </w:pPr>
            <w:r>
              <w:rPr>
                <w:b/>
                <w:bCs/>
                <w:sz w:val="16"/>
                <w:szCs w:val="16"/>
              </w:rPr>
              <w:t>14.72%</w:t>
            </w:r>
          </w:p>
        </w:tc>
        <w:tc>
          <w:tcPr>
            <w:tcW w:w="146" w:type="dxa"/>
            <w:vAlign w:val="center"/>
            <w:hideMark/>
          </w:tcPr>
          <w:p w14:paraId="4EDBFCF9" w14:textId="77777777" w:rsidR="00B35412" w:rsidRPr="007C79D9" w:rsidRDefault="00B35412" w:rsidP="00127939">
            <w:pPr>
              <w:spacing w:after="0" w:line="240" w:lineRule="auto"/>
              <w:rPr>
                <w:rFonts w:ascii="Times New Roman" w:eastAsia="Times New Roman" w:hAnsi="Times New Roman" w:cs="Times New Roman"/>
                <w:sz w:val="20"/>
                <w:szCs w:val="20"/>
                <w:lang w:eastAsia="es-GT"/>
              </w:rPr>
            </w:pPr>
          </w:p>
        </w:tc>
      </w:tr>
      <w:tr w:rsidR="00B35412" w:rsidRPr="007C79D9" w14:paraId="54031AEA" w14:textId="77777777" w:rsidTr="00127939">
        <w:trPr>
          <w:trHeight w:val="254"/>
          <w:jc w:val="center"/>
        </w:trPr>
        <w:tc>
          <w:tcPr>
            <w:tcW w:w="3663" w:type="dxa"/>
            <w:tcBorders>
              <w:top w:val="nil"/>
              <w:left w:val="single" w:sz="8" w:space="0" w:color="auto"/>
              <w:bottom w:val="nil"/>
              <w:right w:val="nil"/>
            </w:tcBorders>
            <w:shd w:val="clear" w:color="000000" w:fill="FFFFFF"/>
            <w:noWrap/>
            <w:vAlign w:val="center"/>
            <w:hideMark/>
          </w:tcPr>
          <w:p w14:paraId="4909F3FC" w14:textId="77777777" w:rsidR="00B35412" w:rsidRPr="007C79D9" w:rsidRDefault="00B35412" w:rsidP="00127939">
            <w:pPr>
              <w:spacing w:after="0" w:line="240" w:lineRule="auto"/>
              <w:ind w:firstLineChars="100" w:firstLine="160"/>
              <w:rPr>
                <w:rFonts w:ascii="Times New Roman" w:eastAsia="Times New Roman" w:hAnsi="Times New Roman" w:cs="Times New Roman"/>
                <w:color w:val="000000"/>
                <w:sz w:val="16"/>
                <w:szCs w:val="16"/>
                <w:lang w:eastAsia="es-GT"/>
              </w:rPr>
            </w:pPr>
            <w:r w:rsidRPr="007C79D9">
              <w:rPr>
                <w:rFonts w:ascii="Times New Roman" w:eastAsia="Times New Roman" w:hAnsi="Times New Roman" w:cs="Times New Roman"/>
                <w:sz w:val="16"/>
                <w:szCs w:val="16"/>
                <w:lang w:eastAsia="es-GT"/>
              </w:rPr>
              <w:t>Ingresos Corrientes</w:t>
            </w:r>
          </w:p>
        </w:tc>
        <w:tc>
          <w:tcPr>
            <w:tcW w:w="1023" w:type="dxa"/>
            <w:tcBorders>
              <w:top w:val="nil"/>
              <w:left w:val="single" w:sz="8" w:space="0" w:color="auto"/>
              <w:bottom w:val="nil"/>
              <w:right w:val="single" w:sz="8" w:space="0" w:color="auto"/>
            </w:tcBorders>
            <w:shd w:val="clear" w:color="000000" w:fill="FFFFFF"/>
            <w:noWrap/>
            <w:vAlign w:val="center"/>
            <w:hideMark/>
          </w:tcPr>
          <w:p w14:paraId="1DE1E417"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15.71%</w:t>
            </w:r>
          </w:p>
        </w:tc>
        <w:tc>
          <w:tcPr>
            <w:tcW w:w="1023" w:type="dxa"/>
            <w:tcBorders>
              <w:top w:val="nil"/>
              <w:left w:val="nil"/>
              <w:bottom w:val="nil"/>
              <w:right w:val="single" w:sz="8" w:space="0" w:color="auto"/>
            </w:tcBorders>
            <w:shd w:val="clear" w:color="000000" w:fill="FFFFFF"/>
            <w:noWrap/>
            <w:vAlign w:val="center"/>
            <w:hideMark/>
          </w:tcPr>
          <w:p w14:paraId="7DF7FC27"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15.45%</w:t>
            </w:r>
          </w:p>
        </w:tc>
        <w:tc>
          <w:tcPr>
            <w:tcW w:w="1023" w:type="dxa"/>
            <w:tcBorders>
              <w:top w:val="nil"/>
              <w:left w:val="nil"/>
              <w:bottom w:val="nil"/>
              <w:right w:val="single" w:sz="8" w:space="0" w:color="auto"/>
            </w:tcBorders>
            <w:shd w:val="clear" w:color="000000" w:fill="FFFFFF"/>
            <w:noWrap/>
            <w:vAlign w:val="center"/>
            <w:hideMark/>
          </w:tcPr>
          <w:p w14:paraId="2D914E0B"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14.70%</w:t>
            </w:r>
          </w:p>
        </w:tc>
        <w:tc>
          <w:tcPr>
            <w:tcW w:w="146" w:type="dxa"/>
            <w:vAlign w:val="center"/>
            <w:hideMark/>
          </w:tcPr>
          <w:p w14:paraId="3A6BC8CC" w14:textId="77777777" w:rsidR="00B35412" w:rsidRPr="007C79D9" w:rsidRDefault="00B35412" w:rsidP="00127939">
            <w:pPr>
              <w:spacing w:after="0" w:line="240" w:lineRule="auto"/>
              <w:rPr>
                <w:rFonts w:ascii="Times New Roman" w:eastAsia="Times New Roman" w:hAnsi="Times New Roman" w:cs="Times New Roman"/>
                <w:sz w:val="20"/>
                <w:szCs w:val="20"/>
                <w:lang w:eastAsia="es-GT"/>
              </w:rPr>
            </w:pPr>
          </w:p>
        </w:tc>
      </w:tr>
      <w:tr w:rsidR="00B35412" w:rsidRPr="007C79D9" w14:paraId="181E3958" w14:textId="77777777" w:rsidTr="00127939">
        <w:trPr>
          <w:trHeight w:val="254"/>
          <w:jc w:val="center"/>
        </w:trPr>
        <w:tc>
          <w:tcPr>
            <w:tcW w:w="3663" w:type="dxa"/>
            <w:tcBorders>
              <w:top w:val="nil"/>
              <w:left w:val="single" w:sz="8" w:space="0" w:color="auto"/>
              <w:bottom w:val="nil"/>
              <w:right w:val="nil"/>
            </w:tcBorders>
            <w:shd w:val="clear" w:color="000000" w:fill="FFFFFF"/>
            <w:noWrap/>
            <w:vAlign w:val="center"/>
            <w:hideMark/>
          </w:tcPr>
          <w:p w14:paraId="162C76ED" w14:textId="77777777" w:rsidR="00B35412" w:rsidRPr="007C79D9" w:rsidRDefault="00B35412" w:rsidP="00127939">
            <w:pPr>
              <w:spacing w:after="0" w:line="240" w:lineRule="auto"/>
              <w:ind w:firstLineChars="200" w:firstLine="320"/>
              <w:rPr>
                <w:rFonts w:ascii="Times New Roman" w:eastAsia="Times New Roman" w:hAnsi="Times New Roman" w:cs="Times New Roman"/>
                <w:color w:val="000000"/>
                <w:sz w:val="16"/>
                <w:szCs w:val="16"/>
                <w:lang w:eastAsia="es-GT"/>
              </w:rPr>
            </w:pPr>
            <w:r w:rsidRPr="007C79D9">
              <w:rPr>
                <w:rFonts w:ascii="Times New Roman" w:eastAsia="Times New Roman" w:hAnsi="Times New Roman" w:cs="Times New Roman"/>
                <w:sz w:val="16"/>
                <w:szCs w:val="16"/>
                <w:lang w:eastAsia="es-GT"/>
              </w:rPr>
              <w:t xml:space="preserve">Ingresos Tributarios </w:t>
            </w:r>
          </w:p>
        </w:tc>
        <w:tc>
          <w:tcPr>
            <w:tcW w:w="1023" w:type="dxa"/>
            <w:tcBorders>
              <w:top w:val="nil"/>
              <w:left w:val="single" w:sz="8" w:space="0" w:color="auto"/>
              <w:bottom w:val="nil"/>
              <w:right w:val="single" w:sz="8" w:space="0" w:color="auto"/>
            </w:tcBorders>
            <w:shd w:val="clear" w:color="000000" w:fill="FFFFFF"/>
            <w:noWrap/>
            <w:vAlign w:val="center"/>
            <w:hideMark/>
          </w:tcPr>
          <w:p w14:paraId="42DB1580"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10.96%</w:t>
            </w:r>
          </w:p>
        </w:tc>
        <w:tc>
          <w:tcPr>
            <w:tcW w:w="1023" w:type="dxa"/>
            <w:tcBorders>
              <w:top w:val="nil"/>
              <w:left w:val="nil"/>
              <w:bottom w:val="nil"/>
              <w:right w:val="single" w:sz="8" w:space="0" w:color="auto"/>
            </w:tcBorders>
            <w:shd w:val="clear" w:color="000000" w:fill="FFFFFF"/>
            <w:noWrap/>
            <w:vAlign w:val="center"/>
            <w:hideMark/>
          </w:tcPr>
          <w:p w14:paraId="69D49A34"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10.83%</w:t>
            </w:r>
          </w:p>
        </w:tc>
        <w:tc>
          <w:tcPr>
            <w:tcW w:w="1023" w:type="dxa"/>
            <w:tcBorders>
              <w:top w:val="nil"/>
              <w:left w:val="nil"/>
              <w:bottom w:val="nil"/>
              <w:right w:val="single" w:sz="8" w:space="0" w:color="auto"/>
            </w:tcBorders>
            <w:shd w:val="clear" w:color="000000" w:fill="FFFFFF"/>
            <w:noWrap/>
            <w:vAlign w:val="center"/>
            <w:hideMark/>
          </w:tcPr>
          <w:p w14:paraId="1C2C9A67"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10.32%</w:t>
            </w:r>
          </w:p>
        </w:tc>
        <w:tc>
          <w:tcPr>
            <w:tcW w:w="146" w:type="dxa"/>
            <w:vAlign w:val="center"/>
            <w:hideMark/>
          </w:tcPr>
          <w:p w14:paraId="762C2F44" w14:textId="77777777" w:rsidR="00B35412" w:rsidRPr="007C79D9" w:rsidRDefault="00B35412" w:rsidP="00127939">
            <w:pPr>
              <w:spacing w:after="0" w:line="240" w:lineRule="auto"/>
              <w:rPr>
                <w:rFonts w:ascii="Times New Roman" w:eastAsia="Times New Roman" w:hAnsi="Times New Roman" w:cs="Times New Roman"/>
                <w:sz w:val="20"/>
                <w:szCs w:val="20"/>
                <w:lang w:eastAsia="es-GT"/>
              </w:rPr>
            </w:pPr>
          </w:p>
        </w:tc>
      </w:tr>
      <w:tr w:rsidR="00B35412" w:rsidRPr="007C79D9" w14:paraId="0BDAD9F1" w14:textId="77777777" w:rsidTr="00127939">
        <w:trPr>
          <w:trHeight w:val="254"/>
          <w:jc w:val="center"/>
        </w:trPr>
        <w:tc>
          <w:tcPr>
            <w:tcW w:w="3663" w:type="dxa"/>
            <w:tcBorders>
              <w:top w:val="nil"/>
              <w:left w:val="single" w:sz="8" w:space="0" w:color="auto"/>
              <w:bottom w:val="nil"/>
              <w:right w:val="nil"/>
            </w:tcBorders>
            <w:shd w:val="clear" w:color="000000" w:fill="FFFFFF"/>
            <w:noWrap/>
            <w:vAlign w:val="center"/>
            <w:hideMark/>
          </w:tcPr>
          <w:p w14:paraId="5A8A9F56" w14:textId="77777777" w:rsidR="00B35412" w:rsidRPr="007C79D9" w:rsidRDefault="00B35412" w:rsidP="00127939">
            <w:pPr>
              <w:spacing w:after="0" w:line="240" w:lineRule="auto"/>
              <w:ind w:firstLineChars="200" w:firstLine="320"/>
              <w:rPr>
                <w:rFonts w:ascii="Times New Roman" w:eastAsia="Times New Roman" w:hAnsi="Times New Roman" w:cs="Times New Roman"/>
                <w:color w:val="000000"/>
                <w:sz w:val="16"/>
                <w:szCs w:val="16"/>
                <w:lang w:eastAsia="es-GT"/>
              </w:rPr>
            </w:pPr>
            <w:r w:rsidRPr="007C79D9">
              <w:rPr>
                <w:rFonts w:ascii="Times New Roman" w:eastAsia="Times New Roman" w:hAnsi="Times New Roman" w:cs="Times New Roman"/>
                <w:sz w:val="16"/>
                <w:szCs w:val="16"/>
                <w:lang w:eastAsia="es-GT"/>
              </w:rPr>
              <w:t>Ingresos No tributarios</w:t>
            </w:r>
          </w:p>
        </w:tc>
        <w:tc>
          <w:tcPr>
            <w:tcW w:w="1023" w:type="dxa"/>
            <w:tcBorders>
              <w:top w:val="nil"/>
              <w:left w:val="single" w:sz="8" w:space="0" w:color="auto"/>
              <w:bottom w:val="nil"/>
              <w:right w:val="single" w:sz="8" w:space="0" w:color="auto"/>
            </w:tcBorders>
            <w:shd w:val="clear" w:color="000000" w:fill="FFFFFF"/>
            <w:noWrap/>
            <w:vAlign w:val="center"/>
            <w:hideMark/>
          </w:tcPr>
          <w:p w14:paraId="130F9331"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4.75%</w:t>
            </w:r>
          </w:p>
        </w:tc>
        <w:tc>
          <w:tcPr>
            <w:tcW w:w="1023" w:type="dxa"/>
            <w:tcBorders>
              <w:top w:val="nil"/>
              <w:left w:val="nil"/>
              <w:bottom w:val="nil"/>
              <w:right w:val="single" w:sz="8" w:space="0" w:color="auto"/>
            </w:tcBorders>
            <w:shd w:val="clear" w:color="000000" w:fill="FFFFFF"/>
            <w:noWrap/>
            <w:vAlign w:val="center"/>
            <w:hideMark/>
          </w:tcPr>
          <w:p w14:paraId="578E7652"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4.62%</w:t>
            </w:r>
          </w:p>
        </w:tc>
        <w:tc>
          <w:tcPr>
            <w:tcW w:w="1023" w:type="dxa"/>
            <w:tcBorders>
              <w:top w:val="nil"/>
              <w:left w:val="nil"/>
              <w:bottom w:val="nil"/>
              <w:right w:val="single" w:sz="8" w:space="0" w:color="auto"/>
            </w:tcBorders>
            <w:shd w:val="clear" w:color="000000" w:fill="FFFFFF"/>
            <w:noWrap/>
            <w:vAlign w:val="center"/>
            <w:hideMark/>
          </w:tcPr>
          <w:p w14:paraId="0F5E187C"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4.38%</w:t>
            </w:r>
          </w:p>
        </w:tc>
        <w:tc>
          <w:tcPr>
            <w:tcW w:w="146" w:type="dxa"/>
            <w:vAlign w:val="center"/>
            <w:hideMark/>
          </w:tcPr>
          <w:p w14:paraId="27DE07B8" w14:textId="77777777" w:rsidR="00B35412" w:rsidRPr="007C79D9" w:rsidRDefault="00B35412" w:rsidP="00127939">
            <w:pPr>
              <w:spacing w:after="0" w:line="240" w:lineRule="auto"/>
              <w:rPr>
                <w:rFonts w:ascii="Times New Roman" w:eastAsia="Times New Roman" w:hAnsi="Times New Roman" w:cs="Times New Roman"/>
                <w:sz w:val="20"/>
                <w:szCs w:val="20"/>
                <w:lang w:eastAsia="es-GT"/>
              </w:rPr>
            </w:pPr>
          </w:p>
        </w:tc>
      </w:tr>
      <w:tr w:rsidR="00B35412" w:rsidRPr="007C79D9" w14:paraId="01E8373C" w14:textId="77777777" w:rsidTr="00127939">
        <w:trPr>
          <w:trHeight w:val="254"/>
          <w:jc w:val="center"/>
        </w:trPr>
        <w:tc>
          <w:tcPr>
            <w:tcW w:w="3663" w:type="dxa"/>
            <w:tcBorders>
              <w:top w:val="nil"/>
              <w:left w:val="single" w:sz="8" w:space="0" w:color="auto"/>
              <w:bottom w:val="nil"/>
              <w:right w:val="nil"/>
            </w:tcBorders>
            <w:shd w:val="clear" w:color="000000" w:fill="FFFFFF"/>
            <w:noWrap/>
            <w:vAlign w:val="center"/>
            <w:hideMark/>
          </w:tcPr>
          <w:p w14:paraId="65E79996" w14:textId="77777777" w:rsidR="00B35412" w:rsidRPr="007C79D9" w:rsidRDefault="00B35412" w:rsidP="00127939">
            <w:pPr>
              <w:spacing w:after="0" w:line="240" w:lineRule="auto"/>
              <w:ind w:firstLineChars="400" w:firstLine="640"/>
              <w:rPr>
                <w:rFonts w:ascii="Times New Roman" w:eastAsia="Times New Roman" w:hAnsi="Times New Roman" w:cs="Times New Roman"/>
                <w:color w:val="000000"/>
                <w:sz w:val="16"/>
                <w:szCs w:val="16"/>
                <w:lang w:eastAsia="es-GT"/>
              </w:rPr>
            </w:pPr>
            <w:r w:rsidRPr="007C79D9">
              <w:rPr>
                <w:rFonts w:ascii="Times New Roman" w:eastAsia="Times New Roman" w:hAnsi="Times New Roman" w:cs="Times New Roman"/>
                <w:sz w:val="16"/>
                <w:szCs w:val="16"/>
                <w:lang w:eastAsia="es-GT"/>
              </w:rPr>
              <w:t>Contribuciones a la Seguridad Social</w:t>
            </w:r>
          </w:p>
        </w:tc>
        <w:tc>
          <w:tcPr>
            <w:tcW w:w="1023" w:type="dxa"/>
            <w:tcBorders>
              <w:top w:val="nil"/>
              <w:left w:val="single" w:sz="8" w:space="0" w:color="auto"/>
              <w:bottom w:val="nil"/>
              <w:right w:val="single" w:sz="8" w:space="0" w:color="auto"/>
            </w:tcBorders>
            <w:shd w:val="clear" w:color="000000" w:fill="FFFFFF"/>
            <w:noWrap/>
            <w:vAlign w:val="center"/>
            <w:hideMark/>
          </w:tcPr>
          <w:p w14:paraId="00FC01B0"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2.29%</w:t>
            </w:r>
          </w:p>
        </w:tc>
        <w:tc>
          <w:tcPr>
            <w:tcW w:w="1023" w:type="dxa"/>
            <w:tcBorders>
              <w:top w:val="nil"/>
              <w:left w:val="nil"/>
              <w:bottom w:val="nil"/>
              <w:right w:val="single" w:sz="8" w:space="0" w:color="auto"/>
            </w:tcBorders>
            <w:shd w:val="clear" w:color="000000" w:fill="FFFFFF"/>
            <w:noWrap/>
            <w:vAlign w:val="center"/>
            <w:hideMark/>
          </w:tcPr>
          <w:p w14:paraId="5ED96985"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2.28%</w:t>
            </w:r>
          </w:p>
        </w:tc>
        <w:tc>
          <w:tcPr>
            <w:tcW w:w="1023" w:type="dxa"/>
            <w:tcBorders>
              <w:top w:val="nil"/>
              <w:left w:val="nil"/>
              <w:bottom w:val="nil"/>
              <w:right w:val="single" w:sz="8" w:space="0" w:color="auto"/>
            </w:tcBorders>
            <w:shd w:val="clear" w:color="000000" w:fill="FFFFFF"/>
            <w:noWrap/>
            <w:vAlign w:val="center"/>
            <w:hideMark/>
          </w:tcPr>
          <w:p w14:paraId="55B1F014"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2.23%</w:t>
            </w:r>
          </w:p>
        </w:tc>
        <w:tc>
          <w:tcPr>
            <w:tcW w:w="146" w:type="dxa"/>
            <w:vAlign w:val="center"/>
            <w:hideMark/>
          </w:tcPr>
          <w:p w14:paraId="26540FA0" w14:textId="77777777" w:rsidR="00B35412" w:rsidRPr="007C79D9" w:rsidRDefault="00B35412" w:rsidP="00127939">
            <w:pPr>
              <w:spacing w:after="0" w:line="240" w:lineRule="auto"/>
              <w:rPr>
                <w:rFonts w:ascii="Times New Roman" w:eastAsia="Times New Roman" w:hAnsi="Times New Roman" w:cs="Times New Roman"/>
                <w:sz w:val="20"/>
                <w:szCs w:val="20"/>
                <w:lang w:eastAsia="es-GT"/>
              </w:rPr>
            </w:pPr>
          </w:p>
        </w:tc>
      </w:tr>
      <w:tr w:rsidR="00B35412" w:rsidRPr="007C79D9" w14:paraId="44FC342E" w14:textId="77777777" w:rsidTr="00127939">
        <w:trPr>
          <w:trHeight w:val="254"/>
          <w:jc w:val="center"/>
        </w:trPr>
        <w:tc>
          <w:tcPr>
            <w:tcW w:w="3663" w:type="dxa"/>
            <w:tcBorders>
              <w:top w:val="nil"/>
              <w:left w:val="single" w:sz="8" w:space="0" w:color="auto"/>
              <w:bottom w:val="nil"/>
              <w:right w:val="nil"/>
            </w:tcBorders>
            <w:shd w:val="clear" w:color="000000" w:fill="FFFFFF"/>
            <w:noWrap/>
            <w:vAlign w:val="center"/>
            <w:hideMark/>
          </w:tcPr>
          <w:p w14:paraId="449B9E90" w14:textId="77777777" w:rsidR="00B35412" w:rsidRPr="007C79D9" w:rsidRDefault="00B35412" w:rsidP="00127939">
            <w:pPr>
              <w:spacing w:after="0" w:line="240" w:lineRule="auto"/>
              <w:ind w:firstLineChars="400" w:firstLine="640"/>
              <w:rPr>
                <w:rFonts w:ascii="Times New Roman" w:eastAsia="Times New Roman" w:hAnsi="Times New Roman" w:cs="Times New Roman"/>
                <w:color w:val="000000"/>
                <w:sz w:val="16"/>
                <w:szCs w:val="16"/>
                <w:lang w:eastAsia="es-GT"/>
              </w:rPr>
            </w:pPr>
            <w:r w:rsidRPr="007C79D9">
              <w:rPr>
                <w:rFonts w:ascii="Times New Roman" w:eastAsia="Times New Roman" w:hAnsi="Times New Roman" w:cs="Times New Roman"/>
                <w:sz w:val="16"/>
                <w:szCs w:val="16"/>
                <w:lang w:eastAsia="es-GT"/>
              </w:rPr>
              <w:t>Otros</w:t>
            </w:r>
          </w:p>
        </w:tc>
        <w:tc>
          <w:tcPr>
            <w:tcW w:w="1023" w:type="dxa"/>
            <w:tcBorders>
              <w:top w:val="nil"/>
              <w:left w:val="single" w:sz="8" w:space="0" w:color="auto"/>
              <w:bottom w:val="nil"/>
              <w:right w:val="single" w:sz="8" w:space="0" w:color="auto"/>
            </w:tcBorders>
            <w:shd w:val="clear" w:color="000000" w:fill="FFFFFF"/>
            <w:noWrap/>
            <w:vAlign w:val="center"/>
            <w:hideMark/>
          </w:tcPr>
          <w:p w14:paraId="211EC2C6"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2.46%</w:t>
            </w:r>
          </w:p>
        </w:tc>
        <w:tc>
          <w:tcPr>
            <w:tcW w:w="1023" w:type="dxa"/>
            <w:tcBorders>
              <w:top w:val="nil"/>
              <w:left w:val="nil"/>
              <w:bottom w:val="nil"/>
              <w:right w:val="single" w:sz="8" w:space="0" w:color="auto"/>
            </w:tcBorders>
            <w:shd w:val="clear" w:color="000000" w:fill="FFFFFF"/>
            <w:noWrap/>
            <w:vAlign w:val="center"/>
            <w:hideMark/>
          </w:tcPr>
          <w:p w14:paraId="3422E2D9"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2.34%</w:t>
            </w:r>
          </w:p>
        </w:tc>
        <w:tc>
          <w:tcPr>
            <w:tcW w:w="1023" w:type="dxa"/>
            <w:tcBorders>
              <w:top w:val="nil"/>
              <w:left w:val="nil"/>
              <w:bottom w:val="nil"/>
              <w:right w:val="single" w:sz="8" w:space="0" w:color="auto"/>
            </w:tcBorders>
            <w:shd w:val="clear" w:color="000000" w:fill="FFFFFF"/>
            <w:noWrap/>
            <w:vAlign w:val="center"/>
            <w:hideMark/>
          </w:tcPr>
          <w:p w14:paraId="39656C29"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2.15%</w:t>
            </w:r>
          </w:p>
        </w:tc>
        <w:tc>
          <w:tcPr>
            <w:tcW w:w="146" w:type="dxa"/>
            <w:vAlign w:val="center"/>
            <w:hideMark/>
          </w:tcPr>
          <w:p w14:paraId="02F325C2" w14:textId="77777777" w:rsidR="00B35412" w:rsidRPr="007C79D9" w:rsidRDefault="00B35412" w:rsidP="00127939">
            <w:pPr>
              <w:spacing w:after="0" w:line="240" w:lineRule="auto"/>
              <w:rPr>
                <w:rFonts w:ascii="Times New Roman" w:eastAsia="Times New Roman" w:hAnsi="Times New Roman" w:cs="Times New Roman"/>
                <w:sz w:val="20"/>
                <w:szCs w:val="20"/>
                <w:lang w:eastAsia="es-GT"/>
              </w:rPr>
            </w:pPr>
          </w:p>
        </w:tc>
      </w:tr>
      <w:tr w:rsidR="00B35412" w:rsidRPr="007C79D9" w14:paraId="7AC40695" w14:textId="77777777" w:rsidTr="00127939">
        <w:trPr>
          <w:trHeight w:val="254"/>
          <w:jc w:val="center"/>
        </w:trPr>
        <w:tc>
          <w:tcPr>
            <w:tcW w:w="3663" w:type="dxa"/>
            <w:tcBorders>
              <w:top w:val="nil"/>
              <w:left w:val="single" w:sz="8" w:space="0" w:color="auto"/>
              <w:bottom w:val="nil"/>
              <w:right w:val="nil"/>
            </w:tcBorders>
            <w:shd w:val="clear" w:color="000000" w:fill="FFFFFF"/>
            <w:noWrap/>
            <w:vAlign w:val="center"/>
            <w:hideMark/>
          </w:tcPr>
          <w:p w14:paraId="1A6AA51A" w14:textId="77777777" w:rsidR="00B35412" w:rsidRPr="007C79D9" w:rsidRDefault="00B35412" w:rsidP="00127939">
            <w:pPr>
              <w:spacing w:after="0" w:line="240" w:lineRule="auto"/>
              <w:ind w:firstLineChars="100" w:firstLine="160"/>
              <w:rPr>
                <w:rFonts w:ascii="Times New Roman" w:eastAsia="Times New Roman" w:hAnsi="Times New Roman" w:cs="Times New Roman"/>
                <w:color w:val="000000"/>
                <w:sz w:val="16"/>
                <w:szCs w:val="16"/>
                <w:lang w:eastAsia="es-GT"/>
              </w:rPr>
            </w:pPr>
            <w:r w:rsidRPr="007C79D9">
              <w:rPr>
                <w:rFonts w:ascii="Times New Roman" w:eastAsia="Times New Roman" w:hAnsi="Times New Roman" w:cs="Times New Roman"/>
                <w:sz w:val="16"/>
                <w:szCs w:val="16"/>
                <w:lang w:eastAsia="es-GT"/>
              </w:rPr>
              <w:t>Ingresos de Capital</w:t>
            </w:r>
          </w:p>
        </w:tc>
        <w:tc>
          <w:tcPr>
            <w:tcW w:w="1023" w:type="dxa"/>
            <w:tcBorders>
              <w:top w:val="nil"/>
              <w:left w:val="single" w:sz="8" w:space="0" w:color="auto"/>
              <w:bottom w:val="nil"/>
              <w:right w:val="single" w:sz="8" w:space="0" w:color="auto"/>
            </w:tcBorders>
            <w:shd w:val="clear" w:color="000000" w:fill="FFFFFF"/>
            <w:noWrap/>
            <w:vAlign w:val="center"/>
            <w:hideMark/>
          </w:tcPr>
          <w:p w14:paraId="084C9F81"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0.05%</w:t>
            </w:r>
          </w:p>
        </w:tc>
        <w:tc>
          <w:tcPr>
            <w:tcW w:w="1023" w:type="dxa"/>
            <w:tcBorders>
              <w:top w:val="nil"/>
              <w:left w:val="nil"/>
              <w:bottom w:val="nil"/>
              <w:right w:val="single" w:sz="8" w:space="0" w:color="auto"/>
            </w:tcBorders>
            <w:shd w:val="clear" w:color="000000" w:fill="FFFFFF"/>
            <w:noWrap/>
            <w:vAlign w:val="center"/>
            <w:hideMark/>
          </w:tcPr>
          <w:p w14:paraId="7E8FCF28"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0.02%</w:t>
            </w:r>
          </w:p>
        </w:tc>
        <w:tc>
          <w:tcPr>
            <w:tcW w:w="1023" w:type="dxa"/>
            <w:tcBorders>
              <w:top w:val="nil"/>
              <w:left w:val="nil"/>
              <w:bottom w:val="nil"/>
              <w:right w:val="single" w:sz="8" w:space="0" w:color="auto"/>
            </w:tcBorders>
            <w:shd w:val="clear" w:color="000000" w:fill="FFFFFF"/>
            <w:noWrap/>
            <w:vAlign w:val="center"/>
            <w:hideMark/>
          </w:tcPr>
          <w:p w14:paraId="6E0B33AE"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0.01%</w:t>
            </w:r>
          </w:p>
        </w:tc>
        <w:tc>
          <w:tcPr>
            <w:tcW w:w="146" w:type="dxa"/>
            <w:vAlign w:val="center"/>
            <w:hideMark/>
          </w:tcPr>
          <w:p w14:paraId="3ECA87AE" w14:textId="77777777" w:rsidR="00B35412" w:rsidRPr="007C79D9" w:rsidRDefault="00B35412" w:rsidP="00127939">
            <w:pPr>
              <w:spacing w:after="0" w:line="240" w:lineRule="auto"/>
              <w:rPr>
                <w:rFonts w:ascii="Times New Roman" w:eastAsia="Times New Roman" w:hAnsi="Times New Roman" w:cs="Times New Roman"/>
                <w:sz w:val="20"/>
                <w:szCs w:val="20"/>
                <w:lang w:eastAsia="es-GT"/>
              </w:rPr>
            </w:pPr>
          </w:p>
        </w:tc>
      </w:tr>
      <w:tr w:rsidR="00B35412" w:rsidRPr="007C79D9" w14:paraId="62FB6F7A" w14:textId="77777777" w:rsidTr="00127939">
        <w:trPr>
          <w:trHeight w:val="254"/>
          <w:jc w:val="center"/>
        </w:trPr>
        <w:tc>
          <w:tcPr>
            <w:tcW w:w="3663" w:type="dxa"/>
            <w:tcBorders>
              <w:top w:val="nil"/>
              <w:left w:val="single" w:sz="8" w:space="0" w:color="auto"/>
              <w:bottom w:val="nil"/>
              <w:right w:val="nil"/>
            </w:tcBorders>
            <w:shd w:val="clear" w:color="000000" w:fill="FFFFFF"/>
            <w:noWrap/>
            <w:vAlign w:val="center"/>
            <w:hideMark/>
          </w:tcPr>
          <w:p w14:paraId="4D3D834E" w14:textId="77777777" w:rsidR="00B35412" w:rsidRPr="007C79D9" w:rsidRDefault="00B35412" w:rsidP="00127939">
            <w:pPr>
              <w:spacing w:after="0" w:line="240" w:lineRule="auto"/>
              <w:rPr>
                <w:rFonts w:ascii="Times New Roman" w:eastAsia="Times New Roman" w:hAnsi="Times New Roman" w:cs="Times New Roman"/>
                <w:b/>
                <w:bCs/>
                <w:color w:val="000000"/>
                <w:sz w:val="16"/>
                <w:szCs w:val="16"/>
                <w:lang w:eastAsia="es-GT"/>
              </w:rPr>
            </w:pPr>
            <w:r w:rsidRPr="007C79D9">
              <w:rPr>
                <w:rFonts w:ascii="Times New Roman" w:eastAsia="Times New Roman" w:hAnsi="Times New Roman" w:cs="Times New Roman"/>
                <w:b/>
                <w:bCs/>
                <w:sz w:val="16"/>
                <w:szCs w:val="16"/>
                <w:lang w:eastAsia="es-GT"/>
              </w:rPr>
              <w:t>Gastos Totales</w:t>
            </w:r>
          </w:p>
        </w:tc>
        <w:tc>
          <w:tcPr>
            <w:tcW w:w="1023" w:type="dxa"/>
            <w:tcBorders>
              <w:top w:val="nil"/>
              <w:left w:val="single" w:sz="8" w:space="0" w:color="auto"/>
              <w:bottom w:val="nil"/>
              <w:right w:val="single" w:sz="8" w:space="0" w:color="auto"/>
            </w:tcBorders>
            <w:shd w:val="clear" w:color="000000" w:fill="FFFFFF"/>
            <w:noWrap/>
            <w:vAlign w:val="center"/>
            <w:hideMark/>
          </w:tcPr>
          <w:p w14:paraId="4BE326DE" w14:textId="77777777" w:rsidR="00B35412" w:rsidRPr="007C79D9" w:rsidRDefault="00B35412" w:rsidP="00127939">
            <w:pPr>
              <w:spacing w:after="0" w:line="240" w:lineRule="auto"/>
              <w:jc w:val="center"/>
              <w:rPr>
                <w:rFonts w:ascii="Times New Roman" w:eastAsia="Times New Roman" w:hAnsi="Times New Roman" w:cs="Times New Roman"/>
                <w:b/>
                <w:bCs/>
                <w:color w:val="000000"/>
                <w:sz w:val="16"/>
                <w:szCs w:val="16"/>
                <w:lang w:eastAsia="es-GT"/>
              </w:rPr>
            </w:pPr>
            <w:r>
              <w:rPr>
                <w:b/>
                <w:bCs/>
                <w:sz w:val="16"/>
                <w:szCs w:val="16"/>
              </w:rPr>
              <w:t>16.71%</w:t>
            </w:r>
          </w:p>
        </w:tc>
        <w:tc>
          <w:tcPr>
            <w:tcW w:w="1023" w:type="dxa"/>
            <w:tcBorders>
              <w:top w:val="nil"/>
              <w:left w:val="nil"/>
              <w:bottom w:val="nil"/>
              <w:right w:val="single" w:sz="8" w:space="0" w:color="auto"/>
            </w:tcBorders>
            <w:shd w:val="clear" w:color="000000" w:fill="FFFFFF"/>
            <w:noWrap/>
            <w:vAlign w:val="center"/>
            <w:hideMark/>
          </w:tcPr>
          <w:p w14:paraId="64570330" w14:textId="77777777" w:rsidR="00B35412" w:rsidRPr="007C79D9" w:rsidRDefault="00B35412" w:rsidP="00127939">
            <w:pPr>
              <w:spacing w:after="0" w:line="240" w:lineRule="auto"/>
              <w:jc w:val="center"/>
              <w:rPr>
                <w:rFonts w:ascii="Times New Roman" w:eastAsia="Times New Roman" w:hAnsi="Times New Roman" w:cs="Times New Roman"/>
                <w:b/>
                <w:bCs/>
                <w:color w:val="000000"/>
                <w:sz w:val="16"/>
                <w:szCs w:val="16"/>
                <w:lang w:eastAsia="es-GT"/>
              </w:rPr>
            </w:pPr>
            <w:r>
              <w:rPr>
                <w:b/>
                <w:bCs/>
                <w:sz w:val="16"/>
                <w:szCs w:val="16"/>
              </w:rPr>
              <w:t>17.24%</w:t>
            </w:r>
          </w:p>
        </w:tc>
        <w:tc>
          <w:tcPr>
            <w:tcW w:w="1023" w:type="dxa"/>
            <w:tcBorders>
              <w:top w:val="nil"/>
              <w:left w:val="nil"/>
              <w:bottom w:val="nil"/>
              <w:right w:val="single" w:sz="8" w:space="0" w:color="auto"/>
            </w:tcBorders>
            <w:shd w:val="clear" w:color="000000" w:fill="FFFFFF"/>
            <w:noWrap/>
            <w:vAlign w:val="center"/>
            <w:hideMark/>
          </w:tcPr>
          <w:p w14:paraId="792241E5" w14:textId="77777777" w:rsidR="00B35412" w:rsidRPr="007C79D9" w:rsidRDefault="00B35412" w:rsidP="00127939">
            <w:pPr>
              <w:spacing w:after="0" w:line="240" w:lineRule="auto"/>
              <w:jc w:val="center"/>
              <w:rPr>
                <w:rFonts w:ascii="Times New Roman" w:eastAsia="Times New Roman" w:hAnsi="Times New Roman" w:cs="Times New Roman"/>
                <w:b/>
                <w:bCs/>
                <w:color w:val="000000"/>
                <w:sz w:val="16"/>
                <w:szCs w:val="16"/>
                <w:lang w:eastAsia="es-GT"/>
              </w:rPr>
            </w:pPr>
            <w:r>
              <w:rPr>
                <w:b/>
                <w:bCs/>
                <w:sz w:val="16"/>
                <w:szCs w:val="16"/>
              </w:rPr>
              <w:t>18.47%</w:t>
            </w:r>
          </w:p>
        </w:tc>
        <w:tc>
          <w:tcPr>
            <w:tcW w:w="146" w:type="dxa"/>
            <w:vAlign w:val="center"/>
            <w:hideMark/>
          </w:tcPr>
          <w:p w14:paraId="3246D8E4" w14:textId="77777777" w:rsidR="00B35412" w:rsidRPr="007C79D9" w:rsidRDefault="00B35412" w:rsidP="00127939">
            <w:pPr>
              <w:spacing w:after="0" w:line="240" w:lineRule="auto"/>
              <w:rPr>
                <w:rFonts w:ascii="Times New Roman" w:eastAsia="Times New Roman" w:hAnsi="Times New Roman" w:cs="Times New Roman"/>
                <w:sz w:val="20"/>
                <w:szCs w:val="20"/>
                <w:lang w:eastAsia="es-GT"/>
              </w:rPr>
            </w:pPr>
          </w:p>
        </w:tc>
      </w:tr>
      <w:tr w:rsidR="00B35412" w:rsidRPr="007C79D9" w14:paraId="164009C4" w14:textId="77777777" w:rsidTr="00127939">
        <w:trPr>
          <w:trHeight w:val="254"/>
          <w:jc w:val="center"/>
        </w:trPr>
        <w:tc>
          <w:tcPr>
            <w:tcW w:w="3663" w:type="dxa"/>
            <w:tcBorders>
              <w:top w:val="nil"/>
              <w:left w:val="single" w:sz="8" w:space="0" w:color="auto"/>
              <w:bottom w:val="nil"/>
              <w:right w:val="nil"/>
            </w:tcBorders>
            <w:shd w:val="clear" w:color="000000" w:fill="FFFFFF"/>
            <w:noWrap/>
            <w:vAlign w:val="center"/>
            <w:hideMark/>
          </w:tcPr>
          <w:p w14:paraId="62F0948D" w14:textId="77777777" w:rsidR="00B35412" w:rsidRPr="007C79D9" w:rsidRDefault="00B35412" w:rsidP="00127939">
            <w:pPr>
              <w:spacing w:after="0" w:line="240" w:lineRule="auto"/>
              <w:ind w:firstLineChars="100" w:firstLine="160"/>
              <w:rPr>
                <w:rFonts w:ascii="Times New Roman" w:eastAsia="Times New Roman" w:hAnsi="Times New Roman" w:cs="Times New Roman"/>
                <w:color w:val="000000"/>
                <w:sz w:val="16"/>
                <w:szCs w:val="16"/>
                <w:lang w:eastAsia="es-GT"/>
              </w:rPr>
            </w:pPr>
            <w:r w:rsidRPr="007C79D9">
              <w:rPr>
                <w:rFonts w:ascii="Times New Roman" w:eastAsia="Times New Roman" w:hAnsi="Times New Roman" w:cs="Times New Roman"/>
                <w:sz w:val="16"/>
                <w:szCs w:val="16"/>
                <w:lang w:eastAsia="es-GT"/>
              </w:rPr>
              <w:t>Gastos Corrientes</w:t>
            </w:r>
          </w:p>
        </w:tc>
        <w:tc>
          <w:tcPr>
            <w:tcW w:w="1023" w:type="dxa"/>
            <w:tcBorders>
              <w:top w:val="nil"/>
              <w:left w:val="single" w:sz="8" w:space="0" w:color="auto"/>
              <w:bottom w:val="nil"/>
              <w:right w:val="single" w:sz="8" w:space="0" w:color="auto"/>
            </w:tcBorders>
            <w:shd w:val="clear" w:color="000000" w:fill="FFFFFF"/>
            <w:noWrap/>
            <w:vAlign w:val="center"/>
            <w:hideMark/>
          </w:tcPr>
          <w:p w14:paraId="427FE161"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14.30%</w:t>
            </w:r>
          </w:p>
        </w:tc>
        <w:tc>
          <w:tcPr>
            <w:tcW w:w="1023" w:type="dxa"/>
            <w:tcBorders>
              <w:top w:val="nil"/>
              <w:left w:val="nil"/>
              <w:bottom w:val="nil"/>
              <w:right w:val="single" w:sz="8" w:space="0" w:color="auto"/>
            </w:tcBorders>
            <w:shd w:val="clear" w:color="000000" w:fill="FFFFFF"/>
            <w:noWrap/>
            <w:vAlign w:val="center"/>
            <w:hideMark/>
          </w:tcPr>
          <w:p w14:paraId="3EF61F41"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14.56%</w:t>
            </w:r>
          </w:p>
        </w:tc>
        <w:tc>
          <w:tcPr>
            <w:tcW w:w="1023" w:type="dxa"/>
            <w:tcBorders>
              <w:top w:val="nil"/>
              <w:left w:val="nil"/>
              <w:bottom w:val="nil"/>
              <w:right w:val="single" w:sz="8" w:space="0" w:color="auto"/>
            </w:tcBorders>
            <w:shd w:val="clear" w:color="000000" w:fill="FFFFFF"/>
            <w:noWrap/>
            <w:vAlign w:val="center"/>
            <w:hideMark/>
          </w:tcPr>
          <w:p w14:paraId="0319D25D"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16.24%</w:t>
            </w:r>
          </w:p>
        </w:tc>
        <w:tc>
          <w:tcPr>
            <w:tcW w:w="146" w:type="dxa"/>
            <w:vAlign w:val="center"/>
            <w:hideMark/>
          </w:tcPr>
          <w:p w14:paraId="10A7F3C8" w14:textId="77777777" w:rsidR="00B35412" w:rsidRPr="007C79D9" w:rsidRDefault="00B35412" w:rsidP="00127939">
            <w:pPr>
              <w:spacing w:after="0" w:line="240" w:lineRule="auto"/>
              <w:rPr>
                <w:rFonts w:ascii="Times New Roman" w:eastAsia="Times New Roman" w:hAnsi="Times New Roman" w:cs="Times New Roman"/>
                <w:sz w:val="20"/>
                <w:szCs w:val="20"/>
                <w:lang w:eastAsia="es-GT"/>
              </w:rPr>
            </w:pPr>
          </w:p>
        </w:tc>
      </w:tr>
      <w:tr w:rsidR="00B35412" w:rsidRPr="007C79D9" w14:paraId="3B645191" w14:textId="77777777" w:rsidTr="00127939">
        <w:trPr>
          <w:trHeight w:val="254"/>
          <w:jc w:val="center"/>
        </w:trPr>
        <w:tc>
          <w:tcPr>
            <w:tcW w:w="3663" w:type="dxa"/>
            <w:tcBorders>
              <w:top w:val="nil"/>
              <w:left w:val="single" w:sz="8" w:space="0" w:color="auto"/>
              <w:bottom w:val="nil"/>
              <w:right w:val="nil"/>
            </w:tcBorders>
            <w:shd w:val="clear" w:color="000000" w:fill="FFFFFF"/>
            <w:noWrap/>
            <w:vAlign w:val="center"/>
            <w:hideMark/>
          </w:tcPr>
          <w:p w14:paraId="31C360F9" w14:textId="77777777" w:rsidR="00B35412" w:rsidRPr="007C79D9" w:rsidRDefault="00B35412" w:rsidP="00127939">
            <w:pPr>
              <w:spacing w:after="0" w:line="240" w:lineRule="auto"/>
              <w:ind w:firstLineChars="300" w:firstLine="480"/>
              <w:rPr>
                <w:rFonts w:ascii="Times New Roman" w:eastAsia="Times New Roman" w:hAnsi="Times New Roman" w:cs="Times New Roman"/>
                <w:color w:val="000000"/>
                <w:sz w:val="16"/>
                <w:szCs w:val="16"/>
                <w:lang w:eastAsia="es-GT"/>
              </w:rPr>
            </w:pPr>
            <w:r w:rsidRPr="007C79D9">
              <w:rPr>
                <w:rFonts w:ascii="Times New Roman" w:eastAsia="Times New Roman" w:hAnsi="Times New Roman" w:cs="Times New Roman"/>
                <w:sz w:val="16"/>
                <w:szCs w:val="16"/>
                <w:lang w:eastAsia="es-GT"/>
              </w:rPr>
              <w:t>Gasto de Consumo</w:t>
            </w:r>
          </w:p>
        </w:tc>
        <w:tc>
          <w:tcPr>
            <w:tcW w:w="1023" w:type="dxa"/>
            <w:tcBorders>
              <w:top w:val="nil"/>
              <w:left w:val="single" w:sz="8" w:space="0" w:color="auto"/>
              <w:bottom w:val="nil"/>
              <w:right w:val="single" w:sz="8" w:space="0" w:color="auto"/>
            </w:tcBorders>
            <w:shd w:val="clear" w:color="000000" w:fill="FFFFFF"/>
            <w:noWrap/>
            <w:vAlign w:val="center"/>
            <w:hideMark/>
          </w:tcPr>
          <w:p w14:paraId="2F6BEFD9"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9.94%</w:t>
            </w:r>
          </w:p>
        </w:tc>
        <w:tc>
          <w:tcPr>
            <w:tcW w:w="1023" w:type="dxa"/>
            <w:tcBorders>
              <w:top w:val="nil"/>
              <w:left w:val="nil"/>
              <w:bottom w:val="nil"/>
              <w:right w:val="single" w:sz="8" w:space="0" w:color="auto"/>
            </w:tcBorders>
            <w:shd w:val="clear" w:color="000000" w:fill="FFFFFF"/>
            <w:noWrap/>
            <w:vAlign w:val="center"/>
            <w:hideMark/>
          </w:tcPr>
          <w:p w14:paraId="5ADD24EF"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10.05%</w:t>
            </w:r>
          </w:p>
        </w:tc>
        <w:tc>
          <w:tcPr>
            <w:tcW w:w="1023" w:type="dxa"/>
            <w:tcBorders>
              <w:top w:val="nil"/>
              <w:left w:val="nil"/>
              <w:bottom w:val="nil"/>
              <w:right w:val="single" w:sz="8" w:space="0" w:color="auto"/>
            </w:tcBorders>
            <w:shd w:val="clear" w:color="000000" w:fill="FFFFFF"/>
            <w:noWrap/>
            <w:vAlign w:val="center"/>
            <w:hideMark/>
          </w:tcPr>
          <w:p w14:paraId="70DEBB24"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10.24%</w:t>
            </w:r>
          </w:p>
        </w:tc>
        <w:tc>
          <w:tcPr>
            <w:tcW w:w="146" w:type="dxa"/>
            <w:vAlign w:val="center"/>
            <w:hideMark/>
          </w:tcPr>
          <w:p w14:paraId="2BBE3782" w14:textId="77777777" w:rsidR="00B35412" w:rsidRPr="007C79D9" w:rsidRDefault="00B35412" w:rsidP="00127939">
            <w:pPr>
              <w:spacing w:after="0" w:line="240" w:lineRule="auto"/>
              <w:rPr>
                <w:rFonts w:ascii="Times New Roman" w:eastAsia="Times New Roman" w:hAnsi="Times New Roman" w:cs="Times New Roman"/>
                <w:sz w:val="20"/>
                <w:szCs w:val="20"/>
                <w:lang w:eastAsia="es-GT"/>
              </w:rPr>
            </w:pPr>
          </w:p>
        </w:tc>
      </w:tr>
      <w:tr w:rsidR="00B35412" w:rsidRPr="007C79D9" w14:paraId="3C20ACFF" w14:textId="77777777" w:rsidTr="00127939">
        <w:trPr>
          <w:trHeight w:val="254"/>
          <w:jc w:val="center"/>
        </w:trPr>
        <w:tc>
          <w:tcPr>
            <w:tcW w:w="3663" w:type="dxa"/>
            <w:tcBorders>
              <w:top w:val="nil"/>
              <w:left w:val="single" w:sz="8" w:space="0" w:color="auto"/>
              <w:bottom w:val="nil"/>
              <w:right w:val="nil"/>
            </w:tcBorders>
            <w:shd w:val="clear" w:color="000000" w:fill="FFFFFF"/>
            <w:noWrap/>
            <w:vAlign w:val="center"/>
            <w:hideMark/>
          </w:tcPr>
          <w:p w14:paraId="1299EB44" w14:textId="77777777" w:rsidR="00B35412" w:rsidRPr="007C79D9" w:rsidRDefault="00B35412" w:rsidP="00127939">
            <w:pPr>
              <w:spacing w:after="0" w:line="240" w:lineRule="auto"/>
              <w:ind w:firstLineChars="300" w:firstLine="480"/>
              <w:rPr>
                <w:rFonts w:ascii="Times New Roman" w:eastAsia="Times New Roman" w:hAnsi="Times New Roman" w:cs="Times New Roman"/>
                <w:color w:val="000000"/>
                <w:sz w:val="16"/>
                <w:szCs w:val="16"/>
                <w:lang w:eastAsia="es-GT"/>
              </w:rPr>
            </w:pPr>
            <w:r w:rsidRPr="007C79D9">
              <w:rPr>
                <w:rFonts w:ascii="Times New Roman" w:eastAsia="Times New Roman" w:hAnsi="Times New Roman" w:cs="Times New Roman"/>
                <w:sz w:val="16"/>
                <w:szCs w:val="16"/>
                <w:lang w:eastAsia="es-GT"/>
              </w:rPr>
              <w:t>Gastos de Operación</w:t>
            </w:r>
          </w:p>
        </w:tc>
        <w:tc>
          <w:tcPr>
            <w:tcW w:w="1023" w:type="dxa"/>
            <w:tcBorders>
              <w:top w:val="nil"/>
              <w:left w:val="single" w:sz="8" w:space="0" w:color="auto"/>
              <w:bottom w:val="nil"/>
              <w:right w:val="single" w:sz="8" w:space="0" w:color="auto"/>
            </w:tcBorders>
            <w:shd w:val="clear" w:color="000000" w:fill="FFFFFF"/>
            <w:noWrap/>
            <w:vAlign w:val="center"/>
            <w:hideMark/>
          </w:tcPr>
          <w:p w14:paraId="35E33D09"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0.73%</w:t>
            </w:r>
          </w:p>
        </w:tc>
        <w:tc>
          <w:tcPr>
            <w:tcW w:w="1023" w:type="dxa"/>
            <w:tcBorders>
              <w:top w:val="nil"/>
              <w:left w:val="nil"/>
              <w:bottom w:val="nil"/>
              <w:right w:val="single" w:sz="8" w:space="0" w:color="auto"/>
            </w:tcBorders>
            <w:shd w:val="clear" w:color="000000" w:fill="FFFFFF"/>
            <w:noWrap/>
            <w:vAlign w:val="center"/>
            <w:hideMark/>
          </w:tcPr>
          <w:p w14:paraId="69A957FC"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0.71%</w:t>
            </w:r>
          </w:p>
        </w:tc>
        <w:tc>
          <w:tcPr>
            <w:tcW w:w="1023" w:type="dxa"/>
            <w:tcBorders>
              <w:top w:val="nil"/>
              <w:left w:val="nil"/>
              <w:bottom w:val="nil"/>
              <w:right w:val="single" w:sz="8" w:space="0" w:color="auto"/>
            </w:tcBorders>
            <w:shd w:val="clear" w:color="000000" w:fill="FFFFFF"/>
            <w:noWrap/>
            <w:vAlign w:val="center"/>
            <w:hideMark/>
          </w:tcPr>
          <w:p w14:paraId="20A156F5"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0.73%</w:t>
            </w:r>
          </w:p>
        </w:tc>
        <w:tc>
          <w:tcPr>
            <w:tcW w:w="146" w:type="dxa"/>
            <w:vAlign w:val="center"/>
            <w:hideMark/>
          </w:tcPr>
          <w:p w14:paraId="6891CADF" w14:textId="77777777" w:rsidR="00B35412" w:rsidRPr="007C79D9" w:rsidRDefault="00B35412" w:rsidP="00127939">
            <w:pPr>
              <w:spacing w:after="0" w:line="240" w:lineRule="auto"/>
              <w:rPr>
                <w:rFonts w:ascii="Times New Roman" w:eastAsia="Times New Roman" w:hAnsi="Times New Roman" w:cs="Times New Roman"/>
                <w:sz w:val="20"/>
                <w:szCs w:val="20"/>
                <w:lang w:eastAsia="es-GT"/>
              </w:rPr>
            </w:pPr>
          </w:p>
        </w:tc>
      </w:tr>
      <w:tr w:rsidR="00B35412" w:rsidRPr="007C79D9" w14:paraId="667C0033" w14:textId="77777777" w:rsidTr="00127939">
        <w:trPr>
          <w:trHeight w:val="254"/>
          <w:jc w:val="center"/>
        </w:trPr>
        <w:tc>
          <w:tcPr>
            <w:tcW w:w="3663" w:type="dxa"/>
            <w:tcBorders>
              <w:top w:val="nil"/>
              <w:left w:val="single" w:sz="8" w:space="0" w:color="auto"/>
              <w:bottom w:val="nil"/>
              <w:right w:val="nil"/>
            </w:tcBorders>
            <w:shd w:val="clear" w:color="000000" w:fill="FFFFFF"/>
            <w:noWrap/>
            <w:vAlign w:val="center"/>
            <w:hideMark/>
          </w:tcPr>
          <w:p w14:paraId="4C998043" w14:textId="77777777" w:rsidR="00B35412" w:rsidRPr="007C79D9" w:rsidRDefault="00B35412" w:rsidP="00127939">
            <w:pPr>
              <w:spacing w:after="0" w:line="240" w:lineRule="auto"/>
              <w:ind w:firstLineChars="300" w:firstLine="480"/>
              <w:rPr>
                <w:rFonts w:ascii="Times New Roman" w:eastAsia="Times New Roman" w:hAnsi="Times New Roman" w:cs="Times New Roman"/>
                <w:color w:val="000000"/>
                <w:sz w:val="16"/>
                <w:szCs w:val="16"/>
                <w:lang w:eastAsia="es-GT"/>
              </w:rPr>
            </w:pPr>
            <w:r w:rsidRPr="007C79D9">
              <w:rPr>
                <w:rFonts w:ascii="Times New Roman" w:eastAsia="Times New Roman" w:hAnsi="Times New Roman" w:cs="Times New Roman"/>
                <w:sz w:val="16"/>
                <w:szCs w:val="16"/>
                <w:lang w:eastAsia="es-GT"/>
              </w:rPr>
              <w:t>Prestaciones a la Seguridad Social</w:t>
            </w:r>
          </w:p>
        </w:tc>
        <w:tc>
          <w:tcPr>
            <w:tcW w:w="1023" w:type="dxa"/>
            <w:tcBorders>
              <w:top w:val="nil"/>
              <w:left w:val="single" w:sz="8" w:space="0" w:color="auto"/>
              <w:bottom w:val="nil"/>
              <w:right w:val="single" w:sz="8" w:space="0" w:color="auto"/>
            </w:tcBorders>
            <w:shd w:val="clear" w:color="000000" w:fill="FFFFFF"/>
            <w:noWrap/>
            <w:vAlign w:val="center"/>
            <w:hideMark/>
          </w:tcPr>
          <w:p w14:paraId="37DA6B13"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1.63%</w:t>
            </w:r>
          </w:p>
        </w:tc>
        <w:tc>
          <w:tcPr>
            <w:tcW w:w="1023" w:type="dxa"/>
            <w:tcBorders>
              <w:top w:val="nil"/>
              <w:left w:val="nil"/>
              <w:bottom w:val="nil"/>
              <w:right w:val="single" w:sz="8" w:space="0" w:color="auto"/>
            </w:tcBorders>
            <w:shd w:val="clear" w:color="000000" w:fill="FFFFFF"/>
            <w:noWrap/>
            <w:vAlign w:val="center"/>
            <w:hideMark/>
          </w:tcPr>
          <w:p w14:paraId="514A7E7C"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1.64%</w:t>
            </w:r>
          </w:p>
        </w:tc>
        <w:tc>
          <w:tcPr>
            <w:tcW w:w="1023" w:type="dxa"/>
            <w:tcBorders>
              <w:top w:val="nil"/>
              <w:left w:val="nil"/>
              <w:bottom w:val="nil"/>
              <w:right w:val="single" w:sz="8" w:space="0" w:color="auto"/>
            </w:tcBorders>
            <w:shd w:val="clear" w:color="000000" w:fill="FFFFFF"/>
            <w:noWrap/>
            <w:vAlign w:val="center"/>
            <w:hideMark/>
          </w:tcPr>
          <w:p w14:paraId="31E338EF"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1.66%</w:t>
            </w:r>
          </w:p>
        </w:tc>
        <w:tc>
          <w:tcPr>
            <w:tcW w:w="146" w:type="dxa"/>
            <w:vAlign w:val="center"/>
            <w:hideMark/>
          </w:tcPr>
          <w:p w14:paraId="750BF326" w14:textId="77777777" w:rsidR="00B35412" w:rsidRPr="007C79D9" w:rsidRDefault="00B35412" w:rsidP="00127939">
            <w:pPr>
              <w:spacing w:after="0" w:line="240" w:lineRule="auto"/>
              <w:rPr>
                <w:rFonts w:ascii="Times New Roman" w:eastAsia="Times New Roman" w:hAnsi="Times New Roman" w:cs="Times New Roman"/>
                <w:sz w:val="20"/>
                <w:szCs w:val="20"/>
                <w:lang w:eastAsia="es-GT"/>
              </w:rPr>
            </w:pPr>
          </w:p>
        </w:tc>
      </w:tr>
      <w:tr w:rsidR="00B35412" w:rsidRPr="007C79D9" w14:paraId="5031876F" w14:textId="77777777" w:rsidTr="00127939">
        <w:trPr>
          <w:trHeight w:val="254"/>
          <w:jc w:val="center"/>
        </w:trPr>
        <w:tc>
          <w:tcPr>
            <w:tcW w:w="3663" w:type="dxa"/>
            <w:tcBorders>
              <w:top w:val="nil"/>
              <w:left w:val="single" w:sz="8" w:space="0" w:color="auto"/>
              <w:bottom w:val="nil"/>
              <w:right w:val="nil"/>
            </w:tcBorders>
            <w:shd w:val="clear" w:color="000000" w:fill="FFFFFF"/>
            <w:noWrap/>
            <w:vAlign w:val="center"/>
            <w:hideMark/>
          </w:tcPr>
          <w:p w14:paraId="3E20870F" w14:textId="77777777" w:rsidR="00B35412" w:rsidRPr="007C79D9" w:rsidRDefault="00B35412" w:rsidP="00127939">
            <w:pPr>
              <w:spacing w:after="0" w:line="240" w:lineRule="auto"/>
              <w:ind w:firstLineChars="300" w:firstLine="480"/>
              <w:rPr>
                <w:rFonts w:ascii="Times New Roman" w:eastAsia="Times New Roman" w:hAnsi="Times New Roman" w:cs="Times New Roman"/>
                <w:color w:val="000000"/>
                <w:sz w:val="16"/>
                <w:szCs w:val="16"/>
                <w:lang w:eastAsia="es-GT"/>
              </w:rPr>
            </w:pPr>
            <w:r w:rsidRPr="007C79D9">
              <w:rPr>
                <w:rFonts w:ascii="Times New Roman" w:eastAsia="Times New Roman" w:hAnsi="Times New Roman" w:cs="Times New Roman"/>
                <w:sz w:val="16"/>
                <w:szCs w:val="16"/>
                <w:lang w:eastAsia="es-GT"/>
              </w:rPr>
              <w:t>Intereses de Deuda Pública</w:t>
            </w:r>
          </w:p>
        </w:tc>
        <w:tc>
          <w:tcPr>
            <w:tcW w:w="1023" w:type="dxa"/>
            <w:tcBorders>
              <w:top w:val="nil"/>
              <w:left w:val="single" w:sz="8" w:space="0" w:color="auto"/>
              <w:bottom w:val="nil"/>
              <w:right w:val="single" w:sz="8" w:space="0" w:color="auto"/>
            </w:tcBorders>
            <w:shd w:val="clear" w:color="000000" w:fill="FFFFFF"/>
            <w:noWrap/>
            <w:vAlign w:val="center"/>
            <w:hideMark/>
          </w:tcPr>
          <w:p w14:paraId="00EA1ED3"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1.32%</w:t>
            </w:r>
          </w:p>
        </w:tc>
        <w:tc>
          <w:tcPr>
            <w:tcW w:w="1023" w:type="dxa"/>
            <w:tcBorders>
              <w:top w:val="nil"/>
              <w:left w:val="nil"/>
              <w:bottom w:val="nil"/>
              <w:right w:val="single" w:sz="8" w:space="0" w:color="auto"/>
            </w:tcBorders>
            <w:shd w:val="clear" w:color="000000" w:fill="FFFFFF"/>
            <w:noWrap/>
            <w:vAlign w:val="center"/>
            <w:hideMark/>
          </w:tcPr>
          <w:p w14:paraId="30AD25FF"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1.43%</w:t>
            </w:r>
          </w:p>
        </w:tc>
        <w:tc>
          <w:tcPr>
            <w:tcW w:w="1023" w:type="dxa"/>
            <w:tcBorders>
              <w:top w:val="nil"/>
              <w:left w:val="nil"/>
              <w:bottom w:val="nil"/>
              <w:right w:val="single" w:sz="8" w:space="0" w:color="auto"/>
            </w:tcBorders>
            <w:shd w:val="clear" w:color="000000" w:fill="FFFFFF"/>
            <w:noWrap/>
            <w:vAlign w:val="center"/>
            <w:hideMark/>
          </w:tcPr>
          <w:p w14:paraId="7D977AF4"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1.53%</w:t>
            </w:r>
          </w:p>
        </w:tc>
        <w:tc>
          <w:tcPr>
            <w:tcW w:w="146" w:type="dxa"/>
            <w:vAlign w:val="center"/>
            <w:hideMark/>
          </w:tcPr>
          <w:p w14:paraId="3754EDBF" w14:textId="77777777" w:rsidR="00B35412" w:rsidRPr="007C79D9" w:rsidRDefault="00B35412" w:rsidP="00127939">
            <w:pPr>
              <w:spacing w:after="0" w:line="240" w:lineRule="auto"/>
              <w:rPr>
                <w:rFonts w:ascii="Times New Roman" w:eastAsia="Times New Roman" w:hAnsi="Times New Roman" w:cs="Times New Roman"/>
                <w:sz w:val="20"/>
                <w:szCs w:val="20"/>
                <w:lang w:eastAsia="es-GT"/>
              </w:rPr>
            </w:pPr>
          </w:p>
        </w:tc>
      </w:tr>
      <w:tr w:rsidR="00B35412" w:rsidRPr="007C79D9" w14:paraId="3BEF59AB" w14:textId="77777777" w:rsidTr="00127939">
        <w:trPr>
          <w:trHeight w:val="254"/>
          <w:jc w:val="center"/>
        </w:trPr>
        <w:tc>
          <w:tcPr>
            <w:tcW w:w="3663" w:type="dxa"/>
            <w:tcBorders>
              <w:top w:val="nil"/>
              <w:left w:val="single" w:sz="8" w:space="0" w:color="auto"/>
              <w:bottom w:val="nil"/>
              <w:right w:val="nil"/>
            </w:tcBorders>
            <w:shd w:val="clear" w:color="000000" w:fill="FFFFFF"/>
            <w:noWrap/>
            <w:vAlign w:val="center"/>
            <w:hideMark/>
          </w:tcPr>
          <w:p w14:paraId="17259F5E" w14:textId="77777777" w:rsidR="00B35412" w:rsidRPr="007C79D9" w:rsidRDefault="00B35412" w:rsidP="00127939">
            <w:pPr>
              <w:spacing w:after="0" w:line="240" w:lineRule="auto"/>
              <w:ind w:firstLineChars="300" w:firstLine="480"/>
              <w:rPr>
                <w:rFonts w:ascii="Times New Roman" w:eastAsia="Times New Roman" w:hAnsi="Times New Roman" w:cs="Times New Roman"/>
                <w:color w:val="000000"/>
                <w:sz w:val="16"/>
                <w:szCs w:val="16"/>
                <w:lang w:eastAsia="es-GT"/>
              </w:rPr>
            </w:pPr>
            <w:r w:rsidRPr="007C79D9">
              <w:rPr>
                <w:rFonts w:ascii="Times New Roman" w:eastAsia="Times New Roman" w:hAnsi="Times New Roman" w:cs="Times New Roman"/>
                <w:sz w:val="16"/>
                <w:szCs w:val="16"/>
                <w:lang w:eastAsia="es-GT"/>
              </w:rPr>
              <w:t>Otros Gasto Corrientes</w:t>
            </w:r>
          </w:p>
        </w:tc>
        <w:tc>
          <w:tcPr>
            <w:tcW w:w="1023" w:type="dxa"/>
            <w:tcBorders>
              <w:top w:val="nil"/>
              <w:left w:val="single" w:sz="8" w:space="0" w:color="auto"/>
              <w:bottom w:val="nil"/>
              <w:right w:val="single" w:sz="8" w:space="0" w:color="auto"/>
            </w:tcBorders>
            <w:shd w:val="clear" w:color="000000" w:fill="FFFFFF"/>
            <w:noWrap/>
            <w:vAlign w:val="center"/>
            <w:hideMark/>
          </w:tcPr>
          <w:p w14:paraId="195F9E29"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0.70%</w:t>
            </w:r>
          </w:p>
        </w:tc>
        <w:tc>
          <w:tcPr>
            <w:tcW w:w="1023" w:type="dxa"/>
            <w:tcBorders>
              <w:top w:val="nil"/>
              <w:left w:val="nil"/>
              <w:bottom w:val="nil"/>
              <w:right w:val="single" w:sz="8" w:space="0" w:color="auto"/>
            </w:tcBorders>
            <w:shd w:val="clear" w:color="000000" w:fill="FFFFFF"/>
            <w:noWrap/>
            <w:vAlign w:val="center"/>
            <w:hideMark/>
          </w:tcPr>
          <w:p w14:paraId="0443498A"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0.72%</w:t>
            </w:r>
          </w:p>
        </w:tc>
        <w:tc>
          <w:tcPr>
            <w:tcW w:w="1023" w:type="dxa"/>
            <w:tcBorders>
              <w:top w:val="nil"/>
              <w:left w:val="nil"/>
              <w:bottom w:val="nil"/>
              <w:right w:val="single" w:sz="8" w:space="0" w:color="auto"/>
            </w:tcBorders>
            <w:shd w:val="clear" w:color="000000" w:fill="FFFFFF"/>
            <w:noWrap/>
            <w:vAlign w:val="center"/>
            <w:hideMark/>
          </w:tcPr>
          <w:p w14:paraId="2468E0EA"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2.08%</w:t>
            </w:r>
          </w:p>
        </w:tc>
        <w:tc>
          <w:tcPr>
            <w:tcW w:w="146" w:type="dxa"/>
            <w:vAlign w:val="center"/>
            <w:hideMark/>
          </w:tcPr>
          <w:p w14:paraId="66894A2C" w14:textId="77777777" w:rsidR="00B35412" w:rsidRPr="007C79D9" w:rsidRDefault="00B35412" w:rsidP="00127939">
            <w:pPr>
              <w:spacing w:after="0" w:line="240" w:lineRule="auto"/>
              <w:rPr>
                <w:rFonts w:ascii="Times New Roman" w:eastAsia="Times New Roman" w:hAnsi="Times New Roman" w:cs="Times New Roman"/>
                <w:sz w:val="20"/>
                <w:szCs w:val="20"/>
                <w:lang w:eastAsia="es-GT"/>
              </w:rPr>
            </w:pPr>
          </w:p>
        </w:tc>
      </w:tr>
      <w:tr w:rsidR="00B35412" w:rsidRPr="007C79D9" w14:paraId="2B4213C5" w14:textId="77777777" w:rsidTr="00127939">
        <w:trPr>
          <w:trHeight w:val="254"/>
          <w:jc w:val="center"/>
        </w:trPr>
        <w:tc>
          <w:tcPr>
            <w:tcW w:w="3663" w:type="dxa"/>
            <w:tcBorders>
              <w:top w:val="nil"/>
              <w:left w:val="single" w:sz="8" w:space="0" w:color="auto"/>
              <w:bottom w:val="nil"/>
              <w:right w:val="nil"/>
            </w:tcBorders>
            <w:shd w:val="clear" w:color="000000" w:fill="FFFFFF"/>
            <w:noWrap/>
            <w:vAlign w:val="center"/>
            <w:hideMark/>
          </w:tcPr>
          <w:p w14:paraId="684FCD3C" w14:textId="77777777" w:rsidR="00B35412" w:rsidRPr="007C79D9" w:rsidRDefault="00B35412" w:rsidP="00127939">
            <w:pPr>
              <w:spacing w:after="0" w:line="240" w:lineRule="auto"/>
              <w:ind w:firstLineChars="100" w:firstLine="160"/>
              <w:rPr>
                <w:rFonts w:ascii="Times New Roman" w:eastAsia="Times New Roman" w:hAnsi="Times New Roman" w:cs="Times New Roman"/>
                <w:color w:val="000000"/>
                <w:sz w:val="16"/>
                <w:szCs w:val="16"/>
                <w:lang w:eastAsia="es-GT"/>
              </w:rPr>
            </w:pPr>
            <w:r w:rsidRPr="007C79D9">
              <w:rPr>
                <w:rFonts w:ascii="Times New Roman" w:eastAsia="Times New Roman" w:hAnsi="Times New Roman" w:cs="Times New Roman"/>
                <w:sz w:val="16"/>
                <w:szCs w:val="16"/>
                <w:lang w:eastAsia="es-GT"/>
              </w:rPr>
              <w:t>Gastos de Capital</w:t>
            </w:r>
          </w:p>
        </w:tc>
        <w:tc>
          <w:tcPr>
            <w:tcW w:w="1023" w:type="dxa"/>
            <w:tcBorders>
              <w:top w:val="nil"/>
              <w:left w:val="single" w:sz="8" w:space="0" w:color="auto"/>
              <w:bottom w:val="nil"/>
              <w:right w:val="single" w:sz="8" w:space="0" w:color="auto"/>
            </w:tcBorders>
            <w:shd w:val="clear" w:color="000000" w:fill="FFFFFF"/>
            <w:noWrap/>
            <w:vAlign w:val="center"/>
            <w:hideMark/>
          </w:tcPr>
          <w:p w14:paraId="58816803"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2.41%</w:t>
            </w:r>
          </w:p>
        </w:tc>
        <w:tc>
          <w:tcPr>
            <w:tcW w:w="1023" w:type="dxa"/>
            <w:tcBorders>
              <w:top w:val="nil"/>
              <w:left w:val="nil"/>
              <w:bottom w:val="nil"/>
              <w:right w:val="single" w:sz="8" w:space="0" w:color="auto"/>
            </w:tcBorders>
            <w:shd w:val="clear" w:color="000000" w:fill="FFFFFF"/>
            <w:noWrap/>
            <w:vAlign w:val="center"/>
            <w:hideMark/>
          </w:tcPr>
          <w:p w14:paraId="77802689"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2.68%</w:t>
            </w:r>
          </w:p>
        </w:tc>
        <w:tc>
          <w:tcPr>
            <w:tcW w:w="1023" w:type="dxa"/>
            <w:tcBorders>
              <w:top w:val="nil"/>
              <w:left w:val="nil"/>
              <w:bottom w:val="nil"/>
              <w:right w:val="single" w:sz="8" w:space="0" w:color="auto"/>
            </w:tcBorders>
            <w:shd w:val="clear" w:color="000000" w:fill="FFFFFF"/>
            <w:noWrap/>
            <w:vAlign w:val="center"/>
            <w:hideMark/>
          </w:tcPr>
          <w:p w14:paraId="0A5341BF"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2.23%</w:t>
            </w:r>
          </w:p>
        </w:tc>
        <w:tc>
          <w:tcPr>
            <w:tcW w:w="146" w:type="dxa"/>
            <w:vAlign w:val="center"/>
            <w:hideMark/>
          </w:tcPr>
          <w:p w14:paraId="370DE61F" w14:textId="77777777" w:rsidR="00B35412" w:rsidRPr="007C79D9" w:rsidRDefault="00B35412" w:rsidP="00127939">
            <w:pPr>
              <w:spacing w:after="0" w:line="240" w:lineRule="auto"/>
              <w:rPr>
                <w:rFonts w:ascii="Times New Roman" w:eastAsia="Times New Roman" w:hAnsi="Times New Roman" w:cs="Times New Roman"/>
                <w:sz w:val="20"/>
                <w:szCs w:val="20"/>
                <w:lang w:eastAsia="es-GT"/>
              </w:rPr>
            </w:pPr>
          </w:p>
        </w:tc>
      </w:tr>
      <w:tr w:rsidR="00B35412" w:rsidRPr="007C79D9" w14:paraId="60A43D9B" w14:textId="77777777" w:rsidTr="00127939">
        <w:trPr>
          <w:trHeight w:val="263"/>
          <w:jc w:val="center"/>
        </w:trPr>
        <w:tc>
          <w:tcPr>
            <w:tcW w:w="3663" w:type="dxa"/>
            <w:tcBorders>
              <w:top w:val="nil"/>
              <w:left w:val="single" w:sz="8" w:space="0" w:color="auto"/>
              <w:bottom w:val="nil"/>
              <w:right w:val="nil"/>
            </w:tcBorders>
            <w:shd w:val="clear" w:color="000000" w:fill="FFFFFF"/>
            <w:noWrap/>
            <w:vAlign w:val="center"/>
            <w:hideMark/>
          </w:tcPr>
          <w:p w14:paraId="20FD449C" w14:textId="77777777" w:rsidR="00B35412" w:rsidRPr="007C79D9" w:rsidRDefault="00B35412" w:rsidP="00127939">
            <w:pPr>
              <w:spacing w:after="0" w:line="240" w:lineRule="auto"/>
              <w:rPr>
                <w:rFonts w:ascii="Times New Roman" w:eastAsia="Times New Roman" w:hAnsi="Times New Roman" w:cs="Times New Roman"/>
                <w:b/>
                <w:bCs/>
                <w:color w:val="000000"/>
                <w:sz w:val="16"/>
                <w:szCs w:val="16"/>
                <w:lang w:eastAsia="es-GT"/>
              </w:rPr>
            </w:pPr>
            <w:r w:rsidRPr="007C79D9">
              <w:rPr>
                <w:rFonts w:ascii="Times New Roman" w:eastAsia="Times New Roman" w:hAnsi="Times New Roman" w:cs="Times New Roman"/>
                <w:b/>
                <w:bCs/>
                <w:sz w:val="16"/>
                <w:szCs w:val="16"/>
                <w:lang w:eastAsia="es-GT"/>
              </w:rPr>
              <w:t>Balance Presupuestal</w:t>
            </w:r>
          </w:p>
        </w:tc>
        <w:tc>
          <w:tcPr>
            <w:tcW w:w="1023" w:type="dxa"/>
            <w:tcBorders>
              <w:top w:val="nil"/>
              <w:left w:val="single" w:sz="8" w:space="0" w:color="auto"/>
              <w:bottom w:val="nil"/>
              <w:right w:val="single" w:sz="8" w:space="0" w:color="auto"/>
            </w:tcBorders>
            <w:shd w:val="clear" w:color="000000" w:fill="FFFFFF"/>
            <w:noWrap/>
            <w:vAlign w:val="center"/>
            <w:hideMark/>
          </w:tcPr>
          <w:p w14:paraId="2F3DD88F" w14:textId="77777777" w:rsidR="00B35412" w:rsidRPr="007C79D9" w:rsidRDefault="00B35412" w:rsidP="00127939">
            <w:pPr>
              <w:spacing w:after="0" w:line="240" w:lineRule="auto"/>
              <w:jc w:val="center"/>
              <w:rPr>
                <w:rFonts w:ascii="Times New Roman" w:eastAsia="Times New Roman" w:hAnsi="Times New Roman" w:cs="Times New Roman"/>
                <w:b/>
                <w:bCs/>
                <w:color w:val="000000"/>
                <w:sz w:val="16"/>
                <w:szCs w:val="16"/>
                <w:lang w:eastAsia="es-GT"/>
              </w:rPr>
            </w:pPr>
            <w:r>
              <w:rPr>
                <w:b/>
                <w:bCs/>
                <w:sz w:val="16"/>
                <w:szCs w:val="16"/>
              </w:rPr>
              <w:t>-0.95%</w:t>
            </w:r>
          </w:p>
        </w:tc>
        <w:tc>
          <w:tcPr>
            <w:tcW w:w="1023" w:type="dxa"/>
            <w:tcBorders>
              <w:top w:val="nil"/>
              <w:left w:val="nil"/>
              <w:bottom w:val="nil"/>
              <w:right w:val="single" w:sz="8" w:space="0" w:color="auto"/>
            </w:tcBorders>
            <w:shd w:val="clear" w:color="000000" w:fill="FFFFFF"/>
            <w:noWrap/>
            <w:vAlign w:val="center"/>
            <w:hideMark/>
          </w:tcPr>
          <w:p w14:paraId="72A9AF27" w14:textId="77777777" w:rsidR="00B35412" w:rsidRPr="007C79D9" w:rsidRDefault="00B35412" w:rsidP="00127939">
            <w:pPr>
              <w:spacing w:after="0" w:line="240" w:lineRule="auto"/>
              <w:jc w:val="center"/>
              <w:rPr>
                <w:rFonts w:ascii="Times New Roman" w:eastAsia="Times New Roman" w:hAnsi="Times New Roman" w:cs="Times New Roman"/>
                <w:b/>
                <w:bCs/>
                <w:color w:val="000000"/>
                <w:sz w:val="16"/>
                <w:szCs w:val="16"/>
                <w:lang w:eastAsia="es-GT"/>
              </w:rPr>
            </w:pPr>
            <w:r>
              <w:rPr>
                <w:b/>
                <w:bCs/>
                <w:sz w:val="16"/>
                <w:szCs w:val="16"/>
              </w:rPr>
              <w:t>-1.77%</w:t>
            </w:r>
          </w:p>
        </w:tc>
        <w:tc>
          <w:tcPr>
            <w:tcW w:w="1023" w:type="dxa"/>
            <w:tcBorders>
              <w:top w:val="nil"/>
              <w:left w:val="nil"/>
              <w:bottom w:val="nil"/>
              <w:right w:val="single" w:sz="8" w:space="0" w:color="auto"/>
            </w:tcBorders>
            <w:shd w:val="clear" w:color="000000" w:fill="FFFFFF"/>
            <w:noWrap/>
            <w:vAlign w:val="center"/>
            <w:hideMark/>
          </w:tcPr>
          <w:p w14:paraId="72B156C3" w14:textId="77777777" w:rsidR="00B35412" w:rsidRPr="007C79D9" w:rsidRDefault="00B35412" w:rsidP="00127939">
            <w:pPr>
              <w:spacing w:after="0" w:line="240" w:lineRule="auto"/>
              <w:jc w:val="center"/>
              <w:rPr>
                <w:rFonts w:ascii="Times New Roman" w:eastAsia="Times New Roman" w:hAnsi="Times New Roman" w:cs="Times New Roman"/>
                <w:b/>
                <w:bCs/>
                <w:color w:val="000000"/>
                <w:sz w:val="16"/>
                <w:szCs w:val="16"/>
                <w:lang w:eastAsia="es-GT"/>
              </w:rPr>
            </w:pPr>
            <w:r>
              <w:rPr>
                <w:b/>
                <w:bCs/>
                <w:sz w:val="16"/>
                <w:szCs w:val="16"/>
              </w:rPr>
              <w:t>-3.76%</w:t>
            </w:r>
          </w:p>
        </w:tc>
        <w:tc>
          <w:tcPr>
            <w:tcW w:w="146" w:type="dxa"/>
            <w:vAlign w:val="center"/>
            <w:hideMark/>
          </w:tcPr>
          <w:p w14:paraId="185A70C0" w14:textId="77777777" w:rsidR="00B35412" w:rsidRPr="007C79D9" w:rsidRDefault="00B35412" w:rsidP="00127939">
            <w:pPr>
              <w:spacing w:after="0" w:line="240" w:lineRule="auto"/>
              <w:rPr>
                <w:rFonts w:ascii="Times New Roman" w:eastAsia="Times New Roman" w:hAnsi="Times New Roman" w:cs="Times New Roman"/>
                <w:sz w:val="20"/>
                <w:szCs w:val="20"/>
                <w:lang w:eastAsia="es-GT"/>
              </w:rPr>
            </w:pPr>
          </w:p>
        </w:tc>
      </w:tr>
      <w:tr w:rsidR="00B35412" w:rsidRPr="007C79D9" w14:paraId="668858EC" w14:textId="77777777" w:rsidTr="00127939">
        <w:trPr>
          <w:trHeight w:val="254"/>
          <w:jc w:val="center"/>
        </w:trPr>
        <w:tc>
          <w:tcPr>
            <w:tcW w:w="3663" w:type="dxa"/>
            <w:tcBorders>
              <w:top w:val="single" w:sz="8" w:space="0" w:color="auto"/>
              <w:left w:val="single" w:sz="8" w:space="0" w:color="auto"/>
              <w:bottom w:val="nil"/>
              <w:right w:val="nil"/>
            </w:tcBorders>
            <w:shd w:val="clear" w:color="000000" w:fill="FFFFFF"/>
            <w:noWrap/>
            <w:vAlign w:val="center"/>
            <w:hideMark/>
          </w:tcPr>
          <w:p w14:paraId="17DC4491" w14:textId="77777777" w:rsidR="00B35412" w:rsidRPr="007C79D9" w:rsidRDefault="00B35412" w:rsidP="00B45C33">
            <w:pPr>
              <w:spacing w:after="0" w:line="240" w:lineRule="auto"/>
              <w:ind w:firstLineChars="100" w:firstLine="161"/>
              <w:rPr>
                <w:rFonts w:ascii="Times New Roman" w:eastAsia="Times New Roman" w:hAnsi="Times New Roman" w:cs="Times New Roman"/>
                <w:b/>
                <w:bCs/>
                <w:color w:val="000000"/>
                <w:sz w:val="16"/>
                <w:szCs w:val="16"/>
                <w:lang w:eastAsia="es-GT"/>
              </w:rPr>
            </w:pPr>
            <w:r w:rsidRPr="007C79D9">
              <w:rPr>
                <w:rFonts w:ascii="Times New Roman" w:eastAsia="Times New Roman" w:hAnsi="Times New Roman" w:cs="Times New Roman"/>
                <w:b/>
                <w:bCs/>
                <w:sz w:val="16"/>
                <w:szCs w:val="16"/>
                <w:lang w:eastAsia="es-GT"/>
              </w:rPr>
              <w:t>Financiamiento Externo Neto</w:t>
            </w:r>
          </w:p>
        </w:tc>
        <w:tc>
          <w:tcPr>
            <w:tcW w:w="1023" w:type="dxa"/>
            <w:tcBorders>
              <w:top w:val="single" w:sz="8" w:space="0" w:color="auto"/>
              <w:left w:val="single" w:sz="8" w:space="0" w:color="auto"/>
              <w:bottom w:val="nil"/>
              <w:right w:val="single" w:sz="8" w:space="0" w:color="auto"/>
            </w:tcBorders>
            <w:shd w:val="clear" w:color="000000" w:fill="FFFFFF"/>
            <w:noWrap/>
            <w:vAlign w:val="center"/>
            <w:hideMark/>
          </w:tcPr>
          <w:p w14:paraId="783F3FAC" w14:textId="77777777" w:rsidR="00B35412" w:rsidRPr="007C79D9" w:rsidRDefault="00B35412" w:rsidP="00127939">
            <w:pPr>
              <w:spacing w:after="0" w:line="240" w:lineRule="auto"/>
              <w:jc w:val="center"/>
              <w:rPr>
                <w:rFonts w:ascii="Times New Roman" w:eastAsia="Times New Roman" w:hAnsi="Times New Roman" w:cs="Times New Roman"/>
                <w:b/>
                <w:bCs/>
                <w:color w:val="000000"/>
                <w:sz w:val="16"/>
                <w:szCs w:val="16"/>
                <w:lang w:eastAsia="es-GT"/>
              </w:rPr>
            </w:pPr>
            <w:r>
              <w:rPr>
                <w:b/>
                <w:bCs/>
                <w:sz w:val="16"/>
                <w:szCs w:val="16"/>
              </w:rPr>
              <w:t>0.08%</w:t>
            </w:r>
          </w:p>
        </w:tc>
        <w:tc>
          <w:tcPr>
            <w:tcW w:w="1023" w:type="dxa"/>
            <w:tcBorders>
              <w:top w:val="single" w:sz="8" w:space="0" w:color="auto"/>
              <w:left w:val="nil"/>
              <w:bottom w:val="nil"/>
              <w:right w:val="single" w:sz="8" w:space="0" w:color="auto"/>
            </w:tcBorders>
            <w:shd w:val="clear" w:color="000000" w:fill="FFFFFF"/>
            <w:noWrap/>
            <w:vAlign w:val="center"/>
            <w:hideMark/>
          </w:tcPr>
          <w:p w14:paraId="2D7A90E3" w14:textId="77777777" w:rsidR="00B35412" w:rsidRPr="007C79D9" w:rsidRDefault="00B35412" w:rsidP="00127939">
            <w:pPr>
              <w:spacing w:after="0" w:line="240" w:lineRule="auto"/>
              <w:jc w:val="center"/>
              <w:rPr>
                <w:rFonts w:ascii="Times New Roman" w:eastAsia="Times New Roman" w:hAnsi="Times New Roman" w:cs="Times New Roman"/>
                <w:b/>
                <w:bCs/>
                <w:color w:val="000000"/>
                <w:sz w:val="16"/>
                <w:szCs w:val="16"/>
                <w:lang w:eastAsia="es-GT"/>
              </w:rPr>
            </w:pPr>
            <w:r>
              <w:rPr>
                <w:b/>
                <w:bCs/>
                <w:sz w:val="16"/>
                <w:szCs w:val="16"/>
              </w:rPr>
              <w:t>0.81%</w:t>
            </w:r>
          </w:p>
        </w:tc>
        <w:tc>
          <w:tcPr>
            <w:tcW w:w="1023" w:type="dxa"/>
            <w:tcBorders>
              <w:top w:val="single" w:sz="8" w:space="0" w:color="auto"/>
              <w:left w:val="nil"/>
              <w:bottom w:val="nil"/>
              <w:right w:val="single" w:sz="8" w:space="0" w:color="auto"/>
            </w:tcBorders>
            <w:shd w:val="clear" w:color="000000" w:fill="FFFFFF"/>
            <w:noWrap/>
            <w:vAlign w:val="center"/>
            <w:hideMark/>
          </w:tcPr>
          <w:p w14:paraId="5215216A" w14:textId="77777777" w:rsidR="00B35412" w:rsidRPr="007C79D9" w:rsidRDefault="00B35412" w:rsidP="00127939">
            <w:pPr>
              <w:spacing w:after="0" w:line="240" w:lineRule="auto"/>
              <w:jc w:val="center"/>
              <w:rPr>
                <w:rFonts w:ascii="Times New Roman" w:eastAsia="Times New Roman" w:hAnsi="Times New Roman" w:cs="Times New Roman"/>
                <w:b/>
                <w:bCs/>
                <w:color w:val="000000"/>
                <w:sz w:val="16"/>
                <w:szCs w:val="16"/>
                <w:lang w:eastAsia="es-GT"/>
              </w:rPr>
            </w:pPr>
            <w:r>
              <w:rPr>
                <w:b/>
                <w:bCs/>
                <w:sz w:val="16"/>
                <w:szCs w:val="16"/>
              </w:rPr>
              <w:t>1.37%</w:t>
            </w:r>
          </w:p>
        </w:tc>
        <w:tc>
          <w:tcPr>
            <w:tcW w:w="146" w:type="dxa"/>
            <w:vAlign w:val="center"/>
            <w:hideMark/>
          </w:tcPr>
          <w:p w14:paraId="0FAFCE41" w14:textId="77777777" w:rsidR="00B35412" w:rsidRPr="007C79D9" w:rsidRDefault="00B35412" w:rsidP="00127939">
            <w:pPr>
              <w:spacing w:after="0" w:line="240" w:lineRule="auto"/>
              <w:rPr>
                <w:rFonts w:ascii="Times New Roman" w:eastAsia="Times New Roman" w:hAnsi="Times New Roman" w:cs="Times New Roman"/>
                <w:sz w:val="20"/>
                <w:szCs w:val="20"/>
                <w:lang w:eastAsia="es-GT"/>
              </w:rPr>
            </w:pPr>
          </w:p>
        </w:tc>
      </w:tr>
      <w:tr w:rsidR="00B35412" w:rsidRPr="007C79D9" w14:paraId="75AF2208" w14:textId="77777777" w:rsidTr="00127939">
        <w:trPr>
          <w:trHeight w:val="254"/>
          <w:jc w:val="center"/>
        </w:trPr>
        <w:tc>
          <w:tcPr>
            <w:tcW w:w="3663" w:type="dxa"/>
            <w:tcBorders>
              <w:top w:val="nil"/>
              <w:left w:val="single" w:sz="8" w:space="0" w:color="auto"/>
              <w:bottom w:val="nil"/>
              <w:right w:val="nil"/>
            </w:tcBorders>
            <w:shd w:val="clear" w:color="000000" w:fill="FFFFFF"/>
            <w:noWrap/>
            <w:vAlign w:val="center"/>
            <w:hideMark/>
          </w:tcPr>
          <w:p w14:paraId="17C83040" w14:textId="77777777" w:rsidR="00B35412" w:rsidRPr="007C79D9" w:rsidRDefault="00B35412" w:rsidP="00127939">
            <w:pPr>
              <w:spacing w:after="0" w:line="240" w:lineRule="auto"/>
              <w:ind w:firstLineChars="200" w:firstLine="320"/>
              <w:rPr>
                <w:rFonts w:ascii="Times New Roman" w:eastAsia="Times New Roman" w:hAnsi="Times New Roman" w:cs="Times New Roman"/>
                <w:color w:val="000000"/>
                <w:sz w:val="16"/>
                <w:szCs w:val="16"/>
                <w:lang w:eastAsia="es-GT"/>
              </w:rPr>
            </w:pPr>
            <w:r w:rsidRPr="007C79D9">
              <w:rPr>
                <w:rFonts w:ascii="Times New Roman" w:eastAsia="Times New Roman" w:hAnsi="Times New Roman" w:cs="Times New Roman"/>
                <w:sz w:val="16"/>
                <w:szCs w:val="16"/>
                <w:lang w:eastAsia="es-GT"/>
              </w:rPr>
              <w:t>Préstamos Netos</w:t>
            </w:r>
          </w:p>
        </w:tc>
        <w:tc>
          <w:tcPr>
            <w:tcW w:w="1023" w:type="dxa"/>
            <w:tcBorders>
              <w:top w:val="nil"/>
              <w:left w:val="single" w:sz="8" w:space="0" w:color="auto"/>
              <w:bottom w:val="nil"/>
              <w:right w:val="single" w:sz="8" w:space="0" w:color="auto"/>
            </w:tcBorders>
            <w:shd w:val="clear" w:color="000000" w:fill="FFFFFF"/>
            <w:noWrap/>
            <w:vAlign w:val="center"/>
            <w:hideMark/>
          </w:tcPr>
          <w:p w14:paraId="75EFCAE8"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0.08%</w:t>
            </w:r>
          </w:p>
        </w:tc>
        <w:tc>
          <w:tcPr>
            <w:tcW w:w="1023" w:type="dxa"/>
            <w:tcBorders>
              <w:top w:val="nil"/>
              <w:left w:val="nil"/>
              <w:bottom w:val="nil"/>
              <w:right w:val="single" w:sz="8" w:space="0" w:color="auto"/>
            </w:tcBorders>
            <w:shd w:val="clear" w:color="000000" w:fill="FFFFFF"/>
            <w:noWrap/>
            <w:vAlign w:val="center"/>
            <w:hideMark/>
          </w:tcPr>
          <w:p w14:paraId="0B482750"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-0.40%</w:t>
            </w:r>
          </w:p>
        </w:tc>
        <w:tc>
          <w:tcPr>
            <w:tcW w:w="1023" w:type="dxa"/>
            <w:tcBorders>
              <w:top w:val="nil"/>
              <w:left w:val="nil"/>
              <w:bottom w:val="nil"/>
              <w:right w:val="single" w:sz="8" w:space="0" w:color="auto"/>
            </w:tcBorders>
            <w:shd w:val="clear" w:color="000000" w:fill="FFFFFF"/>
            <w:noWrap/>
            <w:vAlign w:val="center"/>
            <w:hideMark/>
          </w:tcPr>
          <w:p w14:paraId="6A18D372"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0.17%</w:t>
            </w:r>
          </w:p>
        </w:tc>
        <w:tc>
          <w:tcPr>
            <w:tcW w:w="146" w:type="dxa"/>
            <w:vAlign w:val="center"/>
            <w:hideMark/>
          </w:tcPr>
          <w:p w14:paraId="55749CC5" w14:textId="77777777" w:rsidR="00B35412" w:rsidRPr="007C79D9" w:rsidRDefault="00B35412" w:rsidP="00127939">
            <w:pPr>
              <w:spacing w:after="0" w:line="240" w:lineRule="auto"/>
              <w:rPr>
                <w:rFonts w:ascii="Times New Roman" w:eastAsia="Times New Roman" w:hAnsi="Times New Roman" w:cs="Times New Roman"/>
                <w:sz w:val="20"/>
                <w:szCs w:val="20"/>
                <w:lang w:eastAsia="es-GT"/>
              </w:rPr>
            </w:pPr>
          </w:p>
        </w:tc>
      </w:tr>
      <w:tr w:rsidR="00B35412" w:rsidRPr="007C79D9" w14:paraId="62B2540C" w14:textId="77777777" w:rsidTr="00127939">
        <w:trPr>
          <w:trHeight w:val="254"/>
          <w:jc w:val="center"/>
        </w:trPr>
        <w:tc>
          <w:tcPr>
            <w:tcW w:w="3663" w:type="dxa"/>
            <w:tcBorders>
              <w:top w:val="nil"/>
              <w:left w:val="single" w:sz="8" w:space="0" w:color="auto"/>
              <w:bottom w:val="nil"/>
              <w:right w:val="nil"/>
            </w:tcBorders>
            <w:shd w:val="clear" w:color="000000" w:fill="FFFFFF"/>
            <w:noWrap/>
            <w:vAlign w:val="center"/>
            <w:hideMark/>
          </w:tcPr>
          <w:p w14:paraId="5AB97F65" w14:textId="77777777" w:rsidR="00B35412" w:rsidRPr="007C79D9" w:rsidRDefault="00B35412" w:rsidP="00127939">
            <w:pPr>
              <w:spacing w:after="0" w:line="240" w:lineRule="auto"/>
              <w:ind w:firstLineChars="200" w:firstLine="320"/>
              <w:rPr>
                <w:rFonts w:ascii="Times New Roman" w:eastAsia="Times New Roman" w:hAnsi="Times New Roman" w:cs="Times New Roman"/>
                <w:color w:val="000000"/>
                <w:sz w:val="16"/>
                <w:szCs w:val="16"/>
                <w:lang w:eastAsia="es-GT"/>
              </w:rPr>
            </w:pPr>
            <w:r w:rsidRPr="007C79D9">
              <w:rPr>
                <w:rFonts w:ascii="Times New Roman" w:eastAsia="Times New Roman" w:hAnsi="Times New Roman" w:cs="Times New Roman"/>
                <w:sz w:val="16"/>
                <w:szCs w:val="16"/>
                <w:lang w:eastAsia="es-GT"/>
              </w:rPr>
              <w:t>Negociación Neta de Eurobonos</w:t>
            </w:r>
          </w:p>
        </w:tc>
        <w:tc>
          <w:tcPr>
            <w:tcW w:w="1023" w:type="dxa"/>
            <w:tcBorders>
              <w:top w:val="nil"/>
              <w:left w:val="single" w:sz="8" w:space="0" w:color="auto"/>
              <w:bottom w:val="nil"/>
              <w:right w:val="single" w:sz="8" w:space="0" w:color="auto"/>
            </w:tcBorders>
            <w:shd w:val="clear" w:color="000000" w:fill="FFFFFF"/>
            <w:noWrap/>
            <w:vAlign w:val="center"/>
            <w:hideMark/>
          </w:tcPr>
          <w:p w14:paraId="19593483"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0.00%</w:t>
            </w:r>
          </w:p>
        </w:tc>
        <w:tc>
          <w:tcPr>
            <w:tcW w:w="1023" w:type="dxa"/>
            <w:tcBorders>
              <w:top w:val="nil"/>
              <w:left w:val="nil"/>
              <w:bottom w:val="nil"/>
              <w:right w:val="single" w:sz="8" w:space="0" w:color="auto"/>
            </w:tcBorders>
            <w:shd w:val="clear" w:color="000000" w:fill="FFFFFF"/>
            <w:noWrap/>
            <w:vAlign w:val="center"/>
            <w:hideMark/>
          </w:tcPr>
          <w:p w14:paraId="0E4051DF"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1.21%</w:t>
            </w:r>
          </w:p>
        </w:tc>
        <w:tc>
          <w:tcPr>
            <w:tcW w:w="1023" w:type="dxa"/>
            <w:tcBorders>
              <w:top w:val="nil"/>
              <w:left w:val="nil"/>
              <w:bottom w:val="nil"/>
              <w:right w:val="single" w:sz="8" w:space="0" w:color="auto"/>
            </w:tcBorders>
            <w:shd w:val="clear" w:color="000000" w:fill="FFFFFF"/>
            <w:noWrap/>
            <w:vAlign w:val="center"/>
            <w:hideMark/>
          </w:tcPr>
          <w:p w14:paraId="5491880A"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1.19%</w:t>
            </w:r>
          </w:p>
        </w:tc>
        <w:tc>
          <w:tcPr>
            <w:tcW w:w="146" w:type="dxa"/>
            <w:vAlign w:val="center"/>
            <w:hideMark/>
          </w:tcPr>
          <w:p w14:paraId="6E1CD207" w14:textId="77777777" w:rsidR="00B35412" w:rsidRPr="007C79D9" w:rsidRDefault="00B35412" w:rsidP="00127939">
            <w:pPr>
              <w:spacing w:after="0" w:line="240" w:lineRule="auto"/>
              <w:rPr>
                <w:rFonts w:ascii="Times New Roman" w:eastAsia="Times New Roman" w:hAnsi="Times New Roman" w:cs="Times New Roman"/>
                <w:sz w:val="20"/>
                <w:szCs w:val="20"/>
                <w:lang w:eastAsia="es-GT"/>
              </w:rPr>
            </w:pPr>
          </w:p>
        </w:tc>
      </w:tr>
      <w:tr w:rsidR="00B35412" w:rsidRPr="007C79D9" w14:paraId="694E0F8A" w14:textId="77777777" w:rsidTr="00127939">
        <w:trPr>
          <w:trHeight w:val="254"/>
          <w:jc w:val="center"/>
        </w:trPr>
        <w:tc>
          <w:tcPr>
            <w:tcW w:w="3663" w:type="dxa"/>
            <w:tcBorders>
              <w:top w:val="nil"/>
              <w:left w:val="single" w:sz="8" w:space="0" w:color="auto"/>
              <w:bottom w:val="nil"/>
              <w:right w:val="nil"/>
            </w:tcBorders>
            <w:shd w:val="clear" w:color="000000" w:fill="FFFFFF"/>
            <w:noWrap/>
            <w:vAlign w:val="center"/>
            <w:hideMark/>
          </w:tcPr>
          <w:p w14:paraId="6E4F33C9" w14:textId="77777777" w:rsidR="00B35412" w:rsidRPr="007C79D9" w:rsidRDefault="00B35412" w:rsidP="00B45C33">
            <w:pPr>
              <w:spacing w:after="0" w:line="240" w:lineRule="auto"/>
              <w:ind w:firstLineChars="100" w:firstLine="161"/>
              <w:rPr>
                <w:rFonts w:ascii="Times New Roman" w:eastAsia="Times New Roman" w:hAnsi="Times New Roman" w:cs="Times New Roman"/>
                <w:b/>
                <w:bCs/>
                <w:color w:val="000000"/>
                <w:sz w:val="16"/>
                <w:szCs w:val="16"/>
                <w:lang w:eastAsia="es-GT"/>
              </w:rPr>
            </w:pPr>
            <w:r w:rsidRPr="007C79D9">
              <w:rPr>
                <w:rFonts w:ascii="Times New Roman" w:eastAsia="Times New Roman" w:hAnsi="Times New Roman" w:cs="Times New Roman"/>
                <w:b/>
                <w:bCs/>
                <w:sz w:val="16"/>
                <w:szCs w:val="16"/>
                <w:lang w:eastAsia="es-GT"/>
              </w:rPr>
              <w:t>Financiamiento Interno Neto</w:t>
            </w:r>
          </w:p>
        </w:tc>
        <w:tc>
          <w:tcPr>
            <w:tcW w:w="1023" w:type="dxa"/>
            <w:tcBorders>
              <w:top w:val="nil"/>
              <w:left w:val="single" w:sz="8" w:space="0" w:color="auto"/>
              <w:bottom w:val="nil"/>
              <w:right w:val="single" w:sz="8" w:space="0" w:color="auto"/>
            </w:tcBorders>
            <w:shd w:val="clear" w:color="000000" w:fill="FFFFFF"/>
            <w:noWrap/>
            <w:vAlign w:val="center"/>
            <w:hideMark/>
          </w:tcPr>
          <w:p w14:paraId="6F82A7A5" w14:textId="77777777" w:rsidR="00B35412" w:rsidRPr="007C79D9" w:rsidRDefault="00B35412" w:rsidP="00127939">
            <w:pPr>
              <w:spacing w:after="0" w:line="240" w:lineRule="auto"/>
              <w:jc w:val="center"/>
              <w:rPr>
                <w:rFonts w:ascii="Times New Roman" w:eastAsia="Times New Roman" w:hAnsi="Times New Roman" w:cs="Times New Roman"/>
                <w:b/>
                <w:bCs/>
                <w:color w:val="000000"/>
                <w:sz w:val="16"/>
                <w:szCs w:val="16"/>
                <w:lang w:eastAsia="es-GT"/>
              </w:rPr>
            </w:pPr>
            <w:r>
              <w:rPr>
                <w:b/>
                <w:bCs/>
                <w:sz w:val="16"/>
                <w:szCs w:val="16"/>
              </w:rPr>
              <w:t>1.87%</w:t>
            </w:r>
          </w:p>
        </w:tc>
        <w:tc>
          <w:tcPr>
            <w:tcW w:w="1023" w:type="dxa"/>
            <w:tcBorders>
              <w:top w:val="nil"/>
              <w:left w:val="nil"/>
              <w:bottom w:val="nil"/>
              <w:right w:val="single" w:sz="8" w:space="0" w:color="auto"/>
            </w:tcBorders>
            <w:shd w:val="clear" w:color="000000" w:fill="FFFFFF"/>
            <w:noWrap/>
            <w:vAlign w:val="center"/>
            <w:hideMark/>
          </w:tcPr>
          <w:p w14:paraId="02664813" w14:textId="77777777" w:rsidR="00B35412" w:rsidRPr="007C79D9" w:rsidRDefault="00B35412" w:rsidP="00127939">
            <w:pPr>
              <w:spacing w:after="0" w:line="240" w:lineRule="auto"/>
              <w:jc w:val="center"/>
              <w:rPr>
                <w:rFonts w:ascii="Times New Roman" w:eastAsia="Times New Roman" w:hAnsi="Times New Roman" w:cs="Times New Roman"/>
                <w:b/>
                <w:bCs/>
                <w:color w:val="000000"/>
                <w:sz w:val="16"/>
                <w:szCs w:val="16"/>
                <w:lang w:eastAsia="es-GT"/>
              </w:rPr>
            </w:pPr>
            <w:r>
              <w:rPr>
                <w:b/>
                <w:bCs/>
                <w:sz w:val="16"/>
                <w:szCs w:val="16"/>
              </w:rPr>
              <w:t>1.23%</w:t>
            </w:r>
          </w:p>
        </w:tc>
        <w:tc>
          <w:tcPr>
            <w:tcW w:w="1023" w:type="dxa"/>
            <w:tcBorders>
              <w:top w:val="nil"/>
              <w:left w:val="nil"/>
              <w:bottom w:val="nil"/>
              <w:right w:val="single" w:sz="8" w:space="0" w:color="auto"/>
            </w:tcBorders>
            <w:shd w:val="clear" w:color="000000" w:fill="FFFFFF"/>
            <w:noWrap/>
            <w:vAlign w:val="center"/>
            <w:hideMark/>
          </w:tcPr>
          <w:p w14:paraId="28E7C05E" w14:textId="77777777" w:rsidR="00B35412" w:rsidRPr="007C79D9" w:rsidRDefault="00B35412" w:rsidP="00127939">
            <w:pPr>
              <w:spacing w:after="0" w:line="240" w:lineRule="auto"/>
              <w:jc w:val="center"/>
              <w:rPr>
                <w:rFonts w:ascii="Times New Roman" w:eastAsia="Times New Roman" w:hAnsi="Times New Roman" w:cs="Times New Roman"/>
                <w:b/>
                <w:bCs/>
                <w:color w:val="000000"/>
                <w:sz w:val="16"/>
                <w:szCs w:val="16"/>
                <w:lang w:eastAsia="es-GT"/>
              </w:rPr>
            </w:pPr>
            <w:r>
              <w:rPr>
                <w:b/>
                <w:bCs/>
                <w:sz w:val="16"/>
                <w:szCs w:val="16"/>
              </w:rPr>
              <w:t>4.12%</w:t>
            </w:r>
          </w:p>
        </w:tc>
        <w:tc>
          <w:tcPr>
            <w:tcW w:w="146" w:type="dxa"/>
            <w:vAlign w:val="center"/>
            <w:hideMark/>
          </w:tcPr>
          <w:p w14:paraId="5DCBAA38" w14:textId="77777777" w:rsidR="00B35412" w:rsidRPr="007C79D9" w:rsidRDefault="00B35412" w:rsidP="00127939">
            <w:pPr>
              <w:spacing w:after="0" w:line="240" w:lineRule="auto"/>
              <w:rPr>
                <w:rFonts w:ascii="Times New Roman" w:eastAsia="Times New Roman" w:hAnsi="Times New Roman" w:cs="Times New Roman"/>
                <w:sz w:val="20"/>
                <w:szCs w:val="20"/>
                <w:lang w:eastAsia="es-GT"/>
              </w:rPr>
            </w:pPr>
          </w:p>
        </w:tc>
      </w:tr>
      <w:tr w:rsidR="00B35412" w:rsidRPr="007C79D9" w14:paraId="657F26CB" w14:textId="77777777" w:rsidTr="00127939">
        <w:trPr>
          <w:trHeight w:val="254"/>
          <w:jc w:val="center"/>
        </w:trPr>
        <w:tc>
          <w:tcPr>
            <w:tcW w:w="3663" w:type="dxa"/>
            <w:tcBorders>
              <w:top w:val="nil"/>
              <w:left w:val="single" w:sz="8" w:space="0" w:color="auto"/>
              <w:bottom w:val="nil"/>
              <w:right w:val="nil"/>
            </w:tcBorders>
            <w:shd w:val="clear" w:color="000000" w:fill="FFFFFF"/>
            <w:noWrap/>
            <w:vAlign w:val="center"/>
            <w:hideMark/>
          </w:tcPr>
          <w:p w14:paraId="72B7223B" w14:textId="77777777" w:rsidR="00B35412" w:rsidRPr="007C79D9" w:rsidRDefault="00B35412" w:rsidP="00127939">
            <w:pPr>
              <w:spacing w:after="0" w:line="240" w:lineRule="auto"/>
              <w:ind w:firstLineChars="200" w:firstLine="320"/>
              <w:rPr>
                <w:rFonts w:ascii="Times New Roman" w:eastAsia="Times New Roman" w:hAnsi="Times New Roman" w:cs="Times New Roman"/>
                <w:color w:val="000000"/>
                <w:sz w:val="16"/>
                <w:szCs w:val="16"/>
                <w:lang w:eastAsia="es-GT"/>
              </w:rPr>
            </w:pPr>
            <w:r w:rsidRPr="007C79D9">
              <w:rPr>
                <w:rFonts w:ascii="Times New Roman" w:eastAsia="Times New Roman" w:hAnsi="Times New Roman" w:cs="Times New Roman"/>
                <w:sz w:val="16"/>
                <w:szCs w:val="16"/>
                <w:lang w:eastAsia="es-GT"/>
              </w:rPr>
              <w:t>Negociación Neta de Bonos</w:t>
            </w:r>
          </w:p>
        </w:tc>
        <w:tc>
          <w:tcPr>
            <w:tcW w:w="1023" w:type="dxa"/>
            <w:tcBorders>
              <w:top w:val="nil"/>
              <w:left w:val="single" w:sz="8" w:space="0" w:color="auto"/>
              <w:bottom w:val="nil"/>
              <w:right w:val="single" w:sz="8" w:space="0" w:color="auto"/>
            </w:tcBorders>
            <w:shd w:val="clear" w:color="000000" w:fill="FFFFFF"/>
            <w:noWrap/>
            <w:vAlign w:val="center"/>
            <w:hideMark/>
          </w:tcPr>
          <w:p w14:paraId="76A9305C"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1.76%</w:t>
            </w:r>
          </w:p>
        </w:tc>
        <w:tc>
          <w:tcPr>
            <w:tcW w:w="1023" w:type="dxa"/>
            <w:tcBorders>
              <w:top w:val="nil"/>
              <w:left w:val="nil"/>
              <w:bottom w:val="nil"/>
              <w:right w:val="single" w:sz="8" w:space="0" w:color="auto"/>
            </w:tcBorders>
            <w:shd w:val="clear" w:color="000000" w:fill="FFFFFF"/>
            <w:noWrap/>
            <w:vAlign w:val="center"/>
            <w:hideMark/>
          </w:tcPr>
          <w:p w14:paraId="53B12E3C"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1.17%</w:t>
            </w:r>
          </w:p>
        </w:tc>
        <w:tc>
          <w:tcPr>
            <w:tcW w:w="1023" w:type="dxa"/>
            <w:tcBorders>
              <w:top w:val="nil"/>
              <w:left w:val="nil"/>
              <w:bottom w:val="nil"/>
              <w:right w:val="single" w:sz="8" w:space="0" w:color="auto"/>
            </w:tcBorders>
            <w:shd w:val="clear" w:color="000000" w:fill="FFFFFF"/>
            <w:noWrap/>
            <w:vAlign w:val="center"/>
            <w:hideMark/>
          </w:tcPr>
          <w:p w14:paraId="4F479487"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3.75%</w:t>
            </w:r>
          </w:p>
        </w:tc>
        <w:tc>
          <w:tcPr>
            <w:tcW w:w="146" w:type="dxa"/>
            <w:vAlign w:val="center"/>
            <w:hideMark/>
          </w:tcPr>
          <w:p w14:paraId="0819EBFE" w14:textId="77777777" w:rsidR="00B35412" w:rsidRPr="007C79D9" w:rsidRDefault="00B35412" w:rsidP="00127939">
            <w:pPr>
              <w:spacing w:after="0" w:line="240" w:lineRule="auto"/>
              <w:rPr>
                <w:rFonts w:ascii="Times New Roman" w:eastAsia="Times New Roman" w:hAnsi="Times New Roman" w:cs="Times New Roman"/>
                <w:sz w:val="20"/>
                <w:szCs w:val="20"/>
                <w:lang w:eastAsia="es-GT"/>
              </w:rPr>
            </w:pPr>
          </w:p>
        </w:tc>
      </w:tr>
      <w:tr w:rsidR="00B35412" w:rsidRPr="007C79D9" w14:paraId="659CD534" w14:textId="77777777" w:rsidTr="00127939">
        <w:trPr>
          <w:trHeight w:val="254"/>
          <w:jc w:val="center"/>
        </w:trPr>
        <w:tc>
          <w:tcPr>
            <w:tcW w:w="3663" w:type="dxa"/>
            <w:tcBorders>
              <w:top w:val="nil"/>
              <w:left w:val="single" w:sz="8" w:space="0" w:color="auto"/>
              <w:bottom w:val="nil"/>
              <w:right w:val="nil"/>
            </w:tcBorders>
            <w:shd w:val="clear" w:color="000000" w:fill="FFFFFF"/>
            <w:noWrap/>
            <w:vAlign w:val="center"/>
            <w:hideMark/>
          </w:tcPr>
          <w:p w14:paraId="5A002A70" w14:textId="77777777" w:rsidR="00B35412" w:rsidRPr="007C79D9" w:rsidRDefault="00B35412" w:rsidP="00127939">
            <w:pPr>
              <w:spacing w:after="0" w:line="240" w:lineRule="auto"/>
              <w:ind w:firstLineChars="200" w:firstLine="320"/>
              <w:rPr>
                <w:rFonts w:ascii="Times New Roman" w:eastAsia="Times New Roman" w:hAnsi="Times New Roman" w:cs="Times New Roman"/>
                <w:color w:val="000000"/>
                <w:sz w:val="16"/>
                <w:szCs w:val="16"/>
                <w:lang w:eastAsia="es-GT"/>
              </w:rPr>
            </w:pPr>
            <w:r w:rsidRPr="007C79D9">
              <w:rPr>
                <w:rFonts w:ascii="Times New Roman" w:eastAsia="Times New Roman" w:hAnsi="Times New Roman" w:cs="Times New Roman"/>
                <w:sz w:val="16"/>
                <w:szCs w:val="16"/>
                <w:lang w:eastAsia="es-GT"/>
              </w:rPr>
              <w:t>Prestamos netos con el sector financiero nacional</w:t>
            </w:r>
          </w:p>
        </w:tc>
        <w:tc>
          <w:tcPr>
            <w:tcW w:w="1023" w:type="dxa"/>
            <w:tcBorders>
              <w:top w:val="nil"/>
              <w:left w:val="single" w:sz="8" w:space="0" w:color="auto"/>
              <w:bottom w:val="nil"/>
              <w:right w:val="single" w:sz="8" w:space="0" w:color="auto"/>
            </w:tcBorders>
            <w:shd w:val="clear" w:color="000000" w:fill="FFFFFF"/>
            <w:noWrap/>
            <w:vAlign w:val="center"/>
            <w:hideMark/>
          </w:tcPr>
          <w:p w14:paraId="5368EBB8"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0.01%</w:t>
            </w:r>
          </w:p>
        </w:tc>
        <w:tc>
          <w:tcPr>
            <w:tcW w:w="1023" w:type="dxa"/>
            <w:tcBorders>
              <w:top w:val="nil"/>
              <w:left w:val="nil"/>
              <w:bottom w:val="nil"/>
              <w:right w:val="single" w:sz="8" w:space="0" w:color="auto"/>
            </w:tcBorders>
            <w:shd w:val="clear" w:color="000000" w:fill="FFFFFF"/>
            <w:noWrap/>
            <w:vAlign w:val="center"/>
            <w:hideMark/>
          </w:tcPr>
          <w:p w14:paraId="7B27D44C"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-0.02%</w:t>
            </w:r>
          </w:p>
        </w:tc>
        <w:tc>
          <w:tcPr>
            <w:tcW w:w="1023" w:type="dxa"/>
            <w:tcBorders>
              <w:top w:val="nil"/>
              <w:left w:val="nil"/>
              <w:bottom w:val="nil"/>
              <w:right w:val="single" w:sz="8" w:space="0" w:color="auto"/>
            </w:tcBorders>
            <w:shd w:val="clear" w:color="000000" w:fill="FFFFFF"/>
            <w:noWrap/>
            <w:vAlign w:val="center"/>
            <w:hideMark/>
          </w:tcPr>
          <w:p w14:paraId="42085B60"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0.05%</w:t>
            </w:r>
          </w:p>
        </w:tc>
        <w:tc>
          <w:tcPr>
            <w:tcW w:w="146" w:type="dxa"/>
            <w:vAlign w:val="center"/>
            <w:hideMark/>
          </w:tcPr>
          <w:p w14:paraId="55A63DC7" w14:textId="77777777" w:rsidR="00B35412" w:rsidRPr="007C79D9" w:rsidRDefault="00B35412" w:rsidP="00127939">
            <w:pPr>
              <w:spacing w:after="0" w:line="240" w:lineRule="auto"/>
              <w:rPr>
                <w:rFonts w:ascii="Times New Roman" w:eastAsia="Times New Roman" w:hAnsi="Times New Roman" w:cs="Times New Roman"/>
                <w:sz w:val="20"/>
                <w:szCs w:val="20"/>
                <w:lang w:eastAsia="es-GT"/>
              </w:rPr>
            </w:pPr>
          </w:p>
        </w:tc>
      </w:tr>
      <w:tr w:rsidR="00B35412" w:rsidRPr="007C79D9" w14:paraId="530E38B8" w14:textId="77777777" w:rsidTr="00127939">
        <w:trPr>
          <w:trHeight w:val="254"/>
          <w:jc w:val="center"/>
        </w:trPr>
        <w:tc>
          <w:tcPr>
            <w:tcW w:w="3663" w:type="dxa"/>
            <w:tcBorders>
              <w:top w:val="nil"/>
              <w:left w:val="single" w:sz="8" w:space="0" w:color="auto"/>
              <w:bottom w:val="nil"/>
              <w:right w:val="nil"/>
            </w:tcBorders>
            <w:shd w:val="clear" w:color="000000" w:fill="FFFFFF"/>
            <w:noWrap/>
            <w:vAlign w:val="center"/>
            <w:hideMark/>
          </w:tcPr>
          <w:p w14:paraId="4CAC2AE5" w14:textId="77777777" w:rsidR="00B35412" w:rsidRPr="007C79D9" w:rsidRDefault="00B35412" w:rsidP="00127939">
            <w:pPr>
              <w:spacing w:after="0" w:line="240" w:lineRule="auto"/>
              <w:ind w:firstLineChars="200" w:firstLine="320"/>
              <w:rPr>
                <w:rFonts w:ascii="Times New Roman" w:eastAsia="Times New Roman" w:hAnsi="Times New Roman" w:cs="Times New Roman"/>
                <w:color w:val="000000"/>
                <w:sz w:val="16"/>
                <w:szCs w:val="16"/>
                <w:lang w:eastAsia="es-GT"/>
              </w:rPr>
            </w:pPr>
            <w:r w:rsidRPr="007C79D9">
              <w:rPr>
                <w:rFonts w:ascii="Times New Roman" w:eastAsia="Times New Roman" w:hAnsi="Times New Roman" w:cs="Times New Roman"/>
                <w:sz w:val="16"/>
                <w:szCs w:val="16"/>
                <w:lang w:eastAsia="es-GT"/>
              </w:rPr>
              <w:t>Amortización (costo de la política monetaria)</w:t>
            </w:r>
          </w:p>
        </w:tc>
        <w:tc>
          <w:tcPr>
            <w:tcW w:w="1023" w:type="dxa"/>
            <w:tcBorders>
              <w:top w:val="nil"/>
              <w:left w:val="single" w:sz="8" w:space="0" w:color="auto"/>
              <w:bottom w:val="nil"/>
              <w:right w:val="single" w:sz="8" w:space="0" w:color="auto"/>
            </w:tcBorders>
            <w:shd w:val="clear" w:color="000000" w:fill="FFFFFF"/>
            <w:noWrap/>
            <w:vAlign w:val="center"/>
            <w:hideMark/>
          </w:tcPr>
          <w:p w14:paraId="03F66877"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color w:val="000000"/>
                <w:sz w:val="16"/>
                <w:szCs w:val="16"/>
              </w:rPr>
              <w:t>0.00%</w:t>
            </w:r>
          </w:p>
        </w:tc>
        <w:tc>
          <w:tcPr>
            <w:tcW w:w="1023" w:type="dxa"/>
            <w:tcBorders>
              <w:top w:val="nil"/>
              <w:left w:val="nil"/>
              <w:bottom w:val="nil"/>
              <w:right w:val="single" w:sz="8" w:space="0" w:color="auto"/>
            </w:tcBorders>
            <w:shd w:val="clear" w:color="000000" w:fill="FFFFFF"/>
            <w:noWrap/>
            <w:vAlign w:val="center"/>
            <w:hideMark/>
          </w:tcPr>
          <w:p w14:paraId="1F124578"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color w:val="000000"/>
                <w:sz w:val="16"/>
                <w:szCs w:val="16"/>
              </w:rPr>
              <w:t>0.00%</w:t>
            </w:r>
          </w:p>
        </w:tc>
        <w:tc>
          <w:tcPr>
            <w:tcW w:w="1023" w:type="dxa"/>
            <w:tcBorders>
              <w:top w:val="nil"/>
              <w:left w:val="nil"/>
              <w:bottom w:val="nil"/>
              <w:right w:val="single" w:sz="8" w:space="0" w:color="auto"/>
            </w:tcBorders>
            <w:shd w:val="clear" w:color="000000" w:fill="FFFFFF"/>
            <w:noWrap/>
            <w:vAlign w:val="center"/>
            <w:hideMark/>
          </w:tcPr>
          <w:p w14:paraId="1AFFD4D4"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color w:val="000000"/>
                <w:sz w:val="16"/>
                <w:szCs w:val="16"/>
              </w:rPr>
              <w:t>0.00%</w:t>
            </w:r>
          </w:p>
        </w:tc>
        <w:tc>
          <w:tcPr>
            <w:tcW w:w="146" w:type="dxa"/>
            <w:vAlign w:val="center"/>
            <w:hideMark/>
          </w:tcPr>
          <w:p w14:paraId="63948063" w14:textId="77777777" w:rsidR="00B35412" w:rsidRPr="007C79D9" w:rsidRDefault="00B35412" w:rsidP="00127939">
            <w:pPr>
              <w:spacing w:after="0" w:line="240" w:lineRule="auto"/>
              <w:rPr>
                <w:rFonts w:ascii="Times New Roman" w:eastAsia="Times New Roman" w:hAnsi="Times New Roman" w:cs="Times New Roman"/>
                <w:sz w:val="20"/>
                <w:szCs w:val="20"/>
                <w:lang w:eastAsia="es-GT"/>
              </w:rPr>
            </w:pPr>
          </w:p>
        </w:tc>
      </w:tr>
      <w:tr w:rsidR="00B35412" w:rsidRPr="007C79D9" w14:paraId="71FECFA2" w14:textId="77777777" w:rsidTr="00127939">
        <w:trPr>
          <w:trHeight w:val="254"/>
          <w:jc w:val="center"/>
        </w:trPr>
        <w:tc>
          <w:tcPr>
            <w:tcW w:w="3663" w:type="dxa"/>
            <w:tcBorders>
              <w:top w:val="nil"/>
              <w:left w:val="single" w:sz="8" w:space="0" w:color="auto"/>
              <w:bottom w:val="nil"/>
              <w:right w:val="nil"/>
            </w:tcBorders>
            <w:shd w:val="clear" w:color="auto" w:fill="auto"/>
            <w:noWrap/>
            <w:vAlign w:val="center"/>
            <w:hideMark/>
          </w:tcPr>
          <w:p w14:paraId="63A2D41E" w14:textId="77777777" w:rsidR="00B35412" w:rsidRPr="007C79D9" w:rsidRDefault="00B35412" w:rsidP="00127939">
            <w:pPr>
              <w:spacing w:after="0" w:line="240" w:lineRule="auto"/>
              <w:ind w:firstLineChars="200" w:firstLine="320"/>
              <w:rPr>
                <w:rFonts w:ascii="Times New Roman" w:eastAsia="Times New Roman" w:hAnsi="Times New Roman" w:cs="Times New Roman"/>
                <w:color w:val="000000"/>
                <w:sz w:val="16"/>
                <w:szCs w:val="16"/>
                <w:lang w:eastAsia="es-GT"/>
              </w:rPr>
            </w:pPr>
            <w:r w:rsidRPr="007C79D9">
              <w:rPr>
                <w:rFonts w:ascii="Times New Roman" w:eastAsia="Times New Roman" w:hAnsi="Times New Roman" w:cs="Times New Roman"/>
                <w:color w:val="000000"/>
                <w:sz w:val="16"/>
                <w:szCs w:val="16"/>
                <w:lang w:eastAsia="es-GT"/>
              </w:rPr>
              <w:t>Otros flujos de financiamiento</w:t>
            </w:r>
          </w:p>
        </w:tc>
        <w:tc>
          <w:tcPr>
            <w:tcW w:w="1023" w:type="dxa"/>
            <w:tcBorders>
              <w:top w:val="nil"/>
              <w:left w:val="single" w:sz="8" w:space="0" w:color="auto"/>
              <w:bottom w:val="nil"/>
              <w:right w:val="single" w:sz="8" w:space="0" w:color="auto"/>
            </w:tcBorders>
            <w:shd w:val="clear" w:color="000000" w:fill="FFFFFF"/>
            <w:noWrap/>
            <w:vAlign w:val="center"/>
            <w:hideMark/>
          </w:tcPr>
          <w:p w14:paraId="78B0649A"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0.10%</w:t>
            </w:r>
          </w:p>
        </w:tc>
        <w:tc>
          <w:tcPr>
            <w:tcW w:w="1023" w:type="dxa"/>
            <w:tcBorders>
              <w:top w:val="nil"/>
              <w:left w:val="nil"/>
              <w:bottom w:val="nil"/>
              <w:right w:val="single" w:sz="8" w:space="0" w:color="auto"/>
            </w:tcBorders>
            <w:shd w:val="clear" w:color="000000" w:fill="FFFFFF"/>
            <w:noWrap/>
            <w:vAlign w:val="center"/>
            <w:hideMark/>
          </w:tcPr>
          <w:p w14:paraId="221062C1"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0.08%</w:t>
            </w:r>
          </w:p>
        </w:tc>
        <w:tc>
          <w:tcPr>
            <w:tcW w:w="1023" w:type="dxa"/>
            <w:tcBorders>
              <w:top w:val="nil"/>
              <w:left w:val="nil"/>
              <w:bottom w:val="nil"/>
              <w:right w:val="single" w:sz="8" w:space="0" w:color="auto"/>
            </w:tcBorders>
            <w:shd w:val="clear" w:color="000000" w:fill="FFFFFF"/>
            <w:noWrap/>
            <w:vAlign w:val="center"/>
            <w:hideMark/>
          </w:tcPr>
          <w:p w14:paraId="69A954DC" w14:textId="77777777" w:rsidR="00B35412" w:rsidRPr="007C79D9" w:rsidRDefault="00B35412" w:rsidP="00127939">
            <w:pPr>
              <w:spacing w:after="0" w:line="240" w:lineRule="auto"/>
              <w:jc w:val="center"/>
              <w:rPr>
                <w:rFonts w:ascii="Times New Roman" w:eastAsia="Times New Roman" w:hAnsi="Times New Roman" w:cs="Times New Roman"/>
                <w:color w:val="000000"/>
                <w:sz w:val="16"/>
                <w:szCs w:val="16"/>
                <w:lang w:eastAsia="es-GT"/>
              </w:rPr>
            </w:pPr>
            <w:r>
              <w:rPr>
                <w:sz w:val="16"/>
                <w:szCs w:val="16"/>
              </w:rPr>
              <w:t>0.31%</w:t>
            </w:r>
          </w:p>
        </w:tc>
        <w:tc>
          <w:tcPr>
            <w:tcW w:w="146" w:type="dxa"/>
            <w:vAlign w:val="center"/>
            <w:hideMark/>
          </w:tcPr>
          <w:p w14:paraId="20297874" w14:textId="77777777" w:rsidR="00B35412" w:rsidRPr="007C79D9" w:rsidRDefault="00B35412" w:rsidP="00127939">
            <w:pPr>
              <w:spacing w:after="0" w:line="240" w:lineRule="auto"/>
              <w:rPr>
                <w:rFonts w:ascii="Times New Roman" w:eastAsia="Times New Roman" w:hAnsi="Times New Roman" w:cs="Times New Roman"/>
                <w:sz w:val="20"/>
                <w:szCs w:val="20"/>
                <w:lang w:eastAsia="es-GT"/>
              </w:rPr>
            </w:pPr>
          </w:p>
        </w:tc>
      </w:tr>
      <w:tr w:rsidR="00B35412" w:rsidRPr="007C79D9" w14:paraId="1CA522CD" w14:textId="77777777" w:rsidTr="00127939">
        <w:trPr>
          <w:trHeight w:val="263"/>
          <w:jc w:val="center"/>
        </w:trPr>
        <w:tc>
          <w:tcPr>
            <w:tcW w:w="3663" w:type="dxa"/>
            <w:tcBorders>
              <w:top w:val="nil"/>
              <w:left w:val="single" w:sz="8" w:space="0" w:color="auto"/>
              <w:bottom w:val="single" w:sz="8" w:space="0" w:color="auto"/>
              <w:right w:val="nil"/>
            </w:tcBorders>
            <w:shd w:val="clear" w:color="000000" w:fill="FFFFFF"/>
            <w:noWrap/>
            <w:vAlign w:val="center"/>
            <w:hideMark/>
          </w:tcPr>
          <w:p w14:paraId="57705D5B" w14:textId="77777777" w:rsidR="00B35412" w:rsidRPr="007C79D9" w:rsidRDefault="00B35412" w:rsidP="00B45C33">
            <w:pPr>
              <w:spacing w:after="0" w:line="240" w:lineRule="auto"/>
              <w:ind w:firstLineChars="100" w:firstLine="161"/>
              <w:rPr>
                <w:rFonts w:ascii="Times New Roman" w:eastAsia="Times New Roman" w:hAnsi="Times New Roman" w:cs="Times New Roman"/>
                <w:b/>
                <w:bCs/>
                <w:color w:val="000000"/>
                <w:sz w:val="16"/>
                <w:szCs w:val="16"/>
                <w:lang w:eastAsia="es-GT"/>
              </w:rPr>
            </w:pPr>
            <w:r w:rsidRPr="007C79D9">
              <w:rPr>
                <w:rFonts w:ascii="Times New Roman" w:eastAsia="Times New Roman" w:hAnsi="Times New Roman" w:cs="Times New Roman"/>
                <w:b/>
                <w:bCs/>
                <w:sz w:val="16"/>
                <w:szCs w:val="16"/>
                <w:lang w:eastAsia="es-GT"/>
              </w:rPr>
              <w:t>Variación de Caja (+) disminución (-) aumento</w:t>
            </w:r>
          </w:p>
        </w:tc>
        <w:tc>
          <w:tcPr>
            <w:tcW w:w="1023" w:type="dxa"/>
            <w:tcBorders>
              <w:top w:val="nil"/>
              <w:left w:val="single" w:sz="8" w:space="0" w:color="auto"/>
              <w:bottom w:val="single" w:sz="8" w:space="0" w:color="auto"/>
              <w:right w:val="single" w:sz="8" w:space="0" w:color="auto"/>
            </w:tcBorders>
            <w:shd w:val="clear" w:color="000000" w:fill="FFFFFF"/>
            <w:noWrap/>
            <w:vAlign w:val="center"/>
            <w:hideMark/>
          </w:tcPr>
          <w:p w14:paraId="0CBA4E4B" w14:textId="77777777" w:rsidR="00B35412" w:rsidRPr="007C79D9" w:rsidRDefault="00B35412" w:rsidP="00127939">
            <w:pPr>
              <w:spacing w:after="0" w:line="240" w:lineRule="auto"/>
              <w:jc w:val="center"/>
              <w:rPr>
                <w:rFonts w:ascii="Times New Roman" w:eastAsia="Times New Roman" w:hAnsi="Times New Roman" w:cs="Times New Roman"/>
                <w:b/>
                <w:bCs/>
                <w:color w:val="000000"/>
                <w:sz w:val="16"/>
                <w:szCs w:val="16"/>
                <w:lang w:eastAsia="es-GT"/>
              </w:rPr>
            </w:pPr>
            <w:r>
              <w:rPr>
                <w:b/>
                <w:bCs/>
                <w:sz w:val="16"/>
                <w:szCs w:val="16"/>
              </w:rPr>
              <w:t>-0.99%</w:t>
            </w:r>
          </w:p>
        </w:tc>
        <w:tc>
          <w:tcPr>
            <w:tcW w:w="1023" w:type="dxa"/>
            <w:tcBorders>
              <w:top w:val="nil"/>
              <w:left w:val="nil"/>
              <w:bottom w:val="single" w:sz="8" w:space="0" w:color="auto"/>
              <w:right w:val="single" w:sz="8" w:space="0" w:color="auto"/>
            </w:tcBorders>
            <w:shd w:val="clear" w:color="000000" w:fill="FFFFFF"/>
            <w:noWrap/>
            <w:vAlign w:val="center"/>
            <w:hideMark/>
          </w:tcPr>
          <w:p w14:paraId="625A4BBE" w14:textId="77777777" w:rsidR="00B35412" w:rsidRPr="007C79D9" w:rsidRDefault="00B35412" w:rsidP="00127939">
            <w:pPr>
              <w:spacing w:after="0" w:line="240" w:lineRule="auto"/>
              <w:jc w:val="center"/>
              <w:rPr>
                <w:rFonts w:ascii="Times New Roman" w:eastAsia="Times New Roman" w:hAnsi="Times New Roman" w:cs="Times New Roman"/>
                <w:b/>
                <w:bCs/>
                <w:color w:val="000000"/>
                <w:sz w:val="16"/>
                <w:szCs w:val="16"/>
                <w:lang w:eastAsia="es-GT"/>
              </w:rPr>
            </w:pPr>
            <w:r>
              <w:rPr>
                <w:b/>
                <w:bCs/>
                <w:sz w:val="16"/>
                <w:szCs w:val="16"/>
              </w:rPr>
              <w:t>-0.27%</w:t>
            </w:r>
          </w:p>
        </w:tc>
        <w:tc>
          <w:tcPr>
            <w:tcW w:w="1023" w:type="dxa"/>
            <w:tcBorders>
              <w:top w:val="nil"/>
              <w:left w:val="nil"/>
              <w:bottom w:val="single" w:sz="8" w:space="0" w:color="auto"/>
              <w:right w:val="single" w:sz="8" w:space="0" w:color="auto"/>
            </w:tcBorders>
            <w:shd w:val="clear" w:color="000000" w:fill="FFFFFF"/>
            <w:noWrap/>
            <w:vAlign w:val="center"/>
            <w:hideMark/>
          </w:tcPr>
          <w:p w14:paraId="3D189037" w14:textId="77777777" w:rsidR="00B35412" w:rsidRPr="007C79D9" w:rsidRDefault="00B35412" w:rsidP="00127939">
            <w:pPr>
              <w:spacing w:after="0" w:line="240" w:lineRule="auto"/>
              <w:jc w:val="center"/>
              <w:rPr>
                <w:rFonts w:ascii="Times New Roman" w:eastAsia="Times New Roman" w:hAnsi="Times New Roman" w:cs="Times New Roman"/>
                <w:b/>
                <w:bCs/>
                <w:color w:val="000000"/>
                <w:sz w:val="16"/>
                <w:szCs w:val="16"/>
                <w:lang w:eastAsia="es-GT"/>
              </w:rPr>
            </w:pPr>
            <w:r>
              <w:rPr>
                <w:b/>
                <w:bCs/>
                <w:sz w:val="16"/>
                <w:szCs w:val="16"/>
              </w:rPr>
              <w:t>-1.73%</w:t>
            </w:r>
          </w:p>
        </w:tc>
        <w:tc>
          <w:tcPr>
            <w:tcW w:w="146" w:type="dxa"/>
            <w:vAlign w:val="center"/>
            <w:hideMark/>
          </w:tcPr>
          <w:p w14:paraId="72615FCD" w14:textId="77777777" w:rsidR="00B35412" w:rsidRPr="007C79D9" w:rsidRDefault="00B35412" w:rsidP="00127939">
            <w:pPr>
              <w:spacing w:after="0" w:line="240" w:lineRule="auto"/>
              <w:rPr>
                <w:rFonts w:ascii="Times New Roman" w:eastAsia="Times New Roman" w:hAnsi="Times New Roman" w:cs="Times New Roman"/>
                <w:sz w:val="20"/>
                <w:szCs w:val="20"/>
                <w:lang w:eastAsia="es-GT"/>
              </w:rPr>
            </w:pPr>
          </w:p>
        </w:tc>
      </w:tr>
    </w:tbl>
    <w:p w14:paraId="3463ACE1" w14:textId="17EC2962" w:rsidR="00B6733D" w:rsidRPr="00B6733D" w:rsidRDefault="00B35412" w:rsidP="00E4773A">
      <w:pPr>
        <w:pStyle w:val="Sinespaciado"/>
        <w:ind w:left="993"/>
        <w:jc w:val="both"/>
        <w:rPr>
          <w:rFonts w:ascii="Times New Roman" w:hAnsi="Times New Roman" w:cs="Times New Roman"/>
          <w:sz w:val="16"/>
        </w:rPr>
      </w:pPr>
      <w:r w:rsidRPr="00AC2DD2">
        <w:rPr>
          <w:rFonts w:ascii="Times New Roman" w:hAnsi="Times New Roman" w:cs="Times New Roman"/>
          <w:sz w:val="16"/>
        </w:rPr>
        <w:t>Fuente: Direcció</w:t>
      </w:r>
      <w:r w:rsidR="00B6733D">
        <w:rPr>
          <w:rFonts w:ascii="Times New Roman" w:hAnsi="Times New Roman" w:cs="Times New Roman"/>
          <w:sz w:val="16"/>
        </w:rPr>
        <w:t>n de Análisis y Política Fiscal</w:t>
      </w:r>
    </w:p>
    <w:p w14:paraId="6EEBF48C" w14:textId="3F0E3C53" w:rsidR="005F7556" w:rsidRPr="00E63F4C" w:rsidRDefault="005F7556" w:rsidP="001032E7">
      <w:pPr>
        <w:pStyle w:val="Sinespaciado"/>
        <w:numPr>
          <w:ilvl w:val="0"/>
          <w:numId w:val="37"/>
        </w:numPr>
        <w:ind w:left="567"/>
        <w:jc w:val="both"/>
        <w:outlineLvl w:val="1"/>
        <w:rPr>
          <w:rFonts w:ascii="Times New Roman" w:hAnsi="Times New Roman" w:cs="Times New Roman"/>
          <w:b/>
          <w:sz w:val="24"/>
        </w:rPr>
      </w:pPr>
      <w:bookmarkStart w:id="1036" w:name="_Toc16155027"/>
      <w:bookmarkStart w:id="1037" w:name="_Toc49939461"/>
      <w:bookmarkStart w:id="1038" w:name="_Toc81571891"/>
      <w:r w:rsidRPr="00E63F4C">
        <w:rPr>
          <w:rFonts w:ascii="Times New Roman" w:hAnsi="Times New Roman" w:cs="Times New Roman"/>
          <w:b/>
          <w:sz w:val="24"/>
        </w:rPr>
        <w:t>Desempe</w:t>
      </w:r>
      <w:r w:rsidR="004675F2" w:rsidRPr="00E63F4C">
        <w:rPr>
          <w:rFonts w:ascii="Times New Roman" w:hAnsi="Times New Roman" w:cs="Times New Roman"/>
          <w:b/>
          <w:sz w:val="24"/>
        </w:rPr>
        <w:t xml:space="preserve">ño de la </w:t>
      </w:r>
      <w:r w:rsidR="00784A73" w:rsidRPr="00E63F4C">
        <w:rPr>
          <w:rFonts w:ascii="Times New Roman" w:hAnsi="Times New Roman" w:cs="Times New Roman"/>
          <w:b/>
          <w:sz w:val="24"/>
        </w:rPr>
        <w:t>política f</w:t>
      </w:r>
      <w:r w:rsidR="004675F2" w:rsidRPr="00E63F4C">
        <w:rPr>
          <w:rFonts w:ascii="Times New Roman" w:hAnsi="Times New Roman" w:cs="Times New Roman"/>
          <w:b/>
          <w:sz w:val="24"/>
        </w:rPr>
        <w:t xml:space="preserve">iscal a </w:t>
      </w:r>
      <w:r w:rsidR="00416D2B" w:rsidRPr="00E63F4C">
        <w:rPr>
          <w:rFonts w:ascii="Times New Roman" w:hAnsi="Times New Roman" w:cs="Times New Roman"/>
          <w:b/>
          <w:sz w:val="24"/>
        </w:rPr>
        <w:t>junio</w:t>
      </w:r>
      <w:r w:rsidR="004E5B7A" w:rsidRPr="00E63F4C">
        <w:rPr>
          <w:rFonts w:ascii="Times New Roman" w:hAnsi="Times New Roman" w:cs="Times New Roman"/>
          <w:b/>
          <w:sz w:val="24"/>
        </w:rPr>
        <w:t xml:space="preserve"> </w:t>
      </w:r>
      <w:r w:rsidRPr="00E63F4C">
        <w:rPr>
          <w:rFonts w:ascii="Times New Roman" w:hAnsi="Times New Roman" w:cs="Times New Roman"/>
          <w:b/>
          <w:sz w:val="24"/>
        </w:rPr>
        <w:t>de 20</w:t>
      </w:r>
      <w:r w:rsidR="004675F2" w:rsidRPr="00E63F4C">
        <w:rPr>
          <w:rFonts w:ascii="Times New Roman" w:hAnsi="Times New Roman" w:cs="Times New Roman"/>
          <w:b/>
          <w:sz w:val="24"/>
        </w:rPr>
        <w:t>2</w:t>
      </w:r>
      <w:r w:rsidR="004E5B7A" w:rsidRPr="00E63F4C">
        <w:rPr>
          <w:rFonts w:ascii="Times New Roman" w:hAnsi="Times New Roman" w:cs="Times New Roman"/>
          <w:b/>
          <w:sz w:val="24"/>
        </w:rPr>
        <w:t>1</w:t>
      </w:r>
      <w:r w:rsidR="00784A73" w:rsidRPr="00E63F4C">
        <w:rPr>
          <w:rFonts w:ascii="Times New Roman" w:hAnsi="Times New Roman" w:cs="Times New Roman"/>
          <w:b/>
          <w:sz w:val="24"/>
        </w:rPr>
        <w:t xml:space="preserve"> y p</w:t>
      </w:r>
      <w:r w:rsidRPr="00E63F4C">
        <w:rPr>
          <w:rFonts w:ascii="Times New Roman" w:hAnsi="Times New Roman" w:cs="Times New Roman"/>
          <w:b/>
          <w:sz w:val="24"/>
        </w:rPr>
        <w:t xml:space="preserve">erspectivas de </w:t>
      </w:r>
      <w:r w:rsidR="00784A73" w:rsidRPr="00E63F4C">
        <w:rPr>
          <w:rFonts w:ascii="Times New Roman" w:hAnsi="Times New Roman" w:cs="Times New Roman"/>
          <w:b/>
          <w:sz w:val="24"/>
        </w:rPr>
        <w:t>c</w:t>
      </w:r>
      <w:r w:rsidRPr="00E63F4C">
        <w:rPr>
          <w:rFonts w:ascii="Times New Roman" w:hAnsi="Times New Roman" w:cs="Times New Roman"/>
          <w:b/>
          <w:sz w:val="24"/>
        </w:rPr>
        <w:t>ierre</w:t>
      </w:r>
      <w:bookmarkEnd w:id="1036"/>
      <w:bookmarkEnd w:id="1037"/>
      <w:bookmarkEnd w:id="1038"/>
    </w:p>
    <w:p w14:paraId="6D11A3A1" w14:textId="77777777" w:rsidR="00850691" w:rsidRPr="004133EB" w:rsidRDefault="00850691" w:rsidP="001032E7">
      <w:pPr>
        <w:pStyle w:val="Prrafodelista"/>
        <w:numPr>
          <w:ilvl w:val="0"/>
          <w:numId w:val="11"/>
        </w:numPr>
        <w:spacing w:after="0" w:line="240" w:lineRule="auto"/>
        <w:contextualSpacing w:val="0"/>
        <w:jc w:val="both"/>
        <w:outlineLvl w:val="2"/>
        <w:rPr>
          <w:rFonts w:ascii="Times New Roman" w:hAnsi="Times New Roman" w:cs="Times New Roman"/>
          <w:b/>
          <w:vanish/>
          <w:sz w:val="24"/>
        </w:rPr>
      </w:pPr>
      <w:bookmarkStart w:id="1039" w:name="_Toc16153322"/>
      <w:bookmarkStart w:id="1040" w:name="_Toc16154452"/>
      <w:bookmarkStart w:id="1041" w:name="_Toc16154541"/>
      <w:bookmarkStart w:id="1042" w:name="_Toc16155028"/>
      <w:bookmarkStart w:id="1043" w:name="_Toc48295619"/>
      <w:bookmarkStart w:id="1044" w:name="_Toc48295746"/>
      <w:bookmarkStart w:id="1045" w:name="_Toc48295873"/>
      <w:bookmarkStart w:id="1046" w:name="_Toc48295999"/>
      <w:bookmarkStart w:id="1047" w:name="_Toc48296123"/>
      <w:bookmarkStart w:id="1048" w:name="_Toc48296246"/>
      <w:bookmarkStart w:id="1049" w:name="_Toc48296369"/>
      <w:bookmarkStart w:id="1050" w:name="_Toc48296480"/>
      <w:bookmarkStart w:id="1051" w:name="_Toc48296589"/>
      <w:bookmarkStart w:id="1052" w:name="_Toc48652736"/>
      <w:bookmarkStart w:id="1053" w:name="_Toc48653005"/>
      <w:bookmarkStart w:id="1054" w:name="_Toc48653735"/>
      <w:bookmarkStart w:id="1055" w:name="_Toc48653849"/>
      <w:bookmarkStart w:id="1056" w:name="_Toc48653958"/>
      <w:bookmarkStart w:id="1057" w:name="_Toc48654066"/>
      <w:bookmarkStart w:id="1058" w:name="_Toc49170990"/>
      <w:bookmarkStart w:id="1059" w:name="_Toc49171098"/>
      <w:bookmarkStart w:id="1060" w:name="_Toc49171206"/>
      <w:bookmarkStart w:id="1061" w:name="_Toc49171337"/>
      <w:bookmarkStart w:id="1062" w:name="_Toc49939462"/>
      <w:bookmarkStart w:id="1063" w:name="_Toc73093130"/>
      <w:bookmarkStart w:id="1064" w:name="_Toc73095141"/>
      <w:bookmarkStart w:id="1065" w:name="_Toc73095246"/>
      <w:bookmarkStart w:id="1066" w:name="_Toc73513993"/>
      <w:bookmarkStart w:id="1067" w:name="_Toc81571771"/>
      <w:bookmarkStart w:id="1068" w:name="_Toc81571892"/>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14:paraId="58BF5298" w14:textId="77777777" w:rsidR="00850691" w:rsidRPr="004133EB" w:rsidRDefault="00850691" w:rsidP="001032E7">
      <w:pPr>
        <w:pStyle w:val="Prrafodelista"/>
        <w:numPr>
          <w:ilvl w:val="0"/>
          <w:numId w:val="11"/>
        </w:numPr>
        <w:spacing w:after="0" w:line="240" w:lineRule="auto"/>
        <w:contextualSpacing w:val="0"/>
        <w:jc w:val="both"/>
        <w:outlineLvl w:val="2"/>
        <w:rPr>
          <w:rFonts w:ascii="Times New Roman" w:hAnsi="Times New Roman" w:cs="Times New Roman"/>
          <w:b/>
          <w:vanish/>
          <w:sz w:val="24"/>
        </w:rPr>
      </w:pPr>
      <w:bookmarkStart w:id="1069" w:name="_Toc16153323"/>
      <w:bookmarkStart w:id="1070" w:name="_Toc16154453"/>
      <w:bookmarkStart w:id="1071" w:name="_Toc16154542"/>
      <w:bookmarkStart w:id="1072" w:name="_Toc16155029"/>
      <w:bookmarkStart w:id="1073" w:name="_Toc48295620"/>
      <w:bookmarkStart w:id="1074" w:name="_Toc48295747"/>
      <w:bookmarkStart w:id="1075" w:name="_Toc48295874"/>
      <w:bookmarkStart w:id="1076" w:name="_Toc48296000"/>
      <w:bookmarkStart w:id="1077" w:name="_Toc48296124"/>
      <w:bookmarkStart w:id="1078" w:name="_Toc48296247"/>
      <w:bookmarkStart w:id="1079" w:name="_Toc48296370"/>
      <w:bookmarkStart w:id="1080" w:name="_Toc48296481"/>
      <w:bookmarkStart w:id="1081" w:name="_Toc48296590"/>
      <w:bookmarkStart w:id="1082" w:name="_Toc48652737"/>
      <w:bookmarkStart w:id="1083" w:name="_Toc48653006"/>
      <w:bookmarkStart w:id="1084" w:name="_Toc48653736"/>
      <w:bookmarkStart w:id="1085" w:name="_Toc48653850"/>
      <w:bookmarkStart w:id="1086" w:name="_Toc48653959"/>
      <w:bookmarkStart w:id="1087" w:name="_Toc48654067"/>
      <w:bookmarkStart w:id="1088" w:name="_Toc49170991"/>
      <w:bookmarkStart w:id="1089" w:name="_Toc49171099"/>
      <w:bookmarkStart w:id="1090" w:name="_Toc49171207"/>
      <w:bookmarkStart w:id="1091" w:name="_Toc49171338"/>
      <w:bookmarkStart w:id="1092" w:name="_Toc49939463"/>
      <w:bookmarkStart w:id="1093" w:name="_Toc73093131"/>
      <w:bookmarkStart w:id="1094" w:name="_Toc73095142"/>
      <w:bookmarkStart w:id="1095" w:name="_Toc73095247"/>
      <w:bookmarkStart w:id="1096" w:name="_Toc73513994"/>
      <w:bookmarkStart w:id="1097" w:name="_Toc81571772"/>
      <w:bookmarkStart w:id="1098" w:name="_Toc81571893"/>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p>
    <w:p w14:paraId="3ED07BD8" w14:textId="77777777" w:rsidR="00850691" w:rsidRPr="004133EB" w:rsidRDefault="00850691" w:rsidP="001032E7">
      <w:pPr>
        <w:pStyle w:val="Prrafodelista"/>
        <w:numPr>
          <w:ilvl w:val="1"/>
          <w:numId w:val="11"/>
        </w:numPr>
        <w:spacing w:after="0" w:line="240" w:lineRule="auto"/>
        <w:contextualSpacing w:val="0"/>
        <w:jc w:val="both"/>
        <w:outlineLvl w:val="2"/>
        <w:rPr>
          <w:rFonts w:ascii="Times New Roman" w:hAnsi="Times New Roman" w:cs="Times New Roman"/>
          <w:b/>
          <w:vanish/>
          <w:sz w:val="24"/>
        </w:rPr>
      </w:pPr>
      <w:bookmarkStart w:id="1099" w:name="_Toc16153324"/>
      <w:bookmarkStart w:id="1100" w:name="_Toc16154454"/>
      <w:bookmarkStart w:id="1101" w:name="_Toc16154543"/>
      <w:bookmarkStart w:id="1102" w:name="_Toc16155030"/>
      <w:bookmarkStart w:id="1103" w:name="_Toc48295621"/>
      <w:bookmarkStart w:id="1104" w:name="_Toc48295748"/>
      <w:bookmarkStart w:id="1105" w:name="_Toc48295875"/>
      <w:bookmarkStart w:id="1106" w:name="_Toc48296001"/>
      <w:bookmarkStart w:id="1107" w:name="_Toc48296125"/>
      <w:bookmarkStart w:id="1108" w:name="_Toc48296248"/>
      <w:bookmarkStart w:id="1109" w:name="_Toc48296371"/>
      <w:bookmarkStart w:id="1110" w:name="_Toc48296482"/>
      <w:bookmarkStart w:id="1111" w:name="_Toc48296591"/>
      <w:bookmarkStart w:id="1112" w:name="_Toc48652738"/>
      <w:bookmarkStart w:id="1113" w:name="_Toc48653007"/>
      <w:bookmarkStart w:id="1114" w:name="_Toc48653737"/>
      <w:bookmarkStart w:id="1115" w:name="_Toc48653851"/>
      <w:bookmarkStart w:id="1116" w:name="_Toc48653960"/>
      <w:bookmarkStart w:id="1117" w:name="_Toc48654068"/>
      <w:bookmarkStart w:id="1118" w:name="_Toc49170992"/>
      <w:bookmarkStart w:id="1119" w:name="_Toc49171100"/>
      <w:bookmarkStart w:id="1120" w:name="_Toc49171208"/>
      <w:bookmarkStart w:id="1121" w:name="_Toc49171339"/>
      <w:bookmarkStart w:id="1122" w:name="_Toc49939464"/>
      <w:bookmarkStart w:id="1123" w:name="_Toc73093132"/>
      <w:bookmarkStart w:id="1124" w:name="_Toc73095143"/>
      <w:bookmarkStart w:id="1125" w:name="_Toc73095248"/>
      <w:bookmarkStart w:id="1126" w:name="_Toc73513995"/>
      <w:bookmarkStart w:id="1127" w:name="_Toc81571773"/>
      <w:bookmarkStart w:id="1128" w:name="_Toc81571894"/>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p>
    <w:p w14:paraId="5F2BD327" w14:textId="77777777" w:rsidR="00850691" w:rsidRPr="004133EB" w:rsidRDefault="00850691" w:rsidP="001032E7">
      <w:pPr>
        <w:pStyle w:val="Prrafodelista"/>
        <w:numPr>
          <w:ilvl w:val="1"/>
          <w:numId w:val="11"/>
        </w:numPr>
        <w:spacing w:after="0" w:line="240" w:lineRule="auto"/>
        <w:contextualSpacing w:val="0"/>
        <w:jc w:val="both"/>
        <w:outlineLvl w:val="2"/>
        <w:rPr>
          <w:rFonts w:ascii="Times New Roman" w:hAnsi="Times New Roman" w:cs="Times New Roman"/>
          <w:b/>
          <w:vanish/>
          <w:sz w:val="24"/>
        </w:rPr>
      </w:pPr>
      <w:bookmarkStart w:id="1129" w:name="_Toc16153325"/>
      <w:bookmarkStart w:id="1130" w:name="_Toc16154455"/>
      <w:bookmarkStart w:id="1131" w:name="_Toc16154544"/>
      <w:bookmarkStart w:id="1132" w:name="_Toc16155031"/>
      <w:bookmarkStart w:id="1133" w:name="_Toc48295622"/>
      <w:bookmarkStart w:id="1134" w:name="_Toc48295749"/>
      <w:bookmarkStart w:id="1135" w:name="_Toc48295876"/>
      <w:bookmarkStart w:id="1136" w:name="_Toc48296002"/>
      <w:bookmarkStart w:id="1137" w:name="_Toc48296126"/>
      <w:bookmarkStart w:id="1138" w:name="_Toc48296249"/>
      <w:bookmarkStart w:id="1139" w:name="_Toc48296372"/>
      <w:bookmarkStart w:id="1140" w:name="_Toc48296483"/>
      <w:bookmarkStart w:id="1141" w:name="_Toc48296592"/>
      <w:bookmarkStart w:id="1142" w:name="_Toc48652739"/>
      <w:bookmarkStart w:id="1143" w:name="_Toc48653008"/>
      <w:bookmarkStart w:id="1144" w:name="_Toc48653738"/>
      <w:bookmarkStart w:id="1145" w:name="_Toc48653852"/>
      <w:bookmarkStart w:id="1146" w:name="_Toc48653961"/>
      <w:bookmarkStart w:id="1147" w:name="_Toc48654069"/>
      <w:bookmarkStart w:id="1148" w:name="_Toc49170993"/>
      <w:bookmarkStart w:id="1149" w:name="_Toc49171101"/>
      <w:bookmarkStart w:id="1150" w:name="_Toc49171209"/>
      <w:bookmarkStart w:id="1151" w:name="_Toc49171340"/>
      <w:bookmarkStart w:id="1152" w:name="_Toc49939465"/>
      <w:bookmarkStart w:id="1153" w:name="_Toc73093133"/>
      <w:bookmarkStart w:id="1154" w:name="_Toc73095144"/>
      <w:bookmarkStart w:id="1155" w:name="_Toc73095249"/>
      <w:bookmarkStart w:id="1156" w:name="_Toc73513996"/>
      <w:bookmarkStart w:id="1157" w:name="_Toc81571774"/>
      <w:bookmarkStart w:id="1158" w:name="_Toc81571895"/>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14:paraId="2F505629" w14:textId="77777777" w:rsidR="00D67B50" w:rsidRDefault="00D67B50" w:rsidP="00E4773A">
      <w:pPr>
        <w:pStyle w:val="Sinespaciado"/>
        <w:ind w:left="720"/>
        <w:jc w:val="both"/>
        <w:rPr>
          <w:rFonts w:ascii="Times New Roman" w:hAnsi="Times New Roman" w:cs="Times New Roman"/>
          <w:b/>
          <w:sz w:val="24"/>
        </w:rPr>
      </w:pPr>
    </w:p>
    <w:p w14:paraId="38063850" w14:textId="77777777" w:rsidR="00F12665" w:rsidRPr="00F12665" w:rsidRDefault="00F12665" w:rsidP="001032E7">
      <w:pPr>
        <w:pStyle w:val="Prrafodelista"/>
        <w:numPr>
          <w:ilvl w:val="0"/>
          <w:numId w:val="38"/>
        </w:numPr>
        <w:spacing w:after="0" w:line="240" w:lineRule="auto"/>
        <w:jc w:val="both"/>
        <w:rPr>
          <w:rFonts w:ascii="Times New Roman" w:hAnsi="Times New Roman" w:cs="Times New Roman"/>
          <w:b/>
          <w:bCs/>
          <w:vanish/>
          <w:lang w:val="es-US"/>
        </w:rPr>
      </w:pPr>
    </w:p>
    <w:p w14:paraId="61AB3199" w14:textId="77777777" w:rsidR="00F12665" w:rsidRPr="00F12665" w:rsidRDefault="00F12665" w:rsidP="001032E7">
      <w:pPr>
        <w:pStyle w:val="Prrafodelista"/>
        <w:numPr>
          <w:ilvl w:val="0"/>
          <w:numId w:val="38"/>
        </w:numPr>
        <w:spacing w:after="0" w:line="240" w:lineRule="auto"/>
        <w:jc w:val="both"/>
        <w:rPr>
          <w:rFonts w:ascii="Times New Roman" w:hAnsi="Times New Roman" w:cs="Times New Roman"/>
          <w:b/>
          <w:bCs/>
          <w:vanish/>
          <w:lang w:val="es-US"/>
        </w:rPr>
      </w:pPr>
    </w:p>
    <w:p w14:paraId="7F9AA0EE" w14:textId="77777777" w:rsidR="00F12665" w:rsidRPr="00F12665" w:rsidRDefault="00F12665" w:rsidP="001032E7">
      <w:pPr>
        <w:pStyle w:val="Prrafodelista"/>
        <w:numPr>
          <w:ilvl w:val="0"/>
          <w:numId w:val="38"/>
        </w:numPr>
        <w:spacing w:after="0" w:line="240" w:lineRule="auto"/>
        <w:jc w:val="both"/>
        <w:rPr>
          <w:rFonts w:ascii="Times New Roman" w:hAnsi="Times New Roman" w:cs="Times New Roman"/>
          <w:b/>
          <w:bCs/>
          <w:vanish/>
          <w:lang w:val="es-US"/>
        </w:rPr>
      </w:pPr>
    </w:p>
    <w:p w14:paraId="6A1CCF4E" w14:textId="77777777" w:rsidR="00F12665" w:rsidRPr="00F12665" w:rsidRDefault="00F12665" w:rsidP="001032E7">
      <w:pPr>
        <w:pStyle w:val="Prrafodelista"/>
        <w:numPr>
          <w:ilvl w:val="0"/>
          <w:numId w:val="38"/>
        </w:numPr>
        <w:spacing w:after="0" w:line="240" w:lineRule="auto"/>
        <w:jc w:val="both"/>
        <w:rPr>
          <w:rFonts w:ascii="Times New Roman" w:hAnsi="Times New Roman" w:cs="Times New Roman"/>
          <w:b/>
          <w:bCs/>
          <w:vanish/>
          <w:lang w:val="es-US"/>
        </w:rPr>
      </w:pPr>
    </w:p>
    <w:p w14:paraId="6E49E57C" w14:textId="77777777" w:rsidR="00F12665" w:rsidRPr="00F12665" w:rsidRDefault="00F12665" w:rsidP="001032E7">
      <w:pPr>
        <w:pStyle w:val="Prrafodelista"/>
        <w:numPr>
          <w:ilvl w:val="0"/>
          <w:numId w:val="38"/>
        </w:numPr>
        <w:spacing w:after="0" w:line="240" w:lineRule="auto"/>
        <w:jc w:val="both"/>
        <w:rPr>
          <w:rFonts w:ascii="Times New Roman" w:hAnsi="Times New Roman" w:cs="Times New Roman"/>
          <w:b/>
          <w:bCs/>
          <w:vanish/>
          <w:lang w:val="es-US"/>
        </w:rPr>
      </w:pPr>
    </w:p>
    <w:p w14:paraId="23F5B372" w14:textId="77777777" w:rsidR="00C91D2E" w:rsidRPr="00F12665" w:rsidRDefault="00C91D2E" w:rsidP="001032E7">
      <w:pPr>
        <w:pStyle w:val="Prrafodelista"/>
        <w:numPr>
          <w:ilvl w:val="1"/>
          <w:numId w:val="38"/>
        </w:numPr>
        <w:spacing w:after="0" w:line="240" w:lineRule="auto"/>
        <w:jc w:val="both"/>
        <w:outlineLvl w:val="2"/>
        <w:rPr>
          <w:rFonts w:ascii="Times New Roman" w:hAnsi="Times New Roman" w:cs="Times New Roman"/>
          <w:b/>
          <w:bCs/>
          <w:lang w:val="es-US"/>
        </w:rPr>
      </w:pPr>
      <w:bookmarkStart w:id="1159" w:name="_Toc81571896"/>
      <w:r w:rsidRPr="00F12665">
        <w:rPr>
          <w:rFonts w:ascii="Times New Roman" w:hAnsi="Times New Roman" w:cs="Times New Roman"/>
          <w:b/>
          <w:bCs/>
          <w:lang w:val="es-US"/>
        </w:rPr>
        <w:t>Recaudación Tributaria</w:t>
      </w:r>
      <w:bookmarkEnd w:id="1159"/>
    </w:p>
    <w:p w14:paraId="23F1D762" w14:textId="77777777" w:rsidR="00C91D2E" w:rsidRDefault="00C91D2E" w:rsidP="00D67B50">
      <w:pPr>
        <w:spacing w:after="0" w:line="240" w:lineRule="auto"/>
        <w:jc w:val="both"/>
        <w:rPr>
          <w:rFonts w:ascii="Times New Roman" w:hAnsi="Times New Roman" w:cs="Times New Roman"/>
          <w:lang w:val="es-US"/>
        </w:rPr>
      </w:pPr>
    </w:p>
    <w:p w14:paraId="0FE0A292" w14:textId="7148A0DE" w:rsidR="00D67B50" w:rsidRPr="00D67B50" w:rsidRDefault="00AD68A4" w:rsidP="00D67B50">
      <w:pPr>
        <w:spacing w:after="0" w:line="240" w:lineRule="auto"/>
        <w:jc w:val="both"/>
        <w:rPr>
          <w:rFonts w:ascii="Times New Roman" w:hAnsi="Times New Roman" w:cs="Times New Roman"/>
          <w:lang w:val="es-US"/>
        </w:rPr>
      </w:pPr>
      <w:r w:rsidRPr="00AD68A4">
        <w:rPr>
          <w:rFonts w:ascii="Times New Roman" w:hAnsi="Times New Roman" w:cs="Times New Roman"/>
          <w:lang w:val="es-US"/>
        </w:rPr>
        <w:t xml:space="preserve">La recaudación tributaria acumulada a </w:t>
      </w:r>
      <w:r w:rsidR="003D6605">
        <w:rPr>
          <w:rFonts w:ascii="Times New Roman" w:hAnsi="Times New Roman" w:cs="Times New Roman"/>
          <w:lang w:val="es-US"/>
        </w:rPr>
        <w:t>junio</w:t>
      </w:r>
      <w:r w:rsidRPr="00AD68A4">
        <w:rPr>
          <w:rFonts w:ascii="Times New Roman" w:hAnsi="Times New Roman" w:cs="Times New Roman"/>
          <w:lang w:val="es-US"/>
        </w:rPr>
        <w:t xml:space="preserve"> alcanzó Q 3</w:t>
      </w:r>
      <w:r w:rsidR="003D6605">
        <w:rPr>
          <w:rFonts w:ascii="Times New Roman" w:hAnsi="Times New Roman" w:cs="Times New Roman"/>
          <w:lang w:val="es-US"/>
        </w:rPr>
        <w:t xml:space="preserve">6,019.3 </w:t>
      </w:r>
      <w:r w:rsidRPr="00AD68A4">
        <w:rPr>
          <w:rFonts w:ascii="Times New Roman" w:hAnsi="Times New Roman" w:cs="Times New Roman"/>
          <w:lang w:val="es-US"/>
        </w:rPr>
        <w:t>millones, super</w:t>
      </w:r>
      <w:r w:rsidR="00490CB6">
        <w:rPr>
          <w:rFonts w:ascii="Times New Roman" w:hAnsi="Times New Roman" w:cs="Times New Roman"/>
          <w:lang w:val="es-US"/>
        </w:rPr>
        <w:t>ando</w:t>
      </w:r>
      <w:r w:rsidRPr="00AD68A4">
        <w:rPr>
          <w:rFonts w:ascii="Times New Roman" w:hAnsi="Times New Roman" w:cs="Times New Roman"/>
          <w:lang w:val="es-US"/>
        </w:rPr>
        <w:t xml:space="preserve"> en Q 7,5</w:t>
      </w:r>
      <w:r w:rsidR="003D6605">
        <w:rPr>
          <w:rFonts w:ascii="Times New Roman" w:hAnsi="Times New Roman" w:cs="Times New Roman"/>
          <w:lang w:val="es-US"/>
        </w:rPr>
        <w:t>54.2</w:t>
      </w:r>
      <w:r w:rsidRPr="00AD68A4">
        <w:rPr>
          <w:rFonts w:ascii="Times New Roman" w:hAnsi="Times New Roman" w:cs="Times New Roman"/>
          <w:lang w:val="es-US"/>
        </w:rPr>
        <w:t xml:space="preserve"> millones a lo recaudado en el mismo periodo del año anterior; equivalente a un aumento de 26.</w:t>
      </w:r>
      <w:r w:rsidR="003D6605">
        <w:rPr>
          <w:rFonts w:ascii="Times New Roman" w:hAnsi="Times New Roman" w:cs="Times New Roman"/>
          <w:lang w:val="es-US"/>
        </w:rPr>
        <w:t>5</w:t>
      </w:r>
      <w:r w:rsidRPr="00AD68A4">
        <w:rPr>
          <w:rFonts w:ascii="Times New Roman" w:hAnsi="Times New Roman" w:cs="Times New Roman"/>
          <w:lang w:val="es-US"/>
        </w:rPr>
        <w:t>%. Dicho aumento está influenciado por la recuperación en impuestos como el sobre la renta, el Impuesto de solidaridad, el Impuesto al valor agregado, los derechos arancelarios, derivados del petróleo entre otros, y principalmente por los efectos provocados por la pandemia COVID-19 en 2020.</w:t>
      </w:r>
    </w:p>
    <w:p w14:paraId="37C977F5" w14:textId="12BA22E7" w:rsidR="00D67B50" w:rsidRDefault="00D67B50" w:rsidP="00D67B50">
      <w:pPr>
        <w:spacing w:after="0" w:line="240" w:lineRule="auto"/>
        <w:jc w:val="both"/>
        <w:rPr>
          <w:rFonts w:ascii="Times New Roman" w:hAnsi="Times New Roman" w:cs="Times New Roman"/>
          <w:lang w:val="es-US"/>
        </w:rPr>
      </w:pPr>
    </w:p>
    <w:p w14:paraId="06565B87" w14:textId="636A5F69" w:rsidR="003739A8" w:rsidRPr="00B6733D" w:rsidRDefault="003739A8" w:rsidP="003739A8">
      <w:pPr>
        <w:pStyle w:val="Epgrafe"/>
        <w:spacing w:after="0"/>
        <w:jc w:val="center"/>
        <w:rPr>
          <w:rFonts w:ascii="Times New Roman" w:hAnsi="Times New Roman" w:cs="Times New Roman"/>
          <w:b/>
          <w:color w:val="auto"/>
          <w:sz w:val="22"/>
          <w:szCs w:val="20"/>
        </w:rPr>
      </w:pPr>
      <w:bookmarkStart w:id="1160" w:name="_Toc81573084"/>
      <w:r w:rsidRPr="00B6733D">
        <w:rPr>
          <w:rFonts w:ascii="Times New Roman" w:hAnsi="Times New Roman" w:cs="Times New Roman"/>
          <w:b/>
          <w:color w:val="auto"/>
          <w:sz w:val="22"/>
          <w:szCs w:val="20"/>
        </w:rPr>
        <w:t xml:space="preserve">Gráfico </w:t>
      </w:r>
      <w:r w:rsidRPr="00B6733D">
        <w:rPr>
          <w:rFonts w:ascii="Times New Roman" w:hAnsi="Times New Roman" w:cs="Times New Roman"/>
          <w:b/>
          <w:color w:val="auto"/>
          <w:sz w:val="22"/>
          <w:szCs w:val="20"/>
        </w:rPr>
        <w:fldChar w:fldCharType="begin"/>
      </w:r>
      <w:r w:rsidRPr="00B6733D">
        <w:rPr>
          <w:rFonts w:ascii="Times New Roman" w:hAnsi="Times New Roman" w:cs="Times New Roman"/>
          <w:b/>
          <w:color w:val="auto"/>
          <w:sz w:val="22"/>
          <w:szCs w:val="20"/>
        </w:rPr>
        <w:instrText xml:space="preserve"> SEQ Gráfico \* ARABIC </w:instrText>
      </w:r>
      <w:r w:rsidRPr="00B6733D">
        <w:rPr>
          <w:rFonts w:ascii="Times New Roman" w:hAnsi="Times New Roman" w:cs="Times New Roman"/>
          <w:b/>
          <w:color w:val="auto"/>
          <w:sz w:val="22"/>
          <w:szCs w:val="20"/>
        </w:rPr>
        <w:fldChar w:fldCharType="separate"/>
      </w:r>
      <w:r w:rsidR="00D6529D">
        <w:rPr>
          <w:rFonts w:ascii="Times New Roman" w:hAnsi="Times New Roman" w:cs="Times New Roman"/>
          <w:b/>
          <w:noProof/>
          <w:color w:val="auto"/>
          <w:sz w:val="22"/>
          <w:szCs w:val="20"/>
        </w:rPr>
        <w:t>34</w:t>
      </w:r>
      <w:r w:rsidRPr="00B6733D">
        <w:rPr>
          <w:rFonts w:ascii="Times New Roman" w:hAnsi="Times New Roman" w:cs="Times New Roman"/>
          <w:b/>
          <w:color w:val="auto"/>
          <w:sz w:val="22"/>
          <w:szCs w:val="20"/>
        </w:rPr>
        <w:fldChar w:fldCharType="end"/>
      </w:r>
      <w:r w:rsidRPr="00B6733D">
        <w:rPr>
          <w:rFonts w:ascii="Times New Roman" w:hAnsi="Times New Roman" w:cs="Times New Roman"/>
          <w:b/>
          <w:color w:val="auto"/>
          <w:sz w:val="22"/>
          <w:szCs w:val="20"/>
        </w:rPr>
        <w:t xml:space="preserve">  </w:t>
      </w:r>
      <w:r w:rsidRPr="00B6733D">
        <w:rPr>
          <w:rFonts w:ascii="Times New Roman" w:hAnsi="Times New Roman" w:cs="Times New Roman"/>
          <w:b/>
          <w:i w:val="0"/>
          <w:color w:val="auto"/>
          <w:sz w:val="22"/>
          <w:szCs w:val="20"/>
        </w:rPr>
        <w:t xml:space="preserve">Recaudación Tributaria Acumulada al 30 de </w:t>
      </w:r>
      <w:r>
        <w:rPr>
          <w:rFonts w:ascii="Times New Roman" w:hAnsi="Times New Roman" w:cs="Times New Roman"/>
          <w:b/>
          <w:i w:val="0"/>
          <w:color w:val="auto"/>
          <w:sz w:val="22"/>
          <w:szCs w:val="20"/>
        </w:rPr>
        <w:t>junio</w:t>
      </w:r>
      <w:bookmarkEnd w:id="1160"/>
    </w:p>
    <w:p w14:paraId="3A0208D5" w14:textId="77777777" w:rsidR="003739A8" w:rsidRPr="00E4773A" w:rsidRDefault="003739A8" w:rsidP="003739A8">
      <w:pPr>
        <w:spacing w:after="0"/>
        <w:jc w:val="center"/>
        <w:rPr>
          <w:rFonts w:ascii="Times New Roman" w:hAnsi="Times New Roman" w:cs="Times New Roman"/>
          <w:sz w:val="20"/>
          <w:szCs w:val="20"/>
        </w:rPr>
      </w:pPr>
      <w:r w:rsidRPr="00E4773A">
        <w:rPr>
          <w:rFonts w:ascii="Times New Roman" w:hAnsi="Times New Roman" w:cs="Times New Roman"/>
          <w:sz w:val="20"/>
          <w:szCs w:val="20"/>
        </w:rPr>
        <w:t>Millones de quetzales</w:t>
      </w:r>
    </w:p>
    <w:p w14:paraId="7B19B575" w14:textId="77777777" w:rsidR="003739A8" w:rsidRPr="00D67B50" w:rsidRDefault="003739A8" w:rsidP="003739A8">
      <w:pPr>
        <w:jc w:val="center"/>
      </w:pPr>
      <w:r w:rsidRPr="00D67B50">
        <w:rPr>
          <w:b/>
          <w:noProof/>
          <w:sz w:val="20"/>
          <w:lang w:val="es-ES" w:eastAsia="es-ES"/>
        </w:rPr>
        <w:drawing>
          <wp:inline distT="0" distB="0" distL="0" distR="0" wp14:anchorId="1CF3D400" wp14:editId="5C382EE5">
            <wp:extent cx="4476750" cy="2286000"/>
            <wp:effectExtent l="0" t="0" r="0" b="0"/>
            <wp:docPr id="75"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45340CB" w14:textId="77777777" w:rsidR="003739A8" w:rsidRPr="00D67B50" w:rsidRDefault="003739A8" w:rsidP="003739A8">
      <w:pPr>
        <w:spacing w:after="0"/>
        <w:ind w:left="2124"/>
        <w:jc w:val="both"/>
        <w:rPr>
          <w:rFonts w:ascii="Times New Roman" w:hAnsi="Times New Roman" w:cs="Times New Roman"/>
          <w:sz w:val="16"/>
        </w:rPr>
      </w:pPr>
      <w:r w:rsidRPr="00D67B50">
        <w:rPr>
          <w:rFonts w:ascii="Times New Roman" w:hAnsi="Times New Roman" w:cs="Times New Roman"/>
          <w:sz w:val="16"/>
        </w:rPr>
        <w:t>Fuente: Ministerio de Finanzas Públicas</w:t>
      </w:r>
    </w:p>
    <w:p w14:paraId="28E965D1" w14:textId="77777777" w:rsidR="003739A8" w:rsidRPr="00D67B50" w:rsidRDefault="003739A8" w:rsidP="003739A8">
      <w:pPr>
        <w:spacing w:after="0" w:line="240" w:lineRule="auto"/>
        <w:jc w:val="both"/>
        <w:rPr>
          <w:rFonts w:ascii="Times New Roman" w:hAnsi="Times New Roman" w:cs="Times New Roman"/>
          <w:lang w:val="es-US"/>
        </w:rPr>
      </w:pPr>
    </w:p>
    <w:p w14:paraId="1D3928BF" w14:textId="1C12A4ED" w:rsidR="00AD68A4" w:rsidRPr="00AD68A4" w:rsidRDefault="00AD68A4" w:rsidP="00AD68A4">
      <w:pPr>
        <w:spacing w:after="0" w:line="240" w:lineRule="auto"/>
        <w:jc w:val="both"/>
        <w:rPr>
          <w:rFonts w:ascii="Times New Roman" w:hAnsi="Times New Roman" w:cs="Times New Roman"/>
          <w:lang w:val="es-US"/>
        </w:rPr>
      </w:pPr>
      <w:r w:rsidRPr="00AD68A4">
        <w:rPr>
          <w:rFonts w:ascii="Times New Roman" w:hAnsi="Times New Roman" w:cs="Times New Roman"/>
          <w:lang w:val="es-US"/>
        </w:rPr>
        <w:t>Dentro de las principales acciones que se han establecido en materia tributaria sobresale lo realizado por la intendencia de recaudación</w:t>
      </w:r>
      <w:r w:rsidR="008A6D4C">
        <w:rPr>
          <w:rFonts w:ascii="Times New Roman" w:hAnsi="Times New Roman" w:cs="Times New Roman"/>
          <w:lang w:val="es-US"/>
        </w:rPr>
        <w:t>,</w:t>
      </w:r>
      <w:r w:rsidRPr="00AD68A4">
        <w:rPr>
          <w:rFonts w:ascii="Times New Roman" w:hAnsi="Times New Roman" w:cs="Times New Roman"/>
          <w:lang w:val="es-US"/>
        </w:rPr>
        <w:t xml:space="preserve"> logrando el aumento en </w:t>
      </w:r>
      <w:r w:rsidR="003D6605">
        <w:rPr>
          <w:rFonts w:ascii="Times New Roman" w:hAnsi="Times New Roman" w:cs="Times New Roman"/>
          <w:lang w:val="es-US"/>
        </w:rPr>
        <w:t xml:space="preserve">el </w:t>
      </w:r>
      <w:r w:rsidRPr="00AD68A4">
        <w:rPr>
          <w:rFonts w:ascii="Times New Roman" w:hAnsi="Times New Roman" w:cs="Times New Roman"/>
          <w:lang w:val="es-US"/>
        </w:rPr>
        <w:t>número de contribuyentes al RTU (afiliaciones al IVA e ISR),</w:t>
      </w:r>
      <w:r>
        <w:rPr>
          <w:rFonts w:ascii="Times New Roman" w:hAnsi="Times New Roman" w:cs="Times New Roman"/>
          <w:lang w:val="es-US"/>
        </w:rPr>
        <w:t xml:space="preserve"> </w:t>
      </w:r>
      <w:r w:rsidRPr="00AD68A4">
        <w:rPr>
          <w:rFonts w:ascii="Times New Roman" w:hAnsi="Times New Roman" w:cs="Times New Roman"/>
          <w:lang w:val="es-US"/>
        </w:rPr>
        <w:t>aumento de emisores de documentos tributarios electrónicos, recuperaciones por cumplimiento de control tributario</w:t>
      </w:r>
      <w:r w:rsidR="00902531">
        <w:rPr>
          <w:rFonts w:ascii="Times New Roman" w:hAnsi="Times New Roman" w:cs="Times New Roman"/>
          <w:lang w:val="es-US"/>
        </w:rPr>
        <w:t xml:space="preserve"> y</w:t>
      </w:r>
      <w:r w:rsidRPr="00AD68A4">
        <w:rPr>
          <w:rFonts w:ascii="Times New Roman" w:hAnsi="Times New Roman" w:cs="Times New Roman"/>
          <w:lang w:val="es-US"/>
        </w:rPr>
        <w:t xml:space="preserve"> mejoras al sistema de facilidades de pago entre otras.</w:t>
      </w:r>
    </w:p>
    <w:p w14:paraId="34DCE9D9" w14:textId="77777777" w:rsidR="00AD68A4" w:rsidRPr="00AD68A4" w:rsidRDefault="00AD68A4" w:rsidP="00AD68A4">
      <w:pPr>
        <w:spacing w:after="0" w:line="240" w:lineRule="auto"/>
        <w:jc w:val="both"/>
        <w:rPr>
          <w:rFonts w:ascii="Times New Roman" w:hAnsi="Times New Roman" w:cs="Times New Roman"/>
          <w:lang w:val="es-US"/>
        </w:rPr>
      </w:pPr>
    </w:p>
    <w:p w14:paraId="470BBF54" w14:textId="4BBCC018" w:rsidR="00D67B50" w:rsidRDefault="00AD68A4" w:rsidP="00AD68A4">
      <w:pPr>
        <w:spacing w:after="0" w:line="240" w:lineRule="auto"/>
        <w:jc w:val="both"/>
        <w:rPr>
          <w:rFonts w:ascii="Times New Roman" w:hAnsi="Times New Roman" w:cs="Times New Roman"/>
          <w:lang w:val="es-US"/>
        </w:rPr>
      </w:pPr>
      <w:r w:rsidRPr="00AD68A4">
        <w:rPr>
          <w:rFonts w:ascii="Times New Roman" w:hAnsi="Times New Roman" w:cs="Times New Roman"/>
          <w:lang w:val="es-US"/>
        </w:rPr>
        <w:t>En el ramo de aduanas también se han realizado acciones en pro de la recaudación para combatir la defraudación</w:t>
      </w:r>
      <w:r w:rsidR="003D6605">
        <w:rPr>
          <w:rFonts w:ascii="Times New Roman" w:hAnsi="Times New Roman" w:cs="Times New Roman"/>
          <w:lang w:val="es-US"/>
        </w:rPr>
        <w:t xml:space="preserve"> y contrabando mediante </w:t>
      </w:r>
      <w:r w:rsidRPr="00AD68A4">
        <w:rPr>
          <w:rFonts w:ascii="Times New Roman" w:hAnsi="Times New Roman" w:cs="Times New Roman"/>
          <w:lang w:val="es-US"/>
        </w:rPr>
        <w:t>la realización de ajustes a través de rectificaciones, ajustes por conceptos de medidas administrativas, medidas de control en materia de riesgo, mejoras en tiempos de despacho y gestión, mayor simplificación y automatización en la transmisión de declaraciones y controles aduaneros y el establecimiento de puestos de control interinstitucional entre otras.</w:t>
      </w:r>
    </w:p>
    <w:p w14:paraId="2322437E" w14:textId="77777777" w:rsidR="00822179" w:rsidRPr="00D67B50" w:rsidRDefault="00822179" w:rsidP="00AD68A4">
      <w:pPr>
        <w:spacing w:after="0" w:line="240" w:lineRule="auto"/>
        <w:jc w:val="both"/>
        <w:rPr>
          <w:rFonts w:ascii="Times New Roman" w:hAnsi="Times New Roman" w:cs="Times New Roman"/>
          <w:lang w:val="es-US"/>
        </w:rPr>
      </w:pPr>
    </w:p>
    <w:p w14:paraId="5AC59517" w14:textId="376A1417" w:rsidR="00AD68A4" w:rsidRPr="00AD68A4" w:rsidRDefault="00887777" w:rsidP="00AD68A4">
      <w:pPr>
        <w:spacing w:after="0" w:line="240" w:lineRule="auto"/>
        <w:jc w:val="both"/>
        <w:rPr>
          <w:rFonts w:ascii="Times New Roman" w:hAnsi="Times New Roman" w:cs="Times New Roman"/>
          <w:lang w:val="es-US"/>
        </w:rPr>
      </w:pPr>
      <w:r w:rsidRPr="00887777">
        <w:rPr>
          <w:rFonts w:ascii="Times New Roman" w:hAnsi="Times New Roman" w:cs="Times New Roman"/>
          <w:lang w:val="es-US"/>
        </w:rPr>
        <w:t>El crecimiento interanual de 26.5% en la recaudación tributaria neta  esta explicado por el buen desempeño del impuesto a la renta y el IVA, sobresale en esta comparación la recuperación de la recaudación asociada al comercio internacional la cual crece en 41.2% (Q3,085.4 millones), de los cuales el IVA de importaciones supera lo observado en 2020 por Q2,628.8 millones y los derechos arancelarios en Q456.7 millones, estos crecimientos se explican en gran medida a la contracción que se observó en 2020 producto de las medidas de confinamiento y cierres que realizaron los socios comerciales de Guatemala en prevención de contagios, también influye en estas cifras los efectos del precio internacional del petróleo, según el Banco de Guatemala  al mes de junio se observa que el valor de las importaciones de combustibles y lubricantes creció em 67.2%, el volumen en 10.6% y el precio subió en 51.2%, y las importaciones gravadas totales crecen en 37.8%, en 2020 se observó una caída de 9.5%</w:t>
      </w:r>
    </w:p>
    <w:p w14:paraId="5EF2213C" w14:textId="77777777" w:rsidR="00AD68A4" w:rsidRPr="00D67B50" w:rsidRDefault="00AD68A4" w:rsidP="00AD68A4">
      <w:pPr>
        <w:spacing w:after="0" w:line="240" w:lineRule="auto"/>
        <w:jc w:val="both"/>
        <w:rPr>
          <w:rFonts w:ascii="Times New Roman" w:hAnsi="Times New Roman" w:cs="Times New Roman"/>
          <w:lang w:val="es-US"/>
        </w:rPr>
      </w:pPr>
    </w:p>
    <w:p w14:paraId="5E95C01D" w14:textId="77777777" w:rsidR="00D67B50" w:rsidRPr="00D67B50" w:rsidRDefault="00D67B50" w:rsidP="001032E7">
      <w:pPr>
        <w:pStyle w:val="Prrafodelista"/>
        <w:numPr>
          <w:ilvl w:val="1"/>
          <w:numId w:val="38"/>
        </w:numPr>
        <w:spacing w:after="0" w:line="240" w:lineRule="auto"/>
        <w:jc w:val="both"/>
        <w:outlineLvl w:val="2"/>
        <w:rPr>
          <w:rFonts w:ascii="Times New Roman" w:hAnsi="Times New Roman" w:cs="Times New Roman"/>
          <w:b/>
          <w:bCs/>
          <w:lang w:val="es-US"/>
        </w:rPr>
      </w:pPr>
      <w:bookmarkStart w:id="1161" w:name="_Toc81571897"/>
      <w:r w:rsidRPr="00D67B50">
        <w:rPr>
          <w:rFonts w:ascii="Times New Roman" w:hAnsi="Times New Roman" w:cs="Times New Roman"/>
          <w:b/>
          <w:bCs/>
          <w:lang w:val="es-US"/>
        </w:rPr>
        <w:t>Desempeño del impuesto sobre la renta y el ISO</w:t>
      </w:r>
      <w:bookmarkEnd w:id="1161"/>
    </w:p>
    <w:p w14:paraId="31F80ED9" w14:textId="77777777" w:rsidR="00D67B50" w:rsidRPr="00D67B50" w:rsidRDefault="00D67B50" w:rsidP="00D67B50">
      <w:pPr>
        <w:spacing w:after="0" w:line="240" w:lineRule="auto"/>
        <w:jc w:val="both"/>
        <w:rPr>
          <w:rFonts w:ascii="Times New Roman" w:hAnsi="Times New Roman" w:cs="Times New Roman"/>
          <w:lang w:val="es-US"/>
        </w:rPr>
      </w:pPr>
    </w:p>
    <w:p w14:paraId="2FC70487" w14:textId="1498530D" w:rsidR="00D67B50" w:rsidRDefault="00AD68A4" w:rsidP="00D67B50">
      <w:pPr>
        <w:spacing w:after="0" w:line="240" w:lineRule="auto"/>
        <w:jc w:val="both"/>
        <w:rPr>
          <w:rFonts w:ascii="Times New Roman" w:hAnsi="Times New Roman" w:cs="Times New Roman"/>
          <w:lang w:val="es-US"/>
        </w:rPr>
      </w:pPr>
      <w:r w:rsidRPr="00AD68A4">
        <w:rPr>
          <w:rFonts w:ascii="Times New Roman" w:hAnsi="Times New Roman" w:cs="Times New Roman"/>
          <w:lang w:val="es-US"/>
        </w:rPr>
        <w:t>Estos impuestos de manera acumulada generan una brecha positiva al 30 de junio de Q2,095.7 millones</w:t>
      </w:r>
      <w:r w:rsidR="00B15226">
        <w:rPr>
          <w:rFonts w:ascii="Times New Roman" w:hAnsi="Times New Roman" w:cs="Times New Roman"/>
          <w:lang w:val="es-US"/>
        </w:rPr>
        <w:t>,</w:t>
      </w:r>
      <w:r w:rsidRPr="00AD68A4">
        <w:rPr>
          <w:rFonts w:ascii="Times New Roman" w:hAnsi="Times New Roman" w:cs="Times New Roman"/>
          <w:lang w:val="es-US"/>
        </w:rPr>
        <w:t xml:space="preserve"> respecto a la meta de presupuesto y con relación al año 2020 la brecha es de Q2,072.5 millones, sobresale en la recuperación del impuesto sobre la renta el régimen de rentas lucrativas </w:t>
      </w:r>
      <w:r w:rsidR="0067468D">
        <w:rPr>
          <w:rFonts w:ascii="Times New Roman" w:hAnsi="Times New Roman" w:cs="Times New Roman"/>
          <w:lang w:val="es-US"/>
        </w:rPr>
        <w:t>muestra una</w:t>
      </w:r>
      <w:r w:rsidRPr="00AD68A4">
        <w:rPr>
          <w:rFonts w:ascii="Times New Roman" w:hAnsi="Times New Roman" w:cs="Times New Roman"/>
          <w:lang w:val="es-US"/>
        </w:rPr>
        <w:t xml:space="preserve"> recuperación</w:t>
      </w:r>
      <w:r w:rsidR="0015550C">
        <w:rPr>
          <w:rFonts w:ascii="Times New Roman" w:hAnsi="Times New Roman" w:cs="Times New Roman"/>
          <w:lang w:val="es-US"/>
        </w:rPr>
        <w:t>, cuyo</w:t>
      </w:r>
      <w:r w:rsidR="003739A8">
        <w:rPr>
          <w:rFonts w:ascii="Times New Roman" w:hAnsi="Times New Roman" w:cs="Times New Roman"/>
          <w:lang w:val="es-US"/>
        </w:rPr>
        <w:t xml:space="preserve"> </w:t>
      </w:r>
      <w:r w:rsidRPr="00AD68A4">
        <w:rPr>
          <w:rFonts w:ascii="Times New Roman" w:hAnsi="Times New Roman" w:cs="Times New Roman"/>
          <w:lang w:val="es-US"/>
        </w:rPr>
        <w:t xml:space="preserve">crecimiento interanual </w:t>
      </w:r>
      <w:r w:rsidR="0015550C">
        <w:rPr>
          <w:rFonts w:ascii="Times New Roman" w:hAnsi="Times New Roman" w:cs="Times New Roman"/>
          <w:lang w:val="es-US"/>
        </w:rPr>
        <w:t xml:space="preserve">es </w:t>
      </w:r>
      <w:r w:rsidRPr="00AD68A4">
        <w:rPr>
          <w:rFonts w:ascii="Times New Roman" w:hAnsi="Times New Roman" w:cs="Times New Roman"/>
          <w:lang w:val="es-US"/>
        </w:rPr>
        <w:t>de 36.5%</w:t>
      </w:r>
      <w:r w:rsidR="00646A1A">
        <w:rPr>
          <w:rFonts w:ascii="Times New Roman" w:hAnsi="Times New Roman" w:cs="Times New Roman"/>
          <w:lang w:val="es-US"/>
        </w:rPr>
        <w:t xml:space="preserve"> que contrasta con</w:t>
      </w:r>
      <w:r w:rsidRPr="00AD68A4">
        <w:rPr>
          <w:rFonts w:ascii="Times New Roman" w:hAnsi="Times New Roman" w:cs="Times New Roman"/>
          <w:lang w:val="es-US"/>
        </w:rPr>
        <w:t xml:space="preserve"> 2020 </w:t>
      </w:r>
      <w:r w:rsidR="00646A1A">
        <w:rPr>
          <w:rFonts w:ascii="Times New Roman" w:hAnsi="Times New Roman" w:cs="Times New Roman"/>
          <w:lang w:val="es-US"/>
        </w:rPr>
        <w:t xml:space="preserve">en donde </w:t>
      </w:r>
      <w:r w:rsidRPr="00AD68A4">
        <w:rPr>
          <w:rFonts w:ascii="Times New Roman" w:hAnsi="Times New Roman" w:cs="Times New Roman"/>
          <w:lang w:val="es-US"/>
        </w:rPr>
        <w:t>creció 3.3%, las retenciones a no domiciliados crecen en 22.2% y el de productos financieros de igual manera crece en 18.7%. El ISO</w:t>
      </w:r>
      <w:r w:rsidR="00646A1A">
        <w:rPr>
          <w:rFonts w:ascii="Times New Roman" w:hAnsi="Times New Roman" w:cs="Times New Roman"/>
          <w:lang w:val="es-US"/>
        </w:rPr>
        <w:t>,</w:t>
      </w:r>
      <w:r w:rsidRPr="00AD68A4">
        <w:rPr>
          <w:rFonts w:ascii="Times New Roman" w:hAnsi="Times New Roman" w:cs="Times New Roman"/>
          <w:lang w:val="es-US"/>
        </w:rPr>
        <w:t xml:space="preserve"> por su parte</w:t>
      </w:r>
      <w:r w:rsidR="00646A1A">
        <w:rPr>
          <w:rFonts w:ascii="Times New Roman" w:hAnsi="Times New Roman" w:cs="Times New Roman"/>
          <w:lang w:val="es-US"/>
        </w:rPr>
        <w:t>,</w:t>
      </w:r>
      <w:r w:rsidRPr="00AD68A4">
        <w:rPr>
          <w:rFonts w:ascii="Times New Roman" w:hAnsi="Times New Roman" w:cs="Times New Roman"/>
          <w:lang w:val="es-US"/>
        </w:rPr>
        <w:t xml:space="preserve"> creció en 8.2% respecto a lo observado en 2020 (Q200.2 millones).</w:t>
      </w:r>
    </w:p>
    <w:p w14:paraId="01057F4C" w14:textId="77777777" w:rsidR="003E14B7" w:rsidRDefault="003E14B7" w:rsidP="00D67B50">
      <w:pPr>
        <w:spacing w:after="0" w:line="240" w:lineRule="auto"/>
        <w:jc w:val="both"/>
        <w:rPr>
          <w:rFonts w:ascii="Times New Roman" w:hAnsi="Times New Roman" w:cs="Times New Roman"/>
          <w:lang w:val="es-US"/>
        </w:rPr>
      </w:pPr>
    </w:p>
    <w:p w14:paraId="00917B7C" w14:textId="77777777" w:rsidR="00D67B50" w:rsidRPr="00F12665" w:rsidRDefault="00D67B50" w:rsidP="001032E7">
      <w:pPr>
        <w:pStyle w:val="Prrafodelista"/>
        <w:numPr>
          <w:ilvl w:val="1"/>
          <w:numId w:val="38"/>
        </w:numPr>
        <w:spacing w:after="0" w:line="240" w:lineRule="auto"/>
        <w:jc w:val="both"/>
        <w:outlineLvl w:val="2"/>
        <w:rPr>
          <w:rFonts w:ascii="Times New Roman" w:hAnsi="Times New Roman" w:cs="Times New Roman"/>
          <w:b/>
          <w:bCs/>
          <w:lang w:val="es-US"/>
        </w:rPr>
      </w:pPr>
      <w:bookmarkStart w:id="1162" w:name="_Toc81571898"/>
      <w:r w:rsidRPr="00F12665">
        <w:rPr>
          <w:rFonts w:ascii="Times New Roman" w:hAnsi="Times New Roman" w:cs="Times New Roman"/>
          <w:b/>
          <w:bCs/>
          <w:lang w:val="es-US"/>
        </w:rPr>
        <w:t>El Impuesto al Valor Agregado</w:t>
      </w:r>
      <w:bookmarkEnd w:id="1162"/>
    </w:p>
    <w:p w14:paraId="683AE191" w14:textId="77777777" w:rsidR="00D67B50" w:rsidRPr="00D67B50" w:rsidRDefault="00D67B50" w:rsidP="00D67B50">
      <w:pPr>
        <w:spacing w:after="0" w:line="240" w:lineRule="auto"/>
        <w:jc w:val="both"/>
        <w:rPr>
          <w:rFonts w:ascii="Times New Roman" w:hAnsi="Times New Roman" w:cs="Times New Roman"/>
          <w:lang w:val="es-US"/>
        </w:rPr>
      </w:pPr>
    </w:p>
    <w:p w14:paraId="0D213AE9" w14:textId="55450270" w:rsidR="00AD68A4" w:rsidRPr="00AD68A4" w:rsidRDefault="00AD68A4" w:rsidP="00AD68A4">
      <w:pPr>
        <w:spacing w:after="0" w:line="240" w:lineRule="auto"/>
        <w:jc w:val="both"/>
        <w:rPr>
          <w:rFonts w:ascii="Times New Roman" w:hAnsi="Times New Roman" w:cs="Times New Roman"/>
          <w:lang w:val="es-US"/>
        </w:rPr>
      </w:pPr>
      <w:r w:rsidRPr="00AD68A4">
        <w:rPr>
          <w:rFonts w:ascii="Times New Roman" w:hAnsi="Times New Roman" w:cs="Times New Roman"/>
          <w:lang w:val="es-US"/>
        </w:rPr>
        <w:t xml:space="preserve">Este impuesto ha recobrado su dinámica en el primer semestre esto influenciado principalmente por un aumento en el consumo el cual puede haberse dinamizado por mayor disponibilidad de recursos que puede estar </w:t>
      </w:r>
      <w:r w:rsidR="00704C84">
        <w:rPr>
          <w:rFonts w:ascii="Times New Roman" w:hAnsi="Times New Roman" w:cs="Times New Roman"/>
          <w:lang w:val="es-US"/>
        </w:rPr>
        <w:t>determinado</w:t>
      </w:r>
      <w:r w:rsidRPr="00AD68A4">
        <w:rPr>
          <w:rFonts w:ascii="Times New Roman" w:hAnsi="Times New Roman" w:cs="Times New Roman"/>
          <w:lang w:val="es-US"/>
        </w:rPr>
        <w:t xml:space="preserve"> por la recuperación en las remesas familiares que a junio han superado lo observado en los últimos 10 años (sin incluir 2020 año de pandemia), para 2021 se observa un crecimiento </w:t>
      </w:r>
      <w:r w:rsidR="00704C84">
        <w:rPr>
          <w:rFonts w:ascii="Times New Roman" w:hAnsi="Times New Roman" w:cs="Times New Roman"/>
          <w:lang w:val="es-US"/>
        </w:rPr>
        <w:t xml:space="preserve">de esta variable </w:t>
      </w:r>
      <w:r w:rsidRPr="00AD68A4">
        <w:rPr>
          <w:rFonts w:ascii="Times New Roman" w:hAnsi="Times New Roman" w:cs="Times New Roman"/>
          <w:lang w:val="es-US"/>
        </w:rPr>
        <w:t>de 43%, el promedio de los últimos 10 años es de 10.7%.</w:t>
      </w:r>
    </w:p>
    <w:p w14:paraId="4EDDA9AD" w14:textId="77777777" w:rsidR="00AD68A4" w:rsidRPr="00AD68A4" w:rsidRDefault="00AD68A4" w:rsidP="00AD68A4">
      <w:pPr>
        <w:spacing w:after="0" w:line="240" w:lineRule="auto"/>
        <w:jc w:val="both"/>
        <w:rPr>
          <w:rFonts w:ascii="Times New Roman" w:hAnsi="Times New Roman" w:cs="Times New Roman"/>
          <w:lang w:val="es-US"/>
        </w:rPr>
      </w:pPr>
    </w:p>
    <w:p w14:paraId="085EDF93" w14:textId="4252D3FF" w:rsidR="00D67B50" w:rsidRDefault="00AD68A4" w:rsidP="00AD68A4">
      <w:pPr>
        <w:spacing w:after="0" w:line="240" w:lineRule="auto"/>
        <w:jc w:val="both"/>
        <w:rPr>
          <w:rFonts w:ascii="Times New Roman" w:hAnsi="Times New Roman" w:cs="Times New Roman"/>
          <w:lang w:val="es-US"/>
        </w:rPr>
      </w:pPr>
      <w:r w:rsidRPr="00AD68A4">
        <w:rPr>
          <w:rFonts w:ascii="Times New Roman" w:hAnsi="Times New Roman" w:cs="Times New Roman"/>
          <w:lang w:val="es-US"/>
        </w:rPr>
        <w:t xml:space="preserve">De manera acumulada </w:t>
      </w:r>
      <w:r w:rsidR="00822179">
        <w:rPr>
          <w:rFonts w:ascii="Times New Roman" w:hAnsi="Times New Roman" w:cs="Times New Roman"/>
          <w:lang w:val="es-US"/>
        </w:rPr>
        <w:t>el IVA</w:t>
      </w:r>
      <w:r w:rsidRPr="00AD68A4">
        <w:rPr>
          <w:rFonts w:ascii="Times New Roman" w:hAnsi="Times New Roman" w:cs="Times New Roman"/>
          <w:lang w:val="es-US"/>
        </w:rPr>
        <w:t xml:space="preserve"> genera brecha positiva de Q2,359.1 millones respecto a la meta de presupuesto y Q3,994.4 millones respecto a 2020, sobresale en este resultado la recuperación en el régimen de retenciones que creció en 18.5%, el del pequeño contribuyente creció 19.8%</w:t>
      </w:r>
      <w:r w:rsidR="00A34522">
        <w:rPr>
          <w:rFonts w:ascii="Times New Roman" w:hAnsi="Times New Roman" w:cs="Times New Roman"/>
          <w:lang w:val="es-US"/>
        </w:rPr>
        <w:t xml:space="preserve">, </w:t>
      </w:r>
      <w:r w:rsidRPr="00AD68A4">
        <w:rPr>
          <w:rFonts w:ascii="Times New Roman" w:hAnsi="Times New Roman" w:cs="Times New Roman"/>
          <w:lang w:val="es-US"/>
        </w:rPr>
        <w:t>en 2020 este régimen tuvo una caída del 13.9%, el de traspaso de vehículos que de igual manera creció en 77.5% (en 2020 cayó en 35.7%) y el de facturas especiales que crece en 11.5% (en 2020 cayó en 5.7%).</w:t>
      </w:r>
    </w:p>
    <w:p w14:paraId="3AB3BE67" w14:textId="77777777" w:rsidR="00D67B50" w:rsidRPr="00D67B50" w:rsidRDefault="00D67B50" w:rsidP="00D67B50">
      <w:pPr>
        <w:spacing w:after="0" w:line="240" w:lineRule="auto"/>
        <w:jc w:val="both"/>
        <w:rPr>
          <w:rFonts w:ascii="Times New Roman" w:hAnsi="Times New Roman" w:cs="Times New Roman"/>
          <w:lang w:val="es-US"/>
        </w:rPr>
      </w:pPr>
    </w:p>
    <w:p w14:paraId="1C9C5182" w14:textId="08750720" w:rsidR="00D67B50" w:rsidRPr="00D67B50" w:rsidRDefault="003E14B7" w:rsidP="003E14B7">
      <w:pPr>
        <w:pStyle w:val="Epgrafe"/>
        <w:jc w:val="center"/>
        <w:rPr>
          <w:rFonts w:ascii="Times New Roman" w:hAnsi="Times New Roman" w:cs="Times New Roman"/>
          <w:b/>
          <w:bCs/>
          <w:i w:val="0"/>
          <w:iCs w:val="0"/>
          <w:color w:val="auto"/>
          <w:sz w:val="22"/>
          <w:szCs w:val="20"/>
        </w:rPr>
      </w:pPr>
      <w:bookmarkStart w:id="1163" w:name="_Toc50016841"/>
      <w:bookmarkStart w:id="1164" w:name="_Toc81573085"/>
      <w:r w:rsidRPr="003E14B7">
        <w:rPr>
          <w:rFonts w:ascii="Times New Roman" w:hAnsi="Times New Roman" w:cs="Times New Roman"/>
          <w:b/>
          <w:color w:val="auto"/>
          <w:sz w:val="20"/>
        </w:rPr>
        <w:t xml:space="preserve">Gráfico </w:t>
      </w:r>
      <w:r w:rsidRPr="003E14B7">
        <w:rPr>
          <w:rFonts w:ascii="Times New Roman" w:hAnsi="Times New Roman" w:cs="Times New Roman"/>
          <w:b/>
          <w:color w:val="auto"/>
          <w:sz w:val="20"/>
        </w:rPr>
        <w:fldChar w:fldCharType="begin"/>
      </w:r>
      <w:r w:rsidRPr="003E14B7">
        <w:rPr>
          <w:rFonts w:ascii="Times New Roman" w:hAnsi="Times New Roman" w:cs="Times New Roman"/>
          <w:b/>
          <w:color w:val="auto"/>
          <w:sz w:val="20"/>
        </w:rPr>
        <w:instrText xml:space="preserve"> SEQ Gráfico \* ARABIC </w:instrText>
      </w:r>
      <w:r w:rsidRPr="003E14B7">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35</w:t>
      </w:r>
      <w:r w:rsidRPr="003E14B7">
        <w:rPr>
          <w:rFonts w:ascii="Times New Roman" w:hAnsi="Times New Roman" w:cs="Times New Roman"/>
          <w:b/>
          <w:color w:val="auto"/>
          <w:sz w:val="20"/>
        </w:rPr>
        <w:fldChar w:fldCharType="end"/>
      </w:r>
      <w:r w:rsidR="003739A8">
        <w:rPr>
          <w:rFonts w:ascii="Times New Roman" w:hAnsi="Times New Roman" w:cs="Times New Roman"/>
          <w:b/>
          <w:color w:val="auto"/>
          <w:sz w:val="20"/>
        </w:rPr>
        <w:t xml:space="preserve"> </w:t>
      </w:r>
      <w:r w:rsidRPr="003E14B7">
        <w:rPr>
          <w:rFonts w:ascii="Times New Roman" w:hAnsi="Times New Roman" w:cs="Times New Roman"/>
          <w:b/>
          <w:color w:val="auto"/>
          <w:sz w:val="20"/>
        </w:rPr>
        <w:t xml:space="preserve"> </w:t>
      </w:r>
      <w:r w:rsidR="00D67B50" w:rsidRPr="00D67B50">
        <w:rPr>
          <w:rFonts w:ascii="Times New Roman" w:hAnsi="Times New Roman" w:cs="Times New Roman"/>
          <w:b/>
          <w:i w:val="0"/>
          <w:color w:val="auto"/>
          <w:sz w:val="22"/>
        </w:rPr>
        <w:t>IVA doméstico e importaciones</w:t>
      </w:r>
      <w:bookmarkEnd w:id="1163"/>
      <w:bookmarkEnd w:id="1164"/>
    </w:p>
    <w:tbl>
      <w:tblPr>
        <w:tblW w:w="9328" w:type="dxa"/>
        <w:jc w:val="center"/>
        <w:tblLook w:val="04A0" w:firstRow="1" w:lastRow="0" w:firstColumn="1" w:lastColumn="0" w:noHBand="0" w:noVBand="1"/>
      </w:tblPr>
      <w:tblGrid>
        <w:gridCol w:w="4773"/>
        <w:gridCol w:w="4555"/>
      </w:tblGrid>
      <w:tr w:rsidR="00D67B50" w:rsidRPr="00D67B50" w14:paraId="517DBDF9" w14:textId="77777777" w:rsidTr="00DA3E0F">
        <w:trPr>
          <w:trHeight w:val="1470"/>
          <w:jc w:val="center"/>
        </w:trPr>
        <w:tc>
          <w:tcPr>
            <w:tcW w:w="4773" w:type="dxa"/>
          </w:tcPr>
          <w:p w14:paraId="33EFA4C5" w14:textId="77777777" w:rsidR="00D67B50" w:rsidRPr="00D67B50" w:rsidRDefault="00D67B50" w:rsidP="00D67B50">
            <w:pPr>
              <w:jc w:val="both"/>
              <w:rPr>
                <w:rFonts w:ascii="Times New Roman" w:hAnsi="Times New Roman" w:cs="Times New Roman"/>
                <w:sz w:val="20"/>
                <w:szCs w:val="20"/>
                <w:lang w:val="es-US"/>
              </w:rPr>
            </w:pPr>
            <w:r w:rsidRPr="00D67B50">
              <w:rPr>
                <w:rFonts w:ascii="Times New Roman" w:hAnsi="Times New Roman" w:cs="Times New Roman"/>
                <w:noProof/>
                <w:szCs w:val="20"/>
                <w:lang w:val="es-ES" w:eastAsia="es-ES"/>
              </w:rPr>
              <w:drawing>
                <wp:anchor distT="0" distB="0" distL="114300" distR="114300" simplePos="0" relativeHeight="251985408" behindDoc="0" locked="0" layoutInCell="1" allowOverlap="1" wp14:anchorId="27A8ED76" wp14:editId="726BE898">
                  <wp:simplePos x="0" y="0"/>
                  <wp:positionH relativeFrom="column">
                    <wp:posOffset>-20955</wp:posOffset>
                  </wp:positionH>
                  <wp:positionV relativeFrom="paragraph">
                    <wp:posOffset>26035</wp:posOffset>
                  </wp:positionV>
                  <wp:extent cx="2840990" cy="1994535"/>
                  <wp:effectExtent l="0" t="0" r="0" b="5715"/>
                  <wp:wrapSquare wrapText="bothSides"/>
                  <wp:docPr id="7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r w:rsidRPr="00D67B50">
              <w:rPr>
                <w:rFonts w:ascii="Times New Roman" w:hAnsi="Times New Roman" w:cs="Times New Roman"/>
                <w:sz w:val="16"/>
                <w:szCs w:val="20"/>
                <w:lang w:val="es-US"/>
              </w:rPr>
              <w:t>Fuente: Dirección de Análisis y Política Fiscal.</w:t>
            </w:r>
          </w:p>
        </w:tc>
        <w:tc>
          <w:tcPr>
            <w:tcW w:w="4555" w:type="dxa"/>
          </w:tcPr>
          <w:p w14:paraId="0B90EA6B" w14:textId="77777777" w:rsidR="00D67B50" w:rsidRPr="00D67B50" w:rsidRDefault="00D67B50" w:rsidP="00D67B50">
            <w:pPr>
              <w:jc w:val="both"/>
              <w:rPr>
                <w:rFonts w:ascii="Times New Roman" w:hAnsi="Times New Roman" w:cs="Times New Roman"/>
                <w:sz w:val="20"/>
                <w:szCs w:val="20"/>
                <w:lang w:val="es-US"/>
              </w:rPr>
            </w:pPr>
            <w:r w:rsidRPr="00D67B50">
              <w:rPr>
                <w:rFonts w:ascii="Times New Roman" w:hAnsi="Times New Roman" w:cs="Times New Roman"/>
                <w:noProof/>
                <w:sz w:val="20"/>
                <w:szCs w:val="20"/>
                <w:lang w:val="es-ES" w:eastAsia="es-ES"/>
              </w:rPr>
              <w:drawing>
                <wp:anchor distT="0" distB="0" distL="114300" distR="114300" simplePos="0" relativeHeight="251986432" behindDoc="0" locked="0" layoutInCell="1" allowOverlap="1" wp14:anchorId="29B73DB0" wp14:editId="30C71484">
                  <wp:simplePos x="0" y="0"/>
                  <wp:positionH relativeFrom="column">
                    <wp:posOffset>-40640</wp:posOffset>
                  </wp:positionH>
                  <wp:positionV relativeFrom="paragraph">
                    <wp:posOffset>93980</wp:posOffset>
                  </wp:positionV>
                  <wp:extent cx="2704465" cy="1925955"/>
                  <wp:effectExtent l="0" t="0" r="635" b="0"/>
                  <wp:wrapSquare wrapText="bothSides"/>
                  <wp:docPr id="79"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p>
        </w:tc>
      </w:tr>
    </w:tbl>
    <w:p w14:paraId="5FEDCEA6" w14:textId="338BE31E" w:rsidR="00D67B50" w:rsidRDefault="00D67B50" w:rsidP="00D67B50">
      <w:pPr>
        <w:spacing w:after="0" w:line="240" w:lineRule="auto"/>
        <w:jc w:val="both"/>
        <w:rPr>
          <w:rFonts w:ascii="Times New Roman" w:hAnsi="Times New Roman" w:cs="Times New Roman"/>
          <w:sz w:val="14"/>
          <w:lang w:val="es-US"/>
        </w:rPr>
      </w:pPr>
    </w:p>
    <w:p w14:paraId="1894BEE2" w14:textId="5E4C6D49" w:rsidR="00DA3E0F" w:rsidRDefault="00DA3E0F" w:rsidP="00D67B50">
      <w:pPr>
        <w:spacing w:after="0" w:line="240" w:lineRule="auto"/>
        <w:jc w:val="both"/>
        <w:rPr>
          <w:rFonts w:ascii="Times New Roman" w:hAnsi="Times New Roman" w:cs="Times New Roman"/>
          <w:lang w:val="es-US"/>
        </w:rPr>
      </w:pPr>
      <w:r>
        <w:rPr>
          <w:rFonts w:ascii="Times New Roman" w:hAnsi="Times New Roman" w:cs="Times New Roman"/>
          <w:lang w:val="es-US"/>
        </w:rPr>
        <w:t>La recaudación acumulada asociada al comercio exterior (IVA de importaciones y Derechos arancelarios a la importación) muestra mayor dinamismo respecto a lo observado en 2020 creciendo en 41.2% y 22.1%</w:t>
      </w:r>
      <w:r w:rsidR="00460F64">
        <w:rPr>
          <w:rFonts w:ascii="Times New Roman" w:hAnsi="Times New Roman" w:cs="Times New Roman"/>
          <w:lang w:val="es-US"/>
        </w:rPr>
        <w:t xml:space="preserve"> respectivamente</w:t>
      </w:r>
      <w:r w:rsidR="00601E12">
        <w:rPr>
          <w:rFonts w:ascii="Times New Roman" w:hAnsi="Times New Roman" w:cs="Times New Roman"/>
          <w:lang w:val="es-US"/>
        </w:rPr>
        <w:t xml:space="preserve"> con</w:t>
      </w:r>
      <w:r>
        <w:rPr>
          <w:rFonts w:ascii="Times New Roman" w:hAnsi="Times New Roman" w:cs="Times New Roman"/>
          <w:lang w:val="es-US"/>
        </w:rPr>
        <w:t xml:space="preserve"> re</w:t>
      </w:r>
      <w:r w:rsidR="00601E12">
        <w:rPr>
          <w:rFonts w:ascii="Times New Roman" w:hAnsi="Times New Roman" w:cs="Times New Roman"/>
          <w:lang w:val="es-US"/>
        </w:rPr>
        <w:t>lación</w:t>
      </w:r>
      <w:r>
        <w:rPr>
          <w:rFonts w:ascii="Times New Roman" w:hAnsi="Times New Roman" w:cs="Times New Roman"/>
          <w:lang w:val="es-US"/>
        </w:rPr>
        <w:t xml:space="preserve"> a la meta de presupuesto</w:t>
      </w:r>
      <w:r w:rsidR="00CF4B79">
        <w:rPr>
          <w:rFonts w:ascii="Times New Roman" w:hAnsi="Times New Roman" w:cs="Times New Roman"/>
          <w:lang w:val="es-US"/>
        </w:rPr>
        <w:t>,</w:t>
      </w:r>
      <w:r>
        <w:rPr>
          <w:rFonts w:ascii="Times New Roman" w:hAnsi="Times New Roman" w:cs="Times New Roman"/>
          <w:lang w:val="es-US"/>
        </w:rPr>
        <w:t xml:space="preserve"> este dinamismo puede estar explicado en gran medida a la recuperación y reapertura gradual de las economías de los países socios los cuales para contrarrestar los contagios </w:t>
      </w:r>
      <w:r w:rsidR="00CF4B79">
        <w:rPr>
          <w:rFonts w:ascii="Times New Roman" w:hAnsi="Times New Roman" w:cs="Times New Roman"/>
          <w:lang w:val="es-US"/>
        </w:rPr>
        <w:t>de la</w:t>
      </w:r>
      <w:r>
        <w:rPr>
          <w:rFonts w:ascii="Times New Roman" w:hAnsi="Times New Roman" w:cs="Times New Roman"/>
          <w:lang w:val="es-US"/>
        </w:rPr>
        <w:t xml:space="preserve"> pandemia en 2020 cerrar</w:t>
      </w:r>
      <w:r w:rsidR="00F42ED4">
        <w:rPr>
          <w:rFonts w:ascii="Times New Roman" w:hAnsi="Times New Roman" w:cs="Times New Roman"/>
          <w:lang w:val="es-US"/>
        </w:rPr>
        <w:t>on</w:t>
      </w:r>
      <w:r>
        <w:rPr>
          <w:rFonts w:ascii="Times New Roman" w:hAnsi="Times New Roman" w:cs="Times New Roman"/>
          <w:lang w:val="es-US"/>
        </w:rPr>
        <w:t xml:space="preserve"> sus fronteras</w:t>
      </w:r>
      <w:r w:rsidR="00F42ED4">
        <w:rPr>
          <w:rFonts w:ascii="Times New Roman" w:hAnsi="Times New Roman" w:cs="Times New Roman"/>
          <w:lang w:val="es-US"/>
        </w:rPr>
        <w:t>,</w:t>
      </w:r>
      <w:r>
        <w:rPr>
          <w:rFonts w:ascii="Times New Roman" w:hAnsi="Times New Roman" w:cs="Times New Roman"/>
          <w:lang w:val="es-US"/>
        </w:rPr>
        <w:t xml:space="preserve"> lo que limit</w:t>
      </w:r>
      <w:r w:rsidR="00F42ED4">
        <w:rPr>
          <w:rFonts w:ascii="Times New Roman" w:hAnsi="Times New Roman" w:cs="Times New Roman"/>
          <w:lang w:val="es-US"/>
        </w:rPr>
        <w:t>ó</w:t>
      </w:r>
      <w:r>
        <w:rPr>
          <w:rFonts w:ascii="Times New Roman" w:hAnsi="Times New Roman" w:cs="Times New Roman"/>
          <w:lang w:val="es-US"/>
        </w:rPr>
        <w:t xml:space="preserve"> el comercio, otros aspectos que también juegan un papel importante</w:t>
      </w:r>
      <w:r w:rsidR="00CF4B79">
        <w:rPr>
          <w:rFonts w:ascii="Times New Roman" w:hAnsi="Times New Roman" w:cs="Times New Roman"/>
          <w:lang w:val="es-US"/>
        </w:rPr>
        <w:t xml:space="preserve"> en esta recuperación son</w:t>
      </w:r>
      <w:r>
        <w:rPr>
          <w:rFonts w:ascii="Times New Roman" w:hAnsi="Times New Roman" w:cs="Times New Roman"/>
          <w:lang w:val="es-US"/>
        </w:rPr>
        <w:t xml:space="preserve"> el precio internacional del petróleo y el tipo de cambio, según información de la Superintendencia de Administración Tributaria -SA</w:t>
      </w:r>
      <w:r w:rsidR="00093795">
        <w:rPr>
          <w:rFonts w:ascii="Times New Roman" w:hAnsi="Times New Roman" w:cs="Times New Roman"/>
          <w:lang w:val="es-US"/>
        </w:rPr>
        <w:t>T-</w:t>
      </w:r>
      <w:r w:rsidR="00A94FFB">
        <w:rPr>
          <w:rFonts w:ascii="Times New Roman" w:hAnsi="Times New Roman" w:cs="Times New Roman"/>
          <w:lang w:val="es-US"/>
        </w:rPr>
        <w:t xml:space="preserve"> las aduanas que </w:t>
      </w:r>
      <w:r w:rsidR="007C762E">
        <w:rPr>
          <w:rFonts w:ascii="Times New Roman" w:hAnsi="Times New Roman" w:cs="Times New Roman"/>
          <w:lang w:val="es-US"/>
        </w:rPr>
        <w:t xml:space="preserve">aportan el 89.3% de la recaudación total asociada al comercio internacional son la </w:t>
      </w:r>
      <w:r w:rsidR="00CF4B79">
        <w:rPr>
          <w:rFonts w:ascii="Times New Roman" w:hAnsi="Times New Roman" w:cs="Times New Roman"/>
          <w:lang w:val="es-US"/>
        </w:rPr>
        <w:t>A</w:t>
      </w:r>
      <w:r w:rsidR="007C762E">
        <w:rPr>
          <w:rFonts w:ascii="Times New Roman" w:hAnsi="Times New Roman" w:cs="Times New Roman"/>
          <w:lang w:val="es-US"/>
        </w:rPr>
        <w:t xml:space="preserve">duana central, el </w:t>
      </w:r>
      <w:r w:rsidR="00CF4B79">
        <w:rPr>
          <w:rFonts w:ascii="Times New Roman" w:hAnsi="Times New Roman" w:cs="Times New Roman"/>
          <w:lang w:val="es-US"/>
        </w:rPr>
        <w:t>E</w:t>
      </w:r>
      <w:r w:rsidR="007C762E">
        <w:rPr>
          <w:rFonts w:ascii="Times New Roman" w:hAnsi="Times New Roman" w:cs="Times New Roman"/>
          <w:lang w:val="es-US"/>
        </w:rPr>
        <w:t xml:space="preserve">xpress aéreo, </w:t>
      </w:r>
      <w:r w:rsidR="00CF4B79">
        <w:rPr>
          <w:rFonts w:ascii="Times New Roman" w:hAnsi="Times New Roman" w:cs="Times New Roman"/>
          <w:lang w:val="es-US"/>
        </w:rPr>
        <w:t xml:space="preserve">Aduana </w:t>
      </w:r>
      <w:r w:rsidR="007C762E">
        <w:rPr>
          <w:rFonts w:ascii="Times New Roman" w:hAnsi="Times New Roman" w:cs="Times New Roman"/>
          <w:lang w:val="es-US"/>
        </w:rPr>
        <w:t xml:space="preserve">puerto quetzal, </w:t>
      </w:r>
      <w:r w:rsidR="00CF4B79">
        <w:rPr>
          <w:rFonts w:ascii="Times New Roman" w:hAnsi="Times New Roman" w:cs="Times New Roman"/>
          <w:lang w:val="es-US"/>
        </w:rPr>
        <w:t>Aduana</w:t>
      </w:r>
      <w:r w:rsidR="00ED2B04">
        <w:rPr>
          <w:rFonts w:ascii="Times New Roman" w:hAnsi="Times New Roman" w:cs="Times New Roman"/>
          <w:lang w:val="es-US"/>
        </w:rPr>
        <w:t xml:space="preserve"> puerto </w:t>
      </w:r>
      <w:r w:rsidR="007C762E">
        <w:rPr>
          <w:rFonts w:ascii="Times New Roman" w:hAnsi="Times New Roman" w:cs="Times New Roman"/>
          <w:lang w:val="es-US"/>
        </w:rPr>
        <w:t xml:space="preserve">santo tomas, </w:t>
      </w:r>
      <w:r w:rsidR="00ED2B04">
        <w:rPr>
          <w:rFonts w:ascii="Times New Roman" w:hAnsi="Times New Roman" w:cs="Times New Roman"/>
          <w:lang w:val="es-US"/>
        </w:rPr>
        <w:t xml:space="preserve">Aduana </w:t>
      </w:r>
      <w:r w:rsidR="007C762E">
        <w:rPr>
          <w:rFonts w:ascii="Times New Roman" w:hAnsi="Times New Roman" w:cs="Times New Roman"/>
          <w:lang w:val="es-US"/>
        </w:rPr>
        <w:t xml:space="preserve">puerto barrios y la aduana Tecún Umán II, </w:t>
      </w:r>
      <w:r w:rsidR="00CF4B79">
        <w:rPr>
          <w:rFonts w:ascii="Times New Roman" w:hAnsi="Times New Roman" w:cs="Times New Roman"/>
          <w:lang w:val="es-US"/>
        </w:rPr>
        <w:t>este grupo de aduanas</w:t>
      </w:r>
      <w:r w:rsidR="007C762E">
        <w:rPr>
          <w:rFonts w:ascii="Times New Roman" w:hAnsi="Times New Roman" w:cs="Times New Roman"/>
          <w:lang w:val="es-US"/>
        </w:rPr>
        <w:t xml:space="preserve"> crecieron 41% (Q2,953.85 millones) </w:t>
      </w:r>
      <w:r w:rsidR="00CF4B79">
        <w:rPr>
          <w:rFonts w:ascii="Times New Roman" w:hAnsi="Times New Roman" w:cs="Times New Roman"/>
          <w:lang w:val="es-US"/>
        </w:rPr>
        <w:t xml:space="preserve">respecto a lo observado en 2020, el resto de aduanas a pesar que algunas tuvieron crecimientos importantes </w:t>
      </w:r>
      <w:r w:rsidR="00ED2B04">
        <w:rPr>
          <w:rFonts w:ascii="Times New Roman" w:hAnsi="Times New Roman" w:cs="Times New Roman"/>
          <w:lang w:val="es-US"/>
        </w:rPr>
        <w:t xml:space="preserve">respecto a 2020 </w:t>
      </w:r>
      <w:r w:rsidR="00CF4B79">
        <w:rPr>
          <w:rFonts w:ascii="Times New Roman" w:hAnsi="Times New Roman" w:cs="Times New Roman"/>
          <w:lang w:val="es-US"/>
        </w:rPr>
        <w:t xml:space="preserve">su aporte a la recaudación </w:t>
      </w:r>
      <w:r w:rsidR="00F27507">
        <w:rPr>
          <w:rFonts w:ascii="Times New Roman" w:hAnsi="Times New Roman" w:cs="Times New Roman"/>
          <w:lang w:val="es-US"/>
        </w:rPr>
        <w:t>asociada al comercio exterior es menor</w:t>
      </w:r>
      <w:r w:rsidR="00CF4B79">
        <w:rPr>
          <w:rFonts w:ascii="Times New Roman" w:hAnsi="Times New Roman" w:cs="Times New Roman"/>
          <w:lang w:val="es-US"/>
        </w:rPr>
        <w:t>.</w:t>
      </w:r>
    </w:p>
    <w:p w14:paraId="7B74F9AF" w14:textId="519BA5DC" w:rsidR="00C05842" w:rsidRDefault="00C05842" w:rsidP="00D67B50">
      <w:pPr>
        <w:spacing w:after="0" w:line="240" w:lineRule="auto"/>
        <w:jc w:val="both"/>
        <w:rPr>
          <w:rFonts w:ascii="Times New Roman" w:hAnsi="Times New Roman" w:cs="Times New Roman"/>
          <w:lang w:val="es-US"/>
        </w:rPr>
      </w:pPr>
    </w:p>
    <w:p w14:paraId="5B36C95A" w14:textId="7353E304" w:rsidR="00C05842" w:rsidRDefault="00C05842" w:rsidP="00D67B50">
      <w:pPr>
        <w:spacing w:after="0" w:line="240" w:lineRule="auto"/>
        <w:jc w:val="both"/>
        <w:rPr>
          <w:rFonts w:ascii="Times New Roman" w:hAnsi="Times New Roman" w:cs="Times New Roman"/>
          <w:lang w:val="es-US"/>
        </w:rPr>
      </w:pPr>
      <w:r>
        <w:rPr>
          <w:rFonts w:ascii="Times New Roman" w:hAnsi="Times New Roman" w:cs="Times New Roman"/>
          <w:lang w:val="es-US"/>
        </w:rPr>
        <w:t>Aunado a lo recaudado en las aduanas nacionales, también se observa un crecimiento del 18.6% (47,180 contenedores) en el movimiento acumulado de contenedores en las empresas portuarias EPQ y TCQ al mes de junio</w:t>
      </w:r>
    </w:p>
    <w:p w14:paraId="703D2AD0" w14:textId="7B91803B" w:rsidR="00CF4B79" w:rsidRDefault="00CF4B79" w:rsidP="00D67B50">
      <w:pPr>
        <w:spacing w:after="0" w:line="240" w:lineRule="auto"/>
        <w:jc w:val="both"/>
        <w:rPr>
          <w:rFonts w:ascii="Times New Roman" w:hAnsi="Times New Roman" w:cs="Times New Roman"/>
          <w:lang w:val="es-US"/>
        </w:rPr>
      </w:pPr>
    </w:p>
    <w:p w14:paraId="17F15B63" w14:textId="77777777" w:rsidR="00887777" w:rsidRDefault="00887777" w:rsidP="00D67B50">
      <w:pPr>
        <w:spacing w:after="0" w:line="240" w:lineRule="auto"/>
        <w:jc w:val="both"/>
        <w:rPr>
          <w:rFonts w:ascii="Times New Roman" w:hAnsi="Times New Roman" w:cs="Times New Roman"/>
          <w:lang w:val="es-US"/>
        </w:rPr>
      </w:pPr>
    </w:p>
    <w:p w14:paraId="4C92C2FC" w14:textId="2D416358" w:rsidR="00ED2B04" w:rsidRDefault="00ED2B04" w:rsidP="00ED2B04">
      <w:pPr>
        <w:pStyle w:val="Epgrafe"/>
        <w:spacing w:after="0"/>
        <w:jc w:val="center"/>
        <w:rPr>
          <w:rFonts w:ascii="Times New Roman" w:hAnsi="Times New Roman" w:cs="Times New Roman"/>
          <w:b/>
          <w:i w:val="0"/>
          <w:color w:val="auto"/>
          <w:sz w:val="22"/>
        </w:rPr>
      </w:pPr>
      <w:bookmarkStart w:id="1165" w:name="_Toc81573086"/>
      <w:r w:rsidRPr="003E14B7">
        <w:rPr>
          <w:rFonts w:ascii="Times New Roman" w:hAnsi="Times New Roman" w:cs="Times New Roman"/>
          <w:b/>
          <w:color w:val="auto"/>
          <w:sz w:val="20"/>
        </w:rPr>
        <w:t xml:space="preserve">Gráfico </w:t>
      </w:r>
      <w:r w:rsidRPr="003E14B7">
        <w:rPr>
          <w:rFonts w:ascii="Times New Roman" w:hAnsi="Times New Roman" w:cs="Times New Roman"/>
          <w:b/>
          <w:color w:val="auto"/>
          <w:sz w:val="20"/>
        </w:rPr>
        <w:fldChar w:fldCharType="begin"/>
      </w:r>
      <w:r w:rsidRPr="003E14B7">
        <w:rPr>
          <w:rFonts w:ascii="Times New Roman" w:hAnsi="Times New Roman" w:cs="Times New Roman"/>
          <w:b/>
          <w:color w:val="auto"/>
          <w:sz w:val="20"/>
        </w:rPr>
        <w:instrText xml:space="preserve"> SEQ Gráfico \* ARABIC </w:instrText>
      </w:r>
      <w:r w:rsidRPr="003E14B7">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36</w:t>
      </w:r>
      <w:r w:rsidRPr="003E14B7">
        <w:rPr>
          <w:rFonts w:ascii="Times New Roman" w:hAnsi="Times New Roman" w:cs="Times New Roman"/>
          <w:b/>
          <w:color w:val="auto"/>
          <w:sz w:val="20"/>
        </w:rPr>
        <w:fldChar w:fldCharType="end"/>
      </w:r>
      <w:r>
        <w:rPr>
          <w:rFonts w:ascii="Times New Roman" w:hAnsi="Times New Roman" w:cs="Times New Roman"/>
          <w:b/>
          <w:color w:val="auto"/>
          <w:sz w:val="20"/>
        </w:rPr>
        <w:t xml:space="preserve"> </w:t>
      </w:r>
      <w:r w:rsidRPr="003E14B7">
        <w:rPr>
          <w:rFonts w:ascii="Times New Roman" w:hAnsi="Times New Roman" w:cs="Times New Roman"/>
          <w:b/>
          <w:color w:val="auto"/>
          <w:sz w:val="20"/>
        </w:rPr>
        <w:t xml:space="preserve"> </w:t>
      </w:r>
      <w:r>
        <w:rPr>
          <w:rFonts w:ascii="Times New Roman" w:hAnsi="Times New Roman" w:cs="Times New Roman"/>
          <w:b/>
          <w:i w:val="0"/>
          <w:color w:val="auto"/>
          <w:sz w:val="22"/>
        </w:rPr>
        <w:t>Variación Interanual impuestos asociados al comercio exterior (términos brutos)</w:t>
      </w:r>
      <w:bookmarkEnd w:id="1165"/>
    </w:p>
    <w:p w14:paraId="70597121" w14:textId="66BF3CCA" w:rsidR="00ED2B04" w:rsidRPr="00E851D2" w:rsidRDefault="00ED2B04" w:rsidP="00ED2B04">
      <w:pPr>
        <w:spacing w:after="0"/>
        <w:jc w:val="center"/>
        <w:rPr>
          <w:rFonts w:ascii="Times New Roman" w:hAnsi="Times New Roman" w:cs="Times New Roman"/>
        </w:rPr>
      </w:pPr>
      <w:r w:rsidRPr="00E851D2">
        <w:rPr>
          <w:rFonts w:ascii="Times New Roman" w:hAnsi="Times New Roman" w:cs="Times New Roman"/>
        </w:rPr>
        <w:t>Porcentajes (2021/2020)</w:t>
      </w:r>
    </w:p>
    <w:p w14:paraId="24D99E63" w14:textId="09459582" w:rsidR="00CF4B79" w:rsidRDefault="00CF4B79" w:rsidP="00D67B50">
      <w:pPr>
        <w:spacing w:after="0" w:line="240" w:lineRule="auto"/>
        <w:jc w:val="both"/>
        <w:rPr>
          <w:rFonts w:ascii="Times New Roman" w:hAnsi="Times New Roman" w:cs="Times New Roman"/>
          <w:lang w:val="es-US"/>
        </w:rPr>
      </w:pPr>
    </w:p>
    <w:p w14:paraId="4D855FD0" w14:textId="51EA89BC" w:rsidR="00CF4B79" w:rsidRDefault="00ED2B04" w:rsidP="00F27507">
      <w:pPr>
        <w:spacing w:after="0" w:line="240" w:lineRule="auto"/>
        <w:jc w:val="center"/>
        <w:rPr>
          <w:rFonts w:ascii="Times New Roman" w:hAnsi="Times New Roman" w:cs="Times New Roman"/>
          <w:lang w:val="es-US"/>
        </w:rPr>
      </w:pPr>
      <w:r>
        <w:rPr>
          <w:rFonts w:ascii="Times New Roman" w:hAnsi="Times New Roman" w:cs="Times New Roman"/>
          <w:noProof/>
          <w:lang w:val="es-ES" w:eastAsia="es-ES"/>
        </w:rPr>
        <w:drawing>
          <wp:inline distT="0" distB="0" distL="0" distR="0" wp14:anchorId="15BF1B7F" wp14:editId="606AEB2F">
            <wp:extent cx="3924877" cy="3881887"/>
            <wp:effectExtent l="0" t="0" r="0" b="444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9">
                      <a:extLst>
                        <a:ext uri="{28A0092B-C50C-407E-A947-70E740481C1C}">
                          <a14:useLocalDpi xmlns:a14="http://schemas.microsoft.com/office/drawing/2010/main" val="0"/>
                        </a:ext>
                      </a:extLst>
                    </a:blip>
                    <a:srcRect t="1530"/>
                    <a:stretch/>
                  </pic:blipFill>
                  <pic:spPr bwMode="auto">
                    <a:xfrm>
                      <a:off x="0" y="0"/>
                      <a:ext cx="3960127" cy="3916751"/>
                    </a:xfrm>
                    <a:prstGeom prst="rect">
                      <a:avLst/>
                    </a:prstGeom>
                    <a:noFill/>
                    <a:ln>
                      <a:noFill/>
                    </a:ln>
                    <a:extLst>
                      <a:ext uri="{53640926-AAD7-44D8-BBD7-CCE9431645EC}">
                        <a14:shadowObscured xmlns:a14="http://schemas.microsoft.com/office/drawing/2010/main"/>
                      </a:ext>
                    </a:extLst>
                  </pic:spPr>
                </pic:pic>
              </a:graphicData>
            </a:graphic>
          </wp:inline>
        </w:drawing>
      </w:r>
    </w:p>
    <w:p w14:paraId="4ED0ACFC" w14:textId="11A27DA4" w:rsidR="00CF4B79" w:rsidRDefault="00CF4B79" w:rsidP="00D67B50">
      <w:pPr>
        <w:spacing w:after="0" w:line="240" w:lineRule="auto"/>
        <w:jc w:val="both"/>
        <w:rPr>
          <w:rFonts w:ascii="Times New Roman" w:hAnsi="Times New Roman" w:cs="Times New Roman"/>
          <w:lang w:val="es-US"/>
        </w:rPr>
      </w:pPr>
    </w:p>
    <w:p w14:paraId="21BAC32A" w14:textId="6432EC52" w:rsidR="00CF4B79" w:rsidRDefault="00ED2B04" w:rsidP="00D67B50">
      <w:pPr>
        <w:spacing w:after="0" w:line="240" w:lineRule="auto"/>
        <w:jc w:val="both"/>
        <w:rPr>
          <w:rFonts w:ascii="Times New Roman" w:hAnsi="Times New Roman" w:cs="Times New Roman"/>
          <w:lang w:val="es-US"/>
        </w:rPr>
      </w:pPr>
      <w:r w:rsidRPr="00D67B50">
        <w:rPr>
          <w:rFonts w:ascii="Times New Roman" w:hAnsi="Times New Roman" w:cs="Times New Roman"/>
          <w:sz w:val="16"/>
          <w:szCs w:val="20"/>
          <w:lang w:val="es-US"/>
        </w:rPr>
        <w:t>Fuente: Dirección de Análisis y Política Fiscal.</w:t>
      </w:r>
    </w:p>
    <w:p w14:paraId="4A531F4A" w14:textId="6C321427" w:rsidR="00CF4B79" w:rsidRPr="00E4773A" w:rsidRDefault="00CF4B79" w:rsidP="00D67B50">
      <w:pPr>
        <w:spacing w:after="0" w:line="240" w:lineRule="auto"/>
        <w:jc w:val="both"/>
        <w:rPr>
          <w:rFonts w:ascii="Times New Roman" w:hAnsi="Times New Roman" w:cs="Times New Roman"/>
          <w:sz w:val="24"/>
          <w:lang w:val="es-US"/>
        </w:rPr>
      </w:pPr>
    </w:p>
    <w:p w14:paraId="411DA44D" w14:textId="77777777" w:rsidR="00D67B50" w:rsidRDefault="00D67B50" w:rsidP="001032E7">
      <w:pPr>
        <w:pStyle w:val="Prrafodelista"/>
        <w:numPr>
          <w:ilvl w:val="1"/>
          <w:numId w:val="38"/>
        </w:numPr>
        <w:spacing w:after="0" w:line="240" w:lineRule="auto"/>
        <w:jc w:val="both"/>
        <w:outlineLvl w:val="2"/>
        <w:rPr>
          <w:rFonts w:ascii="Times New Roman" w:hAnsi="Times New Roman" w:cs="Times New Roman"/>
          <w:b/>
          <w:bCs/>
          <w:lang w:val="es-US"/>
        </w:rPr>
      </w:pPr>
      <w:bookmarkStart w:id="1166" w:name="_Toc81571899"/>
      <w:r w:rsidRPr="00D67B50">
        <w:rPr>
          <w:rFonts w:ascii="Times New Roman" w:hAnsi="Times New Roman" w:cs="Times New Roman"/>
          <w:b/>
          <w:bCs/>
          <w:lang w:val="es-US"/>
        </w:rPr>
        <w:t>Los demás impuestos</w:t>
      </w:r>
      <w:bookmarkEnd w:id="1166"/>
    </w:p>
    <w:p w14:paraId="2934EA54" w14:textId="77777777" w:rsidR="00C91D2E" w:rsidRPr="00D67B50" w:rsidRDefault="00C91D2E" w:rsidP="00D67B50">
      <w:pPr>
        <w:spacing w:after="0" w:line="240" w:lineRule="auto"/>
        <w:jc w:val="both"/>
        <w:rPr>
          <w:rFonts w:ascii="Times New Roman" w:hAnsi="Times New Roman" w:cs="Times New Roman"/>
          <w:b/>
          <w:bCs/>
          <w:lang w:val="es-US"/>
        </w:rPr>
      </w:pPr>
    </w:p>
    <w:p w14:paraId="75BD071D" w14:textId="77777777" w:rsidR="00C05842" w:rsidRDefault="00AD68A4" w:rsidP="00D67B50">
      <w:pPr>
        <w:spacing w:after="0" w:line="240" w:lineRule="auto"/>
        <w:jc w:val="both"/>
        <w:rPr>
          <w:rFonts w:ascii="Times New Roman" w:hAnsi="Times New Roman" w:cs="Times New Roman"/>
          <w:lang w:val="es-US"/>
        </w:rPr>
      </w:pPr>
      <w:r w:rsidRPr="00AD68A4">
        <w:rPr>
          <w:rFonts w:ascii="Times New Roman" w:hAnsi="Times New Roman" w:cs="Times New Roman"/>
          <w:lang w:val="es-US"/>
        </w:rPr>
        <w:t xml:space="preserve">De los demás impuestos, en </w:t>
      </w:r>
      <w:r w:rsidR="00822179">
        <w:rPr>
          <w:rFonts w:ascii="Times New Roman" w:hAnsi="Times New Roman" w:cs="Times New Roman"/>
          <w:lang w:val="es-US"/>
        </w:rPr>
        <w:t xml:space="preserve">el primer semestre </w:t>
      </w:r>
      <w:r w:rsidRPr="00AD68A4">
        <w:rPr>
          <w:rFonts w:ascii="Times New Roman" w:hAnsi="Times New Roman" w:cs="Times New Roman"/>
          <w:lang w:val="es-US"/>
        </w:rPr>
        <w:t>destaca que el impuesto a</w:t>
      </w:r>
      <w:r w:rsidR="00822179">
        <w:rPr>
          <w:rFonts w:ascii="Times New Roman" w:hAnsi="Times New Roman" w:cs="Times New Roman"/>
          <w:lang w:val="es-US"/>
        </w:rPr>
        <w:t>l</w:t>
      </w:r>
      <w:r w:rsidRPr="00AD68A4">
        <w:rPr>
          <w:rFonts w:ascii="Times New Roman" w:hAnsi="Times New Roman" w:cs="Times New Roman"/>
          <w:lang w:val="es-US"/>
        </w:rPr>
        <w:t xml:space="preserve"> patrimonio, </w:t>
      </w:r>
      <w:r w:rsidR="00822179">
        <w:rPr>
          <w:rFonts w:ascii="Times New Roman" w:hAnsi="Times New Roman" w:cs="Times New Roman"/>
          <w:lang w:val="es-US"/>
        </w:rPr>
        <w:t>el de tabacos</w:t>
      </w:r>
      <w:r w:rsidRPr="00AD68A4">
        <w:rPr>
          <w:rFonts w:ascii="Times New Roman" w:hAnsi="Times New Roman" w:cs="Times New Roman"/>
          <w:lang w:val="es-US"/>
        </w:rPr>
        <w:t xml:space="preserve"> y los impuestos no administrados por SAT no superaron la meta de presupuesto y dejaron de percibir Q</w:t>
      </w:r>
      <w:r w:rsidR="00822179">
        <w:rPr>
          <w:rFonts w:ascii="Times New Roman" w:hAnsi="Times New Roman" w:cs="Times New Roman"/>
          <w:lang w:val="es-US"/>
        </w:rPr>
        <w:t xml:space="preserve">141 </w:t>
      </w:r>
      <w:r w:rsidRPr="00AD68A4">
        <w:rPr>
          <w:rFonts w:ascii="Times New Roman" w:hAnsi="Times New Roman" w:cs="Times New Roman"/>
          <w:lang w:val="es-US"/>
        </w:rPr>
        <w:t>millones en conjunto</w:t>
      </w:r>
      <w:r w:rsidR="00A34522" w:rsidRPr="00AD68A4">
        <w:rPr>
          <w:rFonts w:ascii="Times New Roman" w:hAnsi="Times New Roman" w:cs="Times New Roman"/>
          <w:lang w:val="es-US"/>
        </w:rPr>
        <w:t>.</w:t>
      </w:r>
      <w:r w:rsidR="00D67B50" w:rsidRPr="00D67B50">
        <w:rPr>
          <w:rFonts w:ascii="Times New Roman" w:hAnsi="Times New Roman" w:cs="Times New Roman"/>
          <w:lang w:val="es-US"/>
        </w:rPr>
        <w:t xml:space="preserve"> </w:t>
      </w:r>
    </w:p>
    <w:p w14:paraId="3813A9C3" w14:textId="77777777" w:rsidR="00C05842" w:rsidRDefault="00C05842" w:rsidP="00D67B50">
      <w:pPr>
        <w:spacing w:after="0" w:line="240" w:lineRule="auto"/>
        <w:jc w:val="both"/>
        <w:rPr>
          <w:rFonts w:ascii="Times New Roman" w:hAnsi="Times New Roman" w:cs="Times New Roman"/>
          <w:lang w:val="es-US"/>
        </w:rPr>
      </w:pPr>
    </w:p>
    <w:p w14:paraId="34982E3E" w14:textId="3AD16554" w:rsidR="00D67B50" w:rsidRDefault="006D5A8E" w:rsidP="00D67B50">
      <w:pPr>
        <w:spacing w:after="0" w:line="240" w:lineRule="auto"/>
        <w:jc w:val="both"/>
        <w:rPr>
          <w:rFonts w:ascii="Times New Roman" w:hAnsi="Times New Roman" w:cs="Times New Roman"/>
          <w:lang w:val="es-US"/>
        </w:rPr>
      </w:pPr>
      <w:r>
        <w:rPr>
          <w:rFonts w:ascii="Times New Roman" w:hAnsi="Times New Roman" w:cs="Times New Roman"/>
          <w:lang w:val="es-US"/>
        </w:rPr>
        <w:t>Por último, en lo que respecta a l</w:t>
      </w:r>
      <w:r w:rsidR="00AC5378">
        <w:rPr>
          <w:rFonts w:ascii="Times New Roman" w:hAnsi="Times New Roman" w:cs="Times New Roman"/>
          <w:lang w:val="es-US"/>
        </w:rPr>
        <w:t>a</w:t>
      </w:r>
      <w:r w:rsidR="00C05842">
        <w:rPr>
          <w:rFonts w:ascii="Times New Roman" w:hAnsi="Times New Roman" w:cs="Times New Roman"/>
          <w:lang w:val="es-US"/>
        </w:rPr>
        <w:t xml:space="preserve"> recaudación por actividad económica</w:t>
      </w:r>
      <w:r w:rsidR="00AC5378">
        <w:rPr>
          <w:rFonts w:ascii="Times New Roman" w:hAnsi="Times New Roman" w:cs="Times New Roman"/>
          <w:lang w:val="es-US"/>
        </w:rPr>
        <w:t xml:space="preserve"> al mes de junio da cuenta de una recuperación en la actividad de Explotación de minas y canteras </w:t>
      </w:r>
      <w:r w:rsidR="006C6B93">
        <w:rPr>
          <w:rFonts w:ascii="Times New Roman" w:hAnsi="Times New Roman" w:cs="Times New Roman"/>
          <w:lang w:val="es-US"/>
        </w:rPr>
        <w:t xml:space="preserve">que en </w:t>
      </w:r>
      <w:r w:rsidR="00AC5378">
        <w:rPr>
          <w:rFonts w:ascii="Times New Roman" w:hAnsi="Times New Roman" w:cs="Times New Roman"/>
          <w:lang w:val="es-US"/>
        </w:rPr>
        <w:t xml:space="preserve">2020 cayó </w:t>
      </w:r>
      <w:r w:rsidR="006C6B93">
        <w:rPr>
          <w:rFonts w:ascii="Times New Roman" w:hAnsi="Times New Roman" w:cs="Times New Roman"/>
          <w:lang w:val="es-US"/>
        </w:rPr>
        <w:t xml:space="preserve">a </w:t>
      </w:r>
      <w:r w:rsidR="00AC5378">
        <w:rPr>
          <w:rFonts w:ascii="Times New Roman" w:hAnsi="Times New Roman" w:cs="Times New Roman"/>
          <w:lang w:val="es-US"/>
        </w:rPr>
        <w:t>24.7%</w:t>
      </w:r>
      <w:r w:rsidR="006C6B93">
        <w:rPr>
          <w:rFonts w:ascii="Times New Roman" w:hAnsi="Times New Roman" w:cs="Times New Roman"/>
          <w:lang w:val="es-US"/>
        </w:rPr>
        <w:t xml:space="preserve"> y en 2021 crece en </w:t>
      </w:r>
      <w:r w:rsidR="00AC5378">
        <w:rPr>
          <w:rFonts w:ascii="Times New Roman" w:hAnsi="Times New Roman" w:cs="Times New Roman"/>
          <w:lang w:val="es-US"/>
        </w:rPr>
        <w:t>123.3%</w:t>
      </w:r>
      <w:r w:rsidR="00FB64CE">
        <w:rPr>
          <w:rFonts w:ascii="Times New Roman" w:hAnsi="Times New Roman" w:cs="Times New Roman"/>
          <w:lang w:val="es-US"/>
        </w:rPr>
        <w:t xml:space="preserve"> lo cual </w:t>
      </w:r>
      <w:r w:rsidR="00564BA2">
        <w:rPr>
          <w:rFonts w:ascii="Times New Roman" w:hAnsi="Times New Roman" w:cs="Times New Roman"/>
          <w:lang w:val="es-US"/>
        </w:rPr>
        <w:t>aún</w:t>
      </w:r>
      <w:r w:rsidR="00FB64CE">
        <w:rPr>
          <w:rFonts w:ascii="Times New Roman" w:hAnsi="Times New Roman" w:cs="Times New Roman"/>
          <w:lang w:val="es-US"/>
        </w:rPr>
        <w:t xml:space="preserve"> no se ve reflejado en la recaudación tributaria</w:t>
      </w:r>
      <w:r w:rsidR="00AC5378">
        <w:rPr>
          <w:rFonts w:ascii="Times New Roman" w:hAnsi="Times New Roman" w:cs="Times New Roman"/>
          <w:lang w:val="es-US"/>
        </w:rPr>
        <w:t xml:space="preserve">, </w:t>
      </w:r>
      <w:r w:rsidR="00564BA2">
        <w:rPr>
          <w:rFonts w:ascii="Times New Roman" w:hAnsi="Times New Roman" w:cs="Times New Roman"/>
          <w:lang w:val="es-US"/>
        </w:rPr>
        <w:t xml:space="preserve">otra actividad </w:t>
      </w:r>
      <w:r w:rsidR="00914D2E">
        <w:rPr>
          <w:rFonts w:ascii="Times New Roman" w:hAnsi="Times New Roman" w:cs="Times New Roman"/>
          <w:lang w:val="es-US"/>
        </w:rPr>
        <w:t xml:space="preserve">que sigue en deterioro es la de </w:t>
      </w:r>
      <w:r w:rsidR="00EA4BF7">
        <w:rPr>
          <w:rFonts w:ascii="Times New Roman" w:hAnsi="Times New Roman" w:cs="Times New Roman"/>
          <w:lang w:val="es-US"/>
        </w:rPr>
        <w:t xml:space="preserve">Hoteles y restaurantes mantiene </w:t>
      </w:r>
      <w:r w:rsidR="006C6B93">
        <w:rPr>
          <w:rFonts w:ascii="Times New Roman" w:hAnsi="Times New Roman" w:cs="Times New Roman"/>
          <w:lang w:val="es-US"/>
        </w:rPr>
        <w:t xml:space="preserve">una caída de 0.1% respecto a lo observado en </w:t>
      </w:r>
      <w:r w:rsidR="00EA4BF7">
        <w:rPr>
          <w:rFonts w:ascii="Times New Roman" w:hAnsi="Times New Roman" w:cs="Times New Roman"/>
          <w:lang w:val="es-US"/>
        </w:rPr>
        <w:t>2020.</w:t>
      </w:r>
    </w:p>
    <w:p w14:paraId="71475B6B" w14:textId="0A103A46" w:rsidR="00EA4BF7" w:rsidRDefault="00EA4BF7" w:rsidP="00D67B50">
      <w:pPr>
        <w:spacing w:after="0" w:line="240" w:lineRule="auto"/>
        <w:jc w:val="both"/>
        <w:rPr>
          <w:rFonts w:ascii="Times New Roman" w:hAnsi="Times New Roman" w:cs="Times New Roman"/>
          <w:lang w:val="es-US"/>
        </w:rPr>
      </w:pPr>
    </w:p>
    <w:p w14:paraId="0CE0DDB9" w14:textId="7A04DDC3" w:rsidR="00DB4C33" w:rsidRDefault="00DB4C33" w:rsidP="00DB4C33">
      <w:pPr>
        <w:pStyle w:val="Epgrafe"/>
        <w:spacing w:after="0"/>
        <w:jc w:val="center"/>
        <w:rPr>
          <w:rFonts w:ascii="Times New Roman" w:hAnsi="Times New Roman" w:cs="Times New Roman"/>
          <w:b/>
          <w:i w:val="0"/>
          <w:color w:val="auto"/>
          <w:sz w:val="22"/>
        </w:rPr>
      </w:pPr>
      <w:bookmarkStart w:id="1167" w:name="_Toc81573087"/>
      <w:r w:rsidRPr="003E14B7">
        <w:rPr>
          <w:rFonts w:ascii="Times New Roman" w:hAnsi="Times New Roman" w:cs="Times New Roman"/>
          <w:b/>
          <w:color w:val="auto"/>
          <w:sz w:val="20"/>
        </w:rPr>
        <w:t xml:space="preserve">Gráfico </w:t>
      </w:r>
      <w:r w:rsidRPr="003E14B7">
        <w:rPr>
          <w:rFonts w:ascii="Times New Roman" w:hAnsi="Times New Roman" w:cs="Times New Roman"/>
          <w:b/>
          <w:color w:val="auto"/>
          <w:sz w:val="20"/>
        </w:rPr>
        <w:fldChar w:fldCharType="begin"/>
      </w:r>
      <w:r w:rsidRPr="003E14B7">
        <w:rPr>
          <w:rFonts w:ascii="Times New Roman" w:hAnsi="Times New Roman" w:cs="Times New Roman"/>
          <w:b/>
          <w:color w:val="auto"/>
          <w:sz w:val="20"/>
        </w:rPr>
        <w:instrText xml:space="preserve"> SEQ Gráfico \* ARABIC </w:instrText>
      </w:r>
      <w:r w:rsidRPr="003E14B7">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37</w:t>
      </w:r>
      <w:r w:rsidRPr="003E14B7">
        <w:rPr>
          <w:rFonts w:ascii="Times New Roman" w:hAnsi="Times New Roman" w:cs="Times New Roman"/>
          <w:b/>
          <w:color w:val="auto"/>
          <w:sz w:val="20"/>
        </w:rPr>
        <w:fldChar w:fldCharType="end"/>
      </w:r>
      <w:r>
        <w:rPr>
          <w:rFonts w:ascii="Times New Roman" w:hAnsi="Times New Roman" w:cs="Times New Roman"/>
          <w:b/>
          <w:color w:val="auto"/>
          <w:sz w:val="20"/>
        </w:rPr>
        <w:t xml:space="preserve"> </w:t>
      </w:r>
      <w:r w:rsidRPr="003E14B7">
        <w:rPr>
          <w:rFonts w:ascii="Times New Roman" w:hAnsi="Times New Roman" w:cs="Times New Roman"/>
          <w:b/>
          <w:color w:val="auto"/>
          <w:sz w:val="20"/>
        </w:rPr>
        <w:t xml:space="preserve"> </w:t>
      </w:r>
      <w:r>
        <w:rPr>
          <w:rFonts w:ascii="Times New Roman" w:hAnsi="Times New Roman" w:cs="Times New Roman"/>
          <w:b/>
          <w:i w:val="0"/>
          <w:color w:val="auto"/>
          <w:sz w:val="22"/>
        </w:rPr>
        <w:t>Variación Interanual de recaudación tributaria por actividad económica</w:t>
      </w:r>
      <w:bookmarkEnd w:id="1167"/>
    </w:p>
    <w:p w14:paraId="2B984D79" w14:textId="67F229D1" w:rsidR="00DB4C33" w:rsidRPr="00E851D2" w:rsidRDefault="00DB4C33" w:rsidP="00E851D2">
      <w:pPr>
        <w:spacing w:after="0"/>
        <w:jc w:val="center"/>
        <w:rPr>
          <w:rFonts w:ascii="Times New Roman" w:hAnsi="Times New Roman" w:cs="Times New Roman"/>
        </w:rPr>
      </w:pPr>
      <w:r w:rsidRPr="00E851D2">
        <w:rPr>
          <w:rFonts w:ascii="Times New Roman" w:hAnsi="Times New Roman" w:cs="Times New Roman"/>
        </w:rPr>
        <w:t>Porcentajes (2021/2020)</w:t>
      </w:r>
    </w:p>
    <w:p w14:paraId="464A381E" w14:textId="4726F434" w:rsidR="00EA4BF7" w:rsidRPr="00D67B50" w:rsidRDefault="00EA4BF7" w:rsidP="00D67B50">
      <w:pPr>
        <w:spacing w:after="0" w:line="240" w:lineRule="auto"/>
        <w:jc w:val="both"/>
        <w:rPr>
          <w:rFonts w:ascii="Times New Roman" w:hAnsi="Times New Roman" w:cs="Times New Roman"/>
          <w:lang w:val="es-US"/>
        </w:rPr>
      </w:pPr>
      <w:r>
        <w:rPr>
          <w:rFonts w:ascii="Times New Roman" w:hAnsi="Times New Roman" w:cs="Times New Roman"/>
          <w:noProof/>
          <w:lang w:val="es-ES" w:eastAsia="es-ES"/>
        </w:rPr>
        <w:drawing>
          <wp:inline distT="0" distB="0" distL="0" distR="0" wp14:anchorId="3C734429" wp14:editId="00CD651C">
            <wp:extent cx="5633049" cy="3571336"/>
            <wp:effectExtent l="0" t="0" r="6350" b="0"/>
            <wp:docPr id="104" name="Gráfico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5BD31B8" w14:textId="77777777" w:rsidR="00DB4C33" w:rsidRDefault="00DB4C33" w:rsidP="00DB4C33">
      <w:pPr>
        <w:spacing w:after="0" w:line="240" w:lineRule="auto"/>
        <w:jc w:val="both"/>
        <w:rPr>
          <w:rFonts w:ascii="Times New Roman" w:hAnsi="Times New Roman" w:cs="Times New Roman"/>
          <w:lang w:val="es-US"/>
        </w:rPr>
      </w:pPr>
      <w:r w:rsidRPr="00D67B50">
        <w:rPr>
          <w:rFonts w:ascii="Times New Roman" w:hAnsi="Times New Roman" w:cs="Times New Roman"/>
          <w:sz w:val="16"/>
          <w:szCs w:val="20"/>
          <w:lang w:val="es-US"/>
        </w:rPr>
        <w:t>Fuente: Dirección de Análisis y Política Fiscal.</w:t>
      </w:r>
    </w:p>
    <w:p w14:paraId="4D32C0F6" w14:textId="77777777" w:rsidR="00D67B50" w:rsidRPr="00FF7122" w:rsidRDefault="00D67B50" w:rsidP="00D67B50">
      <w:pPr>
        <w:spacing w:after="0" w:line="240" w:lineRule="auto"/>
        <w:jc w:val="both"/>
        <w:rPr>
          <w:rFonts w:ascii="Times New Roman" w:hAnsi="Times New Roman" w:cs="Times New Roman"/>
          <w:highlight w:val="yellow"/>
          <w:lang w:val="es-US"/>
        </w:rPr>
      </w:pPr>
    </w:p>
    <w:p w14:paraId="2F217F4D" w14:textId="77777777" w:rsidR="00C91D2E" w:rsidRPr="00F12665" w:rsidRDefault="00C91D2E" w:rsidP="001032E7">
      <w:pPr>
        <w:pStyle w:val="Prrafodelista"/>
        <w:numPr>
          <w:ilvl w:val="1"/>
          <w:numId w:val="38"/>
        </w:numPr>
        <w:spacing w:after="0" w:line="240" w:lineRule="auto"/>
        <w:jc w:val="both"/>
        <w:outlineLvl w:val="2"/>
        <w:rPr>
          <w:rFonts w:ascii="Times New Roman" w:hAnsi="Times New Roman" w:cs="Times New Roman"/>
          <w:b/>
          <w:bCs/>
          <w:lang w:val="es-US"/>
        </w:rPr>
      </w:pPr>
      <w:bookmarkStart w:id="1168" w:name="_Toc81571900"/>
      <w:r w:rsidRPr="00F12665">
        <w:rPr>
          <w:rFonts w:ascii="Times New Roman" w:hAnsi="Times New Roman" w:cs="Times New Roman"/>
          <w:b/>
          <w:bCs/>
          <w:lang w:val="es-US"/>
        </w:rPr>
        <w:t>Ejecución de Gasto Público</w:t>
      </w:r>
      <w:bookmarkEnd w:id="1168"/>
    </w:p>
    <w:p w14:paraId="331D6FF6" w14:textId="77777777" w:rsidR="00C91D2E" w:rsidRDefault="00C91D2E" w:rsidP="0085484D">
      <w:pPr>
        <w:spacing w:after="0" w:line="240" w:lineRule="auto"/>
        <w:jc w:val="both"/>
        <w:rPr>
          <w:rFonts w:ascii="Times New Roman" w:hAnsi="Times New Roman" w:cs="Times New Roman"/>
        </w:rPr>
      </w:pPr>
    </w:p>
    <w:p w14:paraId="0B5CF2AF" w14:textId="77777777" w:rsidR="007B2551" w:rsidRDefault="009B539E" w:rsidP="0085484D">
      <w:pPr>
        <w:spacing w:after="0" w:line="240" w:lineRule="auto"/>
        <w:jc w:val="both"/>
        <w:rPr>
          <w:rFonts w:ascii="Times New Roman" w:hAnsi="Times New Roman" w:cs="Times New Roman"/>
        </w:rPr>
      </w:pPr>
      <w:r w:rsidRPr="004133EB">
        <w:rPr>
          <w:rFonts w:ascii="Times New Roman" w:hAnsi="Times New Roman" w:cs="Times New Roman"/>
        </w:rPr>
        <w:t>En lo que respecta a l</w:t>
      </w:r>
      <w:r w:rsidR="003D0C88" w:rsidRPr="004133EB">
        <w:rPr>
          <w:rFonts w:ascii="Times New Roman" w:hAnsi="Times New Roman" w:cs="Times New Roman"/>
        </w:rPr>
        <w:t>a dinámica de la ejecución</w:t>
      </w:r>
      <w:r w:rsidRPr="004133EB">
        <w:rPr>
          <w:rFonts w:ascii="Times New Roman" w:hAnsi="Times New Roman" w:cs="Times New Roman"/>
        </w:rPr>
        <w:t xml:space="preserve"> del gasto,</w:t>
      </w:r>
      <w:r w:rsidR="004E5B7A">
        <w:rPr>
          <w:rFonts w:ascii="Times New Roman" w:hAnsi="Times New Roman" w:cs="Times New Roman"/>
        </w:rPr>
        <w:t xml:space="preserve"> </w:t>
      </w:r>
      <w:r w:rsidR="00B92E1B">
        <w:rPr>
          <w:rFonts w:ascii="Times New Roman" w:hAnsi="Times New Roman" w:cs="Times New Roman"/>
        </w:rPr>
        <w:t xml:space="preserve">en enero fue moderada, siendo inferior a la registrada en el mismo mes del 2020, </w:t>
      </w:r>
      <w:r w:rsidR="007B2551">
        <w:rPr>
          <w:rFonts w:ascii="Times New Roman" w:hAnsi="Times New Roman" w:cs="Times New Roman"/>
        </w:rPr>
        <w:t>dado</w:t>
      </w:r>
      <w:r w:rsidR="007B2551" w:rsidRPr="007B2551">
        <w:rPr>
          <w:rFonts w:ascii="Times New Roman" w:hAnsi="Times New Roman" w:cs="Times New Roman"/>
        </w:rPr>
        <w:t xml:space="preserve"> que las entidades se</w:t>
      </w:r>
      <w:r w:rsidR="007B2551">
        <w:rPr>
          <w:rFonts w:ascii="Times New Roman" w:hAnsi="Times New Roman" w:cs="Times New Roman"/>
        </w:rPr>
        <w:t xml:space="preserve"> enco</w:t>
      </w:r>
      <w:r w:rsidR="007B2551" w:rsidRPr="007B2551">
        <w:rPr>
          <w:rFonts w:ascii="Times New Roman" w:hAnsi="Times New Roman" w:cs="Times New Roman"/>
        </w:rPr>
        <w:t>ntra</w:t>
      </w:r>
      <w:r w:rsidR="007B2551">
        <w:rPr>
          <w:rFonts w:ascii="Times New Roman" w:hAnsi="Times New Roman" w:cs="Times New Roman"/>
        </w:rPr>
        <w:t>ba</w:t>
      </w:r>
      <w:r w:rsidR="007B2551" w:rsidRPr="007B2551">
        <w:rPr>
          <w:rFonts w:ascii="Times New Roman" w:hAnsi="Times New Roman" w:cs="Times New Roman"/>
        </w:rPr>
        <w:t>n en proceso de hacer las</w:t>
      </w:r>
      <w:r w:rsidR="007B2551">
        <w:rPr>
          <w:rFonts w:ascii="Times New Roman" w:hAnsi="Times New Roman" w:cs="Times New Roman"/>
        </w:rPr>
        <w:t xml:space="preserve"> readecuaciones presupuestarias necesarias para viabilizar la ejecución presupuestaria durante</w:t>
      </w:r>
      <w:r w:rsidR="00C8701A">
        <w:rPr>
          <w:rFonts w:ascii="Times New Roman" w:hAnsi="Times New Roman" w:cs="Times New Roman"/>
        </w:rPr>
        <w:t xml:space="preserve"> el presente año</w:t>
      </w:r>
      <w:r w:rsidR="007B2551">
        <w:rPr>
          <w:rFonts w:ascii="Times New Roman" w:hAnsi="Times New Roman" w:cs="Times New Roman"/>
        </w:rPr>
        <w:t>, escenario que se dio por la no aprobación del proyecto de presupuesto propuesto para el ejercicio fiscal 2021, situación que complica la ejecución presupuestaria durante los primeros meses del año</w:t>
      </w:r>
      <w:r w:rsidR="00A80F04">
        <w:rPr>
          <w:rFonts w:ascii="Times New Roman" w:hAnsi="Times New Roman" w:cs="Times New Roman"/>
        </w:rPr>
        <w:t xml:space="preserve">, más si se tiene en cuenta que </w:t>
      </w:r>
      <w:r w:rsidR="004803F6">
        <w:rPr>
          <w:rFonts w:ascii="Times New Roman" w:hAnsi="Times New Roman" w:cs="Times New Roman"/>
        </w:rPr>
        <w:t xml:space="preserve">este escenario se da </w:t>
      </w:r>
      <w:r w:rsidR="0085484D" w:rsidRPr="0085484D">
        <w:rPr>
          <w:rFonts w:ascii="Times New Roman" w:hAnsi="Times New Roman" w:cs="Times New Roman"/>
        </w:rPr>
        <w:t xml:space="preserve">por segundo año, situación que se da por primera vez en la historia democrática del país. </w:t>
      </w:r>
      <w:r w:rsidR="0085484D">
        <w:rPr>
          <w:rFonts w:ascii="Times New Roman" w:hAnsi="Times New Roman" w:cs="Times New Roman"/>
        </w:rPr>
        <w:t xml:space="preserve">El no contar con un presupuesto aprobado </w:t>
      </w:r>
      <w:r w:rsidR="0085484D" w:rsidRPr="0085484D">
        <w:rPr>
          <w:rFonts w:ascii="Times New Roman" w:hAnsi="Times New Roman" w:cs="Times New Roman"/>
        </w:rPr>
        <w:t>afecta</w:t>
      </w:r>
      <w:r w:rsidR="0085484D">
        <w:rPr>
          <w:rFonts w:ascii="Times New Roman" w:hAnsi="Times New Roman" w:cs="Times New Roman"/>
        </w:rPr>
        <w:t xml:space="preserve"> de forma considerable</w:t>
      </w:r>
      <w:r w:rsidR="0085484D" w:rsidRPr="0085484D">
        <w:rPr>
          <w:rFonts w:ascii="Times New Roman" w:hAnsi="Times New Roman" w:cs="Times New Roman"/>
        </w:rPr>
        <w:t xml:space="preserve"> el manejo de la política fiscal y de la política pública en su conjunto, ya que el presupuesto </w:t>
      </w:r>
      <w:r w:rsidR="0085484D">
        <w:rPr>
          <w:rFonts w:ascii="Times New Roman" w:hAnsi="Times New Roman" w:cs="Times New Roman"/>
        </w:rPr>
        <w:t>vigente de 2021 no es</w:t>
      </w:r>
      <w:r w:rsidR="0085484D" w:rsidRPr="0085484D">
        <w:rPr>
          <w:rFonts w:ascii="Times New Roman" w:hAnsi="Times New Roman" w:cs="Times New Roman"/>
        </w:rPr>
        <w:t xml:space="preserve"> congruente con la planificación y los objetivos estratégicos e institucionales definidos anualmente para satisfacer las necesidades económicas y sociales del país.</w:t>
      </w:r>
    </w:p>
    <w:p w14:paraId="07D6CD8A" w14:textId="77777777" w:rsidR="0085484D" w:rsidRDefault="0085484D" w:rsidP="0085484D">
      <w:pPr>
        <w:spacing w:after="0" w:line="240" w:lineRule="auto"/>
        <w:jc w:val="both"/>
        <w:rPr>
          <w:rFonts w:ascii="Times New Roman" w:hAnsi="Times New Roman" w:cs="Times New Roman"/>
        </w:rPr>
      </w:pPr>
    </w:p>
    <w:p w14:paraId="5697CFD1" w14:textId="77777777" w:rsidR="0085484D" w:rsidRDefault="0085484D" w:rsidP="0085484D">
      <w:pPr>
        <w:pStyle w:val="Default"/>
        <w:jc w:val="both"/>
        <w:rPr>
          <w:sz w:val="22"/>
          <w:szCs w:val="22"/>
        </w:rPr>
      </w:pPr>
      <w:r>
        <w:rPr>
          <w:sz w:val="22"/>
          <w:szCs w:val="22"/>
        </w:rPr>
        <w:t>La Constitución Política de la República de Guatemala establece en el artículo 171, literal b) que, si el Congreso de la República no aprueba el presupuesto, sigue en vigencia el del año an</w:t>
      </w:r>
      <w:r w:rsidR="004803F6">
        <w:rPr>
          <w:sz w:val="22"/>
          <w:szCs w:val="22"/>
        </w:rPr>
        <w:t>terior, por lo que para 2021, continúa</w:t>
      </w:r>
      <w:r>
        <w:rPr>
          <w:sz w:val="22"/>
          <w:szCs w:val="22"/>
        </w:rPr>
        <w:t xml:space="preserve"> en vigencia el de 2020, con las ampliaciones o disminuciones presupuestarias que fueran aprobados por el Organismo Legislativo en dicho año, es por ello que, el presupuesto vigente para 2021 </w:t>
      </w:r>
      <w:r w:rsidR="00CA77EE">
        <w:rPr>
          <w:sz w:val="22"/>
          <w:szCs w:val="22"/>
        </w:rPr>
        <w:t xml:space="preserve">asciende a Q107,521.5 millones, </w:t>
      </w:r>
      <w:r>
        <w:rPr>
          <w:sz w:val="22"/>
          <w:szCs w:val="22"/>
        </w:rPr>
        <w:t xml:space="preserve">dado que </w:t>
      </w:r>
      <w:r w:rsidR="00CA77EE">
        <w:rPr>
          <w:sz w:val="22"/>
          <w:szCs w:val="22"/>
        </w:rPr>
        <w:t xml:space="preserve">incluye las </w:t>
      </w:r>
      <w:r>
        <w:rPr>
          <w:sz w:val="22"/>
          <w:szCs w:val="22"/>
        </w:rPr>
        <w:t xml:space="preserve">3 ampliaciones presupuestarias aprobadas por dicho organismo </w:t>
      </w:r>
      <w:r w:rsidR="00CA77EE">
        <w:rPr>
          <w:sz w:val="22"/>
          <w:szCs w:val="22"/>
        </w:rPr>
        <w:t>las cuales s</w:t>
      </w:r>
      <w:r>
        <w:rPr>
          <w:sz w:val="22"/>
          <w:szCs w:val="22"/>
        </w:rPr>
        <w:t xml:space="preserve">uman Q19,805.9 millones. </w:t>
      </w:r>
    </w:p>
    <w:p w14:paraId="190C76F8" w14:textId="77777777" w:rsidR="0071717A" w:rsidRDefault="0071717A" w:rsidP="0085484D">
      <w:pPr>
        <w:pStyle w:val="Default"/>
        <w:jc w:val="both"/>
        <w:rPr>
          <w:sz w:val="22"/>
          <w:szCs w:val="22"/>
        </w:rPr>
      </w:pPr>
    </w:p>
    <w:p w14:paraId="0E3CCD1B" w14:textId="77777777" w:rsidR="0071717A" w:rsidRPr="0071717A" w:rsidRDefault="0071717A" w:rsidP="0071717A">
      <w:pPr>
        <w:pStyle w:val="Default"/>
        <w:jc w:val="both"/>
        <w:rPr>
          <w:sz w:val="22"/>
          <w:szCs w:val="22"/>
        </w:rPr>
      </w:pPr>
      <w:r>
        <w:rPr>
          <w:sz w:val="22"/>
          <w:szCs w:val="22"/>
        </w:rPr>
        <w:t xml:space="preserve">Es importante </w:t>
      </w:r>
      <w:r w:rsidRPr="0071717A">
        <w:rPr>
          <w:sz w:val="22"/>
          <w:szCs w:val="22"/>
        </w:rPr>
        <w:t xml:space="preserve">tener en </w:t>
      </w:r>
      <w:r>
        <w:rPr>
          <w:sz w:val="22"/>
          <w:szCs w:val="22"/>
        </w:rPr>
        <w:t>consideración</w:t>
      </w:r>
      <w:r w:rsidRPr="0071717A">
        <w:rPr>
          <w:sz w:val="22"/>
          <w:szCs w:val="22"/>
        </w:rPr>
        <w:t xml:space="preserve"> que la</w:t>
      </w:r>
      <w:r>
        <w:rPr>
          <w:sz w:val="22"/>
          <w:szCs w:val="22"/>
        </w:rPr>
        <w:t xml:space="preserve"> </w:t>
      </w:r>
      <w:r w:rsidRPr="0071717A">
        <w:rPr>
          <w:sz w:val="22"/>
          <w:szCs w:val="22"/>
        </w:rPr>
        <w:t>readecuación presupuestaria es necesaria</w:t>
      </w:r>
      <w:r>
        <w:rPr>
          <w:sz w:val="22"/>
          <w:szCs w:val="22"/>
        </w:rPr>
        <w:t xml:space="preserve"> dado </w:t>
      </w:r>
      <w:r w:rsidRPr="0071717A">
        <w:rPr>
          <w:sz w:val="22"/>
          <w:szCs w:val="22"/>
        </w:rPr>
        <w:t xml:space="preserve">que </w:t>
      </w:r>
      <w:r>
        <w:rPr>
          <w:sz w:val="22"/>
          <w:szCs w:val="22"/>
        </w:rPr>
        <w:t xml:space="preserve">el presupuesto vigente se encontraba </w:t>
      </w:r>
      <w:r w:rsidRPr="0071717A">
        <w:rPr>
          <w:sz w:val="22"/>
          <w:szCs w:val="22"/>
        </w:rPr>
        <w:t>desfinanciado, especialmente por</w:t>
      </w:r>
      <w:r>
        <w:rPr>
          <w:sz w:val="22"/>
          <w:szCs w:val="22"/>
        </w:rPr>
        <w:t xml:space="preserve"> </w:t>
      </w:r>
      <w:r w:rsidRPr="0071717A">
        <w:rPr>
          <w:sz w:val="22"/>
          <w:szCs w:val="22"/>
        </w:rPr>
        <w:t>la brecha que provocan los Q11,000 millones</w:t>
      </w:r>
      <w:r>
        <w:rPr>
          <w:sz w:val="22"/>
          <w:szCs w:val="22"/>
        </w:rPr>
        <w:t xml:space="preserve"> </w:t>
      </w:r>
      <w:r w:rsidRPr="0071717A">
        <w:rPr>
          <w:sz w:val="22"/>
          <w:szCs w:val="22"/>
        </w:rPr>
        <w:t>que fueron aprobados en 2020 para ser</w:t>
      </w:r>
      <w:r>
        <w:rPr>
          <w:sz w:val="22"/>
          <w:szCs w:val="22"/>
        </w:rPr>
        <w:t xml:space="preserve"> </w:t>
      </w:r>
      <w:r w:rsidRPr="0071717A">
        <w:rPr>
          <w:sz w:val="22"/>
          <w:szCs w:val="22"/>
        </w:rPr>
        <w:t>colocados en Bonos del Tesoro y adquiridos por</w:t>
      </w:r>
      <w:r>
        <w:rPr>
          <w:sz w:val="22"/>
          <w:szCs w:val="22"/>
        </w:rPr>
        <w:t xml:space="preserve"> </w:t>
      </w:r>
      <w:r w:rsidRPr="0071717A">
        <w:rPr>
          <w:sz w:val="22"/>
          <w:szCs w:val="22"/>
        </w:rPr>
        <w:t>el Banco de Guatemala para la atención del</w:t>
      </w:r>
      <w:r>
        <w:rPr>
          <w:sz w:val="22"/>
          <w:szCs w:val="22"/>
        </w:rPr>
        <w:t xml:space="preserve"> </w:t>
      </w:r>
      <w:r w:rsidRPr="0071717A">
        <w:rPr>
          <w:sz w:val="22"/>
          <w:szCs w:val="22"/>
        </w:rPr>
        <w:t>COVID-19, mecanismo de financiamiento</w:t>
      </w:r>
      <w:r>
        <w:rPr>
          <w:sz w:val="22"/>
          <w:szCs w:val="22"/>
        </w:rPr>
        <w:t xml:space="preserve"> que </w:t>
      </w:r>
      <w:r w:rsidRPr="0071717A">
        <w:rPr>
          <w:sz w:val="22"/>
          <w:szCs w:val="22"/>
        </w:rPr>
        <w:t>ya no sería viable en 2021 dado que la</w:t>
      </w:r>
      <w:r>
        <w:rPr>
          <w:sz w:val="22"/>
          <w:szCs w:val="22"/>
        </w:rPr>
        <w:t xml:space="preserve"> </w:t>
      </w:r>
      <w:r w:rsidRPr="0071717A">
        <w:rPr>
          <w:sz w:val="22"/>
          <w:szCs w:val="22"/>
        </w:rPr>
        <w:t>Constitución Política lo considera únicamente</w:t>
      </w:r>
      <w:r>
        <w:rPr>
          <w:sz w:val="22"/>
          <w:szCs w:val="22"/>
        </w:rPr>
        <w:t xml:space="preserve"> </w:t>
      </w:r>
      <w:r w:rsidRPr="0071717A">
        <w:rPr>
          <w:sz w:val="22"/>
          <w:szCs w:val="22"/>
        </w:rPr>
        <w:t>en caso de catástrofe o desastre público.</w:t>
      </w:r>
      <w:r w:rsidRPr="0071717A">
        <w:t xml:space="preserve"> </w:t>
      </w:r>
      <w:r w:rsidRPr="0071717A">
        <w:rPr>
          <w:sz w:val="22"/>
          <w:szCs w:val="22"/>
        </w:rPr>
        <w:t>Asimismo, los desembolsos de préstamos serían</w:t>
      </w:r>
      <w:r>
        <w:rPr>
          <w:sz w:val="22"/>
          <w:szCs w:val="22"/>
        </w:rPr>
        <w:t xml:space="preserve"> </w:t>
      </w:r>
      <w:r w:rsidRPr="0071717A">
        <w:rPr>
          <w:sz w:val="22"/>
          <w:szCs w:val="22"/>
        </w:rPr>
        <w:t>menores.</w:t>
      </w:r>
    </w:p>
    <w:p w14:paraId="4D954373" w14:textId="77777777" w:rsidR="007B2551" w:rsidRDefault="007B2551" w:rsidP="007B2551">
      <w:pPr>
        <w:spacing w:after="0" w:line="240" w:lineRule="auto"/>
        <w:jc w:val="both"/>
        <w:rPr>
          <w:rFonts w:ascii="Times New Roman" w:hAnsi="Times New Roman" w:cs="Times New Roman"/>
        </w:rPr>
      </w:pPr>
    </w:p>
    <w:p w14:paraId="724966EB" w14:textId="07746FC7" w:rsidR="003B4EE9" w:rsidRDefault="003B4EE9" w:rsidP="0071717A">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Es por ello, que el organismo </w:t>
      </w:r>
      <w:r w:rsidR="00CA77EE">
        <w:rPr>
          <w:rFonts w:ascii="Times New Roman" w:hAnsi="Times New Roman" w:cs="Times New Roman"/>
        </w:rPr>
        <w:t>Ejecutivo comunicó que el</w:t>
      </w:r>
      <w:r>
        <w:rPr>
          <w:rFonts w:ascii="Times New Roman" w:hAnsi="Times New Roman" w:cs="Times New Roman"/>
        </w:rPr>
        <w:t xml:space="preserve"> </w:t>
      </w:r>
      <w:r w:rsidR="00CA77EE">
        <w:rPr>
          <w:rFonts w:ascii="Times New Roman" w:hAnsi="Times New Roman" w:cs="Times New Roman"/>
        </w:rPr>
        <w:t>gasto máximo en el que se puede incurrir</w:t>
      </w:r>
      <w:r w:rsidR="00422B6C">
        <w:rPr>
          <w:rFonts w:ascii="Times New Roman" w:hAnsi="Times New Roman" w:cs="Times New Roman"/>
        </w:rPr>
        <w:t xml:space="preserve"> </w:t>
      </w:r>
      <w:r w:rsidR="00CA77EE">
        <w:rPr>
          <w:rFonts w:ascii="Times New Roman" w:hAnsi="Times New Roman" w:cs="Times New Roman"/>
        </w:rPr>
        <w:t>durante el ejercicio fiscal</w:t>
      </w:r>
      <w:r>
        <w:rPr>
          <w:rFonts w:ascii="Times New Roman" w:hAnsi="Times New Roman" w:cs="Times New Roman"/>
        </w:rPr>
        <w:t xml:space="preserve"> 2021</w:t>
      </w:r>
      <w:r w:rsidR="00CA77EE">
        <w:rPr>
          <w:rFonts w:ascii="Times New Roman" w:hAnsi="Times New Roman" w:cs="Times New Roman"/>
        </w:rPr>
        <w:t xml:space="preserve"> asciende a</w:t>
      </w:r>
      <w:r>
        <w:rPr>
          <w:rFonts w:ascii="Times New Roman" w:hAnsi="Times New Roman" w:cs="Times New Roman"/>
        </w:rPr>
        <w:t xml:space="preserve"> </w:t>
      </w:r>
      <w:r w:rsidR="00CA77EE">
        <w:rPr>
          <w:rFonts w:ascii="Times New Roman" w:hAnsi="Times New Roman" w:cs="Times New Roman"/>
        </w:rPr>
        <w:t>Q94,354.0 millones, donde el 66.0%</w:t>
      </w:r>
      <w:r>
        <w:rPr>
          <w:rFonts w:ascii="Times New Roman" w:hAnsi="Times New Roman" w:cs="Times New Roman"/>
        </w:rPr>
        <w:t xml:space="preserve"> </w:t>
      </w:r>
      <w:r w:rsidR="00CA77EE">
        <w:rPr>
          <w:rFonts w:ascii="Times New Roman" w:hAnsi="Times New Roman" w:cs="Times New Roman"/>
        </w:rPr>
        <w:t>corresponde a gasto de funcionamiento, 19.0%</w:t>
      </w:r>
      <w:r>
        <w:rPr>
          <w:rFonts w:ascii="Times New Roman" w:hAnsi="Times New Roman" w:cs="Times New Roman"/>
        </w:rPr>
        <w:t xml:space="preserve"> </w:t>
      </w:r>
      <w:r w:rsidR="00CA77EE">
        <w:rPr>
          <w:rFonts w:ascii="Times New Roman" w:hAnsi="Times New Roman" w:cs="Times New Roman"/>
        </w:rPr>
        <w:t>a gasto de inversión y 15.0% al servicio de la</w:t>
      </w:r>
      <w:r>
        <w:rPr>
          <w:rFonts w:ascii="Times New Roman" w:hAnsi="Times New Roman" w:cs="Times New Roman"/>
        </w:rPr>
        <w:t xml:space="preserve"> </w:t>
      </w:r>
      <w:r w:rsidR="00CA77EE">
        <w:rPr>
          <w:rFonts w:ascii="Times New Roman" w:hAnsi="Times New Roman" w:cs="Times New Roman"/>
        </w:rPr>
        <w:t>deuda pública.</w:t>
      </w:r>
      <w:r>
        <w:rPr>
          <w:rFonts w:ascii="Times New Roman" w:hAnsi="Times New Roman" w:cs="Times New Roman"/>
        </w:rPr>
        <w:t xml:space="preserve"> Esta </w:t>
      </w:r>
      <w:r w:rsidR="00422B6C">
        <w:rPr>
          <w:rFonts w:ascii="Times New Roman" w:hAnsi="Times New Roman" w:cs="Times New Roman"/>
        </w:rPr>
        <w:t>c</w:t>
      </w:r>
      <w:r>
        <w:rPr>
          <w:rFonts w:ascii="Times New Roman" w:hAnsi="Times New Roman" w:cs="Times New Roman"/>
        </w:rPr>
        <w:t>omunicación se consideró muy importante para dar certeza a las entidades en cuan</w:t>
      </w:r>
      <w:r w:rsidR="00BE112C">
        <w:rPr>
          <w:rFonts w:ascii="Times New Roman" w:hAnsi="Times New Roman" w:cs="Times New Roman"/>
        </w:rPr>
        <w:t>t</w:t>
      </w:r>
      <w:r>
        <w:rPr>
          <w:rFonts w:ascii="Times New Roman" w:hAnsi="Times New Roman" w:cs="Times New Roman"/>
        </w:rPr>
        <w:t>o al espacio presupuestario para la ejecución de los programas y proyectos</w:t>
      </w:r>
      <w:r w:rsidR="008E0B80">
        <w:rPr>
          <w:rFonts w:ascii="Times New Roman" w:hAnsi="Times New Roman" w:cs="Times New Roman"/>
        </w:rPr>
        <w:t xml:space="preserve">, tomando en cuenta </w:t>
      </w:r>
      <w:r w:rsidR="003237FB">
        <w:rPr>
          <w:rFonts w:ascii="Times New Roman" w:hAnsi="Times New Roman" w:cs="Times New Roman"/>
        </w:rPr>
        <w:t xml:space="preserve">que en dicho presupuesto aprobado considera algunas fuentes no asignables, es decir, </w:t>
      </w:r>
      <w:r w:rsidR="0037162C">
        <w:rPr>
          <w:rFonts w:ascii="Times New Roman" w:hAnsi="Times New Roman" w:cs="Times New Roman"/>
        </w:rPr>
        <w:t>recursos que no se tendrán en 2021</w:t>
      </w:r>
      <w:r w:rsidR="00B74276">
        <w:rPr>
          <w:rFonts w:ascii="Times New Roman" w:hAnsi="Times New Roman" w:cs="Times New Roman"/>
        </w:rPr>
        <w:t xml:space="preserve">, </w:t>
      </w:r>
      <w:r w:rsidR="0037162C">
        <w:rPr>
          <w:rFonts w:ascii="Times New Roman" w:hAnsi="Times New Roman" w:cs="Times New Roman"/>
        </w:rPr>
        <w:t xml:space="preserve">como </w:t>
      </w:r>
      <w:r w:rsidR="00B74276">
        <w:rPr>
          <w:rFonts w:ascii="Times New Roman" w:hAnsi="Times New Roman" w:cs="Times New Roman"/>
        </w:rPr>
        <w:t xml:space="preserve">es el caso de </w:t>
      </w:r>
      <w:r w:rsidR="004C3418">
        <w:rPr>
          <w:rFonts w:ascii="Times New Roman" w:hAnsi="Times New Roman" w:cs="Times New Roman"/>
        </w:rPr>
        <w:t xml:space="preserve">la emisión de </w:t>
      </w:r>
      <w:r w:rsidR="0037162C">
        <w:rPr>
          <w:rFonts w:ascii="Times New Roman" w:hAnsi="Times New Roman" w:cs="Times New Roman"/>
        </w:rPr>
        <w:t>Bonos del Tesoro autorizados mediante Decreto 13-2020 y los préstamos externo</w:t>
      </w:r>
      <w:r w:rsidR="00FA507A">
        <w:rPr>
          <w:rFonts w:ascii="Times New Roman" w:hAnsi="Times New Roman" w:cs="Times New Roman"/>
        </w:rPr>
        <w:t>s</w:t>
      </w:r>
      <w:r w:rsidR="0037162C">
        <w:rPr>
          <w:rFonts w:ascii="Times New Roman" w:hAnsi="Times New Roman" w:cs="Times New Roman"/>
        </w:rPr>
        <w:t xml:space="preserve"> autorizados mediante Decreto </w:t>
      </w:r>
      <w:r w:rsidR="00E827AF">
        <w:rPr>
          <w:rFonts w:ascii="Times New Roman" w:hAnsi="Times New Roman" w:cs="Times New Roman"/>
        </w:rPr>
        <w:t xml:space="preserve">20-2020. </w:t>
      </w:r>
      <w:r>
        <w:rPr>
          <w:rFonts w:ascii="Times New Roman" w:hAnsi="Times New Roman" w:cs="Times New Roman"/>
        </w:rPr>
        <w:t xml:space="preserve">Con el anuncio de este techo presupuestario, el Ejecutivo estaría garantizando recursos para las vacunas contra el COVID-19, </w:t>
      </w:r>
      <w:r w:rsidR="0071717A">
        <w:rPr>
          <w:rFonts w:ascii="Times New Roman" w:hAnsi="Times New Roman" w:cs="Times New Roman"/>
        </w:rPr>
        <w:t xml:space="preserve">para la </w:t>
      </w:r>
      <w:r>
        <w:rPr>
          <w:rFonts w:ascii="Times New Roman" w:hAnsi="Times New Roman" w:cs="Times New Roman"/>
        </w:rPr>
        <w:t xml:space="preserve">reactivación económica ante los efectos negativos del COVID-19 y </w:t>
      </w:r>
      <w:r w:rsidR="0071717A">
        <w:rPr>
          <w:rFonts w:ascii="Times New Roman" w:hAnsi="Times New Roman" w:cs="Times New Roman"/>
        </w:rPr>
        <w:t xml:space="preserve">para la </w:t>
      </w:r>
      <w:r>
        <w:rPr>
          <w:rFonts w:ascii="Times New Roman" w:hAnsi="Times New Roman" w:cs="Times New Roman"/>
        </w:rPr>
        <w:t xml:space="preserve">reconstrucción </w:t>
      </w:r>
      <w:r w:rsidR="004C3418">
        <w:rPr>
          <w:rFonts w:ascii="Times New Roman" w:hAnsi="Times New Roman" w:cs="Times New Roman"/>
        </w:rPr>
        <w:t>derivadas de</w:t>
      </w:r>
      <w:r>
        <w:rPr>
          <w:rFonts w:ascii="Times New Roman" w:hAnsi="Times New Roman" w:cs="Times New Roman"/>
        </w:rPr>
        <w:t xml:space="preserve"> las tormentas tropicales</w:t>
      </w:r>
      <w:r w:rsidR="0071717A">
        <w:rPr>
          <w:rFonts w:ascii="Times New Roman" w:hAnsi="Times New Roman" w:cs="Times New Roman"/>
        </w:rPr>
        <w:t xml:space="preserve"> Eta e Iota</w:t>
      </w:r>
      <w:r>
        <w:rPr>
          <w:rFonts w:ascii="Times New Roman" w:hAnsi="Times New Roman" w:cs="Times New Roman"/>
        </w:rPr>
        <w:t xml:space="preserve"> </w:t>
      </w:r>
      <w:r w:rsidR="00A367DC">
        <w:rPr>
          <w:rFonts w:ascii="Times New Roman" w:hAnsi="Times New Roman" w:cs="Times New Roman"/>
        </w:rPr>
        <w:t xml:space="preserve">se originaron a </w:t>
      </w:r>
      <w:r>
        <w:rPr>
          <w:rFonts w:ascii="Times New Roman" w:hAnsi="Times New Roman" w:cs="Times New Roman"/>
        </w:rPr>
        <w:t>finales de 2020, las cuales</w:t>
      </w:r>
      <w:r w:rsidR="0071717A">
        <w:rPr>
          <w:rFonts w:ascii="Times New Roman" w:hAnsi="Times New Roman" w:cs="Times New Roman"/>
        </w:rPr>
        <w:t xml:space="preserve"> causaron</w:t>
      </w:r>
      <w:r w:rsidR="0071717A" w:rsidRPr="0071717A">
        <w:rPr>
          <w:rFonts w:ascii="Times New Roman" w:hAnsi="Times New Roman" w:cs="Times New Roman"/>
        </w:rPr>
        <w:t xml:space="preserve"> daños y pérdidas en territorio </w:t>
      </w:r>
      <w:r w:rsidR="0071717A">
        <w:rPr>
          <w:rFonts w:ascii="Times New Roman" w:hAnsi="Times New Roman" w:cs="Times New Roman"/>
        </w:rPr>
        <w:t>guatemalteco</w:t>
      </w:r>
      <w:r w:rsidR="0071717A" w:rsidRPr="0071717A">
        <w:rPr>
          <w:rFonts w:ascii="Times New Roman" w:hAnsi="Times New Roman" w:cs="Times New Roman"/>
        </w:rPr>
        <w:t xml:space="preserve">. </w:t>
      </w:r>
    </w:p>
    <w:p w14:paraId="04FE44E7" w14:textId="77777777" w:rsidR="00CA77EE" w:rsidRDefault="00CA77EE" w:rsidP="007B2551">
      <w:pPr>
        <w:spacing w:after="0" w:line="240" w:lineRule="auto"/>
        <w:jc w:val="both"/>
        <w:rPr>
          <w:rFonts w:ascii="Times New Roman" w:hAnsi="Times New Roman" w:cs="Times New Roman"/>
        </w:rPr>
      </w:pPr>
    </w:p>
    <w:p w14:paraId="29A60B64" w14:textId="77777777" w:rsidR="007B2551" w:rsidRDefault="00C8701A" w:rsidP="00F01071">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Con el escenario planteado anterior</w:t>
      </w:r>
      <w:r w:rsidR="00BC74F4">
        <w:rPr>
          <w:rFonts w:ascii="Times New Roman" w:hAnsi="Times New Roman" w:cs="Times New Roman"/>
        </w:rPr>
        <w:t>mente, el gasto público registró</w:t>
      </w:r>
      <w:r>
        <w:rPr>
          <w:rFonts w:ascii="Times New Roman" w:hAnsi="Times New Roman" w:cs="Times New Roman"/>
        </w:rPr>
        <w:t xml:space="preserve"> un crecimiento interanual</w:t>
      </w:r>
      <w:r w:rsidR="00F01071">
        <w:rPr>
          <w:rFonts w:ascii="Times New Roman" w:hAnsi="Times New Roman" w:cs="Times New Roman"/>
        </w:rPr>
        <w:t xml:space="preserve"> m</w:t>
      </w:r>
      <w:r>
        <w:rPr>
          <w:rFonts w:ascii="Times New Roman" w:hAnsi="Times New Roman" w:cs="Times New Roman"/>
        </w:rPr>
        <w:t>oderado hasta el mes de marzo, dado que adicional a los ajustes presupuestarios que</w:t>
      </w:r>
      <w:r w:rsidR="00F01071">
        <w:rPr>
          <w:rFonts w:ascii="Times New Roman" w:hAnsi="Times New Roman" w:cs="Times New Roman"/>
        </w:rPr>
        <w:t xml:space="preserve"> se estaban dando dentro de las instituciones para </w:t>
      </w:r>
      <w:r>
        <w:rPr>
          <w:rFonts w:ascii="Times New Roman" w:hAnsi="Times New Roman" w:cs="Times New Roman"/>
        </w:rPr>
        <w:t>viabili</w:t>
      </w:r>
      <w:r w:rsidR="00F01071">
        <w:rPr>
          <w:rFonts w:ascii="Times New Roman" w:hAnsi="Times New Roman" w:cs="Times New Roman"/>
        </w:rPr>
        <w:t>zar</w:t>
      </w:r>
      <w:r>
        <w:rPr>
          <w:rFonts w:ascii="Times New Roman" w:hAnsi="Times New Roman" w:cs="Times New Roman"/>
        </w:rPr>
        <w:t xml:space="preserve"> la ejecución, se dio cierta restricción en la asignación de las cuotas financieras, ello debido a la</w:t>
      </w:r>
      <w:r w:rsidR="00F01071">
        <w:rPr>
          <w:rFonts w:ascii="Times New Roman" w:hAnsi="Times New Roman" w:cs="Times New Roman"/>
        </w:rPr>
        <w:t xml:space="preserve"> </w:t>
      </w:r>
      <w:r>
        <w:rPr>
          <w:rFonts w:ascii="Times New Roman" w:hAnsi="Times New Roman" w:cs="Times New Roman"/>
        </w:rPr>
        <w:t xml:space="preserve">incertidumbre </w:t>
      </w:r>
      <w:r w:rsidR="00F01071">
        <w:rPr>
          <w:rFonts w:ascii="Times New Roman" w:hAnsi="Times New Roman" w:cs="Times New Roman"/>
        </w:rPr>
        <w:t xml:space="preserve">sobre </w:t>
      </w:r>
      <w:r>
        <w:rPr>
          <w:rFonts w:ascii="Times New Roman" w:hAnsi="Times New Roman" w:cs="Times New Roman"/>
        </w:rPr>
        <w:t>el</w:t>
      </w:r>
      <w:r w:rsidR="00F01071">
        <w:rPr>
          <w:rFonts w:ascii="Times New Roman" w:hAnsi="Times New Roman" w:cs="Times New Roman"/>
        </w:rPr>
        <w:t xml:space="preserve"> </w:t>
      </w:r>
      <w:r>
        <w:rPr>
          <w:rFonts w:ascii="Times New Roman" w:hAnsi="Times New Roman" w:cs="Times New Roman"/>
        </w:rPr>
        <w:t xml:space="preserve">desempeño de los ingresos tributarios </w:t>
      </w:r>
      <w:r w:rsidR="00F01071">
        <w:rPr>
          <w:rFonts w:ascii="Times New Roman" w:hAnsi="Times New Roman" w:cs="Times New Roman"/>
        </w:rPr>
        <w:t xml:space="preserve">de </w:t>
      </w:r>
      <w:r>
        <w:rPr>
          <w:rFonts w:ascii="Times New Roman" w:hAnsi="Times New Roman" w:cs="Times New Roman"/>
        </w:rPr>
        <w:t>los</w:t>
      </w:r>
      <w:r w:rsidR="00F01071">
        <w:rPr>
          <w:rFonts w:ascii="Times New Roman" w:hAnsi="Times New Roman" w:cs="Times New Roman"/>
        </w:rPr>
        <w:t xml:space="preserve"> </w:t>
      </w:r>
      <w:r>
        <w:rPr>
          <w:rFonts w:ascii="Times New Roman" w:hAnsi="Times New Roman" w:cs="Times New Roman"/>
        </w:rPr>
        <w:t>próximos meses.</w:t>
      </w:r>
    </w:p>
    <w:p w14:paraId="620FBB04" w14:textId="77777777" w:rsidR="00F01071" w:rsidRDefault="00F01071" w:rsidP="00F01071">
      <w:pPr>
        <w:autoSpaceDE w:val="0"/>
        <w:autoSpaceDN w:val="0"/>
        <w:adjustRightInd w:val="0"/>
        <w:spacing w:after="0" w:line="240" w:lineRule="auto"/>
        <w:jc w:val="both"/>
        <w:rPr>
          <w:rFonts w:ascii="Times New Roman" w:hAnsi="Times New Roman" w:cs="Times New Roman"/>
        </w:rPr>
      </w:pPr>
    </w:p>
    <w:p w14:paraId="1086716E" w14:textId="77777777" w:rsidR="006F0923" w:rsidRDefault="004E1FD9" w:rsidP="003D0C88">
      <w:pPr>
        <w:spacing w:after="0" w:line="240" w:lineRule="auto"/>
        <w:jc w:val="both"/>
        <w:rPr>
          <w:rFonts w:ascii="Times New Roman" w:hAnsi="Times New Roman" w:cs="Times New Roman"/>
        </w:rPr>
      </w:pPr>
      <w:r w:rsidRPr="004133EB">
        <w:rPr>
          <w:rFonts w:ascii="Times New Roman" w:hAnsi="Times New Roman" w:cs="Times New Roman"/>
        </w:rPr>
        <w:t>La dinámica en la ejecución de gasto público</w:t>
      </w:r>
      <w:r w:rsidR="00C306AA">
        <w:rPr>
          <w:rFonts w:ascii="Times New Roman" w:hAnsi="Times New Roman" w:cs="Times New Roman"/>
        </w:rPr>
        <w:t xml:space="preserve">, que incluye las amortizaciones de la deuda pública, empezó a ser más dinámica </w:t>
      </w:r>
      <w:r w:rsidRPr="004133EB">
        <w:rPr>
          <w:rFonts w:ascii="Times New Roman" w:hAnsi="Times New Roman" w:cs="Times New Roman"/>
        </w:rPr>
        <w:t xml:space="preserve">a partir de </w:t>
      </w:r>
      <w:r w:rsidR="00C306AA">
        <w:rPr>
          <w:rFonts w:ascii="Times New Roman" w:hAnsi="Times New Roman" w:cs="Times New Roman"/>
        </w:rPr>
        <w:t xml:space="preserve">abril, con un crecimiento interanual de 10.8%, </w:t>
      </w:r>
      <w:r w:rsidR="00C306AA" w:rsidRPr="00C306AA">
        <w:rPr>
          <w:rFonts w:ascii="Times New Roman" w:hAnsi="Times New Roman" w:cs="Times New Roman"/>
        </w:rPr>
        <w:t xml:space="preserve">mostrando un fuerte dinamismo respecto al observado en los meses previos. El crecimiento observado es ampliamente superior al reportado en 2020, cuando el gasto se estaba contrayendo en </w:t>
      </w:r>
      <w:r w:rsidR="00C306AA">
        <w:rPr>
          <w:rFonts w:ascii="Times New Roman" w:hAnsi="Times New Roman" w:cs="Times New Roman"/>
        </w:rPr>
        <w:t>1</w:t>
      </w:r>
      <w:r w:rsidR="00C306AA" w:rsidRPr="00C306AA">
        <w:rPr>
          <w:rFonts w:ascii="Times New Roman" w:hAnsi="Times New Roman" w:cs="Times New Roman"/>
        </w:rPr>
        <w:t>.</w:t>
      </w:r>
      <w:r w:rsidR="00C306AA">
        <w:rPr>
          <w:rFonts w:ascii="Times New Roman" w:hAnsi="Times New Roman" w:cs="Times New Roman"/>
        </w:rPr>
        <w:t>6</w:t>
      </w:r>
      <w:r w:rsidR="00C306AA" w:rsidRPr="00C306AA">
        <w:rPr>
          <w:rFonts w:ascii="Times New Roman" w:hAnsi="Times New Roman" w:cs="Times New Roman"/>
        </w:rPr>
        <w:t>%, dado que estaba en proceso la arquitectura de los programas que darían atención al COVID-19.</w:t>
      </w:r>
      <w:r w:rsidR="003D0C88" w:rsidRPr="004133EB">
        <w:rPr>
          <w:rFonts w:ascii="Times New Roman" w:hAnsi="Times New Roman" w:cs="Times New Roman"/>
        </w:rPr>
        <w:t xml:space="preserve"> </w:t>
      </w:r>
    </w:p>
    <w:p w14:paraId="10BA4ECC" w14:textId="434E32E9" w:rsidR="00956AB9" w:rsidRDefault="00956AB9" w:rsidP="003D0C88">
      <w:pPr>
        <w:spacing w:after="0" w:line="240" w:lineRule="auto"/>
        <w:jc w:val="both"/>
        <w:rPr>
          <w:rFonts w:ascii="Times New Roman" w:hAnsi="Times New Roman" w:cs="Times New Roman"/>
        </w:rPr>
      </w:pPr>
    </w:p>
    <w:p w14:paraId="2A03DAA1" w14:textId="63E45CA2" w:rsidR="00A12AD0" w:rsidRDefault="00A12AD0" w:rsidP="00FF74AD">
      <w:pPr>
        <w:spacing w:after="0" w:line="240" w:lineRule="auto"/>
        <w:jc w:val="both"/>
        <w:rPr>
          <w:rFonts w:ascii="Times New Roman" w:hAnsi="Times New Roman" w:cs="Times New Roman"/>
        </w:rPr>
      </w:pPr>
      <w:r>
        <w:rPr>
          <w:rFonts w:ascii="Times New Roman" w:hAnsi="Times New Roman" w:cs="Times New Roman"/>
        </w:rPr>
        <w:t>Para junio,</w:t>
      </w:r>
      <w:r w:rsidR="00FF74AD">
        <w:rPr>
          <w:rFonts w:ascii="Times New Roman" w:hAnsi="Times New Roman" w:cs="Times New Roman"/>
        </w:rPr>
        <w:t xml:space="preserve"> el</w:t>
      </w:r>
      <w:r>
        <w:rPr>
          <w:rFonts w:ascii="Times New Roman" w:hAnsi="Times New Roman" w:cs="Times New Roman"/>
        </w:rPr>
        <w:t xml:space="preserve"> </w:t>
      </w:r>
      <w:r w:rsidR="00FF74AD" w:rsidRPr="00FF74AD">
        <w:rPr>
          <w:rFonts w:ascii="Times New Roman" w:hAnsi="Times New Roman" w:cs="Times New Roman"/>
        </w:rPr>
        <w:t>crecimiento interanual de 0.</w:t>
      </w:r>
      <w:r w:rsidR="00FF74AD">
        <w:rPr>
          <w:rFonts w:ascii="Times New Roman" w:hAnsi="Times New Roman" w:cs="Times New Roman"/>
        </w:rPr>
        <w:t>3</w:t>
      </w:r>
      <w:r w:rsidR="00FF74AD" w:rsidRPr="00FF74AD">
        <w:rPr>
          <w:rFonts w:ascii="Times New Roman" w:hAnsi="Times New Roman" w:cs="Times New Roman"/>
        </w:rPr>
        <w:t>% (equivalente a Q1</w:t>
      </w:r>
      <w:r w:rsidR="00FF74AD">
        <w:rPr>
          <w:rFonts w:ascii="Times New Roman" w:hAnsi="Times New Roman" w:cs="Times New Roman"/>
        </w:rPr>
        <w:t>12</w:t>
      </w:r>
      <w:r w:rsidR="00FF74AD" w:rsidRPr="00FF74AD">
        <w:rPr>
          <w:rFonts w:ascii="Times New Roman" w:hAnsi="Times New Roman" w:cs="Times New Roman"/>
        </w:rPr>
        <w:t>.</w:t>
      </w:r>
      <w:r w:rsidR="00FF74AD">
        <w:rPr>
          <w:rFonts w:ascii="Times New Roman" w:hAnsi="Times New Roman" w:cs="Times New Roman"/>
        </w:rPr>
        <w:t>3</w:t>
      </w:r>
      <w:r w:rsidR="00FF74AD" w:rsidRPr="00FF74AD">
        <w:rPr>
          <w:rFonts w:ascii="Times New Roman" w:hAnsi="Times New Roman" w:cs="Times New Roman"/>
        </w:rPr>
        <w:t xml:space="preserve"> millones), m</w:t>
      </w:r>
      <w:r w:rsidR="00843DEC">
        <w:rPr>
          <w:rFonts w:ascii="Times New Roman" w:hAnsi="Times New Roman" w:cs="Times New Roman"/>
        </w:rPr>
        <w:t>uestra</w:t>
      </w:r>
      <w:r w:rsidR="00FF74AD" w:rsidRPr="00FF74AD">
        <w:rPr>
          <w:rFonts w:ascii="Times New Roman" w:hAnsi="Times New Roman" w:cs="Times New Roman"/>
        </w:rPr>
        <w:t xml:space="preserve"> una importante desaceleración respe</w:t>
      </w:r>
      <w:r w:rsidR="00FF74AD">
        <w:rPr>
          <w:rFonts w:ascii="Times New Roman" w:hAnsi="Times New Roman" w:cs="Times New Roman"/>
        </w:rPr>
        <w:t>cto al dinamismo observado en los dos</w:t>
      </w:r>
      <w:r w:rsidR="00FF74AD" w:rsidRPr="00FF74AD">
        <w:rPr>
          <w:rFonts w:ascii="Times New Roman" w:hAnsi="Times New Roman" w:cs="Times New Roman"/>
        </w:rPr>
        <w:t xml:space="preserve"> mes</w:t>
      </w:r>
      <w:r w:rsidR="00FF74AD">
        <w:rPr>
          <w:rFonts w:ascii="Times New Roman" w:hAnsi="Times New Roman" w:cs="Times New Roman"/>
        </w:rPr>
        <w:t>es</w:t>
      </w:r>
      <w:r w:rsidR="00FF74AD" w:rsidRPr="00FF74AD">
        <w:rPr>
          <w:rFonts w:ascii="Times New Roman" w:hAnsi="Times New Roman" w:cs="Times New Roman"/>
        </w:rPr>
        <w:t xml:space="preserve"> previo</w:t>
      </w:r>
      <w:r w:rsidR="00FF74AD">
        <w:rPr>
          <w:rFonts w:ascii="Times New Roman" w:hAnsi="Times New Roman" w:cs="Times New Roman"/>
        </w:rPr>
        <w:t>s</w:t>
      </w:r>
      <w:r w:rsidR="00FF74AD" w:rsidRPr="00FF74AD">
        <w:rPr>
          <w:rFonts w:ascii="Times New Roman" w:hAnsi="Times New Roman" w:cs="Times New Roman"/>
        </w:rPr>
        <w:t>. Asimismo, el crecimiento observado es menor al reportado en 2020, cuando el gasto estaba creciendo en 9.</w:t>
      </w:r>
      <w:r w:rsidR="00FF74AD">
        <w:rPr>
          <w:rFonts w:ascii="Times New Roman" w:hAnsi="Times New Roman" w:cs="Times New Roman"/>
        </w:rPr>
        <w:t>0</w:t>
      </w:r>
      <w:r w:rsidR="00FF74AD" w:rsidRPr="00FF74AD">
        <w:rPr>
          <w:rFonts w:ascii="Times New Roman" w:hAnsi="Times New Roman" w:cs="Times New Roman"/>
        </w:rPr>
        <w:t xml:space="preserve">%, dado que a junio de ese año se encontraban en ejecución varias actividades </w:t>
      </w:r>
      <w:r w:rsidR="00CB457C">
        <w:rPr>
          <w:rFonts w:ascii="Times New Roman" w:hAnsi="Times New Roman" w:cs="Times New Roman"/>
        </w:rPr>
        <w:t xml:space="preserve">de estímulo </w:t>
      </w:r>
      <w:r w:rsidR="00FF74AD" w:rsidRPr="00FF74AD">
        <w:rPr>
          <w:rFonts w:ascii="Times New Roman" w:hAnsi="Times New Roman" w:cs="Times New Roman"/>
        </w:rPr>
        <w:t>relacionadas a la atención de la pandemia COVID-19, mientras que para este año dichas actividades ya no se encuentran vigentes.</w:t>
      </w:r>
    </w:p>
    <w:p w14:paraId="382F2913" w14:textId="77777777" w:rsidR="00DD4CEA" w:rsidRPr="00FF74AD" w:rsidRDefault="00DD4CEA" w:rsidP="00FF74AD">
      <w:pPr>
        <w:spacing w:after="0" w:line="240" w:lineRule="auto"/>
        <w:jc w:val="both"/>
        <w:rPr>
          <w:rFonts w:ascii="Times New Roman" w:hAnsi="Times New Roman" w:cs="Times New Roman"/>
        </w:rPr>
      </w:pPr>
    </w:p>
    <w:p w14:paraId="566DA6AC" w14:textId="3C7AB36C" w:rsidR="00B6733D" w:rsidRDefault="00DD4CEA" w:rsidP="003D0C88">
      <w:pPr>
        <w:spacing w:after="0" w:line="240" w:lineRule="auto"/>
        <w:jc w:val="both"/>
        <w:rPr>
          <w:rFonts w:ascii="Times New Roman" w:hAnsi="Times New Roman" w:cs="Times New Roman"/>
        </w:rPr>
      </w:pPr>
      <w:r w:rsidRPr="00DD4CEA">
        <w:rPr>
          <w:rFonts w:ascii="Times New Roman" w:hAnsi="Times New Roman" w:cs="Times New Roman"/>
        </w:rPr>
        <w:t xml:space="preserve">Para </w:t>
      </w:r>
      <w:r>
        <w:rPr>
          <w:rFonts w:ascii="Times New Roman" w:hAnsi="Times New Roman" w:cs="Times New Roman"/>
        </w:rPr>
        <w:t>finales de</w:t>
      </w:r>
      <w:r w:rsidRPr="00DD4CEA">
        <w:rPr>
          <w:rFonts w:ascii="Times New Roman" w:hAnsi="Times New Roman" w:cs="Times New Roman"/>
        </w:rPr>
        <w:t xml:space="preserve"> año, se esperaría que la variación interanual del gasto público sea negativa, dado que </w:t>
      </w:r>
      <w:r>
        <w:rPr>
          <w:rFonts w:ascii="Times New Roman" w:hAnsi="Times New Roman" w:cs="Times New Roman"/>
        </w:rPr>
        <w:t xml:space="preserve">como se comentó anteriormente, </w:t>
      </w:r>
      <w:r w:rsidRPr="00DD4CEA">
        <w:rPr>
          <w:rFonts w:ascii="Times New Roman" w:hAnsi="Times New Roman" w:cs="Times New Roman"/>
        </w:rPr>
        <w:t>el Ejecutivo anunció un presupuesto operativo de Q94,354.0 millones, con lo cual la ejecución quedaría por debajo de lo observado en 2020</w:t>
      </w:r>
      <w:r>
        <w:rPr>
          <w:rFonts w:ascii="Times New Roman" w:hAnsi="Times New Roman" w:cs="Times New Roman"/>
        </w:rPr>
        <w:t xml:space="preserve"> cuando la ejecución se ubicó en Q96,625.4 millones, es decir, Q2,271.4 millones menos.</w:t>
      </w:r>
    </w:p>
    <w:p w14:paraId="47A00806" w14:textId="77777777" w:rsidR="00B6733D" w:rsidRDefault="00B6733D" w:rsidP="003D0C88">
      <w:pPr>
        <w:spacing w:after="0" w:line="240" w:lineRule="auto"/>
        <w:jc w:val="both"/>
        <w:rPr>
          <w:rFonts w:ascii="Times New Roman" w:hAnsi="Times New Roman" w:cs="Times New Roman"/>
        </w:rPr>
      </w:pPr>
    </w:p>
    <w:p w14:paraId="549ED38A" w14:textId="35157D6D" w:rsidR="00B6733D" w:rsidRDefault="00B6733D" w:rsidP="003D0C88">
      <w:pPr>
        <w:spacing w:after="0" w:line="240" w:lineRule="auto"/>
        <w:jc w:val="both"/>
        <w:rPr>
          <w:rFonts w:ascii="Times New Roman" w:hAnsi="Times New Roman" w:cs="Times New Roman"/>
        </w:rPr>
      </w:pPr>
    </w:p>
    <w:p w14:paraId="147984BC" w14:textId="1B63314D" w:rsidR="00E4773A" w:rsidRDefault="00E4773A" w:rsidP="003D0C88">
      <w:pPr>
        <w:spacing w:after="0" w:line="240" w:lineRule="auto"/>
        <w:jc w:val="both"/>
        <w:rPr>
          <w:rFonts w:ascii="Times New Roman" w:hAnsi="Times New Roman" w:cs="Times New Roman"/>
        </w:rPr>
      </w:pPr>
    </w:p>
    <w:p w14:paraId="476722E0" w14:textId="6FD2B645" w:rsidR="00E4773A" w:rsidRDefault="00E4773A" w:rsidP="003D0C88">
      <w:pPr>
        <w:spacing w:after="0" w:line="240" w:lineRule="auto"/>
        <w:jc w:val="both"/>
        <w:rPr>
          <w:rFonts w:ascii="Times New Roman" w:hAnsi="Times New Roman" w:cs="Times New Roman"/>
        </w:rPr>
      </w:pPr>
    </w:p>
    <w:p w14:paraId="01A76D08" w14:textId="2F73633C" w:rsidR="00E4773A" w:rsidRDefault="00E4773A" w:rsidP="003D0C88">
      <w:pPr>
        <w:spacing w:after="0" w:line="240" w:lineRule="auto"/>
        <w:jc w:val="both"/>
        <w:rPr>
          <w:rFonts w:ascii="Times New Roman" w:hAnsi="Times New Roman" w:cs="Times New Roman"/>
        </w:rPr>
      </w:pPr>
    </w:p>
    <w:p w14:paraId="78B2D48D" w14:textId="51B07828" w:rsidR="00E4773A" w:rsidRDefault="00E4773A" w:rsidP="003D0C88">
      <w:pPr>
        <w:spacing w:after="0" w:line="240" w:lineRule="auto"/>
        <w:jc w:val="both"/>
        <w:rPr>
          <w:rFonts w:ascii="Times New Roman" w:hAnsi="Times New Roman" w:cs="Times New Roman"/>
        </w:rPr>
      </w:pPr>
    </w:p>
    <w:p w14:paraId="79FE679A" w14:textId="08F6775F" w:rsidR="00E851D2" w:rsidRDefault="00E851D2" w:rsidP="003D0C88">
      <w:pPr>
        <w:spacing w:after="0" w:line="240" w:lineRule="auto"/>
        <w:jc w:val="both"/>
        <w:rPr>
          <w:rFonts w:ascii="Times New Roman" w:hAnsi="Times New Roman" w:cs="Times New Roman"/>
        </w:rPr>
      </w:pPr>
    </w:p>
    <w:p w14:paraId="724E2750" w14:textId="77777777" w:rsidR="00E851D2" w:rsidRDefault="00E851D2" w:rsidP="003D0C88">
      <w:pPr>
        <w:spacing w:after="0" w:line="240" w:lineRule="auto"/>
        <w:jc w:val="both"/>
        <w:rPr>
          <w:rFonts w:ascii="Times New Roman" w:hAnsi="Times New Roman" w:cs="Times New Roman"/>
        </w:rPr>
      </w:pPr>
    </w:p>
    <w:p w14:paraId="74781144" w14:textId="799DCE87" w:rsidR="00E4773A" w:rsidRDefault="00E4773A" w:rsidP="003D0C88">
      <w:pPr>
        <w:spacing w:after="0" w:line="240" w:lineRule="auto"/>
        <w:jc w:val="both"/>
        <w:rPr>
          <w:rFonts w:ascii="Times New Roman" w:hAnsi="Times New Roman" w:cs="Times New Roman"/>
        </w:rPr>
      </w:pPr>
    </w:p>
    <w:p w14:paraId="360908B4" w14:textId="77777777" w:rsidR="00E4773A" w:rsidRDefault="00E4773A" w:rsidP="003D0C88">
      <w:pPr>
        <w:spacing w:after="0" w:line="240" w:lineRule="auto"/>
        <w:jc w:val="both"/>
        <w:rPr>
          <w:rFonts w:ascii="Times New Roman" w:hAnsi="Times New Roman" w:cs="Times New Roman"/>
        </w:rPr>
      </w:pPr>
    </w:p>
    <w:p w14:paraId="77A7DB9E" w14:textId="360B809A" w:rsidR="00956AB9" w:rsidRPr="00956AB9" w:rsidRDefault="003E14B7" w:rsidP="00B6733D">
      <w:pPr>
        <w:pStyle w:val="Epgrafe"/>
        <w:spacing w:after="0"/>
        <w:jc w:val="center"/>
        <w:rPr>
          <w:rFonts w:ascii="Times New Roman" w:hAnsi="Times New Roman" w:cs="Times New Roman"/>
          <w:b/>
          <w:i w:val="0"/>
          <w:color w:val="auto"/>
          <w:sz w:val="22"/>
          <w:szCs w:val="22"/>
        </w:rPr>
      </w:pPr>
      <w:bookmarkStart w:id="1169" w:name="_Toc50016842"/>
      <w:bookmarkStart w:id="1170" w:name="_Toc81573088"/>
      <w:r w:rsidRPr="003E14B7">
        <w:rPr>
          <w:rFonts w:ascii="Times New Roman" w:hAnsi="Times New Roman" w:cs="Times New Roman"/>
          <w:b/>
          <w:color w:val="auto"/>
          <w:sz w:val="20"/>
        </w:rPr>
        <w:t xml:space="preserve">Gráfico </w:t>
      </w:r>
      <w:r w:rsidRPr="003E14B7">
        <w:rPr>
          <w:rFonts w:ascii="Times New Roman" w:hAnsi="Times New Roman" w:cs="Times New Roman"/>
          <w:b/>
          <w:color w:val="auto"/>
          <w:sz w:val="20"/>
        </w:rPr>
        <w:fldChar w:fldCharType="begin"/>
      </w:r>
      <w:r w:rsidRPr="003E14B7">
        <w:rPr>
          <w:rFonts w:ascii="Times New Roman" w:hAnsi="Times New Roman" w:cs="Times New Roman"/>
          <w:b/>
          <w:color w:val="auto"/>
          <w:sz w:val="20"/>
        </w:rPr>
        <w:instrText xml:space="preserve"> SEQ Gráfico \* ARABIC </w:instrText>
      </w:r>
      <w:r w:rsidRPr="003E14B7">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38</w:t>
      </w:r>
      <w:r w:rsidRPr="003E14B7">
        <w:rPr>
          <w:rFonts w:ascii="Times New Roman" w:hAnsi="Times New Roman" w:cs="Times New Roman"/>
          <w:b/>
          <w:color w:val="auto"/>
          <w:sz w:val="20"/>
        </w:rPr>
        <w:fldChar w:fldCharType="end"/>
      </w:r>
      <w:r w:rsidRPr="003E14B7">
        <w:rPr>
          <w:rFonts w:ascii="Times New Roman" w:hAnsi="Times New Roman" w:cs="Times New Roman"/>
          <w:b/>
          <w:color w:val="auto"/>
          <w:sz w:val="20"/>
        </w:rPr>
        <w:t xml:space="preserve">  </w:t>
      </w:r>
      <w:r w:rsidR="00956AB9" w:rsidRPr="00956AB9">
        <w:rPr>
          <w:rFonts w:ascii="Times New Roman" w:hAnsi="Times New Roman" w:cs="Times New Roman"/>
          <w:b/>
          <w:i w:val="0"/>
          <w:color w:val="auto"/>
          <w:sz w:val="22"/>
          <w:szCs w:val="22"/>
        </w:rPr>
        <w:t>Ritmo de ejecución del gasto</w:t>
      </w:r>
      <w:bookmarkEnd w:id="1169"/>
      <w:bookmarkEnd w:id="1170"/>
    </w:p>
    <w:tbl>
      <w:tblPr>
        <w:tblpPr w:leftFromText="141" w:rightFromText="141" w:vertAnchor="text" w:horzAnchor="margin" w:tblpXSpec="center" w:tblpY="39"/>
        <w:tblOverlap w:val="never"/>
        <w:tblW w:w="0" w:type="auto"/>
        <w:tblCellMar>
          <w:left w:w="70" w:type="dxa"/>
          <w:right w:w="70" w:type="dxa"/>
        </w:tblCellMar>
        <w:tblLook w:val="04A0" w:firstRow="1" w:lastRow="0" w:firstColumn="1" w:lastColumn="0" w:noHBand="0" w:noVBand="1"/>
      </w:tblPr>
      <w:tblGrid>
        <w:gridCol w:w="7590"/>
      </w:tblGrid>
      <w:tr w:rsidR="00E56E65" w:rsidRPr="004133EB" w14:paraId="440832FA" w14:textId="77777777" w:rsidTr="00956AB9">
        <w:tc>
          <w:tcPr>
            <w:tcW w:w="7430" w:type="dxa"/>
          </w:tcPr>
          <w:p w14:paraId="7DA133C1" w14:textId="77777777" w:rsidR="00E56E65" w:rsidRDefault="00E56E65" w:rsidP="00DA39C2">
            <w:pPr>
              <w:spacing w:after="0" w:line="240" w:lineRule="auto"/>
              <w:jc w:val="center"/>
              <w:rPr>
                <w:rFonts w:ascii="Times New Roman" w:hAnsi="Times New Roman" w:cs="Times New Roman"/>
              </w:rPr>
            </w:pPr>
            <w:r w:rsidRPr="004133EB">
              <w:rPr>
                <w:rFonts w:ascii="Times New Roman" w:hAnsi="Times New Roman" w:cs="Times New Roman"/>
              </w:rPr>
              <w:t>Variación Interanual*</w:t>
            </w:r>
          </w:p>
          <w:p w14:paraId="2C4B80F4" w14:textId="77777777" w:rsidR="00C8701A" w:rsidRDefault="00F01071" w:rsidP="00DA39C2">
            <w:pPr>
              <w:spacing w:after="0" w:line="240" w:lineRule="auto"/>
              <w:jc w:val="center"/>
              <w:rPr>
                <w:rFonts w:ascii="Times New Roman" w:hAnsi="Times New Roman" w:cs="Times New Roman"/>
              </w:rPr>
            </w:pPr>
            <w:r>
              <w:rPr>
                <w:rFonts w:ascii="Times New Roman" w:hAnsi="Times New Roman" w:cs="Times New Roman"/>
                <w:noProof/>
                <w:lang w:val="es-ES" w:eastAsia="es-ES"/>
              </w:rPr>
              <w:drawing>
                <wp:inline distT="0" distB="0" distL="0" distR="0" wp14:anchorId="54D9D435" wp14:editId="62ACA063">
                  <wp:extent cx="4730750" cy="23050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79EE4A2" w14:textId="77777777" w:rsidR="00E56E65" w:rsidRPr="004133EB" w:rsidRDefault="00E56E65" w:rsidP="00E56E65">
            <w:pPr>
              <w:pStyle w:val="Sinespaciado"/>
              <w:jc w:val="both"/>
              <w:rPr>
                <w:rFonts w:ascii="Times New Roman" w:hAnsi="Times New Roman" w:cs="Times New Roman"/>
                <w:sz w:val="16"/>
              </w:rPr>
            </w:pPr>
            <w:r w:rsidRPr="004133EB">
              <w:rPr>
                <w:rFonts w:ascii="Times New Roman" w:hAnsi="Times New Roman" w:cs="Times New Roman"/>
                <w:sz w:val="16"/>
              </w:rPr>
              <w:t>*Incluye amortizaciones de la deuda pública</w:t>
            </w:r>
          </w:p>
          <w:p w14:paraId="55B60C71" w14:textId="77777777" w:rsidR="00E56E65" w:rsidRPr="004133EB" w:rsidRDefault="00E56E65" w:rsidP="00E56E65">
            <w:pPr>
              <w:pStyle w:val="Sinespaciado"/>
              <w:jc w:val="both"/>
              <w:rPr>
                <w:rFonts w:ascii="Times New Roman" w:hAnsi="Times New Roman" w:cs="Times New Roman"/>
              </w:rPr>
            </w:pPr>
            <w:r w:rsidRPr="004133EB">
              <w:rPr>
                <w:rFonts w:ascii="Times New Roman" w:hAnsi="Times New Roman" w:cs="Times New Roman"/>
                <w:sz w:val="16"/>
              </w:rPr>
              <w:t>Fuente: Dirección de Análisis y Política Fiscal</w:t>
            </w:r>
          </w:p>
        </w:tc>
      </w:tr>
    </w:tbl>
    <w:p w14:paraId="09987831" w14:textId="77777777" w:rsidR="00E56E65" w:rsidRPr="004133EB" w:rsidRDefault="00E56E65" w:rsidP="003D0C88">
      <w:pPr>
        <w:spacing w:after="0" w:line="240" w:lineRule="auto"/>
        <w:jc w:val="both"/>
        <w:rPr>
          <w:rFonts w:ascii="Times New Roman" w:hAnsi="Times New Roman" w:cs="Times New Roman"/>
        </w:rPr>
      </w:pPr>
    </w:p>
    <w:p w14:paraId="39479B56" w14:textId="77777777" w:rsidR="003D0C88" w:rsidRDefault="003D0C88" w:rsidP="003D0C88">
      <w:pPr>
        <w:spacing w:after="0" w:line="240" w:lineRule="auto"/>
        <w:jc w:val="both"/>
        <w:rPr>
          <w:rFonts w:ascii="Times New Roman" w:hAnsi="Times New Roman" w:cs="Times New Roman"/>
        </w:rPr>
      </w:pPr>
    </w:p>
    <w:p w14:paraId="0B1EFA2D" w14:textId="77777777" w:rsidR="00B6733D" w:rsidRDefault="00B6733D" w:rsidP="003D0C88">
      <w:pPr>
        <w:spacing w:after="0" w:line="240" w:lineRule="auto"/>
        <w:jc w:val="both"/>
        <w:rPr>
          <w:rFonts w:ascii="Times New Roman" w:hAnsi="Times New Roman" w:cs="Times New Roman"/>
        </w:rPr>
      </w:pPr>
    </w:p>
    <w:p w14:paraId="3E705236" w14:textId="77777777" w:rsidR="00B6733D" w:rsidRDefault="00B6733D" w:rsidP="003D0C88">
      <w:pPr>
        <w:spacing w:after="0" w:line="240" w:lineRule="auto"/>
        <w:jc w:val="both"/>
        <w:rPr>
          <w:rFonts w:ascii="Times New Roman" w:hAnsi="Times New Roman" w:cs="Times New Roman"/>
        </w:rPr>
      </w:pPr>
    </w:p>
    <w:p w14:paraId="760EAE7E" w14:textId="77777777" w:rsidR="00B6733D" w:rsidRDefault="00B6733D" w:rsidP="003D0C88">
      <w:pPr>
        <w:spacing w:after="0" w:line="240" w:lineRule="auto"/>
        <w:jc w:val="both"/>
        <w:rPr>
          <w:rFonts w:ascii="Times New Roman" w:hAnsi="Times New Roman" w:cs="Times New Roman"/>
        </w:rPr>
      </w:pPr>
    </w:p>
    <w:p w14:paraId="2C48FF8D" w14:textId="77777777" w:rsidR="00B6733D" w:rsidRDefault="00B6733D" w:rsidP="003D0C88">
      <w:pPr>
        <w:spacing w:after="0" w:line="240" w:lineRule="auto"/>
        <w:jc w:val="both"/>
        <w:rPr>
          <w:rFonts w:ascii="Times New Roman" w:hAnsi="Times New Roman" w:cs="Times New Roman"/>
        </w:rPr>
      </w:pPr>
    </w:p>
    <w:p w14:paraId="07808DBB" w14:textId="77777777" w:rsidR="00B6733D" w:rsidRDefault="00B6733D" w:rsidP="003D0C88">
      <w:pPr>
        <w:spacing w:after="0" w:line="240" w:lineRule="auto"/>
        <w:jc w:val="both"/>
        <w:rPr>
          <w:rFonts w:ascii="Times New Roman" w:hAnsi="Times New Roman" w:cs="Times New Roman"/>
        </w:rPr>
      </w:pPr>
    </w:p>
    <w:p w14:paraId="69C9F9AD" w14:textId="77777777" w:rsidR="00B6733D" w:rsidRDefault="00B6733D" w:rsidP="003D0C88">
      <w:pPr>
        <w:spacing w:after="0" w:line="240" w:lineRule="auto"/>
        <w:jc w:val="both"/>
        <w:rPr>
          <w:rFonts w:ascii="Times New Roman" w:hAnsi="Times New Roman" w:cs="Times New Roman"/>
        </w:rPr>
      </w:pPr>
    </w:p>
    <w:p w14:paraId="047C4B47" w14:textId="77777777" w:rsidR="00B6733D" w:rsidRDefault="00B6733D" w:rsidP="003D0C88">
      <w:pPr>
        <w:spacing w:after="0" w:line="240" w:lineRule="auto"/>
        <w:jc w:val="both"/>
        <w:rPr>
          <w:rFonts w:ascii="Times New Roman" w:hAnsi="Times New Roman" w:cs="Times New Roman"/>
        </w:rPr>
      </w:pPr>
    </w:p>
    <w:p w14:paraId="2F6085B6" w14:textId="77777777" w:rsidR="00B6733D" w:rsidRDefault="00B6733D" w:rsidP="003D0C88">
      <w:pPr>
        <w:spacing w:after="0" w:line="240" w:lineRule="auto"/>
        <w:jc w:val="both"/>
        <w:rPr>
          <w:rFonts w:ascii="Times New Roman" w:hAnsi="Times New Roman" w:cs="Times New Roman"/>
        </w:rPr>
      </w:pPr>
    </w:p>
    <w:p w14:paraId="24F66352" w14:textId="77777777" w:rsidR="00B6733D" w:rsidRDefault="00B6733D" w:rsidP="003D0C88">
      <w:pPr>
        <w:spacing w:after="0" w:line="240" w:lineRule="auto"/>
        <w:jc w:val="both"/>
        <w:rPr>
          <w:rFonts w:ascii="Times New Roman" w:hAnsi="Times New Roman" w:cs="Times New Roman"/>
        </w:rPr>
      </w:pPr>
    </w:p>
    <w:p w14:paraId="1B4D1037" w14:textId="77777777" w:rsidR="00B6733D" w:rsidRDefault="00B6733D" w:rsidP="003D0C88">
      <w:pPr>
        <w:spacing w:after="0" w:line="240" w:lineRule="auto"/>
        <w:jc w:val="both"/>
        <w:rPr>
          <w:rFonts w:ascii="Times New Roman" w:hAnsi="Times New Roman" w:cs="Times New Roman"/>
        </w:rPr>
      </w:pPr>
    </w:p>
    <w:p w14:paraId="7673D622" w14:textId="77777777" w:rsidR="00B6733D" w:rsidRDefault="00B6733D" w:rsidP="003D0C88">
      <w:pPr>
        <w:spacing w:after="0" w:line="240" w:lineRule="auto"/>
        <w:jc w:val="both"/>
        <w:rPr>
          <w:rFonts w:ascii="Times New Roman" w:hAnsi="Times New Roman" w:cs="Times New Roman"/>
        </w:rPr>
      </w:pPr>
    </w:p>
    <w:p w14:paraId="54EAD37B" w14:textId="77777777" w:rsidR="00B6733D" w:rsidRDefault="00B6733D" w:rsidP="003D0C88">
      <w:pPr>
        <w:spacing w:after="0" w:line="240" w:lineRule="auto"/>
        <w:jc w:val="both"/>
        <w:rPr>
          <w:rFonts w:ascii="Times New Roman" w:hAnsi="Times New Roman" w:cs="Times New Roman"/>
        </w:rPr>
      </w:pPr>
    </w:p>
    <w:p w14:paraId="4FBFFCB6" w14:textId="77777777" w:rsidR="00B6733D" w:rsidRDefault="00B6733D" w:rsidP="003D0C88">
      <w:pPr>
        <w:spacing w:after="0" w:line="240" w:lineRule="auto"/>
        <w:jc w:val="both"/>
        <w:rPr>
          <w:rFonts w:ascii="Times New Roman" w:hAnsi="Times New Roman" w:cs="Times New Roman"/>
        </w:rPr>
      </w:pPr>
    </w:p>
    <w:p w14:paraId="134EA298" w14:textId="77777777" w:rsidR="00B6733D" w:rsidRDefault="00B6733D" w:rsidP="003D0C88">
      <w:pPr>
        <w:spacing w:after="0" w:line="240" w:lineRule="auto"/>
        <w:jc w:val="both"/>
        <w:rPr>
          <w:rFonts w:ascii="Times New Roman" w:hAnsi="Times New Roman" w:cs="Times New Roman"/>
        </w:rPr>
      </w:pPr>
    </w:p>
    <w:p w14:paraId="4AC057D7" w14:textId="77777777" w:rsidR="00B6733D" w:rsidRDefault="00B6733D" w:rsidP="003D0C88">
      <w:pPr>
        <w:spacing w:after="0" w:line="240" w:lineRule="auto"/>
        <w:jc w:val="both"/>
        <w:rPr>
          <w:rFonts w:ascii="Times New Roman" w:hAnsi="Times New Roman" w:cs="Times New Roman"/>
        </w:rPr>
      </w:pPr>
    </w:p>
    <w:p w14:paraId="4FF6BCE7" w14:textId="77777777" w:rsidR="00B6733D" w:rsidRDefault="00B6733D" w:rsidP="003D0C88">
      <w:pPr>
        <w:spacing w:after="0" w:line="240" w:lineRule="auto"/>
        <w:jc w:val="both"/>
        <w:rPr>
          <w:rFonts w:ascii="Times New Roman" w:hAnsi="Times New Roman" w:cs="Times New Roman"/>
        </w:rPr>
      </w:pPr>
    </w:p>
    <w:p w14:paraId="73600FDD" w14:textId="37140784" w:rsidR="00E56E65" w:rsidRDefault="006F0923" w:rsidP="003D0C88">
      <w:pPr>
        <w:spacing w:after="0" w:line="240" w:lineRule="auto"/>
        <w:jc w:val="both"/>
        <w:rPr>
          <w:rFonts w:ascii="Times New Roman" w:hAnsi="Times New Roman" w:cs="Times New Roman"/>
        </w:rPr>
      </w:pPr>
      <w:r w:rsidRPr="006F0923">
        <w:rPr>
          <w:rFonts w:ascii="Times New Roman" w:hAnsi="Times New Roman" w:cs="Times New Roman"/>
        </w:rPr>
        <w:t xml:space="preserve">La ejecución del gasto público a </w:t>
      </w:r>
      <w:r w:rsidR="00DD4CEA">
        <w:rPr>
          <w:rFonts w:ascii="Times New Roman" w:hAnsi="Times New Roman" w:cs="Times New Roman"/>
        </w:rPr>
        <w:t>junio</w:t>
      </w:r>
      <w:r w:rsidRPr="006F0923">
        <w:rPr>
          <w:rFonts w:ascii="Times New Roman" w:hAnsi="Times New Roman" w:cs="Times New Roman"/>
        </w:rPr>
        <w:t xml:space="preserve"> sin incluir las amortizaciones de la deuda pública se ubicó en Q</w:t>
      </w:r>
      <w:r w:rsidR="00DD4CEA">
        <w:rPr>
          <w:rFonts w:ascii="Times New Roman" w:hAnsi="Times New Roman" w:cs="Times New Roman"/>
        </w:rPr>
        <w:t>39</w:t>
      </w:r>
      <w:r w:rsidRPr="006F0923">
        <w:rPr>
          <w:rFonts w:ascii="Times New Roman" w:hAnsi="Times New Roman" w:cs="Times New Roman"/>
        </w:rPr>
        <w:t>,9</w:t>
      </w:r>
      <w:r w:rsidR="00DD4CEA">
        <w:rPr>
          <w:rFonts w:ascii="Times New Roman" w:hAnsi="Times New Roman" w:cs="Times New Roman"/>
        </w:rPr>
        <w:t>00</w:t>
      </w:r>
      <w:r w:rsidRPr="006F0923">
        <w:rPr>
          <w:rFonts w:ascii="Times New Roman" w:hAnsi="Times New Roman" w:cs="Times New Roman"/>
        </w:rPr>
        <w:t>.</w:t>
      </w:r>
      <w:r w:rsidR="00DD4CEA">
        <w:rPr>
          <w:rFonts w:ascii="Times New Roman" w:hAnsi="Times New Roman" w:cs="Times New Roman"/>
        </w:rPr>
        <w:t>2</w:t>
      </w:r>
      <w:r w:rsidRPr="006F0923">
        <w:rPr>
          <w:rFonts w:ascii="Times New Roman" w:hAnsi="Times New Roman" w:cs="Times New Roman"/>
        </w:rPr>
        <w:t xml:space="preserve"> millones con un crecimiento interanual de </w:t>
      </w:r>
      <w:r w:rsidR="00DD4CEA">
        <w:rPr>
          <w:rFonts w:ascii="Times New Roman" w:hAnsi="Times New Roman" w:cs="Times New Roman"/>
        </w:rPr>
        <w:t>0.4</w:t>
      </w:r>
      <w:r w:rsidRPr="006F0923">
        <w:rPr>
          <w:rFonts w:ascii="Times New Roman" w:hAnsi="Times New Roman" w:cs="Times New Roman"/>
        </w:rPr>
        <w:t>% (equivalente a Q</w:t>
      </w:r>
      <w:r w:rsidR="00DD4CEA">
        <w:rPr>
          <w:rFonts w:ascii="Times New Roman" w:hAnsi="Times New Roman" w:cs="Times New Roman"/>
        </w:rPr>
        <w:t>154</w:t>
      </w:r>
      <w:r w:rsidRPr="006F0923">
        <w:rPr>
          <w:rFonts w:ascii="Times New Roman" w:hAnsi="Times New Roman" w:cs="Times New Roman"/>
        </w:rPr>
        <w:t>.</w:t>
      </w:r>
      <w:r w:rsidR="00DD4CEA">
        <w:rPr>
          <w:rFonts w:ascii="Times New Roman" w:hAnsi="Times New Roman" w:cs="Times New Roman"/>
        </w:rPr>
        <w:t>4</w:t>
      </w:r>
      <w:r w:rsidRPr="006F0923">
        <w:rPr>
          <w:rFonts w:ascii="Times New Roman" w:hAnsi="Times New Roman" w:cs="Times New Roman"/>
        </w:rPr>
        <w:t xml:space="preserve"> millones)</w:t>
      </w:r>
      <w:r>
        <w:rPr>
          <w:rFonts w:ascii="Times New Roman" w:hAnsi="Times New Roman" w:cs="Times New Roman"/>
        </w:rPr>
        <w:t xml:space="preserve">. </w:t>
      </w:r>
      <w:r w:rsidR="00537B7F">
        <w:rPr>
          <w:rFonts w:ascii="Times New Roman" w:hAnsi="Times New Roman" w:cs="Times New Roman"/>
        </w:rPr>
        <w:t>L</w:t>
      </w:r>
      <w:r w:rsidRPr="006F0923">
        <w:rPr>
          <w:rFonts w:ascii="Times New Roman" w:hAnsi="Times New Roman" w:cs="Times New Roman"/>
        </w:rPr>
        <w:t>a ejecución podría continuar siendo dinámica, aunque</w:t>
      </w:r>
      <w:r>
        <w:rPr>
          <w:rFonts w:ascii="Times New Roman" w:hAnsi="Times New Roman" w:cs="Times New Roman"/>
        </w:rPr>
        <w:t xml:space="preserve"> </w:t>
      </w:r>
      <w:r w:rsidRPr="006F0923">
        <w:rPr>
          <w:rFonts w:ascii="Times New Roman" w:hAnsi="Times New Roman" w:cs="Times New Roman"/>
        </w:rPr>
        <w:t xml:space="preserve">en un menor nivel al observado en </w:t>
      </w:r>
      <w:r w:rsidR="00537B7F">
        <w:rPr>
          <w:rFonts w:ascii="Times New Roman" w:hAnsi="Times New Roman" w:cs="Times New Roman"/>
        </w:rPr>
        <w:t xml:space="preserve">el segundo semestre de </w:t>
      </w:r>
      <w:r w:rsidRPr="006F0923">
        <w:rPr>
          <w:rFonts w:ascii="Times New Roman" w:hAnsi="Times New Roman" w:cs="Times New Roman"/>
        </w:rPr>
        <w:t>2020, cuando los gastos relacionados al COVID-19 impulsaron</w:t>
      </w:r>
      <w:r>
        <w:rPr>
          <w:rFonts w:ascii="Times New Roman" w:hAnsi="Times New Roman" w:cs="Times New Roman"/>
        </w:rPr>
        <w:t xml:space="preserve"> significativamente el gasto público. </w:t>
      </w:r>
    </w:p>
    <w:p w14:paraId="474D741E" w14:textId="77777777" w:rsidR="003D0C88" w:rsidRPr="004133EB" w:rsidRDefault="003D0C88" w:rsidP="003D0C88">
      <w:pPr>
        <w:spacing w:after="0" w:line="240" w:lineRule="auto"/>
        <w:jc w:val="both"/>
        <w:rPr>
          <w:rFonts w:ascii="Times New Roman" w:hAnsi="Times New Roman" w:cs="Times New Roman"/>
        </w:rPr>
      </w:pPr>
    </w:p>
    <w:p w14:paraId="3B97910B" w14:textId="048E770A" w:rsidR="00537B7F" w:rsidRPr="00537B7F" w:rsidRDefault="00537B7F" w:rsidP="00537B7F">
      <w:pPr>
        <w:spacing w:after="0" w:line="240" w:lineRule="auto"/>
        <w:jc w:val="both"/>
        <w:rPr>
          <w:rFonts w:ascii="Times New Roman" w:hAnsi="Times New Roman" w:cs="Times New Roman"/>
        </w:rPr>
      </w:pPr>
      <w:r w:rsidRPr="00537B7F">
        <w:rPr>
          <w:rFonts w:ascii="Times New Roman" w:hAnsi="Times New Roman" w:cs="Times New Roman"/>
        </w:rPr>
        <w:t>A nivel de rubro de cuenta económica, el mayor crecimiento absoluto se reporta en los bienes y servicios con una ejecución mayor en Q2,118.6 millones (equivalente a un crecimiento interanual de 65.7%), explicado principalmente por un aumento de Q1,176.2 millones en el Ministerio de Salud Pública y Asistencia Social</w:t>
      </w:r>
      <w:r w:rsidR="00EF607F">
        <w:rPr>
          <w:rFonts w:ascii="Times New Roman" w:hAnsi="Times New Roman" w:cs="Times New Roman"/>
        </w:rPr>
        <w:t>,</w:t>
      </w:r>
      <w:r w:rsidRPr="00537B7F">
        <w:rPr>
          <w:rFonts w:ascii="Times New Roman" w:hAnsi="Times New Roman" w:cs="Times New Roman"/>
        </w:rPr>
        <w:t xml:space="preserve"> por un mayor gasto en los productos medicinales y farmacéuticos por Q653.1 millones, siendo en este renglón donde se registra la compra de la vacuna contra el COVID-19. Asimismo, los servicios médico-sanitarios reportan un aumento de Q224.9 millones, además de las retribuciones por servicios profesionales y técnicos</w:t>
      </w:r>
      <w:r w:rsidR="006E4D0E">
        <w:rPr>
          <w:rFonts w:ascii="Times New Roman" w:hAnsi="Times New Roman" w:cs="Times New Roman"/>
        </w:rPr>
        <w:t>,</w:t>
      </w:r>
      <w:r w:rsidRPr="00537B7F">
        <w:rPr>
          <w:rFonts w:ascii="Times New Roman" w:hAnsi="Times New Roman" w:cs="Times New Roman"/>
        </w:rPr>
        <w:t xml:space="preserve"> incluye</w:t>
      </w:r>
      <w:r w:rsidR="006E4D0E">
        <w:rPr>
          <w:rFonts w:ascii="Times New Roman" w:hAnsi="Times New Roman" w:cs="Times New Roman"/>
        </w:rPr>
        <w:t>ndo</w:t>
      </w:r>
      <w:r w:rsidRPr="00537B7F">
        <w:rPr>
          <w:rFonts w:ascii="Times New Roman" w:hAnsi="Times New Roman" w:cs="Times New Roman"/>
        </w:rPr>
        <w:t xml:space="preserve"> pruebas de laboratorio, que contiene las asociadas al COVID-19. Otros renglones que reportan un crecimiento interanual importante son los otros estudios o servicios y los útiles menores, suministros e instrumental médico quirúrgicos de laboratorio y cuidados de la salud, con Q86.0 y Q84.1 millones, respectivamente.  </w:t>
      </w:r>
    </w:p>
    <w:p w14:paraId="40A42CC3" w14:textId="77777777" w:rsidR="00537B7F" w:rsidRPr="00537B7F" w:rsidRDefault="00537B7F" w:rsidP="00537B7F">
      <w:pPr>
        <w:spacing w:after="0" w:line="240" w:lineRule="auto"/>
        <w:jc w:val="both"/>
        <w:rPr>
          <w:rFonts w:ascii="Times New Roman" w:hAnsi="Times New Roman" w:cs="Times New Roman"/>
        </w:rPr>
      </w:pPr>
    </w:p>
    <w:p w14:paraId="7555FF8A" w14:textId="04E96DE5" w:rsidR="00537B7F" w:rsidRPr="00537B7F" w:rsidRDefault="00537B7F" w:rsidP="00537B7F">
      <w:pPr>
        <w:spacing w:after="0" w:line="240" w:lineRule="auto"/>
        <w:jc w:val="both"/>
        <w:rPr>
          <w:rFonts w:ascii="Times New Roman" w:hAnsi="Times New Roman" w:cs="Times New Roman"/>
        </w:rPr>
      </w:pPr>
      <w:r w:rsidRPr="00537B7F">
        <w:rPr>
          <w:rFonts w:ascii="Times New Roman" w:hAnsi="Times New Roman" w:cs="Times New Roman"/>
        </w:rPr>
        <w:t xml:space="preserve">Por su parte, en el Ministerio de Comunicaciones, Infraestructura y Vivienda se reporta un </w:t>
      </w:r>
      <w:r w:rsidR="006E4D0E">
        <w:rPr>
          <w:rFonts w:ascii="Times New Roman" w:hAnsi="Times New Roman" w:cs="Times New Roman"/>
        </w:rPr>
        <w:t>aumento</w:t>
      </w:r>
      <w:r w:rsidRPr="00537B7F">
        <w:rPr>
          <w:rFonts w:ascii="Times New Roman" w:hAnsi="Times New Roman" w:cs="Times New Roman"/>
        </w:rPr>
        <w:t xml:space="preserve"> en el rubro de bienes y servicios por Q498.5 millones (equivalente a 99.5%) como resultado de una mayor ejecución en el mantenimiento y reparación de edificios (Q97.9 millones) y mantenimiento y reparación de </w:t>
      </w:r>
      <w:r w:rsidR="00B47E9D">
        <w:rPr>
          <w:rFonts w:ascii="Times New Roman" w:hAnsi="Times New Roman" w:cs="Times New Roman"/>
        </w:rPr>
        <w:t>la infraestructura vial</w:t>
      </w:r>
      <w:r w:rsidRPr="00537B7F">
        <w:rPr>
          <w:rFonts w:ascii="Times New Roman" w:hAnsi="Times New Roman" w:cs="Times New Roman"/>
        </w:rPr>
        <w:t xml:space="preserve"> (Q362.1 millones). </w:t>
      </w:r>
    </w:p>
    <w:p w14:paraId="7F395501" w14:textId="77777777" w:rsidR="00537B7F" w:rsidRPr="00537B7F" w:rsidRDefault="00537B7F" w:rsidP="00537B7F">
      <w:pPr>
        <w:spacing w:after="0" w:line="240" w:lineRule="auto"/>
        <w:jc w:val="both"/>
        <w:rPr>
          <w:rFonts w:ascii="Times New Roman" w:hAnsi="Times New Roman" w:cs="Times New Roman"/>
        </w:rPr>
      </w:pPr>
    </w:p>
    <w:p w14:paraId="557EFB93" w14:textId="77777777" w:rsidR="00537B7F" w:rsidRPr="00537B7F" w:rsidRDefault="00537B7F" w:rsidP="00537B7F">
      <w:pPr>
        <w:spacing w:after="0" w:line="240" w:lineRule="auto"/>
        <w:jc w:val="both"/>
        <w:rPr>
          <w:rFonts w:ascii="Times New Roman" w:hAnsi="Times New Roman" w:cs="Times New Roman"/>
        </w:rPr>
      </w:pPr>
      <w:r w:rsidRPr="00537B7F">
        <w:rPr>
          <w:rFonts w:ascii="Times New Roman" w:hAnsi="Times New Roman" w:cs="Times New Roman"/>
        </w:rPr>
        <w:t xml:space="preserve">Asimismo, en el Ministerio de Desarrollo Social, se reporta un aumento importante en el rubro de bienes y servicios, el cual responde a alimentos para personas por Q115.1 millones y en el Ministerio de Agricultura, Ganadería y Alimentación el aumento en el mismo renglón es por Q74.8 millones, la ejecución reportada en este renglón es importante, ya que corresponde a las bolsas de alimentos entregadas a familias en atención a la emergencia del COVID-19, ya que durante 2020 se entregó un anticipo al Programa Mundial de Alimentos (PMA) el cual está siendo regularizado, en el caso de Desarrollo Social, la regularización ya fue completada y en el caso de Agricultura, Ganadería y Alimentación, aún queda un saldo pendiente de regularizar. </w:t>
      </w:r>
    </w:p>
    <w:p w14:paraId="03862C1E" w14:textId="77777777" w:rsidR="00537B7F" w:rsidRPr="00537B7F" w:rsidRDefault="00537B7F" w:rsidP="00537B7F">
      <w:pPr>
        <w:spacing w:after="0" w:line="240" w:lineRule="auto"/>
        <w:jc w:val="both"/>
        <w:rPr>
          <w:rFonts w:ascii="Times New Roman" w:hAnsi="Times New Roman" w:cs="Times New Roman"/>
        </w:rPr>
      </w:pPr>
    </w:p>
    <w:p w14:paraId="4D573C16" w14:textId="5AC99BB5" w:rsidR="00537B7F" w:rsidRPr="00537B7F" w:rsidRDefault="00537B7F" w:rsidP="00537B7F">
      <w:pPr>
        <w:spacing w:after="0" w:line="240" w:lineRule="auto"/>
        <w:jc w:val="both"/>
        <w:rPr>
          <w:rFonts w:ascii="Times New Roman" w:hAnsi="Times New Roman" w:cs="Times New Roman"/>
        </w:rPr>
      </w:pPr>
      <w:r w:rsidRPr="00537B7F">
        <w:rPr>
          <w:rFonts w:ascii="Times New Roman" w:hAnsi="Times New Roman" w:cs="Times New Roman"/>
        </w:rPr>
        <w:t>Por su parte, el Ministerio de Gobernación reporta un aumento de Q90.4 millones en los bienes y servicios que corresponde a primas y gastos de seguros de fianzas y alimento para personas. En las obligaciones también se reporta un</w:t>
      </w:r>
      <w:r w:rsidR="00397C2E">
        <w:rPr>
          <w:rFonts w:ascii="Times New Roman" w:hAnsi="Times New Roman" w:cs="Times New Roman"/>
        </w:rPr>
        <w:t xml:space="preserve"> aumento</w:t>
      </w:r>
      <w:r w:rsidRPr="00537B7F">
        <w:rPr>
          <w:rFonts w:ascii="Times New Roman" w:hAnsi="Times New Roman" w:cs="Times New Roman"/>
        </w:rPr>
        <w:t xml:space="preserve"> de Q73.9 millones, el cual se explica en gran medida por las comisiones a receptores fiscales y recaudadores, dado el buen desempeño de la recaudación tributaria, la Superintendencia de Administración Tributaria (SAT) está percibiendo una mayor cantidad de recursos.</w:t>
      </w:r>
    </w:p>
    <w:p w14:paraId="26A8F2E2" w14:textId="77777777" w:rsidR="00537B7F" w:rsidRPr="00537B7F" w:rsidRDefault="00537B7F" w:rsidP="00537B7F">
      <w:pPr>
        <w:spacing w:after="0" w:line="240" w:lineRule="auto"/>
        <w:jc w:val="both"/>
        <w:rPr>
          <w:rFonts w:ascii="Times New Roman" w:hAnsi="Times New Roman" w:cs="Times New Roman"/>
        </w:rPr>
      </w:pPr>
    </w:p>
    <w:p w14:paraId="3A7A883E" w14:textId="38BC6CB6" w:rsidR="00537B7F" w:rsidRPr="00537B7F" w:rsidRDefault="00537B7F" w:rsidP="00537B7F">
      <w:pPr>
        <w:spacing w:after="0" w:line="240" w:lineRule="auto"/>
        <w:jc w:val="both"/>
        <w:rPr>
          <w:rFonts w:ascii="Times New Roman" w:hAnsi="Times New Roman" w:cs="Times New Roman"/>
        </w:rPr>
      </w:pPr>
      <w:r w:rsidRPr="00537B7F">
        <w:rPr>
          <w:rFonts w:ascii="Times New Roman" w:hAnsi="Times New Roman" w:cs="Times New Roman"/>
        </w:rPr>
        <w:t xml:space="preserve">En lo que respecto a los intereses de la deuda interna y externa se dio un aumento de Q755.0 millones (equivalente a un crecimiento de 15.7%). En la deuda interna se encuentra concentrado la mayor parte de dicho incremento con Q580.4 millones, mientras que, en la deuda externa, los intereses de préstamos con organismos internacionales reportan una menor ejecución </w:t>
      </w:r>
      <w:r w:rsidR="00B176FF">
        <w:rPr>
          <w:rFonts w:ascii="Times New Roman" w:hAnsi="Times New Roman" w:cs="Times New Roman"/>
        </w:rPr>
        <w:t>en</w:t>
      </w:r>
      <w:r w:rsidRPr="00537B7F">
        <w:rPr>
          <w:rFonts w:ascii="Times New Roman" w:hAnsi="Times New Roman" w:cs="Times New Roman"/>
        </w:rPr>
        <w:t xml:space="preserve"> Q99.5 millones. Por su parte, los intereses de bonos externos correspondiente a la colocación de Eurobonos, reportan una ejecución mayor en Q274.1 millones, producto de la colocación de dichos títulos en 2020.</w:t>
      </w:r>
    </w:p>
    <w:p w14:paraId="09C97896" w14:textId="77777777" w:rsidR="00537B7F" w:rsidRPr="00537B7F" w:rsidRDefault="00537B7F" w:rsidP="00537B7F">
      <w:pPr>
        <w:spacing w:after="0" w:line="240" w:lineRule="auto"/>
        <w:jc w:val="both"/>
        <w:rPr>
          <w:rFonts w:ascii="Times New Roman" w:hAnsi="Times New Roman" w:cs="Times New Roman"/>
        </w:rPr>
      </w:pPr>
    </w:p>
    <w:p w14:paraId="1123BF9A" w14:textId="33EA70DB" w:rsidR="00537B7F" w:rsidRPr="00537B7F" w:rsidRDefault="00537B7F" w:rsidP="00537B7F">
      <w:pPr>
        <w:spacing w:after="0" w:line="240" w:lineRule="auto"/>
        <w:jc w:val="both"/>
        <w:rPr>
          <w:rFonts w:ascii="Times New Roman" w:hAnsi="Times New Roman" w:cs="Times New Roman"/>
        </w:rPr>
      </w:pPr>
      <w:r w:rsidRPr="00537B7F">
        <w:rPr>
          <w:rFonts w:ascii="Times New Roman" w:hAnsi="Times New Roman" w:cs="Times New Roman"/>
        </w:rPr>
        <w:t xml:space="preserve">En el rubro de las remuneraciones se reporta un crecimiento de 4.3%, siendo equivalente a una mayor ejecución en Q532.5 millones a la reportada en 2020. El Ministerio de Educación reporta el mayor aumento absoluto, siendo de Q286.2 millones (equivalente a 4.9%), esto se debe principalmente al </w:t>
      </w:r>
      <w:r w:rsidR="00DE2ABB">
        <w:rPr>
          <w:rFonts w:ascii="Times New Roman" w:hAnsi="Times New Roman" w:cs="Times New Roman"/>
        </w:rPr>
        <w:t>impulso</w:t>
      </w:r>
      <w:r w:rsidRPr="00537B7F">
        <w:rPr>
          <w:rFonts w:ascii="Times New Roman" w:hAnsi="Times New Roman" w:cs="Times New Roman"/>
        </w:rPr>
        <w:t xml:space="preserve"> del renglón 017 “derechos escalafonarios” en Q171.3 millones y el renglón 011 “personal permanente” en Q113.8 millones</w:t>
      </w:r>
      <w:r w:rsidR="00DE2ABB">
        <w:rPr>
          <w:rFonts w:ascii="Times New Roman" w:hAnsi="Times New Roman" w:cs="Times New Roman"/>
        </w:rPr>
        <w:t xml:space="preserve">, este último debido al aumento en </w:t>
      </w:r>
      <w:r w:rsidR="009833E4">
        <w:rPr>
          <w:rFonts w:ascii="Times New Roman" w:hAnsi="Times New Roman" w:cs="Times New Roman"/>
        </w:rPr>
        <w:t>el personal docente.</w:t>
      </w:r>
      <w:r w:rsidRPr="00537B7F">
        <w:rPr>
          <w:rFonts w:ascii="Times New Roman" w:hAnsi="Times New Roman" w:cs="Times New Roman"/>
        </w:rPr>
        <w:t xml:space="preserve"> </w:t>
      </w:r>
    </w:p>
    <w:p w14:paraId="237A37C3" w14:textId="77777777" w:rsidR="00537B7F" w:rsidRPr="00537B7F" w:rsidRDefault="00537B7F" w:rsidP="00537B7F">
      <w:pPr>
        <w:spacing w:after="0" w:line="240" w:lineRule="auto"/>
        <w:jc w:val="both"/>
        <w:rPr>
          <w:rFonts w:ascii="Times New Roman" w:hAnsi="Times New Roman" w:cs="Times New Roman"/>
        </w:rPr>
      </w:pPr>
    </w:p>
    <w:p w14:paraId="22B9EBE3" w14:textId="77777777" w:rsidR="00537B7F" w:rsidRPr="00537B7F" w:rsidRDefault="00537B7F" w:rsidP="00537B7F">
      <w:pPr>
        <w:spacing w:after="0" w:line="240" w:lineRule="auto"/>
        <w:jc w:val="both"/>
        <w:rPr>
          <w:rFonts w:ascii="Times New Roman" w:hAnsi="Times New Roman" w:cs="Times New Roman"/>
        </w:rPr>
      </w:pPr>
      <w:r w:rsidRPr="00537B7F">
        <w:rPr>
          <w:rFonts w:ascii="Times New Roman" w:hAnsi="Times New Roman" w:cs="Times New Roman"/>
        </w:rPr>
        <w:t>Otra entidad con aumento importante es el Ministerio de Salud Pública y Asistencia Social con Q281.2 millones, estando concentrado el aumento en el complemento por antigüedad al personal permanente. Otras entidades con incrementos en las remuneraciones son Comunicaciones, Infraestructura y Vivienda (Q41.6 millones) y Defensa Nacional (Q33.7 millones).</w:t>
      </w:r>
    </w:p>
    <w:p w14:paraId="519B3835" w14:textId="77777777" w:rsidR="00537B7F" w:rsidRPr="00537B7F" w:rsidRDefault="00537B7F" w:rsidP="00537B7F">
      <w:pPr>
        <w:spacing w:after="0" w:line="240" w:lineRule="auto"/>
        <w:jc w:val="both"/>
        <w:rPr>
          <w:rFonts w:ascii="Times New Roman" w:hAnsi="Times New Roman" w:cs="Times New Roman"/>
        </w:rPr>
      </w:pPr>
    </w:p>
    <w:p w14:paraId="4AC833CD" w14:textId="77777777" w:rsidR="00537B7F" w:rsidRPr="00537B7F" w:rsidRDefault="00537B7F" w:rsidP="00537B7F">
      <w:pPr>
        <w:spacing w:after="0" w:line="240" w:lineRule="auto"/>
        <w:jc w:val="both"/>
        <w:rPr>
          <w:rFonts w:ascii="Times New Roman" w:hAnsi="Times New Roman" w:cs="Times New Roman"/>
        </w:rPr>
      </w:pPr>
      <w:r w:rsidRPr="00537B7F">
        <w:rPr>
          <w:rFonts w:ascii="Times New Roman" w:hAnsi="Times New Roman" w:cs="Times New Roman"/>
        </w:rPr>
        <w:t xml:space="preserve">Por su parte, el Ministerio de Gobernación reporta una caída de Q55.6 millones, explicado por una menor ejecución en los complementos específicos al personal permanente, remuneraciones de personal temporal y personal permanente, mientras las secretarias y otras dependencias del ejecutivo reportan una disminución de Q41.1 millones, como resultado especialmente de una menor ejecución del renglón 029 “otras remuneraciones del personal temporal”, con una variación interanual negativa de 25.8%. </w:t>
      </w:r>
    </w:p>
    <w:p w14:paraId="7D78248C" w14:textId="77777777" w:rsidR="00537B7F" w:rsidRPr="00537B7F" w:rsidRDefault="00537B7F" w:rsidP="00537B7F">
      <w:pPr>
        <w:spacing w:after="0" w:line="240" w:lineRule="auto"/>
        <w:jc w:val="both"/>
        <w:rPr>
          <w:rFonts w:ascii="Times New Roman" w:hAnsi="Times New Roman" w:cs="Times New Roman"/>
        </w:rPr>
      </w:pPr>
    </w:p>
    <w:p w14:paraId="051F1057" w14:textId="77777777" w:rsidR="00537B7F" w:rsidRPr="00537B7F" w:rsidRDefault="00537B7F" w:rsidP="00537B7F">
      <w:pPr>
        <w:spacing w:after="0" w:line="240" w:lineRule="auto"/>
        <w:jc w:val="both"/>
        <w:rPr>
          <w:rFonts w:ascii="Times New Roman" w:hAnsi="Times New Roman" w:cs="Times New Roman"/>
        </w:rPr>
      </w:pPr>
      <w:r w:rsidRPr="00537B7F">
        <w:rPr>
          <w:rFonts w:ascii="Times New Roman" w:hAnsi="Times New Roman" w:cs="Times New Roman"/>
        </w:rPr>
        <w:t xml:space="preserve">En el caso de las transferencias de capital, el crecimiento interanual fue de 5.6% (equivalente a Q264.4 millones), siendo el crecimiento explicado por las transferencias al sector público que están aumentando en Q282.1 millones, como resultado de un mayor traslado de recursos para los Consejos de Desarrollo Urbano y Rural (Q376.9 millones). Por su parte, la transferencia a las municipalidades y a la Universidad de San Carlos es menor en Q66.1 millones y Q45.1 millones, respectivamente. </w:t>
      </w:r>
    </w:p>
    <w:p w14:paraId="13C2884A" w14:textId="77777777" w:rsidR="00537B7F" w:rsidRPr="00537B7F" w:rsidRDefault="00537B7F" w:rsidP="00537B7F">
      <w:pPr>
        <w:spacing w:after="0" w:line="240" w:lineRule="auto"/>
        <w:jc w:val="both"/>
        <w:rPr>
          <w:rFonts w:ascii="Times New Roman" w:hAnsi="Times New Roman" w:cs="Times New Roman"/>
        </w:rPr>
      </w:pPr>
    </w:p>
    <w:p w14:paraId="28F33894" w14:textId="77777777" w:rsidR="00537B7F" w:rsidRPr="00537B7F" w:rsidRDefault="00537B7F" w:rsidP="00537B7F">
      <w:pPr>
        <w:spacing w:after="0" w:line="240" w:lineRule="auto"/>
        <w:jc w:val="both"/>
        <w:rPr>
          <w:rFonts w:ascii="Times New Roman" w:hAnsi="Times New Roman" w:cs="Times New Roman"/>
        </w:rPr>
      </w:pPr>
      <w:r w:rsidRPr="00537B7F">
        <w:rPr>
          <w:rFonts w:ascii="Times New Roman" w:hAnsi="Times New Roman" w:cs="Times New Roman"/>
        </w:rPr>
        <w:t>En las transferencias de capital al sector privado y externo dan cuenta de una disminución de Q17.7 millones, explicado por una menor transferencias a personas individuales y unidades familiares en el Ministerio de Comunicaciones. En cuanto a las prestaciones a la seguridad social, estás reportan un crecimiento interanual de 3.5%, equivalente a Q84.2 millones.</w:t>
      </w:r>
    </w:p>
    <w:p w14:paraId="15CE5A5D" w14:textId="77777777" w:rsidR="00537B7F" w:rsidRPr="00537B7F" w:rsidRDefault="00537B7F" w:rsidP="00537B7F">
      <w:pPr>
        <w:spacing w:after="0" w:line="240" w:lineRule="auto"/>
        <w:jc w:val="both"/>
        <w:rPr>
          <w:rFonts w:ascii="Times New Roman" w:hAnsi="Times New Roman" w:cs="Times New Roman"/>
        </w:rPr>
      </w:pPr>
    </w:p>
    <w:p w14:paraId="286D5809" w14:textId="77777777" w:rsidR="00537B7F" w:rsidRPr="00537B7F" w:rsidRDefault="00537B7F" w:rsidP="00537B7F">
      <w:pPr>
        <w:spacing w:after="0" w:line="240" w:lineRule="auto"/>
        <w:jc w:val="both"/>
        <w:rPr>
          <w:rFonts w:ascii="Times New Roman" w:hAnsi="Times New Roman" w:cs="Times New Roman"/>
        </w:rPr>
      </w:pPr>
      <w:r w:rsidRPr="00537B7F">
        <w:rPr>
          <w:rFonts w:ascii="Times New Roman" w:hAnsi="Times New Roman" w:cs="Times New Roman"/>
        </w:rPr>
        <w:t xml:space="preserve">Respecto al rubro de la inversión real directa, este reporta una mayor ejecución en Q83.0 millones respecto a lo reportado en 2020 (equivalente a 6.2%). Las entidades que suman a este aumento son: el Ministerio de Comunicaciones por un mayor gasto en equipo de cómputo y estudios, investigaciones y proyectos de pre-factibilidad y factibilidad, el Ministerio de Salud Pública y Asistencia Social por mobiliario y equipo de oficina, Ministerio de Educación por un mayor gasto en equipo de cómputo y el Ministerio de Desarrollo Social por mobiliario y equipo médico-sanitario y de laboratorio.  </w:t>
      </w:r>
    </w:p>
    <w:p w14:paraId="05D7183B" w14:textId="77777777" w:rsidR="00537B7F" w:rsidRPr="00537B7F" w:rsidRDefault="00537B7F" w:rsidP="00537B7F">
      <w:pPr>
        <w:spacing w:after="0" w:line="240" w:lineRule="auto"/>
        <w:jc w:val="both"/>
        <w:rPr>
          <w:rFonts w:ascii="Times New Roman" w:hAnsi="Times New Roman" w:cs="Times New Roman"/>
        </w:rPr>
      </w:pPr>
    </w:p>
    <w:p w14:paraId="27C94370" w14:textId="77777777" w:rsidR="00537B7F" w:rsidRPr="00537B7F" w:rsidRDefault="00537B7F" w:rsidP="00537B7F">
      <w:pPr>
        <w:spacing w:after="0" w:line="240" w:lineRule="auto"/>
        <w:jc w:val="both"/>
        <w:rPr>
          <w:rFonts w:ascii="Times New Roman" w:hAnsi="Times New Roman" w:cs="Times New Roman"/>
        </w:rPr>
      </w:pPr>
      <w:r w:rsidRPr="00537B7F">
        <w:rPr>
          <w:rFonts w:ascii="Times New Roman" w:hAnsi="Times New Roman" w:cs="Times New Roman"/>
        </w:rPr>
        <w:t xml:space="preserve">Por su parte, la inversión financiera reportará una importante contracción durante el resto del año, a junio de 2020 se habían ejecutado Q1,450.0 millones por concepto del Fondo para Capital de Trabajo y Fondo de Protección de Capitales, que correspondía a préstamos en condiciones blandas, dichas actividades han finalizado y no se encuentran vigentes para 2021. </w:t>
      </w:r>
    </w:p>
    <w:p w14:paraId="6F2CD569" w14:textId="77777777" w:rsidR="00537B7F" w:rsidRPr="00537B7F" w:rsidRDefault="00537B7F" w:rsidP="00537B7F">
      <w:pPr>
        <w:spacing w:after="0" w:line="240" w:lineRule="auto"/>
        <w:jc w:val="both"/>
        <w:rPr>
          <w:rFonts w:ascii="Times New Roman" w:hAnsi="Times New Roman" w:cs="Times New Roman"/>
        </w:rPr>
      </w:pPr>
    </w:p>
    <w:p w14:paraId="2604000D" w14:textId="566C55B6" w:rsidR="00537B7F" w:rsidRDefault="00537B7F" w:rsidP="00537B7F">
      <w:pPr>
        <w:spacing w:after="0" w:line="240" w:lineRule="auto"/>
        <w:jc w:val="both"/>
        <w:rPr>
          <w:rFonts w:ascii="Times New Roman" w:hAnsi="Times New Roman" w:cs="Times New Roman"/>
        </w:rPr>
      </w:pPr>
      <w:r w:rsidRPr="00537B7F">
        <w:rPr>
          <w:rFonts w:ascii="Times New Roman" w:hAnsi="Times New Roman" w:cs="Times New Roman"/>
        </w:rPr>
        <w:t xml:space="preserve">Por su parte, las transferencias corrientes reportan una variación interanual negativa de 24.6% (equivalente a Q2,269.8 millones). La caída se encuentra explicada por las transferencias al sector privado las cuales se contrajeron un 55.8% (equivalente a Q2,580.2 millones), explicado por el Ministerio de Desarrollo Social y en el Ministerio de Economía, derivado que a junio de 2020 se encontraba en plena ejecución la transferencia de recursos por concepto del Bono Familia y el Fondo de Protección de Empleo, de esa cuenta este comportamiento en las transferencias al sector privado será recurrente durante el 2021. Asimismo, también se observa un menor dinamismo observado en las transferencias al sector privado por parte del Ministerio de Educación, la cual se redujo en Q314.7 millones, que responde a las transferencias a instituciones sin fines de lucro. </w:t>
      </w:r>
    </w:p>
    <w:p w14:paraId="1521030F" w14:textId="77777777" w:rsidR="00C9394F" w:rsidRPr="00537B7F" w:rsidRDefault="00C9394F" w:rsidP="00537B7F">
      <w:pPr>
        <w:spacing w:after="0" w:line="240" w:lineRule="auto"/>
        <w:jc w:val="both"/>
        <w:rPr>
          <w:rFonts w:ascii="Times New Roman" w:hAnsi="Times New Roman" w:cs="Times New Roman"/>
        </w:rPr>
      </w:pPr>
    </w:p>
    <w:p w14:paraId="2A18ADAC" w14:textId="0282C393" w:rsidR="000B4286" w:rsidRPr="000B4286" w:rsidRDefault="00537B7F" w:rsidP="00537B7F">
      <w:pPr>
        <w:spacing w:after="0" w:line="240" w:lineRule="auto"/>
        <w:jc w:val="both"/>
        <w:rPr>
          <w:rFonts w:ascii="Times New Roman" w:hAnsi="Times New Roman" w:cs="Times New Roman"/>
        </w:rPr>
      </w:pPr>
      <w:r w:rsidRPr="00537B7F">
        <w:rPr>
          <w:rFonts w:ascii="Times New Roman" w:hAnsi="Times New Roman" w:cs="Times New Roman"/>
        </w:rPr>
        <w:t>En cuanto a las transferencias corrientes al sector público, estas reportan un aumento de Q280.9 millones, como resultado de la transferencia realizada por el Ministerio de Gobernación hacia el Instituto Guatemalteco de Migración por Q191.9 millones y la transferencia que se realiza a favor del Ministerio Público por Q131.7, lo que compensa en alguna medida la caída neta reportada en las transferencias corrientes.</w:t>
      </w:r>
    </w:p>
    <w:p w14:paraId="0FCB7415" w14:textId="77777777" w:rsidR="000B4286" w:rsidRDefault="000B4286" w:rsidP="003D0C88">
      <w:pPr>
        <w:spacing w:after="0" w:line="240" w:lineRule="auto"/>
        <w:jc w:val="both"/>
        <w:rPr>
          <w:rFonts w:ascii="Times New Roman" w:hAnsi="Times New Roman" w:cs="Times New Roman"/>
        </w:rPr>
      </w:pPr>
    </w:p>
    <w:p w14:paraId="71D521B1" w14:textId="0E32B165" w:rsidR="00870150" w:rsidRDefault="00C9394F" w:rsidP="00C9394F">
      <w:pPr>
        <w:spacing w:after="0" w:line="240" w:lineRule="auto"/>
        <w:jc w:val="both"/>
        <w:rPr>
          <w:rFonts w:ascii="Times New Roman" w:hAnsi="Times New Roman" w:cs="Times New Roman"/>
        </w:rPr>
      </w:pPr>
      <w:r w:rsidRPr="00C9394F">
        <w:rPr>
          <w:rFonts w:ascii="Times New Roman" w:hAnsi="Times New Roman" w:cs="Times New Roman"/>
        </w:rPr>
        <w:t>En cuanto al gasto total, el cual incluye amortizaciones de la deuda pública, se situó en Q41,408.5 millones, con un grado de ejecución de 38.5% y una variación interanual de 0.3%. Este grado de ejecución se encuentra por abajo de la ejecución promedio de los últimos 5 años (40.7%) y es inferior a la reportada en cada uno de los años previos, a excepción del 2020, cuando el grado de ejecución fue de 38.3%, derivado que se tenía un presupuesto alto por las ampliaciones presupuestarias por la coyuntura de la pandemia.</w:t>
      </w:r>
    </w:p>
    <w:p w14:paraId="49CC35C0" w14:textId="0F13BE7E" w:rsidR="00C9394F" w:rsidRDefault="00C9394F" w:rsidP="00C9394F">
      <w:pPr>
        <w:spacing w:after="0" w:line="240" w:lineRule="auto"/>
        <w:jc w:val="both"/>
        <w:rPr>
          <w:rFonts w:ascii="Times New Roman" w:hAnsi="Times New Roman" w:cs="Times New Roman"/>
        </w:rPr>
      </w:pPr>
    </w:p>
    <w:p w14:paraId="037FACB6" w14:textId="5620C10F" w:rsidR="00C9394F" w:rsidRPr="00C9394F" w:rsidRDefault="00C9394F" w:rsidP="00C9394F">
      <w:pPr>
        <w:spacing w:after="0" w:line="240" w:lineRule="auto"/>
        <w:jc w:val="both"/>
        <w:rPr>
          <w:rFonts w:ascii="Times New Roman" w:hAnsi="Times New Roman" w:cs="Times New Roman"/>
        </w:rPr>
      </w:pPr>
      <w:r w:rsidRPr="00C9394F">
        <w:rPr>
          <w:rFonts w:ascii="Times New Roman" w:hAnsi="Times New Roman" w:cs="Times New Roman"/>
        </w:rPr>
        <w:t>En 2021 por esta misma razón, el grado de ejecución se percibe bajo, por el efecto de contar con un presupuesto vigente de Q107,521.5 millones, el cual responde a la coyuntura del año pasado. Tomando en consideración el presupuesto operativo anunciado por el Ejecutivo (Q94,354.0 millones) una ejecución más realista podría ubicarse en 43.9%, siendo superior al promedio de los últimos 5 años y a cada uno de los años anteriores, lo que da muestras de una ejecución dinámica.</w:t>
      </w:r>
    </w:p>
    <w:p w14:paraId="6F67BC63" w14:textId="77777777" w:rsidR="00C9394F" w:rsidRDefault="00C9394F" w:rsidP="003D0C88">
      <w:pPr>
        <w:spacing w:after="0" w:line="240" w:lineRule="auto"/>
        <w:jc w:val="both"/>
        <w:rPr>
          <w:rFonts w:ascii="Times New Roman" w:hAnsi="Times New Roman" w:cs="Times New Roman"/>
        </w:rPr>
      </w:pPr>
    </w:p>
    <w:p w14:paraId="4C796D53" w14:textId="1D13B557" w:rsidR="00A353BB" w:rsidRDefault="001618B8" w:rsidP="003D0C88">
      <w:pPr>
        <w:spacing w:after="0" w:line="240" w:lineRule="auto"/>
        <w:jc w:val="both"/>
        <w:rPr>
          <w:rFonts w:ascii="Times New Roman" w:hAnsi="Times New Roman" w:cs="Times New Roman"/>
        </w:rPr>
      </w:pPr>
      <w:r>
        <w:rPr>
          <w:rFonts w:ascii="Times New Roman" w:hAnsi="Times New Roman" w:cs="Times New Roman"/>
        </w:rPr>
        <w:t>Es importante indicar</w:t>
      </w:r>
      <w:r w:rsidR="00D741B6">
        <w:rPr>
          <w:rFonts w:ascii="Times New Roman" w:hAnsi="Times New Roman" w:cs="Times New Roman"/>
        </w:rPr>
        <w:t xml:space="preserve"> </w:t>
      </w:r>
      <w:r w:rsidR="002640F6">
        <w:rPr>
          <w:rFonts w:ascii="Times New Roman" w:hAnsi="Times New Roman" w:cs="Times New Roman"/>
        </w:rPr>
        <w:t>que,</w:t>
      </w:r>
      <w:r w:rsidR="00D741B6">
        <w:rPr>
          <w:rFonts w:ascii="Times New Roman" w:hAnsi="Times New Roman" w:cs="Times New Roman"/>
        </w:rPr>
        <w:t xml:space="preserve"> a</w:t>
      </w:r>
      <w:r w:rsidR="00A353BB" w:rsidRPr="00A353BB">
        <w:rPr>
          <w:rFonts w:ascii="Times New Roman" w:hAnsi="Times New Roman" w:cs="Times New Roman"/>
        </w:rPr>
        <w:t xml:space="preserve"> principios de junio, se publicó el Acuerdo Gubernativo de Presupuesto 03-2021, en el cual se realiza un reordenamiento del Presupuesto de Egresos del Estado, se identificaron Q11,249.5 millones en asignaciones inmovilizadas, es decir, que no cuentan con respaldo financiero, en virtud que cumplieron los fines establecidos en la normativa legal correspondiente (ejercicio fiscal 2020</w:t>
      </w:r>
      <w:r w:rsidR="00D741B6">
        <w:rPr>
          <w:rFonts w:ascii="Times New Roman" w:hAnsi="Times New Roman" w:cs="Times New Roman"/>
        </w:rPr>
        <w:t xml:space="preserve">).  </w:t>
      </w:r>
      <w:r w:rsidR="00A353BB" w:rsidRPr="00A353BB">
        <w:rPr>
          <w:rFonts w:ascii="Times New Roman" w:hAnsi="Times New Roman" w:cs="Times New Roman"/>
        </w:rPr>
        <w:t xml:space="preserve">Adicionalmente, en el Acuerdo Gubernativo 03-2021 se identificaron Q2,236.6 millones en asignaciones en previsión, es decir, gasto adicional que podría darse solo si durante el ejercicio fiscal el comportamiento de la recaudación de los ingresos tributarios muestra una mejora significativa o se cuenta con recursos adicionales provenientes de otras fuentes de financiamiento.  </w:t>
      </w:r>
    </w:p>
    <w:p w14:paraId="35BC78B7" w14:textId="47D41304" w:rsidR="007F294D" w:rsidRDefault="007F294D" w:rsidP="003D0C88">
      <w:pPr>
        <w:spacing w:after="0" w:line="240" w:lineRule="auto"/>
        <w:jc w:val="both"/>
        <w:rPr>
          <w:rFonts w:ascii="Times New Roman" w:hAnsi="Times New Roman" w:cs="Times New Roman"/>
        </w:rPr>
      </w:pPr>
    </w:p>
    <w:p w14:paraId="76DB99B9" w14:textId="77777777" w:rsidR="00401846" w:rsidRPr="004133EB" w:rsidRDefault="00401846" w:rsidP="00113141">
      <w:pPr>
        <w:spacing w:after="0" w:line="240" w:lineRule="auto"/>
        <w:jc w:val="both"/>
        <w:rPr>
          <w:rFonts w:ascii="Times New Roman" w:hAnsi="Times New Roman" w:cs="Times New Roman"/>
        </w:rPr>
      </w:pPr>
    </w:p>
    <w:p w14:paraId="61A5505B" w14:textId="345CCEBA" w:rsidR="00CC2BE0" w:rsidRDefault="00CC2BE0" w:rsidP="00CC2BE0">
      <w:pPr>
        <w:spacing w:after="0" w:line="240" w:lineRule="auto"/>
        <w:jc w:val="both"/>
        <w:rPr>
          <w:rFonts w:ascii="Times New Roman" w:hAnsi="Times New Roman" w:cs="Times New Roman"/>
        </w:rPr>
      </w:pPr>
      <w:r w:rsidRPr="00CC2BE0">
        <w:rPr>
          <w:rFonts w:ascii="Times New Roman" w:hAnsi="Times New Roman" w:cs="Times New Roman"/>
        </w:rPr>
        <w:t>En el seguimiento de la ejecución del gasto</w:t>
      </w:r>
      <w:r>
        <w:rPr>
          <w:rFonts w:ascii="Times New Roman" w:hAnsi="Times New Roman" w:cs="Times New Roman"/>
        </w:rPr>
        <w:t xml:space="preserve"> </w:t>
      </w:r>
      <w:r w:rsidRPr="00CC2BE0">
        <w:rPr>
          <w:rFonts w:ascii="Times New Roman" w:hAnsi="Times New Roman" w:cs="Times New Roman"/>
        </w:rPr>
        <w:t>relacionado a la pandemia COVID-19, durante</w:t>
      </w:r>
      <w:r>
        <w:rPr>
          <w:rFonts w:ascii="Times New Roman" w:hAnsi="Times New Roman" w:cs="Times New Roman"/>
        </w:rPr>
        <w:t xml:space="preserve"> </w:t>
      </w:r>
      <w:r w:rsidRPr="00CC2BE0">
        <w:rPr>
          <w:rFonts w:ascii="Times New Roman" w:hAnsi="Times New Roman" w:cs="Times New Roman"/>
        </w:rPr>
        <w:t>el año se han dado gastos importantes a nivel de</w:t>
      </w:r>
      <w:r>
        <w:rPr>
          <w:rFonts w:ascii="Times New Roman" w:hAnsi="Times New Roman" w:cs="Times New Roman"/>
        </w:rPr>
        <w:t xml:space="preserve"> </w:t>
      </w:r>
      <w:r w:rsidRPr="00CC2BE0">
        <w:rPr>
          <w:rFonts w:ascii="Times New Roman" w:hAnsi="Times New Roman" w:cs="Times New Roman"/>
        </w:rPr>
        <w:t xml:space="preserve">tres ministerios, </w:t>
      </w:r>
      <w:r w:rsidR="00B82FAE" w:rsidRPr="00B82FAE">
        <w:rPr>
          <w:rFonts w:ascii="Times New Roman" w:hAnsi="Times New Roman" w:cs="Times New Roman"/>
        </w:rPr>
        <w:t xml:space="preserve">siendo el caso de Ministerio de Salud Pública y Asistencia Social por Q1,039.3 millones, Ministerio de Desarrollo Social por Q102.9 millones y Ministerio de Agricultura, Ganadería y Alimentación por Q76.4 millones que totalizan intervenciones por Q1,218.5 millones. </w:t>
      </w:r>
    </w:p>
    <w:p w14:paraId="1E08A088" w14:textId="77777777" w:rsidR="00CC2BE0" w:rsidRPr="00CC2BE0" w:rsidRDefault="00CC2BE0" w:rsidP="00CC2BE0">
      <w:pPr>
        <w:spacing w:after="0" w:line="240" w:lineRule="auto"/>
        <w:jc w:val="both"/>
        <w:rPr>
          <w:rFonts w:ascii="Times New Roman" w:hAnsi="Times New Roman" w:cs="Times New Roman"/>
        </w:rPr>
      </w:pPr>
    </w:p>
    <w:p w14:paraId="64C528F6" w14:textId="77777777" w:rsidR="00B82FAE" w:rsidRPr="00B82FAE" w:rsidRDefault="00B82FAE" w:rsidP="00B82FAE">
      <w:pPr>
        <w:spacing w:after="0" w:line="240" w:lineRule="auto"/>
        <w:jc w:val="both"/>
        <w:rPr>
          <w:rFonts w:ascii="Times New Roman" w:hAnsi="Times New Roman" w:cs="Times New Roman"/>
        </w:rPr>
      </w:pPr>
      <w:r w:rsidRPr="00B82FAE">
        <w:rPr>
          <w:rFonts w:ascii="Times New Roman" w:hAnsi="Times New Roman" w:cs="Times New Roman"/>
        </w:rPr>
        <w:t xml:space="preserve">Dentro de los gastos, resalta la ejecución del relacionada al esquema de vacunación contra el COVID-19, con una ejecución de Q638.6 millones, así mismo existen otras intervenciones importantes por parte del Ministerio de Salud Pública, tal es el caso de Q381.6 millones por intervenciones diversas para la atención de la emergencia y Q19.1 millones de laboratorios beneficiados con materiales y equipo de atención de la emergencia COVID-19.  </w:t>
      </w:r>
    </w:p>
    <w:p w14:paraId="7AC15F92" w14:textId="77777777" w:rsidR="00B82FAE" w:rsidRPr="00B82FAE" w:rsidRDefault="00B82FAE" w:rsidP="00B82FAE">
      <w:pPr>
        <w:spacing w:after="0" w:line="240" w:lineRule="auto"/>
        <w:jc w:val="both"/>
        <w:rPr>
          <w:rFonts w:ascii="Times New Roman" w:hAnsi="Times New Roman" w:cs="Times New Roman"/>
        </w:rPr>
      </w:pPr>
    </w:p>
    <w:p w14:paraId="6417C137" w14:textId="4A305ED7" w:rsidR="00CC2BE0" w:rsidRDefault="00B82FAE" w:rsidP="00B82FAE">
      <w:pPr>
        <w:spacing w:after="0" w:line="240" w:lineRule="auto"/>
        <w:jc w:val="both"/>
        <w:rPr>
          <w:rFonts w:ascii="Times New Roman" w:hAnsi="Times New Roman" w:cs="Times New Roman"/>
        </w:rPr>
      </w:pPr>
      <w:r w:rsidRPr="00B82FAE">
        <w:rPr>
          <w:rFonts w:ascii="Times New Roman" w:hAnsi="Times New Roman" w:cs="Times New Roman"/>
        </w:rPr>
        <w:t>En el caso del Ministerio de Desarrollo Social y Ministerio de Agricultura, Ganadería y Alimentación la ejecución corresponde a la regularización del anticipo dado en 2020 al Programa Mundial de Alimentos, que consiste en cupones canjeables y entregas en especie de la actividad dotación alimentaria. Adicionalmente, Desarrollo Social reporta una ejecución pequeña en otras intervenciones realizadas para la atención de la emergencia COVID-19.</w:t>
      </w:r>
    </w:p>
    <w:p w14:paraId="7E5C4B25" w14:textId="77777777" w:rsidR="00CC2BE0" w:rsidRDefault="00CC2BE0" w:rsidP="001A0DA2">
      <w:pPr>
        <w:pStyle w:val="Epgrafe"/>
        <w:keepNext/>
        <w:spacing w:after="0"/>
        <w:jc w:val="center"/>
        <w:rPr>
          <w:rFonts w:ascii="Times New Roman" w:hAnsi="Times New Roman" w:cs="Times New Roman"/>
          <w:b/>
          <w:i w:val="0"/>
          <w:color w:val="auto"/>
          <w:sz w:val="22"/>
        </w:rPr>
      </w:pPr>
      <w:bookmarkStart w:id="1171" w:name="_Toc49939505"/>
    </w:p>
    <w:p w14:paraId="35BBC76C" w14:textId="22EA8973" w:rsidR="00E50F64" w:rsidRPr="003E14B7" w:rsidRDefault="00FB2835" w:rsidP="00FB2835">
      <w:pPr>
        <w:pStyle w:val="Epgrafe"/>
        <w:rPr>
          <w:rFonts w:ascii="Times New Roman" w:hAnsi="Times New Roman" w:cs="Times New Roman"/>
          <w:b/>
          <w:color w:val="auto"/>
          <w:sz w:val="22"/>
          <w:szCs w:val="20"/>
        </w:rPr>
      </w:pPr>
      <w:bookmarkStart w:id="1172" w:name="_Toc81573089"/>
      <w:r w:rsidRPr="00FB2835">
        <w:rPr>
          <w:rFonts w:ascii="Times New Roman" w:hAnsi="Times New Roman" w:cs="Times New Roman"/>
          <w:b/>
          <w:color w:val="auto"/>
          <w:sz w:val="22"/>
        </w:rPr>
        <w:t xml:space="preserve">Gráfico </w:t>
      </w:r>
      <w:r w:rsidRPr="00FB2835">
        <w:rPr>
          <w:rFonts w:ascii="Times New Roman" w:hAnsi="Times New Roman" w:cs="Times New Roman"/>
          <w:b/>
          <w:color w:val="auto"/>
          <w:sz w:val="22"/>
        </w:rPr>
        <w:fldChar w:fldCharType="begin"/>
      </w:r>
      <w:r w:rsidRPr="00FB2835">
        <w:rPr>
          <w:rFonts w:ascii="Times New Roman" w:hAnsi="Times New Roman" w:cs="Times New Roman"/>
          <w:b/>
          <w:color w:val="auto"/>
          <w:sz w:val="22"/>
        </w:rPr>
        <w:instrText xml:space="preserve"> SEQ Gráfico \* ARABIC </w:instrText>
      </w:r>
      <w:r w:rsidRPr="00FB2835">
        <w:rPr>
          <w:rFonts w:ascii="Times New Roman" w:hAnsi="Times New Roman" w:cs="Times New Roman"/>
          <w:b/>
          <w:color w:val="auto"/>
          <w:sz w:val="22"/>
        </w:rPr>
        <w:fldChar w:fldCharType="separate"/>
      </w:r>
      <w:r w:rsidR="00D6529D">
        <w:rPr>
          <w:rFonts w:ascii="Times New Roman" w:hAnsi="Times New Roman" w:cs="Times New Roman"/>
          <w:b/>
          <w:noProof/>
          <w:color w:val="auto"/>
          <w:sz w:val="22"/>
        </w:rPr>
        <w:t>39</w:t>
      </w:r>
      <w:r w:rsidRPr="00FB2835">
        <w:rPr>
          <w:rFonts w:ascii="Times New Roman" w:hAnsi="Times New Roman" w:cs="Times New Roman"/>
          <w:b/>
          <w:color w:val="auto"/>
          <w:sz w:val="22"/>
        </w:rPr>
        <w:fldChar w:fldCharType="end"/>
      </w:r>
      <w:r w:rsidRPr="00FB2835">
        <w:rPr>
          <w:rFonts w:ascii="Times New Roman" w:hAnsi="Times New Roman" w:cs="Times New Roman"/>
          <w:b/>
          <w:color w:val="auto"/>
          <w:sz w:val="22"/>
        </w:rPr>
        <w:t>.</w:t>
      </w:r>
      <w:r w:rsidRPr="00FB2835">
        <w:rPr>
          <w:rFonts w:ascii="Times New Roman" w:hAnsi="Times New Roman" w:cs="Times New Roman"/>
          <w:color w:val="auto"/>
          <w:sz w:val="22"/>
        </w:rPr>
        <w:t xml:space="preserve"> </w:t>
      </w:r>
      <w:r w:rsidR="00FF3D48" w:rsidRPr="00FC0762">
        <w:rPr>
          <w:rFonts w:ascii="Times New Roman" w:hAnsi="Times New Roman" w:cs="Times New Roman"/>
          <w:b/>
          <w:color w:val="auto"/>
          <w:sz w:val="22"/>
          <w:szCs w:val="20"/>
        </w:rPr>
        <w:t xml:space="preserve">Ejecución de </w:t>
      </w:r>
      <w:r w:rsidR="00710068" w:rsidRPr="00FC0762">
        <w:rPr>
          <w:rFonts w:ascii="Times New Roman" w:hAnsi="Times New Roman" w:cs="Times New Roman"/>
          <w:b/>
          <w:color w:val="auto"/>
          <w:sz w:val="22"/>
          <w:szCs w:val="20"/>
        </w:rPr>
        <w:t xml:space="preserve">actividades </w:t>
      </w:r>
      <w:r w:rsidR="00FF3D48" w:rsidRPr="00FC0762">
        <w:rPr>
          <w:rFonts w:ascii="Times New Roman" w:hAnsi="Times New Roman" w:cs="Times New Roman"/>
          <w:b/>
          <w:color w:val="auto"/>
          <w:sz w:val="22"/>
          <w:szCs w:val="20"/>
        </w:rPr>
        <w:t>relacionadas a</w:t>
      </w:r>
      <w:r w:rsidR="00130097" w:rsidRPr="00FC0762">
        <w:rPr>
          <w:rFonts w:ascii="Times New Roman" w:hAnsi="Times New Roman" w:cs="Times New Roman"/>
          <w:b/>
          <w:color w:val="auto"/>
          <w:sz w:val="22"/>
          <w:szCs w:val="20"/>
        </w:rPr>
        <w:t xml:space="preserve"> la</w:t>
      </w:r>
      <w:r w:rsidR="00710068" w:rsidRPr="00FC0762">
        <w:rPr>
          <w:rFonts w:ascii="Times New Roman" w:hAnsi="Times New Roman" w:cs="Times New Roman"/>
          <w:b/>
          <w:color w:val="auto"/>
          <w:sz w:val="22"/>
          <w:szCs w:val="20"/>
        </w:rPr>
        <w:t xml:space="preserve"> atención</w:t>
      </w:r>
      <w:r w:rsidR="00E50F64" w:rsidRPr="00FC0762">
        <w:rPr>
          <w:rFonts w:ascii="Times New Roman" w:hAnsi="Times New Roman" w:cs="Times New Roman"/>
          <w:b/>
          <w:color w:val="auto"/>
          <w:sz w:val="22"/>
          <w:szCs w:val="20"/>
        </w:rPr>
        <w:t xml:space="preserve"> de </w:t>
      </w:r>
      <w:r w:rsidR="00710068" w:rsidRPr="00FC0762">
        <w:rPr>
          <w:rFonts w:ascii="Times New Roman" w:hAnsi="Times New Roman" w:cs="Times New Roman"/>
          <w:b/>
          <w:color w:val="auto"/>
          <w:sz w:val="22"/>
          <w:szCs w:val="20"/>
        </w:rPr>
        <w:t>la e</w:t>
      </w:r>
      <w:r w:rsidR="00E50F64" w:rsidRPr="00FC0762">
        <w:rPr>
          <w:rFonts w:ascii="Times New Roman" w:hAnsi="Times New Roman" w:cs="Times New Roman"/>
          <w:b/>
          <w:color w:val="auto"/>
          <w:sz w:val="22"/>
          <w:szCs w:val="20"/>
        </w:rPr>
        <w:t>mergencia COVID-19</w:t>
      </w:r>
      <w:bookmarkEnd w:id="1171"/>
      <w:r w:rsidR="00130097" w:rsidRPr="00FC0762">
        <w:rPr>
          <w:rFonts w:ascii="Times New Roman" w:hAnsi="Times New Roman" w:cs="Times New Roman"/>
          <w:b/>
          <w:color w:val="auto"/>
          <w:sz w:val="22"/>
          <w:szCs w:val="20"/>
        </w:rPr>
        <w:t xml:space="preserve"> </w:t>
      </w:r>
      <w:r w:rsidR="00FF3D48" w:rsidRPr="00FC0762">
        <w:rPr>
          <w:rFonts w:ascii="Times New Roman" w:hAnsi="Times New Roman" w:cs="Times New Roman"/>
          <w:b/>
          <w:color w:val="auto"/>
          <w:sz w:val="22"/>
          <w:szCs w:val="20"/>
        </w:rPr>
        <w:t xml:space="preserve">por mes y </w:t>
      </w:r>
      <w:r w:rsidR="001A0DA2" w:rsidRPr="00FC0762">
        <w:rPr>
          <w:rFonts w:ascii="Times New Roman" w:hAnsi="Times New Roman" w:cs="Times New Roman"/>
          <w:b/>
          <w:color w:val="auto"/>
          <w:sz w:val="22"/>
          <w:szCs w:val="20"/>
        </w:rPr>
        <w:t>e</w:t>
      </w:r>
      <w:r w:rsidR="00FF3D48" w:rsidRPr="00FC0762">
        <w:rPr>
          <w:rFonts w:ascii="Times New Roman" w:hAnsi="Times New Roman" w:cs="Times New Roman"/>
          <w:b/>
          <w:color w:val="auto"/>
          <w:sz w:val="22"/>
          <w:szCs w:val="20"/>
        </w:rPr>
        <w:t>ntidad</w:t>
      </w:r>
      <w:bookmarkEnd w:id="1172"/>
    </w:p>
    <w:p w14:paraId="7FDE532C" w14:textId="342B4072" w:rsidR="001A0DA2" w:rsidRPr="001A0DA2" w:rsidRDefault="009A7EA1" w:rsidP="001A0DA2">
      <w:pPr>
        <w:spacing w:after="0"/>
        <w:jc w:val="center"/>
        <w:rPr>
          <w:rFonts w:ascii="Times New Roman" w:hAnsi="Times New Roman" w:cs="Times New Roman"/>
          <w:sz w:val="20"/>
        </w:rPr>
      </w:pPr>
      <w:r>
        <w:rPr>
          <w:rFonts w:ascii="Times New Roman" w:hAnsi="Times New Roman" w:cs="Times New Roman"/>
          <w:sz w:val="20"/>
        </w:rPr>
        <w:t>A junio</w:t>
      </w:r>
      <w:r w:rsidR="001A0DA2" w:rsidRPr="001A0DA2">
        <w:rPr>
          <w:rFonts w:ascii="Times New Roman" w:hAnsi="Times New Roman" w:cs="Times New Roman"/>
          <w:sz w:val="20"/>
        </w:rPr>
        <w:t xml:space="preserve"> 2021</w:t>
      </w:r>
    </w:p>
    <w:p w14:paraId="4D56A041" w14:textId="1A6F1003" w:rsidR="00130097" w:rsidRDefault="00E50F64" w:rsidP="00E4773A">
      <w:pPr>
        <w:spacing w:after="0"/>
        <w:jc w:val="center"/>
        <w:rPr>
          <w:rFonts w:ascii="Times New Roman" w:hAnsi="Times New Roman" w:cs="Times New Roman"/>
          <w:sz w:val="20"/>
        </w:rPr>
      </w:pPr>
      <w:r w:rsidRPr="004133EB">
        <w:rPr>
          <w:rFonts w:ascii="Times New Roman" w:hAnsi="Times New Roman" w:cs="Times New Roman"/>
          <w:sz w:val="20"/>
        </w:rPr>
        <w:t>(Cifras en millones de quetzales y porcentajes)</w:t>
      </w:r>
    </w:p>
    <w:tbl>
      <w:tblPr>
        <w:tblW w:w="10223" w:type="dxa"/>
        <w:tblInd w:w="-584" w:type="dxa"/>
        <w:tblLayout w:type="fixed"/>
        <w:tblCellMar>
          <w:left w:w="70" w:type="dxa"/>
          <w:right w:w="70" w:type="dxa"/>
        </w:tblCellMar>
        <w:tblLook w:val="04A0" w:firstRow="1" w:lastRow="0" w:firstColumn="1" w:lastColumn="0" w:noHBand="0" w:noVBand="1"/>
      </w:tblPr>
      <w:tblGrid>
        <w:gridCol w:w="4184"/>
        <w:gridCol w:w="6039"/>
      </w:tblGrid>
      <w:tr w:rsidR="00C12FF9" w:rsidRPr="004133EB" w14:paraId="1DA53C20" w14:textId="77777777" w:rsidTr="00FC0762">
        <w:trPr>
          <w:trHeight w:val="2337"/>
        </w:trPr>
        <w:tc>
          <w:tcPr>
            <w:tcW w:w="4184" w:type="dxa"/>
          </w:tcPr>
          <w:p w14:paraId="0F4EB548" w14:textId="42223997" w:rsidR="00C12FF9" w:rsidRPr="004133EB" w:rsidRDefault="009A7EA1" w:rsidP="00A7074E">
            <w:pPr>
              <w:pStyle w:val="Sinespaciado"/>
              <w:jc w:val="both"/>
              <w:rPr>
                <w:rFonts w:ascii="Times New Roman" w:hAnsi="Times New Roman" w:cs="Times New Roman"/>
                <w:sz w:val="20"/>
              </w:rPr>
            </w:pPr>
            <w:r>
              <w:rPr>
                <w:rFonts w:ascii="Times New Roman" w:hAnsi="Times New Roman" w:cs="Times New Roman"/>
                <w:noProof/>
                <w:sz w:val="20"/>
                <w:lang w:val="es-ES" w:eastAsia="es-ES"/>
              </w:rPr>
              <w:drawing>
                <wp:anchor distT="0" distB="0" distL="114300" distR="114300" simplePos="0" relativeHeight="251936256" behindDoc="0" locked="0" layoutInCell="1" allowOverlap="1" wp14:anchorId="22B537BC" wp14:editId="1391DF2B">
                  <wp:simplePos x="0" y="0"/>
                  <wp:positionH relativeFrom="column">
                    <wp:posOffset>94135</wp:posOffset>
                  </wp:positionH>
                  <wp:positionV relativeFrom="paragraph">
                    <wp:posOffset>98149</wp:posOffset>
                  </wp:positionV>
                  <wp:extent cx="2518913" cy="2311400"/>
                  <wp:effectExtent l="0" t="0" r="0" b="0"/>
                  <wp:wrapSquare wrapText="bothSides"/>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p>
        </w:tc>
        <w:tc>
          <w:tcPr>
            <w:tcW w:w="6039" w:type="dxa"/>
          </w:tcPr>
          <w:p w14:paraId="598D5290" w14:textId="7680B156" w:rsidR="00C12FF9" w:rsidRPr="004133EB" w:rsidRDefault="00FC0762" w:rsidP="00A7074E">
            <w:pPr>
              <w:pStyle w:val="Sinespaciado"/>
              <w:jc w:val="center"/>
              <w:rPr>
                <w:rFonts w:ascii="Times New Roman" w:hAnsi="Times New Roman" w:cs="Times New Roman"/>
                <w:sz w:val="20"/>
              </w:rPr>
            </w:pPr>
            <w:r>
              <w:rPr>
                <w:noProof/>
                <w:lang w:val="es-ES" w:eastAsia="es-ES"/>
              </w:rPr>
              <w:drawing>
                <wp:anchor distT="0" distB="0" distL="114300" distR="114300" simplePos="0" relativeHeight="251995648" behindDoc="0" locked="0" layoutInCell="1" allowOverlap="1" wp14:anchorId="54A33FB0" wp14:editId="5E2B3475">
                  <wp:simplePos x="0" y="0"/>
                  <wp:positionH relativeFrom="column">
                    <wp:posOffset>-3175</wp:posOffset>
                  </wp:positionH>
                  <wp:positionV relativeFrom="paragraph">
                    <wp:posOffset>3175</wp:posOffset>
                  </wp:positionV>
                  <wp:extent cx="3310890" cy="245808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3310890" cy="2458085"/>
                          </a:xfrm>
                          <a:prstGeom prst="rect">
                            <a:avLst/>
                          </a:prstGeom>
                        </pic:spPr>
                      </pic:pic>
                    </a:graphicData>
                  </a:graphic>
                  <wp14:sizeRelH relativeFrom="page">
                    <wp14:pctWidth>0</wp14:pctWidth>
                  </wp14:sizeRelH>
                  <wp14:sizeRelV relativeFrom="page">
                    <wp14:pctHeight>0</wp14:pctHeight>
                  </wp14:sizeRelV>
                </wp:anchor>
              </w:drawing>
            </w:r>
          </w:p>
        </w:tc>
      </w:tr>
    </w:tbl>
    <w:p w14:paraId="13AF5AB4" w14:textId="081DD743" w:rsidR="00595A8D" w:rsidRDefault="00595A8D" w:rsidP="00611570">
      <w:pPr>
        <w:spacing w:after="0"/>
        <w:rPr>
          <w:rFonts w:ascii="Times New Roman" w:hAnsi="Times New Roman" w:cs="Times New Roman"/>
          <w:sz w:val="20"/>
        </w:rPr>
      </w:pPr>
    </w:p>
    <w:p w14:paraId="3444AECC" w14:textId="756B16C7" w:rsidR="00611570" w:rsidRPr="00611570" w:rsidRDefault="00611570" w:rsidP="00611570">
      <w:pPr>
        <w:spacing w:after="0"/>
        <w:jc w:val="both"/>
        <w:rPr>
          <w:rFonts w:ascii="Times New Roman" w:hAnsi="Times New Roman" w:cs="Times New Roman"/>
        </w:rPr>
      </w:pPr>
      <w:r w:rsidRPr="00611570">
        <w:rPr>
          <w:rFonts w:ascii="Times New Roman" w:hAnsi="Times New Roman" w:cs="Times New Roman"/>
        </w:rPr>
        <w:t>Respecto al subprograma 11, relacionado al Estado de Calamidad Pública por la Depresión Tropical ETA (DG 20-2020 y 21-2020) reporta una ejecución de Q118.5 millones, de los cuales Q116.8 millones corresponden al Ministerio de Comunicaciones, Infraestructura y Vivienda para el mantenimiento y reparación de bienes nacionales</w:t>
      </w:r>
      <w:r>
        <w:rPr>
          <w:rFonts w:ascii="Times New Roman" w:hAnsi="Times New Roman" w:cs="Times New Roman"/>
        </w:rPr>
        <w:t xml:space="preserve"> </w:t>
      </w:r>
      <w:r w:rsidRPr="00611570">
        <w:rPr>
          <w:rFonts w:ascii="Times New Roman" w:hAnsi="Times New Roman" w:cs="Times New Roman"/>
        </w:rPr>
        <w:t xml:space="preserve">de uso común, lo cual incluye gastos de mantenimiento y reparación de carreteras y puentes y arrendamiento de maquinaria y equipo de construcción. Adicionalmente, el Ministerio de Desarrollo Social reporta una ejecución de Q1.7 millones por materiales de construcción y enseres y mantenimiento y reparación de bienes nacionales.  </w:t>
      </w:r>
    </w:p>
    <w:p w14:paraId="024FBD66" w14:textId="77777777" w:rsidR="00611570" w:rsidRDefault="00611570" w:rsidP="00611570">
      <w:pPr>
        <w:spacing w:after="0"/>
        <w:rPr>
          <w:rFonts w:ascii="Times New Roman" w:hAnsi="Times New Roman" w:cs="Times New Roman"/>
          <w:sz w:val="20"/>
        </w:rPr>
      </w:pPr>
    </w:p>
    <w:p w14:paraId="4937671C" w14:textId="04B10BAD" w:rsidR="00413FEE" w:rsidRPr="004133EB" w:rsidRDefault="00611570" w:rsidP="00611570">
      <w:pPr>
        <w:spacing w:after="0"/>
        <w:jc w:val="both"/>
        <w:rPr>
          <w:rFonts w:ascii="Times New Roman" w:hAnsi="Times New Roman" w:cs="Times New Roman"/>
        </w:rPr>
      </w:pPr>
      <w:r>
        <w:rPr>
          <w:rFonts w:ascii="Times New Roman" w:hAnsi="Times New Roman" w:cs="Times New Roman"/>
        </w:rPr>
        <w:t>Al cierre de junio</w:t>
      </w:r>
      <w:r w:rsidR="00413FEE" w:rsidRPr="004133EB">
        <w:rPr>
          <w:rFonts w:ascii="Times New Roman" w:hAnsi="Times New Roman" w:cs="Times New Roman"/>
        </w:rPr>
        <w:t xml:space="preserve"> se observó un </w:t>
      </w:r>
      <w:r>
        <w:rPr>
          <w:rFonts w:ascii="Times New Roman" w:hAnsi="Times New Roman" w:cs="Times New Roman"/>
        </w:rPr>
        <w:t>déficit</w:t>
      </w:r>
      <w:r w:rsidR="00CC2BE0">
        <w:rPr>
          <w:rFonts w:ascii="Times New Roman" w:hAnsi="Times New Roman" w:cs="Times New Roman"/>
        </w:rPr>
        <w:t xml:space="preserve"> </w:t>
      </w:r>
      <w:r w:rsidR="00413FEE" w:rsidRPr="004133EB">
        <w:rPr>
          <w:rFonts w:ascii="Times New Roman" w:hAnsi="Times New Roman" w:cs="Times New Roman"/>
        </w:rPr>
        <w:t>fiscal</w:t>
      </w:r>
      <w:r w:rsidR="00CC2BE0">
        <w:rPr>
          <w:rFonts w:ascii="Times New Roman" w:hAnsi="Times New Roman" w:cs="Times New Roman"/>
        </w:rPr>
        <w:t xml:space="preserve"> de Q</w:t>
      </w:r>
      <w:r>
        <w:rPr>
          <w:rFonts w:ascii="Times New Roman" w:hAnsi="Times New Roman" w:cs="Times New Roman"/>
        </w:rPr>
        <w:t>1,</w:t>
      </w:r>
      <w:r w:rsidR="00CC2BE0">
        <w:rPr>
          <w:rFonts w:ascii="Times New Roman" w:hAnsi="Times New Roman" w:cs="Times New Roman"/>
        </w:rPr>
        <w:t>9</w:t>
      </w:r>
      <w:r>
        <w:rPr>
          <w:rFonts w:ascii="Times New Roman" w:hAnsi="Times New Roman" w:cs="Times New Roman"/>
        </w:rPr>
        <w:t>03.1</w:t>
      </w:r>
      <w:r w:rsidR="00CC2BE0">
        <w:rPr>
          <w:rFonts w:ascii="Times New Roman" w:hAnsi="Times New Roman" w:cs="Times New Roman"/>
        </w:rPr>
        <w:t xml:space="preserve"> </w:t>
      </w:r>
      <w:r>
        <w:rPr>
          <w:rFonts w:ascii="Times New Roman" w:hAnsi="Times New Roman" w:cs="Times New Roman"/>
        </w:rPr>
        <w:t>millones, correspondiente al 0.3%</w:t>
      </w:r>
      <w:r w:rsidR="00CC2BE0">
        <w:rPr>
          <w:rFonts w:ascii="Times New Roman" w:hAnsi="Times New Roman" w:cs="Times New Roman"/>
        </w:rPr>
        <w:t xml:space="preserve"> del PIB. </w:t>
      </w:r>
      <w:r w:rsidRPr="00611570">
        <w:rPr>
          <w:rFonts w:ascii="Times New Roman" w:hAnsi="Times New Roman" w:cs="Times New Roman"/>
        </w:rPr>
        <w:t>En los años anteriores (2018-2020) a junio también se reportaba déficit fiscal, resalta en particular el amplio déficit observado en 2020, mismo que responde a la ejecución acelerada en los programas de emergencia derivados del COVID-19 y la recaudación tributaria, en dicho año, reportaba una variación interanual negativa, mientras la brecha respecto a la meta se continuaba ampliando.</w:t>
      </w:r>
    </w:p>
    <w:p w14:paraId="6D7B6E18" w14:textId="77777777" w:rsidR="00413FEE" w:rsidRDefault="00413FEE" w:rsidP="00611570">
      <w:pPr>
        <w:spacing w:after="0" w:line="240" w:lineRule="auto"/>
        <w:jc w:val="both"/>
        <w:rPr>
          <w:rFonts w:ascii="Times New Roman" w:hAnsi="Times New Roman" w:cs="Times New Roman"/>
        </w:rPr>
      </w:pPr>
    </w:p>
    <w:p w14:paraId="0A23FC52" w14:textId="232556D2" w:rsidR="00396ED3" w:rsidRPr="00484ED3" w:rsidRDefault="000226C4" w:rsidP="00874E2B">
      <w:pPr>
        <w:spacing w:after="0" w:line="240" w:lineRule="auto"/>
        <w:jc w:val="both"/>
        <w:rPr>
          <w:rFonts w:ascii="Times New Roman" w:hAnsi="Times New Roman" w:cs="Times New Roman"/>
          <w:sz w:val="10"/>
        </w:rPr>
      </w:pPr>
      <w:r w:rsidRPr="004133EB">
        <w:rPr>
          <w:rFonts w:ascii="Times New Roman" w:hAnsi="Times New Roman" w:cs="Times New Roman"/>
        </w:rPr>
        <w:t>Se tiene previsto que el</w:t>
      </w:r>
      <w:r w:rsidR="00396ED3">
        <w:rPr>
          <w:rFonts w:ascii="Times New Roman" w:hAnsi="Times New Roman" w:cs="Times New Roman"/>
        </w:rPr>
        <w:t xml:space="preserve"> gasto público se dinamice en los próximos meses, derivado del buen desempeño en la recaudación tributaria las entidades </w:t>
      </w:r>
      <w:r w:rsidR="00396ED3" w:rsidRPr="00396ED3">
        <w:rPr>
          <w:rFonts w:ascii="Times New Roman" w:hAnsi="Times New Roman" w:cs="Times New Roman"/>
        </w:rPr>
        <w:t>recibirían más recur</w:t>
      </w:r>
      <w:r w:rsidR="00396ED3">
        <w:rPr>
          <w:rFonts w:ascii="Times New Roman" w:hAnsi="Times New Roman" w:cs="Times New Roman"/>
        </w:rPr>
        <w:t>sos,</w:t>
      </w:r>
      <w:r w:rsidR="00396ED3" w:rsidRPr="00396ED3">
        <w:t xml:space="preserve"> </w:t>
      </w:r>
      <w:r w:rsidR="00396ED3" w:rsidRPr="00396ED3">
        <w:rPr>
          <w:rFonts w:ascii="Times New Roman" w:hAnsi="Times New Roman" w:cs="Times New Roman"/>
        </w:rPr>
        <w:t>aunque en un menor nivel al observado en</w:t>
      </w:r>
      <w:r w:rsidR="00396ED3">
        <w:rPr>
          <w:rFonts w:ascii="Times New Roman" w:hAnsi="Times New Roman" w:cs="Times New Roman"/>
        </w:rPr>
        <w:t xml:space="preserve"> </w:t>
      </w:r>
      <w:r w:rsidR="00396ED3" w:rsidRPr="00396ED3">
        <w:rPr>
          <w:rFonts w:ascii="Times New Roman" w:hAnsi="Times New Roman" w:cs="Times New Roman"/>
        </w:rPr>
        <w:t>2020, cuando los gastos relacionados al</w:t>
      </w:r>
      <w:r w:rsidR="00396ED3">
        <w:rPr>
          <w:rFonts w:ascii="Times New Roman" w:hAnsi="Times New Roman" w:cs="Times New Roman"/>
        </w:rPr>
        <w:t xml:space="preserve"> </w:t>
      </w:r>
      <w:r w:rsidR="00396ED3" w:rsidRPr="00396ED3">
        <w:rPr>
          <w:rFonts w:ascii="Times New Roman" w:hAnsi="Times New Roman" w:cs="Times New Roman"/>
        </w:rPr>
        <w:t>COVID-19 impulsaron el gasto público.</w:t>
      </w:r>
      <w:r w:rsidR="00396ED3">
        <w:rPr>
          <w:rFonts w:ascii="Times New Roman" w:hAnsi="Times New Roman" w:cs="Times New Roman"/>
        </w:rPr>
        <w:t xml:space="preserve"> </w:t>
      </w:r>
      <w:r w:rsidR="00A835B4">
        <w:rPr>
          <w:rFonts w:ascii="Times New Roman" w:hAnsi="Times New Roman" w:cs="Times New Roman"/>
        </w:rPr>
        <w:t xml:space="preserve"> </w:t>
      </w:r>
      <w:r w:rsidR="00A835B4" w:rsidRPr="00A835B4">
        <w:rPr>
          <w:rFonts w:ascii="Times New Roman" w:hAnsi="Times New Roman" w:cs="Times New Roman"/>
        </w:rPr>
        <w:t xml:space="preserve">Es importante considerar que el déficit fiscal continuará ampliándose en los próximos meses, aunque de forma más moderada en relación al 2020, dado que la variación interanual del gasto, se ubicaría en terreno negativo. </w:t>
      </w:r>
    </w:p>
    <w:p w14:paraId="21937E67" w14:textId="77777777" w:rsidR="00E55B3A" w:rsidRDefault="00E55B3A" w:rsidP="00874E2B">
      <w:pPr>
        <w:spacing w:after="0" w:line="240" w:lineRule="auto"/>
        <w:jc w:val="both"/>
        <w:rPr>
          <w:rFonts w:ascii="Times New Roman" w:hAnsi="Times New Roman" w:cs="Times New Roman"/>
        </w:rPr>
      </w:pPr>
    </w:p>
    <w:p w14:paraId="3264FA21" w14:textId="77777777" w:rsidR="00E55B3A" w:rsidRPr="00F12665" w:rsidRDefault="00E55B3A" w:rsidP="001032E7">
      <w:pPr>
        <w:pStyle w:val="Prrafodelista"/>
        <w:numPr>
          <w:ilvl w:val="1"/>
          <w:numId w:val="38"/>
        </w:numPr>
        <w:spacing w:after="0" w:line="240" w:lineRule="auto"/>
        <w:jc w:val="both"/>
        <w:outlineLvl w:val="2"/>
        <w:rPr>
          <w:rFonts w:ascii="Times New Roman" w:hAnsi="Times New Roman" w:cs="Times New Roman"/>
          <w:b/>
          <w:bCs/>
          <w:lang w:val="es-US"/>
        </w:rPr>
      </w:pPr>
      <w:bookmarkStart w:id="1173" w:name="_Toc81571901"/>
      <w:r w:rsidRPr="00F12665">
        <w:rPr>
          <w:rFonts w:ascii="Times New Roman" w:hAnsi="Times New Roman" w:cs="Times New Roman"/>
          <w:b/>
          <w:bCs/>
          <w:lang w:val="es-US"/>
        </w:rPr>
        <w:t>Déficit fiscal y financiamiento</w:t>
      </w:r>
      <w:bookmarkEnd w:id="1173"/>
    </w:p>
    <w:p w14:paraId="66DC8D1E" w14:textId="77777777" w:rsidR="00E55B3A" w:rsidRDefault="00E55B3A" w:rsidP="00874E2B">
      <w:pPr>
        <w:spacing w:after="0" w:line="240" w:lineRule="auto"/>
        <w:jc w:val="both"/>
        <w:rPr>
          <w:rFonts w:ascii="Times New Roman" w:hAnsi="Times New Roman" w:cs="Times New Roman"/>
        </w:rPr>
      </w:pPr>
    </w:p>
    <w:p w14:paraId="361E9C87" w14:textId="0A358B43" w:rsidR="00E92A9F" w:rsidRDefault="00874E2B" w:rsidP="00874E2B">
      <w:pPr>
        <w:spacing w:after="0" w:line="240" w:lineRule="auto"/>
        <w:jc w:val="both"/>
        <w:rPr>
          <w:rFonts w:ascii="Times New Roman" w:hAnsi="Times New Roman" w:cs="Times New Roman"/>
        </w:rPr>
      </w:pPr>
      <w:r w:rsidRPr="00E63F4C">
        <w:rPr>
          <w:rFonts w:ascii="Times New Roman" w:hAnsi="Times New Roman" w:cs="Times New Roman"/>
        </w:rPr>
        <w:t xml:space="preserve">Dada esta dinámica en los ingresos y gastos, se espera </w:t>
      </w:r>
      <w:r w:rsidR="00584D6D" w:rsidRPr="00E63F4C">
        <w:rPr>
          <w:rFonts w:ascii="Times New Roman" w:hAnsi="Times New Roman" w:cs="Times New Roman"/>
        </w:rPr>
        <w:t>un déficit fiscal</w:t>
      </w:r>
      <w:r w:rsidR="000465B0" w:rsidRPr="00E63F4C">
        <w:rPr>
          <w:rFonts w:ascii="Times New Roman" w:hAnsi="Times New Roman" w:cs="Times New Roman"/>
        </w:rPr>
        <w:t xml:space="preserve"> para finales de año</w:t>
      </w:r>
      <w:r w:rsidR="00584D6D" w:rsidRPr="00E63F4C">
        <w:rPr>
          <w:rFonts w:ascii="Times New Roman" w:hAnsi="Times New Roman" w:cs="Times New Roman"/>
        </w:rPr>
        <w:t xml:space="preserve"> </w:t>
      </w:r>
      <w:r w:rsidR="00535E5D" w:rsidRPr="00E63F4C">
        <w:rPr>
          <w:rFonts w:ascii="Times New Roman" w:hAnsi="Times New Roman" w:cs="Times New Roman"/>
        </w:rPr>
        <w:t>entorno</w:t>
      </w:r>
      <w:r w:rsidR="00E92A9F" w:rsidRPr="00E63F4C">
        <w:rPr>
          <w:rFonts w:ascii="Times New Roman" w:hAnsi="Times New Roman" w:cs="Times New Roman"/>
        </w:rPr>
        <w:t xml:space="preserve"> al </w:t>
      </w:r>
      <w:r w:rsidR="00E63F4C" w:rsidRPr="00E63F4C">
        <w:rPr>
          <w:rFonts w:ascii="Times New Roman" w:hAnsi="Times New Roman" w:cs="Times New Roman"/>
        </w:rPr>
        <w:t>2</w:t>
      </w:r>
      <w:r w:rsidR="00E92A9F" w:rsidRPr="00E63F4C">
        <w:rPr>
          <w:rFonts w:ascii="Times New Roman" w:hAnsi="Times New Roman" w:cs="Times New Roman"/>
        </w:rPr>
        <w:t>.3</w:t>
      </w:r>
      <w:r w:rsidR="000465B0" w:rsidRPr="00E63F4C">
        <w:rPr>
          <w:rFonts w:ascii="Times New Roman" w:hAnsi="Times New Roman" w:cs="Times New Roman"/>
        </w:rPr>
        <w:t xml:space="preserve">% del PIB, </w:t>
      </w:r>
      <w:r w:rsidR="00E92A9F" w:rsidRPr="00E63F4C">
        <w:rPr>
          <w:rFonts w:ascii="Times New Roman" w:hAnsi="Times New Roman" w:cs="Times New Roman"/>
        </w:rPr>
        <w:t xml:space="preserve">siendo </w:t>
      </w:r>
      <w:r w:rsidR="00E63F4C" w:rsidRPr="00E63F4C">
        <w:rPr>
          <w:rFonts w:ascii="Times New Roman" w:hAnsi="Times New Roman" w:cs="Times New Roman"/>
        </w:rPr>
        <w:t>muy similar al observado en 2019 (2.2%)</w:t>
      </w:r>
      <w:r w:rsidR="00E92A9F" w:rsidRPr="00E63F4C">
        <w:rPr>
          <w:rFonts w:ascii="Times New Roman" w:hAnsi="Times New Roman" w:cs="Times New Roman"/>
        </w:rPr>
        <w:t>, y</w:t>
      </w:r>
      <w:r w:rsidR="00E63F4C" w:rsidRPr="00E63F4C">
        <w:rPr>
          <w:rFonts w:ascii="Times New Roman" w:hAnsi="Times New Roman" w:cs="Times New Roman"/>
        </w:rPr>
        <w:t xml:space="preserve"> significativamente menor a</w:t>
      </w:r>
      <w:r w:rsidR="00E92A9F" w:rsidRPr="00E63F4C">
        <w:rPr>
          <w:rFonts w:ascii="Times New Roman" w:hAnsi="Times New Roman" w:cs="Times New Roman"/>
        </w:rPr>
        <w:t>l reportado en 2020</w:t>
      </w:r>
      <w:r w:rsidR="00E63F4C" w:rsidRPr="00E63F4C">
        <w:rPr>
          <w:rFonts w:ascii="Times New Roman" w:hAnsi="Times New Roman" w:cs="Times New Roman"/>
        </w:rPr>
        <w:t xml:space="preserve"> cuando fue de</w:t>
      </w:r>
      <w:r w:rsidR="00E92A9F" w:rsidRPr="00E63F4C">
        <w:rPr>
          <w:rFonts w:ascii="Times New Roman" w:hAnsi="Times New Roman" w:cs="Times New Roman"/>
        </w:rPr>
        <w:t xml:space="preserve"> 4.9% del PIB.</w:t>
      </w:r>
      <w:r w:rsidR="00E92A9F">
        <w:rPr>
          <w:rFonts w:ascii="Times New Roman" w:hAnsi="Times New Roman" w:cs="Times New Roman"/>
        </w:rPr>
        <w:t xml:space="preserve"> </w:t>
      </w:r>
    </w:p>
    <w:p w14:paraId="4F67BEB5" w14:textId="77777777" w:rsidR="00E92A9F" w:rsidRDefault="00E92A9F" w:rsidP="00874E2B">
      <w:pPr>
        <w:spacing w:after="0" w:line="240" w:lineRule="auto"/>
        <w:jc w:val="both"/>
        <w:rPr>
          <w:rFonts w:ascii="Times New Roman" w:hAnsi="Times New Roman" w:cs="Times New Roman"/>
        </w:rPr>
      </w:pPr>
    </w:p>
    <w:p w14:paraId="5A0C1386" w14:textId="3E15AC64" w:rsidR="0020679D" w:rsidRPr="004133EB" w:rsidRDefault="00E92A9F" w:rsidP="00471B17">
      <w:pPr>
        <w:spacing w:after="0" w:line="240" w:lineRule="auto"/>
        <w:jc w:val="both"/>
        <w:rPr>
          <w:rFonts w:ascii="Times New Roman" w:hAnsi="Times New Roman" w:cs="Times New Roman"/>
        </w:rPr>
      </w:pPr>
      <w:r>
        <w:rPr>
          <w:rFonts w:ascii="Times New Roman" w:hAnsi="Times New Roman" w:cs="Times New Roman"/>
        </w:rPr>
        <w:t>En cuando al financiamiento</w:t>
      </w:r>
      <w:r w:rsidR="00563437" w:rsidRPr="004133EB">
        <w:rPr>
          <w:rFonts w:ascii="Times New Roman" w:hAnsi="Times New Roman" w:cs="Times New Roman"/>
        </w:rPr>
        <w:t xml:space="preserve">, al cierre de </w:t>
      </w:r>
      <w:r w:rsidR="000D6191">
        <w:rPr>
          <w:rFonts w:ascii="Times New Roman" w:hAnsi="Times New Roman" w:cs="Times New Roman"/>
        </w:rPr>
        <w:t>junio</w:t>
      </w:r>
      <w:r>
        <w:rPr>
          <w:rFonts w:ascii="Times New Roman" w:hAnsi="Times New Roman" w:cs="Times New Roman"/>
        </w:rPr>
        <w:t xml:space="preserve"> </w:t>
      </w:r>
      <w:r w:rsidR="00563437" w:rsidRPr="004133EB">
        <w:rPr>
          <w:rFonts w:ascii="Times New Roman" w:hAnsi="Times New Roman" w:cs="Times New Roman"/>
        </w:rPr>
        <w:t xml:space="preserve">se obtuvo un flujo </w:t>
      </w:r>
      <w:r>
        <w:rPr>
          <w:rFonts w:ascii="Times New Roman" w:hAnsi="Times New Roman" w:cs="Times New Roman"/>
        </w:rPr>
        <w:t>negat</w:t>
      </w:r>
      <w:r w:rsidR="00C72DD8" w:rsidRPr="004133EB">
        <w:rPr>
          <w:rFonts w:ascii="Times New Roman" w:hAnsi="Times New Roman" w:cs="Times New Roman"/>
        </w:rPr>
        <w:t>ivo</w:t>
      </w:r>
      <w:r w:rsidR="00563437" w:rsidRPr="004133EB">
        <w:rPr>
          <w:rFonts w:ascii="Times New Roman" w:hAnsi="Times New Roman" w:cs="Times New Roman"/>
        </w:rPr>
        <w:t xml:space="preserve"> en el endeudamiento externo neto por el equivalente a Q1,</w:t>
      </w:r>
      <w:r w:rsidR="000D6191">
        <w:rPr>
          <w:rFonts w:ascii="Times New Roman" w:hAnsi="Times New Roman" w:cs="Times New Roman"/>
        </w:rPr>
        <w:t>226</w:t>
      </w:r>
      <w:r w:rsidR="00563437" w:rsidRPr="004133EB">
        <w:rPr>
          <w:rFonts w:ascii="Times New Roman" w:hAnsi="Times New Roman" w:cs="Times New Roman"/>
        </w:rPr>
        <w:t>.</w:t>
      </w:r>
      <w:r w:rsidR="000D6191">
        <w:rPr>
          <w:rFonts w:ascii="Times New Roman" w:hAnsi="Times New Roman" w:cs="Times New Roman"/>
        </w:rPr>
        <w:t>0</w:t>
      </w:r>
      <w:r w:rsidR="00563437" w:rsidRPr="004133EB">
        <w:rPr>
          <w:rFonts w:ascii="Times New Roman" w:hAnsi="Times New Roman" w:cs="Times New Roman"/>
        </w:rPr>
        <w:t xml:space="preserve"> millones,</w:t>
      </w:r>
      <w:r w:rsidR="00C72DD8" w:rsidRPr="004133EB">
        <w:rPr>
          <w:rFonts w:ascii="Times New Roman" w:hAnsi="Times New Roman" w:cs="Times New Roman"/>
        </w:rPr>
        <w:t xml:space="preserve"> dado que </w:t>
      </w:r>
      <w:r>
        <w:rPr>
          <w:rFonts w:ascii="Times New Roman" w:hAnsi="Times New Roman" w:cs="Times New Roman"/>
        </w:rPr>
        <w:t>las amortizaciones de préstamos superan los desembolsos</w:t>
      </w:r>
      <w:r w:rsidR="00C72DD8" w:rsidRPr="004133EB">
        <w:rPr>
          <w:rFonts w:ascii="Times New Roman" w:hAnsi="Times New Roman" w:cs="Times New Roman"/>
        </w:rPr>
        <w:t xml:space="preserve">. </w:t>
      </w:r>
      <w:r w:rsidR="00C2442C" w:rsidRPr="004133EB">
        <w:rPr>
          <w:rFonts w:ascii="Times New Roman" w:hAnsi="Times New Roman" w:cs="Times New Roman"/>
        </w:rPr>
        <w:t xml:space="preserve">Adicionalmente, se han </w:t>
      </w:r>
      <w:r>
        <w:rPr>
          <w:rFonts w:ascii="Times New Roman" w:hAnsi="Times New Roman" w:cs="Times New Roman"/>
        </w:rPr>
        <w:t>realizado colocaciones</w:t>
      </w:r>
      <w:r w:rsidR="00C2442C" w:rsidRPr="004133EB">
        <w:rPr>
          <w:rFonts w:ascii="Times New Roman" w:hAnsi="Times New Roman" w:cs="Times New Roman"/>
        </w:rPr>
        <w:t xml:space="preserve"> por Q</w:t>
      </w:r>
      <w:r w:rsidR="00946562">
        <w:rPr>
          <w:rFonts w:ascii="Times New Roman" w:hAnsi="Times New Roman" w:cs="Times New Roman"/>
        </w:rPr>
        <w:t>12</w:t>
      </w:r>
      <w:r>
        <w:rPr>
          <w:rFonts w:ascii="Times New Roman" w:hAnsi="Times New Roman" w:cs="Times New Roman"/>
        </w:rPr>
        <w:t>,</w:t>
      </w:r>
      <w:r w:rsidR="00946562">
        <w:rPr>
          <w:rFonts w:ascii="Times New Roman" w:hAnsi="Times New Roman" w:cs="Times New Roman"/>
        </w:rPr>
        <w:t>525</w:t>
      </w:r>
      <w:r>
        <w:rPr>
          <w:rFonts w:ascii="Times New Roman" w:hAnsi="Times New Roman" w:cs="Times New Roman"/>
        </w:rPr>
        <w:t>.1</w:t>
      </w:r>
      <w:r w:rsidR="00C2442C" w:rsidRPr="004133EB">
        <w:rPr>
          <w:rFonts w:ascii="Times New Roman" w:hAnsi="Times New Roman" w:cs="Times New Roman"/>
        </w:rPr>
        <w:t xml:space="preserve"> millones</w:t>
      </w:r>
      <w:r>
        <w:rPr>
          <w:rFonts w:ascii="Times New Roman" w:hAnsi="Times New Roman" w:cs="Times New Roman"/>
        </w:rPr>
        <w:t xml:space="preserve"> correspondientes a Bonos del Tesoro en el mercado interno</w:t>
      </w:r>
      <w:r w:rsidR="005D17D2" w:rsidRPr="004133EB">
        <w:rPr>
          <w:rFonts w:ascii="Times New Roman" w:hAnsi="Times New Roman" w:cs="Times New Roman"/>
        </w:rPr>
        <w:t>.</w:t>
      </w:r>
    </w:p>
    <w:p w14:paraId="1C55D97E" w14:textId="77777777" w:rsidR="00471B17" w:rsidRPr="004133EB" w:rsidRDefault="00471B17" w:rsidP="00471B17">
      <w:pPr>
        <w:spacing w:after="0" w:line="240" w:lineRule="auto"/>
        <w:jc w:val="both"/>
        <w:rPr>
          <w:rFonts w:ascii="Times New Roman" w:hAnsi="Times New Roman" w:cs="Times New Roman"/>
        </w:rPr>
      </w:pPr>
    </w:p>
    <w:p w14:paraId="24857A23" w14:textId="707D0F65" w:rsidR="007B4D3C" w:rsidRDefault="003E14B7" w:rsidP="003E14B7">
      <w:pPr>
        <w:pStyle w:val="Epgrafe"/>
        <w:jc w:val="center"/>
        <w:rPr>
          <w:rFonts w:ascii="Times New Roman" w:hAnsi="Times New Roman" w:cs="Times New Roman"/>
          <w:b/>
          <w:i w:val="0"/>
          <w:color w:val="auto"/>
          <w:sz w:val="22"/>
          <w:szCs w:val="22"/>
        </w:rPr>
      </w:pPr>
      <w:bookmarkStart w:id="1174" w:name="_Toc16158420"/>
      <w:bookmarkStart w:id="1175" w:name="_Toc50016843"/>
      <w:bookmarkStart w:id="1176" w:name="_Toc81573090"/>
      <w:r w:rsidRPr="003E14B7">
        <w:rPr>
          <w:rFonts w:ascii="Times New Roman" w:hAnsi="Times New Roman" w:cs="Times New Roman"/>
          <w:b/>
          <w:color w:val="auto"/>
          <w:sz w:val="20"/>
        </w:rPr>
        <w:t xml:space="preserve">Gráfico </w:t>
      </w:r>
      <w:r w:rsidRPr="003E14B7">
        <w:rPr>
          <w:rFonts w:ascii="Times New Roman" w:hAnsi="Times New Roman" w:cs="Times New Roman"/>
          <w:b/>
          <w:color w:val="auto"/>
          <w:sz w:val="20"/>
        </w:rPr>
        <w:fldChar w:fldCharType="begin"/>
      </w:r>
      <w:r w:rsidRPr="003E14B7">
        <w:rPr>
          <w:rFonts w:ascii="Times New Roman" w:hAnsi="Times New Roman" w:cs="Times New Roman"/>
          <w:b/>
          <w:color w:val="auto"/>
          <w:sz w:val="20"/>
        </w:rPr>
        <w:instrText xml:space="preserve"> SEQ Gráfico \* ARABIC </w:instrText>
      </w:r>
      <w:r w:rsidRPr="003E14B7">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40</w:t>
      </w:r>
      <w:r w:rsidRPr="003E14B7">
        <w:rPr>
          <w:rFonts w:ascii="Times New Roman" w:hAnsi="Times New Roman" w:cs="Times New Roman"/>
          <w:b/>
          <w:color w:val="auto"/>
          <w:sz w:val="20"/>
        </w:rPr>
        <w:fldChar w:fldCharType="end"/>
      </w:r>
      <w:r w:rsidRPr="003E14B7">
        <w:rPr>
          <w:rFonts w:ascii="Times New Roman" w:hAnsi="Times New Roman" w:cs="Times New Roman"/>
          <w:b/>
          <w:color w:val="auto"/>
          <w:sz w:val="20"/>
        </w:rPr>
        <w:t xml:space="preserve">  </w:t>
      </w:r>
      <w:r w:rsidR="003C4F52" w:rsidRPr="00C31EDC">
        <w:rPr>
          <w:rFonts w:ascii="Times New Roman" w:hAnsi="Times New Roman" w:cs="Times New Roman"/>
          <w:b/>
          <w:i w:val="0"/>
          <w:color w:val="auto"/>
          <w:sz w:val="22"/>
          <w:szCs w:val="22"/>
        </w:rPr>
        <w:t>Resultado presupuestario y c</w:t>
      </w:r>
      <w:r w:rsidR="007B4D3C" w:rsidRPr="00C31EDC">
        <w:rPr>
          <w:rFonts w:ascii="Times New Roman" w:hAnsi="Times New Roman" w:cs="Times New Roman"/>
          <w:b/>
          <w:i w:val="0"/>
          <w:color w:val="auto"/>
          <w:sz w:val="22"/>
          <w:szCs w:val="22"/>
        </w:rPr>
        <w:t xml:space="preserve">olocación de Bonos del Tesoro a </w:t>
      </w:r>
      <w:r w:rsidR="00450523">
        <w:rPr>
          <w:rFonts w:ascii="Times New Roman" w:hAnsi="Times New Roman" w:cs="Times New Roman"/>
          <w:b/>
          <w:i w:val="0"/>
          <w:color w:val="auto"/>
          <w:sz w:val="22"/>
          <w:szCs w:val="22"/>
        </w:rPr>
        <w:t>junio</w:t>
      </w:r>
      <w:r w:rsidR="007B4D3C" w:rsidRPr="00C31EDC">
        <w:rPr>
          <w:rFonts w:ascii="Times New Roman" w:hAnsi="Times New Roman" w:cs="Times New Roman"/>
          <w:b/>
          <w:i w:val="0"/>
          <w:color w:val="auto"/>
          <w:sz w:val="22"/>
          <w:szCs w:val="22"/>
        </w:rPr>
        <w:t xml:space="preserve"> 20</w:t>
      </w:r>
      <w:bookmarkEnd w:id="1174"/>
      <w:r w:rsidR="00EE1434" w:rsidRPr="00C31EDC">
        <w:rPr>
          <w:rFonts w:ascii="Times New Roman" w:hAnsi="Times New Roman" w:cs="Times New Roman"/>
          <w:b/>
          <w:i w:val="0"/>
          <w:color w:val="auto"/>
          <w:sz w:val="22"/>
          <w:szCs w:val="22"/>
        </w:rPr>
        <w:t>2</w:t>
      </w:r>
      <w:bookmarkEnd w:id="1175"/>
      <w:r w:rsidR="00AE626E">
        <w:rPr>
          <w:rFonts w:ascii="Times New Roman" w:hAnsi="Times New Roman" w:cs="Times New Roman"/>
          <w:b/>
          <w:i w:val="0"/>
          <w:color w:val="auto"/>
          <w:sz w:val="22"/>
          <w:szCs w:val="22"/>
        </w:rPr>
        <w:t>1</w:t>
      </w:r>
      <w:bookmarkEnd w:id="1176"/>
    </w:p>
    <w:tbl>
      <w:tblPr>
        <w:tblW w:w="10223" w:type="dxa"/>
        <w:tblInd w:w="-584" w:type="dxa"/>
        <w:tblLayout w:type="fixed"/>
        <w:tblLook w:val="04A0" w:firstRow="1" w:lastRow="0" w:firstColumn="1" w:lastColumn="0" w:noHBand="0" w:noVBand="1"/>
      </w:tblPr>
      <w:tblGrid>
        <w:gridCol w:w="4979"/>
        <w:gridCol w:w="5244"/>
      </w:tblGrid>
      <w:tr w:rsidR="006A78D8" w:rsidRPr="004133EB" w14:paraId="0DA6D85B" w14:textId="77777777" w:rsidTr="006A78D8">
        <w:trPr>
          <w:trHeight w:val="452"/>
        </w:trPr>
        <w:tc>
          <w:tcPr>
            <w:tcW w:w="4979" w:type="dxa"/>
          </w:tcPr>
          <w:p w14:paraId="2FAB4F82" w14:textId="77777777" w:rsidR="002E1FEB" w:rsidRDefault="002E1FEB" w:rsidP="0020679D">
            <w:pPr>
              <w:pStyle w:val="Sinespaciado"/>
              <w:jc w:val="center"/>
              <w:rPr>
                <w:rFonts w:ascii="Times New Roman" w:hAnsi="Times New Roman" w:cs="Times New Roman"/>
                <w:b/>
                <w:sz w:val="20"/>
              </w:rPr>
            </w:pPr>
          </w:p>
          <w:p w14:paraId="5A15E9F1" w14:textId="77777777" w:rsidR="0020679D" w:rsidRPr="004133EB" w:rsidRDefault="003C4F52" w:rsidP="0020679D">
            <w:pPr>
              <w:pStyle w:val="Sinespaciado"/>
              <w:jc w:val="center"/>
              <w:rPr>
                <w:rFonts w:ascii="Times New Roman" w:hAnsi="Times New Roman" w:cs="Times New Roman"/>
                <w:b/>
                <w:sz w:val="20"/>
              </w:rPr>
            </w:pPr>
            <w:r>
              <w:rPr>
                <w:rFonts w:ascii="Times New Roman" w:hAnsi="Times New Roman" w:cs="Times New Roman"/>
                <w:b/>
                <w:sz w:val="20"/>
              </w:rPr>
              <w:t>Resultado p</w:t>
            </w:r>
            <w:r w:rsidR="0020679D" w:rsidRPr="004133EB">
              <w:rPr>
                <w:rFonts w:ascii="Times New Roman" w:hAnsi="Times New Roman" w:cs="Times New Roman"/>
                <w:b/>
                <w:sz w:val="20"/>
              </w:rPr>
              <w:t>resupuestario</w:t>
            </w:r>
          </w:p>
          <w:p w14:paraId="15BCB9D7" w14:textId="7DDE222C" w:rsidR="00096BC3" w:rsidRPr="004133EB" w:rsidRDefault="0020679D" w:rsidP="0020679D">
            <w:pPr>
              <w:pStyle w:val="Sinespaciado"/>
              <w:jc w:val="center"/>
              <w:rPr>
                <w:rFonts w:ascii="Times New Roman" w:hAnsi="Times New Roman" w:cs="Times New Roman"/>
                <w:sz w:val="16"/>
              </w:rPr>
            </w:pPr>
            <w:r w:rsidRPr="004133EB">
              <w:rPr>
                <w:rFonts w:ascii="Times New Roman" w:hAnsi="Times New Roman" w:cs="Times New Roman"/>
                <w:sz w:val="16"/>
              </w:rPr>
              <w:t>Al 3</w:t>
            </w:r>
            <w:r w:rsidR="006A78D8" w:rsidRPr="004133EB">
              <w:rPr>
                <w:rFonts w:ascii="Times New Roman" w:hAnsi="Times New Roman" w:cs="Times New Roman"/>
                <w:sz w:val="16"/>
              </w:rPr>
              <w:t>0</w:t>
            </w:r>
            <w:r w:rsidRPr="004133EB">
              <w:rPr>
                <w:rFonts w:ascii="Times New Roman" w:hAnsi="Times New Roman" w:cs="Times New Roman"/>
                <w:sz w:val="16"/>
              </w:rPr>
              <w:t xml:space="preserve"> de </w:t>
            </w:r>
            <w:r w:rsidR="00450523">
              <w:rPr>
                <w:rFonts w:ascii="Times New Roman" w:hAnsi="Times New Roman" w:cs="Times New Roman"/>
                <w:sz w:val="16"/>
              </w:rPr>
              <w:t>junio</w:t>
            </w:r>
            <w:r w:rsidRPr="004133EB">
              <w:rPr>
                <w:rFonts w:ascii="Times New Roman" w:hAnsi="Times New Roman" w:cs="Times New Roman"/>
                <w:sz w:val="16"/>
              </w:rPr>
              <w:t xml:space="preserve"> de </w:t>
            </w:r>
            <w:r w:rsidR="00B73400" w:rsidRPr="004133EB">
              <w:rPr>
                <w:rFonts w:ascii="Times New Roman" w:hAnsi="Times New Roman" w:cs="Times New Roman"/>
                <w:sz w:val="16"/>
              </w:rPr>
              <w:t>c</w:t>
            </w:r>
            <w:r w:rsidRPr="004133EB">
              <w:rPr>
                <w:rFonts w:ascii="Times New Roman" w:hAnsi="Times New Roman" w:cs="Times New Roman"/>
                <w:sz w:val="16"/>
              </w:rPr>
              <w:t xml:space="preserve">ada </w:t>
            </w:r>
            <w:r w:rsidR="00B73400" w:rsidRPr="004133EB">
              <w:rPr>
                <w:rFonts w:ascii="Times New Roman" w:hAnsi="Times New Roman" w:cs="Times New Roman"/>
                <w:sz w:val="16"/>
              </w:rPr>
              <w:t>a</w:t>
            </w:r>
            <w:r w:rsidRPr="004133EB">
              <w:rPr>
                <w:rFonts w:ascii="Times New Roman" w:hAnsi="Times New Roman" w:cs="Times New Roman"/>
                <w:sz w:val="16"/>
              </w:rPr>
              <w:t>ño</w:t>
            </w:r>
            <w:r w:rsidR="00096BC3" w:rsidRPr="004133EB">
              <w:rPr>
                <w:rFonts w:ascii="Times New Roman" w:hAnsi="Times New Roman" w:cs="Times New Roman"/>
                <w:sz w:val="16"/>
              </w:rPr>
              <w:t xml:space="preserve"> </w:t>
            </w:r>
          </w:p>
          <w:p w14:paraId="0432272E" w14:textId="77777777" w:rsidR="0020679D" w:rsidRPr="004133EB" w:rsidRDefault="00096BC3" w:rsidP="0020679D">
            <w:pPr>
              <w:pStyle w:val="Sinespaciado"/>
              <w:jc w:val="center"/>
              <w:rPr>
                <w:rFonts w:ascii="Times New Roman" w:hAnsi="Times New Roman" w:cs="Times New Roman"/>
                <w:sz w:val="20"/>
              </w:rPr>
            </w:pPr>
            <w:r w:rsidRPr="004133EB">
              <w:rPr>
                <w:rFonts w:ascii="Times New Roman" w:hAnsi="Times New Roman" w:cs="Times New Roman"/>
                <w:sz w:val="16"/>
              </w:rPr>
              <w:t xml:space="preserve">Millones de </w:t>
            </w:r>
            <w:r w:rsidR="00803141" w:rsidRPr="004133EB">
              <w:rPr>
                <w:rFonts w:ascii="Times New Roman" w:hAnsi="Times New Roman" w:cs="Times New Roman"/>
                <w:sz w:val="16"/>
              </w:rPr>
              <w:t>quetzales</w:t>
            </w:r>
          </w:p>
        </w:tc>
        <w:tc>
          <w:tcPr>
            <w:tcW w:w="5244" w:type="dxa"/>
          </w:tcPr>
          <w:p w14:paraId="1315BA6C" w14:textId="3F72D1C2" w:rsidR="0020679D" w:rsidRPr="004133EB" w:rsidRDefault="0020679D" w:rsidP="0020679D">
            <w:pPr>
              <w:pStyle w:val="Sinespaciado"/>
              <w:jc w:val="center"/>
              <w:rPr>
                <w:rFonts w:ascii="Times New Roman" w:hAnsi="Times New Roman" w:cs="Times New Roman"/>
                <w:b/>
                <w:sz w:val="20"/>
                <w:szCs w:val="20"/>
              </w:rPr>
            </w:pPr>
            <w:r w:rsidRPr="004133EB">
              <w:rPr>
                <w:rFonts w:ascii="Times New Roman" w:hAnsi="Times New Roman" w:cs="Times New Roman"/>
                <w:b/>
                <w:sz w:val="20"/>
                <w:szCs w:val="20"/>
              </w:rPr>
              <w:t xml:space="preserve">Colocación de Bonos del Tesoro a </w:t>
            </w:r>
            <w:r w:rsidR="00450523">
              <w:rPr>
                <w:rFonts w:ascii="Times New Roman" w:hAnsi="Times New Roman" w:cs="Times New Roman"/>
                <w:b/>
                <w:sz w:val="20"/>
                <w:szCs w:val="20"/>
              </w:rPr>
              <w:t>junio</w:t>
            </w:r>
            <w:r w:rsidRPr="004133EB">
              <w:rPr>
                <w:rFonts w:ascii="Times New Roman" w:hAnsi="Times New Roman" w:cs="Times New Roman"/>
                <w:b/>
                <w:sz w:val="20"/>
                <w:szCs w:val="20"/>
              </w:rPr>
              <w:t xml:space="preserve"> 20</w:t>
            </w:r>
            <w:r w:rsidR="00B73400" w:rsidRPr="004133EB">
              <w:rPr>
                <w:rFonts w:ascii="Times New Roman" w:hAnsi="Times New Roman" w:cs="Times New Roman"/>
                <w:b/>
                <w:sz w:val="20"/>
                <w:szCs w:val="20"/>
              </w:rPr>
              <w:t>2</w:t>
            </w:r>
            <w:r w:rsidR="00AE626E">
              <w:rPr>
                <w:rFonts w:ascii="Times New Roman" w:hAnsi="Times New Roman" w:cs="Times New Roman"/>
                <w:b/>
                <w:sz w:val="20"/>
                <w:szCs w:val="20"/>
              </w:rPr>
              <w:t>1</w:t>
            </w:r>
            <w:r w:rsidRPr="004133EB">
              <w:rPr>
                <w:rFonts w:ascii="Times New Roman" w:hAnsi="Times New Roman" w:cs="Times New Roman"/>
                <w:b/>
                <w:sz w:val="20"/>
                <w:szCs w:val="20"/>
              </w:rPr>
              <w:t xml:space="preserve"> </w:t>
            </w:r>
          </w:p>
          <w:p w14:paraId="439D893E" w14:textId="77777777" w:rsidR="0020679D" w:rsidRPr="004133EB" w:rsidRDefault="0020679D" w:rsidP="0020679D">
            <w:pPr>
              <w:pStyle w:val="Sinespaciado"/>
              <w:jc w:val="center"/>
              <w:rPr>
                <w:rFonts w:ascii="Times New Roman" w:hAnsi="Times New Roman" w:cs="Times New Roman"/>
                <w:sz w:val="20"/>
              </w:rPr>
            </w:pPr>
            <w:r w:rsidRPr="004133EB">
              <w:rPr>
                <w:rFonts w:ascii="Times New Roman" w:hAnsi="Times New Roman" w:cs="Times New Roman"/>
                <w:sz w:val="18"/>
              </w:rPr>
              <w:t>Millones de quetzales y porcentajes</w:t>
            </w:r>
          </w:p>
        </w:tc>
      </w:tr>
      <w:tr w:rsidR="006A78D8" w:rsidRPr="004133EB" w14:paraId="47BC5463" w14:textId="77777777" w:rsidTr="00535E5D">
        <w:tblPrEx>
          <w:tblCellMar>
            <w:left w:w="70" w:type="dxa"/>
            <w:right w:w="70" w:type="dxa"/>
          </w:tblCellMar>
        </w:tblPrEx>
        <w:trPr>
          <w:trHeight w:val="2337"/>
        </w:trPr>
        <w:tc>
          <w:tcPr>
            <w:tcW w:w="4979" w:type="dxa"/>
          </w:tcPr>
          <w:p w14:paraId="54C6E3D0" w14:textId="77777777" w:rsidR="0020679D" w:rsidRPr="004133EB" w:rsidRDefault="00D62C55" w:rsidP="00563437">
            <w:pPr>
              <w:pStyle w:val="Sinespaciado"/>
              <w:jc w:val="both"/>
              <w:rPr>
                <w:rFonts w:ascii="Times New Roman" w:hAnsi="Times New Roman" w:cs="Times New Roman"/>
                <w:sz w:val="20"/>
              </w:rPr>
            </w:pPr>
            <w:r>
              <w:rPr>
                <w:rFonts w:ascii="Times New Roman" w:hAnsi="Times New Roman" w:cs="Times New Roman"/>
                <w:noProof/>
                <w:sz w:val="20"/>
                <w:lang w:val="es-ES" w:eastAsia="es-ES"/>
              </w:rPr>
              <w:drawing>
                <wp:inline distT="0" distB="0" distL="0" distR="0" wp14:anchorId="1BE1AFEC" wp14:editId="3A88636A">
                  <wp:extent cx="3072765" cy="1792605"/>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5244" w:type="dxa"/>
          </w:tcPr>
          <w:p w14:paraId="6D1E8AB6" w14:textId="77777777" w:rsidR="0020679D" w:rsidRPr="004133EB" w:rsidRDefault="002E1FEB" w:rsidP="0020679D">
            <w:pPr>
              <w:pStyle w:val="Sinespaciado"/>
              <w:jc w:val="center"/>
              <w:rPr>
                <w:rFonts w:ascii="Times New Roman" w:hAnsi="Times New Roman" w:cs="Times New Roman"/>
                <w:sz w:val="20"/>
              </w:rPr>
            </w:pPr>
            <w:r>
              <w:rPr>
                <w:rFonts w:ascii="Times New Roman" w:hAnsi="Times New Roman" w:cs="Times New Roman"/>
                <w:noProof/>
                <w:sz w:val="20"/>
                <w:lang w:val="es-ES" w:eastAsia="es-ES"/>
              </w:rPr>
              <w:drawing>
                <wp:inline distT="0" distB="0" distL="0" distR="0" wp14:anchorId="3387657F" wp14:editId="1D5ABD77">
                  <wp:extent cx="2676525" cy="1963420"/>
                  <wp:effectExtent l="0" t="0" r="0"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bl>
    <w:p w14:paraId="1EFE45F0" w14:textId="77777777" w:rsidR="00776A0D" w:rsidRPr="00C834F3" w:rsidRDefault="00776A0D" w:rsidP="00C86626">
      <w:pPr>
        <w:spacing w:after="0"/>
        <w:jc w:val="both"/>
        <w:rPr>
          <w:rFonts w:ascii="Times New Roman" w:hAnsi="Times New Roman" w:cs="Times New Roman"/>
          <w:sz w:val="16"/>
        </w:rPr>
      </w:pPr>
      <w:r w:rsidRPr="00C834F3">
        <w:rPr>
          <w:rFonts w:ascii="Times New Roman" w:hAnsi="Times New Roman" w:cs="Times New Roman"/>
          <w:sz w:val="16"/>
        </w:rPr>
        <w:t>Fuente: Ministerio de Finanzas Públicas</w:t>
      </w:r>
    </w:p>
    <w:p w14:paraId="170EAB90" w14:textId="77777777" w:rsidR="00D018D9" w:rsidRDefault="00D018D9" w:rsidP="00563437">
      <w:pPr>
        <w:pStyle w:val="Sinespaciado"/>
        <w:jc w:val="both"/>
        <w:rPr>
          <w:rFonts w:ascii="Times New Roman" w:hAnsi="Times New Roman" w:cs="Times New Roman"/>
          <w:highlight w:val="yellow"/>
        </w:rPr>
      </w:pPr>
    </w:p>
    <w:p w14:paraId="42EC6928" w14:textId="6F6A10D0" w:rsidR="00EE1434" w:rsidRPr="004133EB" w:rsidRDefault="003531C8" w:rsidP="00563437">
      <w:pPr>
        <w:pStyle w:val="Sinespaciado"/>
        <w:jc w:val="both"/>
        <w:rPr>
          <w:rFonts w:ascii="Times New Roman" w:hAnsi="Times New Roman" w:cs="Times New Roman"/>
        </w:rPr>
      </w:pPr>
      <w:r w:rsidRPr="00D018D9">
        <w:rPr>
          <w:rFonts w:ascii="Times New Roman" w:hAnsi="Times New Roman" w:cs="Times New Roman"/>
        </w:rPr>
        <w:t>En cuanto a las condiciones financieras, se ha col</w:t>
      </w:r>
      <w:r w:rsidR="0011038B" w:rsidRPr="00D018D9">
        <w:rPr>
          <w:rFonts w:ascii="Times New Roman" w:hAnsi="Times New Roman" w:cs="Times New Roman"/>
        </w:rPr>
        <w:t>ocado en moneda nac</w:t>
      </w:r>
      <w:r w:rsidR="00D018D9" w:rsidRPr="00D018D9">
        <w:rPr>
          <w:rFonts w:ascii="Times New Roman" w:hAnsi="Times New Roman" w:cs="Times New Roman"/>
        </w:rPr>
        <w:t>ional a una tasa promedio de 5.1</w:t>
      </w:r>
      <w:r w:rsidRPr="00D018D9">
        <w:rPr>
          <w:rFonts w:ascii="Times New Roman" w:hAnsi="Times New Roman" w:cs="Times New Roman"/>
        </w:rPr>
        <w:t xml:space="preserve">% y un plazo </w:t>
      </w:r>
      <w:r w:rsidR="0011038B" w:rsidRPr="00D018D9">
        <w:rPr>
          <w:rFonts w:ascii="Times New Roman" w:hAnsi="Times New Roman" w:cs="Times New Roman"/>
        </w:rPr>
        <w:t xml:space="preserve">medio </w:t>
      </w:r>
      <w:r w:rsidRPr="00D018D9">
        <w:rPr>
          <w:rFonts w:ascii="Times New Roman" w:hAnsi="Times New Roman" w:cs="Times New Roman"/>
        </w:rPr>
        <w:t>de 1</w:t>
      </w:r>
      <w:r w:rsidR="0011038B" w:rsidRPr="00D018D9">
        <w:rPr>
          <w:rFonts w:ascii="Times New Roman" w:hAnsi="Times New Roman" w:cs="Times New Roman"/>
        </w:rPr>
        <w:t>5.</w:t>
      </w:r>
      <w:r w:rsidR="00D018D9" w:rsidRPr="00D018D9">
        <w:rPr>
          <w:rFonts w:ascii="Times New Roman" w:hAnsi="Times New Roman" w:cs="Times New Roman"/>
        </w:rPr>
        <w:t>8</w:t>
      </w:r>
      <w:r w:rsidRPr="00D018D9">
        <w:rPr>
          <w:rFonts w:ascii="Times New Roman" w:hAnsi="Times New Roman" w:cs="Times New Roman"/>
        </w:rPr>
        <w:t xml:space="preserve"> años, </w:t>
      </w:r>
      <w:r w:rsidR="0011038B" w:rsidRPr="00D018D9">
        <w:rPr>
          <w:rFonts w:ascii="Times New Roman" w:hAnsi="Times New Roman" w:cs="Times New Roman"/>
        </w:rPr>
        <w:t xml:space="preserve">en moneda extranjera se ha colocado a una tasa promedio de 4.1% y un plazo medio de </w:t>
      </w:r>
      <w:r w:rsidR="009A73A0" w:rsidRPr="00D018D9">
        <w:rPr>
          <w:rFonts w:ascii="Times New Roman" w:hAnsi="Times New Roman" w:cs="Times New Roman"/>
        </w:rPr>
        <w:t>15 años. Además,</w:t>
      </w:r>
      <w:r w:rsidR="00DA6535" w:rsidRPr="00D018D9">
        <w:rPr>
          <w:rFonts w:ascii="Times New Roman" w:hAnsi="Times New Roman" w:cs="Times New Roman"/>
        </w:rPr>
        <w:t xml:space="preserve"> se tienen colocaciones de Q</w:t>
      </w:r>
      <w:r w:rsidR="00D018D9" w:rsidRPr="00D018D9">
        <w:rPr>
          <w:rFonts w:ascii="Times New Roman" w:hAnsi="Times New Roman" w:cs="Times New Roman"/>
        </w:rPr>
        <w:t>57</w:t>
      </w:r>
      <w:r w:rsidR="00DA6535" w:rsidRPr="00D018D9">
        <w:rPr>
          <w:rFonts w:ascii="Times New Roman" w:hAnsi="Times New Roman" w:cs="Times New Roman"/>
        </w:rPr>
        <w:t>.</w:t>
      </w:r>
      <w:r w:rsidR="00D018D9" w:rsidRPr="00D018D9">
        <w:rPr>
          <w:rFonts w:ascii="Times New Roman" w:hAnsi="Times New Roman" w:cs="Times New Roman"/>
        </w:rPr>
        <w:t>9</w:t>
      </w:r>
      <w:r w:rsidRPr="00D018D9">
        <w:rPr>
          <w:rFonts w:ascii="Times New Roman" w:hAnsi="Times New Roman" w:cs="Times New Roman"/>
        </w:rPr>
        <w:t xml:space="preserve"> millones con pequeños inversionistas. Por lo anterior, aún está pendiente de colocarse, conforme lo autorizado </w:t>
      </w:r>
      <w:r w:rsidR="009A73A0" w:rsidRPr="00D018D9">
        <w:rPr>
          <w:rFonts w:ascii="Times New Roman" w:hAnsi="Times New Roman" w:cs="Times New Roman"/>
        </w:rPr>
        <w:t xml:space="preserve">por el Congreso de la República, </w:t>
      </w:r>
      <w:r w:rsidRPr="00D018D9">
        <w:rPr>
          <w:rFonts w:ascii="Times New Roman" w:hAnsi="Times New Roman" w:cs="Times New Roman"/>
        </w:rPr>
        <w:t>la canti</w:t>
      </w:r>
      <w:r w:rsidR="00D018D9" w:rsidRPr="00D018D9">
        <w:rPr>
          <w:rFonts w:ascii="Times New Roman" w:hAnsi="Times New Roman" w:cs="Times New Roman"/>
        </w:rPr>
        <w:t>dad de Q11</w:t>
      </w:r>
      <w:r w:rsidR="00112A24" w:rsidRPr="00D018D9">
        <w:rPr>
          <w:rFonts w:ascii="Times New Roman" w:hAnsi="Times New Roman" w:cs="Times New Roman"/>
        </w:rPr>
        <w:t>,9</w:t>
      </w:r>
      <w:r w:rsidR="00D018D9" w:rsidRPr="00D018D9">
        <w:rPr>
          <w:rFonts w:ascii="Times New Roman" w:hAnsi="Times New Roman" w:cs="Times New Roman"/>
        </w:rPr>
        <w:t>53</w:t>
      </w:r>
      <w:r w:rsidR="00112A24" w:rsidRPr="00D018D9">
        <w:rPr>
          <w:rFonts w:ascii="Times New Roman" w:hAnsi="Times New Roman" w:cs="Times New Roman"/>
        </w:rPr>
        <w:t>.</w:t>
      </w:r>
      <w:r w:rsidR="00D018D9" w:rsidRPr="00D018D9">
        <w:rPr>
          <w:rFonts w:ascii="Times New Roman" w:hAnsi="Times New Roman" w:cs="Times New Roman"/>
        </w:rPr>
        <w:t>4</w:t>
      </w:r>
      <w:r w:rsidR="00112A24" w:rsidRPr="00D018D9">
        <w:rPr>
          <w:rFonts w:ascii="Times New Roman" w:hAnsi="Times New Roman" w:cs="Times New Roman"/>
        </w:rPr>
        <w:t xml:space="preserve"> millones, es decir, el 4</w:t>
      </w:r>
      <w:r w:rsidR="00D018D9" w:rsidRPr="00D018D9">
        <w:rPr>
          <w:rFonts w:ascii="Times New Roman" w:hAnsi="Times New Roman" w:cs="Times New Roman"/>
        </w:rPr>
        <w:t>8.8</w:t>
      </w:r>
      <w:r w:rsidRPr="00D018D9">
        <w:rPr>
          <w:rFonts w:ascii="Times New Roman" w:hAnsi="Times New Roman" w:cs="Times New Roman"/>
        </w:rPr>
        <w:t xml:space="preserve">% del total de la emisión </w:t>
      </w:r>
      <w:r w:rsidR="00D018D9" w:rsidRPr="00D018D9">
        <w:rPr>
          <w:rFonts w:ascii="Times New Roman" w:hAnsi="Times New Roman" w:cs="Times New Roman"/>
        </w:rPr>
        <w:t xml:space="preserve">autorizada </w:t>
      </w:r>
      <w:r w:rsidRPr="00D018D9">
        <w:rPr>
          <w:rFonts w:ascii="Times New Roman" w:hAnsi="Times New Roman" w:cs="Times New Roman"/>
        </w:rPr>
        <w:t>para este año.</w:t>
      </w:r>
    </w:p>
    <w:p w14:paraId="028AFFB2" w14:textId="0270AE42" w:rsidR="00776A0D" w:rsidRDefault="00776A0D" w:rsidP="00563437">
      <w:pPr>
        <w:pStyle w:val="Sinespaciado"/>
        <w:jc w:val="both"/>
        <w:rPr>
          <w:rFonts w:ascii="Times New Roman" w:hAnsi="Times New Roman" w:cs="Times New Roman"/>
          <w:sz w:val="20"/>
        </w:rPr>
      </w:pPr>
    </w:p>
    <w:p w14:paraId="37D9C031" w14:textId="2163DBBF" w:rsidR="00E4773A" w:rsidRDefault="00E4773A" w:rsidP="00563437">
      <w:pPr>
        <w:pStyle w:val="Sinespaciado"/>
        <w:jc w:val="both"/>
        <w:rPr>
          <w:rFonts w:ascii="Times New Roman" w:hAnsi="Times New Roman" w:cs="Times New Roman"/>
          <w:sz w:val="20"/>
        </w:rPr>
      </w:pPr>
    </w:p>
    <w:p w14:paraId="0EF1EEAE" w14:textId="52AD0B9A" w:rsidR="00E4773A" w:rsidRDefault="00E4773A" w:rsidP="00563437">
      <w:pPr>
        <w:pStyle w:val="Sinespaciado"/>
        <w:jc w:val="both"/>
        <w:rPr>
          <w:rFonts w:ascii="Times New Roman" w:hAnsi="Times New Roman" w:cs="Times New Roman"/>
          <w:sz w:val="20"/>
        </w:rPr>
      </w:pPr>
    </w:p>
    <w:p w14:paraId="53A30150" w14:textId="68266373" w:rsidR="00E4773A" w:rsidRDefault="00E4773A" w:rsidP="00563437">
      <w:pPr>
        <w:pStyle w:val="Sinespaciado"/>
        <w:jc w:val="both"/>
        <w:rPr>
          <w:rFonts w:ascii="Times New Roman" w:hAnsi="Times New Roman" w:cs="Times New Roman"/>
          <w:sz w:val="20"/>
        </w:rPr>
      </w:pPr>
    </w:p>
    <w:p w14:paraId="23C22233" w14:textId="1DB4F056" w:rsidR="00E4773A" w:rsidRDefault="00E4773A" w:rsidP="00563437">
      <w:pPr>
        <w:pStyle w:val="Sinespaciado"/>
        <w:jc w:val="both"/>
        <w:rPr>
          <w:rFonts w:ascii="Times New Roman" w:hAnsi="Times New Roman" w:cs="Times New Roman"/>
          <w:sz w:val="20"/>
        </w:rPr>
      </w:pPr>
    </w:p>
    <w:p w14:paraId="4174D029" w14:textId="23CBFB90" w:rsidR="00E4773A" w:rsidRDefault="00E4773A" w:rsidP="00563437">
      <w:pPr>
        <w:pStyle w:val="Sinespaciado"/>
        <w:jc w:val="both"/>
        <w:rPr>
          <w:rFonts w:ascii="Times New Roman" w:hAnsi="Times New Roman" w:cs="Times New Roman"/>
          <w:sz w:val="20"/>
        </w:rPr>
      </w:pPr>
    </w:p>
    <w:p w14:paraId="637E83AD" w14:textId="04AD39ED" w:rsidR="00E4773A" w:rsidRDefault="00E4773A" w:rsidP="00563437">
      <w:pPr>
        <w:pStyle w:val="Sinespaciado"/>
        <w:jc w:val="both"/>
        <w:rPr>
          <w:rFonts w:ascii="Times New Roman" w:hAnsi="Times New Roman" w:cs="Times New Roman"/>
          <w:sz w:val="20"/>
        </w:rPr>
      </w:pPr>
    </w:p>
    <w:p w14:paraId="0493DC8B" w14:textId="5577FF1D" w:rsidR="00E4773A" w:rsidRDefault="00E4773A" w:rsidP="00563437">
      <w:pPr>
        <w:pStyle w:val="Sinespaciado"/>
        <w:jc w:val="both"/>
        <w:rPr>
          <w:rFonts w:ascii="Times New Roman" w:hAnsi="Times New Roman" w:cs="Times New Roman"/>
          <w:sz w:val="20"/>
        </w:rPr>
      </w:pPr>
    </w:p>
    <w:p w14:paraId="7782F18B" w14:textId="1F2A75DF" w:rsidR="00E4773A" w:rsidRDefault="00E4773A" w:rsidP="00563437">
      <w:pPr>
        <w:pStyle w:val="Sinespaciado"/>
        <w:jc w:val="both"/>
        <w:rPr>
          <w:rFonts w:ascii="Times New Roman" w:hAnsi="Times New Roman" w:cs="Times New Roman"/>
          <w:sz w:val="20"/>
        </w:rPr>
      </w:pPr>
    </w:p>
    <w:p w14:paraId="3AF8B9F0" w14:textId="4D159F77" w:rsidR="00E4773A" w:rsidRDefault="00E4773A" w:rsidP="00563437">
      <w:pPr>
        <w:pStyle w:val="Sinespaciado"/>
        <w:jc w:val="both"/>
        <w:rPr>
          <w:rFonts w:ascii="Times New Roman" w:hAnsi="Times New Roman" w:cs="Times New Roman"/>
          <w:sz w:val="20"/>
        </w:rPr>
      </w:pPr>
    </w:p>
    <w:p w14:paraId="51936ED9" w14:textId="77777777" w:rsidR="00E4773A" w:rsidRDefault="00E4773A" w:rsidP="00563437">
      <w:pPr>
        <w:pStyle w:val="Sinespaciado"/>
        <w:jc w:val="both"/>
        <w:rPr>
          <w:rFonts w:ascii="Times New Roman" w:hAnsi="Times New Roman" w:cs="Times New Roman"/>
          <w:sz w:val="20"/>
        </w:rPr>
      </w:pPr>
    </w:p>
    <w:p w14:paraId="227F607D" w14:textId="77BAC704" w:rsidR="003531C8" w:rsidRPr="00027EBC" w:rsidRDefault="003E14B7" w:rsidP="003E14B7">
      <w:pPr>
        <w:pStyle w:val="Epgrafe"/>
        <w:rPr>
          <w:rFonts w:ascii="Times New Roman" w:hAnsi="Times New Roman" w:cs="Times New Roman"/>
          <w:b/>
          <w:bCs/>
          <w:i w:val="0"/>
          <w:iCs w:val="0"/>
          <w:color w:val="auto"/>
          <w:sz w:val="22"/>
          <w:szCs w:val="22"/>
        </w:rPr>
      </w:pPr>
      <w:bookmarkStart w:id="1177" w:name="_Toc50016844"/>
      <w:bookmarkStart w:id="1178" w:name="_Toc81573091"/>
      <w:r w:rsidRPr="003E14B7">
        <w:rPr>
          <w:rFonts w:ascii="Times New Roman" w:hAnsi="Times New Roman" w:cs="Times New Roman"/>
          <w:b/>
          <w:color w:val="auto"/>
          <w:sz w:val="20"/>
        </w:rPr>
        <w:t xml:space="preserve">Gráfico </w:t>
      </w:r>
      <w:r w:rsidRPr="003E14B7">
        <w:rPr>
          <w:rFonts w:ascii="Times New Roman" w:hAnsi="Times New Roman" w:cs="Times New Roman"/>
          <w:b/>
          <w:color w:val="auto"/>
          <w:sz w:val="20"/>
        </w:rPr>
        <w:fldChar w:fldCharType="begin"/>
      </w:r>
      <w:r w:rsidRPr="003E14B7">
        <w:rPr>
          <w:rFonts w:ascii="Times New Roman" w:hAnsi="Times New Roman" w:cs="Times New Roman"/>
          <w:b/>
          <w:color w:val="auto"/>
          <w:sz w:val="20"/>
        </w:rPr>
        <w:instrText xml:space="preserve"> SEQ Gráfico \* ARABIC </w:instrText>
      </w:r>
      <w:r w:rsidRPr="003E14B7">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41</w:t>
      </w:r>
      <w:r w:rsidRPr="003E14B7">
        <w:rPr>
          <w:rFonts w:ascii="Times New Roman" w:hAnsi="Times New Roman" w:cs="Times New Roman"/>
          <w:b/>
          <w:color w:val="auto"/>
          <w:sz w:val="20"/>
        </w:rPr>
        <w:fldChar w:fldCharType="end"/>
      </w:r>
      <w:r w:rsidRPr="003E14B7">
        <w:rPr>
          <w:rFonts w:ascii="Times New Roman" w:hAnsi="Times New Roman" w:cs="Times New Roman"/>
          <w:b/>
          <w:color w:val="auto"/>
          <w:sz w:val="20"/>
        </w:rPr>
        <w:t xml:space="preserve">  </w:t>
      </w:r>
      <w:r w:rsidR="003531C8" w:rsidRPr="00C31EDC">
        <w:rPr>
          <w:rFonts w:ascii="Times New Roman" w:hAnsi="Times New Roman" w:cs="Times New Roman"/>
          <w:b/>
          <w:i w:val="0"/>
          <w:color w:val="auto"/>
          <w:sz w:val="22"/>
          <w:szCs w:val="22"/>
        </w:rPr>
        <w:t xml:space="preserve">Plazo y rendimiento histórico de la colocación de bonos del tesoro en </w:t>
      </w:r>
      <w:bookmarkEnd w:id="1177"/>
      <w:r w:rsidR="00D018D9">
        <w:rPr>
          <w:rFonts w:ascii="Times New Roman" w:hAnsi="Times New Roman" w:cs="Times New Roman"/>
          <w:b/>
          <w:i w:val="0"/>
          <w:color w:val="auto"/>
          <w:sz w:val="22"/>
          <w:szCs w:val="22"/>
        </w:rPr>
        <w:t>moneda nacional</w:t>
      </w:r>
      <w:bookmarkEnd w:id="1178"/>
    </w:p>
    <w:p w14:paraId="0BA56990" w14:textId="77777777" w:rsidR="00776A0D" w:rsidRPr="004133EB" w:rsidRDefault="00776A0D" w:rsidP="00563437">
      <w:pPr>
        <w:pStyle w:val="Sinespaciado"/>
        <w:jc w:val="both"/>
        <w:rPr>
          <w:rFonts w:ascii="Times New Roman" w:hAnsi="Times New Roman" w:cs="Times New Roman"/>
          <w:sz w:val="20"/>
        </w:rPr>
      </w:pPr>
      <w:r w:rsidRPr="004133EB">
        <w:rPr>
          <w:rFonts w:ascii="Times New Roman" w:hAnsi="Times New Roman" w:cs="Times New Roman"/>
          <w:noProof/>
          <w:sz w:val="20"/>
          <w:lang w:val="es-ES" w:eastAsia="es-ES"/>
        </w:rPr>
        <w:drawing>
          <wp:inline distT="0" distB="0" distL="0" distR="0" wp14:anchorId="729445F6" wp14:editId="3D233D8C">
            <wp:extent cx="5374005" cy="2216989"/>
            <wp:effectExtent l="0" t="0" r="0" b="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3CF7E18" w14:textId="1D64D012" w:rsidR="00EE1434" w:rsidRPr="00BD369D" w:rsidRDefault="00112A24" w:rsidP="00EE1434">
      <w:pPr>
        <w:spacing w:after="0"/>
        <w:rPr>
          <w:rFonts w:ascii="Times New Roman" w:hAnsi="Times New Roman" w:cs="Times New Roman"/>
          <w:sz w:val="16"/>
          <w:szCs w:val="24"/>
        </w:rPr>
      </w:pPr>
      <w:r w:rsidRPr="00BD369D">
        <w:rPr>
          <w:rFonts w:ascii="Times New Roman" w:hAnsi="Times New Roman" w:cs="Times New Roman"/>
          <w:sz w:val="16"/>
          <w:szCs w:val="24"/>
        </w:rPr>
        <w:t xml:space="preserve">*Preliminar a </w:t>
      </w:r>
      <w:r w:rsidR="00BD369D" w:rsidRPr="00BD369D">
        <w:rPr>
          <w:rFonts w:ascii="Times New Roman" w:hAnsi="Times New Roman" w:cs="Times New Roman"/>
          <w:sz w:val="16"/>
          <w:szCs w:val="24"/>
        </w:rPr>
        <w:t>junio</w:t>
      </w:r>
      <w:r w:rsidRPr="00BD369D">
        <w:rPr>
          <w:rFonts w:ascii="Times New Roman" w:hAnsi="Times New Roman" w:cs="Times New Roman"/>
          <w:sz w:val="16"/>
          <w:szCs w:val="24"/>
        </w:rPr>
        <w:t xml:space="preserve"> 2021</w:t>
      </w:r>
    </w:p>
    <w:p w14:paraId="2A25552F" w14:textId="77777777" w:rsidR="00EE1434" w:rsidRDefault="00EE1434" w:rsidP="00EE1434">
      <w:pPr>
        <w:spacing w:after="0"/>
        <w:rPr>
          <w:rFonts w:ascii="Times New Roman" w:hAnsi="Times New Roman" w:cs="Times New Roman"/>
          <w:sz w:val="16"/>
          <w:szCs w:val="24"/>
        </w:rPr>
      </w:pPr>
      <w:r w:rsidRPr="00BD369D">
        <w:rPr>
          <w:rFonts w:ascii="Times New Roman" w:hAnsi="Times New Roman" w:cs="Times New Roman"/>
          <w:sz w:val="16"/>
          <w:szCs w:val="24"/>
        </w:rPr>
        <w:t>Fuente: Ministerio de Finanzas Públicas</w:t>
      </w:r>
    </w:p>
    <w:p w14:paraId="7541A637" w14:textId="77777777" w:rsidR="00112A24" w:rsidRDefault="00112A24" w:rsidP="00EE1434">
      <w:pPr>
        <w:spacing w:after="0"/>
        <w:rPr>
          <w:rFonts w:ascii="Times New Roman" w:hAnsi="Times New Roman" w:cs="Times New Roman"/>
          <w:sz w:val="16"/>
          <w:szCs w:val="24"/>
        </w:rPr>
      </w:pPr>
    </w:p>
    <w:p w14:paraId="72928A62" w14:textId="77777777" w:rsidR="00112A24" w:rsidRDefault="00112A24" w:rsidP="00EE1434">
      <w:pPr>
        <w:spacing w:after="0"/>
        <w:rPr>
          <w:rFonts w:ascii="Times New Roman" w:hAnsi="Times New Roman" w:cs="Times New Roman"/>
          <w:sz w:val="16"/>
          <w:szCs w:val="24"/>
        </w:rPr>
      </w:pPr>
    </w:p>
    <w:p w14:paraId="7AD3BBEC" w14:textId="501A11F6" w:rsidR="00112A24" w:rsidRPr="00027EBC" w:rsidRDefault="003E14B7" w:rsidP="003E14B7">
      <w:pPr>
        <w:pStyle w:val="Epgrafe"/>
        <w:rPr>
          <w:rFonts w:ascii="Times New Roman" w:hAnsi="Times New Roman" w:cs="Times New Roman"/>
          <w:b/>
          <w:bCs/>
          <w:i w:val="0"/>
          <w:iCs w:val="0"/>
          <w:color w:val="auto"/>
          <w:sz w:val="22"/>
          <w:szCs w:val="22"/>
        </w:rPr>
      </w:pPr>
      <w:bookmarkStart w:id="1179" w:name="_Toc81573092"/>
      <w:r w:rsidRPr="003E14B7">
        <w:rPr>
          <w:rFonts w:ascii="Times New Roman" w:hAnsi="Times New Roman" w:cs="Times New Roman"/>
          <w:b/>
          <w:color w:val="auto"/>
          <w:sz w:val="20"/>
        </w:rPr>
        <w:t xml:space="preserve">Gráfico </w:t>
      </w:r>
      <w:r w:rsidRPr="003E14B7">
        <w:rPr>
          <w:rFonts w:ascii="Times New Roman" w:hAnsi="Times New Roman" w:cs="Times New Roman"/>
          <w:b/>
          <w:color w:val="auto"/>
          <w:sz w:val="20"/>
        </w:rPr>
        <w:fldChar w:fldCharType="begin"/>
      </w:r>
      <w:r w:rsidRPr="003E14B7">
        <w:rPr>
          <w:rFonts w:ascii="Times New Roman" w:hAnsi="Times New Roman" w:cs="Times New Roman"/>
          <w:b/>
          <w:color w:val="auto"/>
          <w:sz w:val="20"/>
        </w:rPr>
        <w:instrText xml:space="preserve"> SEQ Gráfico \* ARABIC </w:instrText>
      </w:r>
      <w:r w:rsidRPr="003E14B7">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42</w:t>
      </w:r>
      <w:r w:rsidRPr="003E14B7">
        <w:rPr>
          <w:rFonts w:ascii="Times New Roman" w:hAnsi="Times New Roman" w:cs="Times New Roman"/>
          <w:b/>
          <w:color w:val="auto"/>
          <w:sz w:val="20"/>
        </w:rPr>
        <w:fldChar w:fldCharType="end"/>
      </w:r>
      <w:r w:rsidRPr="003E14B7">
        <w:rPr>
          <w:rFonts w:ascii="Times New Roman" w:hAnsi="Times New Roman" w:cs="Times New Roman"/>
          <w:b/>
          <w:color w:val="auto"/>
          <w:sz w:val="20"/>
        </w:rPr>
        <w:t xml:space="preserve">  </w:t>
      </w:r>
      <w:r w:rsidR="00112A24" w:rsidRPr="00C31EDC">
        <w:rPr>
          <w:rFonts w:ascii="Times New Roman" w:hAnsi="Times New Roman" w:cs="Times New Roman"/>
          <w:b/>
          <w:i w:val="0"/>
          <w:color w:val="auto"/>
          <w:sz w:val="22"/>
          <w:szCs w:val="22"/>
        </w:rPr>
        <w:t xml:space="preserve">Plazo y rendimiento histórico de la colocación de bonos del tesoro en </w:t>
      </w:r>
      <w:r w:rsidR="00D018D9">
        <w:rPr>
          <w:rFonts w:ascii="Times New Roman" w:hAnsi="Times New Roman" w:cs="Times New Roman"/>
          <w:b/>
          <w:i w:val="0"/>
          <w:color w:val="auto"/>
          <w:sz w:val="22"/>
          <w:szCs w:val="22"/>
        </w:rPr>
        <w:t>moneda extranjera</w:t>
      </w:r>
      <w:bookmarkEnd w:id="1179"/>
    </w:p>
    <w:p w14:paraId="27DD4359" w14:textId="77777777" w:rsidR="00112A24" w:rsidRPr="004133EB" w:rsidRDefault="00112A24" w:rsidP="00112A24">
      <w:pPr>
        <w:pStyle w:val="Sinespaciado"/>
        <w:jc w:val="both"/>
        <w:rPr>
          <w:rFonts w:ascii="Times New Roman" w:hAnsi="Times New Roman" w:cs="Times New Roman"/>
          <w:sz w:val="20"/>
        </w:rPr>
      </w:pPr>
      <w:r w:rsidRPr="004133EB">
        <w:rPr>
          <w:rFonts w:ascii="Times New Roman" w:hAnsi="Times New Roman" w:cs="Times New Roman"/>
          <w:noProof/>
          <w:sz w:val="20"/>
          <w:lang w:val="es-ES" w:eastAsia="es-ES"/>
        </w:rPr>
        <w:drawing>
          <wp:inline distT="0" distB="0" distL="0" distR="0" wp14:anchorId="49EDB9DB" wp14:editId="0BFCE9FF">
            <wp:extent cx="5374005" cy="2216989"/>
            <wp:effectExtent l="0" t="0" r="0" b="0"/>
            <wp:docPr id="45"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E6D757C" w14:textId="00B872C7" w:rsidR="00112A24" w:rsidRPr="00BD369D" w:rsidRDefault="00BD369D" w:rsidP="00112A24">
      <w:pPr>
        <w:spacing w:after="0"/>
        <w:rPr>
          <w:rFonts w:ascii="Times New Roman" w:hAnsi="Times New Roman" w:cs="Times New Roman"/>
          <w:sz w:val="16"/>
          <w:szCs w:val="24"/>
        </w:rPr>
      </w:pPr>
      <w:r w:rsidRPr="00BD369D">
        <w:rPr>
          <w:rFonts w:ascii="Times New Roman" w:hAnsi="Times New Roman" w:cs="Times New Roman"/>
          <w:sz w:val="16"/>
          <w:szCs w:val="24"/>
        </w:rPr>
        <w:t>*Preliminar a junio</w:t>
      </w:r>
      <w:r w:rsidR="00112A24" w:rsidRPr="00BD369D">
        <w:rPr>
          <w:rFonts w:ascii="Times New Roman" w:hAnsi="Times New Roman" w:cs="Times New Roman"/>
          <w:sz w:val="16"/>
          <w:szCs w:val="24"/>
        </w:rPr>
        <w:t xml:space="preserve"> 2021</w:t>
      </w:r>
    </w:p>
    <w:p w14:paraId="73898C5F" w14:textId="663F0747" w:rsidR="00112A24" w:rsidRPr="004133EB" w:rsidRDefault="00112A24" w:rsidP="00EE1434">
      <w:pPr>
        <w:spacing w:after="0"/>
        <w:rPr>
          <w:rFonts w:ascii="Times New Roman" w:hAnsi="Times New Roman" w:cs="Times New Roman"/>
          <w:sz w:val="16"/>
          <w:szCs w:val="24"/>
        </w:rPr>
      </w:pPr>
      <w:r w:rsidRPr="00BD369D">
        <w:rPr>
          <w:rFonts w:ascii="Times New Roman" w:hAnsi="Times New Roman" w:cs="Times New Roman"/>
          <w:sz w:val="16"/>
          <w:szCs w:val="24"/>
        </w:rPr>
        <w:t>Fuente: Ministerio de Finanzas Públicas</w:t>
      </w:r>
    </w:p>
    <w:p w14:paraId="7EDB0F6B" w14:textId="77777777" w:rsidR="00C86626" w:rsidRDefault="00CB582D" w:rsidP="00AD002E">
      <w:pPr>
        <w:pStyle w:val="Sinespaciado"/>
        <w:tabs>
          <w:tab w:val="left" w:pos="1902"/>
        </w:tabs>
        <w:jc w:val="both"/>
        <w:rPr>
          <w:rFonts w:ascii="Times New Roman" w:hAnsi="Times New Roman" w:cs="Times New Roman"/>
          <w:b/>
        </w:rPr>
      </w:pPr>
      <w:r w:rsidRPr="004133EB">
        <w:rPr>
          <w:rFonts w:ascii="Times New Roman" w:hAnsi="Times New Roman" w:cs="Times New Roman"/>
          <w:sz w:val="20"/>
        </w:rPr>
        <w:tab/>
      </w:r>
      <w:bookmarkStart w:id="1180" w:name="_Toc16155033"/>
    </w:p>
    <w:p w14:paraId="34EB8644" w14:textId="5CCCFD71" w:rsidR="00B06A5C" w:rsidRPr="003C14E4" w:rsidRDefault="00027EBC" w:rsidP="001032E7">
      <w:pPr>
        <w:pStyle w:val="Sinespaciado"/>
        <w:numPr>
          <w:ilvl w:val="0"/>
          <w:numId w:val="38"/>
        </w:numPr>
        <w:outlineLvl w:val="2"/>
        <w:rPr>
          <w:rFonts w:ascii="Times New Roman" w:hAnsi="Times New Roman" w:cs="Times New Roman"/>
          <w:b/>
          <w:sz w:val="24"/>
        </w:rPr>
      </w:pPr>
      <w:bookmarkStart w:id="1181" w:name="_Toc49939467"/>
      <w:bookmarkStart w:id="1182" w:name="_Toc81571902"/>
      <w:r>
        <w:rPr>
          <w:rFonts w:ascii="Times New Roman" w:hAnsi="Times New Roman" w:cs="Times New Roman"/>
          <w:b/>
          <w:sz w:val="24"/>
        </w:rPr>
        <w:t>Perspectivas de c</w:t>
      </w:r>
      <w:r w:rsidR="00C617B4" w:rsidRPr="003C14E4">
        <w:rPr>
          <w:rFonts w:ascii="Times New Roman" w:hAnsi="Times New Roman" w:cs="Times New Roman"/>
          <w:b/>
          <w:sz w:val="24"/>
        </w:rPr>
        <w:t>ierre 20</w:t>
      </w:r>
      <w:bookmarkEnd w:id="1180"/>
      <w:r w:rsidR="0073233B" w:rsidRPr="003C14E4">
        <w:rPr>
          <w:rFonts w:ascii="Times New Roman" w:hAnsi="Times New Roman" w:cs="Times New Roman"/>
          <w:b/>
          <w:sz w:val="24"/>
        </w:rPr>
        <w:t>2</w:t>
      </w:r>
      <w:bookmarkEnd w:id="1181"/>
      <w:r w:rsidR="00316EAE">
        <w:rPr>
          <w:rFonts w:ascii="Times New Roman" w:hAnsi="Times New Roman" w:cs="Times New Roman"/>
          <w:b/>
          <w:sz w:val="24"/>
        </w:rPr>
        <w:t>1</w:t>
      </w:r>
      <w:bookmarkEnd w:id="1182"/>
    </w:p>
    <w:p w14:paraId="4A8AA50F" w14:textId="77777777" w:rsidR="008E64D9" w:rsidRPr="004133EB" w:rsidRDefault="008E64D9" w:rsidP="009601AB">
      <w:pPr>
        <w:spacing w:after="0" w:line="240" w:lineRule="auto"/>
        <w:jc w:val="both"/>
        <w:rPr>
          <w:rFonts w:ascii="Times New Roman" w:hAnsi="Times New Roman" w:cs="Times New Roman"/>
        </w:rPr>
      </w:pPr>
    </w:p>
    <w:p w14:paraId="43EB1FCB" w14:textId="393E67C2" w:rsidR="0067682D" w:rsidRPr="00033140" w:rsidRDefault="0067682D" w:rsidP="0067682D">
      <w:pPr>
        <w:spacing w:after="0" w:line="240" w:lineRule="auto"/>
        <w:jc w:val="both"/>
        <w:rPr>
          <w:rFonts w:ascii="Times New Roman" w:hAnsi="Times New Roman" w:cs="Times New Roman"/>
        </w:rPr>
      </w:pPr>
      <w:r w:rsidRPr="0067682D">
        <w:rPr>
          <w:rFonts w:ascii="Times New Roman" w:hAnsi="Times New Roman" w:cs="Times New Roman"/>
        </w:rPr>
        <w:t xml:space="preserve">Tomando en consideración los escenarios macroeconómicos actualizados para 2021, así como la </w:t>
      </w:r>
      <w:r w:rsidRPr="00033140">
        <w:rPr>
          <w:rFonts w:ascii="Times New Roman" w:hAnsi="Times New Roman" w:cs="Times New Roman"/>
        </w:rPr>
        <w:t xml:space="preserve">estimación de recaudación tributaria revisada conjuntamente con la Superintendencia de Administración Tributaria </w:t>
      </w:r>
      <w:r w:rsidR="006C6B93">
        <w:rPr>
          <w:rFonts w:ascii="Times New Roman" w:hAnsi="Times New Roman" w:cs="Times New Roman"/>
        </w:rPr>
        <w:t>-</w:t>
      </w:r>
      <w:r w:rsidRPr="00033140">
        <w:rPr>
          <w:rFonts w:ascii="Times New Roman" w:hAnsi="Times New Roman" w:cs="Times New Roman"/>
        </w:rPr>
        <w:t>SAT</w:t>
      </w:r>
      <w:r w:rsidR="004F6248">
        <w:rPr>
          <w:rFonts w:ascii="Times New Roman" w:hAnsi="Times New Roman" w:cs="Times New Roman"/>
        </w:rPr>
        <w:t>-</w:t>
      </w:r>
      <w:r w:rsidRPr="00033140">
        <w:rPr>
          <w:rFonts w:ascii="Times New Roman" w:hAnsi="Times New Roman" w:cs="Times New Roman"/>
        </w:rPr>
        <w:t>; y, las estimaciones de ingresos no tributarios que perciben diversas Entidades de la Administración Central, así como la estrategia de financiamiento planteada por el Organismo Ejecutivo y los compromisos establecidos en el Presupuesto General de Ingresos del Estado para el Ejercicio Fiscal 2021, se realizó una revisión completa del posible cierre de las cuentas fiscales. En ese sentido, la recaudación tributaria se estima que podría alcanzar un monto de Q</w:t>
      </w:r>
      <w:r w:rsidR="0090703D">
        <w:rPr>
          <w:rFonts w:ascii="Times New Roman" w:hAnsi="Times New Roman" w:cs="Times New Roman"/>
        </w:rPr>
        <w:t>70,768.</w:t>
      </w:r>
      <w:r w:rsidR="00156FCD">
        <w:rPr>
          <w:rFonts w:ascii="Times New Roman" w:hAnsi="Times New Roman" w:cs="Times New Roman"/>
        </w:rPr>
        <w:t>4</w:t>
      </w:r>
      <w:r w:rsidR="0090703D">
        <w:rPr>
          <w:rFonts w:ascii="Times New Roman" w:hAnsi="Times New Roman" w:cs="Times New Roman"/>
        </w:rPr>
        <w:t xml:space="preserve"> </w:t>
      </w:r>
      <w:r w:rsidRPr="00033140">
        <w:rPr>
          <w:rFonts w:ascii="Times New Roman" w:hAnsi="Times New Roman" w:cs="Times New Roman"/>
        </w:rPr>
        <w:t xml:space="preserve">millones, lo cual representa </w:t>
      </w:r>
      <w:r w:rsidR="00FF5830">
        <w:rPr>
          <w:rFonts w:ascii="Times New Roman" w:hAnsi="Times New Roman" w:cs="Times New Roman"/>
        </w:rPr>
        <w:t xml:space="preserve">una brecha positiva </w:t>
      </w:r>
      <w:r w:rsidR="0090703D">
        <w:rPr>
          <w:rFonts w:ascii="Times New Roman" w:hAnsi="Times New Roman" w:cs="Times New Roman"/>
        </w:rPr>
        <w:t>de</w:t>
      </w:r>
      <w:r w:rsidR="00FF5830">
        <w:rPr>
          <w:rFonts w:ascii="Times New Roman" w:hAnsi="Times New Roman" w:cs="Times New Roman"/>
        </w:rPr>
        <w:t xml:space="preserve"> Q</w:t>
      </w:r>
      <w:r w:rsidR="0090703D">
        <w:rPr>
          <w:rFonts w:ascii="Times New Roman" w:hAnsi="Times New Roman" w:cs="Times New Roman"/>
        </w:rPr>
        <w:t>6</w:t>
      </w:r>
      <w:r w:rsidR="004F6248">
        <w:rPr>
          <w:rFonts w:ascii="Times New Roman" w:hAnsi="Times New Roman" w:cs="Times New Roman"/>
        </w:rPr>
        <w:t>,</w:t>
      </w:r>
      <w:r w:rsidR="0090703D">
        <w:rPr>
          <w:rFonts w:ascii="Times New Roman" w:hAnsi="Times New Roman" w:cs="Times New Roman"/>
        </w:rPr>
        <w:t xml:space="preserve">740.9 </w:t>
      </w:r>
      <w:r w:rsidR="003D1AD8">
        <w:rPr>
          <w:rFonts w:ascii="Times New Roman" w:hAnsi="Times New Roman" w:cs="Times New Roman"/>
        </w:rPr>
        <w:t xml:space="preserve">millones respecto a la meta </w:t>
      </w:r>
      <w:r w:rsidR="00B6315F">
        <w:rPr>
          <w:rFonts w:ascii="Times New Roman" w:hAnsi="Times New Roman" w:cs="Times New Roman"/>
        </w:rPr>
        <w:t>de presupuesto</w:t>
      </w:r>
      <w:r w:rsidR="00701583">
        <w:rPr>
          <w:rFonts w:ascii="Times New Roman" w:hAnsi="Times New Roman" w:cs="Times New Roman"/>
        </w:rPr>
        <w:t>, siendo el impuesto sobre la renta el que más aporta a esta brecha (Q</w:t>
      </w:r>
      <w:r w:rsidR="0090703D">
        <w:rPr>
          <w:rFonts w:ascii="Times New Roman" w:hAnsi="Times New Roman" w:cs="Times New Roman"/>
        </w:rPr>
        <w:t xml:space="preserve">2,802.2 </w:t>
      </w:r>
      <w:r w:rsidR="00701583">
        <w:rPr>
          <w:rFonts w:ascii="Times New Roman" w:hAnsi="Times New Roman" w:cs="Times New Roman"/>
        </w:rPr>
        <w:t xml:space="preserve">millones) </w:t>
      </w:r>
      <w:r w:rsidRPr="00033140">
        <w:rPr>
          <w:rFonts w:ascii="Times New Roman" w:hAnsi="Times New Roman" w:cs="Times New Roman"/>
        </w:rPr>
        <w:t xml:space="preserve">un grado de ejecución del presupuesto vigente de </w:t>
      </w:r>
      <w:r w:rsidR="0090703D">
        <w:rPr>
          <w:rFonts w:ascii="Times New Roman" w:hAnsi="Times New Roman" w:cs="Times New Roman"/>
        </w:rPr>
        <w:t>110.5</w:t>
      </w:r>
      <w:r w:rsidRPr="00033140">
        <w:rPr>
          <w:rFonts w:ascii="Times New Roman" w:hAnsi="Times New Roman" w:cs="Times New Roman"/>
        </w:rPr>
        <w:t xml:space="preserve">% y con relación a la ejecución observada en 2020 se tiene un crecimiento de </w:t>
      </w:r>
      <w:r w:rsidR="00957DD3" w:rsidRPr="00033140">
        <w:rPr>
          <w:rFonts w:ascii="Times New Roman" w:hAnsi="Times New Roman" w:cs="Times New Roman"/>
        </w:rPr>
        <w:t>1</w:t>
      </w:r>
      <w:r w:rsidR="0090703D">
        <w:rPr>
          <w:rFonts w:ascii="Times New Roman" w:hAnsi="Times New Roman" w:cs="Times New Roman"/>
        </w:rPr>
        <w:t>7.4</w:t>
      </w:r>
      <w:r w:rsidRPr="00033140">
        <w:rPr>
          <w:rFonts w:ascii="Times New Roman" w:hAnsi="Times New Roman" w:cs="Times New Roman"/>
        </w:rPr>
        <w:t xml:space="preserve">%. </w:t>
      </w:r>
    </w:p>
    <w:p w14:paraId="2E2F8571" w14:textId="77777777" w:rsidR="0067682D" w:rsidRPr="00033140" w:rsidRDefault="0067682D" w:rsidP="0067682D">
      <w:pPr>
        <w:spacing w:after="0" w:line="240" w:lineRule="auto"/>
        <w:jc w:val="both"/>
        <w:rPr>
          <w:rFonts w:ascii="Times New Roman" w:hAnsi="Times New Roman" w:cs="Times New Roman"/>
        </w:rPr>
      </w:pPr>
    </w:p>
    <w:p w14:paraId="70ECEE16" w14:textId="593CAFA4" w:rsidR="0067682D" w:rsidRPr="00033140" w:rsidRDefault="0067682D" w:rsidP="0067682D">
      <w:pPr>
        <w:spacing w:after="0" w:line="240" w:lineRule="auto"/>
        <w:jc w:val="both"/>
        <w:rPr>
          <w:rFonts w:ascii="Times New Roman" w:hAnsi="Times New Roman" w:cs="Times New Roman"/>
          <w:lang w:val="es-US"/>
        </w:rPr>
      </w:pPr>
      <w:r w:rsidRPr="00033140">
        <w:rPr>
          <w:rFonts w:ascii="Times New Roman" w:hAnsi="Times New Roman" w:cs="Times New Roman"/>
          <w:lang w:val="es-US"/>
        </w:rPr>
        <w:t>Con los resultados anteriormente expuestos se prevé que la carga tributaria para 2021 se ubiqué en 1</w:t>
      </w:r>
      <w:r w:rsidR="00CC032C">
        <w:rPr>
          <w:rFonts w:ascii="Times New Roman" w:hAnsi="Times New Roman" w:cs="Times New Roman"/>
          <w:lang w:val="es-US"/>
        </w:rPr>
        <w:t>1.0</w:t>
      </w:r>
      <w:r w:rsidRPr="00033140">
        <w:rPr>
          <w:rFonts w:ascii="Times New Roman" w:hAnsi="Times New Roman" w:cs="Times New Roman"/>
          <w:lang w:val="es-US"/>
        </w:rPr>
        <w:t>%, monto mayor al observado en 2020 (10.</w:t>
      </w:r>
      <w:r w:rsidR="00CC032C">
        <w:rPr>
          <w:rFonts w:ascii="Times New Roman" w:hAnsi="Times New Roman" w:cs="Times New Roman"/>
          <w:lang w:val="es-US"/>
        </w:rPr>
        <w:t>1</w:t>
      </w:r>
      <w:r w:rsidRPr="00033140">
        <w:rPr>
          <w:rFonts w:ascii="Times New Roman" w:hAnsi="Times New Roman" w:cs="Times New Roman"/>
          <w:lang w:val="es-US"/>
        </w:rPr>
        <w:t>%)</w:t>
      </w:r>
      <w:r w:rsidR="00993D6C">
        <w:rPr>
          <w:rFonts w:ascii="Times New Roman" w:hAnsi="Times New Roman" w:cs="Times New Roman"/>
          <w:lang w:val="es-US"/>
        </w:rPr>
        <w:t>.</w:t>
      </w:r>
      <w:r w:rsidRPr="00033140">
        <w:rPr>
          <w:rFonts w:ascii="Times New Roman" w:hAnsi="Times New Roman" w:cs="Times New Roman"/>
          <w:lang w:val="es-US"/>
        </w:rPr>
        <w:t xml:space="preserve"> </w:t>
      </w:r>
      <w:r w:rsidR="00993D6C">
        <w:rPr>
          <w:rFonts w:ascii="Times New Roman" w:hAnsi="Times New Roman" w:cs="Times New Roman"/>
          <w:lang w:val="es-US"/>
        </w:rPr>
        <w:t>Es</w:t>
      </w:r>
      <w:r w:rsidRPr="00033140">
        <w:rPr>
          <w:rFonts w:ascii="Times New Roman" w:hAnsi="Times New Roman" w:cs="Times New Roman"/>
          <w:lang w:val="es-US"/>
        </w:rPr>
        <w:t xml:space="preserve">te nivel de carga tributaria deriva en la apertura de la economía de manera gradual y a los esfuerzos del ente recaudador para recobrar la senda positiva en la recaudación tributaria, </w:t>
      </w:r>
      <w:r w:rsidR="00F001E2">
        <w:rPr>
          <w:rFonts w:ascii="Times New Roman" w:hAnsi="Times New Roman" w:cs="Times New Roman"/>
          <w:lang w:val="es-US"/>
        </w:rPr>
        <w:t>incrementando la percepción de riesgo y mejorando por ende el cumplimiento voluntario</w:t>
      </w:r>
      <w:r w:rsidR="000932B1">
        <w:rPr>
          <w:rFonts w:ascii="Times New Roman" w:hAnsi="Times New Roman" w:cs="Times New Roman"/>
          <w:lang w:val="es-US"/>
        </w:rPr>
        <w:t xml:space="preserve">. </w:t>
      </w:r>
      <w:r w:rsidR="00F001E2">
        <w:rPr>
          <w:rFonts w:ascii="Times New Roman" w:hAnsi="Times New Roman" w:cs="Times New Roman"/>
          <w:lang w:val="es-US"/>
        </w:rPr>
        <w:t xml:space="preserve"> </w:t>
      </w:r>
      <w:r w:rsidR="000932B1">
        <w:rPr>
          <w:rFonts w:ascii="Times New Roman" w:hAnsi="Times New Roman" w:cs="Times New Roman"/>
          <w:lang w:val="es-US"/>
        </w:rPr>
        <w:t>A</w:t>
      </w:r>
      <w:r w:rsidRPr="00033140">
        <w:rPr>
          <w:rFonts w:ascii="Times New Roman" w:hAnsi="Times New Roman" w:cs="Times New Roman"/>
          <w:lang w:val="es-US"/>
        </w:rPr>
        <w:t>spectos relevantes que ha logrado fortalecer el ente recaudador son la mejora en la valoración de mercancías en las aduanas, una mayor eficiencia en los principales puertos del país, una mejora en los planes internos de la SAT mediante la implementación de planes de fiscalización y mejoras en la matriz de la percepción de riesgo</w:t>
      </w:r>
      <w:r w:rsidR="0090703D">
        <w:rPr>
          <w:rFonts w:ascii="Times New Roman" w:hAnsi="Times New Roman" w:cs="Times New Roman"/>
          <w:lang w:val="es-US"/>
        </w:rPr>
        <w:t xml:space="preserve"> y la implementación de los puestos de control interinstitucional</w:t>
      </w:r>
      <w:r w:rsidRPr="00033140">
        <w:rPr>
          <w:rFonts w:ascii="Times New Roman" w:hAnsi="Times New Roman" w:cs="Times New Roman"/>
          <w:lang w:val="es-US"/>
        </w:rPr>
        <w:t>.</w:t>
      </w:r>
    </w:p>
    <w:p w14:paraId="4C76B59B" w14:textId="77777777" w:rsidR="0067682D" w:rsidRPr="0067682D" w:rsidRDefault="0067682D" w:rsidP="0067682D">
      <w:pPr>
        <w:spacing w:after="0" w:line="240" w:lineRule="auto"/>
        <w:jc w:val="both"/>
        <w:rPr>
          <w:rFonts w:ascii="Times New Roman" w:hAnsi="Times New Roman" w:cs="Times New Roman"/>
          <w:lang w:val="es-US"/>
        </w:rPr>
      </w:pPr>
    </w:p>
    <w:p w14:paraId="0121DFA4" w14:textId="77EC0469" w:rsidR="0067682D" w:rsidRPr="007733EF" w:rsidRDefault="003E14B7" w:rsidP="007733EF">
      <w:pPr>
        <w:pStyle w:val="Epgrafe"/>
        <w:spacing w:after="0"/>
        <w:jc w:val="center"/>
        <w:rPr>
          <w:rFonts w:ascii="Times New Roman" w:hAnsi="Times New Roman" w:cs="Times New Roman"/>
          <w:b/>
          <w:color w:val="auto"/>
          <w:sz w:val="22"/>
          <w:szCs w:val="22"/>
        </w:rPr>
      </w:pPr>
      <w:bookmarkStart w:id="1183" w:name="_Toc50016845"/>
      <w:bookmarkStart w:id="1184" w:name="_Toc81573093"/>
      <w:r w:rsidRPr="007733EF">
        <w:rPr>
          <w:rFonts w:ascii="Times New Roman" w:hAnsi="Times New Roman" w:cs="Times New Roman"/>
          <w:b/>
          <w:color w:val="auto"/>
          <w:sz w:val="22"/>
          <w:szCs w:val="22"/>
        </w:rPr>
        <w:t xml:space="preserve">Gráfico </w:t>
      </w:r>
      <w:r w:rsidRPr="007733EF">
        <w:rPr>
          <w:rFonts w:ascii="Times New Roman" w:hAnsi="Times New Roman" w:cs="Times New Roman"/>
          <w:b/>
          <w:color w:val="auto"/>
          <w:sz w:val="22"/>
          <w:szCs w:val="22"/>
        </w:rPr>
        <w:fldChar w:fldCharType="begin"/>
      </w:r>
      <w:r w:rsidRPr="007733EF">
        <w:rPr>
          <w:rFonts w:ascii="Times New Roman" w:hAnsi="Times New Roman" w:cs="Times New Roman"/>
          <w:b/>
          <w:color w:val="auto"/>
          <w:sz w:val="22"/>
          <w:szCs w:val="22"/>
        </w:rPr>
        <w:instrText xml:space="preserve"> SEQ Gráfico \* ARABIC </w:instrText>
      </w:r>
      <w:r w:rsidRPr="007733EF">
        <w:rPr>
          <w:rFonts w:ascii="Times New Roman" w:hAnsi="Times New Roman" w:cs="Times New Roman"/>
          <w:b/>
          <w:color w:val="auto"/>
          <w:sz w:val="22"/>
          <w:szCs w:val="22"/>
        </w:rPr>
        <w:fldChar w:fldCharType="separate"/>
      </w:r>
      <w:r w:rsidR="00D6529D">
        <w:rPr>
          <w:rFonts w:ascii="Times New Roman" w:hAnsi="Times New Roman" w:cs="Times New Roman"/>
          <w:b/>
          <w:noProof/>
          <w:color w:val="auto"/>
          <w:sz w:val="22"/>
          <w:szCs w:val="22"/>
        </w:rPr>
        <w:t>43</w:t>
      </w:r>
      <w:r w:rsidRPr="007733EF">
        <w:rPr>
          <w:rFonts w:ascii="Times New Roman" w:hAnsi="Times New Roman" w:cs="Times New Roman"/>
          <w:b/>
          <w:color w:val="auto"/>
          <w:sz w:val="22"/>
          <w:szCs w:val="22"/>
        </w:rPr>
        <w:fldChar w:fldCharType="end"/>
      </w:r>
      <w:r w:rsidRPr="007733EF">
        <w:rPr>
          <w:rFonts w:ascii="Times New Roman" w:hAnsi="Times New Roman" w:cs="Times New Roman"/>
          <w:b/>
          <w:color w:val="auto"/>
          <w:sz w:val="22"/>
          <w:szCs w:val="22"/>
        </w:rPr>
        <w:t xml:space="preserve">  Recaudación tributaria</w:t>
      </w:r>
      <w:bookmarkEnd w:id="1183"/>
      <w:bookmarkEnd w:id="1184"/>
    </w:p>
    <w:p w14:paraId="59D18252" w14:textId="4A4EB469" w:rsidR="000932B1" w:rsidRPr="007733EF" w:rsidRDefault="000932B1" w:rsidP="007733EF">
      <w:pPr>
        <w:pStyle w:val="Epgrafe"/>
        <w:spacing w:after="0"/>
        <w:jc w:val="center"/>
        <w:rPr>
          <w:rFonts w:ascii="Times New Roman" w:hAnsi="Times New Roman" w:cs="Times New Roman"/>
          <w:bCs/>
          <w:color w:val="auto"/>
        </w:rPr>
      </w:pPr>
      <w:r w:rsidRPr="007733EF">
        <w:rPr>
          <w:rFonts w:ascii="Times New Roman" w:hAnsi="Times New Roman" w:cs="Times New Roman"/>
          <w:bCs/>
          <w:color w:val="auto"/>
        </w:rPr>
        <w:t>Millones de quetzales</w:t>
      </w:r>
    </w:p>
    <w:tbl>
      <w:tblPr>
        <w:tblpPr w:leftFromText="141" w:rightFromText="141" w:vertAnchor="text" w:tblpY="1"/>
        <w:tblOverlap w:val="never"/>
        <w:tblW w:w="0" w:type="auto"/>
        <w:tblLook w:val="04A0" w:firstRow="1" w:lastRow="0" w:firstColumn="1" w:lastColumn="0" w:noHBand="0" w:noVBand="1"/>
      </w:tblPr>
      <w:tblGrid>
        <w:gridCol w:w="8647"/>
      </w:tblGrid>
      <w:tr w:rsidR="0067682D" w:rsidRPr="0067682D" w14:paraId="1324A07F" w14:textId="77777777" w:rsidTr="00B51EF7">
        <w:trPr>
          <w:trHeight w:val="3801"/>
        </w:trPr>
        <w:tc>
          <w:tcPr>
            <w:tcW w:w="8647" w:type="dxa"/>
          </w:tcPr>
          <w:p w14:paraId="0B8D5260" w14:textId="77777777" w:rsidR="0067682D" w:rsidRPr="0067682D" w:rsidRDefault="0067682D" w:rsidP="00B51EF7">
            <w:pPr>
              <w:spacing w:after="0" w:line="240" w:lineRule="auto"/>
              <w:jc w:val="center"/>
              <w:rPr>
                <w:rFonts w:ascii="Times New Roman" w:hAnsi="Times New Roman" w:cs="Times New Roman"/>
                <w:b/>
              </w:rPr>
            </w:pPr>
            <w:r w:rsidRPr="0067682D">
              <w:rPr>
                <w:rFonts w:ascii="Times New Roman" w:hAnsi="Times New Roman" w:cs="Times New Roman"/>
                <w:b/>
                <w:noProof/>
                <w:lang w:val="es-ES" w:eastAsia="es-ES"/>
              </w:rPr>
              <w:drawing>
                <wp:anchor distT="0" distB="0" distL="114300" distR="114300" simplePos="0" relativeHeight="251988480" behindDoc="0" locked="0" layoutInCell="1" allowOverlap="1" wp14:anchorId="58530393" wp14:editId="00A98FB7">
                  <wp:simplePos x="0" y="0"/>
                  <wp:positionH relativeFrom="column">
                    <wp:posOffset>240030</wp:posOffset>
                  </wp:positionH>
                  <wp:positionV relativeFrom="paragraph">
                    <wp:posOffset>4445</wp:posOffset>
                  </wp:positionV>
                  <wp:extent cx="4673600" cy="2363470"/>
                  <wp:effectExtent l="0" t="0" r="0" b="0"/>
                  <wp:wrapSquare wrapText="bothSides"/>
                  <wp:docPr id="84"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page">
                    <wp14:pctWidth>0</wp14:pctWidth>
                  </wp14:sizeRelH>
                  <wp14:sizeRelV relativeFrom="page">
                    <wp14:pctHeight>0</wp14:pctHeight>
                  </wp14:sizeRelV>
                </wp:anchor>
              </w:drawing>
            </w:r>
          </w:p>
          <w:p w14:paraId="479DDE67" w14:textId="77777777" w:rsidR="0067682D" w:rsidRPr="0067682D" w:rsidRDefault="0067682D" w:rsidP="00B51EF7">
            <w:pPr>
              <w:spacing w:after="0" w:line="240" w:lineRule="auto"/>
              <w:jc w:val="center"/>
              <w:rPr>
                <w:rFonts w:ascii="Times New Roman" w:hAnsi="Times New Roman" w:cs="Times New Roman"/>
                <w:b/>
              </w:rPr>
            </w:pPr>
          </w:p>
          <w:p w14:paraId="0E69FD3C" w14:textId="77777777" w:rsidR="0067682D" w:rsidRPr="0067682D" w:rsidRDefault="0067682D" w:rsidP="00B51EF7">
            <w:pPr>
              <w:spacing w:after="0" w:line="240" w:lineRule="auto"/>
              <w:jc w:val="center"/>
              <w:rPr>
                <w:rFonts w:ascii="Times New Roman" w:hAnsi="Times New Roman" w:cs="Times New Roman"/>
                <w:b/>
              </w:rPr>
            </w:pPr>
          </w:p>
        </w:tc>
      </w:tr>
      <w:tr w:rsidR="0067682D" w:rsidRPr="0067682D" w14:paraId="1C85B0C3" w14:textId="77777777" w:rsidTr="00B51EF7">
        <w:trPr>
          <w:trHeight w:val="214"/>
        </w:trPr>
        <w:tc>
          <w:tcPr>
            <w:tcW w:w="8647" w:type="dxa"/>
          </w:tcPr>
          <w:p w14:paraId="7F2DD65D" w14:textId="77777777" w:rsidR="0067682D" w:rsidRPr="0067682D" w:rsidRDefault="0067682D" w:rsidP="00B51EF7">
            <w:pPr>
              <w:spacing w:after="0" w:line="240" w:lineRule="auto"/>
              <w:jc w:val="both"/>
              <w:rPr>
                <w:rFonts w:ascii="Times New Roman" w:hAnsi="Times New Roman" w:cs="Times New Roman"/>
                <w:sz w:val="18"/>
              </w:rPr>
            </w:pPr>
            <w:r w:rsidRPr="0067682D">
              <w:rPr>
                <w:rFonts w:ascii="Times New Roman" w:hAnsi="Times New Roman" w:cs="Times New Roman"/>
                <w:sz w:val="16"/>
              </w:rPr>
              <w:t xml:space="preserve">                                 Fuente: Superintendencia de Administración Tributaria </w:t>
            </w:r>
          </w:p>
        </w:tc>
      </w:tr>
      <w:tr w:rsidR="0067682D" w:rsidRPr="0067682D" w14:paraId="1D2E3F7A" w14:textId="77777777" w:rsidTr="00B51EF7">
        <w:trPr>
          <w:trHeight w:val="214"/>
        </w:trPr>
        <w:tc>
          <w:tcPr>
            <w:tcW w:w="8647" w:type="dxa"/>
          </w:tcPr>
          <w:p w14:paraId="4FDAEFCC" w14:textId="77777777" w:rsidR="0067682D" w:rsidRPr="0067682D" w:rsidRDefault="0067682D" w:rsidP="00B51EF7">
            <w:pPr>
              <w:spacing w:after="0" w:line="240" w:lineRule="auto"/>
              <w:jc w:val="both"/>
              <w:rPr>
                <w:rFonts w:ascii="Times New Roman" w:hAnsi="Times New Roman" w:cs="Times New Roman"/>
                <w:sz w:val="14"/>
              </w:rPr>
            </w:pPr>
          </w:p>
        </w:tc>
      </w:tr>
    </w:tbl>
    <w:p w14:paraId="1DD745E7" w14:textId="7C3D5CA5" w:rsidR="0067682D" w:rsidRPr="0067682D" w:rsidRDefault="00F45975" w:rsidP="0067682D">
      <w:pPr>
        <w:spacing w:after="0" w:line="240" w:lineRule="auto"/>
        <w:jc w:val="both"/>
        <w:rPr>
          <w:rFonts w:ascii="Times New Roman" w:hAnsi="Times New Roman" w:cs="Times New Roman"/>
        </w:rPr>
      </w:pPr>
      <w:r>
        <w:rPr>
          <w:rFonts w:ascii="Times New Roman" w:hAnsi="Times New Roman" w:cs="Times New Roman"/>
        </w:rPr>
        <w:t>Destaca en este cierre preliminar</w:t>
      </w:r>
      <w:r w:rsidR="00990DD5">
        <w:rPr>
          <w:rFonts w:ascii="Times New Roman" w:hAnsi="Times New Roman" w:cs="Times New Roman"/>
        </w:rPr>
        <w:t>,</w:t>
      </w:r>
      <w:r>
        <w:rPr>
          <w:rFonts w:ascii="Times New Roman" w:hAnsi="Times New Roman" w:cs="Times New Roman"/>
        </w:rPr>
        <w:t xml:space="preserve"> el desempeño de los impuestos </w:t>
      </w:r>
      <w:r w:rsidR="0067682D" w:rsidRPr="0067682D">
        <w:rPr>
          <w:rFonts w:ascii="Times New Roman" w:hAnsi="Times New Roman" w:cs="Times New Roman"/>
        </w:rPr>
        <w:t xml:space="preserve">asociados al comercio exterior que a </w:t>
      </w:r>
      <w:r>
        <w:rPr>
          <w:rFonts w:ascii="Times New Roman" w:hAnsi="Times New Roman" w:cs="Times New Roman"/>
        </w:rPr>
        <w:t>junio</w:t>
      </w:r>
      <w:r w:rsidR="0067682D" w:rsidRPr="0067682D">
        <w:rPr>
          <w:rFonts w:ascii="Times New Roman" w:hAnsi="Times New Roman" w:cs="Times New Roman"/>
        </w:rPr>
        <w:t xml:space="preserve"> tienen un crecimiento del </w:t>
      </w:r>
      <w:r>
        <w:rPr>
          <w:rFonts w:ascii="Times New Roman" w:hAnsi="Times New Roman" w:cs="Times New Roman"/>
        </w:rPr>
        <w:t>41.2</w:t>
      </w:r>
      <w:r w:rsidR="0067682D" w:rsidRPr="0067682D">
        <w:rPr>
          <w:rFonts w:ascii="Times New Roman" w:hAnsi="Times New Roman" w:cs="Times New Roman"/>
        </w:rPr>
        <w:t>% respecto a lo observado en 2020 esto derivado en gran medida a la</w:t>
      </w:r>
      <w:r w:rsidR="00937026">
        <w:rPr>
          <w:rFonts w:ascii="Times New Roman" w:hAnsi="Times New Roman" w:cs="Times New Roman"/>
        </w:rPr>
        <w:t xml:space="preserve"> fuerte</w:t>
      </w:r>
      <w:r w:rsidR="0067682D" w:rsidRPr="0067682D">
        <w:rPr>
          <w:rFonts w:ascii="Times New Roman" w:hAnsi="Times New Roman" w:cs="Times New Roman"/>
        </w:rPr>
        <w:t xml:space="preserve"> contracción</w:t>
      </w:r>
      <w:r w:rsidR="00BD7B90">
        <w:rPr>
          <w:rFonts w:ascii="Times New Roman" w:hAnsi="Times New Roman" w:cs="Times New Roman"/>
        </w:rPr>
        <w:t xml:space="preserve"> de las importaciones</w:t>
      </w:r>
      <w:r w:rsidR="0067682D" w:rsidRPr="0067682D">
        <w:rPr>
          <w:rFonts w:ascii="Times New Roman" w:hAnsi="Times New Roman" w:cs="Times New Roman"/>
        </w:rPr>
        <w:t xml:space="preserve"> del año 2020 producto de la pandemia</w:t>
      </w:r>
      <w:r w:rsidR="003F6DA1">
        <w:rPr>
          <w:rFonts w:ascii="Times New Roman" w:hAnsi="Times New Roman" w:cs="Times New Roman"/>
        </w:rPr>
        <w:t>, que afectó el volumen de las importaciones y los precios internacionales</w:t>
      </w:r>
      <w:r w:rsidR="00044084">
        <w:rPr>
          <w:rFonts w:ascii="Times New Roman" w:hAnsi="Times New Roman" w:cs="Times New Roman"/>
        </w:rPr>
        <w:t xml:space="preserve"> principalmente de los derivados del petróleo, situación que en lo que va de 2021 se revirtió.</w:t>
      </w:r>
    </w:p>
    <w:p w14:paraId="66A17FC3" w14:textId="77777777" w:rsidR="0067682D" w:rsidRDefault="0067682D" w:rsidP="00442A2F">
      <w:pPr>
        <w:spacing w:after="0" w:line="240" w:lineRule="auto"/>
        <w:jc w:val="both"/>
        <w:rPr>
          <w:rFonts w:ascii="Times New Roman" w:hAnsi="Times New Roman" w:cs="Times New Roman"/>
        </w:rPr>
      </w:pPr>
    </w:p>
    <w:p w14:paraId="5CAF5BAB" w14:textId="77777777" w:rsidR="00442A2F" w:rsidRDefault="0060745A" w:rsidP="00442A2F">
      <w:pPr>
        <w:spacing w:after="0" w:line="240" w:lineRule="auto"/>
        <w:jc w:val="both"/>
        <w:rPr>
          <w:rFonts w:ascii="Times New Roman" w:hAnsi="Times New Roman" w:cs="Times New Roman"/>
        </w:rPr>
      </w:pPr>
      <w:r w:rsidRPr="004F6248">
        <w:rPr>
          <w:rFonts w:ascii="Times New Roman" w:hAnsi="Times New Roman" w:cs="Times New Roman"/>
        </w:rPr>
        <w:t>En lo que respecta a la ejecución de gasto público,</w:t>
      </w:r>
      <w:r w:rsidR="00442A2F" w:rsidRPr="004F6248">
        <w:rPr>
          <w:rFonts w:ascii="Times New Roman" w:hAnsi="Times New Roman" w:cs="Times New Roman"/>
        </w:rPr>
        <w:t xml:space="preserve"> desde principios de año fue evidente las complicaciones que tendría el dinamismo del gasto dada la no aprobación</w:t>
      </w:r>
      <w:r w:rsidR="00442A2F">
        <w:rPr>
          <w:rFonts w:ascii="Times New Roman" w:hAnsi="Times New Roman" w:cs="Times New Roman"/>
        </w:rPr>
        <w:t xml:space="preserve"> del Proyecto de Presupuesto General de Ingresos y Egresos del Estado para el ejercicio fiscal 2021, siendo algo inédito en la historia reciente del país al repetirse por segundo año consecutivo. Los principales compromisos a los que se debía de dar atención surgieron como parte de la coyuntura por el COVID-19 y por los eventos climáticos de los últimos meses de 2020, siendo estos:  </w:t>
      </w:r>
      <w:r w:rsidR="00442A2F" w:rsidRPr="00442A2F">
        <w:rPr>
          <w:rFonts w:ascii="Times New Roman" w:hAnsi="Times New Roman" w:cs="Times New Roman"/>
        </w:rPr>
        <w:t>1. La vacuna para</w:t>
      </w:r>
      <w:r w:rsidR="00442A2F">
        <w:rPr>
          <w:rFonts w:ascii="Times New Roman" w:hAnsi="Times New Roman" w:cs="Times New Roman"/>
        </w:rPr>
        <w:t xml:space="preserve"> </w:t>
      </w:r>
      <w:r w:rsidR="00442A2F" w:rsidRPr="00442A2F">
        <w:rPr>
          <w:rFonts w:ascii="Times New Roman" w:hAnsi="Times New Roman" w:cs="Times New Roman"/>
        </w:rPr>
        <w:t>inmunizar a la población contra el COVID-19,</w:t>
      </w:r>
      <w:r w:rsidR="00442A2F">
        <w:rPr>
          <w:rFonts w:ascii="Times New Roman" w:hAnsi="Times New Roman" w:cs="Times New Roman"/>
        </w:rPr>
        <w:t xml:space="preserve"> </w:t>
      </w:r>
      <w:r w:rsidR="00442A2F" w:rsidRPr="00442A2F">
        <w:rPr>
          <w:rFonts w:ascii="Times New Roman" w:hAnsi="Times New Roman" w:cs="Times New Roman"/>
        </w:rPr>
        <w:t>2. Gasto para reactivación económica y 3.</w:t>
      </w:r>
      <w:r w:rsidR="00442A2F">
        <w:rPr>
          <w:rFonts w:ascii="Times New Roman" w:hAnsi="Times New Roman" w:cs="Times New Roman"/>
        </w:rPr>
        <w:t xml:space="preserve"> </w:t>
      </w:r>
      <w:r w:rsidR="00442A2F" w:rsidRPr="00442A2F">
        <w:rPr>
          <w:rFonts w:ascii="Times New Roman" w:hAnsi="Times New Roman" w:cs="Times New Roman"/>
        </w:rPr>
        <w:t>Gasto en reconstrucción derivado de las</w:t>
      </w:r>
      <w:r w:rsidR="00442A2F">
        <w:rPr>
          <w:rFonts w:ascii="Times New Roman" w:hAnsi="Times New Roman" w:cs="Times New Roman"/>
        </w:rPr>
        <w:t xml:space="preserve"> tormentas tropicales ETA e IOTA. </w:t>
      </w:r>
    </w:p>
    <w:p w14:paraId="4E5C8450" w14:textId="77777777" w:rsidR="00442A2F" w:rsidRDefault="00442A2F" w:rsidP="009601AB">
      <w:pPr>
        <w:spacing w:after="0" w:line="240" w:lineRule="auto"/>
        <w:jc w:val="both"/>
        <w:rPr>
          <w:rFonts w:ascii="Times New Roman" w:hAnsi="Times New Roman" w:cs="Times New Roman"/>
        </w:rPr>
      </w:pPr>
    </w:p>
    <w:p w14:paraId="4E4CDF0F" w14:textId="151D7ED5" w:rsidR="003F5D91" w:rsidRDefault="00442A2F" w:rsidP="003F5D91">
      <w:pPr>
        <w:spacing w:after="0" w:line="240" w:lineRule="auto"/>
        <w:jc w:val="both"/>
        <w:rPr>
          <w:rFonts w:ascii="Times New Roman" w:hAnsi="Times New Roman" w:cs="Times New Roman"/>
        </w:rPr>
      </w:pPr>
      <w:r>
        <w:rPr>
          <w:rFonts w:ascii="Times New Roman" w:hAnsi="Times New Roman" w:cs="Times New Roman"/>
        </w:rPr>
        <w:t>El gasto</w:t>
      </w:r>
      <w:r w:rsidR="00C456C1">
        <w:rPr>
          <w:rFonts w:ascii="Times New Roman" w:hAnsi="Times New Roman" w:cs="Times New Roman"/>
        </w:rPr>
        <w:t xml:space="preserve"> presupuestado</w:t>
      </w:r>
      <w:r>
        <w:rPr>
          <w:rFonts w:ascii="Times New Roman" w:hAnsi="Times New Roman" w:cs="Times New Roman"/>
        </w:rPr>
        <w:t xml:space="preserve"> relacionado a la vacuna contra el COVID-19 es particularmente relevante, </w:t>
      </w:r>
      <w:r w:rsidR="008A1C80">
        <w:rPr>
          <w:rFonts w:ascii="Times New Roman" w:hAnsi="Times New Roman" w:cs="Times New Roman"/>
        </w:rPr>
        <w:t>además que permite mitigar el impacto de la Pandemia</w:t>
      </w:r>
      <w:r w:rsidR="00AA029B">
        <w:rPr>
          <w:rFonts w:ascii="Times New Roman" w:hAnsi="Times New Roman" w:cs="Times New Roman"/>
        </w:rPr>
        <w:t xml:space="preserve">, </w:t>
      </w:r>
      <w:r>
        <w:rPr>
          <w:rFonts w:ascii="Times New Roman" w:hAnsi="Times New Roman" w:cs="Times New Roman"/>
        </w:rPr>
        <w:t xml:space="preserve">significa un monto importante de recursos y cambiaría el peso </w:t>
      </w:r>
      <w:r w:rsidR="003F5D91">
        <w:rPr>
          <w:rFonts w:ascii="Times New Roman" w:hAnsi="Times New Roman" w:cs="Times New Roman"/>
        </w:rPr>
        <w:t>del rubro de bienes y servicios dentro del gasto público total, siendo en este rub</w:t>
      </w:r>
      <w:r w:rsidR="005F7F0E">
        <w:rPr>
          <w:rFonts w:ascii="Times New Roman" w:hAnsi="Times New Roman" w:cs="Times New Roman"/>
        </w:rPr>
        <w:t xml:space="preserve">ro donde se encuentra registrada </w:t>
      </w:r>
      <w:r w:rsidR="003F5D91">
        <w:rPr>
          <w:rFonts w:ascii="Times New Roman" w:hAnsi="Times New Roman" w:cs="Times New Roman"/>
        </w:rPr>
        <w:t>la</w:t>
      </w:r>
      <w:r w:rsidR="00B91EF2">
        <w:rPr>
          <w:rFonts w:ascii="Times New Roman" w:hAnsi="Times New Roman" w:cs="Times New Roman"/>
        </w:rPr>
        <w:t xml:space="preserve"> compra de la</w:t>
      </w:r>
      <w:r w:rsidR="003F5D91">
        <w:rPr>
          <w:rFonts w:ascii="Times New Roman" w:hAnsi="Times New Roman" w:cs="Times New Roman"/>
        </w:rPr>
        <w:t xml:space="preserve"> vacuna. La</w:t>
      </w:r>
      <w:r w:rsidR="00C83D6E" w:rsidRPr="004133EB">
        <w:rPr>
          <w:rFonts w:ascii="Times New Roman" w:hAnsi="Times New Roman" w:cs="Times New Roman"/>
        </w:rPr>
        <w:t xml:space="preserve"> trayectoria que seguirá el gasto público a lo largo del 202</w:t>
      </w:r>
      <w:r w:rsidR="003F5D91">
        <w:rPr>
          <w:rFonts w:ascii="Times New Roman" w:hAnsi="Times New Roman" w:cs="Times New Roman"/>
        </w:rPr>
        <w:t xml:space="preserve">1 si bien será dinámico, se ubicaría por debajo de lo observado en 2020, cuando los gastos </w:t>
      </w:r>
      <w:r w:rsidR="005F7F0E">
        <w:rPr>
          <w:rFonts w:ascii="Times New Roman" w:hAnsi="Times New Roman" w:cs="Times New Roman"/>
        </w:rPr>
        <w:t xml:space="preserve">de </w:t>
      </w:r>
      <w:r w:rsidR="004F6248">
        <w:rPr>
          <w:rFonts w:ascii="Times New Roman" w:hAnsi="Times New Roman" w:cs="Times New Roman"/>
        </w:rPr>
        <w:t>los programas económicos y sociales relacionado</w:t>
      </w:r>
      <w:r w:rsidR="003F5D91">
        <w:rPr>
          <w:rFonts w:ascii="Times New Roman" w:hAnsi="Times New Roman" w:cs="Times New Roman"/>
        </w:rPr>
        <w:t xml:space="preserve">s al COVID-19 estaban </w:t>
      </w:r>
      <w:r w:rsidR="00B91EF2">
        <w:rPr>
          <w:rFonts w:ascii="Times New Roman" w:hAnsi="Times New Roman" w:cs="Times New Roman"/>
        </w:rPr>
        <w:t>presionando al alza el nivel de gasto público para estimular</w:t>
      </w:r>
      <w:r w:rsidR="003F5D91">
        <w:rPr>
          <w:rFonts w:ascii="Times New Roman" w:hAnsi="Times New Roman" w:cs="Times New Roman"/>
        </w:rPr>
        <w:t xml:space="preserve"> fuertemente </w:t>
      </w:r>
      <w:r w:rsidR="00B91EF2">
        <w:rPr>
          <w:rFonts w:ascii="Times New Roman" w:hAnsi="Times New Roman" w:cs="Times New Roman"/>
        </w:rPr>
        <w:t>la economía</w:t>
      </w:r>
      <w:r w:rsidR="003F5D91">
        <w:rPr>
          <w:rFonts w:ascii="Times New Roman" w:hAnsi="Times New Roman" w:cs="Times New Roman"/>
        </w:rPr>
        <w:t>.</w:t>
      </w:r>
    </w:p>
    <w:p w14:paraId="76160ECC" w14:textId="77777777" w:rsidR="003F5D91" w:rsidRDefault="003F5D91" w:rsidP="003F5D91">
      <w:pPr>
        <w:spacing w:after="0" w:line="240" w:lineRule="auto"/>
        <w:jc w:val="both"/>
        <w:rPr>
          <w:rFonts w:ascii="Times New Roman" w:hAnsi="Times New Roman" w:cs="Times New Roman"/>
        </w:rPr>
      </w:pPr>
    </w:p>
    <w:p w14:paraId="4742ABD5" w14:textId="77777777" w:rsidR="003F5D91" w:rsidRDefault="003F5D91" w:rsidP="003F5D91">
      <w:pPr>
        <w:spacing w:after="0" w:line="240" w:lineRule="auto"/>
        <w:jc w:val="both"/>
        <w:rPr>
          <w:rFonts w:ascii="Times New Roman" w:hAnsi="Times New Roman" w:cs="Times New Roman"/>
        </w:rPr>
      </w:pPr>
      <w:r>
        <w:rPr>
          <w:rFonts w:ascii="Times New Roman" w:hAnsi="Times New Roman" w:cs="Times New Roman"/>
        </w:rPr>
        <w:t xml:space="preserve">A </w:t>
      </w:r>
      <w:r w:rsidR="00C83D6E" w:rsidRPr="004133EB">
        <w:rPr>
          <w:rFonts w:ascii="Times New Roman" w:hAnsi="Times New Roman" w:cs="Times New Roman"/>
        </w:rPr>
        <w:t xml:space="preserve">principio de año se </w:t>
      </w:r>
      <w:r>
        <w:rPr>
          <w:rFonts w:ascii="Times New Roman" w:hAnsi="Times New Roman" w:cs="Times New Roman"/>
        </w:rPr>
        <w:t>trabajó</w:t>
      </w:r>
      <w:r w:rsidR="00C83D6E" w:rsidRPr="004133EB">
        <w:rPr>
          <w:rFonts w:ascii="Times New Roman" w:hAnsi="Times New Roman" w:cs="Times New Roman"/>
        </w:rPr>
        <w:t xml:space="preserve"> </w:t>
      </w:r>
      <w:r>
        <w:rPr>
          <w:rFonts w:ascii="Times New Roman" w:hAnsi="Times New Roman" w:cs="Times New Roman"/>
        </w:rPr>
        <w:t xml:space="preserve">en la readecuación del presupuesto por Q1,500 millones para incrementar el presupuesto de egresos del Ministerio de Salud Pública y Asistencia Social para adquirir las vacunas contra el coronavirus COVID-19 y las que se requieran como consecuencia de la evolución del virus, aprobación que se dio por medio del Decreto 01-2021 Ley para el financiamiento y adquisición de vacunas </w:t>
      </w:r>
      <w:r w:rsidR="00CB0755">
        <w:rPr>
          <w:rFonts w:ascii="Times New Roman" w:hAnsi="Times New Roman" w:cs="Times New Roman"/>
        </w:rPr>
        <w:t>contra el coronavirus COVID-19.</w:t>
      </w:r>
      <w:r>
        <w:rPr>
          <w:rFonts w:ascii="Times New Roman" w:hAnsi="Times New Roman" w:cs="Times New Roman"/>
        </w:rPr>
        <w:t xml:space="preserve"> </w:t>
      </w:r>
    </w:p>
    <w:p w14:paraId="63C6F0CE" w14:textId="77777777" w:rsidR="003F5D91" w:rsidRDefault="003F5D91" w:rsidP="003F5D91">
      <w:pPr>
        <w:spacing w:after="0" w:line="240" w:lineRule="auto"/>
        <w:jc w:val="both"/>
        <w:rPr>
          <w:rFonts w:ascii="Times New Roman" w:hAnsi="Times New Roman" w:cs="Times New Roman"/>
        </w:rPr>
      </w:pPr>
    </w:p>
    <w:p w14:paraId="2E0D2B97" w14:textId="77777777" w:rsidR="00BC2C50" w:rsidRDefault="00B227B4" w:rsidP="00CA7D0D">
      <w:pPr>
        <w:spacing w:after="0" w:line="240" w:lineRule="auto"/>
        <w:jc w:val="both"/>
        <w:rPr>
          <w:rFonts w:ascii="Times New Roman" w:hAnsi="Times New Roman" w:cs="Times New Roman"/>
        </w:rPr>
      </w:pPr>
      <w:r w:rsidRPr="004F6248">
        <w:rPr>
          <w:rFonts w:ascii="Times New Roman" w:hAnsi="Times New Roman" w:cs="Times New Roman"/>
        </w:rPr>
        <w:t>En los primeros meses se observó una</w:t>
      </w:r>
      <w:r w:rsidR="00DB03C4" w:rsidRPr="004F6248">
        <w:rPr>
          <w:rFonts w:ascii="Times New Roman" w:hAnsi="Times New Roman" w:cs="Times New Roman"/>
        </w:rPr>
        <w:t xml:space="preserve"> </w:t>
      </w:r>
      <w:r w:rsidR="00C83D6E" w:rsidRPr="004F6248">
        <w:rPr>
          <w:rFonts w:ascii="Times New Roman" w:hAnsi="Times New Roman" w:cs="Times New Roman"/>
        </w:rPr>
        <w:t xml:space="preserve">ejecución moderada, </w:t>
      </w:r>
      <w:r w:rsidRPr="004F6248">
        <w:rPr>
          <w:rFonts w:ascii="Times New Roman" w:hAnsi="Times New Roman" w:cs="Times New Roman"/>
        </w:rPr>
        <w:t>siendo prudentes en la asignación de las cuotas financieras por la incertidumbre respecto al comportamiento de la recaudación tributaria, no obstante, a partir de abril se observó un gasto público más dinámico,</w:t>
      </w:r>
      <w:r w:rsidR="004F6248">
        <w:rPr>
          <w:rFonts w:ascii="Times New Roman" w:hAnsi="Times New Roman" w:cs="Times New Roman"/>
        </w:rPr>
        <w:t xml:space="preserve"> que posteriormente se moderó en mayo y junio</w:t>
      </w:r>
      <w:r w:rsidR="00BC2C50">
        <w:rPr>
          <w:rFonts w:ascii="Times New Roman" w:hAnsi="Times New Roman" w:cs="Times New Roman"/>
        </w:rPr>
        <w:t xml:space="preserve">. </w:t>
      </w:r>
    </w:p>
    <w:p w14:paraId="4EE77061" w14:textId="77777777" w:rsidR="00BC2C50" w:rsidRDefault="00BC2C50" w:rsidP="00CA7D0D">
      <w:pPr>
        <w:spacing w:after="0" w:line="240" w:lineRule="auto"/>
        <w:jc w:val="both"/>
        <w:rPr>
          <w:rFonts w:ascii="Times New Roman" w:hAnsi="Times New Roman" w:cs="Times New Roman"/>
        </w:rPr>
      </w:pPr>
    </w:p>
    <w:p w14:paraId="33256C0E" w14:textId="02EEBD1E" w:rsidR="00BC2C50" w:rsidRDefault="00BC2C50" w:rsidP="00CA7D0D">
      <w:pPr>
        <w:spacing w:after="0" w:line="240" w:lineRule="auto"/>
        <w:jc w:val="both"/>
        <w:rPr>
          <w:rFonts w:ascii="Times New Roman" w:hAnsi="Times New Roman" w:cs="Times New Roman"/>
        </w:rPr>
      </w:pPr>
      <w:r>
        <w:rPr>
          <w:rFonts w:ascii="Times New Roman" w:hAnsi="Times New Roman" w:cs="Times New Roman"/>
        </w:rPr>
        <w:t>E</w:t>
      </w:r>
      <w:r w:rsidR="004F6248">
        <w:rPr>
          <w:rFonts w:ascii="Times New Roman" w:hAnsi="Times New Roman" w:cs="Times New Roman"/>
        </w:rPr>
        <w:t xml:space="preserve">s importante considerar que para </w:t>
      </w:r>
      <w:r w:rsidR="00B227B4" w:rsidRPr="004F6248">
        <w:rPr>
          <w:rFonts w:ascii="Times New Roman" w:hAnsi="Times New Roman" w:cs="Times New Roman"/>
        </w:rPr>
        <w:t>finales de año se tendría una contracción del gasto público cercana al 4.</w:t>
      </w:r>
      <w:r>
        <w:rPr>
          <w:rFonts w:ascii="Times New Roman" w:hAnsi="Times New Roman" w:cs="Times New Roman"/>
        </w:rPr>
        <w:t>3</w:t>
      </w:r>
      <w:r w:rsidR="00B227B4" w:rsidRPr="004F6248">
        <w:rPr>
          <w:rFonts w:ascii="Times New Roman" w:hAnsi="Times New Roman" w:cs="Times New Roman"/>
        </w:rPr>
        <w:t xml:space="preserve">%, </w:t>
      </w:r>
      <w:r w:rsidR="00825277" w:rsidRPr="004F6248">
        <w:rPr>
          <w:rFonts w:ascii="Times New Roman" w:hAnsi="Times New Roman" w:cs="Times New Roman"/>
        </w:rPr>
        <w:t>pasa</w:t>
      </w:r>
      <w:r w:rsidR="00B227B4" w:rsidRPr="004F6248">
        <w:rPr>
          <w:rFonts w:ascii="Times New Roman" w:hAnsi="Times New Roman" w:cs="Times New Roman"/>
        </w:rPr>
        <w:t>ndo</w:t>
      </w:r>
      <w:r w:rsidR="00825277" w:rsidRPr="004F6248">
        <w:rPr>
          <w:rFonts w:ascii="Times New Roman" w:hAnsi="Times New Roman" w:cs="Times New Roman"/>
        </w:rPr>
        <w:t xml:space="preserve"> de</w:t>
      </w:r>
      <w:r w:rsidR="00DF792F" w:rsidRPr="004F6248">
        <w:rPr>
          <w:rFonts w:ascii="Times New Roman" w:hAnsi="Times New Roman" w:cs="Times New Roman"/>
        </w:rPr>
        <w:t>l cierre observado de</w:t>
      </w:r>
      <w:r w:rsidR="00825277" w:rsidRPr="004F6248">
        <w:rPr>
          <w:rFonts w:ascii="Times New Roman" w:hAnsi="Times New Roman" w:cs="Times New Roman"/>
        </w:rPr>
        <w:t xml:space="preserve"> Q</w:t>
      </w:r>
      <w:r w:rsidR="002255BD" w:rsidRPr="004F6248">
        <w:rPr>
          <w:rFonts w:ascii="Times New Roman" w:hAnsi="Times New Roman" w:cs="Times New Roman"/>
        </w:rPr>
        <w:t>9</w:t>
      </w:r>
      <w:r w:rsidR="00B227B4" w:rsidRPr="004F6248">
        <w:rPr>
          <w:rFonts w:ascii="Times New Roman" w:hAnsi="Times New Roman" w:cs="Times New Roman"/>
        </w:rPr>
        <w:t>3,529</w:t>
      </w:r>
      <w:r w:rsidR="00825277" w:rsidRPr="004F6248">
        <w:rPr>
          <w:rFonts w:ascii="Times New Roman" w:hAnsi="Times New Roman" w:cs="Times New Roman"/>
        </w:rPr>
        <w:t>.</w:t>
      </w:r>
      <w:r w:rsidR="00B227B4" w:rsidRPr="004F6248">
        <w:rPr>
          <w:rFonts w:ascii="Times New Roman" w:hAnsi="Times New Roman" w:cs="Times New Roman"/>
        </w:rPr>
        <w:t>0</w:t>
      </w:r>
      <w:r w:rsidR="00825277" w:rsidRPr="004F6248">
        <w:rPr>
          <w:rFonts w:ascii="Times New Roman" w:hAnsi="Times New Roman" w:cs="Times New Roman"/>
        </w:rPr>
        <w:t xml:space="preserve"> millones en 20</w:t>
      </w:r>
      <w:r w:rsidR="00B227B4" w:rsidRPr="004F6248">
        <w:rPr>
          <w:rFonts w:ascii="Times New Roman" w:hAnsi="Times New Roman" w:cs="Times New Roman"/>
        </w:rPr>
        <w:t>20</w:t>
      </w:r>
      <w:r w:rsidR="00825277" w:rsidRPr="004F6248">
        <w:rPr>
          <w:rFonts w:ascii="Times New Roman" w:hAnsi="Times New Roman" w:cs="Times New Roman"/>
        </w:rPr>
        <w:t xml:space="preserve"> a</w:t>
      </w:r>
      <w:r w:rsidR="00DF792F" w:rsidRPr="004F6248">
        <w:rPr>
          <w:rFonts w:ascii="Times New Roman" w:hAnsi="Times New Roman" w:cs="Times New Roman"/>
        </w:rPr>
        <w:t>l estimado de</w:t>
      </w:r>
      <w:r w:rsidR="00B227B4" w:rsidRPr="004F6248">
        <w:rPr>
          <w:rFonts w:ascii="Times New Roman" w:hAnsi="Times New Roman" w:cs="Times New Roman"/>
        </w:rPr>
        <w:t xml:space="preserve"> Q89</w:t>
      </w:r>
      <w:r w:rsidR="00825277" w:rsidRPr="004F6248">
        <w:rPr>
          <w:rFonts w:ascii="Times New Roman" w:hAnsi="Times New Roman" w:cs="Times New Roman"/>
        </w:rPr>
        <w:t>,</w:t>
      </w:r>
      <w:r>
        <w:rPr>
          <w:rFonts w:ascii="Times New Roman" w:hAnsi="Times New Roman" w:cs="Times New Roman"/>
        </w:rPr>
        <w:t>476</w:t>
      </w:r>
      <w:r w:rsidR="00B227B4" w:rsidRPr="004F6248">
        <w:rPr>
          <w:rFonts w:ascii="Times New Roman" w:hAnsi="Times New Roman" w:cs="Times New Roman"/>
        </w:rPr>
        <w:t>.</w:t>
      </w:r>
      <w:r>
        <w:rPr>
          <w:rFonts w:ascii="Times New Roman" w:hAnsi="Times New Roman" w:cs="Times New Roman"/>
        </w:rPr>
        <w:t>9</w:t>
      </w:r>
      <w:r w:rsidR="00825277" w:rsidRPr="004F6248">
        <w:rPr>
          <w:rFonts w:ascii="Times New Roman" w:hAnsi="Times New Roman" w:cs="Times New Roman"/>
        </w:rPr>
        <w:t xml:space="preserve"> millones para 202</w:t>
      </w:r>
      <w:r w:rsidR="00B227B4" w:rsidRPr="004F6248">
        <w:rPr>
          <w:rFonts w:ascii="Times New Roman" w:hAnsi="Times New Roman" w:cs="Times New Roman"/>
        </w:rPr>
        <w:t>1</w:t>
      </w:r>
      <w:r w:rsidR="00825277" w:rsidRPr="004F6248">
        <w:rPr>
          <w:rFonts w:ascii="Times New Roman" w:hAnsi="Times New Roman" w:cs="Times New Roman"/>
        </w:rPr>
        <w:t xml:space="preserve">, </w:t>
      </w:r>
      <w:r w:rsidR="002255BD" w:rsidRPr="004F6248">
        <w:rPr>
          <w:rFonts w:ascii="Times New Roman" w:hAnsi="Times New Roman" w:cs="Times New Roman"/>
        </w:rPr>
        <w:t xml:space="preserve">sin </w:t>
      </w:r>
      <w:r w:rsidR="00825277" w:rsidRPr="004F6248">
        <w:rPr>
          <w:rFonts w:ascii="Times New Roman" w:hAnsi="Times New Roman" w:cs="Times New Roman"/>
        </w:rPr>
        <w:t>inclu</w:t>
      </w:r>
      <w:r w:rsidR="002255BD" w:rsidRPr="004F6248">
        <w:rPr>
          <w:rFonts w:ascii="Times New Roman" w:hAnsi="Times New Roman" w:cs="Times New Roman"/>
        </w:rPr>
        <w:t>ir</w:t>
      </w:r>
      <w:r w:rsidR="00825277" w:rsidRPr="004F6248">
        <w:rPr>
          <w:rFonts w:ascii="Times New Roman" w:hAnsi="Times New Roman" w:cs="Times New Roman"/>
        </w:rPr>
        <w:t xml:space="preserve"> las amortizaciones de la deuda pública</w:t>
      </w:r>
      <w:r>
        <w:rPr>
          <w:rFonts w:ascii="Times New Roman" w:hAnsi="Times New Roman" w:cs="Times New Roman"/>
        </w:rPr>
        <w:t>, explicado principalmente por el gasto relacionado</w:t>
      </w:r>
      <w:r w:rsidRPr="00BC2C50">
        <w:rPr>
          <w:rFonts w:ascii="Times New Roman" w:hAnsi="Times New Roman" w:cs="Times New Roman"/>
        </w:rPr>
        <w:t xml:space="preserve"> al COVID-19 que se dio durante el 2020 y que impulsó significativamente el gasto público</w:t>
      </w:r>
      <w:r>
        <w:rPr>
          <w:rFonts w:ascii="Times New Roman" w:hAnsi="Times New Roman" w:cs="Times New Roman"/>
        </w:rPr>
        <w:t xml:space="preserve"> en ese año</w:t>
      </w:r>
      <w:r w:rsidRPr="00BC2C50">
        <w:rPr>
          <w:rFonts w:ascii="Times New Roman" w:hAnsi="Times New Roman" w:cs="Times New Roman"/>
        </w:rPr>
        <w:t>,</w:t>
      </w:r>
      <w:r>
        <w:rPr>
          <w:rFonts w:ascii="Times New Roman" w:hAnsi="Times New Roman" w:cs="Times New Roman"/>
        </w:rPr>
        <w:t xml:space="preserve"> el cual no es equiparable a lo que se estima ejecutar por este concepto </w:t>
      </w:r>
      <w:r w:rsidRPr="00BC2C50">
        <w:rPr>
          <w:rFonts w:ascii="Times New Roman" w:hAnsi="Times New Roman" w:cs="Times New Roman"/>
        </w:rPr>
        <w:t>durante 2021, además en el primer trimestre del año el Ejecutivo anunció un presupuesto operativo de Q94,354.0 millones, es decir, las entidades tendrán que sujetarse a este techo presupuestario, siendo menor a la ejecución observada en 2020, por lo tanto la ejecución quedaría por debajo de lo observado en el año previo.</w:t>
      </w:r>
    </w:p>
    <w:p w14:paraId="3F789279" w14:textId="77777777" w:rsidR="00281012" w:rsidRPr="004133EB" w:rsidRDefault="00281012" w:rsidP="00CA7D0D">
      <w:pPr>
        <w:spacing w:after="0" w:line="240" w:lineRule="auto"/>
        <w:jc w:val="both"/>
        <w:rPr>
          <w:rFonts w:ascii="Times New Roman" w:hAnsi="Times New Roman" w:cs="Times New Roman"/>
        </w:rPr>
      </w:pPr>
    </w:p>
    <w:p w14:paraId="0F9812C3" w14:textId="77777777" w:rsidR="00C456C1" w:rsidRPr="00C03836" w:rsidRDefault="005E62F0" w:rsidP="00C456C1">
      <w:pPr>
        <w:spacing w:after="0" w:line="240" w:lineRule="auto"/>
        <w:jc w:val="both"/>
        <w:rPr>
          <w:rFonts w:ascii="Times New Roman" w:hAnsi="Times New Roman" w:cs="Times New Roman"/>
          <w:lang w:val="af-ZA"/>
        </w:rPr>
      </w:pPr>
      <w:r w:rsidRPr="00C03836">
        <w:rPr>
          <w:rFonts w:ascii="Times New Roman" w:hAnsi="Times New Roman" w:cs="Times New Roman"/>
        </w:rPr>
        <w:t>En línea con lo que fue anunciado por el Ejecutivo a principio de año, l</w:t>
      </w:r>
      <w:r w:rsidR="00E51709" w:rsidRPr="00C03836">
        <w:rPr>
          <w:rFonts w:ascii="Times New Roman" w:hAnsi="Times New Roman" w:cs="Times New Roman"/>
        </w:rPr>
        <w:t xml:space="preserve">os gastos que estarían creciendo de forma importante en 2021 serían la </w:t>
      </w:r>
      <w:r w:rsidRPr="00C03836">
        <w:rPr>
          <w:rFonts w:ascii="Times New Roman" w:hAnsi="Times New Roman" w:cs="Times New Roman"/>
        </w:rPr>
        <w:t>inversión real directa (5</w:t>
      </w:r>
      <w:r w:rsidR="004B58D3" w:rsidRPr="00C03836">
        <w:rPr>
          <w:rFonts w:ascii="Times New Roman" w:hAnsi="Times New Roman" w:cs="Times New Roman"/>
        </w:rPr>
        <w:t>1</w:t>
      </w:r>
      <w:r w:rsidRPr="00C03836">
        <w:rPr>
          <w:rFonts w:ascii="Times New Roman" w:hAnsi="Times New Roman" w:cs="Times New Roman"/>
        </w:rPr>
        <w:t>.</w:t>
      </w:r>
      <w:r w:rsidR="004B58D3" w:rsidRPr="00C03836">
        <w:rPr>
          <w:rFonts w:ascii="Times New Roman" w:hAnsi="Times New Roman" w:cs="Times New Roman"/>
        </w:rPr>
        <w:t>8</w:t>
      </w:r>
      <w:r w:rsidRPr="00C03836">
        <w:rPr>
          <w:rFonts w:ascii="Times New Roman" w:hAnsi="Times New Roman" w:cs="Times New Roman"/>
        </w:rPr>
        <w:t xml:space="preserve">%) </w:t>
      </w:r>
      <w:r w:rsidR="00E51709" w:rsidRPr="00C03836">
        <w:rPr>
          <w:rFonts w:ascii="Times New Roman" w:hAnsi="Times New Roman" w:cs="Times New Roman"/>
          <w:lang w:val="af-ZA"/>
        </w:rPr>
        <w:t xml:space="preserve">y los bienes y servicios (12.7%). </w:t>
      </w:r>
    </w:p>
    <w:p w14:paraId="25424522" w14:textId="233DB3FE" w:rsidR="00C456C1" w:rsidRPr="00596AD4" w:rsidRDefault="005E62F0" w:rsidP="00596AD4">
      <w:pPr>
        <w:spacing w:after="0" w:line="240" w:lineRule="auto"/>
        <w:jc w:val="both"/>
        <w:rPr>
          <w:rFonts w:ascii="Times New Roman" w:hAnsi="Times New Roman" w:cs="Times New Roman"/>
          <w:lang w:val="af-ZA"/>
        </w:rPr>
      </w:pPr>
      <w:r w:rsidRPr="00C03836">
        <w:rPr>
          <w:rFonts w:ascii="Times New Roman" w:hAnsi="Times New Roman" w:cs="Times New Roman"/>
          <w:lang w:val="af-ZA"/>
        </w:rPr>
        <w:t>Otro rubro de gasto con un aumento importante serían los int</w:t>
      </w:r>
      <w:r w:rsidR="004B58D3" w:rsidRPr="00C03836">
        <w:rPr>
          <w:rFonts w:ascii="Times New Roman" w:hAnsi="Times New Roman" w:cs="Times New Roman"/>
          <w:lang w:val="af-ZA"/>
        </w:rPr>
        <w:t>ereses de la deuda pública (1</w:t>
      </w:r>
      <w:r w:rsidR="00C03836" w:rsidRPr="00C03836">
        <w:rPr>
          <w:rFonts w:ascii="Times New Roman" w:hAnsi="Times New Roman" w:cs="Times New Roman"/>
          <w:lang w:val="af-ZA"/>
        </w:rPr>
        <w:t>5</w:t>
      </w:r>
      <w:r w:rsidR="004B58D3" w:rsidRPr="00C03836">
        <w:rPr>
          <w:rFonts w:ascii="Times New Roman" w:hAnsi="Times New Roman" w:cs="Times New Roman"/>
          <w:lang w:val="af-ZA"/>
        </w:rPr>
        <w:t>.</w:t>
      </w:r>
      <w:r w:rsidR="00C03836" w:rsidRPr="00C03836">
        <w:rPr>
          <w:rFonts w:ascii="Times New Roman" w:hAnsi="Times New Roman" w:cs="Times New Roman"/>
          <w:lang w:val="af-ZA"/>
        </w:rPr>
        <w:t>8</w:t>
      </w:r>
      <w:r w:rsidRPr="00C03836">
        <w:rPr>
          <w:rFonts w:ascii="Times New Roman" w:hAnsi="Times New Roman" w:cs="Times New Roman"/>
          <w:lang w:val="af-ZA"/>
        </w:rPr>
        <w:t>%)</w:t>
      </w:r>
      <w:r w:rsidR="00C456C1" w:rsidRPr="00C03836">
        <w:rPr>
          <w:rFonts w:ascii="Times New Roman" w:hAnsi="Times New Roman" w:cs="Times New Roman"/>
          <w:lang w:val="af-ZA"/>
        </w:rPr>
        <w:t xml:space="preserve">, explicado en una buena medida por </w:t>
      </w:r>
      <w:r w:rsidR="00C70CA7">
        <w:rPr>
          <w:rFonts w:ascii="Times New Roman" w:hAnsi="Times New Roman" w:cs="Times New Roman"/>
          <w:lang w:val="af-ZA"/>
        </w:rPr>
        <w:t>el aumento en la</w:t>
      </w:r>
      <w:r w:rsidR="00C456C1" w:rsidRPr="00C03836">
        <w:rPr>
          <w:rFonts w:ascii="Times New Roman" w:hAnsi="Times New Roman" w:cs="Times New Roman"/>
          <w:lang w:val="af-ZA"/>
        </w:rPr>
        <w:t xml:space="preserve"> deuda interna. Hay que considerar que en 2020 se incurrió en un alto nivel de endeudamiento para hacer frente a las necesidades de gasto por la coyuntura de dicho</w:t>
      </w:r>
      <w:r w:rsidR="00BC4BCA">
        <w:rPr>
          <w:rFonts w:ascii="Times New Roman" w:hAnsi="Times New Roman" w:cs="Times New Roman"/>
          <w:lang w:val="af-ZA"/>
        </w:rPr>
        <w:t xml:space="preserve"> </w:t>
      </w:r>
      <w:r w:rsidR="00C456C1" w:rsidRPr="00C03836">
        <w:rPr>
          <w:rFonts w:ascii="Times New Roman" w:hAnsi="Times New Roman" w:cs="Times New Roman"/>
          <w:lang w:val="af-ZA"/>
        </w:rPr>
        <w:t>año y por ende el saldo de la deuda pública creció, de esa cuenta el pago de los intereses aumenta a pesar de las condiciones favorables de colocación y la reducción de la tasa de interés promedio de la deuda bonificada.</w:t>
      </w:r>
      <w:r w:rsidR="00596AD4" w:rsidRPr="00C03836">
        <w:t xml:space="preserve"> </w:t>
      </w:r>
      <w:r w:rsidR="00596AD4" w:rsidRPr="00C03836">
        <w:rPr>
          <w:rFonts w:ascii="Times New Roman" w:hAnsi="Times New Roman" w:cs="Times New Roman"/>
          <w:lang w:val="af-ZA"/>
        </w:rPr>
        <w:t>Adicionalmente, las transferencias de capital estarían creciendo en 6.6%, las remuneraciones en 5.7% y las prestaciones a la seguridad social en 4.3%.</w:t>
      </w:r>
      <w:r w:rsidR="00596AD4">
        <w:rPr>
          <w:rFonts w:ascii="Times New Roman" w:hAnsi="Times New Roman" w:cs="Times New Roman"/>
          <w:lang w:val="af-ZA"/>
        </w:rPr>
        <w:t xml:space="preserve"> </w:t>
      </w:r>
    </w:p>
    <w:p w14:paraId="7A62EBA9" w14:textId="77777777" w:rsidR="00C456C1" w:rsidRPr="00C456C1" w:rsidRDefault="00C456C1" w:rsidP="00784ADE">
      <w:pPr>
        <w:spacing w:after="0" w:line="240" w:lineRule="auto"/>
        <w:jc w:val="both"/>
        <w:rPr>
          <w:rFonts w:ascii="Times New Roman" w:hAnsi="Times New Roman" w:cs="Times New Roman"/>
          <w:lang w:val="af-ZA"/>
        </w:rPr>
      </w:pPr>
    </w:p>
    <w:p w14:paraId="3FF7A915" w14:textId="278DEC61" w:rsidR="004764AC" w:rsidRDefault="00781124" w:rsidP="00784ADE">
      <w:pPr>
        <w:spacing w:after="0" w:line="240" w:lineRule="auto"/>
        <w:jc w:val="both"/>
        <w:rPr>
          <w:rFonts w:ascii="Times New Roman" w:hAnsi="Times New Roman" w:cs="Times New Roman"/>
        </w:rPr>
      </w:pPr>
      <w:r>
        <w:rPr>
          <w:rFonts w:ascii="Times New Roman" w:hAnsi="Times New Roman" w:cs="Times New Roman"/>
        </w:rPr>
        <w:t>Por su parte, los rubros de gasto que estarían reportando una contracción importante son la inversión financiera (-99.5%) y las transferencias corrientes (-34.</w:t>
      </w:r>
      <w:r w:rsidR="004B58D3">
        <w:rPr>
          <w:rFonts w:ascii="Times New Roman" w:hAnsi="Times New Roman" w:cs="Times New Roman"/>
        </w:rPr>
        <w:t>8</w:t>
      </w:r>
      <w:r>
        <w:rPr>
          <w:rFonts w:ascii="Times New Roman" w:hAnsi="Times New Roman" w:cs="Times New Roman"/>
        </w:rPr>
        <w:t xml:space="preserve">%). En el caso de la inversión financiera, </w:t>
      </w:r>
      <w:r w:rsidR="004764AC">
        <w:rPr>
          <w:rFonts w:ascii="Times New Roman" w:hAnsi="Times New Roman" w:cs="Times New Roman"/>
        </w:rPr>
        <w:t>la contracción es significativa debido a que el Fondo de Crédito de Capital de Trabajo, Fondo de Protección de Capitales y el Fondo para la Micro, pequeñas y medianas Empresas ya no se encuentra</w:t>
      </w:r>
      <w:r w:rsidR="00C03836">
        <w:rPr>
          <w:rFonts w:ascii="Times New Roman" w:hAnsi="Times New Roman" w:cs="Times New Roman"/>
        </w:rPr>
        <w:t>n</w:t>
      </w:r>
      <w:r w:rsidR="004764AC">
        <w:rPr>
          <w:rFonts w:ascii="Times New Roman" w:hAnsi="Times New Roman" w:cs="Times New Roman"/>
        </w:rPr>
        <w:t xml:space="preserve"> vigentes en 2021, esto correspondió a la concesión de préstamos para coadyuvar al acceso de recursos en</w:t>
      </w:r>
      <w:r w:rsidR="00FD04BB">
        <w:rPr>
          <w:rFonts w:ascii="Times New Roman" w:hAnsi="Times New Roman" w:cs="Times New Roman"/>
        </w:rPr>
        <w:t xml:space="preserve"> condiciones blandas para la</w:t>
      </w:r>
      <w:r w:rsidR="004764AC">
        <w:rPr>
          <w:rFonts w:ascii="Times New Roman" w:hAnsi="Times New Roman" w:cs="Times New Roman"/>
        </w:rPr>
        <w:t xml:space="preserve"> atención a los efectos del COVID-19</w:t>
      </w:r>
      <w:r w:rsidR="00FD04BB">
        <w:rPr>
          <w:rFonts w:ascii="Times New Roman" w:hAnsi="Times New Roman" w:cs="Times New Roman"/>
        </w:rPr>
        <w:t xml:space="preserve"> en el sector privado</w:t>
      </w:r>
      <w:r w:rsidR="004764AC">
        <w:rPr>
          <w:rFonts w:ascii="Times New Roman" w:hAnsi="Times New Roman" w:cs="Times New Roman"/>
        </w:rPr>
        <w:t>. Por su parte, la reducción de las transferencias corrientes se encuentra focalizadas principalmente</w:t>
      </w:r>
      <w:r w:rsidR="00596AD4">
        <w:rPr>
          <w:rFonts w:ascii="Times New Roman" w:hAnsi="Times New Roman" w:cs="Times New Roman"/>
        </w:rPr>
        <w:t xml:space="preserve"> en las transferencias privadas, dado que el Bono Familia y el Fondo de Protección de Empleo fueron actividades desarrolladas y concluidas en 2020 con una ejecución del 100%.</w:t>
      </w:r>
    </w:p>
    <w:p w14:paraId="1B1E59AE" w14:textId="77777777" w:rsidR="00FD04BB" w:rsidRDefault="00FD04BB" w:rsidP="00471B17">
      <w:pPr>
        <w:spacing w:after="0" w:line="240" w:lineRule="auto"/>
        <w:jc w:val="both"/>
        <w:rPr>
          <w:rFonts w:ascii="Times New Roman" w:hAnsi="Times New Roman" w:cs="Times New Roman"/>
        </w:rPr>
      </w:pPr>
    </w:p>
    <w:p w14:paraId="766333E3" w14:textId="1C197816" w:rsidR="0052275E" w:rsidRDefault="002255BD" w:rsidP="00471B17">
      <w:pPr>
        <w:spacing w:after="0" w:line="240" w:lineRule="auto"/>
        <w:jc w:val="both"/>
        <w:rPr>
          <w:rFonts w:ascii="Times New Roman" w:hAnsi="Times New Roman" w:cs="Times New Roman"/>
        </w:rPr>
      </w:pPr>
      <w:r w:rsidRPr="004133EB">
        <w:rPr>
          <w:rFonts w:ascii="Times New Roman" w:hAnsi="Times New Roman" w:cs="Times New Roman"/>
        </w:rPr>
        <w:t>Estos resultados en términos del PIB muestran un</w:t>
      </w:r>
      <w:r w:rsidR="00FD04BB">
        <w:rPr>
          <w:rFonts w:ascii="Times New Roman" w:hAnsi="Times New Roman" w:cs="Times New Roman"/>
        </w:rPr>
        <w:t>a caída dado</w:t>
      </w:r>
      <w:r w:rsidRPr="004133EB">
        <w:rPr>
          <w:rFonts w:ascii="Times New Roman" w:hAnsi="Times New Roman" w:cs="Times New Roman"/>
        </w:rPr>
        <w:t xml:space="preserve"> que el gasto corriente pasaría de 1</w:t>
      </w:r>
      <w:r w:rsidR="00FD04BB">
        <w:rPr>
          <w:rFonts w:ascii="Times New Roman" w:hAnsi="Times New Roman" w:cs="Times New Roman"/>
        </w:rPr>
        <w:t>2</w:t>
      </w:r>
      <w:r w:rsidRPr="004133EB">
        <w:rPr>
          <w:rFonts w:ascii="Times New Roman" w:hAnsi="Times New Roman" w:cs="Times New Roman"/>
        </w:rPr>
        <w:t>.</w:t>
      </w:r>
      <w:r w:rsidR="00FD04BB">
        <w:rPr>
          <w:rFonts w:ascii="Times New Roman" w:hAnsi="Times New Roman" w:cs="Times New Roman"/>
        </w:rPr>
        <w:t>6% en 2020</w:t>
      </w:r>
      <w:r w:rsidRPr="004133EB">
        <w:rPr>
          <w:rFonts w:ascii="Times New Roman" w:hAnsi="Times New Roman" w:cs="Times New Roman"/>
        </w:rPr>
        <w:t xml:space="preserve"> a 1</w:t>
      </w:r>
      <w:r w:rsidR="00FD04BB">
        <w:rPr>
          <w:rFonts w:ascii="Times New Roman" w:hAnsi="Times New Roman" w:cs="Times New Roman"/>
        </w:rPr>
        <w:t>1</w:t>
      </w:r>
      <w:r w:rsidRPr="004133EB">
        <w:rPr>
          <w:rFonts w:ascii="Times New Roman" w:hAnsi="Times New Roman" w:cs="Times New Roman"/>
        </w:rPr>
        <w:t>.</w:t>
      </w:r>
      <w:r w:rsidR="009D22BF">
        <w:rPr>
          <w:rFonts w:ascii="Times New Roman" w:hAnsi="Times New Roman" w:cs="Times New Roman"/>
        </w:rPr>
        <w:t>2</w:t>
      </w:r>
      <w:r w:rsidRPr="004133EB">
        <w:rPr>
          <w:rFonts w:ascii="Times New Roman" w:hAnsi="Times New Roman" w:cs="Times New Roman"/>
        </w:rPr>
        <w:t>% en 202</w:t>
      </w:r>
      <w:r w:rsidR="00FD04BB">
        <w:rPr>
          <w:rFonts w:ascii="Times New Roman" w:hAnsi="Times New Roman" w:cs="Times New Roman"/>
        </w:rPr>
        <w:t>1</w:t>
      </w:r>
      <w:r w:rsidRPr="004133EB">
        <w:rPr>
          <w:rFonts w:ascii="Times New Roman" w:hAnsi="Times New Roman" w:cs="Times New Roman"/>
        </w:rPr>
        <w:t>.</w:t>
      </w:r>
      <w:r w:rsidR="005C2E9A" w:rsidRPr="004133EB">
        <w:rPr>
          <w:rFonts w:ascii="Times New Roman" w:hAnsi="Times New Roman" w:cs="Times New Roman"/>
        </w:rPr>
        <w:t xml:space="preserve"> En el caso d</w:t>
      </w:r>
      <w:r w:rsidR="005A2863">
        <w:rPr>
          <w:rFonts w:ascii="Times New Roman" w:hAnsi="Times New Roman" w:cs="Times New Roman"/>
        </w:rPr>
        <w:t>el gasto</w:t>
      </w:r>
      <w:r w:rsidR="00FD04BB">
        <w:rPr>
          <w:rFonts w:ascii="Times New Roman" w:hAnsi="Times New Roman" w:cs="Times New Roman"/>
        </w:rPr>
        <w:t xml:space="preserve"> de capital, pasaría de 3</w:t>
      </w:r>
      <w:r w:rsidR="005C2E9A" w:rsidRPr="004133EB">
        <w:rPr>
          <w:rFonts w:ascii="Times New Roman" w:hAnsi="Times New Roman" w:cs="Times New Roman"/>
        </w:rPr>
        <w:t>.</w:t>
      </w:r>
      <w:r w:rsidR="00FD04BB">
        <w:rPr>
          <w:rFonts w:ascii="Times New Roman" w:hAnsi="Times New Roman" w:cs="Times New Roman"/>
        </w:rPr>
        <w:t>0</w:t>
      </w:r>
      <w:r w:rsidR="005C2E9A" w:rsidRPr="004133EB">
        <w:rPr>
          <w:rFonts w:ascii="Times New Roman" w:hAnsi="Times New Roman" w:cs="Times New Roman"/>
        </w:rPr>
        <w:t>% en 2</w:t>
      </w:r>
      <w:r w:rsidR="00FD04BB">
        <w:rPr>
          <w:rFonts w:ascii="Times New Roman" w:hAnsi="Times New Roman" w:cs="Times New Roman"/>
        </w:rPr>
        <w:t xml:space="preserve">020 </w:t>
      </w:r>
      <w:r w:rsidR="005C2E9A" w:rsidRPr="004133EB">
        <w:rPr>
          <w:rFonts w:ascii="Times New Roman" w:hAnsi="Times New Roman" w:cs="Times New Roman"/>
        </w:rPr>
        <w:t>a 2</w:t>
      </w:r>
      <w:r w:rsidR="00FD04BB">
        <w:rPr>
          <w:rFonts w:ascii="Times New Roman" w:hAnsi="Times New Roman" w:cs="Times New Roman"/>
        </w:rPr>
        <w:t>.</w:t>
      </w:r>
      <w:r w:rsidR="009D22BF">
        <w:rPr>
          <w:rFonts w:ascii="Times New Roman" w:hAnsi="Times New Roman" w:cs="Times New Roman"/>
        </w:rPr>
        <w:t>6</w:t>
      </w:r>
      <w:r w:rsidR="00FD04BB">
        <w:rPr>
          <w:rFonts w:ascii="Times New Roman" w:hAnsi="Times New Roman" w:cs="Times New Roman"/>
        </w:rPr>
        <w:t>% en 2021</w:t>
      </w:r>
      <w:r w:rsidR="005C2E9A" w:rsidRPr="004133EB">
        <w:rPr>
          <w:rFonts w:ascii="Times New Roman" w:hAnsi="Times New Roman" w:cs="Times New Roman"/>
        </w:rPr>
        <w:t>. Es decir, el</w:t>
      </w:r>
      <w:r w:rsidR="00FD04BB">
        <w:rPr>
          <w:rFonts w:ascii="Times New Roman" w:hAnsi="Times New Roman" w:cs="Times New Roman"/>
        </w:rPr>
        <w:t xml:space="preserve"> gasto público estaría contrayéndose 1</w:t>
      </w:r>
      <w:r w:rsidR="005C2E9A" w:rsidRPr="004133EB">
        <w:rPr>
          <w:rFonts w:ascii="Times New Roman" w:hAnsi="Times New Roman" w:cs="Times New Roman"/>
        </w:rPr>
        <w:t>.</w:t>
      </w:r>
      <w:r w:rsidR="009D22BF">
        <w:rPr>
          <w:rFonts w:ascii="Times New Roman" w:hAnsi="Times New Roman" w:cs="Times New Roman"/>
        </w:rPr>
        <w:t>7</w:t>
      </w:r>
      <w:r w:rsidR="005C2E9A" w:rsidRPr="004133EB">
        <w:rPr>
          <w:rFonts w:ascii="Times New Roman" w:hAnsi="Times New Roman" w:cs="Times New Roman"/>
        </w:rPr>
        <w:t>% en términos del PIB, hasta ubicarse en 1</w:t>
      </w:r>
      <w:r w:rsidR="009D22BF">
        <w:rPr>
          <w:rFonts w:ascii="Times New Roman" w:hAnsi="Times New Roman" w:cs="Times New Roman"/>
        </w:rPr>
        <w:t>3</w:t>
      </w:r>
      <w:r w:rsidR="005C2E9A" w:rsidRPr="004133EB">
        <w:rPr>
          <w:rFonts w:ascii="Times New Roman" w:hAnsi="Times New Roman" w:cs="Times New Roman"/>
        </w:rPr>
        <w:t>.</w:t>
      </w:r>
      <w:r w:rsidR="009D22BF">
        <w:rPr>
          <w:rFonts w:ascii="Times New Roman" w:hAnsi="Times New Roman" w:cs="Times New Roman"/>
        </w:rPr>
        <w:t>9</w:t>
      </w:r>
      <w:r w:rsidR="005C2E9A" w:rsidRPr="004133EB">
        <w:rPr>
          <w:rFonts w:ascii="Times New Roman" w:hAnsi="Times New Roman" w:cs="Times New Roman"/>
        </w:rPr>
        <w:t>%. Es importante considerar que</w:t>
      </w:r>
      <w:r w:rsidR="0052275E">
        <w:rPr>
          <w:rFonts w:ascii="Times New Roman" w:hAnsi="Times New Roman" w:cs="Times New Roman"/>
        </w:rPr>
        <w:t xml:space="preserve"> este nivel de gasto público a pesar de ser menor a los valores reportados en 2020, se ubica por arriba del 2019, y el gasto público se mantendría en niveles que se podrían considerar aun elevados, esto debido a que la </w:t>
      </w:r>
      <w:r w:rsidR="005C2E9A" w:rsidRPr="004133EB">
        <w:rPr>
          <w:rFonts w:ascii="Times New Roman" w:hAnsi="Times New Roman" w:cs="Times New Roman"/>
        </w:rPr>
        <w:t>coyuntura de la pandemia</w:t>
      </w:r>
      <w:r w:rsidR="0052275E">
        <w:rPr>
          <w:rFonts w:ascii="Times New Roman" w:hAnsi="Times New Roman" w:cs="Times New Roman"/>
        </w:rPr>
        <w:t xml:space="preserve"> hace necesario que aún se mantenga </w:t>
      </w:r>
      <w:r w:rsidR="003A2D12">
        <w:rPr>
          <w:rFonts w:ascii="Times New Roman" w:hAnsi="Times New Roman" w:cs="Times New Roman"/>
        </w:rPr>
        <w:t>cierta</w:t>
      </w:r>
      <w:r w:rsidR="0052275E">
        <w:rPr>
          <w:rFonts w:ascii="Times New Roman" w:hAnsi="Times New Roman" w:cs="Times New Roman"/>
        </w:rPr>
        <w:t xml:space="preserve"> intervención por parte de la política fiscal.</w:t>
      </w:r>
    </w:p>
    <w:p w14:paraId="56CA76D6" w14:textId="77777777" w:rsidR="005C2E9A" w:rsidRPr="004133EB" w:rsidRDefault="005C2E9A" w:rsidP="00471B17">
      <w:pPr>
        <w:spacing w:after="0" w:line="240" w:lineRule="auto"/>
        <w:jc w:val="both"/>
        <w:rPr>
          <w:rFonts w:ascii="Times New Roman" w:hAnsi="Times New Roman" w:cs="Times New Roman"/>
        </w:rPr>
      </w:pPr>
    </w:p>
    <w:p w14:paraId="303DD4D2" w14:textId="2E33634A" w:rsidR="003813CB" w:rsidRPr="004133EB" w:rsidRDefault="001E5417" w:rsidP="00471B17">
      <w:pPr>
        <w:spacing w:after="0" w:line="240" w:lineRule="auto"/>
        <w:jc w:val="both"/>
        <w:rPr>
          <w:rFonts w:ascii="Times New Roman" w:hAnsi="Times New Roman" w:cs="Times New Roman"/>
        </w:rPr>
      </w:pPr>
      <w:r w:rsidRPr="004133EB">
        <w:rPr>
          <w:rFonts w:ascii="Times New Roman" w:hAnsi="Times New Roman" w:cs="Times New Roman"/>
        </w:rPr>
        <w:t>Para el presente año, se espera un alto nivel de ejecución institucional, estimado en 9</w:t>
      </w:r>
      <w:r w:rsidR="009D22BF">
        <w:rPr>
          <w:rFonts w:ascii="Times New Roman" w:hAnsi="Times New Roman" w:cs="Times New Roman"/>
        </w:rPr>
        <w:t>8</w:t>
      </w:r>
      <w:r w:rsidR="0052275E">
        <w:rPr>
          <w:rFonts w:ascii="Times New Roman" w:hAnsi="Times New Roman" w:cs="Times New Roman"/>
        </w:rPr>
        <w:t>.</w:t>
      </w:r>
      <w:r w:rsidR="009D22BF">
        <w:rPr>
          <w:rFonts w:ascii="Times New Roman" w:hAnsi="Times New Roman" w:cs="Times New Roman"/>
        </w:rPr>
        <w:t>0</w:t>
      </w:r>
      <w:r w:rsidRPr="004133EB">
        <w:rPr>
          <w:rFonts w:ascii="Times New Roman" w:hAnsi="Times New Roman" w:cs="Times New Roman"/>
        </w:rPr>
        <w:t>% respecto al presupuesto</w:t>
      </w:r>
      <w:r w:rsidR="0052275E">
        <w:rPr>
          <w:rFonts w:ascii="Times New Roman" w:hAnsi="Times New Roman" w:cs="Times New Roman"/>
        </w:rPr>
        <w:t xml:space="preserve"> ajustado anunciado por el Ejecutivo (Q94,354.0 millones), con lo cual ascendería a Q92,</w:t>
      </w:r>
      <w:r w:rsidR="009D22BF">
        <w:rPr>
          <w:rFonts w:ascii="Times New Roman" w:hAnsi="Times New Roman" w:cs="Times New Roman"/>
        </w:rPr>
        <w:t>433.5</w:t>
      </w:r>
      <w:r w:rsidR="0052275E">
        <w:rPr>
          <w:rFonts w:ascii="Times New Roman" w:hAnsi="Times New Roman" w:cs="Times New Roman"/>
        </w:rPr>
        <w:t xml:space="preserve"> millones (</w:t>
      </w:r>
      <w:r w:rsidR="00FD1E9C" w:rsidRPr="004133EB">
        <w:rPr>
          <w:rFonts w:ascii="Times New Roman" w:hAnsi="Times New Roman" w:cs="Times New Roman"/>
        </w:rPr>
        <w:t>incluyendo las amortizaciones de la deuda pública)</w:t>
      </w:r>
      <w:r w:rsidR="003813CB" w:rsidRPr="004133EB">
        <w:rPr>
          <w:rFonts w:ascii="Times New Roman" w:hAnsi="Times New Roman" w:cs="Times New Roman"/>
        </w:rPr>
        <w:t>, esto representaría un</w:t>
      </w:r>
      <w:r w:rsidR="0052275E">
        <w:rPr>
          <w:rFonts w:ascii="Times New Roman" w:hAnsi="Times New Roman" w:cs="Times New Roman"/>
        </w:rPr>
        <w:t>a</w:t>
      </w:r>
      <w:r w:rsidR="003813CB" w:rsidRPr="004133EB">
        <w:rPr>
          <w:rFonts w:ascii="Times New Roman" w:hAnsi="Times New Roman" w:cs="Times New Roman"/>
        </w:rPr>
        <w:t xml:space="preserve"> </w:t>
      </w:r>
      <w:r w:rsidR="0052275E">
        <w:rPr>
          <w:rFonts w:ascii="Times New Roman" w:hAnsi="Times New Roman" w:cs="Times New Roman"/>
        </w:rPr>
        <w:t>ejecución menor en Q</w:t>
      </w:r>
      <w:r w:rsidR="009D22BF">
        <w:rPr>
          <w:rFonts w:ascii="Times New Roman" w:hAnsi="Times New Roman" w:cs="Times New Roman"/>
        </w:rPr>
        <w:t>4</w:t>
      </w:r>
      <w:r w:rsidR="0052275E">
        <w:rPr>
          <w:rFonts w:ascii="Times New Roman" w:hAnsi="Times New Roman" w:cs="Times New Roman"/>
        </w:rPr>
        <w:t>,</w:t>
      </w:r>
      <w:r w:rsidR="009D22BF">
        <w:rPr>
          <w:rFonts w:ascii="Times New Roman" w:hAnsi="Times New Roman" w:cs="Times New Roman"/>
        </w:rPr>
        <w:t>191</w:t>
      </w:r>
      <w:r w:rsidR="005A2863">
        <w:rPr>
          <w:rFonts w:ascii="Times New Roman" w:hAnsi="Times New Roman" w:cs="Times New Roman"/>
        </w:rPr>
        <w:t>.</w:t>
      </w:r>
      <w:r w:rsidR="009D22BF">
        <w:rPr>
          <w:rFonts w:ascii="Times New Roman" w:hAnsi="Times New Roman" w:cs="Times New Roman"/>
        </w:rPr>
        <w:t>9</w:t>
      </w:r>
      <w:r w:rsidR="003813CB" w:rsidRPr="004133EB">
        <w:rPr>
          <w:rFonts w:ascii="Times New Roman" w:hAnsi="Times New Roman" w:cs="Times New Roman"/>
        </w:rPr>
        <w:t xml:space="preserve"> millones</w:t>
      </w:r>
      <w:r w:rsidR="0052275E">
        <w:rPr>
          <w:rFonts w:ascii="Times New Roman" w:hAnsi="Times New Roman" w:cs="Times New Roman"/>
        </w:rPr>
        <w:t xml:space="preserve"> a la reportada en 2020</w:t>
      </w:r>
      <w:r w:rsidRPr="004133EB">
        <w:rPr>
          <w:rFonts w:ascii="Times New Roman" w:hAnsi="Times New Roman" w:cs="Times New Roman"/>
        </w:rPr>
        <w:t xml:space="preserve">. </w:t>
      </w:r>
      <w:r w:rsidR="0034672B">
        <w:rPr>
          <w:rFonts w:ascii="Times New Roman" w:hAnsi="Times New Roman" w:cs="Times New Roman"/>
        </w:rPr>
        <w:t>De tomar en consideración el presupuesto vigente</w:t>
      </w:r>
      <w:r w:rsidR="009D22BF">
        <w:rPr>
          <w:rFonts w:ascii="Times New Roman" w:hAnsi="Times New Roman" w:cs="Times New Roman"/>
        </w:rPr>
        <w:t xml:space="preserve"> (Q107</w:t>
      </w:r>
      <w:r w:rsidR="0034672B">
        <w:rPr>
          <w:rFonts w:ascii="Times New Roman" w:hAnsi="Times New Roman" w:cs="Times New Roman"/>
        </w:rPr>
        <w:t>,</w:t>
      </w:r>
      <w:r w:rsidR="009D22BF">
        <w:rPr>
          <w:rFonts w:ascii="Times New Roman" w:hAnsi="Times New Roman" w:cs="Times New Roman"/>
        </w:rPr>
        <w:t>521.5 millones),</w:t>
      </w:r>
      <w:r w:rsidR="0034672B">
        <w:rPr>
          <w:rFonts w:ascii="Times New Roman" w:hAnsi="Times New Roman" w:cs="Times New Roman"/>
        </w:rPr>
        <w:t xml:space="preserve"> el nivel de ejecución de</w:t>
      </w:r>
      <w:r w:rsidR="005A2863">
        <w:rPr>
          <w:rFonts w:ascii="Times New Roman" w:hAnsi="Times New Roman" w:cs="Times New Roman"/>
        </w:rPr>
        <w:t>scendería hasta ubicarse en 86.</w:t>
      </w:r>
      <w:r w:rsidR="009D22BF">
        <w:rPr>
          <w:rFonts w:ascii="Times New Roman" w:hAnsi="Times New Roman" w:cs="Times New Roman"/>
        </w:rPr>
        <w:t>0</w:t>
      </w:r>
      <w:r w:rsidR="0034672B">
        <w:rPr>
          <w:rFonts w:ascii="Times New Roman" w:hAnsi="Times New Roman" w:cs="Times New Roman"/>
        </w:rPr>
        <w:t xml:space="preserve">%. </w:t>
      </w:r>
    </w:p>
    <w:p w14:paraId="4F1A5767" w14:textId="77777777" w:rsidR="003813CB" w:rsidRPr="004133EB" w:rsidRDefault="003813CB" w:rsidP="00471B17">
      <w:pPr>
        <w:spacing w:after="0" w:line="240" w:lineRule="auto"/>
        <w:jc w:val="both"/>
        <w:rPr>
          <w:rFonts w:ascii="Times New Roman" w:hAnsi="Times New Roman" w:cs="Times New Roman"/>
        </w:rPr>
      </w:pPr>
    </w:p>
    <w:p w14:paraId="4097DF76" w14:textId="60739554" w:rsidR="001E5417" w:rsidRPr="004133EB" w:rsidRDefault="001E5417" w:rsidP="00471B17">
      <w:pPr>
        <w:spacing w:after="0" w:line="240" w:lineRule="auto"/>
        <w:jc w:val="both"/>
        <w:rPr>
          <w:rFonts w:ascii="Times New Roman" w:hAnsi="Times New Roman" w:cs="Times New Roman"/>
        </w:rPr>
      </w:pPr>
      <w:r w:rsidRPr="004133EB">
        <w:rPr>
          <w:rFonts w:ascii="Times New Roman" w:hAnsi="Times New Roman" w:cs="Times New Roman"/>
        </w:rPr>
        <w:t xml:space="preserve">Se espera que </w:t>
      </w:r>
      <w:r w:rsidR="0034672B">
        <w:rPr>
          <w:rFonts w:ascii="Times New Roman" w:hAnsi="Times New Roman" w:cs="Times New Roman"/>
        </w:rPr>
        <w:t xml:space="preserve">la mayoría de entidades </w:t>
      </w:r>
      <w:r w:rsidRPr="004133EB">
        <w:rPr>
          <w:rFonts w:ascii="Times New Roman" w:hAnsi="Times New Roman" w:cs="Times New Roman"/>
        </w:rPr>
        <w:t xml:space="preserve">reporten niveles de ejecución superiores al 90%, </w:t>
      </w:r>
      <w:r w:rsidR="0034672B">
        <w:rPr>
          <w:rFonts w:ascii="Times New Roman" w:hAnsi="Times New Roman" w:cs="Times New Roman"/>
        </w:rPr>
        <w:t>siendo</w:t>
      </w:r>
      <w:r w:rsidRPr="004133EB">
        <w:rPr>
          <w:rFonts w:ascii="Times New Roman" w:hAnsi="Times New Roman" w:cs="Times New Roman"/>
        </w:rPr>
        <w:t xml:space="preserve"> lideradas por las </w:t>
      </w:r>
      <w:r w:rsidR="0034672B">
        <w:rPr>
          <w:rFonts w:ascii="Times New Roman" w:hAnsi="Times New Roman" w:cs="Times New Roman"/>
        </w:rPr>
        <w:t xml:space="preserve">entidades </w:t>
      </w:r>
      <w:r w:rsidRPr="004133EB">
        <w:rPr>
          <w:rFonts w:ascii="Times New Roman" w:hAnsi="Times New Roman" w:cs="Times New Roman"/>
        </w:rPr>
        <w:t>que históricamente reportan altos niveles de ejecución, como lo es el caso de</w:t>
      </w:r>
      <w:r w:rsidR="00FD1E9C" w:rsidRPr="004133EB">
        <w:rPr>
          <w:rFonts w:ascii="Times New Roman" w:hAnsi="Times New Roman" w:cs="Times New Roman"/>
        </w:rPr>
        <w:t xml:space="preserve"> </w:t>
      </w:r>
      <w:r w:rsidRPr="004133EB">
        <w:rPr>
          <w:rFonts w:ascii="Times New Roman" w:hAnsi="Times New Roman" w:cs="Times New Roman"/>
        </w:rPr>
        <w:t>l</w:t>
      </w:r>
      <w:r w:rsidR="00FD1E9C" w:rsidRPr="004133EB">
        <w:rPr>
          <w:rFonts w:ascii="Times New Roman" w:hAnsi="Times New Roman" w:cs="Times New Roman"/>
        </w:rPr>
        <w:t xml:space="preserve">as entidades virtuales </w:t>
      </w:r>
      <w:r w:rsidR="00303B6F">
        <w:rPr>
          <w:rFonts w:ascii="Times New Roman" w:hAnsi="Times New Roman" w:cs="Times New Roman"/>
        </w:rPr>
        <w:t>como el</w:t>
      </w:r>
      <w:r w:rsidR="00FD1E9C" w:rsidRPr="004133EB">
        <w:rPr>
          <w:rFonts w:ascii="Times New Roman" w:hAnsi="Times New Roman" w:cs="Times New Roman"/>
        </w:rPr>
        <w:t xml:space="preserve"> </w:t>
      </w:r>
      <w:r w:rsidRPr="004133EB">
        <w:rPr>
          <w:rFonts w:ascii="Times New Roman" w:hAnsi="Times New Roman" w:cs="Times New Roman"/>
        </w:rPr>
        <w:t>Servicio de la Deuda</w:t>
      </w:r>
      <w:r w:rsidR="0034672B">
        <w:rPr>
          <w:rFonts w:ascii="Times New Roman" w:hAnsi="Times New Roman" w:cs="Times New Roman"/>
        </w:rPr>
        <w:t xml:space="preserve"> Pública</w:t>
      </w:r>
      <w:r w:rsidRPr="004133EB">
        <w:rPr>
          <w:rFonts w:ascii="Times New Roman" w:hAnsi="Times New Roman" w:cs="Times New Roman"/>
        </w:rPr>
        <w:t>, las Obligaciones</w:t>
      </w:r>
      <w:r w:rsidR="00484727" w:rsidRPr="004133EB">
        <w:rPr>
          <w:rFonts w:ascii="Times New Roman" w:hAnsi="Times New Roman" w:cs="Times New Roman"/>
        </w:rPr>
        <w:t xml:space="preserve"> del Estado a Cargo del </w:t>
      </w:r>
      <w:r w:rsidR="00FD1E9C" w:rsidRPr="004133EB">
        <w:rPr>
          <w:rFonts w:ascii="Times New Roman" w:hAnsi="Times New Roman" w:cs="Times New Roman"/>
        </w:rPr>
        <w:t xml:space="preserve">Tesoro, y entidades como </w:t>
      </w:r>
      <w:r w:rsidR="003136B3">
        <w:rPr>
          <w:rFonts w:ascii="Times New Roman" w:hAnsi="Times New Roman" w:cs="Times New Roman"/>
        </w:rPr>
        <w:t xml:space="preserve">el </w:t>
      </w:r>
      <w:r w:rsidR="0034672B">
        <w:rPr>
          <w:rFonts w:ascii="Times New Roman" w:hAnsi="Times New Roman" w:cs="Times New Roman"/>
        </w:rPr>
        <w:t xml:space="preserve">Ministerio de </w:t>
      </w:r>
      <w:r w:rsidRPr="004133EB">
        <w:rPr>
          <w:rFonts w:ascii="Times New Roman" w:hAnsi="Times New Roman" w:cs="Times New Roman"/>
        </w:rPr>
        <w:t>Educación</w:t>
      </w:r>
      <w:r w:rsidR="0034672B">
        <w:rPr>
          <w:rFonts w:ascii="Times New Roman" w:hAnsi="Times New Roman" w:cs="Times New Roman"/>
        </w:rPr>
        <w:t xml:space="preserve"> y Ministerio de Salud Pública y Asistencia Social</w:t>
      </w:r>
      <w:r w:rsidRPr="004133EB">
        <w:rPr>
          <w:rFonts w:ascii="Times New Roman" w:hAnsi="Times New Roman" w:cs="Times New Roman"/>
        </w:rPr>
        <w:t xml:space="preserve">, los cuales concentran más del </w:t>
      </w:r>
      <w:r w:rsidR="0034672B">
        <w:rPr>
          <w:rFonts w:ascii="Times New Roman" w:hAnsi="Times New Roman" w:cs="Times New Roman"/>
        </w:rPr>
        <w:t>75</w:t>
      </w:r>
      <w:r w:rsidRPr="004133EB">
        <w:rPr>
          <w:rFonts w:ascii="Times New Roman" w:hAnsi="Times New Roman" w:cs="Times New Roman"/>
        </w:rPr>
        <w:t xml:space="preserve">% del presupuesto nacional. </w:t>
      </w:r>
    </w:p>
    <w:p w14:paraId="1D6491ED" w14:textId="77777777" w:rsidR="00471B17" w:rsidRPr="004133EB" w:rsidRDefault="00471B17" w:rsidP="00471B17">
      <w:pPr>
        <w:spacing w:after="0" w:line="240" w:lineRule="auto"/>
        <w:jc w:val="both"/>
        <w:rPr>
          <w:rFonts w:ascii="Times New Roman" w:hAnsi="Times New Roman" w:cs="Times New Roman"/>
          <w:strike/>
        </w:rPr>
      </w:pPr>
    </w:p>
    <w:p w14:paraId="363F05B1" w14:textId="77777777" w:rsidR="0034672B" w:rsidRDefault="00635BD4" w:rsidP="00471B17">
      <w:pPr>
        <w:spacing w:after="0" w:line="240" w:lineRule="auto"/>
        <w:jc w:val="both"/>
        <w:rPr>
          <w:rFonts w:ascii="Times New Roman" w:hAnsi="Times New Roman" w:cs="Times New Roman"/>
        </w:rPr>
      </w:pPr>
      <w:r w:rsidRPr="004133EB">
        <w:rPr>
          <w:rFonts w:ascii="Times New Roman" w:hAnsi="Times New Roman" w:cs="Times New Roman"/>
        </w:rPr>
        <w:t xml:space="preserve">Por su parte, el Ministerio de </w:t>
      </w:r>
      <w:r w:rsidR="0034672B">
        <w:rPr>
          <w:rFonts w:ascii="Times New Roman" w:hAnsi="Times New Roman" w:cs="Times New Roman"/>
        </w:rPr>
        <w:t xml:space="preserve">Energía y Minas y el Ministerio de Cultura y Deportes reportarían los niveles de ejecución más bajos, siendo de 87.9% y 76.7%, respectivamente.  </w:t>
      </w:r>
    </w:p>
    <w:p w14:paraId="2ACA33EA" w14:textId="77777777" w:rsidR="004C6A23" w:rsidRPr="004133EB" w:rsidRDefault="004C6A23" w:rsidP="00471B17">
      <w:pPr>
        <w:spacing w:after="0" w:line="240" w:lineRule="auto"/>
        <w:jc w:val="both"/>
        <w:rPr>
          <w:rFonts w:ascii="Times New Roman" w:hAnsi="Times New Roman" w:cs="Times New Roman"/>
          <w:sz w:val="18"/>
        </w:rPr>
      </w:pPr>
    </w:p>
    <w:p w14:paraId="2A365EF7" w14:textId="3E7D0079" w:rsidR="00471B17" w:rsidRPr="003E14B7" w:rsidRDefault="0014127C" w:rsidP="00484ED3">
      <w:pPr>
        <w:pStyle w:val="Epgrafe"/>
        <w:spacing w:after="0"/>
        <w:jc w:val="center"/>
        <w:rPr>
          <w:rFonts w:ascii="Times New Roman" w:hAnsi="Times New Roman" w:cs="Times New Roman"/>
          <w:b/>
          <w:bCs/>
          <w:iCs w:val="0"/>
          <w:color w:val="auto"/>
          <w:sz w:val="22"/>
          <w:szCs w:val="22"/>
        </w:rPr>
      </w:pPr>
      <w:bookmarkStart w:id="1185" w:name="_Toc49939506"/>
      <w:bookmarkStart w:id="1186" w:name="_Toc81573039"/>
      <w:r w:rsidRPr="003E14B7">
        <w:rPr>
          <w:rFonts w:ascii="Times New Roman" w:hAnsi="Times New Roman" w:cs="Times New Roman"/>
          <w:b/>
          <w:color w:val="auto"/>
        </w:rPr>
        <w:t xml:space="preserve">Tabla </w:t>
      </w:r>
      <w:r w:rsidRPr="003E14B7">
        <w:rPr>
          <w:rFonts w:ascii="Times New Roman" w:hAnsi="Times New Roman" w:cs="Times New Roman"/>
          <w:b/>
          <w:color w:val="auto"/>
        </w:rPr>
        <w:fldChar w:fldCharType="begin"/>
      </w:r>
      <w:r w:rsidRPr="003E14B7">
        <w:rPr>
          <w:rFonts w:ascii="Times New Roman" w:hAnsi="Times New Roman" w:cs="Times New Roman"/>
          <w:b/>
          <w:color w:val="auto"/>
        </w:rPr>
        <w:instrText xml:space="preserve"> SEQ Tabla \* ARABIC </w:instrText>
      </w:r>
      <w:r w:rsidRPr="003E14B7">
        <w:rPr>
          <w:rFonts w:ascii="Times New Roman" w:hAnsi="Times New Roman" w:cs="Times New Roman"/>
          <w:b/>
          <w:color w:val="auto"/>
        </w:rPr>
        <w:fldChar w:fldCharType="separate"/>
      </w:r>
      <w:r w:rsidR="009E18F8">
        <w:rPr>
          <w:rFonts w:ascii="Times New Roman" w:hAnsi="Times New Roman" w:cs="Times New Roman"/>
          <w:b/>
          <w:noProof/>
          <w:color w:val="auto"/>
        </w:rPr>
        <w:t>17</w:t>
      </w:r>
      <w:r w:rsidRPr="003E14B7">
        <w:rPr>
          <w:rFonts w:ascii="Times New Roman" w:hAnsi="Times New Roman" w:cs="Times New Roman"/>
          <w:b/>
          <w:color w:val="auto"/>
        </w:rPr>
        <w:fldChar w:fldCharType="end"/>
      </w:r>
      <w:r w:rsidRPr="003E14B7">
        <w:rPr>
          <w:rFonts w:ascii="Times New Roman" w:hAnsi="Times New Roman" w:cs="Times New Roman"/>
          <w:b/>
          <w:color w:val="auto"/>
        </w:rPr>
        <w:t xml:space="preserve">  </w:t>
      </w:r>
      <w:r w:rsidR="00EB5956" w:rsidRPr="003E14B7">
        <w:rPr>
          <w:rFonts w:ascii="Times New Roman" w:hAnsi="Times New Roman" w:cs="Times New Roman"/>
          <w:b/>
          <w:bCs/>
          <w:iCs w:val="0"/>
          <w:color w:val="auto"/>
          <w:sz w:val="22"/>
          <w:szCs w:val="22"/>
        </w:rPr>
        <w:t xml:space="preserve">Estimación de la </w:t>
      </w:r>
      <w:r w:rsidR="00710478" w:rsidRPr="003E14B7">
        <w:rPr>
          <w:rFonts w:ascii="Times New Roman" w:hAnsi="Times New Roman" w:cs="Times New Roman"/>
          <w:b/>
          <w:bCs/>
          <w:iCs w:val="0"/>
          <w:color w:val="auto"/>
          <w:sz w:val="22"/>
          <w:szCs w:val="22"/>
        </w:rPr>
        <w:t>ejecución i</w:t>
      </w:r>
      <w:r w:rsidR="00EB5956" w:rsidRPr="003E14B7">
        <w:rPr>
          <w:rFonts w:ascii="Times New Roman" w:hAnsi="Times New Roman" w:cs="Times New Roman"/>
          <w:b/>
          <w:bCs/>
          <w:iCs w:val="0"/>
          <w:color w:val="auto"/>
          <w:sz w:val="22"/>
          <w:szCs w:val="22"/>
        </w:rPr>
        <w:t>nstitucional</w:t>
      </w:r>
      <w:bookmarkEnd w:id="1185"/>
      <w:bookmarkEnd w:id="1186"/>
    </w:p>
    <w:p w14:paraId="02E60419" w14:textId="77777777" w:rsidR="001E5417" w:rsidRPr="004133EB" w:rsidRDefault="001E5417" w:rsidP="00A04855">
      <w:pPr>
        <w:pStyle w:val="Sinespaciado"/>
        <w:jc w:val="center"/>
        <w:rPr>
          <w:rFonts w:ascii="Times New Roman" w:hAnsi="Times New Roman" w:cs="Times New Roman"/>
          <w:sz w:val="18"/>
        </w:rPr>
      </w:pPr>
      <w:r w:rsidRPr="004133EB">
        <w:rPr>
          <w:rFonts w:ascii="Times New Roman" w:hAnsi="Times New Roman" w:cs="Times New Roman"/>
          <w:sz w:val="18"/>
        </w:rPr>
        <w:t>Al 3</w:t>
      </w:r>
      <w:r w:rsidR="00AF58DA" w:rsidRPr="004133EB">
        <w:rPr>
          <w:rFonts w:ascii="Times New Roman" w:hAnsi="Times New Roman" w:cs="Times New Roman"/>
          <w:sz w:val="18"/>
        </w:rPr>
        <w:t xml:space="preserve">1 </w:t>
      </w:r>
      <w:r w:rsidRPr="004133EB">
        <w:rPr>
          <w:rFonts w:ascii="Times New Roman" w:hAnsi="Times New Roman" w:cs="Times New Roman"/>
          <w:sz w:val="18"/>
        </w:rPr>
        <w:t xml:space="preserve">de </w:t>
      </w:r>
      <w:r w:rsidR="00AF58DA" w:rsidRPr="004133EB">
        <w:rPr>
          <w:rFonts w:ascii="Times New Roman" w:hAnsi="Times New Roman" w:cs="Times New Roman"/>
          <w:sz w:val="18"/>
        </w:rPr>
        <w:t>d</w:t>
      </w:r>
      <w:r w:rsidRPr="004133EB">
        <w:rPr>
          <w:rFonts w:ascii="Times New Roman" w:hAnsi="Times New Roman" w:cs="Times New Roman"/>
          <w:sz w:val="18"/>
        </w:rPr>
        <w:t>iciembre 20</w:t>
      </w:r>
      <w:r w:rsidR="00594D75">
        <w:rPr>
          <w:rFonts w:ascii="Times New Roman" w:hAnsi="Times New Roman" w:cs="Times New Roman"/>
          <w:sz w:val="18"/>
        </w:rPr>
        <w:t>21</w:t>
      </w:r>
    </w:p>
    <w:p w14:paraId="4D37E8CE" w14:textId="77777777" w:rsidR="001E5417" w:rsidRPr="004133EB" w:rsidRDefault="001E5417" w:rsidP="00C86626">
      <w:pPr>
        <w:spacing w:after="0"/>
        <w:jc w:val="center"/>
        <w:rPr>
          <w:rFonts w:ascii="Times New Roman" w:hAnsi="Times New Roman" w:cs="Times New Roman"/>
          <w:color w:val="000000" w:themeColor="text1"/>
          <w:sz w:val="18"/>
        </w:rPr>
      </w:pPr>
      <w:r w:rsidRPr="004133EB">
        <w:rPr>
          <w:rFonts w:ascii="Times New Roman" w:hAnsi="Times New Roman" w:cs="Times New Roman"/>
          <w:color w:val="000000" w:themeColor="text1"/>
          <w:sz w:val="18"/>
        </w:rPr>
        <w:t>Cifras en millones de quetzales y porcentaje</w:t>
      </w:r>
    </w:p>
    <w:tbl>
      <w:tblPr>
        <w:tblW w:w="7361" w:type="dxa"/>
        <w:jc w:val="center"/>
        <w:tblCellMar>
          <w:left w:w="70" w:type="dxa"/>
          <w:right w:w="70" w:type="dxa"/>
        </w:tblCellMar>
        <w:tblLook w:val="04A0" w:firstRow="1" w:lastRow="0" w:firstColumn="1" w:lastColumn="0" w:noHBand="0" w:noVBand="1"/>
      </w:tblPr>
      <w:tblGrid>
        <w:gridCol w:w="3251"/>
        <w:gridCol w:w="1559"/>
        <w:gridCol w:w="1417"/>
        <w:gridCol w:w="1134"/>
      </w:tblGrid>
      <w:tr w:rsidR="009929EE" w:rsidRPr="009929EE" w14:paraId="4B159D7D" w14:textId="77777777" w:rsidTr="009929EE">
        <w:trPr>
          <w:trHeight w:val="300"/>
          <w:jc w:val="center"/>
        </w:trPr>
        <w:tc>
          <w:tcPr>
            <w:tcW w:w="3251" w:type="dxa"/>
            <w:vMerge w:val="restart"/>
            <w:tcBorders>
              <w:top w:val="single" w:sz="8" w:space="0" w:color="auto"/>
              <w:left w:val="single" w:sz="8" w:space="0" w:color="auto"/>
              <w:bottom w:val="nil"/>
              <w:right w:val="single" w:sz="8" w:space="0" w:color="auto"/>
            </w:tcBorders>
            <w:shd w:val="clear" w:color="000000" w:fill="244062"/>
            <w:noWrap/>
            <w:vAlign w:val="center"/>
            <w:hideMark/>
          </w:tcPr>
          <w:p w14:paraId="460D43C6" w14:textId="77777777" w:rsidR="009929EE" w:rsidRPr="009929EE" w:rsidRDefault="009929EE" w:rsidP="009929EE">
            <w:pPr>
              <w:spacing w:after="0" w:line="240" w:lineRule="auto"/>
              <w:jc w:val="center"/>
              <w:rPr>
                <w:rFonts w:ascii="Times New Roman" w:eastAsia="Times New Roman" w:hAnsi="Times New Roman" w:cs="Times New Roman"/>
                <w:b/>
                <w:bCs/>
                <w:color w:val="FFFFFF"/>
                <w:sz w:val="16"/>
                <w:szCs w:val="18"/>
                <w:lang w:eastAsia="es-GT"/>
              </w:rPr>
            </w:pPr>
            <w:r w:rsidRPr="009929EE">
              <w:rPr>
                <w:rFonts w:ascii="Times New Roman" w:eastAsia="Times New Roman" w:hAnsi="Times New Roman" w:cs="Times New Roman"/>
                <w:b/>
                <w:bCs/>
                <w:color w:val="FFFFFF"/>
                <w:sz w:val="16"/>
                <w:szCs w:val="18"/>
                <w:lang w:eastAsia="es-GT"/>
              </w:rPr>
              <w:t>Entidad</w:t>
            </w:r>
          </w:p>
        </w:tc>
        <w:tc>
          <w:tcPr>
            <w:tcW w:w="1559" w:type="dxa"/>
            <w:tcBorders>
              <w:top w:val="single" w:sz="8" w:space="0" w:color="auto"/>
              <w:left w:val="nil"/>
              <w:bottom w:val="nil"/>
              <w:right w:val="single" w:sz="8" w:space="0" w:color="auto"/>
            </w:tcBorders>
            <w:shd w:val="clear" w:color="000000" w:fill="244062"/>
            <w:vAlign w:val="center"/>
            <w:hideMark/>
          </w:tcPr>
          <w:p w14:paraId="05EDE786" w14:textId="76C0C4C8" w:rsidR="009929EE" w:rsidRPr="009929EE" w:rsidRDefault="009929EE" w:rsidP="009929EE">
            <w:pPr>
              <w:spacing w:after="0" w:line="240" w:lineRule="auto"/>
              <w:jc w:val="center"/>
              <w:rPr>
                <w:rFonts w:ascii="Times New Roman" w:eastAsia="Times New Roman" w:hAnsi="Times New Roman" w:cs="Times New Roman"/>
                <w:b/>
                <w:bCs/>
                <w:color w:val="FFFFFF"/>
                <w:sz w:val="16"/>
                <w:szCs w:val="18"/>
                <w:lang w:eastAsia="es-GT"/>
              </w:rPr>
            </w:pPr>
            <w:r w:rsidRPr="009929EE">
              <w:rPr>
                <w:rFonts w:ascii="Times New Roman" w:eastAsia="Times New Roman" w:hAnsi="Times New Roman" w:cs="Times New Roman"/>
                <w:b/>
                <w:bCs/>
                <w:color w:val="FFFFFF"/>
                <w:sz w:val="16"/>
                <w:szCs w:val="18"/>
                <w:lang w:eastAsia="es-GT"/>
              </w:rPr>
              <w:t>Vigente</w:t>
            </w:r>
            <w:r>
              <w:rPr>
                <w:rFonts w:ascii="Times New Roman" w:eastAsia="Times New Roman" w:hAnsi="Times New Roman" w:cs="Times New Roman"/>
                <w:b/>
                <w:bCs/>
                <w:color w:val="FFFFFF"/>
                <w:sz w:val="16"/>
                <w:szCs w:val="18"/>
                <w:lang w:eastAsia="es-GT"/>
              </w:rPr>
              <w:t xml:space="preserve"> </w:t>
            </w:r>
          </w:p>
        </w:tc>
        <w:tc>
          <w:tcPr>
            <w:tcW w:w="1417" w:type="dxa"/>
            <w:vMerge w:val="restart"/>
            <w:tcBorders>
              <w:top w:val="single" w:sz="8" w:space="0" w:color="auto"/>
              <w:left w:val="single" w:sz="8" w:space="0" w:color="auto"/>
              <w:bottom w:val="nil"/>
              <w:right w:val="single" w:sz="8" w:space="0" w:color="auto"/>
            </w:tcBorders>
            <w:shd w:val="clear" w:color="000000" w:fill="244062"/>
            <w:vAlign w:val="center"/>
            <w:hideMark/>
          </w:tcPr>
          <w:p w14:paraId="12D7C0B8" w14:textId="77777777" w:rsidR="009929EE" w:rsidRPr="009929EE" w:rsidRDefault="009929EE" w:rsidP="009929EE">
            <w:pPr>
              <w:spacing w:after="0" w:line="240" w:lineRule="auto"/>
              <w:jc w:val="center"/>
              <w:rPr>
                <w:rFonts w:ascii="Times New Roman" w:eastAsia="Times New Roman" w:hAnsi="Times New Roman" w:cs="Times New Roman"/>
                <w:b/>
                <w:bCs/>
                <w:color w:val="FFFFFF"/>
                <w:sz w:val="16"/>
                <w:szCs w:val="18"/>
                <w:lang w:eastAsia="es-GT"/>
              </w:rPr>
            </w:pPr>
            <w:r w:rsidRPr="009929EE">
              <w:rPr>
                <w:rFonts w:ascii="Times New Roman" w:eastAsia="Times New Roman" w:hAnsi="Times New Roman" w:cs="Times New Roman"/>
                <w:b/>
                <w:bCs/>
                <w:color w:val="FFFFFF"/>
                <w:sz w:val="16"/>
                <w:szCs w:val="18"/>
                <w:lang w:eastAsia="es-GT"/>
              </w:rPr>
              <w:t>Estimación de Cierre</w:t>
            </w:r>
          </w:p>
        </w:tc>
        <w:tc>
          <w:tcPr>
            <w:tcW w:w="1134" w:type="dxa"/>
            <w:vMerge w:val="restart"/>
            <w:tcBorders>
              <w:top w:val="single" w:sz="8" w:space="0" w:color="auto"/>
              <w:left w:val="single" w:sz="8" w:space="0" w:color="auto"/>
              <w:bottom w:val="nil"/>
              <w:right w:val="single" w:sz="8" w:space="0" w:color="auto"/>
            </w:tcBorders>
            <w:shd w:val="clear" w:color="000000" w:fill="244062"/>
            <w:vAlign w:val="center"/>
            <w:hideMark/>
          </w:tcPr>
          <w:p w14:paraId="7A091FCB" w14:textId="77777777" w:rsidR="009929EE" w:rsidRPr="009929EE" w:rsidRDefault="009929EE" w:rsidP="009929EE">
            <w:pPr>
              <w:spacing w:after="0" w:line="240" w:lineRule="auto"/>
              <w:jc w:val="center"/>
              <w:rPr>
                <w:rFonts w:ascii="Times New Roman" w:eastAsia="Times New Roman" w:hAnsi="Times New Roman" w:cs="Times New Roman"/>
                <w:b/>
                <w:bCs/>
                <w:color w:val="FFFFFF"/>
                <w:sz w:val="16"/>
                <w:szCs w:val="18"/>
                <w:lang w:eastAsia="es-GT"/>
              </w:rPr>
            </w:pPr>
            <w:r w:rsidRPr="009929EE">
              <w:rPr>
                <w:rFonts w:ascii="Times New Roman" w:eastAsia="Times New Roman" w:hAnsi="Times New Roman" w:cs="Times New Roman"/>
                <w:b/>
                <w:bCs/>
                <w:color w:val="FFFFFF"/>
                <w:sz w:val="16"/>
                <w:szCs w:val="18"/>
                <w:lang w:eastAsia="es-GT"/>
              </w:rPr>
              <w:t>% Ejecución</w:t>
            </w:r>
          </w:p>
        </w:tc>
      </w:tr>
      <w:tr w:rsidR="009929EE" w:rsidRPr="009929EE" w14:paraId="11422983" w14:textId="77777777" w:rsidTr="009929EE">
        <w:trPr>
          <w:trHeight w:val="46"/>
          <w:jc w:val="center"/>
        </w:trPr>
        <w:tc>
          <w:tcPr>
            <w:tcW w:w="3251" w:type="dxa"/>
            <w:vMerge/>
            <w:tcBorders>
              <w:top w:val="single" w:sz="8" w:space="0" w:color="auto"/>
              <w:left w:val="single" w:sz="8" w:space="0" w:color="auto"/>
              <w:bottom w:val="nil"/>
              <w:right w:val="single" w:sz="8" w:space="0" w:color="auto"/>
            </w:tcBorders>
            <w:vAlign w:val="center"/>
            <w:hideMark/>
          </w:tcPr>
          <w:p w14:paraId="1747B03C" w14:textId="77777777" w:rsidR="009929EE" w:rsidRPr="009929EE" w:rsidRDefault="009929EE" w:rsidP="009929EE">
            <w:pPr>
              <w:spacing w:after="0" w:line="240" w:lineRule="auto"/>
              <w:rPr>
                <w:rFonts w:ascii="Times New Roman" w:eastAsia="Times New Roman" w:hAnsi="Times New Roman" w:cs="Times New Roman"/>
                <w:b/>
                <w:bCs/>
                <w:color w:val="FFFFFF"/>
                <w:sz w:val="16"/>
                <w:szCs w:val="18"/>
                <w:lang w:eastAsia="es-GT"/>
              </w:rPr>
            </w:pPr>
          </w:p>
        </w:tc>
        <w:tc>
          <w:tcPr>
            <w:tcW w:w="1559" w:type="dxa"/>
            <w:tcBorders>
              <w:top w:val="nil"/>
              <w:left w:val="nil"/>
              <w:bottom w:val="nil"/>
              <w:right w:val="single" w:sz="8" w:space="0" w:color="auto"/>
            </w:tcBorders>
            <w:shd w:val="clear" w:color="000000" w:fill="244062"/>
            <w:vAlign w:val="center"/>
            <w:hideMark/>
          </w:tcPr>
          <w:p w14:paraId="3440AFE2" w14:textId="77777777" w:rsidR="009929EE" w:rsidRPr="009929EE" w:rsidRDefault="009929EE" w:rsidP="009929EE">
            <w:pPr>
              <w:spacing w:after="0" w:line="240" w:lineRule="auto"/>
              <w:jc w:val="center"/>
              <w:rPr>
                <w:rFonts w:ascii="Times New Roman" w:eastAsia="Times New Roman" w:hAnsi="Times New Roman" w:cs="Times New Roman"/>
                <w:b/>
                <w:bCs/>
                <w:color w:val="FFFFFF"/>
                <w:sz w:val="16"/>
                <w:szCs w:val="18"/>
                <w:lang w:eastAsia="es-GT"/>
              </w:rPr>
            </w:pPr>
            <w:r w:rsidRPr="009929EE">
              <w:rPr>
                <w:rFonts w:ascii="Times New Roman" w:eastAsia="Times New Roman" w:hAnsi="Times New Roman" w:cs="Times New Roman"/>
                <w:b/>
                <w:bCs/>
                <w:color w:val="FFFFFF"/>
                <w:sz w:val="16"/>
                <w:szCs w:val="18"/>
                <w:lang w:eastAsia="es-GT"/>
              </w:rPr>
              <w:t>Ajustado</w:t>
            </w:r>
          </w:p>
        </w:tc>
        <w:tc>
          <w:tcPr>
            <w:tcW w:w="1417" w:type="dxa"/>
            <w:vMerge/>
            <w:tcBorders>
              <w:top w:val="single" w:sz="8" w:space="0" w:color="auto"/>
              <w:left w:val="single" w:sz="8" w:space="0" w:color="auto"/>
              <w:bottom w:val="nil"/>
              <w:right w:val="single" w:sz="8" w:space="0" w:color="auto"/>
            </w:tcBorders>
            <w:vAlign w:val="center"/>
            <w:hideMark/>
          </w:tcPr>
          <w:p w14:paraId="30A852E2" w14:textId="77777777" w:rsidR="009929EE" w:rsidRPr="009929EE" w:rsidRDefault="009929EE" w:rsidP="009929EE">
            <w:pPr>
              <w:spacing w:after="0" w:line="240" w:lineRule="auto"/>
              <w:rPr>
                <w:rFonts w:ascii="Times New Roman" w:eastAsia="Times New Roman" w:hAnsi="Times New Roman" w:cs="Times New Roman"/>
                <w:b/>
                <w:bCs/>
                <w:color w:val="FFFFFF"/>
                <w:sz w:val="16"/>
                <w:szCs w:val="18"/>
                <w:lang w:eastAsia="es-GT"/>
              </w:rPr>
            </w:pPr>
          </w:p>
        </w:tc>
        <w:tc>
          <w:tcPr>
            <w:tcW w:w="1134" w:type="dxa"/>
            <w:vMerge/>
            <w:tcBorders>
              <w:top w:val="single" w:sz="8" w:space="0" w:color="auto"/>
              <w:left w:val="single" w:sz="8" w:space="0" w:color="auto"/>
              <w:bottom w:val="nil"/>
              <w:right w:val="single" w:sz="8" w:space="0" w:color="auto"/>
            </w:tcBorders>
            <w:vAlign w:val="center"/>
            <w:hideMark/>
          </w:tcPr>
          <w:p w14:paraId="44808384" w14:textId="77777777" w:rsidR="009929EE" w:rsidRPr="009929EE" w:rsidRDefault="009929EE" w:rsidP="009929EE">
            <w:pPr>
              <w:spacing w:after="0" w:line="240" w:lineRule="auto"/>
              <w:rPr>
                <w:rFonts w:ascii="Times New Roman" w:eastAsia="Times New Roman" w:hAnsi="Times New Roman" w:cs="Times New Roman"/>
                <w:b/>
                <w:bCs/>
                <w:color w:val="FFFFFF"/>
                <w:sz w:val="16"/>
                <w:szCs w:val="18"/>
                <w:lang w:eastAsia="es-GT"/>
              </w:rPr>
            </w:pPr>
          </w:p>
        </w:tc>
      </w:tr>
      <w:tr w:rsidR="009929EE" w:rsidRPr="009929EE" w14:paraId="6CDC4C06" w14:textId="77777777" w:rsidTr="009929EE">
        <w:trPr>
          <w:trHeight w:val="300"/>
          <w:jc w:val="center"/>
        </w:trPr>
        <w:tc>
          <w:tcPr>
            <w:tcW w:w="3251" w:type="dxa"/>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323F2FCD" w14:textId="77777777" w:rsidR="009929EE" w:rsidRPr="009929EE" w:rsidRDefault="009929EE" w:rsidP="009929EE">
            <w:pPr>
              <w:spacing w:after="0" w:line="240" w:lineRule="auto"/>
              <w:jc w:val="center"/>
              <w:rPr>
                <w:rFonts w:ascii="Times New Roman" w:eastAsia="Times New Roman" w:hAnsi="Times New Roman" w:cs="Times New Roman"/>
                <w:b/>
                <w:bCs/>
                <w:color w:val="000000"/>
                <w:sz w:val="16"/>
                <w:szCs w:val="18"/>
                <w:lang w:eastAsia="es-GT"/>
              </w:rPr>
            </w:pPr>
            <w:r w:rsidRPr="009929EE">
              <w:rPr>
                <w:rFonts w:ascii="Times New Roman" w:eastAsia="Times New Roman" w:hAnsi="Times New Roman" w:cs="Times New Roman"/>
                <w:b/>
                <w:bCs/>
                <w:color w:val="000000"/>
                <w:sz w:val="16"/>
                <w:szCs w:val="18"/>
                <w:lang w:eastAsia="es-GT"/>
              </w:rPr>
              <w:t>Total</w:t>
            </w:r>
          </w:p>
        </w:tc>
        <w:tc>
          <w:tcPr>
            <w:tcW w:w="1559" w:type="dxa"/>
            <w:tcBorders>
              <w:top w:val="single" w:sz="4" w:space="0" w:color="auto"/>
              <w:left w:val="nil"/>
              <w:bottom w:val="single" w:sz="4" w:space="0" w:color="auto"/>
              <w:right w:val="single" w:sz="4" w:space="0" w:color="auto"/>
            </w:tcBorders>
            <w:shd w:val="clear" w:color="000000" w:fill="D9D9D9"/>
            <w:noWrap/>
            <w:vAlign w:val="center"/>
            <w:hideMark/>
          </w:tcPr>
          <w:p w14:paraId="3D19A191" w14:textId="77777777" w:rsidR="009929EE" w:rsidRPr="009929EE" w:rsidRDefault="009929EE" w:rsidP="009929EE">
            <w:pPr>
              <w:spacing w:after="0" w:line="240" w:lineRule="auto"/>
              <w:jc w:val="center"/>
              <w:rPr>
                <w:rFonts w:ascii="Times New Roman" w:eastAsia="Times New Roman" w:hAnsi="Times New Roman" w:cs="Times New Roman"/>
                <w:b/>
                <w:bCs/>
                <w:color w:val="000000"/>
                <w:sz w:val="16"/>
                <w:szCs w:val="18"/>
                <w:lang w:eastAsia="es-GT"/>
              </w:rPr>
            </w:pPr>
            <w:r w:rsidRPr="009929EE">
              <w:rPr>
                <w:rFonts w:ascii="Times New Roman" w:eastAsia="Times New Roman" w:hAnsi="Times New Roman" w:cs="Times New Roman"/>
                <w:b/>
                <w:bCs/>
                <w:color w:val="000000"/>
                <w:sz w:val="16"/>
                <w:szCs w:val="18"/>
                <w:lang w:eastAsia="es-GT"/>
              </w:rPr>
              <w:t>94,354.0</w:t>
            </w:r>
          </w:p>
        </w:tc>
        <w:tc>
          <w:tcPr>
            <w:tcW w:w="1417" w:type="dxa"/>
            <w:tcBorders>
              <w:top w:val="single" w:sz="4" w:space="0" w:color="auto"/>
              <w:left w:val="nil"/>
              <w:bottom w:val="single" w:sz="4" w:space="0" w:color="auto"/>
              <w:right w:val="single" w:sz="4" w:space="0" w:color="auto"/>
            </w:tcBorders>
            <w:shd w:val="clear" w:color="000000" w:fill="D9D9D9"/>
            <w:noWrap/>
            <w:vAlign w:val="center"/>
            <w:hideMark/>
          </w:tcPr>
          <w:p w14:paraId="1B580634" w14:textId="77777777" w:rsidR="009929EE" w:rsidRPr="009929EE" w:rsidRDefault="009929EE" w:rsidP="009929EE">
            <w:pPr>
              <w:spacing w:after="0" w:line="240" w:lineRule="auto"/>
              <w:jc w:val="center"/>
              <w:rPr>
                <w:rFonts w:ascii="Times New Roman" w:eastAsia="Times New Roman" w:hAnsi="Times New Roman" w:cs="Times New Roman"/>
                <w:b/>
                <w:bCs/>
                <w:color w:val="000000"/>
                <w:sz w:val="16"/>
                <w:szCs w:val="18"/>
                <w:lang w:eastAsia="es-GT"/>
              </w:rPr>
            </w:pPr>
            <w:r w:rsidRPr="009929EE">
              <w:rPr>
                <w:rFonts w:ascii="Times New Roman" w:eastAsia="Times New Roman" w:hAnsi="Times New Roman" w:cs="Times New Roman"/>
                <w:b/>
                <w:bCs/>
                <w:color w:val="000000"/>
                <w:sz w:val="16"/>
                <w:szCs w:val="18"/>
                <w:lang w:eastAsia="es-GT"/>
              </w:rPr>
              <w:t>92,433.5</w:t>
            </w:r>
          </w:p>
        </w:tc>
        <w:tc>
          <w:tcPr>
            <w:tcW w:w="1134" w:type="dxa"/>
            <w:tcBorders>
              <w:top w:val="single" w:sz="4" w:space="0" w:color="auto"/>
              <w:left w:val="nil"/>
              <w:bottom w:val="single" w:sz="4" w:space="0" w:color="auto"/>
              <w:right w:val="single" w:sz="8" w:space="0" w:color="auto"/>
            </w:tcBorders>
            <w:shd w:val="clear" w:color="000000" w:fill="D9D9D9"/>
            <w:noWrap/>
            <w:vAlign w:val="center"/>
            <w:hideMark/>
          </w:tcPr>
          <w:p w14:paraId="1AF2BA28" w14:textId="77777777" w:rsidR="009929EE" w:rsidRPr="009929EE" w:rsidRDefault="009929EE" w:rsidP="009929EE">
            <w:pPr>
              <w:spacing w:after="0" w:line="240" w:lineRule="auto"/>
              <w:jc w:val="center"/>
              <w:rPr>
                <w:rFonts w:ascii="Times New Roman" w:eastAsia="Times New Roman" w:hAnsi="Times New Roman" w:cs="Times New Roman"/>
                <w:b/>
                <w:bCs/>
                <w:color w:val="000000"/>
                <w:sz w:val="16"/>
                <w:szCs w:val="18"/>
                <w:lang w:eastAsia="es-GT"/>
              </w:rPr>
            </w:pPr>
            <w:r w:rsidRPr="009929EE">
              <w:rPr>
                <w:rFonts w:ascii="Times New Roman" w:eastAsia="Times New Roman" w:hAnsi="Times New Roman" w:cs="Times New Roman"/>
                <w:b/>
                <w:bCs/>
                <w:color w:val="000000"/>
                <w:sz w:val="16"/>
                <w:szCs w:val="18"/>
                <w:lang w:eastAsia="es-GT"/>
              </w:rPr>
              <w:t>98.0</w:t>
            </w:r>
          </w:p>
        </w:tc>
      </w:tr>
      <w:tr w:rsidR="009929EE" w:rsidRPr="009929EE" w14:paraId="689EAA0C" w14:textId="77777777" w:rsidTr="009929EE">
        <w:trPr>
          <w:trHeight w:val="300"/>
          <w:jc w:val="center"/>
        </w:trPr>
        <w:tc>
          <w:tcPr>
            <w:tcW w:w="3251" w:type="dxa"/>
            <w:tcBorders>
              <w:top w:val="nil"/>
              <w:left w:val="single" w:sz="8" w:space="0" w:color="auto"/>
              <w:bottom w:val="single" w:sz="4" w:space="0" w:color="auto"/>
              <w:right w:val="single" w:sz="4" w:space="0" w:color="auto"/>
            </w:tcBorders>
            <w:shd w:val="clear" w:color="auto" w:fill="auto"/>
            <w:vAlign w:val="center"/>
            <w:hideMark/>
          </w:tcPr>
          <w:p w14:paraId="5A5D648F" w14:textId="77777777" w:rsidR="009929EE" w:rsidRPr="009929EE" w:rsidRDefault="009929EE" w:rsidP="009929EE">
            <w:pPr>
              <w:spacing w:after="0" w:line="240" w:lineRule="auto"/>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Presidencia de la República</w:t>
            </w:r>
          </w:p>
        </w:tc>
        <w:tc>
          <w:tcPr>
            <w:tcW w:w="1559" w:type="dxa"/>
            <w:tcBorders>
              <w:top w:val="nil"/>
              <w:left w:val="nil"/>
              <w:bottom w:val="single" w:sz="4" w:space="0" w:color="auto"/>
              <w:right w:val="single" w:sz="4" w:space="0" w:color="auto"/>
            </w:tcBorders>
            <w:shd w:val="clear" w:color="auto" w:fill="auto"/>
            <w:noWrap/>
            <w:vAlign w:val="center"/>
            <w:hideMark/>
          </w:tcPr>
          <w:p w14:paraId="4BE7AED2"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221.8</w:t>
            </w:r>
          </w:p>
        </w:tc>
        <w:tc>
          <w:tcPr>
            <w:tcW w:w="1417" w:type="dxa"/>
            <w:tcBorders>
              <w:top w:val="nil"/>
              <w:left w:val="nil"/>
              <w:bottom w:val="single" w:sz="4" w:space="0" w:color="auto"/>
              <w:right w:val="single" w:sz="4" w:space="0" w:color="auto"/>
            </w:tcBorders>
            <w:shd w:val="clear" w:color="auto" w:fill="auto"/>
            <w:noWrap/>
            <w:vAlign w:val="center"/>
            <w:hideMark/>
          </w:tcPr>
          <w:p w14:paraId="122A8536"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219.8</w:t>
            </w:r>
          </w:p>
        </w:tc>
        <w:tc>
          <w:tcPr>
            <w:tcW w:w="1134" w:type="dxa"/>
            <w:tcBorders>
              <w:top w:val="nil"/>
              <w:left w:val="nil"/>
              <w:bottom w:val="single" w:sz="4" w:space="0" w:color="auto"/>
              <w:right w:val="single" w:sz="8" w:space="0" w:color="auto"/>
            </w:tcBorders>
            <w:shd w:val="clear" w:color="auto" w:fill="auto"/>
            <w:noWrap/>
            <w:vAlign w:val="center"/>
            <w:hideMark/>
          </w:tcPr>
          <w:p w14:paraId="044510B5"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99.1</w:t>
            </w:r>
          </w:p>
        </w:tc>
      </w:tr>
      <w:tr w:rsidR="009929EE" w:rsidRPr="009929EE" w14:paraId="618C2F1C" w14:textId="77777777" w:rsidTr="009929EE">
        <w:trPr>
          <w:trHeight w:val="300"/>
          <w:jc w:val="center"/>
        </w:trPr>
        <w:tc>
          <w:tcPr>
            <w:tcW w:w="3251" w:type="dxa"/>
            <w:tcBorders>
              <w:top w:val="nil"/>
              <w:left w:val="single" w:sz="8" w:space="0" w:color="auto"/>
              <w:bottom w:val="single" w:sz="4" w:space="0" w:color="auto"/>
              <w:right w:val="single" w:sz="4" w:space="0" w:color="auto"/>
            </w:tcBorders>
            <w:shd w:val="clear" w:color="auto" w:fill="auto"/>
            <w:vAlign w:val="center"/>
            <w:hideMark/>
          </w:tcPr>
          <w:p w14:paraId="29EE7457" w14:textId="77777777" w:rsidR="009929EE" w:rsidRPr="009929EE" w:rsidRDefault="009929EE" w:rsidP="009929EE">
            <w:pPr>
              <w:spacing w:after="0" w:line="240" w:lineRule="auto"/>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Relaciones Exteriores</w:t>
            </w:r>
          </w:p>
        </w:tc>
        <w:tc>
          <w:tcPr>
            <w:tcW w:w="1559" w:type="dxa"/>
            <w:tcBorders>
              <w:top w:val="nil"/>
              <w:left w:val="nil"/>
              <w:bottom w:val="single" w:sz="4" w:space="0" w:color="auto"/>
              <w:right w:val="single" w:sz="4" w:space="0" w:color="auto"/>
            </w:tcBorders>
            <w:shd w:val="clear" w:color="auto" w:fill="auto"/>
            <w:noWrap/>
            <w:vAlign w:val="center"/>
            <w:hideMark/>
          </w:tcPr>
          <w:p w14:paraId="3BF1E940"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560.0</w:t>
            </w:r>
          </w:p>
        </w:tc>
        <w:tc>
          <w:tcPr>
            <w:tcW w:w="1417" w:type="dxa"/>
            <w:tcBorders>
              <w:top w:val="nil"/>
              <w:left w:val="nil"/>
              <w:bottom w:val="single" w:sz="4" w:space="0" w:color="auto"/>
              <w:right w:val="single" w:sz="4" w:space="0" w:color="auto"/>
            </w:tcBorders>
            <w:shd w:val="clear" w:color="auto" w:fill="auto"/>
            <w:noWrap/>
            <w:vAlign w:val="center"/>
            <w:hideMark/>
          </w:tcPr>
          <w:p w14:paraId="4A8E0634"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549.9</w:t>
            </w:r>
          </w:p>
        </w:tc>
        <w:tc>
          <w:tcPr>
            <w:tcW w:w="1134" w:type="dxa"/>
            <w:tcBorders>
              <w:top w:val="nil"/>
              <w:left w:val="nil"/>
              <w:bottom w:val="single" w:sz="4" w:space="0" w:color="auto"/>
              <w:right w:val="single" w:sz="8" w:space="0" w:color="auto"/>
            </w:tcBorders>
            <w:shd w:val="clear" w:color="auto" w:fill="auto"/>
            <w:noWrap/>
            <w:vAlign w:val="center"/>
            <w:hideMark/>
          </w:tcPr>
          <w:p w14:paraId="4590DD72"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98.2</w:t>
            </w:r>
          </w:p>
        </w:tc>
      </w:tr>
      <w:tr w:rsidR="009929EE" w:rsidRPr="009929EE" w14:paraId="61EDE298" w14:textId="77777777" w:rsidTr="009929EE">
        <w:trPr>
          <w:trHeight w:val="300"/>
          <w:jc w:val="center"/>
        </w:trPr>
        <w:tc>
          <w:tcPr>
            <w:tcW w:w="3251" w:type="dxa"/>
            <w:tcBorders>
              <w:top w:val="nil"/>
              <w:left w:val="single" w:sz="8" w:space="0" w:color="auto"/>
              <w:bottom w:val="single" w:sz="4" w:space="0" w:color="auto"/>
              <w:right w:val="single" w:sz="4" w:space="0" w:color="auto"/>
            </w:tcBorders>
            <w:shd w:val="clear" w:color="auto" w:fill="auto"/>
            <w:vAlign w:val="center"/>
            <w:hideMark/>
          </w:tcPr>
          <w:p w14:paraId="59F83710" w14:textId="77777777" w:rsidR="009929EE" w:rsidRPr="009929EE" w:rsidRDefault="009929EE" w:rsidP="009929EE">
            <w:pPr>
              <w:spacing w:after="0" w:line="240" w:lineRule="auto"/>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Gobernación</w:t>
            </w:r>
          </w:p>
        </w:tc>
        <w:tc>
          <w:tcPr>
            <w:tcW w:w="1559" w:type="dxa"/>
            <w:tcBorders>
              <w:top w:val="nil"/>
              <w:left w:val="nil"/>
              <w:bottom w:val="single" w:sz="4" w:space="0" w:color="auto"/>
              <w:right w:val="single" w:sz="4" w:space="0" w:color="auto"/>
            </w:tcBorders>
            <w:shd w:val="clear" w:color="auto" w:fill="auto"/>
            <w:noWrap/>
            <w:vAlign w:val="center"/>
            <w:hideMark/>
          </w:tcPr>
          <w:p w14:paraId="22653E40"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5,330.7</w:t>
            </w:r>
          </w:p>
        </w:tc>
        <w:tc>
          <w:tcPr>
            <w:tcW w:w="1417" w:type="dxa"/>
            <w:tcBorders>
              <w:top w:val="nil"/>
              <w:left w:val="nil"/>
              <w:bottom w:val="single" w:sz="4" w:space="0" w:color="auto"/>
              <w:right w:val="single" w:sz="4" w:space="0" w:color="auto"/>
            </w:tcBorders>
            <w:shd w:val="clear" w:color="auto" w:fill="auto"/>
            <w:noWrap/>
            <w:vAlign w:val="center"/>
            <w:hideMark/>
          </w:tcPr>
          <w:p w14:paraId="2111E422"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5,291.7</w:t>
            </w:r>
          </w:p>
        </w:tc>
        <w:tc>
          <w:tcPr>
            <w:tcW w:w="1134" w:type="dxa"/>
            <w:tcBorders>
              <w:top w:val="nil"/>
              <w:left w:val="nil"/>
              <w:bottom w:val="single" w:sz="4" w:space="0" w:color="auto"/>
              <w:right w:val="single" w:sz="8" w:space="0" w:color="auto"/>
            </w:tcBorders>
            <w:shd w:val="clear" w:color="auto" w:fill="auto"/>
            <w:noWrap/>
            <w:vAlign w:val="center"/>
            <w:hideMark/>
          </w:tcPr>
          <w:p w14:paraId="4669BFBF"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99.3</w:t>
            </w:r>
          </w:p>
        </w:tc>
      </w:tr>
      <w:tr w:rsidR="009929EE" w:rsidRPr="009929EE" w14:paraId="04387988" w14:textId="77777777" w:rsidTr="009929EE">
        <w:trPr>
          <w:trHeight w:val="300"/>
          <w:jc w:val="center"/>
        </w:trPr>
        <w:tc>
          <w:tcPr>
            <w:tcW w:w="3251" w:type="dxa"/>
            <w:tcBorders>
              <w:top w:val="nil"/>
              <w:left w:val="single" w:sz="8" w:space="0" w:color="auto"/>
              <w:bottom w:val="single" w:sz="4" w:space="0" w:color="auto"/>
              <w:right w:val="single" w:sz="4" w:space="0" w:color="auto"/>
            </w:tcBorders>
            <w:shd w:val="clear" w:color="auto" w:fill="auto"/>
            <w:vAlign w:val="center"/>
            <w:hideMark/>
          </w:tcPr>
          <w:p w14:paraId="7E1AC3BF" w14:textId="77777777" w:rsidR="009929EE" w:rsidRPr="009929EE" w:rsidRDefault="009929EE" w:rsidP="009929EE">
            <w:pPr>
              <w:spacing w:after="0" w:line="240" w:lineRule="auto"/>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Defensa Nacional</w:t>
            </w:r>
          </w:p>
        </w:tc>
        <w:tc>
          <w:tcPr>
            <w:tcW w:w="1559" w:type="dxa"/>
            <w:tcBorders>
              <w:top w:val="nil"/>
              <w:left w:val="nil"/>
              <w:bottom w:val="single" w:sz="4" w:space="0" w:color="auto"/>
              <w:right w:val="single" w:sz="4" w:space="0" w:color="auto"/>
            </w:tcBorders>
            <w:shd w:val="clear" w:color="auto" w:fill="auto"/>
            <w:noWrap/>
            <w:vAlign w:val="center"/>
            <w:hideMark/>
          </w:tcPr>
          <w:p w14:paraId="63D4711E"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2,569.7</w:t>
            </w:r>
          </w:p>
        </w:tc>
        <w:tc>
          <w:tcPr>
            <w:tcW w:w="1417" w:type="dxa"/>
            <w:tcBorders>
              <w:top w:val="nil"/>
              <w:left w:val="nil"/>
              <w:bottom w:val="single" w:sz="4" w:space="0" w:color="auto"/>
              <w:right w:val="single" w:sz="4" w:space="0" w:color="auto"/>
            </w:tcBorders>
            <w:shd w:val="clear" w:color="auto" w:fill="auto"/>
            <w:noWrap/>
            <w:vAlign w:val="center"/>
            <w:hideMark/>
          </w:tcPr>
          <w:p w14:paraId="68047A1E"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2,542.2</w:t>
            </w:r>
          </w:p>
        </w:tc>
        <w:tc>
          <w:tcPr>
            <w:tcW w:w="1134" w:type="dxa"/>
            <w:tcBorders>
              <w:top w:val="nil"/>
              <w:left w:val="nil"/>
              <w:bottom w:val="single" w:sz="4" w:space="0" w:color="auto"/>
              <w:right w:val="single" w:sz="8" w:space="0" w:color="auto"/>
            </w:tcBorders>
            <w:shd w:val="clear" w:color="auto" w:fill="auto"/>
            <w:noWrap/>
            <w:vAlign w:val="center"/>
            <w:hideMark/>
          </w:tcPr>
          <w:p w14:paraId="0ECDB229"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98.9</w:t>
            </w:r>
          </w:p>
        </w:tc>
      </w:tr>
      <w:tr w:rsidR="009929EE" w:rsidRPr="009929EE" w14:paraId="21D99412" w14:textId="77777777" w:rsidTr="009929EE">
        <w:trPr>
          <w:trHeight w:val="300"/>
          <w:jc w:val="center"/>
        </w:trPr>
        <w:tc>
          <w:tcPr>
            <w:tcW w:w="3251" w:type="dxa"/>
            <w:tcBorders>
              <w:top w:val="nil"/>
              <w:left w:val="single" w:sz="8" w:space="0" w:color="auto"/>
              <w:bottom w:val="single" w:sz="4" w:space="0" w:color="auto"/>
              <w:right w:val="single" w:sz="4" w:space="0" w:color="auto"/>
            </w:tcBorders>
            <w:shd w:val="clear" w:color="auto" w:fill="auto"/>
            <w:vAlign w:val="center"/>
            <w:hideMark/>
          </w:tcPr>
          <w:p w14:paraId="059B1773" w14:textId="77777777" w:rsidR="009929EE" w:rsidRPr="009929EE" w:rsidRDefault="009929EE" w:rsidP="009929EE">
            <w:pPr>
              <w:spacing w:after="0" w:line="240" w:lineRule="auto"/>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Finanzas Públicas</w:t>
            </w:r>
          </w:p>
        </w:tc>
        <w:tc>
          <w:tcPr>
            <w:tcW w:w="1559" w:type="dxa"/>
            <w:tcBorders>
              <w:top w:val="nil"/>
              <w:left w:val="nil"/>
              <w:bottom w:val="single" w:sz="4" w:space="0" w:color="auto"/>
              <w:right w:val="single" w:sz="4" w:space="0" w:color="auto"/>
            </w:tcBorders>
            <w:shd w:val="clear" w:color="auto" w:fill="auto"/>
            <w:noWrap/>
            <w:vAlign w:val="center"/>
            <w:hideMark/>
          </w:tcPr>
          <w:p w14:paraId="29DF3D5E"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314.4</w:t>
            </w:r>
          </w:p>
        </w:tc>
        <w:tc>
          <w:tcPr>
            <w:tcW w:w="1417" w:type="dxa"/>
            <w:tcBorders>
              <w:top w:val="nil"/>
              <w:left w:val="nil"/>
              <w:bottom w:val="single" w:sz="4" w:space="0" w:color="auto"/>
              <w:right w:val="single" w:sz="4" w:space="0" w:color="auto"/>
            </w:tcBorders>
            <w:shd w:val="clear" w:color="auto" w:fill="auto"/>
            <w:noWrap/>
            <w:vAlign w:val="center"/>
            <w:hideMark/>
          </w:tcPr>
          <w:p w14:paraId="74420787"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299.1</w:t>
            </w:r>
          </w:p>
        </w:tc>
        <w:tc>
          <w:tcPr>
            <w:tcW w:w="1134" w:type="dxa"/>
            <w:tcBorders>
              <w:top w:val="nil"/>
              <w:left w:val="nil"/>
              <w:bottom w:val="single" w:sz="4" w:space="0" w:color="auto"/>
              <w:right w:val="single" w:sz="8" w:space="0" w:color="auto"/>
            </w:tcBorders>
            <w:shd w:val="clear" w:color="auto" w:fill="auto"/>
            <w:noWrap/>
            <w:vAlign w:val="center"/>
            <w:hideMark/>
          </w:tcPr>
          <w:p w14:paraId="2427B1B8"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95.1</w:t>
            </w:r>
          </w:p>
        </w:tc>
      </w:tr>
      <w:tr w:rsidR="009929EE" w:rsidRPr="009929EE" w14:paraId="43B42CFC" w14:textId="77777777" w:rsidTr="009929EE">
        <w:trPr>
          <w:trHeight w:val="300"/>
          <w:jc w:val="center"/>
        </w:trPr>
        <w:tc>
          <w:tcPr>
            <w:tcW w:w="3251" w:type="dxa"/>
            <w:tcBorders>
              <w:top w:val="nil"/>
              <w:left w:val="single" w:sz="8" w:space="0" w:color="auto"/>
              <w:bottom w:val="single" w:sz="4" w:space="0" w:color="auto"/>
              <w:right w:val="single" w:sz="4" w:space="0" w:color="auto"/>
            </w:tcBorders>
            <w:shd w:val="clear" w:color="auto" w:fill="auto"/>
            <w:vAlign w:val="center"/>
            <w:hideMark/>
          </w:tcPr>
          <w:p w14:paraId="3312412B" w14:textId="77777777" w:rsidR="009929EE" w:rsidRPr="009929EE" w:rsidRDefault="009929EE" w:rsidP="009929EE">
            <w:pPr>
              <w:spacing w:after="0" w:line="240" w:lineRule="auto"/>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Educación</w:t>
            </w:r>
          </w:p>
        </w:tc>
        <w:tc>
          <w:tcPr>
            <w:tcW w:w="1559" w:type="dxa"/>
            <w:tcBorders>
              <w:top w:val="nil"/>
              <w:left w:val="nil"/>
              <w:bottom w:val="single" w:sz="4" w:space="0" w:color="auto"/>
              <w:right w:val="single" w:sz="4" w:space="0" w:color="auto"/>
            </w:tcBorders>
            <w:shd w:val="clear" w:color="auto" w:fill="auto"/>
            <w:noWrap/>
            <w:vAlign w:val="center"/>
            <w:hideMark/>
          </w:tcPr>
          <w:p w14:paraId="5E5AE529"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17,899.0</w:t>
            </w:r>
          </w:p>
        </w:tc>
        <w:tc>
          <w:tcPr>
            <w:tcW w:w="1417" w:type="dxa"/>
            <w:tcBorders>
              <w:top w:val="nil"/>
              <w:left w:val="nil"/>
              <w:bottom w:val="single" w:sz="4" w:space="0" w:color="auto"/>
              <w:right w:val="single" w:sz="4" w:space="0" w:color="auto"/>
            </w:tcBorders>
            <w:shd w:val="clear" w:color="auto" w:fill="auto"/>
            <w:noWrap/>
            <w:vAlign w:val="center"/>
            <w:hideMark/>
          </w:tcPr>
          <w:p w14:paraId="60164E3A"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17,811.7</w:t>
            </w:r>
          </w:p>
        </w:tc>
        <w:tc>
          <w:tcPr>
            <w:tcW w:w="1134" w:type="dxa"/>
            <w:tcBorders>
              <w:top w:val="nil"/>
              <w:left w:val="nil"/>
              <w:bottom w:val="single" w:sz="4" w:space="0" w:color="auto"/>
              <w:right w:val="single" w:sz="8" w:space="0" w:color="auto"/>
            </w:tcBorders>
            <w:shd w:val="clear" w:color="auto" w:fill="auto"/>
            <w:noWrap/>
            <w:vAlign w:val="center"/>
            <w:hideMark/>
          </w:tcPr>
          <w:p w14:paraId="52C3FC55"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99.5</w:t>
            </w:r>
          </w:p>
        </w:tc>
      </w:tr>
      <w:tr w:rsidR="009929EE" w:rsidRPr="009929EE" w14:paraId="40F8BB2F" w14:textId="77777777" w:rsidTr="009929EE">
        <w:trPr>
          <w:trHeight w:val="300"/>
          <w:jc w:val="center"/>
        </w:trPr>
        <w:tc>
          <w:tcPr>
            <w:tcW w:w="3251" w:type="dxa"/>
            <w:tcBorders>
              <w:top w:val="nil"/>
              <w:left w:val="single" w:sz="8" w:space="0" w:color="auto"/>
              <w:bottom w:val="single" w:sz="4" w:space="0" w:color="auto"/>
              <w:right w:val="single" w:sz="4" w:space="0" w:color="auto"/>
            </w:tcBorders>
            <w:shd w:val="clear" w:color="auto" w:fill="auto"/>
            <w:vAlign w:val="center"/>
            <w:hideMark/>
          </w:tcPr>
          <w:p w14:paraId="722E8CCC" w14:textId="77777777" w:rsidR="009929EE" w:rsidRPr="009929EE" w:rsidRDefault="009929EE" w:rsidP="009929EE">
            <w:pPr>
              <w:spacing w:after="0" w:line="240" w:lineRule="auto"/>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Salud Pública y Asistencia Social</w:t>
            </w:r>
          </w:p>
        </w:tc>
        <w:tc>
          <w:tcPr>
            <w:tcW w:w="1559" w:type="dxa"/>
            <w:tcBorders>
              <w:top w:val="nil"/>
              <w:left w:val="nil"/>
              <w:bottom w:val="single" w:sz="4" w:space="0" w:color="auto"/>
              <w:right w:val="single" w:sz="4" w:space="0" w:color="auto"/>
            </w:tcBorders>
            <w:shd w:val="clear" w:color="auto" w:fill="auto"/>
            <w:noWrap/>
            <w:vAlign w:val="center"/>
            <w:hideMark/>
          </w:tcPr>
          <w:p w14:paraId="7EDC525C"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10,508.6</w:t>
            </w:r>
          </w:p>
        </w:tc>
        <w:tc>
          <w:tcPr>
            <w:tcW w:w="1417" w:type="dxa"/>
            <w:tcBorders>
              <w:top w:val="nil"/>
              <w:left w:val="nil"/>
              <w:bottom w:val="single" w:sz="4" w:space="0" w:color="auto"/>
              <w:right w:val="single" w:sz="4" w:space="0" w:color="auto"/>
            </w:tcBorders>
            <w:shd w:val="clear" w:color="auto" w:fill="auto"/>
            <w:noWrap/>
            <w:vAlign w:val="center"/>
            <w:hideMark/>
          </w:tcPr>
          <w:p w14:paraId="6550951F"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10,232.4</w:t>
            </w:r>
          </w:p>
        </w:tc>
        <w:tc>
          <w:tcPr>
            <w:tcW w:w="1134" w:type="dxa"/>
            <w:tcBorders>
              <w:top w:val="nil"/>
              <w:left w:val="nil"/>
              <w:bottom w:val="single" w:sz="4" w:space="0" w:color="auto"/>
              <w:right w:val="single" w:sz="8" w:space="0" w:color="auto"/>
            </w:tcBorders>
            <w:shd w:val="clear" w:color="auto" w:fill="auto"/>
            <w:noWrap/>
            <w:vAlign w:val="center"/>
            <w:hideMark/>
          </w:tcPr>
          <w:p w14:paraId="5F75B049"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97.4</w:t>
            </w:r>
          </w:p>
        </w:tc>
      </w:tr>
      <w:tr w:rsidR="009929EE" w:rsidRPr="009929EE" w14:paraId="4F68EC4C" w14:textId="77777777" w:rsidTr="009929EE">
        <w:trPr>
          <w:trHeight w:val="300"/>
          <w:jc w:val="center"/>
        </w:trPr>
        <w:tc>
          <w:tcPr>
            <w:tcW w:w="3251" w:type="dxa"/>
            <w:tcBorders>
              <w:top w:val="nil"/>
              <w:left w:val="single" w:sz="8" w:space="0" w:color="auto"/>
              <w:bottom w:val="single" w:sz="4" w:space="0" w:color="auto"/>
              <w:right w:val="single" w:sz="4" w:space="0" w:color="auto"/>
            </w:tcBorders>
            <w:shd w:val="clear" w:color="auto" w:fill="auto"/>
            <w:vAlign w:val="center"/>
            <w:hideMark/>
          </w:tcPr>
          <w:p w14:paraId="2131CBAC" w14:textId="77777777" w:rsidR="009929EE" w:rsidRPr="009929EE" w:rsidRDefault="009929EE" w:rsidP="009929EE">
            <w:pPr>
              <w:spacing w:after="0" w:line="240" w:lineRule="auto"/>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Trabajo y Previsión Social</w:t>
            </w:r>
          </w:p>
        </w:tc>
        <w:tc>
          <w:tcPr>
            <w:tcW w:w="1559" w:type="dxa"/>
            <w:tcBorders>
              <w:top w:val="nil"/>
              <w:left w:val="nil"/>
              <w:bottom w:val="single" w:sz="4" w:space="0" w:color="auto"/>
              <w:right w:val="single" w:sz="4" w:space="0" w:color="auto"/>
            </w:tcBorders>
            <w:shd w:val="clear" w:color="auto" w:fill="auto"/>
            <w:noWrap/>
            <w:vAlign w:val="center"/>
            <w:hideMark/>
          </w:tcPr>
          <w:p w14:paraId="0E5F57E9"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760.5</w:t>
            </w:r>
          </w:p>
        </w:tc>
        <w:tc>
          <w:tcPr>
            <w:tcW w:w="1417" w:type="dxa"/>
            <w:tcBorders>
              <w:top w:val="nil"/>
              <w:left w:val="nil"/>
              <w:bottom w:val="single" w:sz="4" w:space="0" w:color="auto"/>
              <w:right w:val="single" w:sz="4" w:space="0" w:color="auto"/>
            </w:tcBorders>
            <w:shd w:val="clear" w:color="auto" w:fill="auto"/>
            <w:noWrap/>
            <w:vAlign w:val="center"/>
            <w:hideMark/>
          </w:tcPr>
          <w:p w14:paraId="7ABC31A0"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689.3</w:t>
            </w:r>
          </w:p>
        </w:tc>
        <w:tc>
          <w:tcPr>
            <w:tcW w:w="1134" w:type="dxa"/>
            <w:tcBorders>
              <w:top w:val="nil"/>
              <w:left w:val="nil"/>
              <w:bottom w:val="single" w:sz="4" w:space="0" w:color="auto"/>
              <w:right w:val="single" w:sz="8" w:space="0" w:color="auto"/>
            </w:tcBorders>
            <w:shd w:val="clear" w:color="auto" w:fill="auto"/>
            <w:noWrap/>
            <w:vAlign w:val="center"/>
            <w:hideMark/>
          </w:tcPr>
          <w:p w14:paraId="20C8B8DE"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90.6</w:t>
            </w:r>
          </w:p>
        </w:tc>
      </w:tr>
      <w:tr w:rsidR="009929EE" w:rsidRPr="009929EE" w14:paraId="462E6774" w14:textId="77777777" w:rsidTr="009929EE">
        <w:trPr>
          <w:trHeight w:val="300"/>
          <w:jc w:val="center"/>
        </w:trPr>
        <w:tc>
          <w:tcPr>
            <w:tcW w:w="3251" w:type="dxa"/>
            <w:tcBorders>
              <w:top w:val="nil"/>
              <w:left w:val="single" w:sz="8" w:space="0" w:color="auto"/>
              <w:bottom w:val="single" w:sz="4" w:space="0" w:color="auto"/>
              <w:right w:val="single" w:sz="4" w:space="0" w:color="auto"/>
            </w:tcBorders>
            <w:shd w:val="clear" w:color="auto" w:fill="auto"/>
            <w:vAlign w:val="center"/>
            <w:hideMark/>
          </w:tcPr>
          <w:p w14:paraId="073DFCAD" w14:textId="77777777" w:rsidR="009929EE" w:rsidRPr="009929EE" w:rsidRDefault="009929EE" w:rsidP="009929EE">
            <w:pPr>
              <w:spacing w:after="0" w:line="240" w:lineRule="auto"/>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Economía</w:t>
            </w:r>
          </w:p>
        </w:tc>
        <w:tc>
          <w:tcPr>
            <w:tcW w:w="1559" w:type="dxa"/>
            <w:tcBorders>
              <w:top w:val="nil"/>
              <w:left w:val="nil"/>
              <w:bottom w:val="single" w:sz="4" w:space="0" w:color="auto"/>
              <w:right w:val="single" w:sz="4" w:space="0" w:color="auto"/>
            </w:tcBorders>
            <w:shd w:val="clear" w:color="auto" w:fill="auto"/>
            <w:noWrap/>
            <w:vAlign w:val="center"/>
            <w:hideMark/>
          </w:tcPr>
          <w:p w14:paraId="70131CE3"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403.4</w:t>
            </w:r>
          </w:p>
        </w:tc>
        <w:tc>
          <w:tcPr>
            <w:tcW w:w="1417" w:type="dxa"/>
            <w:tcBorders>
              <w:top w:val="nil"/>
              <w:left w:val="nil"/>
              <w:bottom w:val="single" w:sz="4" w:space="0" w:color="auto"/>
              <w:right w:val="single" w:sz="4" w:space="0" w:color="auto"/>
            </w:tcBorders>
            <w:shd w:val="clear" w:color="auto" w:fill="auto"/>
            <w:noWrap/>
            <w:vAlign w:val="center"/>
            <w:hideMark/>
          </w:tcPr>
          <w:p w14:paraId="28481878"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375.6</w:t>
            </w:r>
          </w:p>
        </w:tc>
        <w:tc>
          <w:tcPr>
            <w:tcW w:w="1134" w:type="dxa"/>
            <w:tcBorders>
              <w:top w:val="nil"/>
              <w:left w:val="nil"/>
              <w:bottom w:val="single" w:sz="4" w:space="0" w:color="auto"/>
              <w:right w:val="single" w:sz="8" w:space="0" w:color="auto"/>
            </w:tcBorders>
            <w:shd w:val="clear" w:color="auto" w:fill="auto"/>
            <w:noWrap/>
            <w:vAlign w:val="center"/>
            <w:hideMark/>
          </w:tcPr>
          <w:p w14:paraId="70DF6B90"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93.1</w:t>
            </w:r>
          </w:p>
        </w:tc>
      </w:tr>
      <w:tr w:rsidR="009929EE" w:rsidRPr="009929EE" w14:paraId="5C6844CA" w14:textId="77777777" w:rsidTr="009929EE">
        <w:trPr>
          <w:trHeight w:val="300"/>
          <w:jc w:val="center"/>
        </w:trPr>
        <w:tc>
          <w:tcPr>
            <w:tcW w:w="3251" w:type="dxa"/>
            <w:tcBorders>
              <w:top w:val="nil"/>
              <w:left w:val="single" w:sz="8" w:space="0" w:color="auto"/>
              <w:bottom w:val="single" w:sz="4" w:space="0" w:color="auto"/>
              <w:right w:val="single" w:sz="4" w:space="0" w:color="auto"/>
            </w:tcBorders>
            <w:shd w:val="clear" w:color="auto" w:fill="auto"/>
            <w:vAlign w:val="center"/>
            <w:hideMark/>
          </w:tcPr>
          <w:p w14:paraId="7D439598" w14:textId="77777777" w:rsidR="009929EE" w:rsidRPr="009929EE" w:rsidRDefault="009929EE" w:rsidP="009929EE">
            <w:pPr>
              <w:spacing w:after="0" w:line="240" w:lineRule="auto"/>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Agricultura, Ganadería y Alimentación</w:t>
            </w:r>
          </w:p>
        </w:tc>
        <w:tc>
          <w:tcPr>
            <w:tcW w:w="1559" w:type="dxa"/>
            <w:tcBorders>
              <w:top w:val="nil"/>
              <w:left w:val="nil"/>
              <w:bottom w:val="single" w:sz="4" w:space="0" w:color="auto"/>
              <w:right w:val="single" w:sz="4" w:space="0" w:color="auto"/>
            </w:tcBorders>
            <w:shd w:val="clear" w:color="auto" w:fill="auto"/>
            <w:noWrap/>
            <w:vAlign w:val="center"/>
            <w:hideMark/>
          </w:tcPr>
          <w:p w14:paraId="24CEDADC"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1,268.4</w:t>
            </w:r>
          </w:p>
        </w:tc>
        <w:tc>
          <w:tcPr>
            <w:tcW w:w="1417" w:type="dxa"/>
            <w:tcBorders>
              <w:top w:val="nil"/>
              <w:left w:val="nil"/>
              <w:bottom w:val="single" w:sz="4" w:space="0" w:color="auto"/>
              <w:right w:val="single" w:sz="4" w:space="0" w:color="auto"/>
            </w:tcBorders>
            <w:shd w:val="clear" w:color="auto" w:fill="auto"/>
            <w:noWrap/>
            <w:vAlign w:val="center"/>
            <w:hideMark/>
          </w:tcPr>
          <w:p w14:paraId="2EAF0077"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1,193.2</w:t>
            </w:r>
          </w:p>
        </w:tc>
        <w:tc>
          <w:tcPr>
            <w:tcW w:w="1134" w:type="dxa"/>
            <w:tcBorders>
              <w:top w:val="nil"/>
              <w:left w:val="nil"/>
              <w:bottom w:val="single" w:sz="4" w:space="0" w:color="auto"/>
              <w:right w:val="single" w:sz="8" w:space="0" w:color="auto"/>
            </w:tcBorders>
            <w:shd w:val="clear" w:color="auto" w:fill="auto"/>
            <w:noWrap/>
            <w:vAlign w:val="center"/>
            <w:hideMark/>
          </w:tcPr>
          <w:p w14:paraId="0AB1A735"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94.1</w:t>
            </w:r>
          </w:p>
        </w:tc>
      </w:tr>
      <w:tr w:rsidR="009929EE" w:rsidRPr="009929EE" w14:paraId="6642F0C9" w14:textId="77777777" w:rsidTr="009929EE">
        <w:trPr>
          <w:trHeight w:val="300"/>
          <w:jc w:val="center"/>
        </w:trPr>
        <w:tc>
          <w:tcPr>
            <w:tcW w:w="3251" w:type="dxa"/>
            <w:tcBorders>
              <w:top w:val="nil"/>
              <w:left w:val="single" w:sz="8" w:space="0" w:color="auto"/>
              <w:bottom w:val="single" w:sz="4" w:space="0" w:color="auto"/>
              <w:right w:val="single" w:sz="4" w:space="0" w:color="auto"/>
            </w:tcBorders>
            <w:shd w:val="clear" w:color="auto" w:fill="auto"/>
            <w:vAlign w:val="center"/>
            <w:hideMark/>
          </w:tcPr>
          <w:p w14:paraId="2723DD7D" w14:textId="77777777" w:rsidR="009929EE" w:rsidRPr="009929EE" w:rsidRDefault="009929EE" w:rsidP="009929EE">
            <w:pPr>
              <w:spacing w:after="0" w:line="240" w:lineRule="auto"/>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Comunicaciones, Infraestructura y Vivienda</w:t>
            </w:r>
          </w:p>
        </w:tc>
        <w:tc>
          <w:tcPr>
            <w:tcW w:w="1559" w:type="dxa"/>
            <w:tcBorders>
              <w:top w:val="nil"/>
              <w:left w:val="nil"/>
              <w:bottom w:val="single" w:sz="4" w:space="0" w:color="auto"/>
              <w:right w:val="single" w:sz="4" w:space="0" w:color="auto"/>
            </w:tcBorders>
            <w:shd w:val="clear" w:color="auto" w:fill="auto"/>
            <w:noWrap/>
            <w:vAlign w:val="center"/>
            <w:hideMark/>
          </w:tcPr>
          <w:p w14:paraId="25F4D1AA"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6,722.4</w:t>
            </w:r>
          </w:p>
        </w:tc>
        <w:tc>
          <w:tcPr>
            <w:tcW w:w="1417" w:type="dxa"/>
            <w:tcBorders>
              <w:top w:val="nil"/>
              <w:left w:val="nil"/>
              <w:bottom w:val="single" w:sz="4" w:space="0" w:color="auto"/>
              <w:right w:val="single" w:sz="4" w:space="0" w:color="auto"/>
            </w:tcBorders>
            <w:shd w:val="clear" w:color="auto" w:fill="auto"/>
            <w:noWrap/>
            <w:vAlign w:val="center"/>
            <w:hideMark/>
          </w:tcPr>
          <w:p w14:paraId="3C1C24A6"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6,331.1</w:t>
            </w:r>
          </w:p>
        </w:tc>
        <w:tc>
          <w:tcPr>
            <w:tcW w:w="1134" w:type="dxa"/>
            <w:tcBorders>
              <w:top w:val="nil"/>
              <w:left w:val="nil"/>
              <w:bottom w:val="single" w:sz="4" w:space="0" w:color="auto"/>
              <w:right w:val="single" w:sz="8" w:space="0" w:color="auto"/>
            </w:tcBorders>
            <w:shd w:val="clear" w:color="auto" w:fill="auto"/>
            <w:noWrap/>
            <w:vAlign w:val="center"/>
            <w:hideMark/>
          </w:tcPr>
          <w:p w14:paraId="1EB6CF7F"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94.2</w:t>
            </w:r>
          </w:p>
        </w:tc>
      </w:tr>
      <w:tr w:rsidR="009929EE" w:rsidRPr="009929EE" w14:paraId="6FD9BCA3" w14:textId="77777777" w:rsidTr="009929EE">
        <w:trPr>
          <w:trHeight w:val="300"/>
          <w:jc w:val="center"/>
        </w:trPr>
        <w:tc>
          <w:tcPr>
            <w:tcW w:w="3251" w:type="dxa"/>
            <w:tcBorders>
              <w:top w:val="nil"/>
              <w:left w:val="single" w:sz="8" w:space="0" w:color="auto"/>
              <w:bottom w:val="single" w:sz="4" w:space="0" w:color="auto"/>
              <w:right w:val="single" w:sz="4" w:space="0" w:color="auto"/>
            </w:tcBorders>
            <w:shd w:val="clear" w:color="auto" w:fill="auto"/>
            <w:vAlign w:val="center"/>
            <w:hideMark/>
          </w:tcPr>
          <w:p w14:paraId="311C2AF5" w14:textId="77777777" w:rsidR="009929EE" w:rsidRPr="009929EE" w:rsidRDefault="009929EE" w:rsidP="009929EE">
            <w:pPr>
              <w:spacing w:after="0" w:line="240" w:lineRule="auto"/>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Energía y Minas</w:t>
            </w:r>
          </w:p>
        </w:tc>
        <w:tc>
          <w:tcPr>
            <w:tcW w:w="1559" w:type="dxa"/>
            <w:tcBorders>
              <w:top w:val="nil"/>
              <w:left w:val="nil"/>
              <w:bottom w:val="single" w:sz="4" w:space="0" w:color="auto"/>
              <w:right w:val="single" w:sz="4" w:space="0" w:color="auto"/>
            </w:tcBorders>
            <w:shd w:val="clear" w:color="auto" w:fill="auto"/>
            <w:noWrap/>
            <w:vAlign w:val="center"/>
            <w:hideMark/>
          </w:tcPr>
          <w:p w14:paraId="20A8CDFA"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86.0</w:t>
            </w:r>
          </w:p>
        </w:tc>
        <w:tc>
          <w:tcPr>
            <w:tcW w:w="1417" w:type="dxa"/>
            <w:tcBorders>
              <w:top w:val="nil"/>
              <w:left w:val="nil"/>
              <w:bottom w:val="single" w:sz="4" w:space="0" w:color="auto"/>
              <w:right w:val="single" w:sz="4" w:space="0" w:color="auto"/>
            </w:tcBorders>
            <w:shd w:val="clear" w:color="auto" w:fill="auto"/>
            <w:noWrap/>
            <w:vAlign w:val="center"/>
            <w:hideMark/>
          </w:tcPr>
          <w:p w14:paraId="06F2A28D"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75.6</w:t>
            </w:r>
          </w:p>
        </w:tc>
        <w:tc>
          <w:tcPr>
            <w:tcW w:w="1134" w:type="dxa"/>
            <w:tcBorders>
              <w:top w:val="nil"/>
              <w:left w:val="nil"/>
              <w:bottom w:val="single" w:sz="4" w:space="0" w:color="auto"/>
              <w:right w:val="single" w:sz="8" w:space="0" w:color="auto"/>
            </w:tcBorders>
            <w:shd w:val="clear" w:color="auto" w:fill="auto"/>
            <w:noWrap/>
            <w:vAlign w:val="center"/>
            <w:hideMark/>
          </w:tcPr>
          <w:p w14:paraId="2552AD94"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87.9</w:t>
            </w:r>
          </w:p>
        </w:tc>
      </w:tr>
      <w:tr w:rsidR="009929EE" w:rsidRPr="009929EE" w14:paraId="3637E5E4" w14:textId="77777777" w:rsidTr="009929EE">
        <w:trPr>
          <w:trHeight w:val="300"/>
          <w:jc w:val="center"/>
        </w:trPr>
        <w:tc>
          <w:tcPr>
            <w:tcW w:w="3251" w:type="dxa"/>
            <w:tcBorders>
              <w:top w:val="nil"/>
              <w:left w:val="single" w:sz="8" w:space="0" w:color="auto"/>
              <w:bottom w:val="single" w:sz="4" w:space="0" w:color="auto"/>
              <w:right w:val="single" w:sz="4" w:space="0" w:color="auto"/>
            </w:tcBorders>
            <w:shd w:val="clear" w:color="auto" w:fill="auto"/>
            <w:vAlign w:val="center"/>
            <w:hideMark/>
          </w:tcPr>
          <w:p w14:paraId="0F26AA0F" w14:textId="77777777" w:rsidR="009929EE" w:rsidRPr="009929EE" w:rsidRDefault="009929EE" w:rsidP="009929EE">
            <w:pPr>
              <w:spacing w:after="0" w:line="240" w:lineRule="auto"/>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Cultura y Deportes</w:t>
            </w:r>
          </w:p>
        </w:tc>
        <w:tc>
          <w:tcPr>
            <w:tcW w:w="1559" w:type="dxa"/>
            <w:tcBorders>
              <w:top w:val="nil"/>
              <w:left w:val="nil"/>
              <w:bottom w:val="single" w:sz="4" w:space="0" w:color="auto"/>
              <w:right w:val="single" w:sz="4" w:space="0" w:color="auto"/>
            </w:tcBorders>
            <w:shd w:val="clear" w:color="auto" w:fill="auto"/>
            <w:noWrap/>
            <w:vAlign w:val="center"/>
            <w:hideMark/>
          </w:tcPr>
          <w:p w14:paraId="5956CA34"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573.0</w:t>
            </w:r>
          </w:p>
        </w:tc>
        <w:tc>
          <w:tcPr>
            <w:tcW w:w="1417" w:type="dxa"/>
            <w:tcBorders>
              <w:top w:val="nil"/>
              <w:left w:val="nil"/>
              <w:bottom w:val="single" w:sz="4" w:space="0" w:color="auto"/>
              <w:right w:val="single" w:sz="4" w:space="0" w:color="auto"/>
            </w:tcBorders>
            <w:shd w:val="clear" w:color="auto" w:fill="auto"/>
            <w:noWrap/>
            <w:vAlign w:val="center"/>
            <w:hideMark/>
          </w:tcPr>
          <w:p w14:paraId="7198150A"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439.7</w:t>
            </w:r>
          </w:p>
        </w:tc>
        <w:tc>
          <w:tcPr>
            <w:tcW w:w="1134" w:type="dxa"/>
            <w:tcBorders>
              <w:top w:val="nil"/>
              <w:left w:val="nil"/>
              <w:bottom w:val="single" w:sz="4" w:space="0" w:color="auto"/>
              <w:right w:val="single" w:sz="8" w:space="0" w:color="auto"/>
            </w:tcBorders>
            <w:shd w:val="clear" w:color="auto" w:fill="auto"/>
            <w:noWrap/>
            <w:vAlign w:val="center"/>
            <w:hideMark/>
          </w:tcPr>
          <w:p w14:paraId="726C0CE7"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76.7</w:t>
            </w:r>
          </w:p>
        </w:tc>
      </w:tr>
      <w:tr w:rsidR="009929EE" w:rsidRPr="009929EE" w14:paraId="35B58E56" w14:textId="77777777" w:rsidTr="009929EE">
        <w:trPr>
          <w:trHeight w:val="300"/>
          <w:jc w:val="center"/>
        </w:trPr>
        <w:tc>
          <w:tcPr>
            <w:tcW w:w="3251" w:type="dxa"/>
            <w:tcBorders>
              <w:top w:val="nil"/>
              <w:left w:val="single" w:sz="8" w:space="0" w:color="auto"/>
              <w:bottom w:val="single" w:sz="4" w:space="0" w:color="auto"/>
              <w:right w:val="single" w:sz="4" w:space="0" w:color="auto"/>
            </w:tcBorders>
            <w:shd w:val="clear" w:color="auto" w:fill="auto"/>
            <w:vAlign w:val="center"/>
            <w:hideMark/>
          </w:tcPr>
          <w:p w14:paraId="197B2BEE" w14:textId="77777777" w:rsidR="009929EE" w:rsidRPr="009929EE" w:rsidRDefault="009929EE" w:rsidP="009929EE">
            <w:pPr>
              <w:spacing w:after="0" w:line="240" w:lineRule="auto"/>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Secretarías y Otras Dependencias del Ejecutivo</w:t>
            </w:r>
          </w:p>
        </w:tc>
        <w:tc>
          <w:tcPr>
            <w:tcW w:w="1559" w:type="dxa"/>
            <w:tcBorders>
              <w:top w:val="nil"/>
              <w:left w:val="nil"/>
              <w:bottom w:val="single" w:sz="4" w:space="0" w:color="auto"/>
              <w:right w:val="single" w:sz="4" w:space="0" w:color="auto"/>
            </w:tcBorders>
            <w:shd w:val="clear" w:color="auto" w:fill="auto"/>
            <w:noWrap/>
            <w:vAlign w:val="center"/>
            <w:hideMark/>
          </w:tcPr>
          <w:p w14:paraId="2551039B"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1,216.8</w:t>
            </w:r>
          </w:p>
        </w:tc>
        <w:tc>
          <w:tcPr>
            <w:tcW w:w="1417" w:type="dxa"/>
            <w:tcBorders>
              <w:top w:val="nil"/>
              <w:left w:val="nil"/>
              <w:bottom w:val="single" w:sz="4" w:space="0" w:color="auto"/>
              <w:right w:val="single" w:sz="4" w:space="0" w:color="auto"/>
            </w:tcBorders>
            <w:shd w:val="clear" w:color="auto" w:fill="auto"/>
            <w:noWrap/>
            <w:vAlign w:val="center"/>
            <w:hideMark/>
          </w:tcPr>
          <w:p w14:paraId="3004295A"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1,156.9</w:t>
            </w:r>
          </w:p>
        </w:tc>
        <w:tc>
          <w:tcPr>
            <w:tcW w:w="1134" w:type="dxa"/>
            <w:tcBorders>
              <w:top w:val="nil"/>
              <w:left w:val="nil"/>
              <w:bottom w:val="single" w:sz="4" w:space="0" w:color="auto"/>
              <w:right w:val="single" w:sz="8" w:space="0" w:color="auto"/>
            </w:tcBorders>
            <w:shd w:val="clear" w:color="auto" w:fill="auto"/>
            <w:noWrap/>
            <w:vAlign w:val="center"/>
            <w:hideMark/>
          </w:tcPr>
          <w:p w14:paraId="2AB32595"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95.1</w:t>
            </w:r>
          </w:p>
        </w:tc>
      </w:tr>
      <w:tr w:rsidR="009929EE" w:rsidRPr="009929EE" w14:paraId="33203B5F" w14:textId="77777777" w:rsidTr="009929EE">
        <w:trPr>
          <w:trHeight w:val="300"/>
          <w:jc w:val="center"/>
        </w:trPr>
        <w:tc>
          <w:tcPr>
            <w:tcW w:w="3251" w:type="dxa"/>
            <w:tcBorders>
              <w:top w:val="nil"/>
              <w:left w:val="single" w:sz="8" w:space="0" w:color="auto"/>
              <w:bottom w:val="single" w:sz="4" w:space="0" w:color="auto"/>
              <w:right w:val="single" w:sz="4" w:space="0" w:color="auto"/>
            </w:tcBorders>
            <w:shd w:val="clear" w:color="auto" w:fill="auto"/>
            <w:vAlign w:val="center"/>
            <w:hideMark/>
          </w:tcPr>
          <w:p w14:paraId="11223E7B" w14:textId="77777777" w:rsidR="009929EE" w:rsidRPr="009929EE" w:rsidRDefault="009929EE" w:rsidP="009929EE">
            <w:pPr>
              <w:spacing w:after="0" w:line="240" w:lineRule="auto"/>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Ambiente y Recursos Naturales</w:t>
            </w:r>
          </w:p>
        </w:tc>
        <w:tc>
          <w:tcPr>
            <w:tcW w:w="1559" w:type="dxa"/>
            <w:tcBorders>
              <w:top w:val="nil"/>
              <w:left w:val="nil"/>
              <w:bottom w:val="single" w:sz="4" w:space="0" w:color="auto"/>
              <w:right w:val="single" w:sz="4" w:space="0" w:color="auto"/>
            </w:tcBorders>
            <w:shd w:val="clear" w:color="auto" w:fill="auto"/>
            <w:noWrap/>
            <w:vAlign w:val="center"/>
            <w:hideMark/>
          </w:tcPr>
          <w:p w14:paraId="69C3A1DD"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152.3</w:t>
            </w:r>
          </w:p>
        </w:tc>
        <w:tc>
          <w:tcPr>
            <w:tcW w:w="1417" w:type="dxa"/>
            <w:tcBorders>
              <w:top w:val="nil"/>
              <w:left w:val="nil"/>
              <w:bottom w:val="single" w:sz="4" w:space="0" w:color="auto"/>
              <w:right w:val="single" w:sz="4" w:space="0" w:color="auto"/>
            </w:tcBorders>
            <w:shd w:val="clear" w:color="auto" w:fill="auto"/>
            <w:noWrap/>
            <w:vAlign w:val="center"/>
            <w:hideMark/>
          </w:tcPr>
          <w:p w14:paraId="1125896F"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147.8</w:t>
            </w:r>
          </w:p>
        </w:tc>
        <w:tc>
          <w:tcPr>
            <w:tcW w:w="1134" w:type="dxa"/>
            <w:tcBorders>
              <w:top w:val="nil"/>
              <w:left w:val="nil"/>
              <w:bottom w:val="single" w:sz="4" w:space="0" w:color="auto"/>
              <w:right w:val="single" w:sz="8" w:space="0" w:color="auto"/>
            </w:tcBorders>
            <w:shd w:val="clear" w:color="auto" w:fill="auto"/>
            <w:noWrap/>
            <w:vAlign w:val="center"/>
            <w:hideMark/>
          </w:tcPr>
          <w:p w14:paraId="68161B3F"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97.0</w:t>
            </w:r>
          </w:p>
        </w:tc>
      </w:tr>
      <w:tr w:rsidR="009929EE" w:rsidRPr="009929EE" w14:paraId="534C8AF9" w14:textId="77777777" w:rsidTr="009929EE">
        <w:trPr>
          <w:trHeight w:val="300"/>
          <w:jc w:val="center"/>
        </w:trPr>
        <w:tc>
          <w:tcPr>
            <w:tcW w:w="3251" w:type="dxa"/>
            <w:tcBorders>
              <w:top w:val="nil"/>
              <w:left w:val="single" w:sz="8" w:space="0" w:color="auto"/>
              <w:bottom w:val="single" w:sz="4" w:space="0" w:color="auto"/>
              <w:right w:val="single" w:sz="4" w:space="0" w:color="auto"/>
            </w:tcBorders>
            <w:shd w:val="clear" w:color="auto" w:fill="auto"/>
            <w:vAlign w:val="center"/>
            <w:hideMark/>
          </w:tcPr>
          <w:p w14:paraId="76926C2C" w14:textId="77777777" w:rsidR="009929EE" w:rsidRPr="009929EE" w:rsidRDefault="009929EE" w:rsidP="009929EE">
            <w:pPr>
              <w:spacing w:after="0" w:line="240" w:lineRule="auto"/>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Obligaciones del Estado a Cargo del Tesoro</w:t>
            </w:r>
          </w:p>
        </w:tc>
        <w:tc>
          <w:tcPr>
            <w:tcW w:w="1559" w:type="dxa"/>
            <w:tcBorders>
              <w:top w:val="nil"/>
              <w:left w:val="nil"/>
              <w:bottom w:val="single" w:sz="4" w:space="0" w:color="auto"/>
              <w:right w:val="single" w:sz="4" w:space="0" w:color="auto"/>
            </w:tcBorders>
            <w:shd w:val="clear" w:color="auto" w:fill="auto"/>
            <w:noWrap/>
            <w:vAlign w:val="center"/>
            <w:hideMark/>
          </w:tcPr>
          <w:p w14:paraId="6A4CCAD2"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29,216.0</w:t>
            </w:r>
          </w:p>
        </w:tc>
        <w:tc>
          <w:tcPr>
            <w:tcW w:w="1417" w:type="dxa"/>
            <w:tcBorders>
              <w:top w:val="nil"/>
              <w:left w:val="nil"/>
              <w:bottom w:val="single" w:sz="4" w:space="0" w:color="auto"/>
              <w:right w:val="single" w:sz="4" w:space="0" w:color="auto"/>
            </w:tcBorders>
            <w:shd w:val="clear" w:color="auto" w:fill="auto"/>
            <w:noWrap/>
            <w:vAlign w:val="center"/>
            <w:hideMark/>
          </w:tcPr>
          <w:p w14:paraId="1F0DB76D"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28,929.7</w:t>
            </w:r>
          </w:p>
        </w:tc>
        <w:tc>
          <w:tcPr>
            <w:tcW w:w="1134" w:type="dxa"/>
            <w:tcBorders>
              <w:top w:val="nil"/>
              <w:left w:val="nil"/>
              <w:bottom w:val="single" w:sz="4" w:space="0" w:color="auto"/>
              <w:right w:val="single" w:sz="8" w:space="0" w:color="auto"/>
            </w:tcBorders>
            <w:shd w:val="clear" w:color="auto" w:fill="auto"/>
            <w:noWrap/>
            <w:vAlign w:val="center"/>
            <w:hideMark/>
          </w:tcPr>
          <w:p w14:paraId="6C42A1F8"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99.0</w:t>
            </w:r>
          </w:p>
        </w:tc>
      </w:tr>
      <w:tr w:rsidR="009929EE" w:rsidRPr="009929EE" w14:paraId="6778B319" w14:textId="77777777" w:rsidTr="009929EE">
        <w:trPr>
          <w:trHeight w:val="300"/>
          <w:jc w:val="center"/>
        </w:trPr>
        <w:tc>
          <w:tcPr>
            <w:tcW w:w="3251" w:type="dxa"/>
            <w:tcBorders>
              <w:top w:val="nil"/>
              <w:left w:val="single" w:sz="8" w:space="0" w:color="auto"/>
              <w:bottom w:val="single" w:sz="4" w:space="0" w:color="auto"/>
              <w:right w:val="single" w:sz="4" w:space="0" w:color="auto"/>
            </w:tcBorders>
            <w:shd w:val="clear" w:color="auto" w:fill="auto"/>
            <w:vAlign w:val="center"/>
            <w:hideMark/>
          </w:tcPr>
          <w:p w14:paraId="3A7C513E" w14:textId="77777777" w:rsidR="009929EE" w:rsidRPr="009929EE" w:rsidRDefault="009929EE" w:rsidP="009929EE">
            <w:pPr>
              <w:spacing w:after="0" w:line="240" w:lineRule="auto"/>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Servicios de la Deuda Pública</w:t>
            </w:r>
          </w:p>
        </w:tc>
        <w:tc>
          <w:tcPr>
            <w:tcW w:w="1559" w:type="dxa"/>
            <w:tcBorders>
              <w:top w:val="nil"/>
              <w:left w:val="nil"/>
              <w:bottom w:val="single" w:sz="4" w:space="0" w:color="auto"/>
              <w:right w:val="single" w:sz="4" w:space="0" w:color="auto"/>
            </w:tcBorders>
            <w:shd w:val="clear" w:color="auto" w:fill="auto"/>
            <w:noWrap/>
            <w:vAlign w:val="center"/>
            <w:hideMark/>
          </w:tcPr>
          <w:p w14:paraId="4E4588BF"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15,312.0</w:t>
            </w:r>
          </w:p>
        </w:tc>
        <w:tc>
          <w:tcPr>
            <w:tcW w:w="1417" w:type="dxa"/>
            <w:tcBorders>
              <w:top w:val="nil"/>
              <w:left w:val="nil"/>
              <w:bottom w:val="single" w:sz="4" w:space="0" w:color="auto"/>
              <w:right w:val="single" w:sz="4" w:space="0" w:color="auto"/>
            </w:tcBorders>
            <w:shd w:val="clear" w:color="auto" w:fill="auto"/>
            <w:noWrap/>
            <w:vAlign w:val="center"/>
            <w:hideMark/>
          </w:tcPr>
          <w:p w14:paraId="5C9BDD54"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14,922.5</w:t>
            </w:r>
          </w:p>
        </w:tc>
        <w:tc>
          <w:tcPr>
            <w:tcW w:w="1134" w:type="dxa"/>
            <w:tcBorders>
              <w:top w:val="nil"/>
              <w:left w:val="nil"/>
              <w:bottom w:val="single" w:sz="4" w:space="0" w:color="auto"/>
              <w:right w:val="single" w:sz="8" w:space="0" w:color="auto"/>
            </w:tcBorders>
            <w:shd w:val="clear" w:color="auto" w:fill="auto"/>
            <w:noWrap/>
            <w:vAlign w:val="center"/>
            <w:hideMark/>
          </w:tcPr>
          <w:p w14:paraId="6286C677"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97.5</w:t>
            </w:r>
          </w:p>
        </w:tc>
      </w:tr>
      <w:tr w:rsidR="009929EE" w:rsidRPr="009929EE" w14:paraId="350B6D2A" w14:textId="77777777" w:rsidTr="009929EE">
        <w:trPr>
          <w:trHeight w:val="300"/>
          <w:jc w:val="center"/>
        </w:trPr>
        <w:tc>
          <w:tcPr>
            <w:tcW w:w="3251" w:type="dxa"/>
            <w:tcBorders>
              <w:top w:val="nil"/>
              <w:left w:val="single" w:sz="8" w:space="0" w:color="auto"/>
              <w:bottom w:val="single" w:sz="4" w:space="0" w:color="auto"/>
              <w:right w:val="single" w:sz="4" w:space="0" w:color="auto"/>
            </w:tcBorders>
            <w:shd w:val="clear" w:color="auto" w:fill="auto"/>
            <w:vAlign w:val="center"/>
            <w:hideMark/>
          </w:tcPr>
          <w:p w14:paraId="1C7BA731" w14:textId="77777777" w:rsidR="009929EE" w:rsidRPr="009929EE" w:rsidRDefault="009929EE" w:rsidP="009929EE">
            <w:pPr>
              <w:spacing w:after="0" w:line="240" w:lineRule="auto"/>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Desarrollo Social</w:t>
            </w:r>
          </w:p>
        </w:tc>
        <w:tc>
          <w:tcPr>
            <w:tcW w:w="1559" w:type="dxa"/>
            <w:tcBorders>
              <w:top w:val="nil"/>
              <w:left w:val="nil"/>
              <w:bottom w:val="single" w:sz="4" w:space="0" w:color="auto"/>
              <w:right w:val="single" w:sz="4" w:space="0" w:color="auto"/>
            </w:tcBorders>
            <w:shd w:val="clear" w:color="auto" w:fill="auto"/>
            <w:noWrap/>
            <w:vAlign w:val="center"/>
            <w:hideMark/>
          </w:tcPr>
          <w:p w14:paraId="4EC9C5DC"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1,116.8</w:t>
            </w:r>
          </w:p>
        </w:tc>
        <w:tc>
          <w:tcPr>
            <w:tcW w:w="1417" w:type="dxa"/>
            <w:tcBorders>
              <w:top w:val="nil"/>
              <w:left w:val="nil"/>
              <w:bottom w:val="single" w:sz="4" w:space="0" w:color="auto"/>
              <w:right w:val="single" w:sz="4" w:space="0" w:color="auto"/>
            </w:tcBorders>
            <w:shd w:val="clear" w:color="auto" w:fill="auto"/>
            <w:noWrap/>
            <w:vAlign w:val="center"/>
            <w:hideMark/>
          </w:tcPr>
          <w:p w14:paraId="2DB87891"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1,105.0</w:t>
            </w:r>
          </w:p>
        </w:tc>
        <w:tc>
          <w:tcPr>
            <w:tcW w:w="1134" w:type="dxa"/>
            <w:tcBorders>
              <w:top w:val="nil"/>
              <w:left w:val="nil"/>
              <w:bottom w:val="single" w:sz="4" w:space="0" w:color="auto"/>
              <w:right w:val="single" w:sz="8" w:space="0" w:color="auto"/>
            </w:tcBorders>
            <w:shd w:val="clear" w:color="auto" w:fill="auto"/>
            <w:noWrap/>
            <w:vAlign w:val="center"/>
            <w:hideMark/>
          </w:tcPr>
          <w:p w14:paraId="18F61EE1"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98.9</w:t>
            </w:r>
          </w:p>
        </w:tc>
      </w:tr>
      <w:tr w:rsidR="009929EE" w:rsidRPr="009929EE" w14:paraId="6FDC0506" w14:textId="77777777" w:rsidTr="009929EE">
        <w:trPr>
          <w:trHeight w:val="315"/>
          <w:jc w:val="center"/>
        </w:trPr>
        <w:tc>
          <w:tcPr>
            <w:tcW w:w="3251" w:type="dxa"/>
            <w:tcBorders>
              <w:top w:val="nil"/>
              <w:left w:val="single" w:sz="8" w:space="0" w:color="auto"/>
              <w:bottom w:val="single" w:sz="8" w:space="0" w:color="auto"/>
              <w:right w:val="single" w:sz="4" w:space="0" w:color="auto"/>
            </w:tcBorders>
            <w:shd w:val="clear" w:color="auto" w:fill="auto"/>
            <w:vAlign w:val="center"/>
            <w:hideMark/>
          </w:tcPr>
          <w:p w14:paraId="1267AC6B" w14:textId="77777777" w:rsidR="009929EE" w:rsidRPr="009929EE" w:rsidRDefault="009929EE" w:rsidP="009929EE">
            <w:pPr>
              <w:spacing w:after="0" w:line="240" w:lineRule="auto"/>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Procuraduría General de la Nación</w:t>
            </w:r>
          </w:p>
        </w:tc>
        <w:tc>
          <w:tcPr>
            <w:tcW w:w="1559" w:type="dxa"/>
            <w:tcBorders>
              <w:top w:val="nil"/>
              <w:left w:val="nil"/>
              <w:bottom w:val="single" w:sz="8" w:space="0" w:color="auto"/>
              <w:right w:val="single" w:sz="4" w:space="0" w:color="auto"/>
            </w:tcBorders>
            <w:shd w:val="clear" w:color="auto" w:fill="auto"/>
            <w:noWrap/>
            <w:vAlign w:val="center"/>
            <w:hideMark/>
          </w:tcPr>
          <w:p w14:paraId="2E4E3547"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122.3</w:t>
            </w:r>
          </w:p>
        </w:tc>
        <w:tc>
          <w:tcPr>
            <w:tcW w:w="1417" w:type="dxa"/>
            <w:tcBorders>
              <w:top w:val="nil"/>
              <w:left w:val="nil"/>
              <w:bottom w:val="single" w:sz="8" w:space="0" w:color="auto"/>
              <w:right w:val="single" w:sz="4" w:space="0" w:color="auto"/>
            </w:tcBorders>
            <w:shd w:val="clear" w:color="auto" w:fill="auto"/>
            <w:noWrap/>
            <w:vAlign w:val="center"/>
            <w:hideMark/>
          </w:tcPr>
          <w:p w14:paraId="095EA54F"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120.3</w:t>
            </w:r>
          </w:p>
        </w:tc>
        <w:tc>
          <w:tcPr>
            <w:tcW w:w="1134" w:type="dxa"/>
            <w:tcBorders>
              <w:top w:val="nil"/>
              <w:left w:val="nil"/>
              <w:bottom w:val="single" w:sz="8" w:space="0" w:color="auto"/>
              <w:right w:val="single" w:sz="8" w:space="0" w:color="auto"/>
            </w:tcBorders>
            <w:shd w:val="clear" w:color="auto" w:fill="auto"/>
            <w:noWrap/>
            <w:vAlign w:val="center"/>
            <w:hideMark/>
          </w:tcPr>
          <w:p w14:paraId="0EF88A3D" w14:textId="77777777" w:rsidR="009929EE" w:rsidRPr="009929EE" w:rsidRDefault="009929EE" w:rsidP="009929EE">
            <w:pPr>
              <w:spacing w:after="0" w:line="240" w:lineRule="auto"/>
              <w:jc w:val="center"/>
              <w:rPr>
                <w:rFonts w:ascii="Times New Roman" w:eastAsia="Times New Roman" w:hAnsi="Times New Roman" w:cs="Times New Roman"/>
                <w:color w:val="000000"/>
                <w:sz w:val="16"/>
                <w:szCs w:val="18"/>
                <w:lang w:eastAsia="es-GT"/>
              </w:rPr>
            </w:pPr>
            <w:r w:rsidRPr="009929EE">
              <w:rPr>
                <w:rFonts w:ascii="Times New Roman" w:eastAsia="Times New Roman" w:hAnsi="Times New Roman" w:cs="Times New Roman"/>
                <w:color w:val="000000"/>
                <w:sz w:val="16"/>
                <w:szCs w:val="18"/>
                <w:lang w:eastAsia="es-GT"/>
              </w:rPr>
              <w:t>98.4</w:t>
            </w:r>
          </w:p>
        </w:tc>
      </w:tr>
    </w:tbl>
    <w:p w14:paraId="3075DA03" w14:textId="77777777" w:rsidR="001E5417" w:rsidRDefault="001E5417" w:rsidP="00C834F3">
      <w:pPr>
        <w:spacing w:after="0" w:line="240" w:lineRule="auto"/>
        <w:ind w:firstLine="708"/>
        <w:rPr>
          <w:rFonts w:ascii="Times New Roman" w:hAnsi="Times New Roman" w:cs="Times New Roman"/>
          <w:sz w:val="16"/>
        </w:rPr>
      </w:pPr>
      <w:r w:rsidRPr="004133EB">
        <w:rPr>
          <w:rFonts w:ascii="Times New Roman" w:hAnsi="Times New Roman" w:cs="Times New Roman"/>
          <w:sz w:val="16"/>
        </w:rPr>
        <w:t>Fuente: Dirección de Análisis y Política Fiscal</w:t>
      </w:r>
    </w:p>
    <w:p w14:paraId="34397F9B" w14:textId="77777777" w:rsidR="00896CA0" w:rsidRPr="00896CA0" w:rsidRDefault="00896CA0" w:rsidP="00896CA0">
      <w:pPr>
        <w:spacing w:after="0" w:line="240" w:lineRule="auto"/>
        <w:rPr>
          <w:rFonts w:ascii="Times New Roman" w:hAnsi="Times New Roman" w:cs="Times New Roman"/>
          <w:color w:val="000000" w:themeColor="text1"/>
        </w:rPr>
      </w:pPr>
    </w:p>
    <w:p w14:paraId="1CE120F9" w14:textId="670D8A26" w:rsidR="001E5417" w:rsidRPr="004133EB" w:rsidRDefault="001E5417" w:rsidP="000865B9">
      <w:pPr>
        <w:spacing w:after="0" w:line="240" w:lineRule="auto"/>
        <w:jc w:val="both"/>
        <w:rPr>
          <w:rFonts w:ascii="Times New Roman" w:hAnsi="Times New Roman" w:cs="Times New Roman"/>
        </w:rPr>
      </w:pPr>
      <w:r w:rsidRPr="004133EB">
        <w:rPr>
          <w:rFonts w:ascii="Times New Roman" w:hAnsi="Times New Roman" w:cs="Times New Roman"/>
        </w:rPr>
        <w:t>Derivado de lo anterior, se estima que el déficit fis</w:t>
      </w:r>
      <w:r w:rsidR="00CB0755">
        <w:rPr>
          <w:rFonts w:ascii="Times New Roman" w:hAnsi="Times New Roman" w:cs="Times New Roman"/>
        </w:rPr>
        <w:t>cal se ubicará en torno a los Q1</w:t>
      </w:r>
      <w:r w:rsidR="009929EE">
        <w:rPr>
          <w:rFonts w:ascii="Times New Roman" w:hAnsi="Times New Roman" w:cs="Times New Roman"/>
        </w:rPr>
        <w:t>4</w:t>
      </w:r>
      <w:r w:rsidRPr="004133EB">
        <w:rPr>
          <w:rFonts w:ascii="Times New Roman" w:hAnsi="Times New Roman" w:cs="Times New Roman"/>
        </w:rPr>
        <w:t>,</w:t>
      </w:r>
      <w:r w:rsidR="009929EE">
        <w:rPr>
          <w:rFonts w:ascii="Times New Roman" w:hAnsi="Times New Roman" w:cs="Times New Roman"/>
        </w:rPr>
        <w:t>757</w:t>
      </w:r>
      <w:r w:rsidRPr="004133EB">
        <w:rPr>
          <w:rFonts w:ascii="Times New Roman" w:hAnsi="Times New Roman" w:cs="Times New Roman"/>
        </w:rPr>
        <w:t>.</w:t>
      </w:r>
      <w:r w:rsidR="009929EE">
        <w:rPr>
          <w:rFonts w:ascii="Times New Roman" w:hAnsi="Times New Roman" w:cs="Times New Roman"/>
        </w:rPr>
        <w:t>4</w:t>
      </w:r>
      <w:r w:rsidRPr="004133EB">
        <w:rPr>
          <w:rFonts w:ascii="Times New Roman" w:hAnsi="Times New Roman" w:cs="Times New Roman"/>
        </w:rPr>
        <w:t xml:space="preserve"> millones, equivalente a </w:t>
      </w:r>
      <w:r w:rsidR="009929EE">
        <w:rPr>
          <w:rFonts w:ascii="Times New Roman" w:hAnsi="Times New Roman" w:cs="Times New Roman"/>
        </w:rPr>
        <w:t>2.</w:t>
      </w:r>
      <w:r w:rsidR="00CB0755">
        <w:rPr>
          <w:rFonts w:ascii="Times New Roman" w:hAnsi="Times New Roman" w:cs="Times New Roman"/>
        </w:rPr>
        <w:t>3</w:t>
      </w:r>
      <w:r w:rsidRPr="004133EB">
        <w:rPr>
          <w:rFonts w:ascii="Times New Roman" w:hAnsi="Times New Roman" w:cs="Times New Roman"/>
        </w:rPr>
        <w:t>% del PIB, nivel</w:t>
      </w:r>
      <w:r w:rsidR="00CB0755">
        <w:rPr>
          <w:rFonts w:ascii="Times New Roman" w:hAnsi="Times New Roman" w:cs="Times New Roman"/>
        </w:rPr>
        <w:t xml:space="preserve"> inferior</w:t>
      </w:r>
      <w:r w:rsidRPr="004133EB">
        <w:rPr>
          <w:rFonts w:ascii="Times New Roman" w:hAnsi="Times New Roman" w:cs="Times New Roman"/>
        </w:rPr>
        <w:t xml:space="preserve"> </w:t>
      </w:r>
      <w:r w:rsidR="00CB0755">
        <w:rPr>
          <w:rFonts w:ascii="Times New Roman" w:hAnsi="Times New Roman" w:cs="Times New Roman"/>
        </w:rPr>
        <w:t>a lo obtenido en 2020</w:t>
      </w:r>
      <w:r w:rsidRPr="004133EB">
        <w:rPr>
          <w:rFonts w:ascii="Times New Roman" w:hAnsi="Times New Roman" w:cs="Times New Roman"/>
        </w:rPr>
        <w:t xml:space="preserve"> en </w:t>
      </w:r>
      <w:r w:rsidR="000E6F12" w:rsidRPr="004133EB">
        <w:rPr>
          <w:rFonts w:ascii="Times New Roman" w:hAnsi="Times New Roman" w:cs="Times New Roman"/>
        </w:rPr>
        <w:t>donde el déficit se ubicó en</w:t>
      </w:r>
      <w:r w:rsidR="00CB0755">
        <w:rPr>
          <w:rFonts w:ascii="Times New Roman" w:hAnsi="Times New Roman" w:cs="Times New Roman"/>
        </w:rPr>
        <w:t xml:space="preserve"> </w:t>
      </w:r>
      <w:r w:rsidR="00527FDB">
        <w:rPr>
          <w:rFonts w:ascii="Times New Roman" w:hAnsi="Times New Roman" w:cs="Times New Roman"/>
        </w:rPr>
        <w:t>Q</w:t>
      </w:r>
      <w:r w:rsidR="00CB0755">
        <w:rPr>
          <w:rFonts w:ascii="Times New Roman" w:hAnsi="Times New Roman" w:cs="Times New Roman"/>
        </w:rPr>
        <w:t>29,463.4 millones, equivalente al 4</w:t>
      </w:r>
      <w:r w:rsidRPr="004133EB">
        <w:rPr>
          <w:rFonts w:ascii="Times New Roman" w:hAnsi="Times New Roman" w:cs="Times New Roman"/>
        </w:rPr>
        <w:t>.</w:t>
      </w:r>
      <w:r w:rsidR="00CB0755">
        <w:rPr>
          <w:rFonts w:ascii="Times New Roman" w:hAnsi="Times New Roman" w:cs="Times New Roman"/>
        </w:rPr>
        <w:t>9</w:t>
      </w:r>
      <w:r w:rsidRPr="004133EB">
        <w:rPr>
          <w:rFonts w:ascii="Times New Roman" w:hAnsi="Times New Roman" w:cs="Times New Roman"/>
        </w:rPr>
        <w:t xml:space="preserve">% del PIB. </w:t>
      </w:r>
      <w:r w:rsidR="00425F8C" w:rsidRPr="004133EB">
        <w:rPr>
          <w:rFonts w:ascii="Times New Roman" w:hAnsi="Times New Roman" w:cs="Times New Roman"/>
        </w:rPr>
        <w:t>E</w:t>
      </w:r>
      <w:r w:rsidRPr="004133EB">
        <w:rPr>
          <w:rFonts w:ascii="Times New Roman" w:hAnsi="Times New Roman" w:cs="Times New Roman"/>
        </w:rPr>
        <w:t xml:space="preserve">l resultado de </w:t>
      </w:r>
      <w:r w:rsidR="00CB0755">
        <w:rPr>
          <w:rFonts w:ascii="Times New Roman" w:hAnsi="Times New Roman" w:cs="Times New Roman"/>
        </w:rPr>
        <w:t>2021 estará por debajo</w:t>
      </w:r>
      <w:r w:rsidR="00425F8C" w:rsidRPr="004133EB">
        <w:rPr>
          <w:rFonts w:ascii="Times New Roman" w:hAnsi="Times New Roman" w:cs="Times New Roman"/>
        </w:rPr>
        <w:t xml:space="preserve"> d</w:t>
      </w:r>
      <w:r w:rsidRPr="004133EB">
        <w:rPr>
          <w:rFonts w:ascii="Times New Roman" w:hAnsi="Times New Roman" w:cs="Times New Roman"/>
        </w:rPr>
        <w:t>e lo estimado en presupuesto para este año ya que se había previsto</w:t>
      </w:r>
      <w:r w:rsidR="004C6A23" w:rsidRPr="004133EB">
        <w:rPr>
          <w:rFonts w:ascii="Times New Roman" w:hAnsi="Times New Roman" w:cs="Times New Roman"/>
        </w:rPr>
        <w:t>, según presupuesto,</w:t>
      </w:r>
      <w:r w:rsidRPr="004133EB">
        <w:rPr>
          <w:rFonts w:ascii="Times New Roman" w:hAnsi="Times New Roman" w:cs="Times New Roman"/>
        </w:rPr>
        <w:t xml:space="preserve"> un déficit de </w:t>
      </w:r>
      <w:r w:rsidR="00C101AE" w:rsidRPr="004133EB">
        <w:rPr>
          <w:rFonts w:ascii="Times New Roman" w:hAnsi="Times New Roman" w:cs="Times New Roman"/>
        </w:rPr>
        <w:t>5</w:t>
      </w:r>
      <w:r w:rsidRPr="004133EB">
        <w:rPr>
          <w:rFonts w:ascii="Times New Roman" w:hAnsi="Times New Roman" w:cs="Times New Roman"/>
        </w:rPr>
        <w:t>.</w:t>
      </w:r>
      <w:r w:rsidR="009929EE">
        <w:rPr>
          <w:rFonts w:ascii="Times New Roman" w:hAnsi="Times New Roman" w:cs="Times New Roman"/>
        </w:rPr>
        <w:t>4</w:t>
      </w:r>
      <w:r w:rsidRPr="004133EB">
        <w:rPr>
          <w:rFonts w:ascii="Times New Roman" w:hAnsi="Times New Roman" w:cs="Times New Roman"/>
        </w:rPr>
        <w:t>% del PIB</w:t>
      </w:r>
      <w:r w:rsidR="00CB0755">
        <w:rPr>
          <w:rFonts w:ascii="Times New Roman" w:hAnsi="Times New Roman" w:cs="Times New Roman"/>
        </w:rPr>
        <w:t>, aunque hay que consi</w:t>
      </w:r>
      <w:r w:rsidR="003A2D12">
        <w:rPr>
          <w:rFonts w:ascii="Times New Roman" w:hAnsi="Times New Roman" w:cs="Times New Roman"/>
        </w:rPr>
        <w:t>derar que este presupuesto aun contiene</w:t>
      </w:r>
      <w:r w:rsidR="00CB0755">
        <w:rPr>
          <w:rFonts w:ascii="Times New Roman" w:hAnsi="Times New Roman" w:cs="Times New Roman"/>
        </w:rPr>
        <w:t xml:space="preserve"> las ampliaciones realizadas en 2020 para la atenci</w:t>
      </w:r>
      <w:r w:rsidR="00B227B4">
        <w:rPr>
          <w:rFonts w:ascii="Times New Roman" w:hAnsi="Times New Roman" w:cs="Times New Roman"/>
        </w:rPr>
        <w:t xml:space="preserve">ón del COVID-19 y otros compromisos que era necesario atender. </w:t>
      </w:r>
    </w:p>
    <w:p w14:paraId="03BAA4C3" w14:textId="77777777" w:rsidR="000865B9" w:rsidRPr="004133EB" w:rsidRDefault="000865B9" w:rsidP="000865B9">
      <w:pPr>
        <w:spacing w:after="0" w:line="240" w:lineRule="auto"/>
        <w:jc w:val="both"/>
        <w:rPr>
          <w:rFonts w:ascii="Times New Roman" w:hAnsi="Times New Roman" w:cs="Times New Roman"/>
        </w:rPr>
      </w:pPr>
    </w:p>
    <w:p w14:paraId="2A4F7813" w14:textId="1F6A32EF" w:rsidR="000865B9" w:rsidRPr="004133EB" w:rsidRDefault="003A2D12" w:rsidP="000865B9">
      <w:pPr>
        <w:spacing w:after="0" w:line="240" w:lineRule="auto"/>
        <w:jc w:val="both"/>
        <w:rPr>
          <w:rFonts w:ascii="Times New Roman" w:hAnsi="Times New Roman" w:cs="Times New Roman"/>
        </w:rPr>
      </w:pPr>
      <w:r>
        <w:rPr>
          <w:rFonts w:ascii="Times New Roman" w:hAnsi="Times New Roman" w:cs="Times New Roman"/>
        </w:rPr>
        <w:t>Es importante mencionar que, e</w:t>
      </w:r>
      <w:r w:rsidR="008A4E63" w:rsidRPr="004133EB">
        <w:rPr>
          <w:rFonts w:ascii="Times New Roman" w:hAnsi="Times New Roman" w:cs="Times New Roman"/>
        </w:rPr>
        <w:t xml:space="preserve">l déficit fiscal </w:t>
      </w:r>
      <w:r w:rsidR="00B90D10" w:rsidRPr="004133EB">
        <w:rPr>
          <w:rFonts w:ascii="Times New Roman" w:hAnsi="Times New Roman" w:cs="Times New Roman"/>
        </w:rPr>
        <w:t>después</w:t>
      </w:r>
      <w:r w:rsidR="008A4E63" w:rsidRPr="004133EB">
        <w:rPr>
          <w:rFonts w:ascii="Times New Roman" w:hAnsi="Times New Roman" w:cs="Times New Roman"/>
        </w:rPr>
        <w:t xml:space="preserve"> de la crisis económica internacional de 2009-2010 se fue reduciendo gradualmente como parte del objetivo de consolidación fiscal que se había previsto para los años 2011-2015</w:t>
      </w:r>
      <w:r w:rsidR="007D22B3">
        <w:rPr>
          <w:rFonts w:ascii="Times New Roman" w:hAnsi="Times New Roman" w:cs="Times New Roman"/>
        </w:rPr>
        <w:t xml:space="preserve">.  Asimismo, en </w:t>
      </w:r>
      <w:r w:rsidR="008A4E63" w:rsidRPr="004133EB">
        <w:rPr>
          <w:rFonts w:ascii="Times New Roman" w:hAnsi="Times New Roman" w:cs="Times New Roman"/>
        </w:rPr>
        <w:t xml:space="preserve">2016 se redujo nuevamente </w:t>
      </w:r>
      <w:r w:rsidR="00507DC9" w:rsidRPr="004133EB">
        <w:rPr>
          <w:rFonts w:ascii="Times New Roman" w:hAnsi="Times New Roman" w:cs="Times New Roman"/>
        </w:rPr>
        <w:t>derivado de que fue el inicio de una nueva administración pública y las secuelas de la crisis institucional de 2015</w:t>
      </w:r>
      <w:r w:rsidR="00484727" w:rsidRPr="004133EB">
        <w:rPr>
          <w:rFonts w:ascii="Times New Roman" w:hAnsi="Times New Roman" w:cs="Times New Roman"/>
        </w:rPr>
        <w:t>,</w:t>
      </w:r>
      <w:r w:rsidR="00507DC9" w:rsidRPr="004133EB">
        <w:rPr>
          <w:rFonts w:ascii="Times New Roman" w:hAnsi="Times New Roman" w:cs="Times New Roman"/>
        </w:rPr>
        <w:t xml:space="preserve"> afect</w:t>
      </w:r>
      <w:r w:rsidR="00484727" w:rsidRPr="004133EB">
        <w:rPr>
          <w:rFonts w:ascii="Times New Roman" w:hAnsi="Times New Roman" w:cs="Times New Roman"/>
        </w:rPr>
        <w:t>aron</w:t>
      </w:r>
      <w:r w:rsidR="00507DC9" w:rsidRPr="004133EB">
        <w:rPr>
          <w:rFonts w:ascii="Times New Roman" w:hAnsi="Times New Roman" w:cs="Times New Roman"/>
        </w:rPr>
        <w:t xml:space="preserve"> también la ejecución, posteriormente, se ha dado</w:t>
      </w:r>
      <w:r w:rsidR="008A4E63" w:rsidRPr="004133EB">
        <w:rPr>
          <w:rFonts w:ascii="Times New Roman" w:hAnsi="Times New Roman" w:cs="Times New Roman"/>
        </w:rPr>
        <w:t xml:space="preserve"> un crecimiento gradual en el déficit pasando de 1.1% del PIB en 2016 a</w:t>
      </w:r>
      <w:r w:rsidR="00C101AE" w:rsidRPr="004133EB">
        <w:rPr>
          <w:rFonts w:ascii="Times New Roman" w:hAnsi="Times New Roman" w:cs="Times New Roman"/>
        </w:rPr>
        <w:t>l</w:t>
      </w:r>
      <w:r w:rsidR="008A4E63" w:rsidRPr="004133EB">
        <w:rPr>
          <w:rFonts w:ascii="Times New Roman" w:hAnsi="Times New Roman" w:cs="Times New Roman"/>
        </w:rPr>
        <w:t xml:space="preserve"> 2.</w:t>
      </w:r>
      <w:r w:rsidR="00C101AE" w:rsidRPr="004133EB">
        <w:rPr>
          <w:rFonts w:ascii="Times New Roman" w:hAnsi="Times New Roman" w:cs="Times New Roman"/>
        </w:rPr>
        <w:t>2</w:t>
      </w:r>
      <w:r w:rsidR="008A4E63" w:rsidRPr="004133EB">
        <w:rPr>
          <w:rFonts w:ascii="Times New Roman" w:hAnsi="Times New Roman" w:cs="Times New Roman"/>
        </w:rPr>
        <w:t xml:space="preserve">% del PIB </w:t>
      </w:r>
      <w:r w:rsidR="00AE413D" w:rsidRPr="004133EB">
        <w:rPr>
          <w:rFonts w:ascii="Times New Roman" w:hAnsi="Times New Roman" w:cs="Times New Roman"/>
        </w:rPr>
        <w:t xml:space="preserve">observado en el 2019, </w:t>
      </w:r>
      <w:r w:rsidR="008A4E63" w:rsidRPr="004133EB">
        <w:rPr>
          <w:rFonts w:ascii="Times New Roman" w:hAnsi="Times New Roman" w:cs="Times New Roman"/>
        </w:rPr>
        <w:t>lo cual est</w:t>
      </w:r>
      <w:r w:rsidR="00AE413D" w:rsidRPr="004133EB">
        <w:rPr>
          <w:rFonts w:ascii="Times New Roman" w:hAnsi="Times New Roman" w:cs="Times New Roman"/>
        </w:rPr>
        <w:t>uvo</w:t>
      </w:r>
      <w:r w:rsidR="008A4E63" w:rsidRPr="004133EB">
        <w:rPr>
          <w:rFonts w:ascii="Times New Roman" w:hAnsi="Times New Roman" w:cs="Times New Roman"/>
        </w:rPr>
        <w:t xml:space="preserve"> determinado por la reducción en los ingresos fiscales principalmente tributarios y un aumento en el gasto público fundamentalmente en la inversión</w:t>
      </w:r>
      <w:r w:rsidR="00527FDB">
        <w:rPr>
          <w:rFonts w:ascii="Times New Roman" w:hAnsi="Times New Roman" w:cs="Times New Roman"/>
        </w:rPr>
        <w:t>.</w:t>
      </w:r>
    </w:p>
    <w:p w14:paraId="45BE4353" w14:textId="77777777" w:rsidR="005D5970" w:rsidRPr="004133EB" w:rsidRDefault="005D5970" w:rsidP="000865B9">
      <w:pPr>
        <w:spacing w:after="0" w:line="240" w:lineRule="auto"/>
        <w:jc w:val="both"/>
        <w:rPr>
          <w:rFonts w:ascii="Times New Roman" w:hAnsi="Times New Roman" w:cs="Times New Roman"/>
        </w:rPr>
      </w:pPr>
    </w:p>
    <w:p w14:paraId="2F299980" w14:textId="6F0F4BD0" w:rsidR="00AE413D" w:rsidRDefault="00527FDB" w:rsidP="000865B9">
      <w:pPr>
        <w:spacing w:after="0" w:line="240" w:lineRule="auto"/>
        <w:jc w:val="both"/>
        <w:rPr>
          <w:rFonts w:ascii="Times New Roman" w:hAnsi="Times New Roman" w:cs="Times New Roman"/>
        </w:rPr>
      </w:pPr>
      <w:r>
        <w:rPr>
          <w:rFonts w:ascii="Times New Roman" w:hAnsi="Times New Roman" w:cs="Times New Roman"/>
        </w:rPr>
        <w:t>P</w:t>
      </w:r>
      <w:r w:rsidR="00AE413D" w:rsidRPr="004133EB">
        <w:rPr>
          <w:rFonts w:ascii="Times New Roman" w:hAnsi="Times New Roman" w:cs="Times New Roman"/>
        </w:rPr>
        <w:t>ara 2020</w:t>
      </w:r>
      <w:r w:rsidR="003A2D12">
        <w:rPr>
          <w:rFonts w:ascii="Times New Roman" w:hAnsi="Times New Roman" w:cs="Times New Roman"/>
        </w:rPr>
        <w:t>,</w:t>
      </w:r>
      <w:r w:rsidR="009929EE">
        <w:rPr>
          <w:rFonts w:ascii="Times New Roman" w:hAnsi="Times New Roman" w:cs="Times New Roman"/>
        </w:rPr>
        <w:t xml:space="preserve"> por las particularidades propias de ese año,</w:t>
      </w:r>
      <w:r w:rsidR="00AE413D" w:rsidRPr="004133EB">
        <w:rPr>
          <w:rFonts w:ascii="Times New Roman" w:hAnsi="Times New Roman" w:cs="Times New Roman"/>
        </w:rPr>
        <w:t xml:space="preserve"> se </w:t>
      </w:r>
      <w:r>
        <w:rPr>
          <w:rFonts w:ascii="Times New Roman" w:hAnsi="Times New Roman" w:cs="Times New Roman"/>
        </w:rPr>
        <w:t xml:space="preserve">dio un </w:t>
      </w:r>
      <w:r w:rsidR="00AE413D" w:rsidRPr="004133EB">
        <w:rPr>
          <w:rFonts w:ascii="Times New Roman" w:hAnsi="Times New Roman" w:cs="Times New Roman"/>
        </w:rPr>
        <w:t>salto importante del déficit</w:t>
      </w:r>
      <w:r w:rsidR="00163D5D" w:rsidRPr="004133EB">
        <w:rPr>
          <w:rFonts w:ascii="Times New Roman" w:hAnsi="Times New Roman" w:cs="Times New Roman"/>
        </w:rPr>
        <w:t xml:space="preserve"> fiscal</w:t>
      </w:r>
      <w:r>
        <w:rPr>
          <w:rFonts w:ascii="Times New Roman" w:hAnsi="Times New Roman" w:cs="Times New Roman"/>
        </w:rPr>
        <w:t xml:space="preserve"> al ubicarlo en 4.9%</w:t>
      </w:r>
      <w:r w:rsidR="005260E7" w:rsidRPr="004133EB">
        <w:rPr>
          <w:rFonts w:ascii="Times New Roman" w:hAnsi="Times New Roman" w:cs="Times New Roman"/>
        </w:rPr>
        <w:t xml:space="preserve">, </w:t>
      </w:r>
      <w:r w:rsidR="00AE413D" w:rsidRPr="004133EB">
        <w:rPr>
          <w:rFonts w:ascii="Times New Roman" w:hAnsi="Times New Roman" w:cs="Times New Roman"/>
        </w:rPr>
        <w:t xml:space="preserve">por una </w:t>
      </w:r>
      <w:r w:rsidR="00163D5D" w:rsidRPr="004133EB">
        <w:rPr>
          <w:rFonts w:ascii="Times New Roman" w:hAnsi="Times New Roman" w:cs="Times New Roman"/>
        </w:rPr>
        <w:t>parte,</w:t>
      </w:r>
      <w:r w:rsidR="00AE413D" w:rsidRPr="004133EB">
        <w:rPr>
          <w:rFonts w:ascii="Times New Roman" w:hAnsi="Times New Roman" w:cs="Times New Roman"/>
        </w:rPr>
        <w:t xml:space="preserve"> derivado de las ampliaciones presupuestarias para atender las necesidades institucionales</w:t>
      </w:r>
      <w:r w:rsidR="00163D5D" w:rsidRPr="004133EB">
        <w:rPr>
          <w:rFonts w:ascii="Times New Roman" w:hAnsi="Times New Roman" w:cs="Times New Roman"/>
        </w:rPr>
        <w:t xml:space="preserve"> y viabilizar la ejecución</w:t>
      </w:r>
      <w:r w:rsidR="00AE413D" w:rsidRPr="004133EB">
        <w:rPr>
          <w:rFonts w:ascii="Times New Roman" w:hAnsi="Times New Roman" w:cs="Times New Roman"/>
        </w:rPr>
        <w:t xml:space="preserve"> a causa de que el presupuesto no fue aprobado</w:t>
      </w:r>
      <w:r w:rsidR="003A2D12">
        <w:rPr>
          <w:rFonts w:ascii="Times New Roman" w:hAnsi="Times New Roman" w:cs="Times New Roman"/>
        </w:rPr>
        <w:t xml:space="preserve">, y por otro, quizás el más importante por </w:t>
      </w:r>
      <w:r w:rsidR="00AE413D" w:rsidRPr="004133EB">
        <w:rPr>
          <w:rFonts w:ascii="Times New Roman" w:hAnsi="Times New Roman" w:cs="Times New Roman"/>
        </w:rPr>
        <w:t>la crisis ocasionada por el COVID-19</w:t>
      </w:r>
      <w:r w:rsidR="003A2D12">
        <w:rPr>
          <w:rFonts w:ascii="Times New Roman" w:hAnsi="Times New Roman" w:cs="Times New Roman"/>
        </w:rPr>
        <w:t xml:space="preserve"> que</w:t>
      </w:r>
      <w:r w:rsidR="00643CD6">
        <w:rPr>
          <w:rFonts w:ascii="Times New Roman" w:hAnsi="Times New Roman" w:cs="Times New Roman"/>
        </w:rPr>
        <w:t xml:space="preserve"> hizo necesario aliviar </w:t>
      </w:r>
      <w:r w:rsidR="00AE413D" w:rsidRPr="004133EB">
        <w:rPr>
          <w:rFonts w:ascii="Times New Roman" w:hAnsi="Times New Roman" w:cs="Times New Roman"/>
        </w:rPr>
        <w:t>la</w:t>
      </w:r>
      <w:r w:rsidR="00643CD6">
        <w:rPr>
          <w:rFonts w:ascii="Times New Roman" w:hAnsi="Times New Roman" w:cs="Times New Roman"/>
        </w:rPr>
        <w:t>s</w:t>
      </w:r>
      <w:r w:rsidR="00AE413D" w:rsidRPr="004133EB">
        <w:rPr>
          <w:rFonts w:ascii="Times New Roman" w:hAnsi="Times New Roman" w:cs="Times New Roman"/>
        </w:rPr>
        <w:t xml:space="preserve"> necesidades</w:t>
      </w:r>
      <w:r w:rsidR="00643CD6">
        <w:rPr>
          <w:rFonts w:ascii="Times New Roman" w:hAnsi="Times New Roman" w:cs="Times New Roman"/>
        </w:rPr>
        <w:t xml:space="preserve"> más urgentes</w:t>
      </w:r>
      <w:r w:rsidR="00AE413D" w:rsidRPr="004133EB">
        <w:rPr>
          <w:rFonts w:ascii="Times New Roman" w:hAnsi="Times New Roman" w:cs="Times New Roman"/>
        </w:rPr>
        <w:t xml:space="preserve"> de la población.  </w:t>
      </w:r>
    </w:p>
    <w:p w14:paraId="69F28EE0" w14:textId="77777777" w:rsidR="00527FDB" w:rsidRDefault="00527FDB" w:rsidP="000865B9">
      <w:pPr>
        <w:spacing w:after="0" w:line="240" w:lineRule="auto"/>
        <w:jc w:val="both"/>
        <w:rPr>
          <w:rFonts w:ascii="Times New Roman" w:hAnsi="Times New Roman" w:cs="Times New Roman"/>
        </w:rPr>
      </w:pPr>
    </w:p>
    <w:p w14:paraId="19601D3D" w14:textId="1318EDE9" w:rsidR="00527FDB" w:rsidRDefault="00527FDB" w:rsidP="000865B9">
      <w:pPr>
        <w:spacing w:after="0" w:line="240" w:lineRule="auto"/>
        <w:jc w:val="both"/>
        <w:rPr>
          <w:rFonts w:ascii="Times New Roman" w:hAnsi="Times New Roman" w:cs="Times New Roman"/>
        </w:rPr>
      </w:pPr>
      <w:r>
        <w:rPr>
          <w:rFonts w:ascii="Times New Roman" w:hAnsi="Times New Roman" w:cs="Times New Roman"/>
        </w:rPr>
        <w:t>No obstante, para 2021 habrá una importante disminución</w:t>
      </w:r>
      <w:r w:rsidR="00F43415">
        <w:rPr>
          <w:rFonts w:ascii="Times New Roman" w:hAnsi="Times New Roman" w:cs="Times New Roman"/>
        </w:rPr>
        <w:t xml:space="preserve"> del déficit fiscal</w:t>
      </w:r>
      <w:r>
        <w:rPr>
          <w:rFonts w:ascii="Times New Roman" w:hAnsi="Times New Roman" w:cs="Times New Roman"/>
        </w:rPr>
        <w:t xml:space="preserve">, si bien aún se encuentra por arriba del nivel observado en los años previos (2013-2019), en este ejercicio fiscal se tiene estimado dar inicio al proceso de consolidación para retornar </w:t>
      </w:r>
      <w:r w:rsidR="00546C87">
        <w:rPr>
          <w:rFonts w:ascii="Times New Roman" w:hAnsi="Times New Roman" w:cs="Times New Roman"/>
        </w:rPr>
        <w:t xml:space="preserve">en el mediano plazo </w:t>
      </w:r>
      <w:r>
        <w:rPr>
          <w:rFonts w:ascii="Times New Roman" w:hAnsi="Times New Roman" w:cs="Times New Roman"/>
        </w:rPr>
        <w:t>los niveles previos a la crisis del COVID-19.</w:t>
      </w:r>
    </w:p>
    <w:p w14:paraId="174E7C4A" w14:textId="77777777" w:rsidR="005A2863" w:rsidRDefault="005A2863" w:rsidP="000865B9">
      <w:pPr>
        <w:spacing w:after="0" w:line="240" w:lineRule="auto"/>
        <w:jc w:val="both"/>
        <w:rPr>
          <w:rFonts w:ascii="Times New Roman" w:hAnsi="Times New Roman" w:cs="Times New Roman"/>
        </w:rPr>
      </w:pPr>
    </w:p>
    <w:p w14:paraId="3902CF2B" w14:textId="772DCB37" w:rsidR="003E14B7" w:rsidRPr="00484ED3" w:rsidRDefault="003E14B7" w:rsidP="00484ED3">
      <w:pPr>
        <w:pStyle w:val="Epgrafe"/>
        <w:keepNext/>
        <w:spacing w:after="0"/>
        <w:jc w:val="center"/>
        <w:rPr>
          <w:rFonts w:ascii="Times New Roman" w:hAnsi="Times New Roman" w:cs="Times New Roman"/>
          <w:b/>
          <w:i w:val="0"/>
          <w:color w:val="auto"/>
          <w:sz w:val="22"/>
          <w:szCs w:val="22"/>
        </w:rPr>
      </w:pPr>
      <w:bookmarkStart w:id="1187" w:name="_Toc81573094"/>
      <w:r w:rsidRPr="003E14B7">
        <w:rPr>
          <w:rFonts w:ascii="Times New Roman" w:hAnsi="Times New Roman" w:cs="Times New Roman"/>
          <w:b/>
          <w:color w:val="auto"/>
          <w:sz w:val="20"/>
        </w:rPr>
        <w:t xml:space="preserve">Gráfico </w:t>
      </w:r>
      <w:r w:rsidRPr="003E14B7">
        <w:rPr>
          <w:rFonts w:ascii="Times New Roman" w:hAnsi="Times New Roman" w:cs="Times New Roman"/>
          <w:b/>
          <w:color w:val="auto"/>
          <w:sz w:val="20"/>
        </w:rPr>
        <w:fldChar w:fldCharType="begin"/>
      </w:r>
      <w:r w:rsidRPr="003E14B7">
        <w:rPr>
          <w:rFonts w:ascii="Times New Roman" w:hAnsi="Times New Roman" w:cs="Times New Roman"/>
          <w:b/>
          <w:color w:val="auto"/>
          <w:sz w:val="20"/>
        </w:rPr>
        <w:instrText xml:space="preserve"> SEQ Gráfico \* ARABIC </w:instrText>
      </w:r>
      <w:r w:rsidRPr="003E14B7">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44</w:t>
      </w:r>
      <w:r w:rsidRPr="003E14B7">
        <w:rPr>
          <w:rFonts w:ascii="Times New Roman" w:hAnsi="Times New Roman" w:cs="Times New Roman"/>
          <w:b/>
          <w:color w:val="auto"/>
          <w:sz w:val="20"/>
        </w:rPr>
        <w:fldChar w:fldCharType="end"/>
      </w:r>
      <w:r w:rsidRPr="003E14B7">
        <w:rPr>
          <w:rFonts w:ascii="Times New Roman" w:hAnsi="Times New Roman" w:cs="Times New Roman"/>
          <w:b/>
          <w:color w:val="auto"/>
          <w:sz w:val="20"/>
        </w:rPr>
        <w:t xml:space="preserve">  </w:t>
      </w:r>
      <w:bookmarkStart w:id="1188" w:name="_Toc50016846"/>
      <w:r w:rsidRPr="00C31EDC">
        <w:rPr>
          <w:rFonts w:ascii="Times New Roman" w:hAnsi="Times New Roman" w:cs="Times New Roman"/>
          <w:b/>
          <w:i w:val="0"/>
          <w:color w:val="auto"/>
          <w:sz w:val="22"/>
          <w:szCs w:val="22"/>
        </w:rPr>
        <w:t>Déficit fiscal</w:t>
      </w:r>
      <w:bookmarkEnd w:id="1187"/>
      <w:bookmarkEnd w:id="1188"/>
    </w:p>
    <w:tbl>
      <w:tblPr>
        <w:tblW w:w="0" w:type="auto"/>
        <w:jc w:val="center"/>
        <w:tblLook w:val="04A0" w:firstRow="1" w:lastRow="0" w:firstColumn="1" w:lastColumn="0" w:noHBand="0" w:noVBand="1"/>
      </w:tblPr>
      <w:tblGrid>
        <w:gridCol w:w="8856"/>
      </w:tblGrid>
      <w:tr w:rsidR="0002183E" w:rsidRPr="004133EB" w14:paraId="6D139062" w14:textId="77777777" w:rsidTr="005A2863">
        <w:trPr>
          <w:trHeight w:val="212"/>
          <w:jc w:val="center"/>
        </w:trPr>
        <w:tc>
          <w:tcPr>
            <w:tcW w:w="8838" w:type="dxa"/>
          </w:tcPr>
          <w:p w14:paraId="3BD26582" w14:textId="77777777" w:rsidR="0002183E" w:rsidRPr="004133EB" w:rsidRDefault="0002183E" w:rsidP="00F738F6">
            <w:pPr>
              <w:pStyle w:val="Sinespaciado"/>
              <w:jc w:val="center"/>
              <w:rPr>
                <w:rFonts w:ascii="Times New Roman" w:hAnsi="Times New Roman" w:cs="Times New Roman"/>
                <w:sz w:val="18"/>
              </w:rPr>
            </w:pPr>
            <w:r w:rsidRPr="004133EB">
              <w:rPr>
                <w:rFonts w:ascii="Times New Roman" w:hAnsi="Times New Roman" w:cs="Times New Roman"/>
                <w:sz w:val="18"/>
              </w:rPr>
              <w:t>2012 -20</w:t>
            </w:r>
            <w:r w:rsidR="00112A24">
              <w:rPr>
                <w:rFonts w:ascii="Times New Roman" w:hAnsi="Times New Roman" w:cs="Times New Roman"/>
                <w:sz w:val="18"/>
              </w:rPr>
              <w:t>21</w:t>
            </w:r>
            <w:r w:rsidRPr="004133EB">
              <w:rPr>
                <w:rFonts w:ascii="Times New Roman" w:hAnsi="Times New Roman" w:cs="Times New Roman"/>
                <w:sz w:val="18"/>
              </w:rPr>
              <w:t>*</w:t>
            </w:r>
          </w:p>
          <w:p w14:paraId="118D119C" w14:textId="77777777" w:rsidR="0002183E" w:rsidRDefault="0002183E" w:rsidP="00F738F6">
            <w:pPr>
              <w:pStyle w:val="Sinespaciado"/>
              <w:jc w:val="center"/>
              <w:rPr>
                <w:rFonts w:ascii="Times New Roman" w:hAnsi="Times New Roman" w:cs="Times New Roman"/>
                <w:sz w:val="18"/>
              </w:rPr>
            </w:pPr>
            <w:r w:rsidRPr="004133EB">
              <w:rPr>
                <w:rFonts w:ascii="Times New Roman" w:hAnsi="Times New Roman" w:cs="Times New Roman"/>
                <w:sz w:val="18"/>
              </w:rPr>
              <w:t>Porcentajes del PIB</w:t>
            </w:r>
          </w:p>
          <w:p w14:paraId="6BE937EE" w14:textId="77777777" w:rsidR="00112A24" w:rsidRPr="004133EB" w:rsidRDefault="00112A24" w:rsidP="00F738F6">
            <w:pPr>
              <w:pStyle w:val="Sinespaciado"/>
              <w:jc w:val="center"/>
              <w:rPr>
                <w:rFonts w:ascii="Times New Roman" w:hAnsi="Times New Roman" w:cs="Times New Roman"/>
              </w:rPr>
            </w:pPr>
            <w:r>
              <w:rPr>
                <w:rFonts w:ascii="Times New Roman" w:hAnsi="Times New Roman" w:cs="Times New Roman"/>
                <w:noProof/>
                <w:lang w:val="es-ES" w:eastAsia="es-ES"/>
              </w:rPr>
              <w:drawing>
                <wp:inline distT="0" distB="0" distL="0" distR="0" wp14:anchorId="07EA61E4" wp14:editId="03FB1C2D">
                  <wp:extent cx="5486400" cy="2209800"/>
                  <wp:effectExtent l="0" t="0" r="0" b="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02183E" w:rsidRPr="004133EB" w14:paraId="2669C1CA" w14:textId="77777777" w:rsidTr="005A2863">
        <w:tblPrEx>
          <w:tblCellMar>
            <w:left w:w="70" w:type="dxa"/>
            <w:right w:w="70" w:type="dxa"/>
          </w:tblCellMar>
        </w:tblPrEx>
        <w:trPr>
          <w:trHeight w:val="178"/>
          <w:jc w:val="center"/>
        </w:trPr>
        <w:tc>
          <w:tcPr>
            <w:tcW w:w="8838" w:type="dxa"/>
          </w:tcPr>
          <w:p w14:paraId="2296E13C" w14:textId="77777777" w:rsidR="0002183E" w:rsidRDefault="0002183E" w:rsidP="00163D5D">
            <w:pPr>
              <w:pStyle w:val="Sinespaciado"/>
              <w:jc w:val="both"/>
              <w:rPr>
                <w:rFonts w:ascii="Times New Roman" w:hAnsi="Times New Roman" w:cs="Times New Roman"/>
                <w:b/>
                <w:sz w:val="16"/>
              </w:rPr>
            </w:pPr>
            <w:r w:rsidRPr="004133EB">
              <w:rPr>
                <w:rFonts w:ascii="Times New Roman" w:hAnsi="Times New Roman" w:cs="Times New Roman"/>
                <w:b/>
                <w:sz w:val="16"/>
              </w:rPr>
              <w:t>*Estimación</w:t>
            </w:r>
          </w:p>
          <w:p w14:paraId="114B885A" w14:textId="77777777" w:rsidR="005276F1" w:rsidRDefault="00167300" w:rsidP="00163D5D">
            <w:pPr>
              <w:pStyle w:val="Sinespaciado"/>
              <w:jc w:val="both"/>
              <w:rPr>
                <w:rFonts w:ascii="Times New Roman" w:hAnsi="Times New Roman" w:cs="Times New Roman"/>
                <w:sz w:val="16"/>
              </w:rPr>
            </w:pPr>
            <w:r w:rsidRPr="00167300">
              <w:rPr>
                <w:rFonts w:ascii="Times New Roman" w:hAnsi="Times New Roman" w:cs="Times New Roman"/>
                <w:sz w:val="16"/>
              </w:rPr>
              <w:t xml:space="preserve">Fuente: </w:t>
            </w:r>
            <w:r w:rsidR="00F738F6">
              <w:rPr>
                <w:rFonts w:ascii="Times New Roman" w:hAnsi="Times New Roman" w:cs="Times New Roman"/>
                <w:sz w:val="16"/>
              </w:rPr>
              <w:t>Dirección de Análisis y Política Fiscal</w:t>
            </w:r>
          </w:p>
          <w:p w14:paraId="19BA9819" w14:textId="77777777" w:rsidR="003C5317" w:rsidRPr="005276F1" w:rsidRDefault="003C5317" w:rsidP="00163D5D">
            <w:pPr>
              <w:pStyle w:val="Sinespaciado"/>
              <w:jc w:val="both"/>
              <w:rPr>
                <w:rFonts w:ascii="Times New Roman" w:hAnsi="Times New Roman" w:cs="Times New Roman"/>
                <w:sz w:val="16"/>
              </w:rPr>
            </w:pPr>
          </w:p>
        </w:tc>
      </w:tr>
    </w:tbl>
    <w:p w14:paraId="423C1988" w14:textId="77777777" w:rsidR="0002183E" w:rsidRPr="004133EB" w:rsidRDefault="0002183E" w:rsidP="0024040C">
      <w:pPr>
        <w:pStyle w:val="Sinespaciado"/>
        <w:jc w:val="both"/>
        <w:rPr>
          <w:rFonts w:ascii="Times New Roman" w:hAnsi="Times New Roman" w:cs="Times New Roman"/>
          <w:sz w:val="6"/>
        </w:rPr>
      </w:pPr>
    </w:p>
    <w:p w14:paraId="16AC4442" w14:textId="77777777" w:rsidR="00EA1461" w:rsidRPr="004133EB" w:rsidRDefault="00121E9B" w:rsidP="000865B9">
      <w:pPr>
        <w:spacing w:after="0" w:line="240" w:lineRule="auto"/>
        <w:jc w:val="both"/>
        <w:rPr>
          <w:rFonts w:ascii="Times New Roman" w:hAnsi="Times New Roman" w:cs="Times New Roman"/>
        </w:rPr>
      </w:pPr>
      <w:r w:rsidRPr="004133EB">
        <w:rPr>
          <w:rFonts w:ascii="Times New Roman" w:hAnsi="Times New Roman" w:cs="Times New Roman"/>
        </w:rPr>
        <w:t>Por el lado del financiamiento del déficit fiscal</w:t>
      </w:r>
      <w:r w:rsidR="00651F51" w:rsidRPr="004133EB">
        <w:rPr>
          <w:rFonts w:ascii="Times New Roman" w:hAnsi="Times New Roman" w:cs="Times New Roman"/>
        </w:rPr>
        <w:t xml:space="preserve">, la principal fuente de recursos en </w:t>
      </w:r>
      <w:r w:rsidR="003C5317">
        <w:rPr>
          <w:rFonts w:ascii="Times New Roman" w:hAnsi="Times New Roman" w:cs="Times New Roman"/>
        </w:rPr>
        <w:t>2021</w:t>
      </w:r>
      <w:r w:rsidR="00651F51" w:rsidRPr="004133EB">
        <w:rPr>
          <w:rFonts w:ascii="Times New Roman" w:hAnsi="Times New Roman" w:cs="Times New Roman"/>
        </w:rPr>
        <w:t xml:space="preserve"> proviene de la </w:t>
      </w:r>
      <w:r w:rsidR="00643CD6">
        <w:rPr>
          <w:rFonts w:ascii="Times New Roman" w:hAnsi="Times New Roman" w:cs="Times New Roman"/>
        </w:rPr>
        <w:t xml:space="preserve">nueva </w:t>
      </w:r>
      <w:r w:rsidR="00651F51" w:rsidRPr="004133EB">
        <w:rPr>
          <w:rFonts w:ascii="Times New Roman" w:hAnsi="Times New Roman" w:cs="Times New Roman"/>
        </w:rPr>
        <w:t xml:space="preserve">emisión y colocación de Bonos del Tesoro, </w:t>
      </w:r>
      <w:r w:rsidR="003C5317">
        <w:rPr>
          <w:rFonts w:ascii="Times New Roman" w:hAnsi="Times New Roman" w:cs="Times New Roman"/>
        </w:rPr>
        <w:t>la autorización del</w:t>
      </w:r>
      <w:r w:rsidR="00651F51" w:rsidRPr="004133EB">
        <w:rPr>
          <w:rFonts w:ascii="Times New Roman" w:hAnsi="Times New Roman" w:cs="Times New Roman"/>
        </w:rPr>
        <w:t xml:space="preserve"> Congreso de la República </w:t>
      </w:r>
      <w:r w:rsidR="003C5317">
        <w:rPr>
          <w:rFonts w:ascii="Times New Roman" w:hAnsi="Times New Roman" w:cs="Times New Roman"/>
        </w:rPr>
        <w:t>corresponde al Decreto 25-2018 por</w:t>
      </w:r>
      <w:r w:rsidR="00651F51" w:rsidRPr="004133EB">
        <w:rPr>
          <w:rFonts w:ascii="Times New Roman" w:hAnsi="Times New Roman" w:cs="Times New Roman"/>
        </w:rPr>
        <w:t xml:space="preserve"> Q</w:t>
      </w:r>
      <w:r w:rsidR="00643CD6">
        <w:rPr>
          <w:rFonts w:ascii="Times New Roman" w:hAnsi="Times New Roman" w:cs="Times New Roman"/>
        </w:rPr>
        <w:t>19</w:t>
      </w:r>
      <w:r w:rsidR="00651F51" w:rsidRPr="004133EB">
        <w:rPr>
          <w:rFonts w:ascii="Times New Roman" w:hAnsi="Times New Roman" w:cs="Times New Roman"/>
        </w:rPr>
        <w:t>,</w:t>
      </w:r>
      <w:r w:rsidR="00643CD6">
        <w:rPr>
          <w:rFonts w:ascii="Times New Roman" w:hAnsi="Times New Roman" w:cs="Times New Roman"/>
        </w:rPr>
        <w:t>047</w:t>
      </w:r>
      <w:r w:rsidR="00484727" w:rsidRPr="004133EB">
        <w:rPr>
          <w:rFonts w:ascii="Times New Roman" w:hAnsi="Times New Roman" w:cs="Times New Roman"/>
        </w:rPr>
        <w:t>.</w:t>
      </w:r>
      <w:r w:rsidR="00643CD6">
        <w:rPr>
          <w:rFonts w:ascii="Times New Roman" w:hAnsi="Times New Roman" w:cs="Times New Roman"/>
        </w:rPr>
        <w:t>9</w:t>
      </w:r>
      <w:r w:rsidR="00484727" w:rsidRPr="004133EB">
        <w:rPr>
          <w:rFonts w:ascii="Times New Roman" w:hAnsi="Times New Roman" w:cs="Times New Roman"/>
        </w:rPr>
        <w:t xml:space="preserve"> millones, los cuales podrían</w:t>
      </w:r>
      <w:r w:rsidR="00651F51" w:rsidRPr="004133EB">
        <w:rPr>
          <w:rFonts w:ascii="Times New Roman" w:hAnsi="Times New Roman" w:cs="Times New Roman"/>
        </w:rPr>
        <w:t xml:space="preserve"> ser colocados en el merca</w:t>
      </w:r>
      <w:r w:rsidR="00A262B1">
        <w:rPr>
          <w:rFonts w:ascii="Times New Roman" w:hAnsi="Times New Roman" w:cs="Times New Roman"/>
        </w:rPr>
        <w:t>do interno o externo (Eurobonos).</w:t>
      </w:r>
    </w:p>
    <w:p w14:paraId="69C36740" w14:textId="77777777" w:rsidR="00EA1461" w:rsidRPr="004133EB" w:rsidRDefault="00EA1461" w:rsidP="000865B9">
      <w:pPr>
        <w:spacing w:after="0" w:line="240" w:lineRule="auto"/>
        <w:jc w:val="both"/>
        <w:rPr>
          <w:rFonts w:ascii="Times New Roman" w:hAnsi="Times New Roman" w:cs="Times New Roman"/>
        </w:rPr>
      </w:pPr>
    </w:p>
    <w:p w14:paraId="085CE2D6" w14:textId="77777777" w:rsidR="009D4737" w:rsidRPr="004133EB" w:rsidRDefault="00A262B1" w:rsidP="000865B9">
      <w:pPr>
        <w:spacing w:after="0" w:line="240" w:lineRule="auto"/>
        <w:jc w:val="both"/>
        <w:rPr>
          <w:rFonts w:ascii="Times New Roman" w:hAnsi="Times New Roman" w:cs="Times New Roman"/>
        </w:rPr>
      </w:pPr>
      <w:r>
        <w:rPr>
          <w:rFonts w:ascii="Times New Roman" w:hAnsi="Times New Roman" w:cs="Times New Roman"/>
        </w:rPr>
        <w:t xml:space="preserve">De no darse una colocación en el mercado externo, </w:t>
      </w:r>
      <w:r w:rsidR="009D4737" w:rsidRPr="004133EB">
        <w:rPr>
          <w:rFonts w:ascii="Times New Roman" w:hAnsi="Times New Roman" w:cs="Times New Roman"/>
        </w:rPr>
        <w:t>l</w:t>
      </w:r>
      <w:r>
        <w:rPr>
          <w:rFonts w:ascii="Times New Roman" w:hAnsi="Times New Roman" w:cs="Times New Roman"/>
        </w:rPr>
        <w:t xml:space="preserve">os principales </w:t>
      </w:r>
      <w:r w:rsidR="009D4737" w:rsidRPr="004133EB">
        <w:rPr>
          <w:rFonts w:ascii="Times New Roman" w:hAnsi="Times New Roman" w:cs="Times New Roman"/>
        </w:rPr>
        <w:t xml:space="preserve">tenedores </w:t>
      </w:r>
      <w:r>
        <w:rPr>
          <w:rFonts w:ascii="Times New Roman" w:hAnsi="Times New Roman" w:cs="Times New Roman"/>
        </w:rPr>
        <w:t xml:space="preserve">de los bonos del tesoro emitidos en 2021 serían </w:t>
      </w:r>
      <w:r w:rsidR="009D4737" w:rsidRPr="004133EB">
        <w:rPr>
          <w:rFonts w:ascii="Times New Roman" w:hAnsi="Times New Roman" w:cs="Times New Roman"/>
        </w:rPr>
        <w:t>las instituciones financieras, las entidades públicas y pequeños inversionistas</w:t>
      </w:r>
      <w:r w:rsidR="00BA27BE" w:rsidRPr="004133EB">
        <w:rPr>
          <w:rFonts w:ascii="Times New Roman" w:hAnsi="Times New Roman" w:cs="Times New Roman"/>
        </w:rPr>
        <w:t>.</w:t>
      </w:r>
      <w:r w:rsidR="00516C28" w:rsidRPr="004133EB">
        <w:rPr>
          <w:rFonts w:ascii="Times New Roman" w:hAnsi="Times New Roman" w:cs="Times New Roman"/>
        </w:rPr>
        <w:t xml:space="preserve">  </w:t>
      </w:r>
    </w:p>
    <w:p w14:paraId="6E76E463" w14:textId="77777777" w:rsidR="000865B9" w:rsidRPr="004133EB" w:rsidRDefault="000865B9" w:rsidP="000865B9">
      <w:pPr>
        <w:spacing w:after="0" w:line="240" w:lineRule="auto"/>
        <w:jc w:val="both"/>
        <w:rPr>
          <w:rFonts w:ascii="Times New Roman" w:hAnsi="Times New Roman" w:cs="Times New Roman"/>
        </w:rPr>
      </w:pPr>
    </w:p>
    <w:p w14:paraId="62249017" w14:textId="63B2CF71" w:rsidR="00643CD6" w:rsidRDefault="00516C28" w:rsidP="00421A25">
      <w:pPr>
        <w:spacing w:after="0" w:line="240" w:lineRule="auto"/>
        <w:jc w:val="both"/>
        <w:rPr>
          <w:rFonts w:ascii="Times New Roman" w:hAnsi="Times New Roman" w:cs="Times New Roman"/>
        </w:rPr>
      </w:pPr>
      <w:r w:rsidRPr="004133EB">
        <w:rPr>
          <w:rFonts w:ascii="Times New Roman" w:hAnsi="Times New Roman" w:cs="Times New Roman"/>
        </w:rPr>
        <w:t>Es importante considerar que la emisión de Bonos del Tesoro</w:t>
      </w:r>
      <w:r w:rsidR="00A262B1">
        <w:rPr>
          <w:rFonts w:ascii="Times New Roman" w:hAnsi="Times New Roman" w:cs="Times New Roman"/>
        </w:rPr>
        <w:t xml:space="preserve"> supera las necesidades de financiamiento del déficit. Sin embargo, hay que considerar </w:t>
      </w:r>
      <w:r w:rsidR="00421A25">
        <w:rPr>
          <w:rFonts w:ascii="Times New Roman" w:hAnsi="Times New Roman" w:cs="Times New Roman"/>
        </w:rPr>
        <w:t xml:space="preserve">que los </w:t>
      </w:r>
      <w:r w:rsidRPr="004133EB">
        <w:rPr>
          <w:rFonts w:ascii="Times New Roman" w:hAnsi="Times New Roman" w:cs="Times New Roman"/>
        </w:rPr>
        <w:t>desembolsos de préstamos externos</w:t>
      </w:r>
      <w:r w:rsidR="00421A25">
        <w:rPr>
          <w:rFonts w:ascii="Times New Roman" w:hAnsi="Times New Roman" w:cs="Times New Roman"/>
        </w:rPr>
        <w:t xml:space="preserve"> serían de Q5</w:t>
      </w:r>
      <w:r w:rsidR="00241E58">
        <w:rPr>
          <w:rFonts w:ascii="Times New Roman" w:hAnsi="Times New Roman" w:cs="Times New Roman"/>
        </w:rPr>
        <w:t>7</w:t>
      </w:r>
      <w:r w:rsidR="00421A25">
        <w:rPr>
          <w:rFonts w:ascii="Times New Roman" w:hAnsi="Times New Roman" w:cs="Times New Roman"/>
        </w:rPr>
        <w:t>9</w:t>
      </w:r>
      <w:r w:rsidR="00241E58">
        <w:rPr>
          <w:rFonts w:ascii="Times New Roman" w:hAnsi="Times New Roman" w:cs="Times New Roman"/>
        </w:rPr>
        <w:t>.8</w:t>
      </w:r>
      <w:r w:rsidR="00421A25">
        <w:rPr>
          <w:rFonts w:ascii="Times New Roman" w:hAnsi="Times New Roman" w:cs="Times New Roman"/>
        </w:rPr>
        <w:t xml:space="preserve"> millones, siendo superados ampliamente por amortizaciones de Q</w:t>
      </w:r>
      <w:r w:rsidR="00241E58">
        <w:rPr>
          <w:rFonts w:ascii="Times New Roman" w:hAnsi="Times New Roman" w:cs="Times New Roman"/>
        </w:rPr>
        <w:t>2</w:t>
      </w:r>
      <w:r w:rsidR="00421A25">
        <w:rPr>
          <w:rFonts w:ascii="Times New Roman" w:hAnsi="Times New Roman" w:cs="Times New Roman"/>
        </w:rPr>
        <w:t>,9</w:t>
      </w:r>
      <w:r w:rsidR="00241E58">
        <w:rPr>
          <w:rFonts w:ascii="Times New Roman" w:hAnsi="Times New Roman" w:cs="Times New Roman"/>
        </w:rPr>
        <w:t>56</w:t>
      </w:r>
      <w:r w:rsidR="00421A25">
        <w:rPr>
          <w:rFonts w:ascii="Times New Roman" w:hAnsi="Times New Roman" w:cs="Times New Roman"/>
        </w:rPr>
        <w:t>.</w:t>
      </w:r>
      <w:r w:rsidR="00241E58">
        <w:rPr>
          <w:rFonts w:ascii="Times New Roman" w:hAnsi="Times New Roman" w:cs="Times New Roman"/>
        </w:rPr>
        <w:t>5</w:t>
      </w:r>
      <w:r w:rsidR="00421A25">
        <w:rPr>
          <w:rFonts w:ascii="Times New Roman" w:hAnsi="Times New Roman" w:cs="Times New Roman"/>
        </w:rPr>
        <w:t xml:space="preserve"> millones, por lo cual el financiamiento externo neto es negativo en Q2,</w:t>
      </w:r>
      <w:r w:rsidR="00241E58">
        <w:rPr>
          <w:rFonts w:ascii="Times New Roman" w:hAnsi="Times New Roman" w:cs="Times New Roman"/>
        </w:rPr>
        <w:t>3</w:t>
      </w:r>
      <w:r w:rsidR="00421A25">
        <w:rPr>
          <w:rFonts w:ascii="Times New Roman" w:hAnsi="Times New Roman" w:cs="Times New Roman"/>
        </w:rPr>
        <w:t>7</w:t>
      </w:r>
      <w:r w:rsidR="00241E58">
        <w:rPr>
          <w:rFonts w:ascii="Times New Roman" w:hAnsi="Times New Roman" w:cs="Times New Roman"/>
        </w:rPr>
        <w:t>6</w:t>
      </w:r>
      <w:r w:rsidR="00421A25">
        <w:rPr>
          <w:rFonts w:ascii="Times New Roman" w:hAnsi="Times New Roman" w:cs="Times New Roman"/>
        </w:rPr>
        <w:t>.</w:t>
      </w:r>
      <w:r w:rsidR="00241E58">
        <w:rPr>
          <w:rFonts w:ascii="Times New Roman" w:hAnsi="Times New Roman" w:cs="Times New Roman"/>
        </w:rPr>
        <w:t>7</w:t>
      </w:r>
      <w:r w:rsidR="00421A25">
        <w:rPr>
          <w:rFonts w:ascii="Times New Roman" w:hAnsi="Times New Roman" w:cs="Times New Roman"/>
        </w:rPr>
        <w:t xml:space="preserve"> millones.</w:t>
      </w:r>
      <w:r w:rsidR="00643CD6">
        <w:rPr>
          <w:rFonts w:ascii="Times New Roman" w:hAnsi="Times New Roman" w:cs="Times New Roman"/>
        </w:rPr>
        <w:t xml:space="preserve"> Asimismo, se espera hacer uso de los depósitos del gobierno en el Banco de Guatemala para complementar el financiamiento del déficit fiscal por alrededor de Q</w:t>
      </w:r>
      <w:r w:rsidR="00241E58">
        <w:rPr>
          <w:rFonts w:ascii="Times New Roman" w:hAnsi="Times New Roman" w:cs="Times New Roman"/>
        </w:rPr>
        <w:t>4</w:t>
      </w:r>
      <w:r w:rsidR="00643CD6">
        <w:rPr>
          <w:rFonts w:ascii="Times New Roman" w:hAnsi="Times New Roman" w:cs="Times New Roman"/>
        </w:rPr>
        <w:t>,</w:t>
      </w:r>
      <w:r w:rsidR="00241E58">
        <w:rPr>
          <w:rFonts w:ascii="Times New Roman" w:hAnsi="Times New Roman" w:cs="Times New Roman"/>
        </w:rPr>
        <w:t>556.0</w:t>
      </w:r>
      <w:r w:rsidR="00643CD6">
        <w:rPr>
          <w:rFonts w:ascii="Times New Roman" w:hAnsi="Times New Roman" w:cs="Times New Roman"/>
        </w:rPr>
        <w:t xml:space="preserve"> millones. </w:t>
      </w:r>
    </w:p>
    <w:p w14:paraId="5B9FD58E" w14:textId="5F6CC595" w:rsidR="0067682D" w:rsidRDefault="00C834F3" w:rsidP="00421A25">
      <w:pPr>
        <w:spacing w:after="0" w:line="240" w:lineRule="auto"/>
        <w:jc w:val="both"/>
        <w:rPr>
          <w:rFonts w:ascii="Times New Roman" w:hAnsi="Times New Roman" w:cs="Times New Roman"/>
        </w:rPr>
      </w:pPr>
      <w:r>
        <w:rPr>
          <w:rFonts w:ascii="Times New Roman" w:hAnsi="Times New Roman" w:cs="Times New Roman"/>
        </w:rPr>
        <w:t xml:space="preserve"> </w:t>
      </w:r>
    </w:p>
    <w:tbl>
      <w:tblPr>
        <w:tblStyle w:val="Tablaconcuadrcula"/>
        <w:tblW w:w="0" w:type="auto"/>
        <w:tblLook w:val="0480" w:firstRow="0" w:lastRow="0" w:firstColumn="1" w:lastColumn="0" w:noHBand="0" w:noVBand="1"/>
      </w:tblPr>
      <w:tblGrid>
        <w:gridCol w:w="8828"/>
      </w:tblGrid>
      <w:tr w:rsidR="00AD002E" w:rsidRPr="004133EB" w14:paraId="0405EE1D" w14:textId="77777777" w:rsidTr="00EF3A1A">
        <w:tc>
          <w:tcPr>
            <w:tcW w:w="8828" w:type="dxa"/>
            <w:shd w:val="clear" w:color="auto" w:fill="DEEAF6" w:themeFill="accent1" w:themeFillTint="33"/>
          </w:tcPr>
          <w:p w14:paraId="1DD089C5" w14:textId="77777777" w:rsidR="00AD002E" w:rsidRPr="004133EB" w:rsidRDefault="00AD002E" w:rsidP="00DA6535">
            <w:pPr>
              <w:jc w:val="both"/>
              <w:rPr>
                <w:rFonts w:ascii="Times New Roman" w:hAnsi="Times New Roman" w:cs="Times New Roman"/>
                <w:b/>
                <w:bCs/>
              </w:rPr>
            </w:pPr>
            <w:r w:rsidRPr="004133EB">
              <w:rPr>
                <w:rFonts w:ascii="Times New Roman" w:hAnsi="Times New Roman" w:cs="Times New Roman"/>
                <w:b/>
                <w:bCs/>
              </w:rPr>
              <w:t xml:space="preserve">Plan </w:t>
            </w:r>
            <w:r>
              <w:rPr>
                <w:rFonts w:ascii="Times New Roman" w:hAnsi="Times New Roman" w:cs="Times New Roman"/>
                <w:b/>
                <w:bCs/>
              </w:rPr>
              <w:t>Nacional de Vacunación</w:t>
            </w:r>
            <w:r w:rsidR="00AD1FBF">
              <w:rPr>
                <w:rFonts w:ascii="Times New Roman" w:hAnsi="Times New Roman" w:cs="Times New Roman"/>
                <w:b/>
                <w:bCs/>
              </w:rPr>
              <w:t xml:space="preserve"> contra la COVID-19 República de Guatemala</w:t>
            </w:r>
          </w:p>
          <w:p w14:paraId="64421498" w14:textId="77777777" w:rsidR="00AD002E" w:rsidRPr="004133EB" w:rsidRDefault="00AD002E" w:rsidP="00DA6535">
            <w:pPr>
              <w:jc w:val="both"/>
              <w:rPr>
                <w:rFonts w:ascii="Times New Roman" w:hAnsi="Times New Roman" w:cs="Times New Roman"/>
              </w:rPr>
            </w:pPr>
          </w:p>
          <w:p w14:paraId="561CF6BD" w14:textId="77777777" w:rsidR="00AD1FBF" w:rsidRPr="00AD1FBF" w:rsidRDefault="00AD1FBF" w:rsidP="0017094F">
            <w:pPr>
              <w:jc w:val="both"/>
              <w:rPr>
                <w:rFonts w:ascii="Times New Roman" w:hAnsi="Times New Roman" w:cs="Times New Roman"/>
              </w:rPr>
            </w:pPr>
            <w:r w:rsidRPr="00AD1FBF">
              <w:rPr>
                <w:rFonts w:ascii="Times New Roman" w:hAnsi="Times New Roman" w:cs="Times New Roman"/>
              </w:rPr>
              <w:t>El 30 de enero de 2020</w:t>
            </w:r>
            <w:r>
              <w:rPr>
                <w:rFonts w:ascii="Times New Roman" w:hAnsi="Times New Roman" w:cs="Times New Roman"/>
              </w:rPr>
              <w:t xml:space="preserve"> </w:t>
            </w:r>
            <w:r w:rsidRPr="00AD1FBF">
              <w:rPr>
                <w:rFonts w:ascii="Times New Roman" w:hAnsi="Times New Roman" w:cs="Times New Roman"/>
              </w:rPr>
              <w:t xml:space="preserve">la OMS declaró que </w:t>
            </w:r>
            <w:r w:rsidR="0017094F">
              <w:rPr>
                <w:rFonts w:ascii="Times New Roman" w:hAnsi="Times New Roman" w:cs="Times New Roman"/>
              </w:rPr>
              <w:t>la COVID-19</w:t>
            </w:r>
            <w:r w:rsidRPr="00AD1FBF">
              <w:rPr>
                <w:rFonts w:ascii="Times New Roman" w:hAnsi="Times New Roman" w:cs="Times New Roman"/>
              </w:rPr>
              <w:t xml:space="preserve"> constituía una emergencia de salud pública de</w:t>
            </w:r>
            <w:r>
              <w:rPr>
                <w:rFonts w:ascii="Times New Roman" w:hAnsi="Times New Roman" w:cs="Times New Roman"/>
              </w:rPr>
              <w:t xml:space="preserve"> </w:t>
            </w:r>
            <w:r w:rsidRPr="00AD1FBF">
              <w:rPr>
                <w:rFonts w:ascii="Times New Roman" w:hAnsi="Times New Roman" w:cs="Times New Roman"/>
              </w:rPr>
              <w:t>importancia internacional y posteriormente, el 11 de marzo del mismo año la declaró</w:t>
            </w:r>
          </w:p>
          <w:p w14:paraId="3032A39A" w14:textId="77777777" w:rsidR="00AD002E" w:rsidRDefault="00AD1FBF" w:rsidP="0017094F">
            <w:pPr>
              <w:jc w:val="both"/>
              <w:rPr>
                <w:rFonts w:ascii="Times New Roman" w:hAnsi="Times New Roman" w:cs="Times New Roman"/>
              </w:rPr>
            </w:pPr>
            <w:r w:rsidRPr="00AD1FBF">
              <w:rPr>
                <w:rFonts w:ascii="Times New Roman" w:hAnsi="Times New Roman" w:cs="Times New Roman"/>
              </w:rPr>
              <w:t>pandemia de COVID-19.</w:t>
            </w:r>
          </w:p>
          <w:p w14:paraId="21BB16DA" w14:textId="77777777" w:rsidR="00AD1FBF" w:rsidRDefault="00AD1FBF" w:rsidP="00AD1FBF">
            <w:pPr>
              <w:jc w:val="both"/>
              <w:rPr>
                <w:rFonts w:ascii="Times New Roman" w:hAnsi="Times New Roman" w:cs="Times New Roman"/>
              </w:rPr>
            </w:pPr>
          </w:p>
          <w:p w14:paraId="21685CC0" w14:textId="77777777" w:rsidR="00AD1FBF" w:rsidRDefault="0017094F" w:rsidP="0017094F">
            <w:pPr>
              <w:jc w:val="both"/>
              <w:rPr>
                <w:rFonts w:ascii="Times New Roman" w:hAnsi="Times New Roman" w:cs="Times New Roman"/>
              </w:rPr>
            </w:pPr>
            <w:r w:rsidRPr="0017094F">
              <w:rPr>
                <w:rFonts w:ascii="Times New Roman" w:hAnsi="Times New Roman" w:cs="Times New Roman"/>
              </w:rPr>
              <w:t>En Guatemala el primer caso fue confirmado el 13 de marzo de 2020, desde esa fecha</w:t>
            </w:r>
            <w:r>
              <w:rPr>
                <w:rFonts w:ascii="Times New Roman" w:hAnsi="Times New Roman" w:cs="Times New Roman"/>
              </w:rPr>
              <w:t xml:space="preserve"> </w:t>
            </w:r>
            <w:r w:rsidRPr="0017094F">
              <w:rPr>
                <w:rFonts w:ascii="Times New Roman" w:hAnsi="Times New Roman" w:cs="Times New Roman"/>
              </w:rPr>
              <w:t>hasta el 25 de enero de 2021, se han realizado 738,861 pruebas de las cuales se han</w:t>
            </w:r>
            <w:r>
              <w:rPr>
                <w:rFonts w:ascii="Times New Roman" w:hAnsi="Times New Roman" w:cs="Times New Roman"/>
              </w:rPr>
              <w:t xml:space="preserve"> </w:t>
            </w:r>
            <w:r w:rsidRPr="0017094F">
              <w:rPr>
                <w:rFonts w:ascii="Times New Roman" w:hAnsi="Times New Roman" w:cs="Times New Roman"/>
              </w:rPr>
              <w:t>confirmado 154,430 casos de COVID-19.</w:t>
            </w:r>
            <w:r>
              <w:rPr>
                <w:rFonts w:ascii="Times New Roman" w:hAnsi="Times New Roman" w:cs="Times New Roman"/>
              </w:rPr>
              <w:t xml:space="preserve"> </w:t>
            </w:r>
            <w:r w:rsidRPr="0017094F">
              <w:rPr>
                <w:rFonts w:ascii="Times New Roman" w:hAnsi="Times New Roman" w:cs="Times New Roman"/>
              </w:rPr>
              <w:t>De los casos confirmados por COVID-19 se registraron al mes de enero 5,469 fallecidos,</w:t>
            </w:r>
            <w:r>
              <w:rPr>
                <w:rFonts w:ascii="Times New Roman" w:hAnsi="Times New Roman" w:cs="Times New Roman"/>
              </w:rPr>
              <w:t xml:space="preserve"> </w:t>
            </w:r>
            <w:r w:rsidRPr="0017094F">
              <w:rPr>
                <w:rFonts w:ascii="Times New Roman" w:hAnsi="Times New Roman" w:cs="Times New Roman"/>
              </w:rPr>
              <w:t xml:space="preserve">es decir, una tasa de letalidad de 3.5% </w:t>
            </w:r>
            <w:r>
              <w:rPr>
                <w:rFonts w:ascii="Times New Roman" w:hAnsi="Times New Roman" w:cs="Times New Roman"/>
              </w:rPr>
              <w:t>a nivel nacional.</w:t>
            </w:r>
          </w:p>
          <w:p w14:paraId="3BBAE407" w14:textId="77777777" w:rsidR="0017094F" w:rsidRDefault="0017094F" w:rsidP="0017094F">
            <w:pPr>
              <w:jc w:val="both"/>
              <w:rPr>
                <w:rFonts w:ascii="Times New Roman" w:hAnsi="Times New Roman" w:cs="Times New Roman"/>
              </w:rPr>
            </w:pPr>
          </w:p>
          <w:p w14:paraId="0BCAB5D1" w14:textId="77777777" w:rsidR="0017094F" w:rsidRDefault="0017094F" w:rsidP="0017094F">
            <w:pPr>
              <w:jc w:val="both"/>
              <w:rPr>
                <w:rFonts w:ascii="Times New Roman" w:hAnsi="Times New Roman" w:cs="Times New Roman"/>
              </w:rPr>
            </w:pPr>
            <w:r w:rsidRPr="0017094F">
              <w:rPr>
                <w:rFonts w:ascii="Times New Roman" w:hAnsi="Times New Roman" w:cs="Times New Roman"/>
              </w:rPr>
              <w:t>Para que el país pueda implementar de manera oportuna y adecuada la vacunación</w:t>
            </w:r>
            <w:r>
              <w:rPr>
                <w:rFonts w:ascii="Times New Roman" w:hAnsi="Times New Roman" w:cs="Times New Roman"/>
              </w:rPr>
              <w:t xml:space="preserve"> </w:t>
            </w:r>
            <w:r w:rsidRPr="0017094F">
              <w:rPr>
                <w:rFonts w:ascii="Times New Roman" w:hAnsi="Times New Roman" w:cs="Times New Roman"/>
              </w:rPr>
              <w:t>contra la COVID-19, es precisa la coordinación multisectorial, con técnicos de alto nivel</w:t>
            </w:r>
            <w:r>
              <w:rPr>
                <w:rFonts w:ascii="Times New Roman" w:hAnsi="Times New Roman" w:cs="Times New Roman"/>
              </w:rPr>
              <w:t xml:space="preserve"> </w:t>
            </w:r>
            <w:r w:rsidRPr="0017094F">
              <w:rPr>
                <w:rFonts w:ascii="Times New Roman" w:hAnsi="Times New Roman" w:cs="Times New Roman"/>
              </w:rPr>
              <w:t>de las unidades específicas del MSPAS, así como los socios estratégicos del país.</w:t>
            </w:r>
          </w:p>
          <w:p w14:paraId="7AADBB29" w14:textId="77777777" w:rsidR="00CB2195" w:rsidRDefault="00CB2195" w:rsidP="0017094F">
            <w:pPr>
              <w:jc w:val="both"/>
              <w:rPr>
                <w:rFonts w:ascii="Times New Roman" w:hAnsi="Times New Roman" w:cs="Times New Roman"/>
              </w:rPr>
            </w:pPr>
          </w:p>
          <w:p w14:paraId="75F2027C" w14:textId="77777777" w:rsidR="00571209" w:rsidRDefault="00CB2195" w:rsidP="0017094F">
            <w:pPr>
              <w:jc w:val="both"/>
              <w:rPr>
                <w:rFonts w:ascii="Times New Roman" w:hAnsi="Times New Roman" w:cs="Times New Roman"/>
              </w:rPr>
            </w:pPr>
            <w:r>
              <w:rPr>
                <w:rFonts w:ascii="Times New Roman" w:hAnsi="Times New Roman" w:cs="Times New Roman"/>
              </w:rPr>
              <w:t xml:space="preserve">En el </w:t>
            </w:r>
            <w:r w:rsidRPr="00CB2195">
              <w:rPr>
                <w:rFonts w:ascii="Times New Roman" w:hAnsi="Times New Roman" w:cs="Times New Roman"/>
              </w:rPr>
              <w:t>Decreto</w:t>
            </w:r>
            <w:r>
              <w:rPr>
                <w:rFonts w:ascii="Times New Roman" w:hAnsi="Times New Roman" w:cs="Times New Roman"/>
              </w:rPr>
              <w:t xml:space="preserve"> no.</w:t>
            </w:r>
            <w:r w:rsidRPr="00CB2195">
              <w:rPr>
                <w:rFonts w:ascii="Times New Roman" w:hAnsi="Times New Roman" w:cs="Times New Roman"/>
              </w:rPr>
              <w:t xml:space="preserve"> </w:t>
            </w:r>
            <w:r w:rsidR="001602AC">
              <w:rPr>
                <w:rFonts w:ascii="Times New Roman" w:hAnsi="Times New Roman" w:cs="Times New Roman"/>
              </w:rPr>
              <w:t>0</w:t>
            </w:r>
            <w:r w:rsidRPr="00CB2195">
              <w:rPr>
                <w:rFonts w:ascii="Times New Roman" w:hAnsi="Times New Roman" w:cs="Times New Roman"/>
              </w:rPr>
              <w:t xml:space="preserve">1-2021, </w:t>
            </w:r>
            <w:r w:rsidRPr="00B12824">
              <w:rPr>
                <w:rFonts w:ascii="Times New Roman" w:hAnsi="Times New Roman" w:cs="Times New Roman"/>
                <w:b/>
                <w:i/>
              </w:rPr>
              <w:t xml:space="preserve">“Ley para el financiamiento y adquisición de vacunas contra el coronavirus Covid-19” </w:t>
            </w:r>
            <w:r w:rsidRPr="00CB2195">
              <w:rPr>
                <w:rFonts w:ascii="Times New Roman" w:hAnsi="Times New Roman" w:cs="Times New Roman"/>
              </w:rPr>
              <w:t>del Congreso de la República de Guatemala</w:t>
            </w:r>
            <w:r w:rsidR="00B12824">
              <w:rPr>
                <w:rFonts w:ascii="Times New Roman" w:hAnsi="Times New Roman" w:cs="Times New Roman"/>
              </w:rPr>
              <w:t xml:space="preserve"> en el artículo 1 </w:t>
            </w:r>
            <w:r w:rsidR="005E585B">
              <w:rPr>
                <w:rFonts w:ascii="Times New Roman" w:hAnsi="Times New Roman" w:cs="Times New Roman"/>
              </w:rPr>
              <w:t>se declara de interés nacional</w:t>
            </w:r>
            <w:r w:rsidR="00571209">
              <w:rPr>
                <w:rFonts w:ascii="Times New Roman" w:hAnsi="Times New Roman" w:cs="Times New Roman"/>
              </w:rPr>
              <w:t xml:space="preserve"> la vacunación de la población guatemalteca</w:t>
            </w:r>
            <w:r w:rsidR="005E585B">
              <w:rPr>
                <w:rFonts w:ascii="Times New Roman" w:hAnsi="Times New Roman" w:cs="Times New Roman"/>
              </w:rPr>
              <w:t>, el financiamiento y readecuación presupuestaria para la adquisición de la vacuna contra el coronavirus COVID-19 por un monto de Q1,500 millones esto con el objetivo de financiar y viabilizar el suministro de la vacuna gratuita, universal y voluntaria.</w:t>
            </w:r>
          </w:p>
          <w:p w14:paraId="60565325" w14:textId="77777777" w:rsidR="00571209" w:rsidRDefault="00571209" w:rsidP="0017094F">
            <w:pPr>
              <w:jc w:val="both"/>
              <w:rPr>
                <w:rFonts w:ascii="Times New Roman" w:hAnsi="Times New Roman" w:cs="Times New Roman"/>
              </w:rPr>
            </w:pPr>
          </w:p>
          <w:p w14:paraId="6AC09545" w14:textId="77777777" w:rsidR="00571209" w:rsidRDefault="00571209" w:rsidP="0017094F">
            <w:pPr>
              <w:jc w:val="both"/>
              <w:rPr>
                <w:rFonts w:ascii="Times New Roman" w:hAnsi="Times New Roman" w:cs="Times New Roman"/>
              </w:rPr>
            </w:pPr>
            <w:r>
              <w:rPr>
                <w:rFonts w:ascii="Times New Roman" w:hAnsi="Times New Roman" w:cs="Times New Roman"/>
              </w:rPr>
              <w:t xml:space="preserve">El Ministerio de Finanzas Públicas quedó facultado para readecuar el presupuesto hasta por el monto de Q1,500 millones con el objetivo que se incremente el presupuesto de egresos del Ministerio de Salud Pública y Asistencia Social para adquirir las vacunas contra el COVID-19 y las que se requieran dependiendo de la evolución del virus. </w:t>
            </w:r>
          </w:p>
          <w:p w14:paraId="792B684E" w14:textId="77777777" w:rsidR="00571209" w:rsidRDefault="00571209" w:rsidP="0017094F">
            <w:pPr>
              <w:jc w:val="both"/>
              <w:rPr>
                <w:rFonts w:ascii="Times New Roman" w:hAnsi="Times New Roman" w:cs="Times New Roman"/>
              </w:rPr>
            </w:pPr>
          </w:p>
          <w:p w14:paraId="114D7C4A" w14:textId="77777777" w:rsidR="00571209" w:rsidRDefault="00571209" w:rsidP="0017094F">
            <w:pPr>
              <w:jc w:val="both"/>
              <w:rPr>
                <w:rFonts w:ascii="Times New Roman" w:hAnsi="Times New Roman" w:cs="Times New Roman"/>
              </w:rPr>
            </w:pPr>
            <w:r>
              <w:rPr>
                <w:rFonts w:ascii="Times New Roman" w:hAnsi="Times New Roman" w:cs="Times New Roman"/>
              </w:rPr>
              <w:t xml:space="preserve">La readecuación de las fuentes de financiamiento fue la siguiente: </w:t>
            </w:r>
          </w:p>
          <w:p w14:paraId="64A5D169" w14:textId="77777777" w:rsidR="00313BB0" w:rsidRDefault="00313BB0" w:rsidP="0017094F">
            <w:pPr>
              <w:jc w:val="both"/>
              <w:rPr>
                <w:rFonts w:ascii="Times New Roman" w:hAnsi="Times New Roman" w:cs="Times New Roman"/>
              </w:rPr>
            </w:pPr>
          </w:p>
          <w:tbl>
            <w:tblPr>
              <w:tblStyle w:val="Tabladecuadrcula4-nfasis11"/>
              <w:tblW w:w="0" w:type="auto"/>
              <w:tblInd w:w="386" w:type="dxa"/>
              <w:tblLook w:val="04A0" w:firstRow="1" w:lastRow="0" w:firstColumn="1" w:lastColumn="0" w:noHBand="0" w:noVBand="1"/>
            </w:tblPr>
            <w:tblGrid>
              <w:gridCol w:w="444"/>
              <w:gridCol w:w="5812"/>
              <w:gridCol w:w="1559"/>
            </w:tblGrid>
            <w:tr w:rsidR="00571209" w:rsidRPr="00655D63" w14:paraId="68FFCD74" w14:textId="77777777" w:rsidTr="00313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tcPr>
                <w:p w14:paraId="485FA1A1" w14:textId="77777777" w:rsidR="00571209" w:rsidRPr="00655D63" w:rsidRDefault="00571209" w:rsidP="00571209">
                  <w:pPr>
                    <w:jc w:val="both"/>
                    <w:rPr>
                      <w:rFonts w:ascii="Times New Roman" w:hAnsi="Times New Roman" w:cs="Times New Roman"/>
                      <w:sz w:val="18"/>
                    </w:rPr>
                  </w:pPr>
                </w:p>
              </w:tc>
              <w:tc>
                <w:tcPr>
                  <w:tcW w:w="5812" w:type="dxa"/>
                </w:tcPr>
                <w:p w14:paraId="17C87A54" w14:textId="77777777" w:rsidR="00571209" w:rsidRPr="00655D63" w:rsidRDefault="00571209" w:rsidP="00655D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655D63">
                    <w:rPr>
                      <w:rFonts w:ascii="Times New Roman" w:hAnsi="Times New Roman" w:cs="Times New Roman"/>
                      <w:sz w:val="18"/>
                    </w:rPr>
                    <w:t>Detalle</w:t>
                  </w:r>
                </w:p>
              </w:tc>
              <w:tc>
                <w:tcPr>
                  <w:tcW w:w="1559" w:type="dxa"/>
                </w:tcPr>
                <w:p w14:paraId="01099E05" w14:textId="77777777" w:rsidR="00571209" w:rsidRPr="00655D63" w:rsidRDefault="00571209" w:rsidP="00655D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655D63">
                    <w:rPr>
                      <w:rFonts w:ascii="Times New Roman" w:hAnsi="Times New Roman" w:cs="Times New Roman"/>
                      <w:sz w:val="18"/>
                    </w:rPr>
                    <w:t>Monto</w:t>
                  </w:r>
                </w:p>
              </w:tc>
            </w:tr>
            <w:tr w:rsidR="00655D63" w:rsidRPr="00655D63" w14:paraId="71523EE5" w14:textId="77777777" w:rsidTr="00313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tcPr>
                <w:p w14:paraId="3879B85A" w14:textId="77777777" w:rsidR="00655D63" w:rsidRPr="00655D63" w:rsidRDefault="00655D63" w:rsidP="0017094F">
                  <w:pPr>
                    <w:jc w:val="both"/>
                    <w:rPr>
                      <w:rFonts w:ascii="Times New Roman" w:hAnsi="Times New Roman" w:cs="Times New Roman"/>
                      <w:sz w:val="18"/>
                    </w:rPr>
                  </w:pPr>
                </w:p>
              </w:tc>
              <w:tc>
                <w:tcPr>
                  <w:tcW w:w="5812" w:type="dxa"/>
                </w:tcPr>
                <w:p w14:paraId="30A23880" w14:textId="77777777" w:rsidR="00655D63" w:rsidRPr="00655D63" w:rsidRDefault="00655D63" w:rsidP="00655D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rPr>
                  </w:pPr>
                  <w:r w:rsidRPr="00655D63">
                    <w:rPr>
                      <w:rFonts w:ascii="Times New Roman" w:hAnsi="Times New Roman" w:cs="Times New Roman"/>
                      <w:b/>
                      <w:sz w:val="18"/>
                    </w:rPr>
                    <w:t>Total</w:t>
                  </w:r>
                </w:p>
              </w:tc>
              <w:tc>
                <w:tcPr>
                  <w:tcW w:w="1559" w:type="dxa"/>
                </w:tcPr>
                <w:p w14:paraId="5A5E5E3D" w14:textId="77777777" w:rsidR="00655D63" w:rsidRPr="00655D63" w:rsidRDefault="00655D63" w:rsidP="007F0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rPr>
                  </w:pPr>
                  <w:r w:rsidRPr="00655D63">
                    <w:rPr>
                      <w:rFonts w:ascii="Times New Roman" w:hAnsi="Times New Roman" w:cs="Times New Roman"/>
                      <w:b/>
                      <w:sz w:val="18"/>
                    </w:rPr>
                    <w:t>Q1,500.0</w:t>
                  </w:r>
                </w:p>
              </w:tc>
            </w:tr>
            <w:tr w:rsidR="00571209" w:rsidRPr="00655D63" w14:paraId="6AB70200" w14:textId="77777777" w:rsidTr="00313BB0">
              <w:tc>
                <w:tcPr>
                  <w:cnfStyle w:val="001000000000" w:firstRow="0" w:lastRow="0" w:firstColumn="1" w:lastColumn="0" w:oddVBand="0" w:evenVBand="0" w:oddHBand="0" w:evenHBand="0" w:firstRowFirstColumn="0" w:firstRowLastColumn="0" w:lastRowFirstColumn="0" w:lastRowLastColumn="0"/>
                  <w:tcW w:w="444" w:type="dxa"/>
                </w:tcPr>
                <w:p w14:paraId="7B43D73E" w14:textId="77777777" w:rsidR="00571209" w:rsidRPr="00655D63" w:rsidRDefault="00655D63" w:rsidP="0017094F">
                  <w:pPr>
                    <w:jc w:val="both"/>
                    <w:rPr>
                      <w:rFonts w:ascii="Times New Roman" w:hAnsi="Times New Roman" w:cs="Times New Roman"/>
                      <w:sz w:val="18"/>
                    </w:rPr>
                  </w:pPr>
                  <w:r w:rsidRPr="00655D63">
                    <w:rPr>
                      <w:rFonts w:ascii="Times New Roman" w:hAnsi="Times New Roman" w:cs="Times New Roman"/>
                      <w:sz w:val="18"/>
                    </w:rPr>
                    <w:t>11</w:t>
                  </w:r>
                </w:p>
              </w:tc>
              <w:tc>
                <w:tcPr>
                  <w:tcW w:w="5812" w:type="dxa"/>
                </w:tcPr>
                <w:p w14:paraId="74A54FB2" w14:textId="77777777" w:rsidR="00571209" w:rsidRPr="00655D63" w:rsidRDefault="00655D63" w:rsidP="0017094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655D63">
                    <w:rPr>
                      <w:rFonts w:ascii="Times New Roman" w:hAnsi="Times New Roman" w:cs="Times New Roman"/>
                      <w:sz w:val="18"/>
                    </w:rPr>
                    <w:t>Ingresos Corrientes</w:t>
                  </w:r>
                </w:p>
              </w:tc>
              <w:tc>
                <w:tcPr>
                  <w:tcW w:w="1559" w:type="dxa"/>
                </w:tcPr>
                <w:p w14:paraId="04EF4858" w14:textId="77777777" w:rsidR="00571209" w:rsidRPr="00655D63" w:rsidRDefault="00655D63" w:rsidP="007F0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655D63">
                    <w:rPr>
                      <w:rFonts w:ascii="Times New Roman" w:hAnsi="Times New Roman" w:cs="Times New Roman"/>
                      <w:sz w:val="18"/>
                    </w:rPr>
                    <w:t>Q244.0</w:t>
                  </w:r>
                </w:p>
              </w:tc>
            </w:tr>
            <w:tr w:rsidR="00571209" w:rsidRPr="00655D63" w14:paraId="47BA0C98" w14:textId="77777777" w:rsidTr="00313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dxa"/>
                  <w:vAlign w:val="center"/>
                </w:tcPr>
                <w:p w14:paraId="09D4B662" w14:textId="77777777" w:rsidR="00571209" w:rsidRPr="00655D63" w:rsidRDefault="00655D63" w:rsidP="00655D63">
                  <w:pPr>
                    <w:jc w:val="center"/>
                    <w:rPr>
                      <w:rFonts w:ascii="Times New Roman" w:hAnsi="Times New Roman" w:cs="Times New Roman"/>
                      <w:sz w:val="18"/>
                    </w:rPr>
                  </w:pPr>
                  <w:r w:rsidRPr="00655D63">
                    <w:rPr>
                      <w:rFonts w:ascii="Times New Roman" w:hAnsi="Times New Roman" w:cs="Times New Roman"/>
                      <w:sz w:val="18"/>
                    </w:rPr>
                    <w:t>43</w:t>
                  </w:r>
                </w:p>
              </w:tc>
              <w:tc>
                <w:tcPr>
                  <w:tcW w:w="5812" w:type="dxa"/>
                </w:tcPr>
                <w:p w14:paraId="40659529" w14:textId="77777777" w:rsidR="00571209" w:rsidRPr="00655D63" w:rsidRDefault="00655D63" w:rsidP="0017094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655D63">
                    <w:rPr>
                      <w:rFonts w:ascii="Times New Roman" w:hAnsi="Times New Roman" w:cs="Times New Roman"/>
                      <w:sz w:val="18"/>
                    </w:rPr>
                    <w:t>Saldos de Caja de Colocaciones Internas</w:t>
                  </w:r>
                </w:p>
                <w:p w14:paraId="14180B48" w14:textId="77777777" w:rsidR="00655D63" w:rsidRDefault="00655D63" w:rsidP="0017094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655D63">
                    <w:rPr>
                      <w:rFonts w:ascii="Times New Roman" w:hAnsi="Times New Roman" w:cs="Times New Roman"/>
                      <w:sz w:val="18"/>
                    </w:rPr>
                    <w:t xml:space="preserve">    Saldos del Fondo de Crédito para Capital de Trabajo (Decreto 13</w:t>
                  </w:r>
                  <w:r>
                    <w:rPr>
                      <w:rFonts w:ascii="Times New Roman" w:hAnsi="Times New Roman" w:cs="Times New Roman"/>
                      <w:sz w:val="18"/>
                    </w:rPr>
                    <w:t>-2020)</w:t>
                  </w:r>
                </w:p>
                <w:p w14:paraId="79758446" w14:textId="77777777" w:rsidR="00655D63" w:rsidRPr="00655D63" w:rsidRDefault="00655D63" w:rsidP="00655D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 xml:space="preserve">    Saldos de Bonos del Tesoro (Decreto 20-2020)</w:t>
                  </w:r>
                </w:p>
              </w:tc>
              <w:tc>
                <w:tcPr>
                  <w:tcW w:w="1559" w:type="dxa"/>
                </w:tcPr>
                <w:p w14:paraId="2C605755" w14:textId="77777777" w:rsidR="00571209" w:rsidRDefault="00655D63" w:rsidP="007F0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u w:val="single"/>
                    </w:rPr>
                  </w:pPr>
                  <w:r w:rsidRPr="00655D63">
                    <w:rPr>
                      <w:rFonts w:ascii="Times New Roman" w:hAnsi="Times New Roman" w:cs="Times New Roman"/>
                      <w:sz w:val="18"/>
                      <w:u w:val="single"/>
                    </w:rPr>
                    <w:t>Q1,240.0</w:t>
                  </w:r>
                </w:p>
                <w:p w14:paraId="070332EC" w14:textId="77777777" w:rsidR="00655D63" w:rsidRDefault="00655D63" w:rsidP="007F0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Q460.0</w:t>
                  </w:r>
                </w:p>
                <w:p w14:paraId="20C52F73" w14:textId="77777777" w:rsidR="00655D63" w:rsidRPr="00655D63" w:rsidRDefault="00655D63" w:rsidP="007F051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Q780.0</w:t>
                  </w:r>
                </w:p>
              </w:tc>
            </w:tr>
            <w:tr w:rsidR="00655D63" w:rsidRPr="00655D63" w14:paraId="4AA4358C" w14:textId="77777777" w:rsidTr="00C834F3">
              <w:trPr>
                <w:trHeight w:val="1096"/>
              </w:trPr>
              <w:tc>
                <w:tcPr>
                  <w:cnfStyle w:val="001000000000" w:firstRow="0" w:lastRow="0" w:firstColumn="1" w:lastColumn="0" w:oddVBand="0" w:evenVBand="0" w:oddHBand="0" w:evenHBand="0" w:firstRowFirstColumn="0" w:firstRowLastColumn="0" w:lastRowFirstColumn="0" w:lastRowLastColumn="0"/>
                  <w:tcW w:w="444" w:type="dxa"/>
                  <w:vAlign w:val="center"/>
                </w:tcPr>
                <w:p w14:paraId="4781F770" w14:textId="77777777" w:rsidR="00655D63" w:rsidRPr="00655D63" w:rsidRDefault="00655D63" w:rsidP="00655D63">
                  <w:pPr>
                    <w:jc w:val="center"/>
                    <w:rPr>
                      <w:rFonts w:ascii="Times New Roman" w:hAnsi="Times New Roman" w:cs="Times New Roman"/>
                      <w:sz w:val="18"/>
                    </w:rPr>
                  </w:pPr>
                  <w:r>
                    <w:rPr>
                      <w:rFonts w:ascii="Times New Roman" w:hAnsi="Times New Roman" w:cs="Times New Roman"/>
                      <w:sz w:val="18"/>
                    </w:rPr>
                    <w:t>52</w:t>
                  </w:r>
                </w:p>
              </w:tc>
              <w:tc>
                <w:tcPr>
                  <w:tcW w:w="5812" w:type="dxa"/>
                </w:tcPr>
                <w:p w14:paraId="5FFE63D2" w14:textId="77777777" w:rsidR="00655D63" w:rsidRDefault="00655D63" w:rsidP="0017094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Préstamos Externos</w:t>
                  </w:r>
                </w:p>
                <w:p w14:paraId="3D484ADA" w14:textId="77777777" w:rsidR="00655D63" w:rsidRDefault="00655D63" w:rsidP="0017094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 xml:space="preserve">    Programa de Administración Tributaria y Transparencia</w:t>
                  </w:r>
                </w:p>
                <w:p w14:paraId="6E85D844" w14:textId="3B20641C" w:rsidR="00655D63" w:rsidRPr="00655D63" w:rsidRDefault="00655D63" w:rsidP="0017094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 xml:space="preserve">    Segundo Préstamo para Políticas de Desarrollo sobre </w:t>
                  </w:r>
                  <w:r w:rsidR="00313BB0">
                    <w:rPr>
                      <w:rFonts w:ascii="Times New Roman" w:hAnsi="Times New Roman" w:cs="Times New Roman"/>
                      <w:sz w:val="18"/>
                    </w:rPr>
                    <w:t xml:space="preserve">Gestión de Riesgo de   </w:t>
                  </w:r>
                  <w:r w:rsidR="00313BB0" w:rsidRPr="00313BB0">
                    <w:rPr>
                      <w:rFonts w:ascii="Times New Roman" w:hAnsi="Times New Roman" w:cs="Times New Roman"/>
                      <w:color w:val="DEEAF6" w:themeColor="accent1" w:themeTint="33"/>
                      <w:sz w:val="18"/>
                    </w:rPr>
                    <w:t>…</w:t>
                  </w:r>
                  <w:r w:rsidR="00313BB0">
                    <w:rPr>
                      <w:rFonts w:ascii="Times New Roman" w:hAnsi="Times New Roman" w:cs="Times New Roman"/>
                      <w:sz w:val="18"/>
                    </w:rPr>
                    <w:t xml:space="preserve">Desastres con una opción de Desembolso Diferido ante Catástrofes (CAT </w:t>
                  </w:r>
                  <w:r w:rsidR="00313BB0" w:rsidRPr="00313BB0">
                    <w:rPr>
                      <w:rFonts w:ascii="Times New Roman" w:hAnsi="Times New Roman" w:cs="Times New Roman"/>
                      <w:color w:val="DEEAF6" w:themeColor="accent1" w:themeTint="33"/>
                      <w:sz w:val="18"/>
                    </w:rPr>
                    <w:t>…</w:t>
                  </w:r>
                  <w:r w:rsidR="00313BB0">
                    <w:rPr>
                      <w:rFonts w:ascii="Times New Roman" w:hAnsi="Times New Roman" w:cs="Times New Roman"/>
                      <w:sz w:val="18"/>
                    </w:rPr>
                    <w:t>DDO)</w:t>
                  </w:r>
                </w:p>
              </w:tc>
              <w:tc>
                <w:tcPr>
                  <w:tcW w:w="1559" w:type="dxa"/>
                </w:tcPr>
                <w:p w14:paraId="1FC6A5E9" w14:textId="77777777" w:rsidR="00655D63" w:rsidRPr="00313BB0" w:rsidRDefault="00655D63" w:rsidP="007F0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u w:val="single"/>
                    </w:rPr>
                  </w:pPr>
                  <w:r w:rsidRPr="00313BB0">
                    <w:rPr>
                      <w:rFonts w:ascii="Times New Roman" w:hAnsi="Times New Roman" w:cs="Times New Roman"/>
                      <w:sz w:val="18"/>
                      <w:u w:val="single"/>
                    </w:rPr>
                    <w:t>Q16.0</w:t>
                  </w:r>
                </w:p>
                <w:p w14:paraId="22D7A334" w14:textId="77777777" w:rsidR="00655D63" w:rsidRDefault="00655D63" w:rsidP="007F0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Q14.1</w:t>
                  </w:r>
                </w:p>
                <w:p w14:paraId="459CC746" w14:textId="77777777" w:rsidR="00313BB0" w:rsidRDefault="00313BB0" w:rsidP="007F0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p w14:paraId="2A95A9EA" w14:textId="77777777" w:rsidR="00313BB0" w:rsidRPr="00655D63" w:rsidRDefault="00313BB0" w:rsidP="007F051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Q1.9</w:t>
                  </w:r>
                </w:p>
              </w:tc>
            </w:tr>
          </w:tbl>
          <w:p w14:paraId="18A716E6" w14:textId="77777777" w:rsidR="00571209" w:rsidRDefault="00571209" w:rsidP="0017094F">
            <w:pPr>
              <w:jc w:val="both"/>
              <w:rPr>
                <w:rFonts w:ascii="Times New Roman" w:hAnsi="Times New Roman" w:cs="Times New Roman"/>
              </w:rPr>
            </w:pPr>
          </w:p>
          <w:p w14:paraId="5D2643A1" w14:textId="77777777" w:rsidR="00893F09" w:rsidRDefault="0077032A" w:rsidP="0017094F">
            <w:pPr>
              <w:jc w:val="both"/>
              <w:rPr>
                <w:rFonts w:ascii="Times New Roman" w:hAnsi="Times New Roman" w:cs="Times New Roman"/>
              </w:rPr>
            </w:pPr>
            <w:r>
              <w:rPr>
                <w:rFonts w:ascii="Times New Roman" w:hAnsi="Times New Roman" w:cs="Times New Roman"/>
              </w:rPr>
              <w:t xml:space="preserve">Las readecuaciones aprobadas no pueden disminuirse por ningún motivo, ni transferirse a otra dependencia pública. </w:t>
            </w:r>
            <w:r w:rsidR="00DA6535">
              <w:rPr>
                <w:rFonts w:ascii="Times New Roman" w:hAnsi="Times New Roman" w:cs="Times New Roman"/>
              </w:rPr>
              <w:t>Asimismo, se autorizó al Ministerio de Salud Pública y Asistencia Social y al Instituto Guatemalteco de Seguridad Social para comprar las vacunas contra el COVID-19 y el equipo y servicios necesarios para su conservación y movilización</w:t>
            </w:r>
            <w:r w:rsidR="001602AC">
              <w:rPr>
                <w:rFonts w:ascii="Times New Roman" w:hAnsi="Times New Roman" w:cs="Times New Roman"/>
              </w:rPr>
              <w:t>.</w:t>
            </w:r>
            <w:r w:rsidR="00DA6535">
              <w:rPr>
                <w:rFonts w:ascii="Times New Roman" w:hAnsi="Times New Roman" w:cs="Times New Roman"/>
              </w:rPr>
              <w:t xml:space="preserve"> </w:t>
            </w:r>
          </w:p>
          <w:p w14:paraId="1FFD5BAB" w14:textId="77777777" w:rsidR="00893F09" w:rsidRDefault="00893F09" w:rsidP="0017094F">
            <w:pPr>
              <w:jc w:val="both"/>
              <w:rPr>
                <w:rFonts w:ascii="Times New Roman" w:hAnsi="Times New Roman" w:cs="Times New Roman"/>
              </w:rPr>
            </w:pPr>
          </w:p>
          <w:p w14:paraId="55B28357" w14:textId="77777777" w:rsidR="00893F09" w:rsidRDefault="00893F09" w:rsidP="00893F09">
            <w:pPr>
              <w:jc w:val="both"/>
              <w:rPr>
                <w:rFonts w:ascii="Times New Roman" w:hAnsi="Times New Roman" w:cs="Times New Roman"/>
              </w:rPr>
            </w:pPr>
            <w:r w:rsidRPr="00893F09">
              <w:rPr>
                <w:rFonts w:ascii="Times New Roman" w:hAnsi="Times New Roman" w:cs="Times New Roman"/>
              </w:rPr>
              <w:t>Los mecanismos para la adquisición</w:t>
            </w:r>
            <w:r>
              <w:rPr>
                <w:rFonts w:ascii="Times New Roman" w:hAnsi="Times New Roman" w:cs="Times New Roman"/>
              </w:rPr>
              <w:t xml:space="preserve"> </w:t>
            </w:r>
            <w:r w:rsidRPr="00893F09">
              <w:rPr>
                <w:rFonts w:ascii="Times New Roman" w:hAnsi="Times New Roman" w:cs="Times New Roman"/>
              </w:rPr>
              <w:t>de vacunas utilizados por el Estado de</w:t>
            </w:r>
            <w:r>
              <w:rPr>
                <w:rFonts w:ascii="Times New Roman" w:hAnsi="Times New Roman" w:cs="Times New Roman"/>
              </w:rPr>
              <w:t xml:space="preserve"> </w:t>
            </w:r>
            <w:r w:rsidRPr="00893F09">
              <w:rPr>
                <w:rFonts w:ascii="Times New Roman" w:hAnsi="Times New Roman" w:cs="Times New Roman"/>
              </w:rPr>
              <w:t>Guatemala incluyen: a) el mecanismo</w:t>
            </w:r>
            <w:r>
              <w:rPr>
                <w:rFonts w:ascii="Times New Roman" w:hAnsi="Times New Roman" w:cs="Times New Roman"/>
              </w:rPr>
              <w:t xml:space="preserve"> </w:t>
            </w:r>
            <w:r w:rsidRPr="00893F09">
              <w:rPr>
                <w:rFonts w:ascii="Times New Roman" w:hAnsi="Times New Roman" w:cs="Times New Roman"/>
              </w:rPr>
              <w:t>COVAX y b) las adquisiciones</w:t>
            </w:r>
            <w:r>
              <w:rPr>
                <w:rFonts w:ascii="Times New Roman" w:hAnsi="Times New Roman" w:cs="Times New Roman"/>
              </w:rPr>
              <w:t xml:space="preserve"> </w:t>
            </w:r>
            <w:r w:rsidRPr="00893F09">
              <w:rPr>
                <w:rFonts w:ascii="Times New Roman" w:hAnsi="Times New Roman" w:cs="Times New Roman"/>
              </w:rPr>
              <w:t>directas a través de contratos</w:t>
            </w:r>
            <w:r>
              <w:rPr>
                <w:rFonts w:ascii="Times New Roman" w:hAnsi="Times New Roman" w:cs="Times New Roman"/>
              </w:rPr>
              <w:t xml:space="preserve"> </w:t>
            </w:r>
            <w:r w:rsidRPr="00893F09">
              <w:rPr>
                <w:rFonts w:ascii="Times New Roman" w:hAnsi="Times New Roman" w:cs="Times New Roman"/>
              </w:rPr>
              <w:t>con productores de las vacunas</w:t>
            </w:r>
            <w:r w:rsidR="001602AC">
              <w:rPr>
                <w:rFonts w:ascii="Times New Roman" w:hAnsi="Times New Roman" w:cs="Times New Roman"/>
              </w:rPr>
              <w:t xml:space="preserve"> </w:t>
            </w:r>
            <w:r w:rsidRPr="00893F09">
              <w:rPr>
                <w:rFonts w:ascii="Times New Roman" w:hAnsi="Times New Roman" w:cs="Times New Roman"/>
              </w:rPr>
              <w:t>COVID-19. El mecanismo COVAX está</w:t>
            </w:r>
            <w:r w:rsidR="001602AC">
              <w:rPr>
                <w:rFonts w:ascii="Times New Roman" w:hAnsi="Times New Roman" w:cs="Times New Roman"/>
              </w:rPr>
              <w:t xml:space="preserve"> </w:t>
            </w:r>
            <w:r w:rsidRPr="00893F09">
              <w:rPr>
                <w:rFonts w:ascii="Times New Roman" w:hAnsi="Times New Roman" w:cs="Times New Roman"/>
              </w:rPr>
              <w:t>coordinado por la Alianza Global para</w:t>
            </w:r>
            <w:r w:rsidR="001602AC">
              <w:rPr>
                <w:rFonts w:ascii="Times New Roman" w:hAnsi="Times New Roman" w:cs="Times New Roman"/>
              </w:rPr>
              <w:t xml:space="preserve"> </w:t>
            </w:r>
            <w:r w:rsidRPr="00893F09">
              <w:rPr>
                <w:rFonts w:ascii="Times New Roman" w:hAnsi="Times New Roman" w:cs="Times New Roman"/>
              </w:rPr>
              <w:t>la Vacunación (GAVI), que le permite</w:t>
            </w:r>
            <w:r w:rsidR="001602AC">
              <w:rPr>
                <w:rFonts w:ascii="Times New Roman" w:hAnsi="Times New Roman" w:cs="Times New Roman"/>
              </w:rPr>
              <w:t xml:space="preserve"> </w:t>
            </w:r>
            <w:r w:rsidRPr="00893F09">
              <w:rPr>
                <w:rFonts w:ascii="Times New Roman" w:hAnsi="Times New Roman" w:cs="Times New Roman"/>
              </w:rPr>
              <w:t>al Gobierno de Guatemala asegurar</w:t>
            </w:r>
            <w:r w:rsidR="001602AC">
              <w:rPr>
                <w:rFonts w:ascii="Times New Roman" w:hAnsi="Times New Roman" w:cs="Times New Roman"/>
              </w:rPr>
              <w:t xml:space="preserve"> </w:t>
            </w:r>
            <w:r w:rsidRPr="00893F09">
              <w:rPr>
                <w:rFonts w:ascii="Times New Roman" w:hAnsi="Times New Roman" w:cs="Times New Roman"/>
              </w:rPr>
              <w:t>el acceso a vacunas precalificadas o</w:t>
            </w:r>
            <w:r w:rsidR="001602AC">
              <w:rPr>
                <w:rFonts w:ascii="Times New Roman" w:hAnsi="Times New Roman" w:cs="Times New Roman"/>
              </w:rPr>
              <w:t xml:space="preserve"> </w:t>
            </w:r>
            <w:r w:rsidRPr="00893F09">
              <w:rPr>
                <w:rFonts w:ascii="Times New Roman" w:hAnsi="Times New Roman" w:cs="Times New Roman"/>
              </w:rPr>
              <w:t>listadas para uso de emergencia por</w:t>
            </w:r>
            <w:r w:rsidR="001602AC">
              <w:rPr>
                <w:rFonts w:ascii="Times New Roman" w:hAnsi="Times New Roman" w:cs="Times New Roman"/>
              </w:rPr>
              <w:t xml:space="preserve"> </w:t>
            </w:r>
            <w:r w:rsidRPr="00893F09">
              <w:rPr>
                <w:rFonts w:ascii="Times New Roman" w:hAnsi="Times New Roman" w:cs="Times New Roman"/>
              </w:rPr>
              <w:t>la OMS a un precio favorable y con</w:t>
            </w:r>
            <w:r w:rsidR="001602AC">
              <w:rPr>
                <w:rFonts w:ascii="Times New Roman" w:hAnsi="Times New Roman" w:cs="Times New Roman"/>
              </w:rPr>
              <w:t xml:space="preserve"> </w:t>
            </w:r>
            <w:r w:rsidRPr="00893F09">
              <w:rPr>
                <w:rFonts w:ascii="Times New Roman" w:hAnsi="Times New Roman" w:cs="Times New Roman"/>
              </w:rPr>
              <w:t>entrega anticipada.</w:t>
            </w:r>
          </w:p>
          <w:p w14:paraId="3C6580BD" w14:textId="77777777" w:rsidR="001602AC" w:rsidRDefault="001602AC" w:rsidP="00893F09">
            <w:pPr>
              <w:jc w:val="both"/>
              <w:rPr>
                <w:rFonts w:ascii="Times New Roman" w:hAnsi="Times New Roman" w:cs="Times New Roman"/>
              </w:rPr>
            </w:pPr>
          </w:p>
          <w:p w14:paraId="1D08AE3A" w14:textId="77777777" w:rsidR="001602AC" w:rsidRPr="001602AC" w:rsidRDefault="001602AC" w:rsidP="001602AC">
            <w:pPr>
              <w:jc w:val="both"/>
              <w:rPr>
                <w:rFonts w:ascii="Times New Roman" w:hAnsi="Times New Roman" w:cs="Times New Roman"/>
              </w:rPr>
            </w:pPr>
            <w:r w:rsidRPr="001602AC">
              <w:rPr>
                <w:rFonts w:ascii="Times New Roman" w:hAnsi="Times New Roman" w:cs="Times New Roman"/>
              </w:rPr>
              <w:t>El mecanismo de adquisición directa</w:t>
            </w:r>
            <w:r>
              <w:rPr>
                <w:rFonts w:ascii="Times New Roman" w:hAnsi="Times New Roman" w:cs="Times New Roman"/>
              </w:rPr>
              <w:t xml:space="preserve"> </w:t>
            </w:r>
            <w:r w:rsidRPr="001602AC">
              <w:rPr>
                <w:rFonts w:ascii="Times New Roman" w:hAnsi="Times New Roman" w:cs="Times New Roman"/>
              </w:rPr>
              <w:t>mediante acuerdos bilaterales, es la</w:t>
            </w:r>
            <w:r>
              <w:rPr>
                <w:rFonts w:ascii="Times New Roman" w:hAnsi="Times New Roman" w:cs="Times New Roman"/>
              </w:rPr>
              <w:t xml:space="preserve"> </w:t>
            </w:r>
            <w:r w:rsidRPr="001602AC">
              <w:rPr>
                <w:rFonts w:ascii="Times New Roman" w:hAnsi="Times New Roman" w:cs="Times New Roman"/>
              </w:rPr>
              <w:t>otra modalidad, normada a través</w:t>
            </w:r>
            <w:r>
              <w:rPr>
                <w:rFonts w:ascii="Times New Roman" w:hAnsi="Times New Roman" w:cs="Times New Roman"/>
              </w:rPr>
              <w:t xml:space="preserve"> </w:t>
            </w:r>
            <w:r w:rsidRPr="001602AC">
              <w:rPr>
                <w:rFonts w:ascii="Times New Roman" w:hAnsi="Times New Roman" w:cs="Times New Roman"/>
              </w:rPr>
              <w:t>del Decreto 01-2021, la cual faculta al</w:t>
            </w:r>
            <w:r>
              <w:rPr>
                <w:rFonts w:ascii="Times New Roman" w:hAnsi="Times New Roman" w:cs="Times New Roman"/>
              </w:rPr>
              <w:t xml:space="preserve"> </w:t>
            </w:r>
            <w:r w:rsidRPr="001602AC">
              <w:rPr>
                <w:rFonts w:ascii="Times New Roman" w:hAnsi="Times New Roman" w:cs="Times New Roman"/>
              </w:rPr>
              <w:t>Ministerio de Salud Pública y Asistencia</w:t>
            </w:r>
            <w:r>
              <w:rPr>
                <w:rFonts w:ascii="Times New Roman" w:hAnsi="Times New Roman" w:cs="Times New Roman"/>
              </w:rPr>
              <w:t xml:space="preserve"> </w:t>
            </w:r>
            <w:r w:rsidRPr="001602AC">
              <w:rPr>
                <w:rFonts w:ascii="Times New Roman" w:hAnsi="Times New Roman" w:cs="Times New Roman"/>
              </w:rPr>
              <w:t>Social y al Instituto Guatemalteco de</w:t>
            </w:r>
            <w:r>
              <w:rPr>
                <w:rFonts w:ascii="Times New Roman" w:hAnsi="Times New Roman" w:cs="Times New Roman"/>
              </w:rPr>
              <w:t xml:space="preserve"> </w:t>
            </w:r>
            <w:r w:rsidRPr="001602AC">
              <w:rPr>
                <w:rFonts w:ascii="Times New Roman" w:hAnsi="Times New Roman" w:cs="Times New Roman"/>
              </w:rPr>
              <w:t>Seguridad Social, que derivado de</w:t>
            </w:r>
            <w:r>
              <w:rPr>
                <w:rFonts w:ascii="Times New Roman" w:hAnsi="Times New Roman" w:cs="Times New Roman"/>
              </w:rPr>
              <w:t xml:space="preserve"> la emergencia s</w:t>
            </w:r>
            <w:r w:rsidRPr="001602AC">
              <w:rPr>
                <w:rFonts w:ascii="Times New Roman" w:hAnsi="Times New Roman" w:cs="Times New Roman"/>
              </w:rPr>
              <w:t>anitaria que vive la</w:t>
            </w:r>
          </w:p>
          <w:p w14:paraId="71109932" w14:textId="77777777" w:rsidR="00571209" w:rsidRDefault="001602AC" w:rsidP="0017094F">
            <w:pPr>
              <w:jc w:val="both"/>
              <w:rPr>
                <w:rFonts w:ascii="Times New Roman" w:hAnsi="Times New Roman" w:cs="Times New Roman"/>
              </w:rPr>
            </w:pPr>
            <w:r w:rsidRPr="001602AC">
              <w:rPr>
                <w:rFonts w:ascii="Times New Roman" w:hAnsi="Times New Roman" w:cs="Times New Roman"/>
              </w:rPr>
              <w:t>población guatemalteca, el Ministerio está exento del</w:t>
            </w:r>
            <w:r>
              <w:rPr>
                <w:rFonts w:ascii="Times New Roman" w:hAnsi="Times New Roman" w:cs="Times New Roman"/>
              </w:rPr>
              <w:t xml:space="preserve"> </w:t>
            </w:r>
            <w:r w:rsidRPr="001602AC">
              <w:rPr>
                <w:rFonts w:ascii="Times New Roman" w:hAnsi="Times New Roman" w:cs="Times New Roman"/>
              </w:rPr>
              <w:t>cumplimiento de los requerimientos</w:t>
            </w:r>
            <w:r>
              <w:rPr>
                <w:rFonts w:ascii="Times New Roman" w:hAnsi="Times New Roman" w:cs="Times New Roman"/>
              </w:rPr>
              <w:t xml:space="preserve"> </w:t>
            </w:r>
            <w:r w:rsidRPr="001602AC">
              <w:rPr>
                <w:rFonts w:ascii="Times New Roman" w:hAnsi="Times New Roman" w:cs="Times New Roman"/>
              </w:rPr>
              <w:t xml:space="preserve">establecidos en </w:t>
            </w:r>
            <w:r>
              <w:rPr>
                <w:rFonts w:ascii="Times New Roman" w:hAnsi="Times New Roman" w:cs="Times New Roman"/>
              </w:rPr>
              <w:t xml:space="preserve">la </w:t>
            </w:r>
            <w:r w:rsidRPr="001602AC">
              <w:rPr>
                <w:rFonts w:ascii="Times New Roman" w:hAnsi="Times New Roman" w:cs="Times New Roman"/>
              </w:rPr>
              <w:t>Ley de Contrataciones del Estado y</w:t>
            </w:r>
            <w:r>
              <w:rPr>
                <w:rFonts w:ascii="Times New Roman" w:hAnsi="Times New Roman" w:cs="Times New Roman"/>
              </w:rPr>
              <w:t xml:space="preserve"> su Reglamento, </w:t>
            </w:r>
            <w:r w:rsidRPr="001602AC">
              <w:rPr>
                <w:rFonts w:ascii="Times New Roman" w:hAnsi="Times New Roman" w:cs="Times New Roman"/>
              </w:rPr>
              <w:t>pudiendo ser la modalidad de pago por medio de anticipos, quedando exentas del pago del IVA, tanto las vacunas como otros insumos de salud que se encuentren vinculados al transporte y conservación. Por un período de dos años también se encuentran exentas del pago de impuestos las donaciones.</w:t>
            </w:r>
          </w:p>
          <w:p w14:paraId="24D200DC" w14:textId="77777777" w:rsidR="008D036F" w:rsidRDefault="008D036F" w:rsidP="0017094F">
            <w:pPr>
              <w:jc w:val="both"/>
              <w:rPr>
                <w:rFonts w:ascii="Times New Roman" w:hAnsi="Times New Roman" w:cs="Times New Roman"/>
              </w:rPr>
            </w:pPr>
          </w:p>
          <w:p w14:paraId="2777CEC4" w14:textId="174179D4" w:rsidR="008D036F" w:rsidRDefault="008D036F" w:rsidP="0017094F">
            <w:pPr>
              <w:jc w:val="both"/>
              <w:rPr>
                <w:rFonts w:ascii="Times New Roman" w:hAnsi="Times New Roman" w:cs="Times New Roman"/>
              </w:rPr>
            </w:pPr>
            <w:r w:rsidRPr="00070685">
              <w:rPr>
                <w:rFonts w:ascii="Times New Roman" w:hAnsi="Times New Roman" w:cs="Times New Roman"/>
              </w:rPr>
              <w:t xml:space="preserve">Hasta el </w:t>
            </w:r>
            <w:r w:rsidR="00070685" w:rsidRPr="00070685">
              <w:rPr>
                <w:rFonts w:ascii="Times New Roman" w:hAnsi="Times New Roman" w:cs="Times New Roman"/>
              </w:rPr>
              <w:t>25</w:t>
            </w:r>
            <w:r w:rsidRPr="00070685">
              <w:rPr>
                <w:rFonts w:ascii="Times New Roman" w:hAnsi="Times New Roman" w:cs="Times New Roman"/>
              </w:rPr>
              <w:t xml:space="preserve"> de </w:t>
            </w:r>
            <w:r w:rsidR="00070685" w:rsidRPr="00070685">
              <w:rPr>
                <w:rFonts w:ascii="Times New Roman" w:hAnsi="Times New Roman" w:cs="Times New Roman"/>
              </w:rPr>
              <w:t>agosto</w:t>
            </w:r>
            <w:r w:rsidRPr="00070685">
              <w:rPr>
                <w:rFonts w:ascii="Times New Roman" w:hAnsi="Times New Roman" w:cs="Times New Roman"/>
              </w:rPr>
              <w:t xml:space="preserve">, </w:t>
            </w:r>
            <w:r w:rsidR="0006573E" w:rsidRPr="00070685">
              <w:rPr>
                <w:rFonts w:ascii="Times New Roman" w:hAnsi="Times New Roman" w:cs="Times New Roman"/>
              </w:rPr>
              <w:t>el 1</w:t>
            </w:r>
            <w:r w:rsidR="00070685" w:rsidRPr="00070685">
              <w:rPr>
                <w:rFonts w:ascii="Times New Roman" w:hAnsi="Times New Roman" w:cs="Times New Roman"/>
              </w:rPr>
              <w:t>7</w:t>
            </w:r>
            <w:r w:rsidR="0006573E">
              <w:rPr>
                <w:rFonts w:ascii="Times New Roman" w:hAnsi="Times New Roman" w:cs="Times New Roman"/>
              </w:rPr>
              <w:t>.</w:t>
            </w:r>
            <w:r w:rsidR="00070685">
              <w:rPr>
                <w:rFonts w:ascii="Times New Roman" w:hAnsi="Times New Roman" w:cs="Times New Roman"/>
              </w:rPr>
              <w:t>22</w:t>
            </w:r>
            <w:r w:rsidR="0006573E">
              <w:rPr>
                <w:rFonts w:ascii="Times New Roman" w:hAnsi="Times New Roman" w:cs="Times New Roman"/>
              </w:rPr>
              <w:t xml:space="preserve">% de la población guatemalteca había recibido por lo menos una dosis de la vacuna contra el COVID-19, </w:t>
            </w:r>
            <w:r w:rsidR="00070685">
              <w:rPr>
                <w:rFonts w:ascii="Times New Roman" w:hAnsi="Times New Roman" w:cs="Times New Roman"/>
              </w:rPr>
              <w:t xml:space="preserve">de los cuales el 5.38% se encuentra plenamente vacunado (dos dosis). </w:t>
            </w:r>
            <w:r w:rsidR="0036720A">
              <w:rPr>
                <w:rFonts w:ascii="Times New Roman" w:hAnsi="Times New Roman" w:cs="Times New Roman"/>
              </w:rPr>
              <w:t xml:space="preserve">La baja tasa en la vacunación se ha </w:t>
            </w:r>
            <w:r w:rsidR="0006573E">
              <w:rPr>
                <w:rFonts w:ascii="Times New Roman" w:hAnsi="Times New Roman" w:cs="Times New Roman"/>
              </w:rPr>
              <w:t>debido a demoras en las negociaciones con las farmacéuticas, explicado por una capacidad limitada para la producción de las mismas, debilidad institucional y retrasos en la llegada de las vacunas mediante el mecanismo COVAX</w:t>
            </w:r>
            <w:r w:rsidR="00EF3A1A">
              <w:rPr>
                <w:rFonts w:ascii="Times New Roman" w:hAnsi="Times New Roman" w:cs="Times New Roman"/>
              </w:rPr>
              <w:t>.</w:t>
            </w:r>
          </w:p>
          <w:p w14:paraId="3A43FCAF" w14:textId="036245FE" w:rsidR="00C01B37" w:rsidRPr="005F7F0E" w:rsidRDefault="00FB2835" w:rsidP="0017094F">
            <w:pPr>
              <w:jc w:val="both"/>
              <w:rPr>
                <w:rFonts w:ascii="Times New Roman" w:hAnsi="Times New Roman" w:cs="Times New Roman"/>
                <w:sz w:val="16"/>
              </w:rPr>
            </w:pPr>
            <w:r>
              <w:rPr>
                <w:noProof/>
                <w:lang w:val="es-ES" w:eastAsia="es-ES"/>
              </w:rPr>
              <mc:AlternateContent>
                <mc:Choice Requires="wps">
                  <w:drawing>
                    <wp:anchor distT="0" distB="0" distL="114300" distR="114300" simplePos="0" relativeHeight="252017152" behindDoc="0" locked="0" layoutInCell="1" allowOverlap="1" wp14:anchorId="6C23C0AB" wp14:editId="7B62C5D9">
                      <wp:simplePos x="0" y="0"/>
                      <wp:positionH relativeFrom="column">
                        <wp:posOffset>978583</wp:posOffset>
                      </wp:positionH>
                      <wp:positionV relativeFrom="paragraph">
                        <wp:posOffset>265118</wp:posOffset>
                      </wp:positionV>
                      <wp:extent cx="3407410" cy="207010"/>
                      <wp:effectExtent l="0" t="0" r="2540" b="2540"/>
                      <wp:wrapSquare wrapText="bothSides"/>
                      <wp:docPr id="32" name="Cuadro de texto 32"/>
                      <wp:cNvGraphicFramePr/>
                      <a:graphic xmlns:a="http://schemas.openxmlformats.org/drawingml/2006/main">
                        <a:graphicData uri="http://schemas.microsoft.com/office/word/2010/wordprocessingShape">
                          <wps:wsp>
                            <wps:cNvSpPr txBox="1"/>
                            <wps:spPr>
                              <a:xfrm>
                                <a:off x="0" y="0"/>
                                <a:ext cx="3407410" cy="207010"/>
                              </a:xfrm>
                              <a:prstGeom prst="rect">
                                <a:avLst/>
                              </a:prstGeom>
                              <a:noFill/>
                              <a:ln>
                                <a:noFill/>
                              </a:ln>
                            </wps:spPr>
                            <wps:txbx>
                              <w:txbxContent>
                                <w:p w14:paraId="034124BB" w14:textId="528032A0" w:rsidR="00A36CEB" w:rsidRPr="00FB2835" w:rsidRDefault="00A36CEB" w:rsidP="00FB2835">
                                  <w:pPr>
                                    <w:pStyle w:val="Epgrafe"/>
                                    <w:rPr>
                                      <w:rFonts w:ascii="Times New Roman" w:hAnsi="Times New Roman" w:cs="Times New Roman"/>
                                      <w:b/>
                                      <w:noProof/>
                                      <w:color w:val="auto"/>
                                      <w:sz w:val="20"/>
                                      <w:shd w:val="clear" w:color="auto" w:fill="DEEAF6" w:themeFill="accent1" w:themeFillTint="33"/>
                                    </w:rPr>
                                  </w:pPr>
                                  <w:bookmarkStart w:id="1189" w:name="_Toc81573095"/>
                                  <w:r w:rsidRPr="00FB2835">
                                    <w:rPr>
                                      <w:rFonts w:ascii="Times New Roman" w:hAnsi="Times New Roman" w:cs="Times New Roman"/>
                                      <w:b/>
                                      <w:color w:val="auto"/>
                                      <w:sz w:val="20"/>
                                    </w:rPr>
                                    <w:t xml:space="preserve">Gráfico </w:t>
                                  </w:r>
                                  <w:r w:rsidRPr="00FB2835">
                                    <w:rPr>
                                      <w:rFonts w:ascii="Times New Roman" w:hAnsi="Times New Roman" w:cs="Times New Roman"/>
                                      <w:b/>
                                      <w:color w:val="auto"/>
                                      <w:sz w:val="20"/>
                                    </w:rPr>
                                    <w:fldChar w:fldCharType="begin"/>
                                  </w:r>
                                  <w:r w:rsidRPr="00FB2835">
                                    <w:rPr>
                                      <w:rFonts w:ascii="Times New Roman" w:hAnsi="Times New Roman" w:cs="Times New Roman"/>
                                      <w:b/>
                                      <w:color w:val="auto"/>
                                      <w:sz w:val="20"/>
                                    </w:rPr>
                                    <w:instrText xml:space="preserve"> SEQ Gráfico \* ARABIC </w:instrText>
                                  </w:r>
                                  <w:r w:rsidRPr="00FB2835">
                                    <w:rPr>
                                      <w:rFonts w:ascii="Times New Roman" w:hAnsi="Times New Roman" w:cs="Times New Roman"/>
                                      <w:b/>
                                      <w:color w:val="auto"/>
                                      <w:sz w:val="20"/>
                                    </w:rPr>
                                    <w:fldChar w:fldCharType="separate"/>
                                  </w:r>
                                  <w:r>
                                    <w:rPr>
                                      <w:rFonts w:ascii="Times New Roman" w:hAnsi="Times New Roman" w:cs="Times New Roman"/>
                                      <w:b/>
                                      <w:noProof/>
                                      <w:color w:val="auto"/>
                                      <w:sz w:val="20"/>
                                    </w:rPr>
                                    <w:t>45</w:t>
                                  </w:r>
                                  <w:r w:rsidRPr="00FB2835">
                                    <w:rPr>
                                      <w:rFonts w:ascii="Times New Roman" w:hAnsi="Times New Roman" w:cs="Times New Roman"/>
                                      <w:b/>
                                      <w:color w:val="auto"/>
                                      <w:sz w:val="20"/>
                                    </w:rPr>
                                    <w:fldChar w:fldCharType="end"/>
                                  </w:r>
                                  <w:r w:rsidRPr="00FB2835">
                                    <w:rPr>
                                      <w:rFonts w:ascii="Times New Roman" w:hAnsi="Times New Roman" w:cs="Times New Roman"/>
                                      <w:b/>
                                      <w:color w:val="auto"/>
                                      <w:sz w:val="20"/>
                                    </w:rPr>
                                    <w:t>. % de población que ha recibido por lo menos 1 dosis</w:t>
                                  </w:r>
                                  <w:bookmarkEnd w:id="118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C23C0AB" id="Cuadro de texto 32" o:spid="_x0000_s1038" type="#_x0000_t202" style="position:absolute;left:0;text-align:left;margin-left:77.05pt;margin-top:20.9pt;width:268.3pt;height:16.3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" filled="f" stroked="f">
                      <v:textbox inset="0,0,0,0">
                        <w:txbxContent>
                          <w:p w14:paraId="034124BB" w14:textId="528032A0" w:rsidR="00A36CEB" w:rsidRPr="00FB2835" w:rsidRDefault="00A36CEB" w:rsidP="00FB2835">
                            <w:pPr>
                              <w:pStyle w:val="Descripcin"/>
                              <w:rPr>
                                <w:rFonts w:ascii="Times New Roman" w:hAnsi="Times New Roman" w:cs="Times New Roman"/>
                                <w:b/>
                                <w:noProof/>
                                <w:color w:val="auto"/>
                                <w:sz w:val="20"/>
                                <w:shd w:val="clear" w:color="auto" w:fill="DEEAF6" w:themeFill="accent1" w:themeFillTint="33"/>
                              </w:rPr>
                            </w:pPr>
                            <w:bookmarkStart w:id="1190" w:name="_Toc81573095"/>
                            <w:r w:rsidRPr="00FB2835">
                              <w:rPr>
                                <w:rFonts w:ascii="Times New Roman" w:hAnsi="Times New Roman" w:cs="Times New Roman"/>
                                <w:b/>
                                <w:color w:val="auto"/>
                                <w:sz w:val="20"/>
                              </w:rPr>
                              <w:t xml:space="preserve">Gráfico </w:t>
                            </w:r>
                            <w:r w:rsidRPr="00FB2835">
                              <w:rPr>
                                <w:rFonts w:ascii="Times New Roman" w:hAnsi="Times New Roman" w:cs="Times New Roman"/>
                                <w:b/>
                                <w:color w:val="auto"/>
                                <w:sz w:val="20"/>
                              </w:rPr>
                              <w:fldChar w:fldCharType="begin"/>
                            </w:r>
                            <w:r w:rsidRPr="00FB2835">
                              <w:rPr>
                                <w:rFonts w:ascii="Times New Roman" w:hAnsi="Times New Roman" w:cs="Times New Roman"/>
                                <w:b/>
                                <w:color w:val="auto"/>
                                <w:sz w:val="20"/>
                              </w:rPr>
                              <w:instrText xml:space="preserve"> SEQ Gráfico \* ARABIC </w:instrText>
                            </w:r>
                            <w:r w:rsidRPr="00FB2835">
                              <w:rPr>
                                <w:rFonts w:ascii="Times New Roman" w:hAnsi="Times New Roman" w:cs="Times New Roman"/>
                                <w:b/>
                                <w:color w:val="auto"/>
                                <w:sz w:val="20"/>
                              </w:rPr>
                              <w:fldChar w:fldCharType="separate"/>
                            </w:r>
                            <w:r>
                              <w:rPr>
                                <w:rFonts w:ascii="Times New Roman" w:hAnsi="Times New Roman" w:cs="Times New Roman"/>
                                <w:b/>
                                <w:noProof/>
                                <w:color w:val="auto"/>
                                <w:sz w:val="20"/>
                              </w:rPr>
                              <w:t>45</w:t>
                            </w:r>
                            <w:r w:rsidRPr="00FB2835">
                              <w:rPr>
                                <w:rFonts w:ascii="Times New Roman" w:hAnsi="Times New Roman" w:cs="Times New Roman"/>
                                <w:b/>
                                <w:color w:val="auto"/>
                                <w:sz w:val="20"/>
                              </w:rPr>
                              <w:fldChar w:fldCharType="end"/>
                            </w:r>
                            <w:r w:rsidRPr="00FB2835">
                              <w:rPr>
                                <w:rFonts w:ascii="Times New Roman" w:hAnsi="Times New Roman" w:cs="Times New Roman"/>
                                <w:b/>
                                <w:color w:val="auto"/>
                                <w:sz w:val="20"/>
                              </w:rPr>
                              <w:t>. % de población que ha recibido por lo menos 1 dosis</w:t>
                            </w:r>
                            <w:bookmarkEnd w:id="1190"/>
                          </w:p>
                        </w:txbxContent>
                      </v:textbox>
                      <w10:wrap type="square"/>
                    </v:shape>
                  </w:pict>
                </mc:Fallback>
              </mc:AlternateContent>
            </w:r>
            <w:r w:rsidRPr="00EF3A1A">
              <w:rPr>
                <w:rFonts w:ascii="Times New Roman" w:hAnsi="Times New Roman" w:cs="Times New Roman"/>
                <w:noProof/>
                <w:shd w:val="clear" w:color="auto" w:fill="DEEAF6" w:themeFill="accent1" w:themeFillTint="33"/>
                <w:lang w:val="es-ES" w:eastAsia="es-ES"/>
              </w:rPr>
              <w:drawing>
                <wp:anchor distT="0" distB="0" distL="114300" distR="114300" simplePos="0" relativeHeight="251938304" behindDoc="0" locked="0" layoutInCell="1" allowOverlap="1" wp14:anchorId="10DE63B1" wp14:editId="299D4155">
                  <wp:simplePos x="0" y="0"/>
                  <wp:positionH relativeFrom="column">
                    <wp:posOffset>3810</wp:posOffset>
                  </wp:positionH>
                  <wp:positionV relativeFrom="paragraph">
                    <wp:posOffset>221615</wp:posOffset>
                  </wp:positionV>
                  <wp:extent cx="5423535" cy="2249805"/>
                  <wp:effectExtent l="0" t="0" r="5715" b="0"/>
                  <wp:wrapSquare wrapText="bothSides"/>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page">
                    <wp14:pctWidth>0</wp14:pctWidth>
                  </wp14:sizeRelH>
                  <wp14:sizeRelV relativeFrom="page">
                    <wp14:pctHeight>0</wp14:pctHeight>
                  </wp14:sizeRelV>
                </wp:anchor>
              </w:drawing>
            </w:r>
            <w:r>
              <w:rPr>
                <w:rFonts w:ascii="Times New Roman" w:hAnsi="Times New Roman" w:cs="Times New Roman"/>
                <w:sz w:val="16"/>
              </w:rPr>
              <w:t xml:space="preserve">Porcentaje de población que ha recibido por lo menos </w:t>
            </w:r>
          </w:p>
          <w:p w14:paraId="3B31244C" w14:textId="54AEC9E5" w:rsidR="0006573E" w:rsidRPr="00C01B37" w:rsidRDefault="00C01B37" w:rsidP="0017094F">
            <w:pPr>
              <w:jc w:val="both"/>
              <w:rPr>
                <w:rFonts w:ascii="Times New Roman" w:hAnsi="Times New Roman" w:cs="Times New Roman"/>
                <w:sz w:val="16"/>
                <w:lang w:val="en-US"/>
              </w:rPr>
            </w:pPr>
            <w:r w:rsidRPr="00C01B37">
              <w:rPr>
                <w:rFonts w:ascii="Times New Roman" w:hAnsi="Times New Roman" w:cs="Times New Roman"/>
                <w:sz w:val="16"/>
                <w:lang w:val="en-US"/>
              </w:rPr>
              <w:t xml:space="preserve">Fuente: Our World In Data </w:t>
            </w:r>
            <w:hyperlink r:id="rId81" w:history="1">
              <w:r w:rsidRPr="00C01B37">
                <w:rPr>
                  <w:rStyle w:val="Hipervnculo"/>
                  <w:rFonts w:ascii="Times New Roman" w:hAnsi="Times New Roman" w:cs="Times New Roman"/>
                  <w:sz w:val="16"/>
                  <w:lang w:val="en-US"/>
                </w:rPr>
                <w:t>https://ourworldindata.org/covid-vaccinations</w:t>
              </w:r>
            </w:hyperlink>
          </w:p>
          <w:p w14:paraId="674A5D23" w14:textId="77777777" w:rsidR="00EF3A1A" w:rsidRPr="00C01B37" w:rsidRDefault="00EF3A1A" w:rsidP="00EF3A1A">
            <w:pPr>
              <w:jc w:val="both"/>
              <w:rPr>
                <w:rFonts w:ascii="Times New Roman" w:hAnsi="Times New Roman" w:cs="Times New Roman"/>
                <w:lang w:val="en-US"/>
              </w:rPr>
            </w:pPr>
          </w:p>
          <w:p w14:paraId="2AE3E647" w14:textId="77777777" w:rsidR="00AD002E" w:rsidRPr="004133EB" w:rsidRDefault="0006573E" w:rsidP="00C01B37">
            <w:pPr>
              <w:jc w:val="both"/>
              <w:rPr>
                <w:rFonts w:ascii="Times New Roman" w:hAnsi="Times New Roman" w:cs="Times New Roman"/>
              </w:rPr>
            </w:pPr>
            <w:r w:rsidRPr="0006573E">
              <w:rPr>
                <w:rFonts w:ascii="Times New Roman" w:hAnsi="Times New Roman" w:cs="Times New Roman"/>
              </w:rPr>
              <w:t>La solución más eficaz</w:t>
            </w:r>
            <w:r w:rsidR="00EF3A1A">
              <w:rPr>
                <w:rFonts w:ascii="Times New Roman" w:hAnsi="Times New Roman" w:cs="Times New Roman"/>
              </w:rPr>
              <w:t xml:space="preserve"> reconocida</w:t>
            </w:r>
            <w:r w:rsidRPr="0006573E">
              <w:rPr>
                <w:rFonts w:ascii="Times New Roman" w:hAnsi="Times New Roman" w:cs="Times New Roman"/>
              </w:rPr>
              <w:t xml:space="preserve"> para frenar la mortalidad, además de las medidas de bioseguridad, es la v</w:t>
            </w:r>
            <w:r w:rsidR="00EF3A1A">
              <w:rPr>
                <w:rFonts w:ascii="Times New Roman" w:hAnsi="Times New Roman" w:cs="Times New Roman"/>
              </w:rPr>
              <w:t xml:space="preserve">acunación contra el coronavirus y mientras este proceso continúe </w:t>
            </w:r>
            <w:r w:rsidR="00C01B37">
              <w:rPr>
                <w:rFonts w:ascii="Times New Roman" w:hAnsi="Times New Roman" w:cs="Times New Roman"/>
              </w:rPr>
              <w:t xml:space="preserve">siendo lento, la incertidumbre respecto al mediano plazo y las medidas que sean necesarias adoptar para el control de la propagación del COVID-19, continuaran afectando las variables macro fiscales del país. </w:t>
            </w:r>
          </w:p>
        </w:tc>
      </w:tr>
    </w:tbl>
    <w:p w14:paraId="3E7495F3" w14:textId="4A86FE48" w:rsidR="00AD002E" w:rsidRDefault="00AD002E" w:rsidP="000865B9">
      <w:pPr>
        <w:spacing w:after="0" w:line="240" w:lineRule="auto"/>
        <w:jc w:val="both"/>
        <w:rPr>
          <w:rFonts w:ascii="Times New Roman" w:hAnsi="Times New Roman" w:cs="Times New Roman"/>
        </w:rPr>
      </w:pPr>
    </w:p>
    <w:p w14:paraId="37D5E1C1" w14:textId="64641159" w:rsidR="00FB2835" w:rsidRDefault="00FB2835" w:rsidP="000865B9">
      <w:pPr>
        <w:spacing w:after="0" w:line="240" w:lineRule="auto"/>
        <w:jc w:val="both"/>
        <w:rPr>
          <w:rFonts w:ascii="Times New Roman" w:hAnsi="Times New Roman" w:cs="Times New Roman"/>
        </w:rPr>
      </w:pPr>
    </w:p>
    <w:p w14:paraId="6DFA632A" w14:textId="77777777" w:rsidR="00FB2835" w:rsidRDefault="00FB2835" w:rsidP="000865B9">
      <w:pPr>
        <w:spacing w:after="0" w:line="240" w:lineRule="auto"/>
        <w:jc w:val="both"/>
        <w:rPr>
          <w:rFonts w:ascii="Times New Roman" w:hAnsi="Times New Roman" w:cs="Times New Roman"/>
        </w:rPr>
      </w:pPr>
    </w:p>
    <w:p w14:paraId="19A96472" w14:textId="77777777" w:rsidR="00701B27" w:rsidRPr="003C14E4" w:rsidRDefault="00CF3121" w:rsidP="001032E7">
      <w:pPr>
        <w:pStyle w:val="Sinespaciado"/>
        <w:numPr>
          <w:ilvl w:val="0"/>
          <w:numId w:val="38"/>
        </w:numPr>
        <w:outlineLvl w:val="1"/>
        <w:rPr>
          <w:rFonts w:ascii="Times New Roman" w:hAnsi="Times New Roman" w:cs="Times New Roman"/>
          <w:b/>
          <w:sz w:val="24"/>
        </w:rPr>
      </w:pPr>
      <w:bookmarkStart w:id="1190" w:name="_Toc16155034"/>
      <w:bookmarkStart w:id="1191" w:name="_Toc49939468"/>
      <w:bookmarkStart w:id="1192" w:name="_Toc81571903"/>
      <w:r w:rsidRPr="003C14E4">
        <w:rPr>
          <w:rFonts w:ascii="Times New Roman" w:hAnsi="Times New Roman" w:cs="Times New Roman"/>
          <w:b/>
          <w:sz w:val="24"/>
        </w:rPr>
        <w:t xml:space="preserve">Escenario </w:t>
      </w:r>
      <w:r w:rsidR="00F738F6">
        <w:rPr>
          <w:rFonts w:ascii="Times New Roman" w:hAnsi="Times New Roman" w:cs="Times New Roman"/>
          <w:b/>
          <w:sz w:val="24"/>
        </w:rPr>
        <w:t>f</w:t>
      </w:r>
      <w:r w:rsidRPr="003C14E4">
        <w:rPr>
          <w:rFonts w:ascii="Times New Roman" w:hAnsi="Times New Roman" w:cs="Times New Roman"/>
          <w:b/>
          <w:sz w:val="24"/>
        </w:rPr>
        <w:t>iscal</w:t>
      </w:r>
      <w:r w:rsidR="00B521EF" w:rsidRPr="003C14E4">
        <w:rPr>
          <w:rFonts w:ascii="Times New Roman" w:hAnsi="Times New Roman" w:cs="Times New Roman"/>
          <w:b/>
          <w:sz w:val="24"/>
        </w:rPr>
        <w:t xml:space="preserve"> de </w:t>
      </w:r>
      <w:r w:rsidR="00F738F6">
        <w:rPr>
          <w:rFonts w:ascii="Times New Roman" w:hAnsi="Times New Roman" w:cs="Times New Roman"/>
          <w:b/>
          <w:sz w:val="24"/>
        </w:rPr>
        <w:t>mediano p</w:t>
      </w:r>
      <w:r w:rsidR="00B521EF" w:rsidRPr="003C14E4">
        <w:rPr>
          <w:rFonts w:ascii="Times New Roman" w:hAnsi="Times New Roman" w:cs="Times New Roman"/>
          <w:b/>
          <w:sz w:val="24"/>
        </w:rPr>
        <w:t>lazo 202</w:t>
      </w:r>
      <w:r w:rsidR="00E561AC">
        <w:rPr>
          <w:rFonts w:ascii="Times New Roman" w:hAnsi="Times New Roman" w:cs="Times New Roman"/>
          <w:b/>
          <w:sz w:val="24"/>
        </w:rPr>
        <w:t>2</w:t>
      </w:r>
      <w:r w:rsidR="00B521EF" w:rsidRPr="003C14E4">
        <w:rPr>
          <w:rFonts w:ascii="Times New Roman" w:hAnsi="Times New Roman" w:cs="Times New Roman"/>
          <w:b/>
          <w:sz w:val="24"/>
        </w:rPr>
        <w:t xml:space="preserve"> - 202</w:t>
      </w:r>
      <w:bookmarkEnd w:id="1190"/>
      <w:bookmarkEnd w:id="1191"/>
      <w:r w:rsidR="00E561AC">
        <w:rPr>
          <w:rFonts w:ascii="Times New Roman" w:hAnsi="Times New Roman" w:cs="Times New Roman"/>
          <w:b/>
          <w:sz w:val="24"/>
        </w:rPr>
        <w:t>6</w:t>
      </w:r>
      <w:bookmarkEnd w:id="1192"/>
    </w:p>
    <w:p w14:paraId="127F22BD" w14:textId="77777777" w:rsidR="00C450BE" w:rsidRPr="004133EB" w:rsidRDefault="00C450BE" w:rsidP="0024040C">
      <w:pPr>
        <w:pStyle w:val="Sinespaciado"/>
        <w:jc w:val="both"/>
        <w:rPr>
          <w:rFonts w:ascii="Times New Roman" w:hAnsi="Times New Roman" w:cs="Times New Roman"/>
          <w:sz w:val="18"/>
        </w:rPr>
      </w:pPr>
    </w:p>
    <w:p w14:paraId="32645E6A" w14:textId="6BED0995" w:rsidR="006649F3" w:rsidRPr="004133EB" w:rsidRDefault="00E8303D" w:rsidP="000865B9">
      <w:pPr>
        <w:pStyle w:val="Sinespaciado"/>
        <w:jc w:val="both"/>
        <w:rPr>
          <w:rFonts w:ascii="Times New Roman" w:hAnsi="Times New Roman" w:cs="Times New Roman"/>
        </w:rPr>
      </w:pPr>
      <w:r w:rsidRPr="004133EB">
        <w:rPr>
          <w:rFonts w:ascii="Times New Roman" w:hAnsi="Times New Roman" w:cs="Times New Roman"/>
        </w:rPr>
        <w:t>La gestión de las finanzas públicas con una perspectiva de mediano plazo</w:t>
      </w:r>
      <w:r w:rsidR="00435A28" w:rsidRPr="004133EB">
        <w:rPr>
          <w:rFonts w:ascii="Times New Roman" w:hAnsi="Times New Roman" w:cs="Times New Roman"/>
        </w:rPr>
        <w:t xml:space="preserve"> permite</w:t>
      </w:r>
      <w:r w:rsidRPr="004133EB">
        <w:rPr>
          <w:rFonts w:ascii="Times New Roman" w:hAnsi="Times New Roman" w:cs="Times New Roman"/>
        </w:rPr>
        <w:t xml:space="preserve"> aumenta</w:t>
      </w:r>
      <w:r w:rsidR="00435A28" w:rsidRPr="004133EB">
        <w:rPr>
          <w:rFonts w:ascii="Times New Roman" w:hAnsi="Times New Roman" w:cs="Times New Roman"/>
        </w:rPr>
        <w:t>r</w:t>
      </w:r>
      <w:r w:rsidRPr="004133EB">
        <w:rPr>
          <w:rFonts w:ascii="Times New Roman" w:hAnsi="Times New Roman" w:cs="Times New Roman"/>
        </w:rPr>
        <w:t xml:space="preserve"> el bienestar de los ciudadanos de un país a través </w:t>
      </w:r>
      <w:r w:rsidR="0028198F">
        <w:rPr>
          <w:rFonts w:ascii="Times New Roman" w:hAnsi="Times New Roman" w:cs="Times New Roman"/>
        </w:rPr>
        <w:t>de la política redistributiva del gobierno</w:t>
      </w:r>
      <w:r w:rsidR="00484727" w:rsidRPr="004133EB">
        <w:rPr>
          <w:rFonts w:ascii="Times New Roman" w:hAnsi="Times New Roman" w:cs="Times New Roman"/>
        </w:rPr>
        <w:t xml:space="preserve"> que coadyuva </w:t>
      </w:r>
      <w:r w:rsidR="003D31B0">
        <w:rPr>
          <w:rFonts w:ascii="Times New Roman" w:hAnsi="Times New Roman" w:cs="Times New Roman"/>
        </w:rPr>
        <w:t>a</w:t>
      </w:r>
      <w:r w:rsidR="00F87F0A">
        <w:rPr>
          <w:rFonts w:ascii="Times New Roman" w:hAnsi="Times New Roman" w:cs="Times New Roman"/>
        </w:rPr>
        <w:t xml:space="preserve"> la dotación de bienes y servicios para la sociedad y</w:t>
      </w:r>
      <w:r w:rsidR="006E2FA7" w:rsidRPr="004133EB">
        <w:rPr>
          <w:rFonts w:ascii="Times New Roman" w:hAnsi="Times New Roman" w:cs="Times New Roman"/>
        </w:rPr>
        <w:t xml:space="preserve"> la</w:t>
      </w:r>
      <w:r w:rsidRPr="004133EB">
        <w:rPr>
          <w:rFonts w:ascii="Times New Roman" w:hAnsi="Times New Roman" w:cs="Times New Roman"/>
        </w:rPr>
        <w:t xml:space="preserve"> reducción de los niveles de desigualdad y pobreza, objetivos que se alcanzan cuando la política fiscal produce mayor estabilidad económica, mejora la eficiencia y la distribución de los ingresos del país. Para hacer esto posible, se requiere de un Marco Fiscal de Mediano Plazo (MFMP) que </w:t>
      </w:r>
      <w:r w:rsidR="00484727" w:rsidRPr="004133EB">
        <w:rPr>
          <w:rFonts w:ascii="Times New Roman" w:hAnsi="Times New Roman" w:cs="Times New Roman"/>
        </w:rPr>
        <w:t>oriente la implementación de</w:t>
      </w:r>
      <w:r w:rsidRPr="004133EB">
        <w:rPr>
          <w:rFonts w:ascii="Times New Roman" w:hAnsi="Times New Roman" w:cs="Times New Roman"/>
        </w:rPr>
        <w:t xml:space="preserve"> una política fiscal más predecible, más transparente, menos </w:t>
      </w:r>
      <w:r w:rsidR="00FB2835" w:rsidRPr="004133EB">
        <w:rPr>
          <w:rFonts w:ascii="Times New Roman" w:hAnsi="Times New Roman" w:cs="Times New Roman"/>
        </w:rPr>
        <w:t>pro cíclica</w:t>
      </w:r>
      <w:r w:rsidRPr="004133EB">
        <w:rPr>
          <w:rFonts w:ascii="Times New Roman" w:hAnsi="Times New Roman" w:cs="Times New Roman"/>
        </w:rPr>
        <w:t xml:space="preserve"> y más eficiente en lograr los objetivos antes mencionados.</w:t>
      </w:r>
    </w:p>
    <w:p w14:paraId="4F86D35C" w14:textId="77777777" w:rsidR="006E2FA7" w:rsidRPr="004133EB" w:rsidRDefault="006E2FA7" w:rsidP="000865B9">
      <w:pPr>
        <w:pStyle w:val="Sinespaciado"/>
        <w:jc w:val="both"/>
        <w:rPr>
          <w:rFonts w:ascii="Times New Roman" w:hAnsi="Times New Roman" w:cs="Times New Roman"/>
        </w:rPr>
      </w:pPr>
    </w:p>
    <w:p w14:paraId="02675BE0" w14:textId="77777777" w:rsidR="006E2FA7" w:rsidRPr="004133EB" w:rsidRDefault="00A00EA8" w:rsidP="006E2FA7">
      <w:pPr>
        <w:pStyle w:val="Sinespaciado"/>
        <w:jc w:val="both"/>
        <w:rPr>
          <w:rFonts w:ascii="Times New Roman" w:hAnsi="Times New Roman" w:cs="Times New Roman"/>
        </w:rPr>
      </w:pPr>
      <w:r w:rsidRPr="004133EB">
        <w:rPr>
          <w:rFonts w:ascii="Times New Roman" w:hAnsi="Times New Roman" w:cs="Times New Roman"/>
        </w:rPr>
        <w:t xml:space="preserve">De esa cuenta, a </w:t>
      </w:r>
      <w:r w:rsidR="000865B9" w:rsidRPr="004133EB">
        <w:rPr>
          <w:rFonts w:ascii="Times New Roman" w:hAnsi="Times New Roman" w:cs="Times New Roman"/>
        </w:rPr>
        <w:t>continuación,</w:t>
      </w:r>
      <w:r w:rsidRPr="004133EB">
        <w:rPr>
          <w:rFonts w:ascii="Times New Roman" w:hAnsi="Times New Roman" w:cs="Times New Roman"/>
        </w:rPr>
        <w:t xml:space="preserve"> se presenta el Marco Fiscal de Mediano Plazo para el período 202</w:t>
      </w:r>
      <w:r w:rsidR="009E6EC8">
        <w:rPr>
          <w:rFonts w:ascii="Times New Roman" w:hAnsi="Times New Roman" w:cs="Times New Roman"/>
        </w:rPr>
        <w:t>2</w:t>
      </w:r>
      <w:r w:rsidRPr="004133EB">
        <w:rPr>
          <w:rFonts w:ascii="Times New Roman" w:hAnsi="Times New Roman" w:cs="Times New Roman"/>
        </w:rPr>
        <w:t>-202</w:t>
      </w:r>
      <w:r w:rsidR="009E6EC8">
        <w:rPr>
          <w:rFonts w:ascii="Times New Roman" w:hAnsi="Times New Roman" w:cs="Times New Roman"/>
        </w:rPr>
        <w:t>6</w:t>
      </w:r>
      <w:r w:rsidRPr="004133EB">
        <w:rPr>
          <w:rFonts w:ascii="Times New Roman" w:hAnsi="Times New Roman" w:cs="Times New Roman"/>
        </w:rPr>
        <w:t xml:space="preserve">, </w:t>
      </w:r>
      <w:r w:rsidR="00484727" w:rsidRPr="004133EB">
        <w:rPr>
          <w:rFonts w:ascii="Times New Roman" w:hAnsi="Times New Roman" w:cs="Times New Roman"/>
        </w:rPr>
        <w:t>el cual</w:t>
      </w:r>
      <w:r w:rsidRPr="004133EB">
        <w:rPr>
          <w:rFonts w:ascii="Times New Roman" w:hAnsi="Times New Roman" w:cs="Times New Roman"/>
        </w:rPr>
        <w:t xml:space="preserve"> inicia definiendo los objetivos y lineamientos estratégicos de la política fiscal</w:t>
      </w:r>
      <w:r w:rsidR="00435A28" w:rsidRPr="004133EB">
        <w:rPr>
          <w:rFonts w:ascii="Times New Roman" w:hAnsi="Times New Roman" w:cs="Times New Roman"/>
        </w:rPr>
        <w:t xml:space="preserve">, así como las orientaciones en materia de ingresos, gastos y financiamiento, para </w:t>
      </w:r>
      <w:r w:rsidR="000865B9" w:rsidRPr="004133EB">
        <w:rPr>
          <w:rFonts w:ascii="Times New Roman" w:hAnsi="Times New Roman" w:cs="Times New Roman"/>
        </w:rPr>
        <w:t>posteriormente incluir</w:t>
      </w:r>
      <w:r w:rsidRPr="004133EB">
        <w:rPr>
          <w:rFonts w:ascii="Times New Roman" w:hAnsi="Times New Roman" w:cs="Times New Roman"/>
        </w:rPr>
        <w:t xml:space="preserve"> </w:t>
      </w:r>
      <w:r w:rsidR="00D2470B" w:rsidRPr="004133EB">
        <w:rPr>
          <w:rFonts w:ascii="Times New Roman" w:hAnsi="Times New Roman" w:cs="Times New Roman"/>
        </w:rPr>
        <w:t>las proyecciones de medio</w:t>
      </w:r>
      <w:r w:rsidRPr="004133EB">
        <w:rPr>
          <w:rFonts w:ascii="Times New Roman" w:hAnsi="Times New Roman" w:cs="Times New Roman"/>
        </w:rPr>
        <w:t xml:space="preserve"> término</w:t>
      </w:r>
      <w:r w:rsidR="00D2470B" w:rsidRPr="004133EB">
        <w:rPr>
          <w:rFonts w:ascii="Times New Roman" w:hAnsi="Times New Roman" w:cs="Times New Roman"/>
        </w:rPr>
        <w:t>,</w:t>
      </w:r>
      <w:r w:rsidRPr="004133EB">
        <w:rPr>
          <w:rFonts w:ascii="Times New Roman" w:hAnsi="Times New Roman" w:cs="Times New Roman"/>
        </w:rPr>
        <w:t xml:space="preserve"> el análisis de </w:t>
      </w:r>
      <w:r w:rsidR="00D2470B" w:rsidRPr="004133EB">
        <w:rPr>
          <w:rFonts w:ascii="Times New Roman" w:hAnsi="Times New Roman" w:cs="Times New Roman"/>
        </w:rPr>
        <w:t xml:space="preserve">orientación y sostenibilidad </w:t>
      </w:r>
      <w:r w:rsidRPr="004133EB">
        <w:rPr>
          <w:rFonts w:ascii="Times New Roman" w:hAnsi="Times New Roman" w:cs="Times New Roman"/>
        </w:rPr>
        <w:t>fiscal,</w:t>
      </w:r>
      <w:r w:rsidR="00D2470B" w:rsidRPr="004133EB">
        <w:rPr>
          <w:rFonts w:ascii="Times New Roman" w:hAnsi="Times New Roman" w:cs="Times New Roman"/>
        </w:rPr>
        <w:t xml:space="preserve"> </w:t>
      </w:r>
      <w:r w:rsidRPr="004133EB">
        <w:rPr>
          <w:rFonts w:ascii="Times New Roman" w:hAnsi="Times New Roman" w:cs="Times New Roman"/>
        </w:rPr>
        <w:t>y a</w:t>
      </w:r>
      <w:r w:rsidR="000D2E7E" w:rsidRPr="004133EB">
        <w:rPr>
          <w:rFonts w:ascii="Times New Roman" w:hAnsi="Times New Roman" w:cs="Times New Roman"/>
        </w:rPr>
        <w:t>lgunos escenarios alternativos.</w:t>
      </w:r>
    </w:p>
    <w:p w14:paraId="523C3F9F" w14:textId="77777777" w:rsidR="00190113" w:rsidRPr="004133EB" w:rsidRDefault="00190113" w:rsidP="006E2FA7">
      <w:pPr>
        <w:pStyle w:val="Sinespaciado"/>
        <w:jc w:val="both"/>
        <w:rPr>
          <w:rFonts w:ascii="Times New Roman" w:hAnsi="Times New Roman" w:cs="Times New Roman"/>
          <w:sz w:val="18"/>
        </w:rPr>
      </w:pPr>
    </w:p>
    <w:p w14:paraId="6C6186C9" w14:textId="77777777" w:rsidR="006649F3" w:rsidRPr="004133EB" w:rsidRDefault="006649F3" w:rsidP="001032E7">
      <w:pPr>
        <w:pStyle w:val="Sinespaciado"/>
        <w:numPr>
          <w:ilvl w:val="1"/>
          <w:numId w:val="38"/>
        </w:numPr>
        <w:outlineLvl w:val="1"/>
        <w:rPr>
          <w:rFonts w:ascii="Times New Roman" w:hAnsi="Times New Roman" w:cs="Times New Roman"/>
          <w:b/>
        </w:rPr>
      </w:pPr>
      <w:bookmarkStart w:id="1193" w:name="_Toc16155035"/>
      <w:bookmarkStart w:id="1194" w:name="_Toc49939469"/>
      <w:bookmarkStart w:id="1195" w:name="_Toc81571904"/>
      <w:r w:rsidRPr="00F12665">
        <w:rPr>
          <w:rFonts w:ascii="Times New Roman" w:hAnsi="Times New Roman" w:cs="Times New Roman"/>
          <w:b/>
          <w:sz w:val="24"/>
        </w:rPr>
        <w:t xml:space="preserve">Objetivos y </w:t>
      </w:r>
      <w:r w:rsidR="00F738F6" w:rsidRPr="00F12665">
        <w:rPr>
          <w:rFonts w:ascii="Times New Roman" w:hAnsi="Times New Roman" w:cs="Times New Roman"/>
          <w:b/>
          <w:sz w:val="24"/>
        </w:rPr>
        <w:t>l</w:t>
      </w:r>
      <w:r w:rsidRPr="00F12665">
        <w:rPr>
          <w:rFonts w:ascii="Times New Roman" w:hAnsi="Times New Roman" w:cs="Times New Roman"/>
          <w:b/>
          <w:sz w:val="24"/>
        </w:rPr>
        <w:t xml:space="preserve">ineamientos </w:t>
      </w:r>
      <w:r w:rsidR="00F738F6" w:rsidRPr="00F12665">
        <w:rPr>
          <w:rFonts w:ascii="Times New Roman" w:hAnsi="Times New Roman" w:cs="Times New Roman"/>
          <w:b/>
          <w:sz w:val="24"/>
        </w:rPr>
        <w:t>e</w:t>
      </w:r>
      <w:r w:rsidRPr="00F12665">
        <w:rPr>
          <w:rFonts w:ascii="Times New Roman" w:hAnsi="Times New Roman" w:cs="Times New Roman"/>
          <w:b/>
          <w:sz w:val="24"/>
        </w:rPr>
        <w:t xml:space="preserve">stratégicos de la </w:t>
      </w:r>
      <w:r w:rsidR="00F738F6" w:rsidRPr="00F12665">
        <w:rPr>
          <w:rFonts w:ascii="Times New Roman" w:hAnsi="Times New Roman" w:cs="Times New Roman"/>
          <w:b/>
          <w:sz w:val="24"/>
        </w:rPr>
        <w:t>política f</w:t>
      </w:r>
      <w:r w:rsidRPr="00F12665">
        <w:rPr>
          <w:rFonts w:ascii="Times New Roman" w:hAnsi="Times New Roman" w:cs="Times New Roman"/>
          <w:b/>
          <w:sz w:val="24"/>
        </w:rPr>
        <w:t>iscal</w:t>
      </w:r>
      <w:bookmarkEnd w:id="1193"/>
      <w:bookmarkEnd w:id="1194"/>
      <w:bookmarkEnd w:id="1195"/>
    </w:p>
    <w:p w14:paraId="747CBD8F" w14:textId="77777777" w:rsidR="000D2E7E" w:rsidRPr="004133EB" w:rsidRDefault="000D2E7E" w:rsidP="000D2E7E">
      <w:pPr>
        <w:spacing w:after="0"/>
        <w:rPr>
          <w:rFonts w:ascii="Times New Roman" w:hAnsi="Times New Roman" w:cs="Times New Roman"/>
          <w:sz w:val="16"/>
          <w:lang w:val="es-ES_tradnl" w:eastAsia="es-ES"/>
        </w:rPr>
      </w:pPr>
    </w:p>
    <w:p w14:paraId="7081108E" w14:textId="77777777" w:rsidR="00A70AC7" w:rsidRPr="004133EB" w:rsidRDefault="006649F3" w:rsidP="000865B9">
      <w:pPr>
        <w:pStyle w:val="Sinespaciado"/>
        <w:jc w:val="both"/>
        <w:rPr>
          <w:rFonts w:ascii="Times New Roman" w:hAnsi="Times New Roman" w:cs="Times New Roman"/>
        </w:rPr>
      </w:pPr>
      <w:r w:rsidRPr="004133EB">
        <w:rPr>
          <w:rFonts w:ascii="Times New Roman" w:hAnsi="Times New Roman" w:cs="Times New Roman"/>
        </w:rPr>
        <w:t xml:space="preserve">La política fiscal de mediano plazo de Guatemala está contenida en los principios y fundamentos del Plan Nacional de Desarrollo K´ATUN Nuestra Guatemala 2032 y se inscribe en el eje de “Riqueza para todos y todas” y en las prioridades: a) “Estabilidad Macroeconómica en un Marco Amplio de Desarrollo” y b) “Política fiscal como motor de la estabilidad y el crecimiento económico inclusivo”. </w:t>
      </w:r>
    </w:p>
    <w:p w14:paraId="2265104C" w14:textId="77777777" w:rsidR="00A70AC7" w:rsidRPr="004133EB" w:rsidRDefault="00A70AC7" w:rsidP="000865B9">
      <w:pPr>
        <w:pStyle w:val="Sinespaciado"/>
        <w:jc w:val="both"/>
        <w:rPr>
          <w:rFonts w:ascii="Times New Roman" w:hAnsi="Times New Roman" w:cs="Times New Roman"/>
        </w:rPr>
      </w:pPr>
    </w:p>
    <w:p w14:paraId="1A2EFF11" w14:textId="77777777" w:rsidR="00A70AC7" w:rsidRPr="004133EB" w:rsidRDefault="00A70AC7" w:rsidP="000865B9">
      <w:pPr>
        <w:pStyle w:val="Sinespaciado"/>
        <w:jc w:val="both"/>
        <w:rPr>
          <w:rFonts w:ascii="Times New Roman" w:hAnsi="Times New Roman" w:cs="Times New Roman"/>
        </w:rPr>
      </w:pPr>
      <w:r w:rsidRPr="004133EB">
        <w:rPr>
          <w:rFonts w:ascii="Times New Roman" w:hAnsi="Times New Roman" w:cs="Times New Roman"/>
        </w:rPr>
        <w:t xml:space="preserve">Es importante considerar </w:t>
      </w:r>
      <w:r w:rsidR="000865B9" w:rsidRPr="004133EB">
        <w:rPr>
          <w:rFonts w:ascii="Times New Roman" w:hAnsi="Times New Roman" w:cs="Times New Roman"/>
        </w:rPr>
        <w:t>que,</w:t>
      </w:r>
      <w:r w:rsidRPr="004133EB">
        <w:rPr>
          <w:rFonts w:ascii="Times New Roman" w:hAnsi="Times New Roman" w:cs="Times New Roman"/>
        </w:rPr>
        <w:t xml:space="preserve"> si bien el Plan </w:t>
      </w:r>
      <w:r w:rsidR="0076348B" w:rsidRPr="004133EB">
        <w:rPr>
          <w:rFonts w:ascii="Times New Roman" w:hAnsi="Times New Roman" w:cs="Times New Roman"/>
        </w:rPr>
        <w:t>N</w:t>
      </w:r>
      <w:r w:rsidRPr="004133EB">
        <w:rPr>
          <w:rFonts w:ascii="Times New Roman" w:hAnsi="Times New Roman" w:cs="Times New Roman"/>
        </w:rPr>
        <w:t xml:space="preserve">acional de Desarrollo es la guía y base de las políticas </w:t>
      </w:r>
      <w:r w:rsidR="000865B9" w:rsidRPr="004133EB">
        <w:rPr>
          <w:rFonts w:ascii="Times New Roman" w:hAnsi="Times New Roman" w:cs="Times New Roman"/>
        </w:rPr>
        <w:t>públicas,</w:t>
      </w:r>
      <w:r w:rsidR="00484727" w:rsidRPr="004133EB">
        <w:rPr>
          <w:rFonts w:ascii="Times New Roman" w:hAnsi="Times New Roman" w:cs="Times New Roman"/>
        </w:rPr>
        <w:t xml:space="preserve"> existe otra guía para la política pública de largo plazo, expresada en el compromiso asumido por el Estado de</w:t>
      </w:r>
      <w:r w:rsidR="000865B9" w:rsidRPr="004133EB">
        <w:rPr>
          <w:rFonts w:ascii="Times New Roman" w:hAnsi="Times New Roman" w:cs="Times New Roman"/>
        </w:rPr>
        <w:t xml:space="preserve"> Guatemala</w:t>
      </w:r>
      <w:r w:rsidRPr="004133EB">
        <w:rPr>
          <w:rFonts w:ascii="Times New Roman" w:hAnsi="Times New Roman" w:cs="Times New Roman"/>
        </w:rPr>
        <w:t xml:space="preserve"> en 2015 </w:t>
      </w:r>
      <w:r w:rsidR="00484727" w:rsidRPr="004133EB">
        <w:rPr>
          <w:rFonts w:ascii="Times New Roman" w:hAnsi="Times New Roman" w:cs="Times New Roman"/>
        </w:rPr>
        <w:t>cuando se comprometió</w:t>
      </w:r>
      <w:r w:rsidRPr="004133EB">
        <w:rPr>
          <w:rFonts w:ascii="Times New Roman" w:hAnsi="Times New Roman" w:cs="Times New Roman"/>
        </w:rPr>
        <w:t xml:space="preserve"> con la Agenda de Objetivos de Desarrollo Sostenible (ODS), en la cual se define un plan de acción para erradicar la pobreza, proteger el planeta y lograr una prosp</w:t>
      </w:r>
      <w:r w:rsidR="00484727" w:rsidRPr="004133EB">
        <w:rPr>
          <w:rFonts w:ascii="Times New Roman" w:hAnsi="Times New Roman" w:cs="Times New Roman"/>
        </w:rPr>
        <w:t>eridad sostenible para todos. E</w:t>
      </w:r>
      <w:r w:rsidRPr="004133EB">
        <w:rPr>
          <w:rFonts w:ascii="Times New Roman" w:hAnsi="Times New Roman" w:cs="Times New Roman"/>
        </w:rPr>
        <w:t xml:space="preserve">n 2016, el gobierno decide priorizar la Agenda en función de las lecciones aprendidas en el marco de seguimiento de la Agenda de Objetivos de Desarrollo del Milenio (ODM).  Para lo cual el Consejo Nacional de Desarrollo Urbano y Rural, aprueba la </w:t>
      </w:r>
      <w:r w:rsidR="000865B9" w:rsidRPr="004133EB">
        <w:rPr>
          <w:rFonts w:ascii="Times New Roman" w:hAnsi="Times New Roman" w:cs="Times New Roman"/>
        </w:rPr>
        <w:t>Estrategia</w:t>
      </w:r>
      <w:r w:rsidRPr="004133EB">
        <w:rPr>
          <w:rFonts w:ascii="Times New Roman" w:hAnsi="Times New Roman" w:cs="Times New Roman"/>
        </w:rPr>
        <w:t xml:space="preserve"> de articulación de la Agenda de Objetivos de Desarrollo Sostenible con el Plan y Políti</w:t>
      </w:r>
      <w:r w:rsidR="002377C9" w:rsidRPr="004133EB">
        <w:rPr>
          <w:rFonts w:ascii="Times New Roman" w:hAnsi="Times New Roman" w:cs="Times New Roman"/>
        </w:rPr>
        <w:t>ca Nacional de Desarrollo K´atun</w:t>
      </w:r>
      <w:r w:rsidRPr="004133EB">
        <w:rPr>
          <w:rFonts w:ascii="Times New Roman" w:hAnsi="Times New Roman" w:cs="Times New Roman"/>
        </w:rPr>
        <w:t xml:space="preserve">: Nuestra Guatemala 2032, la cual permitió priorizar los objetivos, metas e indicadores. En tal sentido, mediante punto resolutivo 15-2016, el Conadur aprueba el ejercicio de priorización de la Agenda ODS, el cual </w:t>
      </w:r>
      <w:r w:rsidR="00216F77" w:rsidRPr="004133EB">
        <w:rPr>
          <w:rFonts w:ascii="Times New Roman" w:hAnsi="Times New Roman" w:cs="Times New Roman"/>
        </w:rPr>
        <w:t>está</w:t>
      </w:r>
      <w:r w:rsidRPr="004133EB">
        <w:rPr>
          <w:rFonts w:ascii="Times New Roman" w:hAnsi="Times New Roman" w:cs="Times New Roman"/>
        </w:rPr>
        <w:t xml:space="preserve"> constituido por 17 objetivos, 129 metas y 200 indicadores y</w:t>
      </w:r>
      <w:r w:rsidR="00484727" w:rsidRPr="004133EB">
        <w:rPr>
          <w:rFonts w:ascii="Times New Roman" w:hAnsi="Times New Roman" w:cs="Times New Roman"/>
        </w:rPr>
        <w:t>,</w:t>
      </w:r>
      <w:r w:rsidRPr="004133EB">
        <w:rPr>
          <w:rFonts w:ascii="Times New Roman" w:hAnsi="Times New Roman" w:cs="Times New Roman"/>
        </w:rPr>
        <w:t xml:space="preserve"> refleja</w:t>
      </w:r>
      <w:r w:rsidR="00484727" w:rsidRPr="004133EB">
        <w:rPr>
          <w:rFonts w:ascii="Times New Roman" w:hAnsi="Times New Roman" w:cs="Times New Roman"/>
        </w:rPr>
        <w:t>ndo</w:t>
      </w:r>
      <w:r w:rsidRPr="004133EB">
        <w:rPr>
          <w:rFonts w:ascii="Times New Roman" w:hAnsi="Times New Roman" w:cs="Times New Roman"/>
        </w:rPr>
        <w:t xml:space="preserve"> la expresión de la voluntad y el consenso de todos los actores de la sociedad guatemalteca.</w:t>
      </w:r>
    </w:p>
    <w:p w14:paraId="17FBDF48" w14:textId="77777777" w:rsidR="00A70AC7" w:rsidRPr="004133EB" w:rsidRDefault="00A70AC7" w:rsidP="000865B9">
      <w:pPr>
        <w:pStyle w:val="Sinespaciado"/>
        <w:jc w:val="both"/>
        <w:rPr>
          <w:rFonts w:ascii="Times New Roman" w:hAnsi="Times New Roman" w:cs="Times New Roman"/>
        </w:rPr>
      </w:pPr>
    </w:p>
    <w:p w14:paraId="266607BD" w14:textId="44C4FB2B" w:rsidR="006649F3" w:rsidRPr="004133EB" w:rsidRDefault="002377C9" w:rsidP="000865B9">
      <w:pPr>
        <w:pStyle w:val="Sinespaciado"/>
        <w:jc w:val="both"/>
        <w:rPr>
          <w:rFonts w:ascii="Times New Roman" w:hAnsi="Times New Roman" w:cs="Times New Roman"/>
        </w:rPr>
      </w:pPr>
      <w:r w:rsidRPr="004133EB">
        <w:rPr>
          <w:rFonts w:ascii="Times New Roman" w:hAnsi="Times New Roman" w:cs="Times New Roman"/>
        </w:rPr>
        <w:t>De esa cuenta, el K´atun</w:t>
      </w:r>
      <w:r w:rsidR="00A70AC7" w:rsidRPr="004133EB">
        <w:rPr>
          <w:rFonts w:ascii="Times New Roman" w:hAnsi="Times New Roman" w:cs="Times New Roman"/>
        </w:rPr>
        <w:t xml:space="preserve"> y los ODS, contienen las prioridades nacionales sobre las cuales se deben armonizar las acciones impulsadas por las instituciones del Estado, sean estas públicas o privadas, además, de la cooperación internacional, de manera que se pueda organizar, coordinar y articular en función de los intereses y prioridades del desarrollo nacional de largo plazo.</w:t>
      </w:r>
      <w:r w:rsidR="00785C19" w:rsidRPr="004133EB">
        <w:rPr>
          <w:rFonts w:ascii="Times New Roman" w:hAnsi="Times New Roman" w:cs="Times New Roman"/>
        </w:rPr>
        <w:t xml:space="preserve"> A través de la Política General de Gobierno 2020-2024, la administración pública se plantea metas estratégicas en el mediano plazo para coadyuvar </w:t>
      </w:r>
      <w:r w:rsidR="00A93CE4" w:rsidRPr="004133EB">
        <w:rPr>
          <w:rFonts w:ascii="Times New Roman" w:hAnsi="Times New Roman" w:cs="Times New Roman"/>
        </w:rPr>
        <w:t xml:space="preserve">en la consecución de </w:t>
      </w:r>
      <w:r w:rsidR="00785C19" w:rsidRPr="004133EB">
        <w:rPr>
          <w:rFonts w:ascii="Times New Roman" w:hAnsi="Times New Roman" w:cs="Times New Roman"/>
        </w:rPr>
        <w:t xml:space="preserve">los objetivos de largo plazo. </w:t>
      </w:r>
      <w:r w:rsidR="00FF5433">
        <w:rPr>
          <w:rFonts w:ascii="Times New Roman" w:hAnsi="Times New Roman" w:cs="Times New Roman"/>
        </w:rPr>
        <w:t xml:space="preserve"> </w:t>
      </w:r>
      <w:r w:rsidR="006649F3" w:rsidRPr="004133EB">
        <w:rPr>
          <w:rFonts w:ascii="Times New Roman" w:hAnsi="Times New Roman" w:cs="Times New Roman"/>
        </w:rPr>
        <w:t>En este sentido, la política fiscal del período abarca los ingresos, gastos, financiamiento, normatividad y descentralización; integrando el cumplimiento de las obligaciones constitucionales</w:t>
      </w:r>
      <w:r w:rsidR="00A70AC7" w:rsidRPr="004133EB">
        <w:rPr>
          <w:rFonts w:ascii="Times New Roman" w:hAnsi="Times New Roman" w:cs="Times New Roman"/>
        </w:rPr>
        <w:t>, de leyes específicas, la que emana</w:t>
      </w:r>
      <w:r w:rsidR="006649F3" w:rsidRPr="004133EB">
        <w:rPr>
          <w:rFonts w:ascii="Times New Roman" w:hAnsi="Times New Roman" w:cs="Times New Roman"/>
        </w:rPr>
        <w:t xml:space="preserve"> </w:t>
      </w:r>
      <w:r w:rsidR="00A70AC7" w:rsidRPr="004133EB">
        <w:rPr>
          <w:rFonts w:ascii="Times New Roman" w:hAnsi="Times New Roman" w:cs="Times New Roman"/>
        </w:rPr>
        <w:t xml:space="preserve">de los Acuerdos de Paz y el Plan Nacional de </w:t>
      </w:r>
      <w:r w:rsidR="00643014" w:rsidRPr="004133EB">
        <w:rPr>
          <w:rFonts w:ascii="Times New Roman" w:hAnsi="Times New Roman" w:cs="Times New Roman"/>
        </w:rPr>
        <w:t>D</w:t>
      </w:r>
      <w:r w:rsidR="00A70AC7" w:rsidRPr="004133EB">
        <w:rPr>
          <w:rFonts w:ascii="Times New Roman" w:hAnsi="Times New Roman" w:cs="Times New Roman"/>
        </w:rPr>
        <w:t>esarrollo; todo dentro</w:t>
      </w:r>
      <w:r w:rsidR="006649F3" w:rsidRPr="004133EB">
        <w:rPr>
          <w:rFonts w:ascii="Times New Roman" w:hAnsi="Times New Roman" w:cs="Times New Roman"/>
        </w:rPr>
        <w:t xml:space="preserve"> </w:t>
      </w:r>
      <w:r w:rsidR="00A70AC7" w:rsidRPr="004133EB">
        <w:rPr>
          <w:rFonts w:ascii="Times New Roman" w:hAnsi="Times New Roman" w:cs="Times New Roman"/>
        </w:rPr>
        <w:t>d</w:t>
      </w:r>
      <w:r w:rsidR="006649F3" w:rsidRPr="004133EB">
        <w:rPr>
          <w:rFonts w:ascii="Times New Roman" w:hAnsi="Times New Roman" w:cs="Times New Roman"/>
        </w:rPr>
        <w:t xml:space="preserve">el marco de un adecuado equilibrio entre la gestión de la administración tributaria y la gestión del presupuesto público, garantizando a su vez, que la misma no altere el equilibrio macroeconómico y se constituya en una promotora para el crecimiento económico y la inversión productiva.   </w:t>
      </w:r>
    </w:p>
    <w:p w14:paraId="3343AE6F" w14:textId="77777777" w:rsidR="00E8303D" w:rsidRPr="004133EB" w:rsidRDefault="00E8303D" w:rsidP="000865B9">
      <w:pPr>
        <w:pStyle w:val="Sinespaciado"/>
        <w:jc w:val="both"/>
        <w:rPr>
          <w:rFonts w:ascii="Times New Roman" w:hAnsi="Times New Roman" w:cs="Times New Roman"/>
        </w:rPr>
      </w:pPr>
    </w:p>
    <w:p w14:paraId="4687AAD2" w14:textId="77777777" w:rsidR="00E8303D" w:rsidRPr="004133EB" w:rsidRDefault="006649F3" w:rsidP="000865B9">
      <w:pPr>
        <w:pStyle w:val="Sinespaciado"/>
        <w:jc w:val="both"/>
        <w:rPr>
          <w:rFonts w:ascii="Times New Roman" w:hAnsi="Times New Roman" w:cs="Times New Roman"/>
        </w:rPr>
      </w:pPr>
      <w:r w:rsidRPr="004133EB">
        <w:rPr>
          <w:rFonts w:ascii="Times New Roman" w:hAnsi="Times New Roman" w:cs="Times New Roman"/>
        </w:rPr>
        <w:t>En este contexto, el objetivo estratégico de mediano plazo de la política fiscal de Guatemala es:</w:t>
      </w:r>
    </w:p>
    <w:p w14:paraId="5DB1139A" w14:textId="77777777" w:rsidR="006649F3" w:rsidRPr="004133EB" w:rsidRDefault="006649F3" w:rsidP="00E8303D">
      <w:pPr>
        <w:pStyle w:val="Sinespaciado"/>
        <w:jc w:val="both"/>
        <w:rPr>
          <w:rFonts w:ascii="Times New Roman" w:hAnsi="Times New Roman" w:cs="Times New Roman"/>
        </w:rPr>
      </w:pPr>
      <w:r w:rsidRPr="004133EB">
        <w:rPr>
          <w:rFonts w:ascii="Times New Roman" w:hAnsi="Times New Roman" w:cs="Times New Roman"/>
        </w:rPr>
        <w:t xml:space="preserve">  </w:t>
      </w:r>
    </w:p>
    <w:p w14:paraId="6D49E890" w14:textId="77777777" w:rsidR="006649F3" w:rsidRPr="00FF5433" w:rsidRDefault="006649F3" w:rsidP="00E8303D">
      <w:pPr>
        <w:pStyle w:val="Sinespaciado"/>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Times New Roman" w:hAnsi="Times New Roman" w:cs="Times New Roman"/>
          <w:sz w:val="20"/>
        </w:rPr>
      </w:pPr>
      <w:r w:rsidRPr="00FF5433">
        <w:rPr>
          <w:rFonts w:ascii="Times New Roman" w:hAnsi="Times New Roman" w:cs="Times New Roman"/>
          <w:sz w:val="20"/>
        </w:rPr>
        <w:t>“Asegurar que el gobierno disponga de los recursos suficientes para financiar los programas asociados al cumplimiento de las Met</w:t>
      </w:r>
      <w:r w:rsidR="00A93CE4" w:rsidRPr="00FF5433">
        <w:rPr>
          <w:rFonts w:ascii="Times New Roman" w:hAnsi="Times New Roman" w:cs="Times New Roman"/>
          <w:sz w:val="20"/>
        </w:rPr>
        <w:t xml:space="preserve">as Estratégicas </w:t>
      </w:r>
      <w:r w:rsidRPr="00FF5433">
        <w:rPr>
          <w:rFonts w:ascii="Times New Roman" w:hAnsi="Times New Roman" w:cs="Times New Roman"/>
          <w:sz w:val="20"/>
        </w:rPr>
        <w:t>establecid</w:t>
      </w:r>
      <w:r w:rsidR="00A93CE4" w:rsidRPr="00FF5433">
        <w:rPr>
          <w:rFonts w:ascii="Times New Roman" w:hAnsi="Times New Roman" w:cs="Times New Roman"/>
          <w:sz w:val="20"/>
        </w:rPr>
        <w:t>a</w:t>
      </w:r>
      <w:r w:rsidRPr="00FF5433">
        <w:rPr>
          <w:rFonts w:ascii="Times New Roman" w:hAnsi="Times New Roman" w:cs="Times New Roman"/>
          <w:sz w:val="20"/>
        </w:rPr>
        <w:t>s</w:t>
      </w:r>
      <w:r w:rsidR="00A93CE4" w:rsidRPr="00FF5433">
        <w:rPr>
          <w:rFonts w:ascii="Times New Roman" w:hAnsi="Times New Roman" w:cs="Times New Roman"/>
          <w:sz w:val="20"/>
        </w:rPr>
        <w:t xml:space="preserve"> en la Política General de Gobierno</w:t>
      </w:r>
      <w:r w:rsidRPr="00FF5433">
        <w:rPr>
          <w:rFonts w:ascii="Times New Roman" w:hAnsi="Times New Roman" w:cs="Times New Roman"/>
          <w:sz w:val="20"/>
        </w:rPr>
        <w:t xml:space="preserve"> para el período 202</w:t>
      </w:r>
      <w:r w:rsidR="0023539D" w:rsidRPr="00FF5433">
        <w:rPr>
          <w:rFonts w:ascii="Times New Roman" w:hAnsi="Times New Roman" w:cs="Times New Roman"/>
          <w:sz w:val="20"/>
        </w:rPr>
        <w:t>0</w:t>
      </w:r>
      <w:r w:rsidRPr="00FF5433">
        <w:rPr>
          <w:rFonts w:ascii="Times New Roman" w:hAnsi="Times New Roman" w:cs="Times New Roman"/>
          <w:sz w:val="20"/>
        </w:rPr>
        <w:t>-202</w:t>
      </w:r>
      <w:r w:rsidR="0023539D" w:rsidRPr="00FF5433">
        <w:rPr>
          <w:rFonts w:ascii="Times New Roman" w:hAnsi="Times New Roman" w:cs="Times New Roman"/>
          <w:sz w:val="20"/>
        </w:rPr>
        <w:t>4</w:t>
      </w:r>
      <w:r w:rsidRPr="00FF5433">
        <w:rPr>
          <w:rFonts w:ascii="Times New Roman" w:hAnsi="Times New Roman" w:cs="Times New Roman"/>
          <w:sz w:val="20"/>
        </w:rPr>
        <w:t>, garantizando al mismo tiempo una gestión disciplinada y transparente de dichos recursos; generando confianza en los inversionistas mediante el apoyo a la estabilidad macroeconómica y la sostenibilidad fiscal en el mediano y largo plazo</w:t>
      </w:r>
      <w:r w:rsidR="008D3445" w:rsidRPr="00FF5433">
        <w:rPr>
          <w:rFonts w:ascii="Times New Roman" w:hAnsi="Times New Roman" w:cs="Times New Roman"/>
          <w:sz w:val="20"/>
        </w:rPr>
        <w:t>s</w:t>
      </w:r>
      <w:r w:rsidRPr="00FF5433">
        <w:rPr>
          <w:rFonts w:ascii="Times New Roman" w:hAnsi="Times New Roman" w:cs="Times New Roman"/>
          <w:sz w:val="20"/>
        </w:rPr>
        <w:t xml:space="preserve">”.  </w:t>
      </w:r>
    </w:p>
    <w:p w14:paraId="7A5F0038" w14:textId="69AA9645" w:rsidR="00C834F3" w:rsidRDefault="00C834F3" w:rsidP="000865B9">
      <w:pPr>
        <w:pStyle w:val="Sinespaciado"/>
        <w:jc w:val="both"/>
        <w:rPr>
          <w:rFonts w:ascii="Times New Roman" w:hAnsi="Times New Roman" w:cs="Times New Roman"/>
        </w:rPr>
      </w:pPr>
    </w:p>
    <w:p w14:paraId="0E7936FA" w14:textId="77777777" w:rsidR="006649F3" w:rsidRPr="004133EB" w:rsidRDefault="006649F3" w:rsidP="000865B9">
      <w:pPr>
        <w:pStyle w:val="Sinespaciado"/>
        <w:jc w:val="both"/>
        <w:rPr>
          <w:rFonts w:ascii="Times New Roman" w:hAnsi="Times New Roman" w:cs="Times New Roman"/>
        </w:rPr>
      </w:pPr>
      <w:r w:rsidRPr="004133EB">
        <w:rPr>
          <w:rFonts w:ascii="Times New Roman" w:hAnsi="Times New Roman" w:cs="Times New Roman"/>
        </w:rPr>
        <w:t xml:space="preserve">Para la consecución del objetivo estratégico se han definido los siguientes objetivos específicos:  </w:t>
      </w:r>
    </w:p>
    <w:p w14:paraId="5B3EE0CC" w14:textId="77777777" w:rsidR="005D5970" w:rsidRPr="004133EB" w:rsidRDefault="005D5970" w:rsidP="000865B9">
      <w:pPr>
        <w:pStyle w:val="Sinespaciado"/>
        <w:jc w:val="both"/>
        <w:rPr>
          <w:rFonts w:ascii="Times New Roman" w:hAnsi="Times New Roman" w:cs="Times New Roman"/>
        </w:rPr>
      </w:pPr>
    </w:p>
    <w:p w14:paraId="1642D2FF" w14:textId="77777777" w:rsidR="00E8303D" w:rsidRPr="004133EB" w:rsidRDefault="006649F3" w:rsidP="001032E7">
      <w:pPr>
        <w:pStyle w:val="Sinespaciado"/>
        <w:numPr>
          <w:ilvl w:val="0"/>
          <w:numId w:val="40"/>
        </w:numPr>
        <w:jc w:val="both"/>
        <w:rPr>
          <w:rFonts w:ascii="Times New Roman" w:hAnsi="Times New Roman" w:cs="Times New Roman"/>
        </w:rPr>
      </w:pPr>
      <w:bookmarkStart w:id="1196" w:name="_Hlk44840223"/>
      <w:r w:rsidRPr="004133EB">
        <w:rPr>
          <w:rFonts w:ascii="Times New Roman" w:hAnsi="Times New Roman" w:cs="Times New Roman"/>
        </w:rPr>
        <w:t>Incrementar la recaudación tributaria de manera sustancial y sostenida, a través de reformas legales y mediante el fortalecimiento de la capacidad recaudatoria</w:t>
      </w:r>
      <w:r w:rsidR="00C5026E">
        <w:rPr>
          <w:rFonts w:ascii="Times New Roman" w:hAnsi="Times New Roman" w:cs="Times New Roman"/>
        </w:rPr>
        <w:t xml:space="preserve"> de la Superintendencia de Administración Tributaria</w:t>
      </w:r>
      <w:r w:rsidRPr="004133EB">
        <w:rPr>
          <w:rFonts w:ascii="Times New Roman" w:hAnsi="Times New Roman" w:cs="Times New Roman"/>
        </w:rPr>
        <w:t xml:space="preserve">, con la finalidad de obtener los ingresos suficientes para financiar el gasto público y contribuir a la solidez de las finanzas públicas. </w:t>
      </w:r>
    </w:p>
    <w:p w14:paraId="1CA52ECC" w14:textId="77777777" w:rsidR="00E8303D" w:rsidRPr="004133EB" w:rsidRDefault="00A93CE4" w:rsidP="001032E7">
      <w:pPr>
        <w:pStyle w:val="Sinespaciado"/>
        <w:numPr>
          <w:ilvl w:val="0"/>
          <w:numId w:val="40"/>
        </w:numPr>
        <w:jc w:val="both"/>
        <w:rPr>
          <w:rFonts w:ascii="Times New Roman" w:hAnsi="Times New Roman" w:cs="Times New Roman"/>
        </w:rPr>
      </w:pPr>
      <w:r w:rsidRPr="004133EB">
        <w:rPr>
          <w:rFonts w:ascii="Times New Roman" w:hAnsi="Times New Roman" w:cs="Times New Roman"/>
        </w:rPr>
        <w:t xml:space="preserve">Coadyuvar a lograr una </w:t>
      </w:r>
      <w:r w:rsidR="006649F3" w:rsidRPr="004133EB">
        <w:rPr>
          <w:rFonts w:ascii="Times New Roman" w:hAnsi="Times New Roman" w:cs="Times New Roman"/>
        </w:rPr>
        <w:t>gestión disciplinada y transparente del gasto públic</w:t>
      </w:r>
      <w:r w:rsidRPr="004133EB">
        <w:rPr>
          <w:rFonts w:ascii="Times New Roman" w:hAnsi="Times New Roman" w:cs="Times New Roman"/>
        </w:rPr>
        <w:t xml:space="preserve">o, enfocada en resultados y que </w:t>
      </w:r>
      <w:r w:rsidR="00117403" w:rsidRPr="004133EB">
        <w:rPr>
          <w:rFonts w:ascii="Times New Roman" w:hAnsi="Times New Roman" w:cs="Times New Roman"/>
        </w:rPr>
        <w:t>este en constante búsqueda de</w:t>
      </w:r>
      <w:r w:rsidRPr="004133EB">
        <w:rPr>
          <w:rFonts w:ascii="Times New Roman" w:hAnsi="Times New Roman" w:cs="Times New Roman"/>
        </w:rPr>
        <w:t xml:space="preserve"> las fuentes de financiamiento </w:t>
      </w:r>
      <w:r w:rsidR="00117403" w:rsidRPr="004133EB">
        <w:rPr>
          <w:rFonts w:ascii="Times New Roman" w:hAnsi="Times New Roman" w:cs="Times New Roman"/>
        </w:rPr>
        <w:t xml:space="preserve">necesarias para </w:t>
      </w:r>
      <w:r w:rsidR="00647BE6" w:rsidRPr="004133EB">
        <w:rPr>
          <w:rFonts w:ascii="Times New Roman" w:hAnsi="Times New Roman" w:cs="Times New Roman"/>
        </w:rPr>
        <w:t xml:space="preserve">garantizar parte </w:t>
      </w:r>
      <w:r w:rsidR="0023539D" w:rsidRPr="004133EB">
        <w:rPr>
          <w:rFonts w:ascii="Times New Roman" w:hAnsi="Times New Roman" w:cs="Times New Roman"/>
        </w:rPr>
        <w:t xml:space="preserve">de </w:t>
      </w:r>
      <w:r w:rsidR="00647BE6" w:rsidRPr="004133EB">
        <w:rPr>
          <w:rFonts w:ascii="Times New Roman" w:hAnsi="Times New Roman" w:cs="Times New Roman"/>
        </w:rPr>
        <w:t>la cobertura de</w:t>
      </w:r>
      <w:r w:rsidR="00117403" w:rsidRPr="004133EB">
        <w:rPr>
          <w:rFonts w:ascii="Times New Roman" w:hAnsi="Times New Roman" w:cs="Times New Roman"/>
        </w:rPr>
        <w:t xml:space="preserve"> </w:t>
      </w:r>
      <w:r w:rsidR="006649F3" w:rsidRPr="004133EB">
        <w:rPr>
          <w:rFonts w:ascii="Times New Roman" w:hAnsi="Times New Roman" w:cs="Times New Roman"/>
        </w:rPr>
        <w:t xml:space="preserve">los programas asociados al Plan Nacional de Desarrollo K´ATUN 2032. </w:t>
      </w:r>
    </w:p>
    <w:p w14:paraId="0800F765" w14:textId="77777777" w:rsidR="00E8303D" w:rsidRPr="004133EB" w:rsidRDefault="006649F3" w:rsidP="001032E7">
      <w:pPr>
        <w:pStyle w:val="Sinespaciado"/>
        <w:numPr>
          <w:ilvl w:val="0"/>
          <w:numId w:val="40"/>
        </w:numPr>
        <w:jc w:val="both"/>
        <w:rPr>
          <w:rFonts w:ascii="Times New Roman" w:hAnsi="Times New Roman" w:cs="Times New Roman"/>
        </w:rPr>
      </w:pPr>
      <w:r w:rsidRPr="004133EB">
        <w:rPr>
          <w:rFonts w:ascii="Times New Roman" w:hAnsi="Times New Roman" w:cs="Times New Roman"/>
        </w:rPr>
        <w:t xml:space="preserve">Promover la competitividad y el crecimiento económico, a través de la asignación presupuestaria a proyectos de inversión pública productiva y social, que dinamicen la actividad económica, generen empleo y mejoren las condiciones de vida de la población. </w:t>
      </w:r>
    </w:p>
    <w:p w14:paraId="281F8268" w14:textId="77777777" w:rsidR="00E8303D" w:rsidRPr="004133EB" w:rsidRDefault="006649F3" w:rsidP="001032E7">
      <w:pPr>
        <w:pStyle w:val="Sinespaciado"/>
        <w:numPr>
          <w:ilvl w:val="0"/>
          <w:numId w:val="40"/>
        </w:numPr>
        <w:jc w:val="both"/>
        <w:rPr>
          <w:rFonts w:ascii="Times New Roman" w:hAnsi="Times New Roman" w:cs="Times New Roman"/>
        </w:rPr>
      </w:pPr>
      <w:bookmarkStart w:id="1197" w:name="_Hlk44831932"/>
      <w:r w:rsidRPr="004133EB">
        <w:rPr>
          <w:rFonts w:ascii="Times New Roman" w:hAnsi="Times New Roman" w:cs="Times New Roman"/>
        </w:rPr>
        <w:t xml:space="preserve">Mantener un resultado fiscal de la Administración Central congruente con la estabilidad macroeconómica, para asegurar el espacio fiscal suficiente para la toma de decisiones apremiantes ante situaciones de crisis, catástrofes y otras circunstancias que afecten negativamente al país. </w:t>
      </w:r>
    </w:p>
    <w:p w14:paraId="5BDAA9C5" w14:textId="77777777" w:rsidR="006649F3" w:rsidRPr="004133EB" w:rsidRDefault="006649F3" w:rsidP="001032E7">
      <w:pPr>
        <w:pStyle w:val="Sinespaciado"/>
        <w:numPr>
          <w:ilvl w:val="0"/>
          <w:numId w:val="40"/>
        </w:numPr>
        <w:jc w:val="both"/>
        <w:rPr>
          <w:rFonts w:ascii="Times New Roman" w:hAnsi="Times New Roman" w:cs="Times New Roman"/>
        </w:rPr>
      </w:pPr>
      <w:bookmarkStart w:id="1198" w:name="_Hlk44831949"/>
      <w:bookmarkEnd w:id="1197"/>
      <w:r w:rsidRPr="004133EB">
        <w:rPr>
          <w:rFonts w:ascii="Times New Roman" w:hAnsi="Times New Roman" w:cs="Times New Roman"/>
        </w:rPr>
        <w:t xml:space="preserve">Mantener el nivel de endeudamiento de la Administración Central en concordancia con parámetros razonables. De acuerdo a la dimensión de la economía de Guatemala y la capacidad de pago del país, garantizando la sostenibilidad fiscal en el mediano y largo plazo.  </w:t>
      </w:r>
    </w:p>
    <w:bookmarkEnd w:id="1198"/>
    <w:p w14:paraId="6EAFCA2C" w14:textId="77777777" w:rsidR="00E8303D" w:rsidRPr="004133EB" w:rsidRDefault="00E8303D" w:rsidP="000865B9">
      <w:pPr>
        <w:pStyle w:val="Sinespaciado"/>
        <w:jc w:val="both"/>
        <w:rPr>
          <w:rFonts w:ascii="Times New Roman" w:hAnsi="Times New Roman" w:cs="Times New Roman"/>
        </w:rPr>
      </w:pPr>
    </w:p>
    <w:p w14:paraId="10BC511E" w14:textId="6D2EE973" w:rsidR="006649F3" w:rsidRPr="00E03FCB" w:rsidRDefault="006649F3" w:rsidP="000865B9">
      <w:pPr>
        <w:pStyle w:val="Sinespaciado"/>
        <w:jc w:val="both"/>
        <w:rPr>
          <w:rFonts w:ascii="Times New Roman" w:hAnsi="Times New Roman" w:cs="Times New Roman"/>
        </w:rPr>
      </w:pPr>
      <w:r w:rsidRPr="004133EB">
        <w:rPr>
          <w:rFonts w:ascii="Times New Roman" w:hAnsi="Times New Roman" w:cs="Times New Roman"/>
        </w:rPr>
        <w:t xml:space="preserve">La estrategia para alcanzar los objetivos de mediano plazo se sustenta principalmente en utilizar los </w:t>
      </w:r>
      <w:r w:rsidRPr="00E03FCB">
        <w:rPr>
          <w:rFonts w:ascii="Times New Roman" w:hAnsi="Times New Roman" w:cs="Times New Roman"/>
        </w:rPr>
        <w:t>lineamientos establecidos de la Política Nacional de Desarrollo K´ATUN Nuestra Guatemala 2032 y enfocando las acciones de política en las siguientes áreas: a) Ingreso, b) gasto, c) deuda pública y d) gest</w:t>
      </w:r>
      <w:r w:rsidR="00FF5433">
        <w:rPr>
          <w:rFonts w:ascii="Times New Roman" w:hAnsi="Times New Roman" w:cs="Times New Roman"/>
        </w:rPr>
        <w:t xml:space="preserve">ión financiera y transparencia.  </w:t>
      </w:r>
      <w:r w:rsidRPr="00E03FCB">
        <w:rPr>
          <w:rFonts w:ascii="Times New Roman" w:hAnsi="Times New Roman" w:cs="Times New Roman"/>
        </w:rPr>
        <w:t xml:space="preserve">En tal sentido, los lineamientos estratégicos se clasifican en los siguientes cuatro aspectos:  </w:t>
      </w:r>
    </w:p>
    <w:p w14:paraId="2380B0E9" w14:textId="77777777" w:rsidR="006E2FA7" w:rsidRPr="00E03FCB" w:rsidRDefault="006E2FA7" w:rsidP="000865B9">
      <w:pPr>
        <w:pStyle w:val="Sinespaciado"/>
        <w:jc w:val="both"/>
        <w:rPr>
          <w:rFonts w:ascii="Times New Roman" w:hAnsi="Times New Roman" w:cs="Times New Roman"/>
        </w:rPr>
      </w:pPr>
    </w:p>
    <w:p w14:paraId="1B0F994A" w14:textId="77777777" w:rsidR="006649F3" w:rsidRPr="00E03FCB" w:rsidRDefault="006649F3" w:rsidP="000865B9">
      <w:pPr>
        <w:pStyle w:val="Sinespaciado"/>
        <w:jc w:val="both"/>
        <w:rPr>
          <w:rFonts w:ascii="Times New Roman" w:hAnsi="Times New Roman" w:cs="Times New Roman"/>
        </w:rPr>
      </w:pPr>
      <w:r w:rsidRPr="00E03FCB">
        <w:rPr>
          <w:rFonts w:ascii="Times New Roman" w:hAnsi="Times New Roman" w:cs="Times New Roman"/>
        </w:rPr>
        <w:t xml:space="preserve">• </w:t>
      </w:r>
      <w:bookmarkStart w:id="1199" w:name="_Hlk44832109"/>
      <w:r w:rsidRPr="00E03FCB">
        <w:rPr>
          <w:rFonts w:ascii="Times New Roman" w:hAnsi="Times New Roman" w:cs="Times New Roman"/>
        </w:rPr>
        <w:t xml:space="preserve">Lineamientos estratégicos en materia de ingresos  </w:t>
      </w:r>
    </w:p>
    <w:p w14:paraId="407859AA" w14:textId="77777777" w:rsidR="0023539D" w:rsidRPr="00E03FCB" w:rsidRDefault="0023539D" w:rsidP="000865B9">
      <w:pPr>
        <w:pStyle w:val="Sinespaciado"/>
        <w:jc w:val="both"/>
        <w:rPr>
          <w:rFonts w:ascii="Times New Roman" w:hAnsi="Times New Roman" w:cs="Times New Roman"/>
        </w:rPr>
      </w:pPr>
    </w:p>
    <w:p w14:paraId="6414A7EC" w14:textId="77777777" w:rsidR="006649F3" w:rsidRPr="00E03FCB" w:rsidRDefault="006649F3" w:rsidP="001032E7">
      <w:pPr>
        <w:pStyle w:val="Sinespaciado"/>
        <w:numPr>
          <w:ilvl w:val="0"/>
          <w:numId w:val="39"/>
        </w:numPr>
        <w:jc w:val="both"/>
        <w:rPr>
          <w:rFonts w:ascii="Times New Roman" w:hAnsi="Times New Roman" w:cs="Times New Roman"/>
        </w:rPr>
      </w:pPr>
      <w:r w:rsidRPr="00E03FCB">
        <w:rPr>
          <w:rFonts w:ascii="Times New Roman" w:hAnsi="Times New Roman" w:cs="Times New Roman"/>
        </w:rPr>
        <w:t>Fortalecer la Administración Tributaria para el efectivo cumplimiento de las obligaciones tributarias (reducción de los niveles de incumplimiento, evasión y elusión).</w:t>
      </w:r>
    </w:p>
    <w:p w14:paraId="077AE86C" w14:textId="77777777" w:rsidR="006649F3" w:rsidRPr="00E03FCB" w:rsidRDefault="006649F3" w:rsidP="001032E7">
      <w:pPr>
        <w:pStyle w:val="Sinespaciado"/>
        <w:numPr>
          <w:ilvl w:val="0"/>
          <w:numId w:val="39"/>
        </w:numPr>
        <w:jc w:val="both"/>
        <w:rPr>
          <w:rFonts w:ascii="Times New Roman" w:hAnsi="Times New Roman" w:cs="Times New Roman"/>
        </w:rPr>
      </w:pPr>
      <w:r w:rsidRPr="00E03FCB">
        <w:rPr>
          <w:rFonts w:ascii="Times New Roman" w:hAnsi="Times New Roman" w:cs="Times New Roman"/>
        </w:rPr>
        <w:t>Formalizar las unidades productivas y ampliar la base tributaria</w:t>
      </w:r>
    </w:p>
    <w:p w14:paraId="113328FD" w14:textId="77777777" w:rsidR="006649F3" w:rsidRPr="00E03FCB" w:rsidRDefault="006649F3" w:rsidP="001032E7">
      <w:pPr>
        <w:pStyle w:val="Sinespaciado"/>
        <w:numPr>
          <w:ilvl w:val="0"/>
          <w:numId w:val="39"/>
        </w:numPr>
        <w:jc w:val="both"/>
        <w:rPr>
          <w:rFonts w:ascii="Times New Roman" w:hAnsi="Times New Roman" w:cs="Times New Roman"/>
        </w:rPr>
      </w:pPr>
      <w:r w:rsidRPr="00E03FCB">
        <w:rPr>
          <w:rFonts w:ascii="Times New Roman" w:hAnsi="Times New Roman" w:cs="Times New Roman"/>
        </w:rPr>
        <w:t>Establecer impuestos para las actividades que generen externalidades negativas sobre el medio ambiente.</w:t>
      </w:r>
    </w:p>
    <w:bookmarkEnd w:id="1199"/>
    <w:p w14:paraId="72B83CC3" w14:textId="77777777" w:rsidR="006649F3" w:rsidRPr="00E03FCB" w:rsidRDefault="006649F3" w:rsidP="001032E7">
      <w:pPr>
        <w:pStyle w:val="Sinespaciado"/>
        <w:numPr>
          <w:ilvl w:val="0"/>
          <w:numId w:val="39"/>
        </w:numPr>
        <w:jc w:val="both"/>
        <w:rPr>
          <w:rFonts w:ascii="Times New Roman" w:hAnsi="Times New Roman" w:cs="Times New Roman"/>
        </w:rPr>
      </w:pPr>
      <w:r w:rsidRPr="00E03FCB">
        <w:rPr>
          <w:rFonts w:ascii="Times New Roman" w:hAnsi="Times New Roman" w:cs="Times New Roman"/>
        </w:rPr>
        <w:t>Incorporar medidas de tributación internacional.</w:t>
      </w:r>
    </w:p>
    <w:p w14:paraId="20FFF04A" w14:textId="77777777" w:rsidR="006649F3" w:rsidRPr="00E03FCB" w:rsidRDefault="006649F3" w:rsidP="001032E7">
      <w:pPr>
        <w:pStyle w:val="Sinespaciado"/>
        <w:numPr>
          <w:ilvl w:val="0"/>
          <w:numId w:val="39"/>
        </w:numPr>
        <w:jc w:val="both"/>
        <w:rPr>
          <w:rFonts w:ascii="Times New Roman" w:hAnsi="Times New Roman" w:cs="Times New Roman"/>
        </w:rPr>
      </w:pPr>
      <w:r w:rsidRPr="00E03FCB">
        <w:rPr>
          <w:rFonts w:ascii="Times New Roman" w:hAnsi="Times New Roman" w:cs="Times New Roman"/>
        </w:rPr>
        <w:t>Combatir el contrabando y la defraudación aduanera</w:t>
      </w:r>
    </w:p>
    <w:p w14:paraId="15B20CA5" w14:textId="77777777" w:rsidR="006649F3" w:rsidRPr="00E03FCB" w:rsidRDefault="006649F3" w:rsidP="001032E7">
      <w:pPr>
        <w:pStyle w:val="Sinespaciado"/>
        <w:numPr>
          <w:ilvl w:val="0"/>
          <w:numId w:val="39"/>
        </w:numPr>
        <w:jc w:val="both"/>
        <w:rPr>
          <w:rFonts w:ascii="Times New Roman" w:hAnsi="Times New Roman" w:cs="Times New Roman"/>
        </w:rPr>
      </w:pPr>
      <w:bookmarkStart w:id="1200" w:name="_Hlk44832241"/>
      <w:r w:rsidRPr="00E03FCB">
        <w:rPr>
          <w:rFonts w:ascii="Times New Roman" w:hAnsi="Times New Roman" w:cs="Times New Roman"/>
        </w:rPr>
        <w:t>Revisar los gastos tributarios, incluyendo los incentivos fiscales orientados a determinadas actividades productivas.</w:t>
      </w:r>
    </w:p>
    <w:p w14:paraId="6A9BCD89" w14:textId="77777777" w:rsidR="006649F3" w:rsidRPr="00E03FCB" w:rsidRDefault="006649F3" w:rsidP="001032E7">
      <w:pPr>
        <w:pStyle w:val="Sinespaciado"/>
        <w:numPr>
          <w:ilvl w:val="0"/>
          <w:numId w:val="39"/>
        </w:numPr>
        <w:jc w:val="both"/>
        <w:rPr>
          <w:rFonts w:ascii="Times New Roman" w:hAnsi="Times New Roman" w:cs="Times New Roman"/>
        </w:rPr>
      </w:pPr>
      <w:r w:rsidRPr="00E03FCB">
        <w:rPr>
          <w:rFonts w:ascii="Times New Roman" w:hAnsi="Times New Roman" w:cs="Times New Roman"/>
        </w:rPr>
        <w:t>Identificar otras fuentes innovadoras de financiamiento complementario del desarrollo: impuestos a las transacciones financieras, las de origen y destino de paraísos fiscales y las contribuciones de empresas socialmente responsables.</w:t>
      </w:r>
    </w:p>
    <w:bookmarkEnd w:id="1200"/>
    <w:p w14:paraId="7628F86D" w14:textId="77777777" w:rsidR="006649F3" w:rsidRPr="00E03FCB" w:rsidRDefault="006649F3" w:rsidP="001032E7">
      <w:pPr>
        <w:pStyle w:val="Sinespaciado"/>
        <w:numPr>
          <w:ilvl w:val="0"/>
          <w:numId w:val="39"/>
        </w:numPr>
        <w:jc w:val="both"/>
        <w:rPr>
          <w:rFonts w:ascii="Times New Roman" w:hAnsi="Times New Roman" w:cs="Times New Roman"/>
        </w:rPr>
      </w:pPr>
      <w:r w:rsidRPr="00E03FCB">
        <w:rPr>
          <w:rFonts w:ascii="Times New Roman" w:hAnsi="Times New Roman" w:cs="Times New Roman"/>
        </w:rPr>
        <w:t>Modificar la estructura tributaria, mediante la actualización de tasas, ampliación de la base imponible y revisión de la legislación vigente.</w:t>
      </w:r>
    </w:p>
    <w:p w14:paraId="1CCF70E0" w14:textId="77777777" w:rsidR="006649F3" w:rsidRPr="00E03FCB" w:rsidRDefault="006649F3" w:rsidP="001032E7">
      <w:pPr>
        <w:pStyle w:val="Sinespaciado"/>
        <w:numPr>
          <w:ilvl w:val="0"/>
          <w:numId w:val="39"/>
        </w:numPr>
        <w:jc w:val="both"/>
        <w:rPr>
          <w:rFonts w:ascii="Times New Roman" w:hAnsi="Times New Roman" w:cs="Times New Roman"/>
        </w:rPr>
      </w:pPr>
      <w:r w:rsidRPr="00E03FCB">
        <w:rPr>
          <w:rFonts w:ascii="Times New Roman" w:hAnsi="Times New Roman" w:cs="Times New Roman"/>
        </w:rPr>
        <w:t>Mejorar la recaudación de los ingresos provenientes de los bienes nacionales.</w:t>
      </w:r>
    </w:p>
    <w:p w14:paraId="5D29FDD7" w14:textId="77777777" w:rsidR="006649F3" w:rsidRPr="00E03FCB" w:rsidRDefault="006649F3" w:rsidP="001032E7">
      <w:pPr>
        <w:pStyle w:val="Sinespaciado"/>
        <w:numPr>
          <w:ilvl w:val="0"/>
          <w:numId w:val="39"/>
        </w:numPr>
        <w:jc w:val="both"/>
        <w:rPr>
          <w:rFonts w:ascii="Times New Roman" w:hAnsi="Times New Roman" w:cs="Times New Roman"/>
        </w:rPr>
      </w:pPr>
      <w:r w:rsidRPr="00E03FCB">
        <w:rPr>
          <w:rFonts w:ascii="Times New Roman" w:hAnsi="Times New Roman" w:cs="Times New Roman"/>
        </w:rPr>
        <w:t>Promover la simplificación tributaria para facilitar a los contribuyentes el cumplimiento de sus obligaciones tributarias de manera oportuna.</w:t>
      </w:r>
    </w:p>
    <w:p w14:paraId="2EFC1159" w14:textId="77777777" w:rsidR="006649F3" w:rsidRPr="00E03FCB" w:rsidRDefault="006649F3" w:rsidP="001032E7">
      <w:pPr>
        <w:pStyle w:val="Sinespaciado"/>
        <w:numPr>
          <w:ilvl w:val="0"/>
          <w:numId w:val="39"/>
        </w:numPr>
        <w:jc w:val="both"/>
        <w:rPr>
          <w:rFonts w:ascii="Times New Roman" w:hAnsi="Times New Roman" w:cs="Times New Roman"/>
        </w:rPr>
      </w:pPr>
      <w:r w:rsidRPr="00E03FCB">
        <w:rPr>
          <w:rFonts w:ascii="Times New Roman" w:hAnsi="Times New Roman" w:cs="Times New Roman"/>
        </w:rPr>
        <w:t>Implementar mecanismos de control y registro de los recursos provenientes de la explotación de recursos naturales.</w:t>
      </w:r>
    </w:p>
    <w:p w14:paraId="173260EC" w14:textId="77777777" w:rsidR="006E2FA7" w:rsidRPr="004133EB" w:rsidRDefault="006E2FA7" w:rsidP="000865B9">
      <w:pPr>
        <w:pStyle w:val="Sinespaciado"/>
        <w:ind w:left="720"/>
        <w:jc w:val="both"/>
        <w:rPr>
          <w:rFonts w:ascii="Times New Roman" w:hAnsi="Times New Roman" w:cs="Times New Roman"/>
        </w:rPr>
      </w:pPr>
    </w:p>
    <w:p w14:paraId="02BCEC32" w14:textId="77777777" w:rsidR="006649F3" w:rsidRPr="004133EB" w:rsidRDefault="006649F3" w:rsidP="000865B9">
      <w:pPr>
        <w:pStyle w:val="Sinespaciado"/>
        <w:jc w:val="both"/>
        <w:rPr>
          <w:rFonts w:ascii="Times New Roman" w:hAnsi="Times New Roman" w:cs="Times New Roman"/>
        </w:rPr>
      </w:pPr>
      <w:r w:rsidRPr="004133EB">
        <w:rPr>
          <w:rFonts w:ascii="Times New Roman" w:hAnsi="Times New Roman" w:cs="Times New Roman"/>
        </w:rPr>
        <w:t xml:space="preserve">• Lineamientos estratégicos en materia de gasto  </w:t>
      </w:r>
    </w:p>
    <w:p w14:paraId="24BDDEF5" w14:textId="77777777" w:rsidR="005D5970" w:rsidRPr="004133EB" w:rsidRDefault="005D5970" w:rsidP="000865B9">
      <w:pPr>
        <w:pStyle w:val="Sinespaciado"/>
        <w:jc w:val="both"/>
        <w:rPr>
          <w:rFonts w:ascii="Times New Roman" w:hAnsi="Times New Roman" w:cs="Times New Roman"/>
        </w:rPr>
      </w:pPr>
    </w:p>
    <w:p w14:paraId="231F179A" w14:textId="77777777" w:rsidR="006649F3" w:rsidRPr="004133EB" w:rsidRDefault="0023539D" w:rsidP="001032E7">
      <w:pPr>
        <w:pStyle w:val="Sinespaciado"/>
        <w:numPr>
          <w:ilvl w:val="0"/>
          <w:numId w:val="3"/>
        </w:numPr>
        <w:jc w:val="both"/>
        <w:rPr>
          <w:rFonts w:ascii="Times New Roman" w:hAnsi="Times New Roman" w:cs="Times New Roman"/>
        </w:rPr>
      </w:pPr>
      <w:r w:rsidRPr="004133EB">
        <w:rPr>
          <w:rFonts w:ascii="Times New Roman" w:hAnsi="Times New Roman" w:cs="Times New Roman"/>
        </w:rPr>
        <w:t>Cada entidad en el ámbito de sus competencias a</w:t>
      </w:r>
      <w:r w:rsidR="00647BE6" w:rsidRPr="004133EB">
        <w:rPr>
          <w:rFonts w:ascii="Times New Roman" w:hAnsi="Times New Roman" w:cs="Times New Roman"/>
        </w:rPr>
        <w:t>poyar</w:t>
      </w:r>
      <w:r w:rsidRPr="004133EB">
        <w:rPr>
          <w:rFonts w:ascii="Times New Roman" w:hAnsi="Times New Roman" w:cs="Times New Roman"/>
        </w:rPr>
        <w:t>á</w:t>
      </w:r>
      <w:r w:rsidR="00647BE6" w:rsidRPr="004133EB">
        <w:rPr>
          <w:rFonts w:ascii="Times New Roman" w:hAnsi="Times New Roman" w:cs="Times New Roman"/>
        </w:rPr>
        <w:t xml:space="preserve"> en la implementación de</w:t>
      </w:r>
      <w:r w:rsidR="006649F3" w:rsidRPr="004133EB">
        <w:rPr>
          <w:rFonts w:ascii="Times New Roman" w:hAnsi="Times New Roman" w:cs="Times New Roman"/>
        </w:rPr>
        <w:t xml:space="preserve"> políticas e inversiones que mejoren el clima de negocios y la c</w:t>
      </w:r>
      <w:r w:rsidRPr="004133EB">
        <w:rPr>
          <w:rFonts w:ascii="Times New Roman" w:hAnsi="Times New Roman" w:cs="Times New Roman"/>
        </w:rPr>
        <w:t>ompetitividad</w:t>
      </w:r>
      <w:r w:rsidR="00246492">
        <w:rPr>
          <w:rFonts w:ascii="Times New Roman" w:hAnsi="Times New Roman" w:cs="Times New Roman"/>
        </w:rPr>
        <w:t xml:space="preserve"> a nivel nacional y</w:t>
      </w:r>
      <w:r w:rsidRPr="004133EB">
        <w:rPr>
          <w:rFonts w:ascii="Times New Roman" w:hAnsi="Times New Roman" w:cs="Times New Roman"/>
        </w:rPr>
        <w:t xml:space="preserve"> local.</w:t>
      </w:r>
    </w:p>
    <w:p w14:paraId="7AD93B12" w14:textId="77777777" w:rsidR="006649F3" w:rsidRPr="004133EB" w:rsidRDefault="0023539D" w:rsidP="001032E7">
      <w:pPr>
        <w:pStyle w:val="Sinespaciado"/>
        <w:numPr>
          <w:ilvl w:val="0"/>
          <w:numId w:val="3"/>
        </w:numPr>
        <w:jc w:val="both"/>
        <w:rPr>
          <w:rFonts w:ascii="Times New Roman" w:hAnsi="Times New Roman" w:cs="Times New Roman"/>
        </w:rPr>
      </w:pPr>
      <w:r w:rsidRPr="004133EB">
        <w:rPr>
          <w:rFonts w:ascii="Times New Roman" w:hAnsi="Times New Roman" w:cs="Times New Roman"/>
        </w:rPr>
        <w:t xml:space="preserve">Coadyuvar en la implementación de </w:t>
      </w:r>
      <w:r w:rsidR="006649F3" w:rsidRPr="004133EB">
        <w:rPr>
          <w:rFonts w:ascii="Times New Roman" w:hAnsi="Times New Roman" w:cs="Times New Roman"/>
        </w:rPr>
        <w:t>una política social activa que implique programas con enfoque progresivo y de alta incidencia sobre la población vulnerable.</w:t>
      </w:r>
    </w:p>
    <w:p w14:paraId="7ABC105B" w14:textId="77777777" w:rsidR="006649F3" w:rsidRPr="004133EB" w:rsidRDefault="006649F3" w:rsidP="001032E7">
      <w:pPr>
        <w:pStyle w:val="Sinespaciado"/>
        <w:numPr>
          <w:ilvl w:val="0"/>
          <w:numId w:val="3"/>
        </w:numPr>
        <w:jc w:val="both"/>
        <w:rPr>
          <w:rFonts w:ascii="Times New Roman" w:hAnsi="Times New Roman" w:cs="Times New Roman"/>
        </w:rPr>
      </w:pPr>
      <w:r w:rsidRPr="004133EB">
        <w:rPr>
          <w:rFonts w:ascii="Times New Roman" w:hAnsi="Times New Roman" w:cs="Times New Roman"/>
        </w:rPr>
        <w:t>Asegurar sistemas de protección de carácter u</w:t>
      </w:r>
      <w:r w:rsidR="0023539D" w:rsidRPr="004133EB">
        <w:rPr>
          <w:rFonts w:ascii="Times New Roman" w:hAnsi="Times New Roman" w:cs="Times New Roman"/>
        </w:rPr>
        <w:t>niversal que permitan promover</w:t>
      </w:r>
      <w:r w:rsidRPr="004133EB">
        <w:rPr>
          <w:rFonts w:ascii="Times New Roman" w:hAnsi="Times New Roman" w:cs="Times New Roman"/>
        </w:rPr>
        <w:t xml:space="preserve"> la presencia del Estado y asegurar los derechos humanos de la población.</w:t>
      </w:r>
    </w:p>
    <w:p w14:paraId="1BCC65C7" w14:textId="77777777" w:rsidR="006649F3" w:rsidRPr="004133EB" w:rsidRDefault="006649F3" w:rsidP="001032E7">
      <w:pPr>
        <w:pStyle w:val="Sinespaciado"/>
        <w:numPr>
          <w:ilvl w:val="0"/>
          <w:numId w:val="3"/>
        </w:numPr>
        <w:jc w:val="both"/>
        <w:rPr>
          <w:rFonts w:ascii="Times New Roman" w:hAnsi="Times New Roman" w:cs="Times New Roman"/>
        </w:rPr>
      </w:pPr>
      <w:r w:rsidRPr="004133EB">
        <w:rPr>
          <w:rFonts w:ascii="Times New Roman" w:hAnsi="Times New Roman" w:cs="Times New Roman"/>
        </w:rPr>
        <w:t>Profundizar mecanismos de transferencias monetarias condicionadas, considerando para el efecto la temporalidad apropiada que asegure las transformaciones sociales deseadas y el cumplimiento de la contraprestación por parte de los usuarios.</w:t>
      </w:r>
    </w:p>
    <w:p w14:paraId="0B693A5E" w14:textId="77777777" w:rsidR="006649F3" w:rsidRDefault="006649F3" w:rsidP="001032E7">
      <w:pPr>
        <w:pStyle w:val="Sinespaciado"/>
        <w:numPr>
          <w:ilvl w:val="0"/>
          <w:numId w:val="3"/>
        </w:numPr>
        <w:jc w:val="both"/>
        <w:rPr>
          <w:rFonts w:ascii="Times New Roman" w:hAnsi="Times New Roman" w:cs="Times New Roman"/>
        </w:rPr>
      </w:pPr>
      <w:r w:rsidRPr="004133EB">
        <w:rPr>
          <w:rFonts w:ascii="Times New Roman" w:hAnsi="Times New Roman" w:cs="Times New Roman"/>
        </w:rPr>
        <w:t>Redistribuir la riqueza para asegurar condiciones más equitativas en el ámbito económico.</w:t>
      </w:r>
    </w:p>
    <w:p w14:paraId="5EF0EF07" w14:textId="77777777" w:rsidR="00246492" w:rsidRPr="004133EB" w:rsidRDefault="00246492" w:rsidP="001032E7">
      <w:pPr>
        <w:pStyle w:val="Sinespaciado"/>
        <w:numPr>
          <w:ilvl w:val="0"/>
          <w:numId w:val="3"/>
        </w:numPr>
        <w:jc w:val="both"/>
        <w:rPr>
          <w:rFonts w:ascii="Times New Roman" w:hAnsi="Times New Roman" w:cs="Times New Roman"/>
        </w:rPr>
      </w:pPr>
      <w:r>
        <w:rPr>
          <w:rFonts w:ascii="Times New Roman" w:hAnsi="Times New Roman" w:cs="Times New Roman"/>
        </w:rPr>
        <w:t xml:space="preserve">Coadyuvar a la reactivación económica durante y post COVID-19 para generar bienestar económico y social mediante el aumento del empleo y el ingreso. </w:t>
      </w:r>
    </w:p>
    <w:p w14:paraId="5C0ED94D" w14:textId="77777777" w:rsidR="006649F3" w:rsidRPr="004133EB" w:rsidRDefault="006649F3" w:rsidP="001032E7">
      <w:pPr>
        <w:pStyle w:val="Sinespaciado"/>
        <w:numPr>
          <w:ilvl w:val="0"/>
          <w:numId w:val="3"/>
        </w:numPr>
        <w:jc w:val="both"/>
        <w:rPr>
          <w:rFonts w:ascii="Times New Roman" w:hAnsi="Times New Roman" w:cs="Times New Roman"/>
        </w:rPr>
      </w:pPr>
      <w:r w:rsidRPr="004133EB">
        <w:rPr>
          <w:rFonts w:ascii="Times New Roman" w:hAnsi="Times New Roman" w:cs="Times New Roman"/>
        </w:rPr>
        <w:t>Fortalecer la institucionalidad para asegurar la entrega de los bienes y servicios públicos.</w:t>
      </w:r>
    </w:p>
    <w:p w14:paraId="40B33F2E" w14:textId="77777777" w:rsidR="006649F3" w:rsidRPr="004133EB" w:rsidRDefault="006649F3" w:rsidP="001032E7">
      <w:pPr>
        <w:pStyle w:val="Sinespaciado"/>
        <w:numPr>
          <w:ilvl w:val="0"/>
          <w:numId w:val="3"/>
        </w:numPr>
        <w:jc w:val="both"/>
        <w:rPr>
          <w:rFonts w:ascii="Times New Roman" w:hAnsi="Times New Roman" w:cs="Times New Roman"/>
        </w:rPr>
      </w:pPr>
      <w:r w:rsidRPr="004133EB">
        <w:rPr>
          <w:rFonts w:ascii="Times New Roman" w:hAnsi="Times New Roman" w:cs="Times New Roman"/>
        </w:rPr>
        <w:t xml:space="preserve">Aumentar la inversión para incentivar el crecimiento económico, elevando la productividad principalmente en los pequeños y medianos productores </w:t>
      </w:r>
    </w:p>
    <w:p w14:paraId="378BAA3E" w14:textId="77777777" w:rsidR="006649F3" w:rsidRPr="004133EB" w:rsidRDefault="006649F3" w:rsidP="001032E7">
      <w:pPr>
        <w:pStyle w:val="Sinespaciado"/>
        <w:numPr>
          <w:ilvl w:val="0"/>
          <w:numId w:val="3"/>
        </w:numPr>
        <w:jc w:val="both"/>
        <w:rPr>
          <w:rFonts w:ascii="Times New Roman" w:hAnsi="Times New Roman" w:cs="Times New Roman"/>
        </w:rPr>
      </w:pPr>
      <w:r w:rsidRPr="004133EB">
        <w:rPr>
          <w:rFonts w:ascii="Times New Roman" w:hAnsi="Times New Roman" w:cs="Times New Roman"/>
        </w:rPr>
        <w:t>Mejorar la calidad y eficiencia del gasto público</w:t>
      </w:r>
    </w:p>
    <w:p w14:paraId="040EE0E6" w14:textId="77777777" w:rsidR="006649F3" w:rsidRPr="004133EB" w:rsidRDefault="00F24312" w:rsidP="001032E7">
      <w:pPr>
        <w:pStyle w:val="Sinespaciado"/>
        <w:numPr>
          <w:ilvl w:val="0"/>
          <w:numId w:val="3"/>
        </w:numPr>
        <w:jc w:val="both"/>
        <w:rPr>
          <w:rFonts w:ascii="Times New Roman" w:hAnsi="Times New Roman" w:cs="Times New Roman"/>
        </w:rPr>
      </w:pPr>
      <w:r w:rsidRPr="004133EB">
        <w:rPr>
          <w:rFonts w:ascii="Times New Roman" w:hAnsi="Times New Roman" w:cs="Times New Roman"/>
        </w:rPr>
        <w:t>Fortalecer</w:t>
      </w:r>
      <w:r w:rsidR="006649F3" w:rsidRPr="004133EB">
        <w:rPr>
          <w:rFonts w:ascii="Times New Roman" w:hAnsi="Times New Roman" w:cs="Times New Roman"/>
        </w:rPr>
        <w:t xml:space="preserve"> el gasto orientado a atender las necesidades sociales de los grupos más vulnerables en las áreas de educación, salud y nutrición</w:t>
      </w:r>
      <w:r w:rsidR="000813B1">
        <w:rPr>
          <w:rFonts w:ascii="Times New Roman" w:hAnsi="Times New Roman" w:cs="Times New Roman"/>
        </w:rPr>
        <w:t>, con el propósito de cumplir en el mediano plazo con los Objetivos de Desarrollo Sostenible</w:t>
      </w:r>
      <w:r w:rsidR="006649F3" w:rsidRPr="004133EB">
        <w:rPr>
          <w:rFonts w:ascii="Times New Roman" w:hAnsi="Times New Roman" w:cs="Times New Roman"/>
        </w:rPr>
        <w:t>.</w:t>
      </w:r>
    </w:p>
    <w:bookmarkEnd w:id="1196"/>
    <w:p w14:paraId="49D678E6" w14:textId="77777777" w:rsidR="006E2FA7" w:rsidRPr="004133EB" w:rsidRDefault="006E2FA7" w:rsidP="000865B9">
      <w:pPr>
        <w:pStyle w:val="Sinespaciado"/>
        <w:ind w:left="720"/>
        <w:jc w:val="both"/>
        <w:rPr>
          <w:rFonts w:ascii="Times New Roman" w:hAnsi="Times New Roman" w:cs="Times New Roman"/>
        </w:rPr>
      </w:pPr>
    </w:p>
    <w:p w14:paraId="43E8E2E0" w14:textId="77777777" w:rsidR="006649F3" w:rsidRPr="004133EB" w:rsidRDefault="006649F3" w:rsidP="000865B9">
      <w:pPr>
        <w:spacing w:line="240" w:lineRule="auto"/>
        <w:jc w:val="both"/>
        <w:rPr>
          <w:rFonts w:ascii="Times New Roman" w:hAnsi="Times New Roman" w:cs="Times New Roman"/>
        </w:rPr>
      </w:pPr>
      <w:r w:rsidRPr="004133EB">
        <w:rPr>
          <w:rFonts w:ascii="Times New Roman" w:hAnsi="Times New Roman" w:cs="Times New Roman"/>
        </w:rPr>
        <w:t xml:space="preserve">• Lineamientos estratégicos en materia de deuda pública  </w:t>
      </w:r>
    </w:p>
    <w:p w14:paraId="5854849D" w14:textId="77777777" w:rsidR="006649F3" w:rsidRPr="004133EB" w:rsidRDefault="006649F3" w:rsidP="005B5BBC">
      <w:pPr>
        <w:pStyle w:val="Prrafodelista"/>
        <w:numPr>
          <w:ilvl w:val="0"/>
          <w:numId w:val="1"/>
        </w:numPr>
        <w:spacing w:line="240" w:lineRule="auto"/>
        <w:jc w:val="both"/>
        <w:rPr>
          <w:rFonts w:ascii="Times New Roman" w:hAnsi="Times New Roman" w:cs="Times New Roman"/>
        </w:rPr>
      </w:pPr>
      <w:r w:rsidRPr="004133EB">
        <w:rPr>
          <w:rFonts w:ascii="Times New Roman" w:hAnsi="Times New Roman" w:cs="Times New Roman"/>
        </w:rPr>
        <w:t>Garantizar la sostenibilidad de la deuda pública en un marco amplio de desarrollo.</w:t>
      </w:r>
    </w:p>
    <w:p w14:paraId="3D7061B0" w14:textId="77777777" w:rsidR="006649F3" w:rsidRPr="004133EB" w:rsidRDefault="006649F3" w:rsidP="005B5BBC">
      <w:pPr>
        <w:pStyle w:val="Prrafodelista"/>
        <w:numPr>
          <w:ilvl w:val="0"/>
          <w:numId w:val="1"/>
        </w:numPr>
        <w:spacing w:line="240" w:lineRule="auto"/>
        <w:jc w:val="both"/>
        <w:rPr>
          <w:rFonts w:ascii="Times New Roman" w:hAnsi="Times New Roman" w:cs="Times New Roman"/>
        </w:rPr>
      </w:pPr>
      <w:r w:rsidRPr="004133EB">
        <w:rPr>
          <w:rFonts w:ascii="Times New Roman" w:hAnsi="Times New Roman" w:cs="Times New Roman"/>
        </w:rPr>
        <w:t>Implementar una política prudente de endeudamiento público, que conserve la deuda</w:t>
      </w:r>
      <w:r w:rsidR="00415F4C">
        <w:rPr>
          <w:rFonts w:ascii="Times New Roman" w:hAnsi="Times New Roman" w:cs="Times New Roman"/>
        </w:rPr>
        <w:t xml:space="preserve"> pública</w:t>
      </w:r>
      <w:r w:rsidRPr="004133EB">
        <w:rPr>
          <w:rFonts w:ascii="Times New Roman" w:hAnsi="Times New Roman" w:cs="Times New Roman"/>
        </w:rPr>
        <w:t xml:space="preserve"> en parámetros razonables, acordes a la dimensión de la economía de Guatemala y las variables concernientes a su servicio.  </w:t>
      </w:r>
    </w:p>
    <w:p w14:paraId="1B6070EF" w14:textId="77777777" w:rsidR="006649F3" w:rsidRPr="004133EB" w:rsidRDefault="006649F3" w:rsidP="005B5BBC">
      <w:pPr>
        <w:pStyle w:val="Prrafodelista"/>
        <w:numPr>
          <w:ilvl w:val="0"/>
          <w:numId w:val="1"/>
        </w:numPr>
        <w:spacing w:line="240" w:lineRule="auto"/>
        <w:jc w:val="both"/>
        <w:rPr>
          <w:rFonts w:ascii="Times New Roman" w:hAnsi="Times New Roman" w:cs="Times New Roman"/>
        </w:rPr>
      </w:pPr>
      <w:r w:rsidRPr="004133EB">
        <w:rPr>
          <w:rFonts w:ascii="Times New Roman" w:hAnsi="Times New Roman" w:cs="Times New Roman"/>
        </w:rPr>
        <w:t xml:space="preserve">Efectuar la contratación de deuda </w:t>
      </w:r>
      <w:r w:rsidR="00415F4C">
        <w:rPr>
          <w:rFonts w:ascii="Times New Roman" w:hAnsi="Times New Roman" w:cs="Times New Roman"/>
        </w:rPr>
        <w:t xml:space="preserve">en condiciones financieras </w:t>
      </w:r>
      <w:r w:rsidRPr="004133EB">
        <w:rPr>
          <w:rFonts w:ascii="Times New Roman" w:hAnsi="Times New Roman" w:cs="Times New Roman"/>
        </w:rPr>
        <w:t>favorable</w:t>
      </w:r>
      <w:r w:rsidR="00415F4C">
        <w:rPr>
          <w:rFonts w:ascii="Times New Roman" w:hAnsi="Times New Roman" w:cs="Times New Roman"/>
        </w:rPr>
        <w:t>s</w:t>
      </w:r>
      <w:r w:rsidRPr="004133EB">
        <w:rPr>
          <w:rFonts w:ascii="Times New Roman" w:hAnsi="Times New Roman" w:cs="Times New Roman"/>
        </w:rPr>
        <w:t xml:space="preserve"> para el país, minimizando los riesgos.  </w:t>
      </w:r>
    </w:p>
    <w:p w14:paraId="5DD94C0D" w14:textId="77777777" w:rsidR="006649F3" w:rsidRPr="004133EB" w:rsidRDefault="00415F4C" w:rsidP="005B5BBC">
      <w:pPr>
        <w:pStyle w:val="Prrafodelista"/>
        <w:numPr>
          <w:ilvl w:val="0"/>
          <w:numId w:val="1"/>
        </w:numPr>
        <w:spacing w:line="240" w:lineRule="auto"/>
        <w:jc w:val="both"/>
        <w:rPr>
          <w:rFonts w:ascii="Times New Roman" w:hAnsi="Times New Roman" w:cs="Times New Roman"/>
        </w:rPr>
      </w:pPr>
      <w:r>
        <w:rPr>
          <w:rFonts w:ascii="Times New Roman" w:hAnsi="Times New Roman" w:cs="Times New Roman"/>
        </w:rPr>
        <w:t>Dar</w:t>
      </w:r>
      <w:r w:rsidR="006649F3" w:rsidRPr="004133EB">
        <w:rPr>
          <w:rFonts w:ascii="Times New Roman" w:hAnsi="Times New Roman" w:cs="Times New Roman"/>
        </w:rPr>
        <w:t xml:space="preserve"> cumplimiento </w:t>
      </w:r>
      <w:r>
        <w:rPr>
          <w:rFonts w:ascii="Times New Roman" w:hAnsi="Times New Roman" w:cs="Times New Roman"/>
        </w:rPr>
        <w:t>a</w:t>
      </w:r>
      <w:r w:rsidR="006649F3" w:rsidRPr="004133EB">
        <w:rPr>
          <w:rFonts w:ascii="Times New Roman" w:hAnsi="Times New Roman" w:cs="Times New Roman"/>
        </w:rPr>
        <w:t xml:space="preserve"> los compromisos de en</w:t>
      </w:r>
      <w:r>
        <w:rPr>
          <w:rFonts w:ascii="Times New Roman" w:hAnsi="Times New Roman" w:cs="Times New Roman"/>
        </w:rPr>
        <w:t>deudamiento adquiridos por el país</w:t>
      </w:r>
      <w:r w:rsidR="006649F3" w:rsidRPr="004133EB">
        <w:rPr>
          <w:rFonts w:ascii="Times New Roman" w:hAnsi="Times New Roman" w:cs="Times New Roman"/>
        </w:rPr>
        <w:t xml:space="preserve">, </w:t>
      </w:r>
      <w:r>
        <w:rPr>
          <w:rFonts w:ascii="Times New Roman" w:hAnsi="Times New Roman" w:cs="Times New Roman"/>
        </w:rPr>
        <w:t>reali</w:t>
      </w:r>
      <w:r w:rsidR="006649F3" w:rsidRPr="004133EB">
        <w:rPr>
          <w:rFonts w:ascii="Times New Roman" w:hAnsi="Times New Roman" w:cs="Times New Roman"/>
        </w:rPr>
        <w:t xml:space="preserve">zando </w:t>
      </w:r>
      <w:r>
        <w:rPr>
          <w:rFonts w:ascii="Times New Roman" w:hAnsi="Times New Roman" w:cs="Times New Roman"/>
        </w:rPr>
        <w:t>el pago oportuno del servicio de la deuda pública,</w:t>
      </w:r>
      <w:r w:rsidR="006649F3" w:rsidRPr="004133EB">
        <w:rPr>
          <w:rFonts w:ascii="Times New Roman" w:hAnsi="Times New Roman" w:cs="Times New Roman"/>
        </w:rPr>
        <w:t xml:space="preserve"> tanto interna como externa.   </w:t>
      </w:r>
    </w:p>
    <w:p w14:paraId="744776A5" w14:textId="77777777" w:rsidR="006649F3" w:rsidRPr="004133EB" w:rsidRDefault="006649F3" w:rsidP="005B5BBC">
      <w:pPr>
        <w:pStyle w:val="Prrafodelista"/>
        <w:numPr>
          <w:ilvl w:val="0"/>
          <w:numId w:val="1"/>
        </w:numPr>
        <w:spacing w:line="240" w:lineRule="auto"/>
        <w:jc w:val="both"/>
        <w:rPr>
          <w:rFonts w:ascii="Times New Roman" w:hAnsi="Times New Roman" w:cs="Times New Roman"/>
        </w:rPr>
      </w:pPr>
      <w:r w:rsidRPr="004133EB">
        <w:rPr>
          <w:rFonts w:ascii="Times New Roman" w:hAnsi="Times New Roman" w:cs="Times New Roman"/>
        </w:rPr>
        <w:t>Gestionar la realización de canjes de deuda p</w:t>
      </w:r>
      <w:r w:rsidR="00415F4C">
        <w:rPr>
          <w:rFonts w:ascii="Times New Roman" w:hAnsi="Times New Roman" w:cs="Times New Roman"/>
        </w:rPr>
        <w:t>ara</w:t>
      </w:r>
      <w:r w:rsidRPr="004133EB">
        <w:rPr>
          <w:rFonts w:ascii="Times New Roman" w:hAnsi="Times New Roman" w:cs="Times New Roman"/>
        </w:rPr>
        <w:t xml:space="preserve"> el financiamiento de proyectos de inversión pública y de protección del medio ambiente, con países u organismos internacionales acreedores de préstamos.   </w:t>
      </w:r>
    </w:p>
    <w:p w14:paraId="749F95AB" w14:textId="77777777" w:rsidR="006649F3" w:rsidRPr="004133EB" w:rsidRDefault="00415F4C" w:rsidP="005B5BBC">
      <w:pPr>
        <w:pStyle w:val="Prrafodelista"/>
        <w:numPr>
          <w:ilvl w:val="0"/>
          <w:numId w:val="1"/>
        </w:numPr>
        <w:spacing w:line="240" w:lineRule="auto"/>
        <w:jc w:val="both"/>
        <w:rPr>
          <w:rFonts w:ascii="Times New Roman" w:hAnsi="Times New Roman" w:cs="Times New Roman"/>
        </w:rPr>
      </w:pPr>
      <w:r>
        <w:rPr>
          <w:rFonts w:ascii="Times New Roman" w:hAnsi="Times New Roman" w:cs="Times New Roman"/>
        </w:rPr>
        <w:t xml:space="preserve">Implementar un mecanismo para dar seguimiento a las finanzas municipales, en particular al nivel de deuda y sostenibilidad financiera municipal, por parte de las entidades vinculadas al entorno de los gobiernos locales.  </w:t>
      </w:r>
    </w:p>
    <w:p w14:paraId="293DB988" w14:textId="54C86D19" w:rsidR="00A5364D" w:rsidRDefault="008E6672" w:rsidP="008E6672">
      <w:pPr>
        <w:pStyle w:val="Prrafodelista"/>
        <w:numPr>
          <w:ilvl w:val="0"/>
          <w:numId w:val="1"/>
        </w:numPr>
        <w:spacing w:line="240" w:lineRule="auto"/>
        <w:jc w:val="both"/>
        <w:rPr>
          <w:rFonts w:ascii="Times New Roman" w:hAnsi="Times New Roman" w:cs="Times New Roman"/>
        </w:rPr>
      </w:pPr>
      <w:r>
        <w:rPr>
          <w:rFonts w:ascii="Times New Roman" w:hAnsi="Times New Roman" w:cs="Times New Roman"/>
        </w:rPr>
        <w:t>Presen</w:t>
      </w:r>
      <w:r w:rsidR="006649F3" w:rsidRPr="004133EB">
        <w:rPr>
          <w:rFonts w:ascii="Times New Roman" w:hAnsi="Times New Roman" w:cs="Times New Roman"/>
        </w:rPr>
        <w:t>tar una estrategia de endeudamiento que</w:t>
      </w:r>
      <w:r>
        <w:rPr>
          <w:rFonts w:ascii="Times New Roman" w:hAnsi="Times New Roman" w:cs="Times New Roman"/>
        </w:rPr>
        <w:t xml:space="preserve"> permita una adecuada gestión de la deuda</w:t>
      </w:r>
      <w:r w:rsidR="006649F3" w:rsidRPr="004133EB">
        <w:rPr>
          <w:rFonts w:ascii="Times New Roman" w:hAnsi="Times New Roman" w:cs="Times New Roman"/>
        </w:rPr>
        <w:t xml:space="preserve">. </w:t>
      </w:r>
    </w:p>
    <w:p w14:paraId="280E4DCC" w14:textId="2F7980B9" w:rsidR="00B011BF" w:rsidRDefault="00B011BF" w:rsidP="00B011BF">
      <w:pPr>
        <w:spacing w:line="240" w:lineRule="auto"/>
        <w:jc w:val="both"/>
        <w:rPr>
          <w:rFonts w:ascii="Times New Roman" w:hAnsi="Times New Roman" w:cs="Times New Roman"/>
        </w:rPr>
      </w:pPr>
    </w:p>
    <w:p w14:paraId="634BF78C" w14:textId="77777777" w:rsidR="00B011BF" w:rsidRPr="00B011BF" w:rsidRDefault="00B011BF" w:rsidP="00B011BF">
      <w:pPr>
        <w:spacing w:line="240" w:lineRule="auto"/>
        <w:jc w:val="both"/>
        <w:rPr>
          <w:rFonts w:ascii="Times New Roman" w:hAnsi="Times New Roman" w:cs="Times New Roman"/>
        </w:rPr>
      </w:pPr>
    </w:p>
    <w:p w14:paraId="40036C59" w14:textId="77777777" w:rsidR="006649F3" w:rsidRPr="004133EB" w:rsidRDefault="006649F3" w:rsidP="000865B9">
      <w:pPr>
        <w:spacing w:line="240" w:lineRule="auto"/>
        <w:jc w:val="both"/>
        <w:rPr>
          <w:rFonts w:ascii="Times New Roman" w:hAnsi="Times New Roman" w:cs="Times New Roman"/>
        </w:rPr>
      </w:pPr>
      <w:r w:rsidRPr="004133EB">
        <w:rPr>
          <w:rFonts w:ascii="Times New Roman" w:hAnsi="Times New Roman" w:cs="Times New Roman"/>
        </w:rPr>
        <w:t xml:space="preserve">• Lineamientos estratégicos en materia de gestión financiera y transparencia  </w:t>
      </w:r>
    </w:p>
    <w:p w14:paraId="5E607948" w14:textId="77777777" w:rsidR="006649F3" w:rsidRPr="004133EB" w:rsidRDefault="006649F3" w:rsidP="00C564DB">
      <w:pPr>
        <w:pStyle w:val="Prrafodelista"/>
        <w:numPr>
          <w:ilvl w:val="0"/>
          <w:numId w:val="2"/>
        </w:numPr>
        <w:spacing w:line="240" w:lineRule="auto"/>
        <w:jc w:val="both"/>
        <w:rPr>
          <w:rFonts w:ascii="Times New Roman" w:hAnsi="Times New Roman" w:cs="Times New Roman"/>
        </w:rPr>
      </w:pPr>
      <w:r w:rsidRPr="004133EB">
        <w:rPr>
          <w:rFonts w:ascii="Times New Roman" w:hAnsi="Times New Roman" w:cs="Times New Roman"/>
        </w:rPr>
        <w:t>Asegurar los mecanismos de transparencia, rendición de cuentas y auditoría social en los asuntos</w:t>
      </w:r>
      <w:r w:rsidR="00F24312" w:rsidRPr="004133EB">
        <w:rPr>
          <w:rFonts w:ascii="Times New Roman" w:hAnsi="Times New Roman" w:cs="Times New Roman"/>
        </w:rPr>
        <w:t xml:space="preserve"> relacionados a las finanzas</w:t>
      </w:r>
      <w:r w:rsidRPr="004133EB">
        <w:rPr>
          <w:rFonts w:ascii="Times New Roman" w:hAnsi="Times New Roman" w:cs="Times New Roman"/>
        </w:rPr>
        <w:t xml:space="preserve"> públic</w:t>
      </w:r>
      <w:r w:rsidR="00F24312" w:rsidRPr="004133EB">
        <w:rPr>
          <w:rFonts w:ascii="Times New Roman" w:hAnsi="Times New Roman" w:cs="Times New Roman"/>
        </w:rPr>
        <w:t>a</w:t>
      </w:r>
      <w:r w:rsidRPr="004133EB">
        <w:rPr>
          <w:rFonts w:ascii="Times New Roman" w:hAnsi="Times New Roman" w:cs="Times New Roman"/>
        </w:rPr>
        <w:t xml:space="preserve">s.  </w:t>
      </w:r>
    </w:p>
    <w:p w14:paraId="3619AF06" w14:textId="77777777" w:rsidR="006649F3" w:rsidRPr="004133EB" w:rsidRDefault="006649F3" w:rsidP="00C564DB">
      <w:pPr>
        <w:pStyle w:val="Prrafodelista"/>
        <w:numPr>
          <w:ilvl w:val="0"/>
          <w:numId w:val="2"/>
        </w:numPr>
        <w:spacing w:line="240" w:lineRule="auto"/>
        <w:jc w:val="both"/>
        <w:rPr>
          <w:rFonts w:ascii="Times New Roman" w:hAnsi="Times New Roman" w:cs="Times New Roman"/>
        </w:rPr>
      </w:pPr>
      <w:r w:rsidRPr="004133EB">
        <w:rPr>
          <w:rFonts w:ascii="Times New Roman" w:hAnsi="Times New Roman" w:cs="Times New Roman"/>
        </w:rPr>
        <w:t>Fortalecer los sistemas de información pública.</w:t>
      </w:r>
    </w:p>
    <w:p w14:paraId="125C5A4A" w14:textId="77777777" w:rsidR="006649F3" w:rsidRPr="004133EB" w:rsidRDefault="006649F3" w:rsidP="00C564DB">
      <w:pPr>
        <w:pStyle w:val="Prrafodelista"/>
        <w:numPr>
          <w:ilvl w:val="0"/>
          <w:numId w:val="2"/>
        </w:numPr>
        <w:spacing w:line="240" w:lineRule="auto"/>
        <w:jc w:val="both"/>
        <w:rPr>
          <w:rFonts w:ascii="Times New Roman" w:hAnsi="Times New Roman" w:cs="Times New Roman"/>
        </w:rPr>
      </w:pPr>
      <w:r w:rsidRPr="004133EB">
        <w:rPr>
          <w:rFonts w:ascii="Times New Roman" w:hAnsi="Times New Roman" w:cs="Times New Roman"/>
        </w:rPr>
        <w:t xml:space="preserve">Universalizar la </w:t>
      </w:r>
      <w:r w:rsidR="00F24312" w:rsidRPr="004133EB">
        <w:rPr>
          <w:rFonts w:ascii="Times New Roman" w:hAnsi="Times New Roman" w:cs="Times New Roman"/>
        </w:rPr>
        <w:t xml:space="preserve">gestión por resultados en las entidades del sector </w:t>
      </w:r>
      <w:r w:rsidRPr="004133EB">
        <w:rPr>
          <w:rFonts w:ascii="Times New Roman" w:hAnsi="Times New Roman" w:cs="Times New Roman"/>
        </w:rPr>
        <w:t>público.</w:t>
      </w:r>
    </w:p>
    <w:p w14:paraId="7C008BF1" w14:textId="77777777" w:rsidR="006649F3" w:rsidRPr="004133EB" w:rsidRDefault="006649F3" w:rsidP="00F24312">
      <w:pPr>
        <w:pStyle w:val="Prrafodelista"/>
        <w:numPr>
          <w:ilvl w:val="0"/>
          <w:numId w:val="2"/>
        </w:numPr>
        <w:spacing w:line="240" w:lineRule="auto"/>
        <w:jc w:val="both"/>
        <w:rPr>
          <w:rFonts w:ascii="Times New Roman" w:hAnsi="Times New Roman" w:cs="Times New Roman"/>
        </w:rPr>
      </w:pPr>
      <w:r w:rsidRPr="004133EB">
        <w:rPr>
          <w:rFonts w:ascii="Times New Roman" w:hAnsi="Times New Roman" w:cs="Times New Roman"/>
        </w:rPr>
        <w:t xml:space="preserve">Asegurar los mecanismos de participación del </w:t>
      </w:r>
      <w:r w:rsidR="00F24312" w:rsidRPr="004133EB">
        <w:rPr>
          <w:rFonts w:ascii="Times New Roman" w:hAnsi="Times New Roman" w:cs="Times New Roman"/>
        </w:rPr>
        <w:t>Sistema de Consejos de Desarrollo Urbano y Rural (SCDUR)</w:t>
      </w:r>
      <w:r w:rsidRPr="004133EB">
        <w:rPr>
          <w:rFonts w:ascii="Times New Roman" w:hAnsi="Times New Roman" w:cs="Times New Roman"/>
        </w:rPr>
        <w:t xml:space="preserve"> en los asuntos públicos. </w:t>
      </w:r>
    </w:p>
    <w:p w14:paraId="3C058C32" w14:textId="77777777" w:rsidR="006649F3" w:rsidRPr="004133EB" w:rsidRDefault="006649F3" w:rsidP="00C564DB">
      <w:pPr>
        <w:pStyle w:val="Prrafodelista"/>
        <w:numPr>
          <w:ilvl w:val="0"/>
          <w:numId w:val="2"/>
        </w:numPr>
        <w:spacing w:line="240" w:lineRule="auto"/>
        <w:jc w:val="both"/>
        <w:rPr>
          <w:rFonts w:ascii="Times New Roman" w:hAnsi="Times New Roman" w:cs="Times New Roman"/>
        </w:rPr>
      </w:pPr>
      <w:r w:rsidRPr="004133EB">
        <w:rPr>
          <w:rFonts w:ascii="Times New Roman" w:hAnsi="Times New Roman" w:cs="Times New Roman"/>
        </w:rPr>
        <w:t xml:space="preserve">Fortalecer las unidades de planificación y presupuesto para lograr una mejor programación de objetivos, metas, indicadores y resultados.  </w:t>
      </w:r>
    </w:p>
    <w:p w14:paraId="3BE02684" w14:textId="77777777" w:rsidR="006649F3" w:rsidRPr="004133EB" w:rsidRDefault="006649F3" w:rsidP="00C564DB">
      <w:pPr>
        <w:pStyle w:val="Prrafodelista"/>
        <w:numPr>
          <w:ilvl w:val="0"/>
          <w:numId w:val="2"/>
        </w:numPr>
        <w:spacing w:line="240" w:lineRule="auto"/>
        <w:jc w:val="both"/>
        <w:rPr>
          <w:rFonts w:ascii="Times New Roman" w:hAnsi="Times New Roman" w:cs="Times New Roman"/>
        </w:rPr>
      </w:pPr>
      <w:r w:rsidRPr="004133EB">
        <w:rPr>
          <w:rFonts w:ascii="Times New Roman" w:hAnsi="Times New Roman" w:cs="Times New Roman"/>
        </w:rPr>
        <w:t>Fortalecer el rol de coordinación del Ministerio de Finanzas Públicas con las i</w:t>
      </w:r>
      <w:r w:rsidR="00F24312" w:rsidRPr="004133EB">
        <w:rPr>
          <w:rFonts w:ascii="Times New Roman" w:hAnsi="Times New Roman" w:cs="Times New Roman"/>
        </w:rPr>
        <w:t>nstituciones del Sector Público en el ámbito presupuestario y financiero.</w:t>
      </w:r>
      <w:r w:rsidRPr="004133EB">
        <w:rPr>
          <w:rFonts w:ascii="Times New Roman" w:hAnsi="Times New Roman" w:cs="Times New Roman"/>
        </w:rPr>
        <w:t xml:space="preserve">   </w:t>
      </w:r>
    </w:p>
    <w:p w14:paraId="21327351" w14:textId="77777777" w:rsidR="006649F3" w:rsidRPr="004133EB" w:rsidRDefault="006649F3" w:rsidP="00C564DB">
      <w:pPr>
        <w:pStyle w:val="Prrafodelista"/>
        <w:numPr>
          <w:ilvl w:val="0"/>
          <w:numId w:val="2"/>
        </w:numPr>
        <w:spacing w:line="240" w:lineRule="auto"/>
        <w:jc w:val="both"/>
        <w:rPr>
          <w:rFonts w:ascii="Times New Roman" w:hAnsi="Times New Roman" w:cs="Times New Roman"/>
        </w:rPr>
      </w:pPr>
      <w:r w:rsidRPr="004133EB">
        <w:rPr>
          <w:rFonts w:ascii="Times New Roman" w:hAnsi="Times New Roman" w:cs="Times New Roman"/>
        </w:rPr>
        <w:t xml:space="preserve">Fortalecer y modernizar el Sistema Integrado de Administración Financiera (SIAF) </w:t>
      </w:r>
    </w:p>
    <w:p w14:paraId="277EAA57" w14:textId="77777777" w:rsidR="006649F3" w:rsidRPr="004133EB" w:rsidRDefault="000813B1" w:rsidP="00C564DB">
      <w:pPr>
        <w:pStyle w:val="Prrafodelista"/>
        <w:numPr>
          <w:ilvl w:val="0"/>
          <w:numId w:val="2"/>
        </w:numPr>
        <w:spacing w:line="240" w:lineRule="auto"/>
        <w:jc w:val="both"/>
        <w:rPr>
          <w:rFonts w:ascii="Times New Roman" w:hAnsi="Times New Roman" w:cs="Times New Roman"/>
        </w:rPr>
      </w:pPr>
      <w:r>
        <w:rPr>
          <w:rFonts w:ascii="Times New Roman" w:hAnsi="Times New Roman" w:cs="Times New Roman"/>
        </w:rPr>
        <w:t>Mantener y fortalecer</w:t>
      </w:r>
      <w:r w:rsidR="006649F3" w:rsidRPr="004133EB">
        <w:rPr>
          <w:rFonts w:ascii="Times New Roman" w:hAnsi="Times New Roman" w:cs="Times New Roman"/>
        </w:rPr>
        <w:t xml:space="preserve"> el libre acceso a la información y la rendición de cuentas al ciudadano.  </w:t>
      </w:r>
    </w:p>
    <w:p w14:paraId="4159A31F" w14:textId="77777777" w:rsidR="006649F3" w:rsidRPr="004133EB" w:rsidRDefault="006649F3" w:rsidP="00C564DB">
      <w:pPr>
        <w:pStyle w:val="Prrafodelista"/>
        <w:numPr>
          <w:ilvl w:val="0"/>
          <w:numId w:val="2"/>
        </w:numPr>
        <w:spacing w:line="240" w:lineRule="auto"/>
        <w:jc w:val="both"/>
        <w:rPr>
          <w:rFonts w:ascii="Times New Roman" w:hAnsi="Times New Roman" w:cs="Times New Roman"/>
        </w:rPr>
      </w:pPr>
      <w:r w:rsidRPr="004133EB">
        <w:rPr>
          <w:rFonts w:ascii="Times New Roman" w:hAnsi="Times New Roman" w:cs="Times New Roman"/>
        </w:rPr>
        <w:t>Apoyar y coordinar con los entes responsables de la justicia para lograr un combate efectivo a la corrupción.</w:t>
      </w:r>
    </w:p>
    <w:p w14:paraId="26D3BC19" w14:textId="77777777" w:rsidR="006649F3" w:rsidRPr="004133EB" w:rsidRDefault="005D5AE1" w:rsidP="00C564DB">
      <w:pPr>
        <w:pStyle w:val="Prrafodelista"/>
        <w:numPr>
          <w:ilvl w:val="0"/>
          <w:numId w:val="2"/>
        </w:numPr>
        <w:spacing w:line="240" w:lineRule="auto"/>
        <w:jc w:val="both"/>
        <w:rPr>
          <w:rFonts w:ascii="Times New Roman" w:hAnsi="Times New Roman" w:cs="Times New Roman"/>
        </w:rPr>
      </w:pPr>
      <w:r>
        <w:rPr>
          <w:rFonts w:ascii="Times New Roman" w:hAnsi="Times New Roman" w:cs="Times New Roman"/>
        </w:rPr>
        <w:t xml:space="preserve">Seguir avanzando en la implementación de las </w:t>
      </w:r>
      <w:r w:rsidR="006649F3" w:rsidRPr="004133EB">
        <w:rPr>
          <w:rFonts w:ascii="Times New Roman" w:hAnsi="Times New Roman" w:cs="Times New Roman"/>
        </w:rPr>
        <w:t>estadísticas congruentes con los estándares internacionales establecidos en la publicación más reciente del Manual de Estadísticas de las Finanzas Públicas del Fondo Monetario Internacional -FMI-.</w:t>
      </w:r>
    </w:p>
    <w:p w14:paraId="23E3CAC6" w14:textId="77777777" w:rsidR="00CB2CC4" w:rsidRDefault="00CB2CC4" w:rsidP="00B011BF">
      <w:pPr>
        <w:pStyle w:val="Prrafodelista"/>
        <w:spacing w:after="0" w:line="240" w:lineRule="auto"/>
        <w:jc w:val="both"/>
        <w:rPr>
          <w:rFonts w:ascii="Times New Roman" w:hAnsi="Times New Roman" w:cs="Times New Roman"/>
        </w:rPr>
      </w:pPr>
    </w:p>
    <w:p w14:paraId="74E6D08A" w14:textId="77777777" w:rsidR="00F12665" w:rsidRDefault="003B7371" w:rsidP="001032E7">
      <w:pPr>
        <w:pStyle w:val="Sinespaciado"/>
        <w:numPr>
          <w:ilvl w:val="1"/>
          <w:numId w:val="38"/>
        </w:numPr>
        <w:spacing w:after="240"/>
        <w:outlineLvl w:val="1"/>
        <w:rPr>
          <w:rFonts w:ascii="Times New Roman" w:hAnsi="Times New Roman" w:cs="Times New Roman"/>
          <w:b/>
          <w:sz w:val="24"/>
        </w:rPr>
      </w:pPr>
      <w:bookmarkStart w:id="1201" w:name="_Toc49939470"/>
      <w:bookmarkStart w:id="1202" w:name="_Toc81571905"/>
      <w:r w:rsidRPr="00F12665">
        <w:rPr>
          <w:rFonts w:ascii="Times New Roman" w:hAnsi="Times New Roman" w:cs="Times New Roman"/>
          <w:b/>
          <w:sz w:val="24"/>
        </w:rPr>
        <w:t xml:space="preserve">Estrategia </w:t>
      </w:r>
      <w:r w:rsidR="00F738F6" w:rsidRPr="00F12665">
        <w:rPr>
          <w:rFonts w:ascii="Times New Roman" w:hAnsi="Times New Roman" w:cs="Times New Roman"/>
          <w:b/>
          <w:sz w:val="24"/>
        </w:rPr>
        <w:t>fiscal de m</w:t>
      </w:r>
      <w:r w:rsidRPr="00F12665">
        <w:rPr>
          <w:rFonts w:ascii="Times New Roman" w:hAnsi="Times New Roman" w:cs="Times New Roman"/>
          <w:b/>
          <w:sz w:val="24"/>
        </w:rPr>
        <w:t xml:space="preserve">ediano </w:t>
      </w:r>
      <w:r w:rsidR="00F738F6" w:rsidRPr="00F12665">
        <w:rPr>
          <w:rFonts w:ascii="Times New Roman" w:hAnsi="Times New Roman" w:cs="Times New Roman"/>
          <w:b/>
          <w:sz w:val="24"/>
        </w:rPr>
        <w:t>p</w:t>
      </w:r>
      <w:r w:rsidRPr="00F12665">
        <w:rPr>
          <w:rFonts w:ascii="Times New Roman" w:hAnsi="Times New Roman" w:cs="Times New Roman"/>
          <w:b/>
          <w:sz w:val="24"/>
        </w:rPr>
        <w:t>lazo</w:t>
      </w:r>
      <w:bookmarkEnd w:id="1201"/>
      <w:bookmarkEnd w:id="1202"/>
    </w:p>
    <w:p w14:paraId="55DB2A54" w14:textId="77777777" w:rsidR="0067682D" w:rsidRDefault="0067682D" w:rsidP="001032E7">
      <w:pPr>
        <w:pStyle w:val="Sinespaciado"/>
        <w:numPr>
          <w:ilvl w:val="2"/>
          <w:numId w:val="38"/>
        </w:numPr>
        <w:outlineLvl w:val="1"/>
        <w:rPr>
          <w:rFonts w:ascii="Times New Roman" w:hAnsi="Times New Roman" w:cs="Times New Roman"/>
          <w:b/>
          <w:sz w:val="24"/>
        </w:rPr>
      </w:pPr>
      <w:bookmarkStart w:id="1203" w:name="_Toc81571906"/>
      <w:r w:rsidRPr="00F12665">
        <w:rPr>
          <w:rFonts w:ascii="Times New Roman" w:hAnsi="Times New Roman" w:cs="Times New Roman"/>
          <w:b/>
          <w:sz w:val="24"/>
        </w:rPr>
        <w:t>Orientaciones en política tributaria y planificación de las acciones tributarias administrativas</w:t>
      </w:r>
      <w:bookmarkEnd w:id="1203"/>
    </w:p>
    <w:p w14:paraId="53F3BD71" w14:textId="77777777" w:rsidR="00F12665" w:rsidRPr="00F12665" w:rsidRDefault="00F12665" w:rsidP="00B011BF">
      <w:pPr>
        <w:pStyle w:val="Sinespaciado"/>
        <w:ind w:left="1224"/>
        <w:rPr>
          <w:rFonts w:ascii="Times New Roman" w:hAnsi="Times New Roman" w:cs="Times New Roman"/>
          <w:b/>
          <w:sz w:val="24"/>
        </w:rPr>
      </w:pPr>
    </w:p>
    <w:p w14:paraId="48B78B97" w14:textId="60D2B0A9" w:rsidR="0067682D" w:rsidRPr="0067682D" w:rsidRDefault="0067682D" w:rsidP="0067682D">
      <w:pPr>
        <w:spacing w:after="0" w:line="240" w:lineRule="auto"/>
        <w:jc w:val="both"/>
        <w:rPr>
          <w:rFonts w:ascii="Times New Roman" w:hAnsi="Times New Roman" w:cs="Times New Roman"/>
        </w:rPr>
      </w:pPr>
      <w:r w:rsidRPr="0067682D">
        <w:rPr>
          <w:rFonts w:ascii="Times New Roman" w:hAnsi="Times New Roman" w:cs="Times New Roman"/>
        </w:rPr>
        <w:t>Uno de los factores que afectan la sostenibilidad de la política fiscal es la evolución decreciente de la recaudación tributaria, tal y como se ha evidenciado desde 2013 cuando entró en vigencia la Ley de Actualización Tributaria (Decreto 10 – 2012 del Congreso de la República), especialmente si se tiene en cuenta que la recaudación tributaria es la principal fuente de financiamiento para la realización de programas, proyectos y actividades, previstas en cada ejercicio presupuestario. Adicionalmente, la política tributaria debe estar articulada con las acciones de la administración tributaria, dada la autonomía del ente recaudador, lo cual plantea un desafío adicional para la implementación de las acciones que tiendan a favorecer la eficiencia y eficacia en la recaudación tributaria.</w:t>
      </w:r>
    </w:p>
    <w:p w14:paraId="4472FD24" w14:textId="77777777" w:rsidR="0067682D" w:rsidRPr="0067682D" w:rsidRDefault="0067682D" w:rsidP="0067682D">
      <w:pPr>
        <w:spacing w:after="0" w:line="240" w:lineRule="auto"/>
        <w:jc w:val="both"/>
        <w:rPr>
          <w:rFonts w:ascii="Times New Roman" w:hAnsi="Times New Roman" w:cs="Times New Roman"/>
        </w:rPr>
      </w:pPr>
    </w:p>
    <w:p w14:paraId="0A662D64" w14:textId="77777777" w:rsidR="0067682D" w:rsidRPr="0067682D" w:rsidRDefault="0067682D" w:rsidP="0067682D">
      <w:pPr>
        <w:spacing w:after="0" w:line="240" w:lineRule="auto"/>
        <w:jc w:val="both"/>
        <w:rPr>
          <w:rFonts w:ascii="Times New Roman" w:hAnsi="Times New Roman" w:cs="Times New Roman"/>
        </w:rPr>
      </w:pPr>
      <w:r w:rsidRPr="0067682D">
        <w:rPr>
          <w:rFonts w:ascii="Times New Roman" w:hAnsi="Times New Roman" w:cs="Times New Roman"/>
        </w:rPr>
        <w:t>Es por ello que resulta relevante analizar el Plan Estratégico Institucional de la SAT 2018 – 2023 (PEI-SAT), en el cual el ente recaudador identificó como principal problema la insuficiente recaudación que limita el normal y eficiente funcionamiento del Estado y genera una baja en el incentivo de los cooperantes para apoyar los proyectos de inversión física o en capital humano. Las fuentes de dicha problemática, generada por factores exógenos a la administración tributaria, se encuentran en: 1) Persistencia en el incumplimiento tributario voluntario; 2) Significativos niveles de evasión en el IVA e ISR; 3) Altos niveles de incumplimiento aduanero; y, 4) Falta de confianza de los contribuyentes.</w:t>
      </w:r>
    </w:p>
    <w:p w14:paraId="0CE80A9B" w14:textId="77777777" w:rsidR="0067682D" w:rsidRPr="0067682D" w:rsidRDefault="0067682D" w:rsidP="0067682D">
      <w:pPr>
        <w:spacing w:after="0" w:line="240" w:lineRule="auto"/>
        <w:jc w:val="both"/>
        <w:rPr>
          <w:rFonts w:ascii="Times New Roman" w:hAnsi="Times New Roman" w:cs="Times New Roman"/>
        </w:rPr>
      </w:pPr>
    </w:p>
    <w:p w14:paraId="3CEB9568" w14:textId="10CA0028" w:rsidR="0067682D" w:rsidRPr="0067682D" w:rsidRDefault="0067682D" w:rsidP="003E14B7">
      <w:pPr>
        <w:pStyle w:val="Epgrafe"/>
        <w:jc w:val="center"/>
        <w:rPr>
          <w:rFonts w:ascii="Times New Roman" w:hAnsi="Times New Roman" w:cs="Times New Roman"/>
          <w:b/>
          <w:bCs/>
          <w:i w:val="0"/>
          <w:iCs w:val="0"/>
          <w:color w:val="auto"/>
          <w:sz w:val="28"/>
          <w:szCs w:val="20"/>
        </w:rPr>
      </w:pPr>
      <w:bookmarkStart w:id="1204" w:name="_Toc16158423"/>
      <w:bookmarkStart w:id="1205" w:name="_Toc50016847"/>
      <w:bookmarkStart w:id="1206" w:name="_Toc81573096"/>
      <w:r w:rsidRPr="003E14B7">
        <w:rPr>
          <w:rFonts w:ascii="Times New Roman" w:hAnsi="Times New Roman" w:cs="Times New Roman"/>
          <w:b/>
          <w:i w:val="0"/>
          <w:noProof/>
          <w:color w:val="auto"/>
          <w:sz w:val="20"/>
          <w:lang w:val="es-ES" w:eastAsia="es-ES"/>
        </w:rPr>
        <w:drawing>
          <wp:anchor distT="0" distB="0" distL="114300" distR="114300" simplePos="0" relativeHeight="251991552" behindDoc="0" locked="0" layoutInCell="1" allowOverlap="1" wp14:anchorId="1522F903" wp14:editId="3C953C49">
            <wp:simplePos x="0" y="0"/>
            <wp:positionH relativeFrom="column">
              <wp:posOffset>-222885</wp:posOffset>
            </wp:positionH>
            <wp:positionV relativeFrom="paragraph">
              <wp:posOffset>364490</wp:posOffset>
            </wp:positionV>
            <wp:extent cx="5891530" cy="2886075"/>
            <wp:effectExtent l="0" t="0" r="0" b="9525"/>
            <wp:wrapSquare wrapText="bothSides"/>
            <wp:docPr id="8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91530"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4B7" w:rsidRPr="003E14B7">
        <w:rPr>
          <w:rFonts w:ascii="Times New Roman" w:hAnsi="Times New Roman" w:cs="Times New Roman"/>
          <w:b/>
          <w:color w:val="auto"/>
          <w:sz w:val="20"/>
        </w:rPr>
        <w:t xml:space="preserve">Gráfico </w:t>
      </w:r>
      <w:r w:rsidR="003E14B7" w:rsidRPr="003E14B7">
        <w:rPr>
          <w:rFonts w:ascii="Times New Roman" w:hAnsi="Times New Roman" w:cs="Times New Roman"/>
          <w:b/>
          <w:color w:val="auto"/>
          <w:sz w:val="20"/>
        </w:rPr>
        <w:fldChar w:fldCharType="begin"/>
      </w:r>
      <w:r w:rsidR="003E14B7" w:rsidRPr="003E14B7">
        <w:rPr>
          <w:rFonts w:ascii="Times New Roman" w:hAnsi="Times New Roman" w:cs="Times New Roman"/>
          <w:b/>
          <w:color w:val="auto"/>
          <w:sz w:val="20"/>
        </w:rPr>
        <w:instrText xml:space="preserve"> SEQ Gráfico \* ARABIC </w:instrText>
      </w:r>
      <w:r w:rsidR="003E14B7" w:rsidRPr="003E14B7">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46</w:t>
      </w:r>
      <w:r w:rsidR="003E14B7" w:rsidRPr="003E14B7">
        <w:rPr>
          <w:rFonts w:ascii="Times New Roman" w:hAnsi="Times New Roman" w:cs="Times New Roman"/>
          <w:b/>
          <w:color w:val="auto"/>
          <w:sz w:val="20"/>
        </w:rPr>
        <w:fldChar w:fldCharType="end"/>
      </w:r>
      <w:r w:rsidR="003E14B7" w:rsidRPr="003E14B7">
        <w:rPr>
          <w:rFonts w:ascii="Times New Roman" w:hAnsi="Times New Roman" w:cs="Times New Roman"/>
          <w:b/>
          <w:color w:val="auto"/>
          <w:sz w:val="20"/>
        </w:rPr>
        <w:t xml:space="preserve">  </w:t>
      </w:r>
      <w:r w:rsidRPr="0067682D">
        <w:rPr>
          <w:rFonts w:ascii="Times New Roman" w:hAnsi="Times New Roman" w:cs="Times New Roman"/>
          <w:b/>
          <w:i w:val="0"/>
          <w:color w:val="auto"/>
          <w:sz w:val="22"/>
          <w:szCs w:val="22"/>
        </w:rPr>
        <w:t xml:space="preserve">Identificación de factores externos que inciden en la insuficiente recaudación </w:t>
      </w:r>
      <w:r w:rsidRPr="0067682D">
        <w:rPr>
          <w:rFonts w:ascii="Times New Roman" w:hAnsi="Times New Roman" w:cs="Times New Roman"/>
          <w:b/>
          <w:i w:val="0"/>
          <w:color w:val="auto"/>
          <w:sz w:val="22"/>
        </w:rPr>
        <w:t>tributaria</w:t>
      </w:r>
      <w:bookmarkEnd w:id="1204"/>
      <w:bookmarkEnd w:id="1205"/>
      <w:bookmarkEnd w:id="1206"/>
    </w:p>
    <w:p w14:paraId="34CF79FE" w14:textId="77777777" w:rsidR="0067682D" w:rsidRPr="0067682D" w:rsidRDefault="0067682D" w:rsidP="0067682D">
      <w:pPr>
        <w:jc w:val="both"/>
        <w:rPr>
          <w:rFonts w:ascii="Times New Roman" w:hAnsi="Times New Roman" w:cs="Times New Roman"/>
          <w:sz w:val="18"/>
          <w:szCs w:val="24"/>
        </w:rPr>
      </w:pPr>
      <w:r w:rsidRPr="0067682D">
        <w:rPr>
          <w:rFonts w:ascii="Times New Roman" w:hAnsi="Times New Roman" w:cs="Times New Roman"/>
          <w:sz w:val="16"/>
          <w:szCs w:val="24"/>
        </w:rPr>
        <w:t xml:space="preserve">Fuente:  PEI SAT 2018 – 2023 </w:t>
      </w:r>
    </w:p>
    <w:p w14:paraId="1687DC7E" w14:textId="77777777" w:rsidR="0067682D" w:rsidRPr="0067682D" w:rsidRDefault="0067682D" w:rsidP="0067682D">
      <w:pPr>
        <w:spacing w:after="0" w:line="240" w:lineRule="auto"/>
        <w:jc w:val="both"/>
        <w:rPr>
          <w:rFonts w:ascii="Times New Roman" w:hAnsi="Times New Roman" w:cs="Times New Roman"/>
        </w:rPr>
      </w:pPr>
      <w:r w:rsidRPr="0067682D">
        <w:rPr>
          <w:rFonts w:ascii="Times New Roman" w:hAnsi="Times New Roman" w:cs="Times New Roman"/>
        </w:rPr>
        <w:t>Adicionalmente, el PEI-SAT, identifica los problemas de gestión interna que están en la base de la baja eficiencia en la recaudación tributaria, siendo estos: 1) Escaso avance en el uso de la tecnología; 2) Falta de capacitación; y, 3) Poca gestión de cooperación nacional e internacional.</w:t>
      </w:r>
    </w:p>
    <w:p w14:paraId="752291BB" w14:textId="77777777" w:rsidR="0067682D" w:rsidRPr="0067682D" w:rsidRDefault="0067682D" w:rsidP="0067682D">
      <w:pPr>
        <w:spacing w:after="0" w:line="240" w:lineRule="auto"/>
        <w:jc w:val="both"/>
        <w:rPr>
          <w:rFonts w:ascii="Times New Roman" w:hAnsi="Times New Roman" w:cs="Times New Roman"/>
        </w:rPr>
      </w:pPr>
    </w:p>
    <w:p w14:paraId="4A3DA978" w14:textId="6B603FFA" w:rsidR="0067682D" w:rsidRPr="0067682D" w:rsidRDefault="003E14B7" w:rsidP="003E14B7">
      <w:pPr>
        <w:pStyle w:val="Epgrafe"/>
        <w:jc w:val="center"/>
        <w:rPr>
          <w:rFonts w:ascii="Times New Roman" w:hAnsi="Times New Roman" w:cs="Times New Roman"/>
          <w:b/>
          <w:bCs/>
          <w:i w:val="0"/>
          <w:iCs w:val="0"/>
          <w:color w:val="auto"/>
          <w:sz w:val="22"/>
          <w:szCs w:val="20"/>
        </w:rPr>
      </w:pPr>
      <w:bookmarkStart w:id="1207" w:name="_Toc16158424"/>
      <w:bookmarkStart w:id="1208" w:name="_Toc50016848"/>
      <w:bookmarkStart w:id="1209" w:name="_Toc81573097"/>
      <w:r w:rsidRPr="003E14B7">
        <w:rPr>
          <w:rFonts w:ascii="Times New Roman" w:hAnsi="Times New Roman" w:cs="Times New Roman"/>
          <w:b/>
          <w:color w:val="auto"/>
          <w:sz w:val="20"/>
        </w:rPr>
        <w:t xml:space="preserve">Gráfico </w:t>
      </w:r>
      <w:r w:rsidRPr="003E14B7">
        <w:rPr>
          <w:rFonts w:ascii="Times New Roman" w:hAnsi="Times New Roman" w:cs="Times New Roman"/>
          <w:b/>
          <w:color w:val="auto"/>
          <w:sz w:val="20"/>
        </w:rPr>
        <w:fldChar w:fldCharType="begin"/>
      </w:r>
      <w:r w:rsidRPr="003E14B7">
        <w:rPr>
          <w:rFonts w:ascii="Times New Roman" w:hAnsi="Times New Roman" w:cs="Times New Roman"/>
          <w:b/>
          <w:color w:val="auto"/>
          <w:sz w:val="20"/>
        </w:rPr>
        <w:instrText xml:space="preserve"> SEQ Gráfico \* ARABIC </w:instrText>
      </w:r>
      <w:r w:rsidRPr="003E14B7">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47</w:t>
      </w:r>
      <w:r w:rsidRPr="003E14B7">
        <w:rPr>
          <w:rFonts w:ascii="Times New Roman" w:hAnsi="Times New Roman" w:cs="Times New Roman"/>
          <w:b/>
          <w:color w:val="auto"/>
          <w:sz w:val="20"/>
        </w:rPr>
        <w:fldChar w:fldCharType="end"/>
      </w:r>
      <w:r w:rsidRPr="003E14B7">
        <w:rPr>
          <w:rFonts w:ascii="Times New Roman" w:hAnsi="Times New Roman" w:cs="Times New Roman"/>
          <w:b/>
          <w:color w:val="auto"/>
          <w:sz w:val="20"/>
        </w:rPr>
        <w:t xml:space="preserve">  </w:t>
      </w:r>
      <w:r w:rsidR="0067682D" w:rsidRPr="0067682D">
        <w:rPr>
          <w:rFonts w:ascii="Times New Roman" w:hAnsi="Times New Roman" w:cs="Times New Roman"/>
          <w:b/>
          <w:i w:val="0"/>
          <w:color w:val="auto"/>
          <w:sz w:val="22"/>
          <w:szCs w:val="22"/>
        </w:rPr>
        <w:t xml:space="preserve">Identificación de factores internos que inciden en la insuficiente recaudación </w:t>
      </w:r>
      <w:r w:rsidR="0067682D" w:rsidRPr="0067682D">
        <w:rPr>
          <w:rFonts w:ascii="Times New Roman" w:hAnsi="Times New Roman" w:cs="Times New Roman"/>
          <w:b/>
          <w:i w:val="0"/>
          <w:color w:val="auto"/>
          <w:sz w:val="22"/>
        </w:rPr>
        <w:t>tributaria</w:t>
      </w:r>
      <w:bookmarkEnd w:id="1207"/>
      <w:bookmarkEnd w:id="1208"/>
      <w:bookmarkEnd w:id="1209"/>
    </w:p>
    <w:p w14:paraId="3A9B4838" w14:textId="77777777" w:rsidR="0067682D" w:rsidRPr="0067682D" w:rsidRDefault="0067682D" w:rsidP="0067682D">
      <w:pPr>
        <w:spacing w:after="0"/>
        <w:jc w:val="center"/>
        <w:rPr>
          <w:rFonts w:ascii="Times New Roman" w:hAnsi="Times New Roman" w:cs="Times New Roman"/>
        </w:rPr>
      </w:pPr>
      <w:r w:rsidRPr="0067682D">
        <w:rPr>
          <w:rFonts w:ascii="Times New Roman" w:hAnsi="Times New Roman" w:cs="Times New Roman"/>
          <w:noProof/>
          <w:lang w:val="es-ES" w:eastAsia="es-ES"/>
        </w:rPr>
        <w:drawing>
          <wp:inline distT="0" distB="0" distL="0" distR="0" wp14:anchorId="14DD6F95" wp14:editId="44369981">
            <wp:extent cx="5631180" cy="3264195"/>
            <wp:effectExtent l="0" t="0" r="7620" b="0"/>
            <wp:docPr id="87"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680149" cy="3292581"/>
                    </a:xfrm>
                    <a:prstGeom prst="rect">
                      <a:avLst/>
                    </a:prstGeom>
                    <a:noFill/>
                    <a:ln>
                      <a:noFill/>
                    </a:ln>
                  </pic:spPr>
                </pic:pic>
              </a:graphicData>
            </a:graphic>
          </wp:inline>
        </w:drawing>
      </w:r>
    </w:p>
    <w:p w14:paraId="722E6E33" w14:textId="77777777" w:rsidR="0067682D" w:rsidRPr="0067682D" w:rsidRDefault="0067682D" w:rsidP="0067682D">
      <w:pPr>
        <w:spacing w:after="0" w:line="240" w:lineRule="auto"/>
        <w:jc w:val="both"/>
        <w:rPr>
          <w:rFonts w:ascii="Times New Roman" w:hAnsi="Times New Roman" w:cs="Times New Roman"/>
          <w:sz w:val="16"/>
          <w:szCs w:val="24"/>
        </w:rPr>
      </w:pPr>
      <w:r w:rsidRPr="0067682D">
        <w:rPr>
          <w:rFonts w:ascii="Times New Roman" w:hAnsi="Times New Roman" w:cs="Times New Roman"/>
          <w:sz w:val="16"/>
          <w:szCs w:val="24"/>
        </w:rPr>
        <w:t xml:space="preserve">Fuente:  PEI SAT 2018 – 2023 </w:t>
      </w:r>
    </w:p>
    <w:p w14:paraId="7A467CE8" w14:textId="77777777" w:rsidR="0067682D" w:rsidRPr="0067682D" w:rsidRDefault="0067682D" w:rsidP="0067682D">
      <w:pPr>
        <w:spacing w:after="0" w:line="240" w:lineRule="auto"/>
        <w:jc w:val="both"/>
        <w:rPr>
          <w:rFonts w:ascii="Times New Roman" w:hAnsi="Times New Roman" w:cs="Times New Roman"/>
        </w:rPr>
      </w:pPr>
    </w:p>
    <w:p w14:paraId="7D32BD26" w14:textId="77777777" w:rsidR="0067682D" w:rsidRPr="0067682D" w:rsidRDefault="0067682D" w:rsidP="0067682D">
      <w:pPr>
        <w:spacing w:after="0" w:line="240" w:lineRule="auto"/>
        <w:jc w:val="both"/>
        <w:rPr>
          <w:rFonts w:ascii="Times New Roman" w:hAnsi="Times New Roman" w:cs="Times New Roman"/>
        </w:rPr>
      </w:pPr>
      <w:r w:rsidRPr="0067682D">
        <w:rPr>
          <w:rFonts w:ascii="Times New Roman" w:hAnsi="Times New Roman" w:cs="Times New Roman"/>
        </w:rPr>
        <w:t xml:space="preserve">Con la identificación de los factores que generan el problema de la insuficiente recaudación tributaria en el PEI–SAT–2018–2023 se identificaron cuatro objetivos generales para combatir dicha insuficiencia, agregándole un eje transversal, los cuales se muestran a continuación: </w:t>
      </w:r>
    </w:p>
    <w:p w14:paraId="1E8F5829" w14:textId="77777777" w:rsidR="0067682D" w:rsidRPr="0067682D" w:rsidRDefault="0067682D" w:rsidP="0067682D">
      <w:pPr>
        <w:spacing w:after="0" w:line="240" w:lineRule="auto"/>
        <w:jc w:val="both"/>
        <w:rPr>
          <w:rFonts w:ascii="Times New Roman" w:hAnsi="Times New Roman" w:cs="Times New Roman"/>
        </w:rPr>
      </w:pPr>
    </w:p>
    <w:p w14:paraId="7C35F262" w14:textId="77777777" w:rsidR="0067682D" w:rsidRPr="0067682D" w:rsidRDefault="0067682D" w:rsidP="001032E7">
      <w:pPr>
        <w:pStyle w:val="Prrafodelista"/>
        <w:numPr>
          <w:ilvl w:val="0"/>
          <w:numId w:val="32"/>
        </w:numPr>
        <w:spacing w:after="0" w:line="240" w:lineRule="auto"/>
        <w:jc w:val="both"/>
        <w:rPr>
          <w:rFonts w:ascii="Times New Roman" w:hAnsi="Times New Roman" w:cs="Times New Roman"/>
        </w:rPr>
      </w:pPr>
      <w:r w:rsidRPr="0067682D">
        <w:rPr>
          <w:rFonts w:ascii="Times New Roman" w:hAnsi="Times New Roman" w:cs="Times New Roman"/>
          <w:b/>
        </w:rPr>
        <w:t>Aumentar la recaudación de manera sostenida.</w:t>
      </w:r>
      <w:r w:rsidRPr="0067682D">
        <w:rPr>
          <w:rFonts w:ascii="Times New Roman" w:hAnsi="Times New Roman" w:cs="Times New Roman"/>
        </w:rPr>
        <w:t xml:space="preserve">  El área primordial de trabajo deben ser las acciones y actividades que propicien el aumento de la recaudación a fin de lograr la modificación de la tendencia mostrada por la carga tributaria en los últimos ejercicios para llegar a su crecimiento sostenido a través de acciones implementadas, evaluadas e institucionalizadas.</w:t>
      </w:r>
    </w:p>
    <w:p w14:paraId="3CA0A378" w14:textId="77777777" w:rsidR="0067682D" w:rsidRPr="0067682D" w:rsidRDefault="0067682D" w:rsidP="0067682D">
      <w:pPr>
        <w:pStyle w:val="Prrafodelista"/>
        <w:spacing w:after="0" w:line="240" w:lineRule="auto"/>
        <w:jc w:val="both"/>
        <w:rPr>
          <w:rFonts w:ascii="Times New Roman" w:hAnsi="Times New Roman" w:cs="Times New Roman"/>
        </w:rPr>
      </w:pPr>
    </w:p>
    <w:p w14:paraId="79AC14D2" w14:textId="77777777" w:rsidR="0067682D" w:rsidRPr="0067682D" w:rsidRDefault="0067682D" w:rsidP="0067682D">
      <w:pPr>
        <w:pStyle w:val="Prrafodelista"/>
        <w:spacing w:after="0" w:line="240" w:lineRule="auto"/>
        <w:jc w:val="both"/>
        <w:rPr>
          <w:rFonts w:ascii="Times New Roman" w:hAnsi="Times New Roman" w:cs="Times New Roman"/>
        </w:rPr>
      </w:pPr>
      <w:r w:rsidRPr="0067682D">
        <w:rPr>
          <w:rFonts w:ascii="Times New Roman" w:hAnsi="Times New Roman" w:cs="Times New Roman"/>
        </w:rPr>
        <w:t>Garantizar la ampliación de la base tributaria, a través de acciones concretas para la incorporación de nuevos contribuyentes efectivos y el aumento de los contribuyentes afiliados a impuestos.</w:t>
      </w:r>
    </w:p>
    <w:p w14:paraId="59A7C183" w14:textId="77777777" w:rsidR="0067682D" w:rsidRPr="0067682D" w:rsidRDefault="0067682D" w:rsidP="0067682D">
      <w:pPr>
        <w:pStyle w:val="Prrafodelista"/>
        <w:spacing w:after="0" w:line="240" w:lineRule="auto"/>
        <w:jc w:val="both"/>
        <w:rPr>
          <w:rFonts w:ascii="Times New Roman" w:hAnsi="Times New Roman" w:cs="Times New Roman"/>
        </w:rPr>
      </w:pPr>
    </w:p>
    <w:p w14:paraId="13B796EF" w14:textId="77777777" w:rsidR="0067682D" w:rsidRPr="0067682D" w:rsidRDefault="0067682D" w:rsidP="001032E7">
      <w:pPr>
        <w:pStyle w:val="Prrafodelista"/>
        <w:numPr>
          <w:ilvl w:val="0"/>
          <w:numId w:val="32"/>
        </w:numPr>
        <w:spacing w:after="0" w:line="240" w:lineRule="auto"/>
        <w:jc w:val="both"/>
        <w:rPr>
          <w:rFonts w:ascii="Times New Roman" w:hAnsi="Times New Roman" w:cs="Times New Roman"/>
        </w:rPr>
      </w:pPr>
      <w:r w:rsidRPr="0067682D">
        <w:rPr>
          <w:rFonts w:ascii="Times New Roman" w:hAnsi="Times New Roman" w:cs="Times New Roman"/>
          <w:b/>
        </w:rPr>
        <w:t>Reducir las brechas de cumplimiento tributario.</w:t>
      </w:r>
      <w:r w:rsidRPr="0067682D">
        <w:rPr>
          <w:rFonts w:ascii="Times New Roman" w:hAnsi="Times New Roman" w:cs="Times New Roman"/>
        </w:rPr>
        <w:t xml:space="preserve"> Fundamental para incrementar el desempeño de la administración tributaria es el cumplimiento de las obligaciones tributarias por parte de los contribuyentes, lo cual dependerá de la implementación de acciones para la facilitación del cumplimiento, reducción del costo de cumplimiento tributario, mejora de la cultura tributaria y sobre todo del incremento de la percepción de riesgo por parte de los contribuyentes respecto de la eficacia del control tributario.</w:t>
      </w:r>
    </w:p>
    <w:p w14:paraId="05260839" w14:textId="77777777" w:rsidR="0067682D" w:rsidRPr="0067682D" w:rsidRDefault="0067682D" w:rsidP="0067682D">
      <w:pPr>
        <w:pStyle w:val="Prrafodelista"/>
        <w:spacing w:after="0" w:line="240" w:lineRule="auto"/>
        <w:jc w:val="both"/>
        <w:rPr>
          <w:rFonts w:ascii="Times New Roman" w:hAnsi="Times New Roman" w:cs="Times New Roman"/>
        </w:rPr>
      </w:pPr>
    </w:p>
    <w:p w14:paraId="1F162B6E" w14:textId="77777777" w:rsidR="0067682D" w:rsidRPr="0067682D" w:rsidRDefault="0067682D" w:rsidP="001032E7">
      <w:pPr>
        <w:pStyle w:val="Prrafodelista"/>
        <w:numPr>
          <w:ilvl w:val="0"/>
          <w:numId w:val="32"/>
        </w:numPr>
        <w:spacing w:after="0" w:line="240" w:lineRule="auto"/>
        <w:jc w:val="both"/>
        <w:rPr>
          <w:rFonts w:ascii="Times New Roman" w:hAnsi="Times New Roman" w:cs="Times New Roman"/>
        </w:rPr>
      </w:pPr>
      <w:r w:rsidRPr="0067682D">
        <w:rPr>
          <w:rFonts w:ascii="Times New Roman" w:hAnsi="Times New Roman" w:cs="Times New Roman"/>
          <w:b/>
        </w:rPr>
        <w:t>Incrementar la eficiencia del servicio aduanero.</w:t>
      </w:r>
      <w:r w:rsidRPr="0067682D">
        <w:rPr>
          <w:rFonts w:ascii="Times New Roman" w:hAnsi="Times New Roman" w:cs="Times New Roman"/>
        </w:rPr>
        <w:t xml:space="preserve">  El funcionamiento aduanero adecuado es crucial para aumentar la competitividad del país a través de la facilitación del comercio, factores determinantes para el desarrollo económico y social.  Asimismo, contar con procesos estructurados y un sistema bien definido, permitirán incrementar los controles para disminuir defraudación aduanera, la discrecionalidad por parte de los funcionarios de la SAT y, por tanto, la corrupción, un problema que no se ha logrado erradicar del área de aduanas.</w:t>
      </w:r>
    </w:p>
    <w:p w14:paraId="308CE1B2" w14:textId="77777777" w:rsidR="0067682D" w:rsidRPr="0067682D" w:rsidRDefault="0067682D" w:rsidP="0067682D">
      <w:pPr>
        <w:pStyle w:val="Prrafodelista"/>
        <w:spacing w:after="0" w:line="240" w:lineRule="auto"/>
        <w:jc w:val="both"/>
        <w:rPr>
          <w:rFonts w:ascii="Times New Roman" w:hAnsi="Times New Roman" w:cs="Times New Roman"/>
        </w:rPr>
      </w:pPr>
    </w:p>
    <w:p w14:paraId="27BB2F20" w14:textId="77777777" w:rsidR="0067682D" w:rsidRPr="0067682D" w:rsidRDefault="0067682D" w:rsidP="001032E7">
      <w:pPr>
        <w:pStyle w:val="Prrafodelista"/>
        <w:numPr>
          <w:ilvl w:val="0"/>
          <w:numId w:val="32"/>
        </w:numPr>
        <w:spacing w:after="0" w:line="240" w:lineRule="auto"/>
        <w:jc w:val="both"/>
        <w:rPr>
          <w:rFonts w:ascii="Times New Roman" w:hAnsi="Times New Roman" w:cs="Times New Roman"/>
        </w:rPr>
      </w:pPr>
      <w:r w:rsidRPr="0067682D">
        <w:rPr>
          <w:rFonts w:ascii="Times New Roman" w:hAnsi="Times New Roman" w:cs="Times New Roman"/>
          <w:b/>
        </w:rPr>
        <w:t>Fortalecer las capacidades de gestión institucional.</w:t>
      </w:r>
      <w:r w:rsidRPr="0067682D">
        <w:rPr>
          <w:rFonts w:ascii="Times New Roman" w:hAnsi="Times New Roman" w:cs="Times New Roman"/>
        </w:rPr>
        <w:t xml:space="preserve">  Para alcanzar la visión planteada es imprescindible aumentar la eficiencia y eficacia de la institución, para lo cual es necesario la revisión de procesos en las áreas de planificación, administración, gestión financiera, recursos humanos y formación. Esto con el fin de generar un sistema integrado de gestión institucional que garantice una operación institucional eficiente. A esto se sumará el fortalecimiento de las acciones de combate a la corrupción dentro de la SAT y la gestión adecuada de los recursos para brindar las condiciones dignas y necesarias para que los empleados realicen su trabajo.</w:t>
      </w:r>
    </w:p>
    <w:p w14:paraId="530BA0B6" w14:textId="77777777" w:rsidR="0067682D" w:rsidRPr="0067682D" w:rsidRDefault="0067682D" w:rsidP="0067682D">
      <w:pPr>
        <w:pStyle w:val="Prrafodelista"/>
        <w:spacing w:after="0" w:line="240" w:lineRule="auto"/>
        <w:jc w:val="both"/>
        <w:rPr>
          <w:rFonts w:ascii="Times New Roman" w:hAnsi="Times New Roman" w:cs="Times New Roman"/>
        </w:rPr>
      </w:pPr>
    </w:p>
    <w:p w14:paraId="002147E7" w14:textId="77777777" w:rsidR="0067682D" w:rsidRPr="0067682D" w:rsidRDefault="0067682D" w:rsidP="0067682D">
      <w:pPr>
        <w:spacing w:after="0" w:line="240" w:lineRule="auto"/>
        <w:jc w:val="both"/>
        <w:rPr>
          <w:rFonts w:ascii="Times New Roman" w:hAnsi="Times New Roman" w:cs="Times New Roman"/>
        </w:rPr>
      </w:pPr>
      <w:r w:rsidRPr="0067682D">
        <w:rPr>
          <w:rFonts w:ascii="Times New Roman" w:hAnsi="Times New Roman" w:cs="Times New Roman"/>
        </w:rPr>
        <w:t>Los objetivos descritos serán articulados a través de un eje transversal que se oriente a la Gestión Integral de Riesgos, lo que se concreta con la definición del Modelo Integral de Gestión de Riesgos de Cumplimiento.</w:t>
      </w:r>
    </w:p>
    <w:p w14:paraId="17D01DF8" w14:textId="77777777" w:rsidR="0067682D" w:rsidRPr="0067682D" w:rsidRDefault="0067682D" w:rsidP="0067682D">
      <w:pPr>
        <w:spacing w:after="0" w:line="240" w:lineRule="auto"/>
        <w:jc w:val="both"/>
        <w:rPr>
          <w:rFonts w:ascii="Times New Roman" w:hAnsi="Times New Roman" w:cs="Times New Roman"/>
        </w:rPr>
      </w:pPr>
    </w:p>
    <w:p w14:paraId="6153273F" w14:textId="42DDCBB4" w:rsidR="0067682D" w:rsidRPr="00FF5433" w:rsidRDefault="0067682D" w:rsidP="00FF5433">
      <w:pPr>
        <w:spacing w:after="0" w:line="240" w:lineRule="auto"/>
        <w:jc w:val="both"/>
        <w:rPr>
          <w:rFonts w:ascii="Times New Roman" w:hAnsi="Times New Roman" w:cs="Times New Roman"/>
        </w:rPr>
      </w:pPr>
      <w:r w:rsidRPr="0067682D">
        <w:rPr>
          <w:rFonts w:ascii="Times New Roman" w:hAnsi="Times New Roman" w:cs="Times New Roman"/>
        </w:rPr>
        <w:t>Las directrices previstas en los objetivos antes descritos, permitió a la Administración Tributaria definir una serie de acciones para la orientación de los Planes Operativos Anuales, con la finalidad de delimitar el accionar del ente recaudador para atacar el problema de la insuficiente recaudación tributaria. Adicionalmente, con la vigencia de las reformas a la Ley Orgánica de la SAT contenidas en el Decreto No. 37 – 2016 del Congreso de la República, se introdujeron normas para regular las estimaciones, el nombramiento y destitución del Superintendente a cargo del Directorio de la SAT, incluyendo la definición de metas y el contenido del pronóstico de la recaudación a cargo de la SAT.</w:t>
      </w:r>
    </w:p>
    <w:p w14:paraId="4E15750D" w14:textId="77777777" w:rsidR="003B7371" w:rsidRPr="004133EB" w:rsidRDefault="003B7371" w:rsidP="001032E7">
      <w:pPr>
        <w:pStyle w:val="Prrafodelista"/>
        <w:keepNext/>
        <w:keepLines/>
        <w:numPr>
          <w:ilvl w:val="0"/>
          <w:numId w:val="15"/>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1210" w:name="_Toc14783085"/>
      <w:bookmarkStart w:id="1211" w:name="_Toc14783193"/>
      <w:bookmarkStart w:id="1212" w:name="_Toc14783350"/>
      <w:bookmarkStart w:id="1213" w:name="_Toc14783707"/>
      <w:bookmarkStart w:id="1214" w:name="_Toc14783880"/>
      <w:bookmarkStart w:id="1215" w:name="_Toc14784254"/>
      <w:bookmarkStart w:id="1216" w:name="_Toc14784339"/>
      <w:bookmarkStart w:id="1217" w:name="_Toc14784425"/>
      <w:bookmarkStart w:id="1218" w:name="_Toc14784510"/>
      <w:bookmarkStart w:id="1219" w:name="_Toc14784595"/>
      <w:bookmarkStart w:id="1220" w:name="_Toc14784680"/>
      <w:bookmarkStart w:id="1221" w:name="_Toc14784765"/>
      <w:bookmarkStart w:id="1222" w:name="_Toc14784850"/>
      <w:bookmarkStart w:id="1223" w:name="_Toc14784949"/>
      <w:bookmarkStart w:id="1224" w:name="_Toc14785321"/>
      <w:bookmarkStart w:id="1225" w:name="_Toc14785406"/>
      <w:bookmarkStart w:id="1226" w:name="_Toc14785557"/>
      <w:bookmarkStart w:id="1227" w:name="_Toc14785690"/>
      <w:bookmarkStart w:id="1228" w:name="_Toc14785825"/>
      <w:bookmarkStart w:id="1229" w:name="_Toc14785908"/>
      <w:bookmarkStart w:id="1230" w:name="_Toc14853988"/>
      <w:bookmarkStart w:id="1231" w:name="_Toc14857194"/>
      <w:bookmarkStart w:id="1232" w:name="_Toc14857664"/>
      <w:bookmarkStart w:id="1233" w:name="_Toc16147320"/>
      <w:bookmarkStart w:id="1234" w:name="_Toc16151951"/>
      <w:bookmarkStart w:id="1235" w:name="_Toc16152170"/>
      <w:bookmarkStart w:id="1236" w:name="_Toc16152909"/>
      <w:bookmarkStart w:id="1237" w:name="_Toc16153331"/>
      <w:bookmarkStart w:id="1238" w:name="_Toc16154461"/>
      <w:bookmarkStart w:id="1239" w:name="_Toc16154550"/>
      <w:bookmarkStart w:id="1240" w:name="_Toc16155037"/>
      <w:bookmarkStart w:id="1241" w:name="_Toc48295628"/>
      <w:bookmarkStart w:id="1242" w:name="_Toc48295755"/>
      <w:bookmarkStart w:id="1243" w:name="_Toc48295882"/>
      <w:bookmarkStart w:id="1244" w:name="_Toc48296008"/>
      <w:bookmarkStart w:id="1245" w:name="_Toc48296132"/>
      <w:bookmarkStart w:id="1246" w:name="_Toc48296255"/>
      <w:bookmarkStart w:id="1247" w:name="_Toc48296378"/>
      <w:bookmarkStart w:id="1248" w:name="_Toc48296489"/>
      <w:bookmarkStart w:id="1249" w:name="_Toc48296598"/>
      <w:bookmarkStart w:id="1250" w:name="_Toc48652745"/>
      <w:bookmarkStart w:id="1251" w:name="_Toc48653014"/>
      <w:bookmarkStart w:id="1252" w:name="_Toc48653744"/>
      <w:bookmarkStart w:id="1253" w:name="_Toc48653858"/>
      <w:bookmarkStart w:id="1254" w:name="_Toc48653967"/>
      <w:bookmarkStart w:id="1255" w:name="_Toc48654075"/>
      <w:bookmarkStart w:id="1256" w:name="_Toc49170999"/>
      <w:bookmarkStart w:id="1257" w:name="_Toc49171107"/>
      <w:bookmarkStart w:id="1258" w:name="_Toc49171215"/>
      <w:bookmarkStart w:id="1259" w:name="_Toc49171346"/>
      <w:bookmarkStart w:id="1260" w:name="_Toc49939471"/>
      <w:bookmarkStart w:id="1261" w:name="_Toc73093138"/>
      <w:bookmarkStart w:id="1262" w:name="_Toc73095150"/>
      <w:bookmarkStart w:id="1263" w:name="_Toc73095255"/>
      <w:bookmarkStart w:id="1264" w:name="_Toc73514008"/>
      <w:bookmarkStart w:id="1265" w:name="_Toc81571786"/>
      <w:bookmarkStart w:id="1266" w:name="_Toc81571907"/>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28385368" w14:textId="77777777" w:rsidR="003B7371" w:rsidRPr="004133EB" w:rsidRDefault="003B7371" w:rsidP="001032E7">
      <w:pPr>
        <w:pStyle w:val="Prrafodelista"/>
        <w:keepNext/>
        <w:keepLines/>
        <w:numPr>
          <w:ilvl w:val="0"/>
          <w:numId w:val="15"/>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1267" w:name="_Toc14783086"/>
      <w:bookmarkStart w:id="1268" w:name="_Toc14783194"/>
      <w:bookmarkStart w:id="1269" w:name="_Toc14783351"/>
      <w:bookmarkStart w:id="1270" w:name="_Toc14783708"/>
      <w:bookmarkStart w:id="1271" w:name="_Toc14783881"/>
      <w:bookmarkStart w:id="1272" w:name="_Toc14784255"/>
      <w:bookmarkStart w:id="1273" w:name="_Toc14784340"/>
      <w:bookmarkStart w:id="1274" w:name="_Toc14784426"/>
      <w:bookmarkStart w:id="1275" w:name="_Toc14784511"/>
      <w:bookmarkStart w:id="1276" w:name="_Toc14784596"/>
      <w:bookmarkStart w:id="1277" w:name="_Toc14784681"/>
      <w:bookmarkStart w:id="1278" w:name="_Toc14784766"/>
      <w:bookmarkStart w:id="1279" w:name="_Toc14784851"/>
      <w:bookmarkStart w:id="1280" w:name="_Toc14784950"/>
      <w:bookmarkStart w:id="1281" w:name="_Toc14785322"/>
      <w:bookmarkStart w:id="1282" w:name="_Toc14785407"/>
      <w:bookmarkStart w:id="1283" w:name="_Toc14785558"/>
      <w:bookmarkStart w:id="1284" w:name="_Toc14785691"/>
      <w:bookmarkStart w:id="1285" w:name="_Toc14785826"/>
      <w:bookmarkStart w:id="1286" w:name="_Toc14785909"/>
      <w:bookmarkStart w:id="1287" w:name="_Toc14853989"/>
      <w:bookmarkStart w:id="1288" w:name="_Toc14857195"/>
      <w:bookmarkStart w:id="1289" w:name="_Toc14857665"/>
      <w:bookmarkStart w:id="1290" w:name="_Toc16147321"/>
      <w:bookmarkStart w:id="1291" w:name="_Toc16151952"/>
      <w:bookmarkStart w:id="1292" w:name="_Toc16152171"/>
      <w:bookmarkStart w:id="1293" w:name="_Toc16152910"/>
      <w:bookmarkStart w:id="1294" w:name="_Toc16153332"/>
      <w:bookmarkStart w:id="1295" w:name="_Toc16154462"/>
      <w:bookmarkStart w:id="1296" w:name="_Toc16154551"/>
      <w:bookmarkStart w:id="1297" w:name="_Toc16155038"/>
      <w:bookmarkStart w:id="1298" w:name="_Toc48295629"/>
      <w:bookmarkStart w:id="1299" w:name="_Toc48295756"/>
      <w:bookmarkStart w:id="1300" w:name="_Toc48295883"/>
      <w:bookmarkStart w:id="1301" w:name="_Toc48296009"/>
      <w:bookmarkStart w:id="1302" w:name="_Toc48296133"/>
      <w:bookmarkStart w:id="1303" w:name="_Toc48296256"/>
      <w:bookmarkStart w:id="1304" w:name="_Toc48296379"/>
      <w:bookmarkStart w:id="1305" w:name="_Toc48296490"/>
      <w:bookmarkStart w:id="1306" w:name="_Toc48296599"/>
      <w:bookmarkStart w:id="1307" w:name="_Toc48652746"/>
      <w:bookmarkStart w:id="1308" w:name="_Toc48653015"/>
      <w:bookmarkStart w:id="1309" w:name="_Toc48653745"/>
      <w:bookmarkStart w:id="1310" w:name="_Toc48653859"/>
      <w:bookmarkStart w:id="1311" w:name="_Toc48653968"/>
      <w:bookmarkStart w:id="1312" w:name="_Toc48654076"/>
      <w:bookmarkStart w:id="1313" w:name="_Toc49171000"/>
      <w:bookmarkStart w:id="1314" w:name="_Toc49171108"/>
      <w:bookmarkStart w:id="1315" w:name="_Toc49171216"/>
      <w:bookmarkStart w:id="1316" w:name="_Toc49171347"/>
      <w:bookmarkStart w:id="1317" w:name="_Toc49939472"/>
      <w:bookmarkStart w:id="1318" w:name="_Toc73093139"/>
      <w:bookmarkStart w:id="1319" w:name="_Toc73095151"/>
      <w:bookmarkStart w:id="1320" w:name="_Toc73095256"/>
      <w:bookmarkStart w:id="1321" w:name="_Toc73514009"/>
      <w:bookmarkStart w:id="1322" w:name="_Toc81571787"/>
      <w:bookmarkStart w:id="1323" w:name="_Toc81571908"/>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p>
    <w:p w14:paraId="13E494E6" w14:textId="77777777" w:rsidR="003B7371" w:rsidRPr="004133EB" w:rsidRDefault="003B7371" w:rsidP="001032E7">
      <w:pPr>
        <w:pStyle w:val="Prrafodelista"/>
        <w:keepNext/>
        <w:keepLines/>
        <w:numPr>
          <w:ilvl w:val="0"/>
          <w:numId w:val="15"/>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1324" w:name="_Toc14783087"/>
      <w:bookmarkStart w:id="1325" w:name="_Toc14783195"/>
      <w:bookmarkStart w:id="1326" w:name="_Toc14783352"/>
      <w:bookmarkStart w:id="1327" w:name="_Toc14783709"/>
      <w:bookmarkStart w:id="1328" w:name="_Toc14783882"/>
      <w:bookmarkStart w:id="1329" w:name="_Toc14784256"/>
      <w:bookmarkStart w:id="1330" w:name="_Toc14784341"/>
      <w:bookmarkStart w:id="1331" w:name="_Toc14784427"/>
      <w:bookmarkStart w:id="1332" w:name="_Toc14784512"/>
      <w:bookmarkStart w:id="1333" w:name="_Toc14784597"/>
      <w:bookmarkStart w:id="1334" w:name="_Toc14784682"/>
      <w:bookmarkStart w:id="1335" w:name="_Toc14784767"/>
      <w:bookmarkStart w:id="1336" w:name="_Toc14784852"/>
      <w:bookmarkStart w:id="1337" w:name="_Toc14784951"/>
      <w:bookmarkStart w:id="1338" w:name="_Toc14785323"/>
      <w:bookmarkStart w:id="1339" w:name="_Toc14785408"/>
      <w:bookmarkStart w:id="1340" w:name="_Toc14785559"/>
      <w:bookmarkStart w:id="1341" w:name="_Toc14785692"/>
      <w:bookmarkStart w:id="1342" w:name="_Toc14785827"/>
      <w:bookmarkStart w:id="1343" w:name="_Toc14785910"/>
      <w:bookmarkStart w:id="1344" w:name="_Toc14853990"/>
      <w:bookmarkStart w:id="1345" w:name="_Toc14857196"/>
      <w:bookmarkStart w:id="1346" w:name="_Toc14857666"/>
      <w:bookmarkStart w:id="1347" w:name="_Toc16147322"/>
      <w:bookmarkStart w:id="1348" w:name="_Toc16151953"/>
      <w:bookmarkStart w:id="1349" w:name="_Toc16152172"/>
      <w:bookmarkStart w:id="1350" w:name="_Toc16152911"/>
      <w:bookmarkStart w:id="1351" w:name="_Toc16153333"/>
      <w:bookmarkStart w:id="1352" w:name="_Toc16154463"/>
      <w:bookmarkStart w:id="1353" w:name="_Toc16154552"/>
      <w:bookmarkStart w:id="1354" w:name="_Toc16155039"/>
      <w:bookmarkStart w:id="1355" w:name="_Toc48295630"/>
      <w:bookmarkStart w:id="1356" w:name="_Toc48295757"/>
      <w:bookmarkStart w:id="1357" w:name="_Toc48295884"/>
      <w:bookmarkStart w:id="1358" w:name="_Toc48296010"/>
      <w:bookmarkStart w:id="1359" w:name="_Toc48296134"/>
      <w:bookmarkStart w:id="1360" w:name="_Toc48296257"/>
      <w:bookmarkStart w:id="1361" w:name="_Toc48296380"/>
      <w:bookmarkStart w:id="1362" w:name="_Toc48296491"/>
      <w:bookmarkStart w:id="1363" w:name="_Toc48296600"/>
      <w:bookmarkStart w:id="1364" w:name="_Toc48652747"/>
      <w:bookmarkStart w:id="1365" w:name="_Toc48653016"/>
      <w:bookmarkStart w:id="1366" w:name="_Toc48653746"/>
      <w:bookmarkStart w:id="1367" w:name="_Toc48653860"/>
      <w:bookmarkStart w:id="1368" w:name="_Toc48653969"/>
      <w:bookmarkStart w:id="1369" w:name="_Toc48654077"/>
      <w:bookmarkStart w:id="1370" w:name="_Toc49171001"/>
      <w:bookmarkStart w:id="1371" w:name="_Toc49171109"/>
      <w:bookmarkStart w:id="1372" w:name="_Toc49171217"/>
      <w:bookmarkStart w:id="1373" w:name="_Toc49171348"/>
      <w:bookmarkStart w:id="1374" w:name="_Toc49939473"/>
      <w:bookmarkStart w:id="1375" w:name="_Toc73093140"/>
      <w:bookmarkStart w:id="1376" w:name="_Toc73095152"/>
      <w:bookmarkStart w:id="1377" w:name="_Toc73095257"/>
      <w:bookmarkStart w:id="1378" w:name="_Toc73514010"/>
      <w:bookmarkStart w:id="1379" w:name="_Toc81571788"/>
      <w:bookmarkStart w:id="1380" w:name="_Toc81571909"/>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p>
    <w:p w14:paraId="43310668" w14:textId="77777777" w:rsidR="003B7371" w:rsidRPr="004133EB" w:rsidRDefault="003B7371" w:rsidP="001032E7">
      <w:pPr>
        <w:pStyle w:val="Prrafodelista"/>
        <w:keepNext/>
        <w:keepLines/>
        <w:numPr>
          <w:ilvl w:val="1"/>
          <w:numId w:val="15"/>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1381" w:name="_Toc14783088"/>
      <w:bookmarkStart w:id="1382" w:name="_Toc14783196"/>
      <w:bookmarkStart w:id="1383" w:name="_Toc14783353"/>
      <w:bookmarkStart w:id="1384" w:name="_Toc14783710"/>
      <w:bookmarkStart w:id="1385" w:name="_Toc14783883"/>
      <w:bookmarkStart w:id="1386" w:name="_Toc14784257"/>
      <w:bookmarkStart w:id="1387" w:name="_Toc14784342"/>
      <w:bookmarkStart w:id="1388" w:name="_Toc14784428"/>
      <w:bookmarkStart w:id="1389" w:name="_Toc14784513"/>
      <w:bookmarkStart w:id="1390" w:name="_Toc14784598"/>
      <w:bookmarkStart w:id="1391" w:name="_Toc14784683"/>
      <w:bookmarkStart w:id="1392" w:name="_Toc14784768"/>
      <w:bookmarkStart w:id="1393" w:name="_Toc14784853"/>
      <w:bookmarkStart w:id="1394" w:name="_Toc14784952"/>
      <w:bookmarkStart w:id="1395" w:name="_Toc14785324"/>
      <w:bookmarkStart w:id="1396" w:name="_Toc14785409"/>
      <w:bookmarkStart w:id="1397" w:name="_Toc14785560"/>
      <w:bookmarkStart w:id="1398" w:name="_Toc14785693"/>
      <w:bookmarkStart w:id="1399" w:name="_Toc14785828"/>
      <w:bookmarkStart w:id="1400" w:name="_Toc14785911"/>
      <w:bookmarkStart w:id="1401" w:name="_Toc14853991"/>
      <w:bookmarkStart w:id="1402" w:name="_Toc14857197"/>
      <w:bookmarkStart w:id="1403" w:name="_Toc14857667"/>
      <w:bookmarkStart w:id="1404" w:name="_Toc16147323"/>
      <w:bookmarkStart w:id="1405" w:name="_Toc16151954"/>
      <w:bookmarkStart w:id="1406" w:name="_Toc16152173"/>
      <w:bookmarkStart w:id="1407" w:name="_Toc16152912"/>
      <w:bookmarkStart w:id="1408" w:name="_Toc16153334"/>
      <w:bookmarkStart w:id="1409" w:name="_Toc16154464"/>
      <w:bookmarkStart w:id="1410" w:name="_Toc16154553"/>
      <w:bookmarkStart w:id="1411" w:name="_Toc16155040"/>
      <w:bookmarkStart w:id="1412" w:name="_Toc48295631"/>
      <w:bookmarkStart w:id="1413" w:name="_Toc48295758"/>
      <w:bookmarkStart w:id="1414" w:name="_Toc48295885"/>
      <w:bookmarkStart w:id="1415" w:name="_Toc48296011"/>
      <w:bookmarkStart w:id="1416" w:name="_Toc48296135"/>
      <w:bookmarkStart w:id="1417" w:name="_Toc48296258"/>
      <w:bookmarkStart w:id="1418" w:name="_Toc48296381"/>
      <w:bookmarkStart w:id="1419" w:name="_Toc48296492"/>
      <w:bookmarkStart w:id="1420" w:name="_Toc48296601"/>
      <w:bookmarkStart w:id="1421" w:name="_Toc48652748"/>
      <w:bookmarkStart w:id="1422" w:name="_Toc48653017"/>
      <w:bookmarkStart w:id="1423" w:name="_Toc48653747"/>
      <w:bookmarkStart w:id="1424" w:name="_Toc48653861"/>
      <w:bookmarkStart w:id="1425" w:name="_Toc48653970"/>
      <w:bookmarkStart w:id="1426" w:name="_Toc48654078"/>
      <w:bookmarkStart w:id="1427" w:name="_Toc49171002"/>
      <w:bookmarkStart w:id="1428" w:name="_Toc49171110"/>
      <w:bookmarkStart w:id="1429" w:name="_Toc49171218"/>
      <w:bookmarkStart w:id="1430" w:name="_Toc49171349"/>
      <w:bookmarkStart w:id="1431" w:name="_Toc49939474"/>
      <w:bookmarkStart w:id="1432" w:name="_Toc73093141"/>
      <w:bookmarkStart w:id="1433" w:name="_Toc73095153"/>
      <w:bookmarkStart w:id="1434" w:name="_Toc73095258"/>
      <w:bookmarkStart w:id="1435" w:name="_Toc73514011"/>
      <w:bookmarkStart w:id="1436" w:name="_Toc81571789"/>
      <w:bookmarkStart w:id="1437" w:name="_Toc8157191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p>
    <w:p w14:paraId="4ACFAF3A" w14:textId="77777777" w:rsidR="003B7371" w:rsidRPr="004133EB" w:rsidRDefault="003B7371" w:rsidP="001032E7">
      <w:pPr>
        <w:pStyle w:val="Prrafodelista"/>
        <w:keepNext/>
        <w:keepLines/>
        <w:numPr>
          <w:ilvl w:val="1"/>
          <w:numId w:val="15"/>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1438" w:name="_Toc14783089"/>
      <w:bookmarkStart w:id="1439" w:name="_Toc14783197"/>
      <w:bookmarkStart w:id="1440" w:name="_Toc14783354"/>
      <w:bookmarkStart w:id="1441" w:name="_Toc14783711"/>
      <w:bookmarkStart w:id="1442" w:name="_Toc14783884"/>
      <w:bookmarkStart w:id="1443" w:name="_Toc14784258"/>
      <w:bookmarkStart w:id="1444" w:name="_Toc14784343"/>
      <w:bookmarkStart w:id="1445" w:name="_Toc14784429"/>
      <w:bookmarkStart w:id="1446" w:name="_Toc14784514"/>
      <w:bookmarkStart w:id="1447" w:name="_Toc14784599"/>
      <w:bookmarkStart w:id="1448" w:name="_Toc14784684"/>
      <w:bookmarkStart w:id="1449" w:name="_Toc14784769"/>
      <w:bookmarkStart w:id="1450" w:name="_Toc14784854"/>
      <w:bookmarkStart w:id="1451" w:name="_Toc14784953"/>
      <w:bookmarkStart w:id="1452" w:name="_Toc14785325"/>
      <w:bookmarkStart w:id="1453" w:name="_Toc14785410"/>
      <w:bookmarkStart w:id="1454" w:name="_Toc14785561"/>
      <w:bookmarkStart w:id="1455" w:name="_Toc14785694"/>
      <w:bookmarkStart w:id="1456" w:name="_Toc14785829"/>
      <w:bookmarkStart w:id="1457" w:name="_Toc14785912"/>
      <w:bookmarkStart w:id="1458" w:name="_Toc14853992"/>
      <w:bookmarkStart w:id="1459" w:name="_Toc14857198"/>
      <w:bookmarkStart w:id="1460" w:name="_Toc14857668"/>
      <w:bookmarkStart w:id="1461" w:name="_Toc16147324"/>
      <w:bookmarkStart w:id="1462" w:name="_Toc16151955"/>
      <w:bookmarkStart w:id="1463" w:name="_Toc16152174"/>
      <w:bookmarkStart w:id="1464" w:name="_Toc16152913"/>
      <w:bookmarkStart w:id="1465" w:name="_Toc16153335"/>
      <w:bookmarkStart w:id="1466" w:name="_Toc16154465"/>
      <w:bookmarkStart w:id="1467" w:name="_Toc16154554"/>
      <w:bookmarkStart w:id="1468" w:name="_Toc16155041"/>
      <w:bookmarkStart w:id="1469" w:name="_Toc48295632"/>
      <w:bookmarkStart w:id="1470" w:name="_Toc48295759"/>
      <w:bookmarkStart w:id="1471" w:name="_Toc48295886"/>
      <w:bookmarkStart w:id="1472" w:name="_Toc48296012"/>
      <w:bookmarkStart w:id="1473" w:name="_Toc48296136"/>
      <w:bookmarkStart w:id="1474" w:name="_Toc48296259"/>
      <w:bookmarkStart w:id="1475" w:name="_Toc48296382"/>
      <w:bookmarkStart w:id="1476" w:name="_Toc48296493"/>
      <w:bookmarkStart w:id="1477" w:name="_Toc48296602"/>
      <w:bookmarkStart w:id="1478" w:name="_Toc48652749"/>
      <w:bookmarkStart w:id="1479" w:name="_Toc48653018"/>
      <w:bookmarkStart w:id="1480" w:name="_Toc48653748"/>
      <w:bookmarkStart w:id="1481" w:name="_Toc48653862"/>
      <w:bookmarkStart w:id="1482" w:name="_Toc48653971"/>
      <w:bookmarkStart w:id="1483" w:name="_Toc48654079"/>
      <w:bookmarkStart w:id="1484" w:name="_Toc49171003"/>
      <w:bookmarkStart w:id="1485" w:name="_Toc49171111"/>
      <w:bookmarkStart w:id="1486" w:name="_Toc49171219"/>
      <w:bookmarkStart w:id="1487" w:name="_Toc49171350"/>
      <w:bookmarkStart w:id="1488" w:name="_Toc49939475"/>
      <w:bookmarkStart w:id="1489" w:name="_Toc73093142"/>
      <w:bookmarkStart w:id="1490" w:name="_Toc73095154"/>
      <w:bookmarkStart w:id="1491" w:name="_Toc73095259"/>
      <w:bookmarkStart w:id="1492" w:name="_Toc73514012"/>
      <w:bookmarkStart w:id="1493" w:name="_Toc81571790"/>
      <w:bookmarkStart w:id="1494" w:name="_Toc81571911"/>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p w14:paraId="1C82300B" w14:textId="77777777" w:rsidR="003B7371" w:rsidRPr="004133EB" w:rsidRDefault="003B7371" w:rsidP="001032E7">
      <w:pPr>
        <w:pStyle w:val="Prrafodelista"/>
        <w:keepNext/>
        <w:keepLines/>
        <w:numPr>
          <w:ilvl w:val="1"/>
          <w:numId w:val="15"/>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1495" w:name="_Toc14783090"/>
      <w:bookmarkStart w:id="1496" w:name="_Toc14783198"/>
      <w:bookmarkStart w:id="1497" w:name="_Toc14783355"/>
      <w:bookmarkStart w:id="1498" w:name="_Toc14783712"/>
      <w:bookmarkStart w:id="1499" w:name="_Toc14783885"/>
      <w:bookmarkStart w:id="1500" w:name="_Toc14784259"/>
      <w:bookmarkStart w:id="1501" w:name="_Toc14784344"/>
      <w:bookmarkStart w:id="1502" w:name="_Toc14784430"/>
      <w:bookmarkStart w:id="1503" w:name="_Toc14784515"/>
      <w:bookmarkStart w:id="1504" w:name="_Toc14784600"/>
      <w:bookmarkStart w:id="1505" w:name="_Toc14784685"/>
      <w:bookmarkStart w:id="1506" w:name="_Toc14784770"/>
      <w:bookmarkStart w:id="1507" w:name="_Toc14784855"/>
      <w:bookmarkStart w:id="1508" w:name="_Toc14784954"/>
      <w:bookmarkStart w:id="1509" w:name="_Toc14785326"/>
      <w:bookmarkStart w:id="1510" w:name="_Toc14785411"/>
      <w:bookmarkStart w:id="1511" w:name="_Toc14785562"/>
      <w:bookmarkStart w:id="1512" w:name="_Toc14785695"/>
      <w:bookmarkStart w:id="1513" w:name="_Toc14785830"/>
      <w:bookmarkStart w:id="1514" w:name="_Toc14785913"/>
      <w:bookmarkStart w:id="1515" w:name="_Toc14853993"/>
      <w:bookmarkStart w:id="1516" w:name="_Toc14857199"/>
      <w:bookmarkStart w:id="1517" w:name="_Toc14857669"/>
      <w:bookmarkStart w:id="1518" w:name="_Toc16147325"/>
      <w:bookmarkStart w:id="1519" w:name="_Toc16151956"/>
      <w:bookmarkStart w:id="1520" w:name="_Toc16152175"/>
      <w:bookmarkStart w:id="1521" w:name="_Toc16152914"/>
      <w:bookmarkStart w:id="1522" w:name="_Toc16153336"/>
      <w:bookmarkStart w:id="1523" w:name="_Toc16154466"/>
      <w:bookmarkStart w:id="1524" w:name="_Toc16154555"/>
      <w:bookmarkStart w:id="1525" w:name="_Toc16155042"/>
      <w:bookmarkStart w:id="1526" w:name="_Toc48295633"/>
      <w:bookmarkStart w:id="1527" w:name="_Toc48295760"/>
      <w:bookmarkStart w:id="1528" w:name="_Toc48295887"/>
      <w:bookmarkStart w:id="1529" w:name="_Toc48296013"/>
      <w:bookmarkStart w:id="1530" w:name="_Toc48296137"/>
      <w:bookmarkStart w:id="1531" w:name="_Toc48296260"/>
      <w:bookmarkStart w:id="1532" w:name="_Toc48296383"/>
      <w:bookmarkStart w:id="1533" w:name="_Toc48296494"/>
      <w:bookmarkStart w:id="1534" w:name="_Toc48296603"/>
      <w:bookmarkStart w:id="1535" w:name="_Toc48652750"/>
      <w:bookmarkStart w:id="1536" w:name="_Toc48653019"/>
      <w:bookmarkStart w:id="1537" w:name="_Toc48653749"/>
      <w:bookmarkStart w:id="1538" w:name="_Toc48653863"/>
      <w:bookmarkStart w:id="1539" w:name="_Toc48653972"/>
      <w:bookmarkStart w:id="1540" w:name="_Toc48654080"/>
      <w:bookmarkStart w:id="1541" w:name="_Toc49171004"/>
      <w:bookmarkStart w:id="1542" w:name="_Toc49171112"/>
      <w:bookmarkStart w:id="1543" w:name="_Toc49171220"/>
      <w:bookmarkStart w:id="1544" w:name="_Toc49171351"/>
      <w:bookmarkStart w:id="1545" w:name="_Toc49939476"/>
      <w:bookmarkStart w:id="1546" w:name="_Toc73093143"/>
      <w:bookmarkStart w:id="1547" w:name="_Toc73095155"/>
      <w:bookmarkStart w:id="1548" w:name="_Toc73095260"/>
      <w:bookmarkStart w:id="1549" w:name="_Toc73514013"/>
      <w:bookmarkStart w:id="1550" w:name="_Toc81571791"/>
      <w:bookmarkStart w:id="1551" w:name="_Toc81571912"/>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p>
    <w:p w14:paraId="4979E605" w14:textId="77777777" w:rsidR="003B7371" w:rsidRPr="004133EB" w:rsidRDefault="003B7371" w:rsidP="001032E7">
      <w:pPr>
        <w:pStyle w:val="Prrafodelista"/>
        <w:keepNext/>
        <w:keepLines/>
        <w:numPr>
          <w:ilvl w:val="1"/>
          <w:numId w:val="15"/>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1552" w:name="_Toc14783091"/>
      <w:bookmarkStart w:id="1553" w:name="_Toc14783199"/>
      <w:bookmarkStart w:id="1554" w:name="_Toc14783356"/>
      <w:bookmarkStart w:id="1555" w:name="_Toc14783713"/>
      <w:bookmarkStart w:id="1556" w:name="_Toc14783886"/>
      <w:bookmarkStart w:id="1557" w:name="_Toc14784260"/>
      <w:bookmarkStart w:id="1558" w:name="_Toc14784345"/>
      <w:bookmarkStart w:id="1559" w:name="_Toc14784431"/>
      <w:bookmarkStart w:id="1560" w:name="_Toc14784516"/>
      <w:bookmarkStart w:id="1561" w:name="_Toc14784601"/>
      <w:bookmarkStart w:id="1562" w:name="_Toc14784686"/>
      <w:bookmarkStart w:id="1563" w:name="_Toc14784771"/>
      <w:bookmarkStart w:id="1564" w:name="_Toc14784856"/>
      <w:bookmarkStart w:id="1565" w:name="_Toc14784955"/>
      <w:bookmarkStart w:id="1566" w:name="_Toc14785327"/>
      <w:bookmarkStart w:id="1567" w:name="_Toc14785412"/>
      <w:bookmarkStart w:id="1568" w:name="_Toc14785563"/>
      <w:bookmarkStart w:id="1569" w:name="_Toc14785696"/>
      <w:bookmarkStart w:id="1570" w:name="_Toc14785831"/>
      <w:bookmarkStart w:id="1571" w:name="_Toc14785914"/>
      <w:bookmarkStart w:id="1572" w:name="_Toc14853994"/>
      <w:bookmarkStart w:id="1573" w:name="_Toc14857200"/>
      <w:bookmarkStart w:id="1574" w:name="_Toc14857670"/>
      <w:bookmarkStart w:id="1575" w:name="_Toc16147326"/>
      <w:bookmarkStart w:id="1576" w:name="_Toc16151957"/>
      <w:bookmarkStart w:id="1577" w:name="_Toc16152176"/>
      <w:bookmarkStart w:id="1578" w:name="_Toc16152915"/>
      <w:bookmarkStart w:id="1579" w:name="_Toc16153337"/>
      <w:bookmarkStart w:id="1580" w:name="_Toc16154467"/>
      <w:bookmarkStart w:id="1581" w:name="_Toc16154556"/>
      <w:bookmarkStart w:id="1582" w:name="_Toc16155043"/>
      <w:bookmarkStart w:id="1583" w:name="_Toc48295634"/>
      <w:bookmarkStart w:id="1584" w:name="_Toc48295761"/>
      <w:bookmarkStart w:id="1585" w:name="_Toc48295888"/>
      <w:bookmarkStart w:id="1586" w:name="_Toc48296014"/>
      <w:bookmarkStart w:id="1587" w:name="_Toc48296138"/>
      <w:bookmarkStart w:id="1588" w:name="_Toc48296261"/>
      <w:bookmarkStart w:id="1589" w:name="_Toc48296384"/>
      <w:bookmarkStart w:id="1590" w:name="_Toc48296495"/>
      <w:bookmarkStart w:id="1591" w:name="_Toc48296604"/>
      <w:bookmarkStart w:id="1592" w:name="_Toc48652751"/>
      <w:bookmarkStart w:id="1593" w:name="_Toc48653020"/>
      <w:bookmarkStart w:id="1594" w:name="_Toc48653750"/>
      <w:bookmarkStart w:id="1595" w:name="_Toc48653864"/>
      <w:bookmarkStart w:id="1596" w:name="_Toc48653973"/>
      <w:bookmarkStart w:id="1597" w:name="_Toc48654081"/>
      <w:bookmarkStart w:id="1598" w:name="_Toc49171005"/>
      <w:bookmarkStart w:id="1599" w:name="_Toc49171113"/>
      <w:bookmarkStart w:id="1600" w:name="_Toc49171221"/>
      <w:bookmarkStart w:id="1601" w:name="_Toc49171352"/>
      <w:bookmarkStart w:id="1602" w:name="_Toc49939477"/>
      <w:bookmarkStart w:id="1603" w:name="_Toc73093144"/>
      <w:bookmarkStart w:id="1604" w:name="_Toc73095156"/>
      <w:bookmarkStart w:id="1605" w:name="_Toc73095261"/>
      <w:bookmarkStart w:id="1606" w:name="_Toc73514014"/>
      <w:bookmarkStart w:id="1607" w:name="_Toc81571792"/>
      <w:bookmarkStart w:id="1608" w:name="_Toc81571913"/>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p>
    <w:p w14:paraId="647A275B" w14:textId="77777777" w:rsidR="003B7371" w:rsidRPr="004133EB" w:rsidRDefault="003B7371" w:rsidP="001032E7">
      <w:pPr>
        <w:pStyle w:val="Prrafodelista"/>
        <w:keepNext/>
        <w:keepLines/>
        <w:numPr>
          <w:ilvl w:val="2"/>
          <w:numId w:val="15"/>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1609" w:name="_Toc14783092"/>
      <w:bookmarkStart w:id="1610" w:name="_Toc14783200"/>
      <w:bookmarkStart w:id="1611" w:name="_Toc14783357"/>
      <w:bookmarkStart w:id="1612" w:name="_Toc14783714"/>
      <w:bookmarkStart w:id="1613" w:name="_Toc14783887"/>
      <w:bookmarkStart w:id="1614" w:name="_Toc14784261"/>
      <w:bookmarkStart w:id="1615" w:name="_Toc14784346"/>
      <w:bookmarkStart w:id="1616" w:name="_Toc14784432"/>
      <w:bookmarkStart w:id="1617" w:name="_Toc14784517"/>
      <w:bookmarkStart w:id="1618" w:name="_Toc14784602"/>
      <w:bookmarkStart w:id="1619" w:name="_Toc14784687"/>
      <w:bookmarkStart w:id="1620" w:name="_Toc14784772"/>
      <w:bookmarkStart w:id="1621" w:name="_Toc14784857"/>
      <w:bookmarkStart w:id="1622" w:name="_Toc14784956"/>
      <w:bookmarkStart w:id="1623" w:name="_Toc14785328"/>
      <w:bookmarkStart w:id="1624" w:name="_Toc14785413"/>
      <w:bookmarkStart w:id="1625" w:name="_Toc14785564"/>
      <w:bookmarkStart w:id="1626" w:name="_Toc14785697"/>
      <w:bookmarkStart w:id="1627" w:name="_Toc14785832"/>
      <w:bookmarkStart w:id="1628" w:name="_Toc14785915"/>
      <w:bookmarkStart w:id="1629" w:name="_Toc14853995"/>
      <w:bookmarkStart w:id="1630" w:name="_Toc14857201"/>
      <w:bookmarkStart w:id="1631" w:name="_Toc14857671"/>
      <w:bookmarkStart w:id="1632" w:name="_Toc16147327"/>
      <w:bookmarkStart w:id="1633" w:name="_Toc16151958"/>
      <w:bookmarkStart w:id="1634" w:name="_Toc16152177"/>
      <w:bookmarkStart w:id="1635" w:name="_Toc16152916"/>
      <w:bookmarkStart w:id="1636" w:name="_Toc16153338"/>
      <w:bookmarkStart w:id="1637" w:name="_Toc16154468"/>
      <w:bookmarkStart w:id="1638" w:name="_Toc16154557"/>
      <w:bookmarkStart w:id="1639" w:name="_Toc16155044"/>
      <w:bookmarkStart w:id="1640" w:name="_Toc48295635"/>
      <w:bookmarkStart w:id="1641" w:name="_Toc48295762"/>
      <w:bookmarkStart w:id="1642" w:name="_Toc48295889"/>
      <w:bookmarkStart w:id="1643" w:name="_Toc48296015"/>
      <w:bookmarkStart w:id="1644" w:name="_Toc48296139"/>
      <w:bookmarkStart w:id="1645" w:name="_Toc48296262"/>
      <w:bookmarkStart w:id="1646" w:name="_Toc48296385"/>
      <w:bookmarkStart w:id="1647" w:name="_Toc48296496"/>
      <w:bookmarkStart w:id="1648" w:name="_Toc48296605"/>
      <w:bookmarkStart w:id="1649" w:name="_Toc48652752"/>
      <w:bookmarkStart w:id="1650" w:name="_Toc48653021"/>
      <w:bookmarkStart w:id="1651" w:name="_Toc48653751"/>
      <w:bookmarkStart w:id="1652" w:name="_Toc48653865"/>
      <w:bookmarkStart w:id="1653" w:name="_Toc48653974"/>
      <w:bookmarkStart w:id="1654" w:name="_Toc48654082"/>
      <w:bookmarkStart w:id="1655" w:name="_Toc49171006"/>
      <w:bookmarkStart w:id="1656" w:name="_Toc49171114"/>
      <w:bookmarkStart w:id="1657" w:name="_Toc49171222"/>
      <w:bookmarkStart w:id="1658" w:name="_Toc49171353"/>
      <w:bookmarkStart w:id="1659" w:name="_Toc49939478"/>
      <w:bookmarkStart w:id="1660" w:name="_Toc73093145"/>
      <w:bookmarkStart w:id="1661" w:name="_Toc73095157"/>
      <w:bookmarkStart w:id="1662" w:name="_Toc73095262"/>
      <w:bookmarkStart w:id="1663" w:name="_Toc73514015"/>
      <w:bookmarkStart w:id="1664" w:name="_Toc81571793"/>
      <w:bookmarkStart w:id="1665" w:name="_Toc81571914"/>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p>
    <w:p w14:paraId="3D44AA39" w14:textId="77777777" w:rsidR="003B7371" w:rsidRPr="004133EB" w:rsidRDefault="003B7371" w:rsidP="001032E7">
      <w:pPr>
        <w:pStyle w:val="Prrafodelista"/>
        <w:keepNext/>
        <w:keepLines/>
        <w:numPr>
          <w:ilvl w:val="2"/>
          <w:numId w:val="15"/>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1666" w:name="_Toc14783093"/>
      <w:bookmarkStart w:id="1667" w:name="_Toc14783201"/>
      <w:bookmarkStart w:id="1668" w:name="_Toc14783358"/>
      <w:bookmarkStart w:id="1669" w:name="_Toc14783715"/>
      <w:bookmarkStart w:id="1670" w:name="_Toc14783888"/>
      <w:bookmarkStart w:id="1671" w:name="_Toc14784262"/>
      <w:bookmarkStart w:id="1672" w:name="_Toc14784347"/>
      <w:bookmarkStart w:id="1673" w:name="_Toc14784433"/>
      <w:bookmarkStart w:id="1674" w:name="_Toc14784518"/>
      <w:bookmarkStart w:id="1675" w:name="_Toc14784603"/>
      <w:bookmarkStart w:id="1676" w:name="_Toc14784688"/>
      <w:bookmarkStart w:id="1677" w:name="_Toc14784773"/>
      <w:bookmarkStart w:id="1678" w:name="_Toc14784858"/>
      <w:bookmarkStart w:id="1679" w:name="_Toc14784957"/>
      <w:bookmarkStart w:id="1680" w:name="_Toc14785329"/>
      <w:bookmarkStart w:id="1681" w:name="_Toc14785414"/>
      <w:bookmarkStart w:id="1682" w:name="_Toc14785565"/>
      <w:bookmarkStart w:id="1683" w:name="_Toc14785698"/>
      <w:bookmarkStart w:id="1684" w:name="_Toc14785833"/>
      <w:bookmarkStart w:id="1685" w:name="_Toc14785916"/>
      <w:bookmarkStart w:id="1686" w:name="_Toc14853996"/>
      <w:bookmarkStart w:id="1687" w:name="_Toc14857202"/>
      <w:bookmarkStart w:id="1688" w:name="_Toc14857672"/>
      <w:bookmarkStart w:id="1689" w:name="_Toc16147328"/>
      <w:bookmarkStart w:id="1690" w:name="_Toc16151959"/>
      <w:bookmarkStart w:id="1691" w:name="_Toc16152178"/>
      <w:bookmarkStart w:id="1692" w:name="_Toc16152917"/>
      <w:bookmarkStart w:id="1693" w:name="_Toc16153339"/>
      <w:bookmarkStart w:id="1694" w:name="_Toc16154469"/>
      <w:bookmarkStart w:id="1695" w:name="_Toc16154558"/>
      <w:bookmarkStart w:id="1696" w:name="_Toc16155045"/>
      <w:bookmarkStart w:id="1697" w:name="_Toc48295636"/>
      <w:bookmarkStart w:id="1698" w:name="_Toc48295763"/>
      <w:bookmarkStart w:id="1699" w:name="_Toc48295890"/>
      <w:bookmarkStart w:id="1700" w:name="_Toc48296016"/>
      <w:bookmarkStart w:id="1701" w:name="_Toc48296140"/>
      <w:bookmarkStart w:id="1702" w:name="_Toc48296263"/>
      <w:bookmarkStart w:id="1703" w:name="_Toc48296386"/>
      <w:bookmarkStart w:id="1704" w:name="_Toc48296497"/>
      <w:bookmarkStart w:id="1705" w:name="_Toc48296606"/>
      <w:bookmarkStart w:id="1706" w:name="_Toc48652753"/>
      <w:bookmarkStart w:id="1707" w:name="_Toc48653022"/>
      <w:bookmarkStart w:id="1708" w:name="_Toc48653752"/>
      <w:bookmarkStart w:id="1709" w:name="_Toc48653866"/>
      <w:bookmarkStart w:id="1710" w:name="_Toc48653975"/>
      <w:bookmarkStart w:id="1711" w:name="_Toc48654083"/>
      <w:bookmarkStart w:id="1712" w:name="_Toc49171007"/>
      <w:bookmarkStart w:id="1713" w:name="_Toc49171115"/>
      <w:bookmarkStart w:id="1714" w:name="_Toc49171223"/>
      <w:bookmarkStart w:id="1715" w:name="_Toc49171354"/>
      <w:bookmarkStart w:id="1716" w:name="_Toc49939479"/>
      <w:bookmarkStart w:id="1717" w:name="_Toc73093146"/>
      <w:bookmarkStart w:id="1718" w:name="_Toc73095158"/>
      <w:bookmarkStart w:id="1719" w:name="_Toc73095263"/>
      <w:bookmarkStart w:id="1720" w:name="_Toc73514016"/>
      <w:bookmarkStart w:id="1721" w:name="_Toc81571794"/>
      <w:bookmarkStart w:id="1722" w:name="_Toc8157191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p>
    <w:p w14:paraId="0E431039" w14:textId="77777777" w:rsidR="003B7371" w:rsidRPr="004133EB" w:rsidRDefault="003B7371" w:rsidP="001032E7">
      <w:pPr>
        <w:pStyle w:val="Prrafodelista"/>
        <w:numPr>
          <w:ilvl w:val="0"/>
          <w:numId w:val="12"/>
        </w:numPr>
        <w:tabs>
          <w:tab w:val="left" w:pos="1843"/>
        </w:tabs>
        <w:rPr>
          <w:rFonts w:ascii="Times New Roman" w:hAnsi="Times New Roman" w:cs="Times New Roman"/>
          <w:b/>
          <w:vanish/>
          <w:sz w:val="24"/>
        </w:rPr>
      </w:pPr>
    </w:p>
    <w:p w14:paraId="3DD20112" w14:textId="77777777" w:rsidR="003B7371" w:rsidRPr="004133EB" w:rsidRDefault="003B7371" w:rsidP="001032E7">
      <w:pPr>
        <w:pStyle w:val="Prrafodelista"/>
        <w:numPr>
          <w:ilvl w:val="0"/>
          <w:numId w:val="12"/>
        </w:numPr>
        <w:tabs>
          <w:tab w:val="left" w:pos="1843"/>
        </w:tabs>
        <w:rPr>
          <w:rFonts w:ascii="Times New Roman" w:hAnsi="Times New Roman" w:cs="Times New Roman"/>
          <w:b/>
          <w:vanish/>
          <w:sz w:val="24"/>
        </w:rPr>
      </w:pPr>
    </w:p>
    <w:p w14:paraId="3C7FE961" w14:textId="77777777" w:rsidR="003B7371" w:rsidRPr="004133EB" w:rsidRDefault="003B7371" w:rsidP="001032E7">
      <w:pPr>
        <w:pStyle w:val="Prrafodelista"/>
        <w:numPr>
          <w:ilvl w:val="1"/>
          <w:numId w:val="12"/>
        </w:numPr>
        <w:tabs>
          <w:tab w:val="left" w:pos="1843"/>
        </w:tabs>
        <w:rPr>
          <w:rFonts w:ascii="Times New Roman" w:hAnsi="Times New Roman" w:cs="Times New Roman"/>
          <w:b/>
          <w:vanish/>
          <w:sz w:val="24"/>
        </w:rPr>
      </w:pPr>
    </w:p>
    <w:p w14:paraId="1228FFEA" w14:textId="77777777" w:rsidR="003B7371" w:rsidRPr="004133EB" w:rsidRDefault="003B7371" w:rsidP="001032E7">
      <w:pPr>
        <w:pStyle w:val="Prrafodelista"/>
        <w:numPr>
          <w:ilvl w:val="1"/>
          <w:numId w:val="12"/>
        </w:numPr>
        <w:tabs>
          <w:tab w:val="left" w:pos="1843"/>
        </w:tabs>
        <w:rPr>
          <w:rFonts w:ascii="Times New Roman" w:hAnsi="Times New Roman" w:cs="Times New Roman"/>
          <w:b/>
          <w:vanish/>
          <w:sz w:val="24"/>
        </w:rPr>
      </w:pPr>
    </w:p>
    <w:p w14:paraId="49EE6709" w14:textId="77777777" w:rsidR="003B7371" w:rsidRPr="004133EB" w:rsidRDefault="003B7371" w:rsidP="001032E7">
      <w:pPr>
        <w:pStyle w:val="Prrafodelista"/>
        <w:numPr>
          <w:ilvl w:val="1"/>
          <w:numId w:val="12"/>
        </w:numPr>
        <w:tabs>
          <w:tab w:val="left" w:pos="1843"/>
        </w:tabs>
        <w:rPr>
          <w:rFonts w:ascii="Times New Roman" w:hAnsi="Times New Roman" w:cs="Times New Roman"/>
          <w:b/>
          <w:vanish/>
          <w:sz w:val="24"/>
        </w:rPr>
      </w:pPr>
    </w:p>
    <w:p w14:paraId="59F3927E" w14:textId="77777777" w:rsidR="003B7371" w:rsidRPr="004133EB" w:rsidRDefault="003B7371" w:rsidP="001032E7">
      <w:pPr>
        <w:pStyle w:val="Prrafodelista"/>
        <w:numPr>
          <w:ilvl w:val="1"/>
          <w:numId w:val="12"/>
        </w:numPr>
        <w:tabs>
          <w:tab w:val="left" w:pos="1843"/>
        </w:tabs>
        <w:rPr>
          <w:rFonts w:ascii="Times New Roman" w:hAnsi="Times New Roman" w:cs="Times New Roman"/>
          <w:b/>
          <w:vanish/>
          <w:sz w:val="24"/>
        </w:rPr>
      </w:pPr>
    </w:p>
    <w:p w14:paraId="7047DDE3" w14:textId="77777777" w:rsidR="003B7371" w:rsidRPr="004133EB" w:rsidRDefault="003B7371" w:rsidP="001032E7">
      <w:pPr>
        <w:pStyle w:val="Prrafodelista"/>
        <w:numPr>
          <w:ilvl w:val="2"/>
          <w:numId w:val="12"/>
        </w:numPr>
        <w:tabs>
          <w:tab w:val="left" w:pos="1843"/>
        </w:tabs>
        <w:rPr>
          <w:rFonts w:ascii="Times New Roman" w:hAnsi="Times New Roman" w:cs="Times New Roman"/>
          <w:b/>
          <w:vanish/>
          <w:sz w:val="24"/>
        </w:rPr>
      </w:pPr>
    </w:p>
    <w:p w14:paraId="10183FCF" w14:textId="77777777" w:rsidR="003B7371" w:rsidRPr="004133EB" w:rsidRDefault="003B7371" w:rsidP="001032E7">
      <w:pPr>
        <w:pStyle w:val="Prrafodelista"/>
        <w:numPr>
          <w:ilvl w:val="2"/>
          <w:numId w:val="12"/>
        </w:numPr>
        <w:tabs>
          <w:tab w:val="left" w:pos="1843"/>
        </w:tabs>
        <w:rPr>
          <w:rFonts w:ascii="Times New Roman" w:hAnsi="Times New Roman" w:cs="Times New Roman"/>
          <w:b/>
          <w:vanish/>
          <w:sz w:val="24"/>
        </w:rPr>
      </w:pPr>
    </w:p>
    <w:p w14:paraId="0D54A2DF" w14:textId="64BDAC92" w:rsidR="0067682D" w:rsidRDefault="0067682D" w:rsidP="00FF5433">
      <w:pPr>
        <w:tabs>
          <w:tab w:val="left" w:pos="1985"/>
        </w:tabs>
        <w:spacing w:after="0"/>
        <w:rPr>
          <w:rFonts w:ascii="Times New Roman" w:hAnsi="Times New Roman" w:cs="Times New Roman"/>
          <w:b/>
          <w:sz w:val="24"/>
        </w:rPr>
      </w:pPr>
    </w:p>
    <w:p w14:paraId="5B9250E0" w14:textId="77777777" w:rsidR="00B011BF" w:rsidRDefault="00B011BF" w:rsidP="00FF5433">
      <w:pPr>
        <w:tabs>
          <w:tab w:val="left" w:pos="1985"/>
        </w:tabs>
        <w:spacing w:after="0"/>
        <w:rPr>
          <w:rFonts w:ascii="Times New Roman" w:hAnsi="Times New Roman" w:cs="Times New Roman"/>
          <w:b/>
          <w:sz w:val="24"/>
        </w:rPr>
      </w:pPr>
    </w:p>
    <w:p w14:paraId="02F9011C" w14:textId="77777777" w:rsidR="00E1608F" w:rsidRPr="00F02F5F" w:rsidRDefault="00BE2339" w:rsidP="001032E7">
      <w:pPr>
        <w:pStyle w:val="Sinespaciado"/>
        <w:numPr>
          <w:ilvl w:val="2"/>
          <w:numId w:val="38"/>
        </w:numPr>
        <w:outlineLvl w:val="2"/>
        <w:rPr>
          <w:rFonts w:ascii="Times New Roman" w:hAnsi="Times New Roman" w:cs="Times New Roman"/>
          <w:b/>
          <w:sz w:val="24"/>
        </w:rPr>
      </w:pPr>
      <w:bookmarkStart w:id="1723" w:name="_Toc81571916"/>
      <w:r w:rsidRPr="00F02F5F">
        <w:rPr>
          <w:rFonts w:ascii="Times New Roman" w:hAnsi="Times New Roman" w:cs="Times New Roman"/>
          <w:b/>
          <w:sz w:val="24"/>
        </w:rPr>
        <w:t xml:space="preserve">Orientaciones </w:t>
      </w:r>
      <w:r w:rsidR="00F738F6" w:rsidRPr="00F02F5F">
        <w:rPr>
          <w:rFonts w:ascii="Times New Roman" w:hAnsi="Times New Roman" w:cs="Times New Roman"/>
          <w:b/>
          <w:sz w:val="24"/>
        </w:rPr>
        <w:t>del g</w:t>
      </w:r>
      <w:r w:rsidR="000865B9" w:rsidRPr="00F02F5F">
        <w:rPr>
          <w:rFonts w:ascii="Times New Roman" w:hAnsi="Times New Roman" w:cs="Times New Roman"/>
          <w:b/>
          <w:sz w:val="24"/>
        </w:rPr>
        <w:t>asto</w:t>
      </w:r>
      <w:r w:rsidR="00F738F6" w:rsidRPr="00F02F5F">
        <w:rPr>
          <w:rFonts w:ascii="Times New Roman" w:hAnsi="Times New Roman" w:cs="Times New Roman"/>
          <w:b/>
          <w:sz w:val="24"/>
        </w:rPr>
        <w:t xml:space="preserve"> p</w:t>
      </w:r>
      <w:r w:rsidRPr="00F02F5F">
        <w:rPr>
          <w:rFonts w:ascii="Times New Roman" w:hAnsi="Times New Roman" w:cs="Times New Roman"/>
          <w:b/>
          <w:sz w:val="24"/>
        </w:rPr>
        <w:t>úblico</w:t>
      </w:r>
      <w:bookmarkEnd w:id="1723"/>
    </w:p>
    <w:p w14:paraId="25AC3636" w14:textId="77777777" w:rsidR="00224239" w:rsidRPr="00896CA0" w:rsidRDefault="00224239" w:rsidP="00224239">
      <w:pPr>
        <w:spacing w:after="0"/>
        <w:rPr>
          <w:rFonts w:ascii="Times New Roman" w:hAnsi="Times New Roman" w:cs="Times New Roman"/>
        </w:rPr>
      </w:pPr>
    </w:p>
    <w:p w14:paraId="5AA88172" w14:textId="77777777" w:rsidR="00BE2339" w:rsidRPr="004133EB" w:rsidRDefault="002C33F4" w:rsidP="000865B9">
      <w:pPr>
        <w:spacing w:after="0" w:line="240" w:lineRule="auto"/>
        <w:jc w:val="both"/>
        <w:rPr>
          <w:rFonts w:ascii="Times New Roman" w:hAnsi="Times New Roman" w:cs="Times New Roman"/>
        </w:rPr>
      </w:pPr>
      <w:r w:rsidRPr="004133EB">
        <w:rPr>
          <w:rFonts w:ascii="Times New Roman" w:hAnsi="Times New Roman" w:cs="Times New Roman"/>
        </w:rPr>
        <w:t>E</w:t>
      </w:r>
      <w:r w:rsidR="00EF1883" w:rsidRPr="004133EB">
        <w:rPr>
          <w:rFonts w:ascii="Times New Roman" w:hAnsi="Times New Roman" w:cs="Times New Roman"/>
        </w:rPr>
        <w:t xml:space="preserve">l Organismo Ejecutivo, a través del Ministerio de Finanzas Públicas, ha </w:t>
      </w:r>
      <w:r w:rsidR="009260B4" w:rsidRPr="004133EB">
        <w:rPr>
          <w:rFonts w:ascii="Times New Roman" w:hAnsi="Times New Roman" w:cs="Times New Roman"/>
        </w:rPr>
        <w:t>realizado las acciones que</w:t>
      </w:r>
      <w:r w:rsidR="00216F77" w:rsidRPr="004133EB">
        <w:rPr>
          <w:rFonts w:ascii="Times New Roman" w:hAnsi="Times New Roman" w:cs="Times New Roman"/>
        </w:rPr>
        <w:t xml:space="preserve"> </w:t>
      </w:r>
      <w:r w:rsidR="009260B4" w:rsidRPr="004133EB">
        <w:rPr>
          <w:rFonts w:ascii="Times New Roman" w:hAnsi="Times New Roman" w:cs="Times New Roman"/>
        </w:rPr>
        <w:t xml:space="preserve">permiten construir </w:t>
      </w:r>
      <w:r w:rsidR="00EF1883" w:rsidRPr="004133EB">
        <w:rPr>
          <w:rFonts w:ascii="Times New Roman" w:hAnsi="Times New Roman" w:cs="Times New Roman"/>
        </w:rPr>
        <w:t xml:space="preserve">el presupuesto, </w:t>
      </w:r>
      <w:r w:rsidR="009260B4" w:rsidRPr="004133EB">
        <w:rPr>
          <w:rFonts w:ascii="Times New Roman" w:hAnsi="Times New Roman" w:cs="Times New Roman"/>
        </w:rPr>
        <w:t xml:space="preserve">mediante la </w:t>
      </w:r>
      <w:r w:rsidR="00EF1883" w:rsidRPr="004133EB">
        <w:rPr>
          <w:rFonts w:ascii="Times New Roman" w:hAnsi="Times New Roman" w:cs="Times New Roman"/>
        </w:rPr>
        <w:t>presenta</w:t>
      </w:r>
      <w:r w:rsidR="009260B4" w:rsidRPr="004133EB">
        <w:rPr>
          <w:rFonts w:ascii="Times New Roman" w:hAnsi="Times New Roman" w:cs="Times New Roman"/>
        </w:rPr>
        <w:t>ción</w:t>
      </w:r>
      <w:r w:rsidR="00EF1883" w:rsidRPr="004133EB">
        <w:rPr>
          <w:rFonts w:ascii="Times New Roman" w:hAnsi="Times New Roman" w:cs="Times New Roman"/>
        </w:rPr>
        <w:t xml:space="preserve"> y </w:t>
      </w:r>
      <w:r w:rsidR="00216F77" w:rsidRPr="004133EB">
        <w:rPr>
          <w:rFonts w:ascii="Times New Roman" w:hAnsi="Times New Roman" w:cs="Times New Roman"/>
        </w:rPr>
        <w:t>discusión</w:t>
      </w:r>
      <w:r w:rsidR="00EF1883" w:rsidRPr="004133EB">
        <w:rPr>
          <w:rFonts w:ascii="Times New Roman" w:hAnsi="Times New Roman" w:cs="Times New Roman"/>
        </w:rPr>
        <w:t xml:space="preserve"> en espacios abiertos sobre los requerimientos de los Ministerios; Secretarías; y, algunas Entidades de otros niveles de Gobierno; además, se ha reforzado la programación multianual, dando mayor énfasis a la importancia de contar con líneas de acción de corto y mediano plazo, razón por la cual el proceso de formulación se </w:t>
      </w:r>
      <w:r w:rsidR="00216F77" w:rsidRPr="004133EB">
        <w:rPr>
          <w:rFonts w:ascii="Times New Roman" w:hAnsi="Times New Roman" w:cs="Times New Roman"/>
        </w:rPr>
        <w:t>realiza</w:t>
      </w:r>
      <w:r w:rsidR="009260B4" w:rsidRPr="004133EB">
        <w:rPr>
          <w:rFonts w:ascii="Times New Roman" w:hAnsi="Times New Roman" w:cs="Times New Roman"/>
        </w:rPr>
        <w:t xml:space="preserve"> </w:t>
      </w:r>
      <w:r w:rsidR="00EF1883" w:rsidRPr="004133EB">
        <w:rPr>
          <w:rFonts w:ascii="Times New Roman" w:hAnsi="Times New Roman" w:cs="Times New Roman"/>
        </w:rPr>
        <w:t>con una base de estimación que abarc</w:t>
      </w:r>
      <w:r w:rsidR="005D5AE1">
        <w:rPr>
          <w:rFonts w:ascii="Times New Roman" w:hAnsi="Times New Roman" w:cs="Times New Roman"/>
        </w:rPr>
        <w:t>a</w:t>
      </w:r>
      <w:r w:rsidR="00EF1883" w:rsidRPr="004133EB">
        <w:rPr>
          <w:rFonts w:ascii="Times New Roman" w:hAnsi="Times New Roman" w:cs="Times New Roman"/>
        </w:rPr>
        <w:t xml:space="preserve"> un período de 5 años.</w:t>
      </w:r>
    </w:p>
    <w:p w14:paraId="0D7ADC5E" w14:textId="77777777" w:rsidR="000865B9" w:rsidRPr="004133EB" w:rsidRDefault="000865B9" w:rsidP="000865B9">
      <w:pPr>
        <w:spacing w:after="0" w:line="240" w:lineRule="auto"/>
        <w:jc w:val="both"/>
        <w:rPr>
          <w:rFonts w:ascii="Times New Roman" w:hAnsi="Times New Roman" w:cs="Times New Roman"/>
        </w:rPr>
      </w:pPr>
    </w:p>
    <w:p w14:paraId="3D64AF7B" w14:textId="77777777" w:rsidR="00216F77" w:rsidRPr="004133EB" w:rsidRDefault="009260B4" w:rsidP="000865B9">
      <w:pPr>
        <w:spacing w:after="0" w:line="240" w:lineRule="auto"/>
        <w:jc w:val="both"/>
        <w:rPr>
          <w:rFonts w:ascii="Times New Roman" w:hAnsi="Times New Roman" w:cs="Times New Roman"/>
        </w:rPr>
      </w:pPr>
      <w:r w:rsidRPr="004133EB">
        <w:rPr>
          <w:rFonts w:ascii="Times New Roman" w:hAnsi="Times New Roman" w:cs="Times New Roman"/>
        </w:rPr>
        <w:t>Dentro del proceso de planificación se definieron prioridades nacionales, las cuales se constituyen como la estructura estratégica que permite establecer el destino de la</w:t>
      </w:r>
      <w:r w:rsidR="00216F77" w:rsidRPr="004133EB">
        <w:rPr>
          <w:rFonts w:ascii="Times New Roman" w:hAnsi="Times New Roman" w:cs="Times New Roman"/>
        </w:rPr>
        <w:t xml:space="preserve">s asignaciones contenidas en la presupuestación multianual </w:t>
      </w:r>
      <w:r w:rsidR="00216F77" w:rsidRPr="005D5AE1">
        <w:rPr>
          <w:rFonts w:ascii="Times New Roman" w:hAnsi="Times New Roman" w:cs="Times New Roman"/>
        </w:rPr>
        <w:t>202</w:t>
      </w:r>
      <w:r w:rsidR="005D5AE1">
        <w:rPr>
          <w:rFonts w:ascii="Times New Roman" w:hAnsi="Times New Roman" w:cs="Times New Roman"/>
        </w:rPr>
        <w:t>2</w:t>
      </w:r>
      <w:r w:rsidRPr="005D5AE1">
        <w:rPr>
          <w:rFonts w:ascii="Times New Roman" w:hAnsi="Times New Roman" w:cs="Times New Roman"/>
        </w:rPr>
        <w:t>-202</w:t>
      </w:r>
      <w:r w:rsidR="005D5AE1">
        <w:rPr>
          <w:rFonts w:ascii="Times New Roman" w:hAnsi="Times New Roman" w:cs="Times New Roman"/>
        </w:rPr>
        <w:t>6</w:t>
      </w:r>
      <w:r w:rsidRPr="005D5AE1">
        <w:rPr>
          <w:rFonts w:ascii="Times New Roman" w:hAnsi="Times New Roman" w:cs="Times New Roman"/>
        </w:rPr>
        <w:t>.</w:t>
      </w:r>
      <w:r w:rsidRPr="004133EB">
        <w:rPr>
          <w:rFonts w:ascii="Times New Roman" w:hAnsi="Times New Roman" w:cs="Times New Roman"/>
        </w:rPr>
        <w:t xml:space="preserve"> El establec</w:t>
      </w:r>
      <w:r w:rsidR="00216F77" w:rsidRPr="004133EB">
        <w:rPr>
          <w:rFonts w:ascii="Times New Roman" w:hAnsi="Times New Roman" w:cs="Times New Roman"/>
        </w:rPr>
        <w:t xml:space="preserve">imiento de dichas prioridades </w:t>
      </w:r>
      <w:r w:rsidRPr="004133EB">
        <w:rPr>
          <w:rFonts w:ascii="Times New Roman" w:hAnsi="Times New Roman" w:cs="Times New Roman"/>
        </w:rPr>
        <w:t>encuentra</w:t>
      </w:r>
      <w:r w:rsidR="00216F77" w:rsidRPr="004133EB">
        <w:rPr>
          <w:rFonts w:ascii="Times New Roman" w:hAnsi="Times New Roman" w:cs="Times New Roman"/>
        </w:rPr>
        <w:t xml:space="preserve"> </w:t>
      </w:r>
      <w:r w:rsidR="000865B9" w:rsidRPr="004133EB">
        <w:rPr>
          <w:rFonts w:ascii="Times New Roman" w:hAnsi="Times New Roman" w:cs="Times New Roman"/>
        </w:rPr>
        <w:t>su fundamento</w:t>
      </w:r>
      <w:r w:rsidRPr="004133EB">
        <w:rPr>
          <w:rFonts w:ascii="Times New Roman" w:hAnsi="Times New Roman" w:cs="Times New Roman"/>
        </w:rPr>
        <w:t xml:space="preserve"> en el Plan Nacional de Desarrollo K’atun, Nuestra Guatemala 2032; así como en los Objetivos de Desarrollo Sostenible que Guatemala adoptó</w:t>
      </w:r>
      <w:r w:rsidR="00216F77" w:rsidRPr="004133EB">
        <w:rPr>
          <w:rFonts w:ascii="Times New Roman" w:hAnsi="Times New Roman" w:cs="Times New Roman"/>
        </w:rPr>
        <w:t xml:space="preserve"> ante la Organización de Naciones Unidas -ONU-. </w:t>
      </w:r>
      <w:r w:rsidRPr="004133EB">
        <w:rPr>
          <w:rFonts w:ascii="Times New Roman" w:hAnsi="Times New Roman" w:cs="Times New Roman"/>
        </w:rPr>
        <w:t xml:space="preserve">Con relación al Plan Nacional de Desarrollo K’atun, Nuestra Guatemala 2032, este se ha constituido en la hoja de ruta que guía y orienta fundamentalmente, el proceso de transformaciones estructurales, necesarias para cerrar las brechas de desigualdad e inequidad latentes en Guatemala. En este sentido, el Plan establece prioridades nacionales, las cuales han dotado al Sector Público, de una visión de mediano y largo plazo, dirigida hacia el desarrollo de la planificación a nivel territorial, sectorial e institucional. </w:t>
      </w:r>
    </w:p>
    <w:p w14:paraId="5AACD766" w14:textId="77777777" w:rsidR="000865B9" w:rsidRPr="004133EB" w:rsidRDefault="000865B9" w:rsidP="000865B9">
      <w:pPr>
        <w:spacing w:after="0" w:line="240" w:lineRule="auto"/>
        <w:jc w:val="both"/>
        <w:rPr>
          <w:rFonts w:ascii="Times New Roman" w:hAnsi="Times New Roman" w:cs="Times New Roman"/>
        </w:rPr>
      </w:pPr>
    </w:p>
    <w:p w14:paraId="33D05C77" w14:textId="77777777" w:rsidR="001D5E8D" w:rsidRPr="004133EB" w:rsidRDefault="009260B4" w:rsidP="000865B9">
      <w:pPr>
        <w:spacing w:after="0" w:line="240" w:lineRule="auto"/>
        <w:jc w:val="both"/>
        <w:rPr>
          <w:rFonts w:ascii="Times New Roman" w:hAnsi="Times New Roman" w:cs="Times New Roman"/>
        </w:rPr>
      </w:pPr>
      <w:r w:rsidRPr="004133EB">
        <w:rPr>
          <w:rFonts w:ascii="Times New Roman" w:hAnsi="Times New Roman" w:cs="Times New Roman"/>
        </w:rPr>
        <w:t>Respecto a los ODS, por considerarse una segunda etapa de la estrategia de desarrollo planteada por la ONU, tienen como objetivo concluir las tareas iniciadas con la implementación de los Objetivos de Desarrollo del Milenio (ODM). Bajo este contexto, es oportuno manifestar que tanto el Plan Nacional de Desarrollo como los ODS se encuentran articulados de tal forma que en conjunto han sido de vital importancia en el proceso de establecer ejes estratégicos de desarrollo.</w:t>
      </w:r>
      <w:r w:rsidR="00AA1E78" w:rsidRPr="004133EB">
        <w:rPr>
          <w:rFonts w:ascii="Times New Roman" w:hAnsi="Times New Roman" w:cs="Times New Roman"/>
        </w:rPr>
        <w:t xml:space="preserve"> </w:t>
      </w:r>
    </w:p>
    <w:p w14:paraId="5B781719" w14:textId="77777777" w:rsidR="009260B4" w:rsidRPr="004133EB" w:rsidRDefault="00AA1E78" w:rsidP="000865B9">
      <w:pPr>
        <w:spacing w:after="0" w:line="240" w:lineRule="auto"/>
        <w:jc w:val="both"/>
        <w:rPr>
          <w:rFonts w:ascii="Times New Roman" w:hAnsi="Times New Roman" w:cs="Times New Roman"/>
        </w:rPr>
      </w:pPr>
      <w:r w:rsidRPr="004133EB">
        <w:rPr>
          <w:rFonts w:ascii="Times New Roman" w:hAnsi="Times New Roman" w:cs="Times New Roman"/>
        </w:rPr>
        <w:t xml:space="preserve"> </w:t>
      </w:r>
    </w:p>
    <w:p w14:paraId="291AFA11" w14:textId="77777777" w:rsidR="00BE2339" w:rsidRPr="004133EB" w:rsidRDefault="005D5AE1" w:rsidP="000865B9">
      <w:pPr>
        <w:spacing w:after="0" w:line="240" w:lineRule="auto"/>
        <w:jc w:val="both"/>
        <w:rPr>
          <w:rFonts w:ascii="Times New Roman" w:hAnsi="Times New Roman" w:cs="Times New Roman"/>
        </w:rPr>
      </w:pPr>
      <w:r>
        <w:rPr>
          <w:rFonts w:ascii="Times New Roman" w:hAnsi="Times New Roman" w:cs="Times New Roman"/>
        </w:rPr>
        <w:t>Por lo anterior, se estableció</w:t>
      </w:r>
      <w:r w:rsidR="00AA1E78" w:rsidRPr="004133EB">
        <w:rPr>
          <w:rFonts w:ascii="Times New Roman" w:hAnsi="Times New Roman" w:cs="Times New Roman"/>
        </w:rPr>
        <w:t xml:space="preserve"> un plan denominado “Ruta País”, el cual consiste en la identificación de ejes de enfoque presupuestario, los cuales se definieron tras la aplicación de una serie de herramientas metodológicas y técnicas, que permiten segmentar, tanto las instituciones, como sus intervenciones, cuyo objetivo consiste en la elaboración de un plan de trabajo de cinco años, en los cuales se busca incrementar el apoyo hacia los programas que atienden las necesidades prioritarias de la población y el incremento en la inversión pública, a través de la optimización del gasto público y el manejo prudente de la deuda pública.</w:t>
      </w:r>
    </w:p>
    <w:p w14:paraId="0AF82BCE" w14:textId="77777777" w:rsidR="000865B9" w:rsidRPr="004133EB" w:rsidRDefault="000865B9" w:rsidP="000865B9">
      <w:pPr>
        <w:spacing w:after="0" w:line="240" w:lineRule="auto"/>
        <w:jc w:val="both"/>
        <w:rPr>
          <w:rFonts w:ascii="Times New Roman" w:hAnsi="Times New Roman" w:cs="Times New Roman"/>
        </w:rPr>
      </w:pPr>
    </w:p>
    <w:p w14:paraId="6DB53834" w14:textId="77777777" w:rsidR="00AA1E78" w:rsidRPr="004133EB" w:rsidRDefault="00AA1E78" w:rsidP="000865B9">
      <w:pPr>
        <w:spacing w:after="0" w:line="240" w:lineRule="auto"/>
        <w:jc w:val="both"/>
        <w:rPr>
          <w:rFonts w:ascii="Times New Roman" w:hAnsi="Times New Roman" w:cs="Times New Roman"/>
        </w:rPr>
      </w:pPr>
      <w:r w:rsidRPr="004133EB">
        <w:rPr>
          <w:rFonts w:ascii="Times New Roman" w:hAnsi="Times New Roman" w:cs="Times New Roman"/>
        </w:rPr>
        <w:t>Como resultado de integrar los referidos lineamientos, la Secretaría de Planificación y Programación de la Presidencia (Segeplan) ha realizado esfuerzos para lograr la articulación entre las políticas públicas nacionales y la Agenda de Desarrollo Sostenible. De tal cuenta, se emitió el Punto Resolutivo Número 03-2018 del Consejo Nacional de Desarrollo Urbano y Rural (Conadur), en donde se aprobó la estrategia de las prioridades nacionales de desarrollo y sus metas. Dentro del referido documento se definieron 10 prioridades nacionales y 16 metas estratégicas, las cuales tienen como finalidad su incorporación dentro de la planificación estratégica y operativa, de las distintas instituciones públicas.</w:t>
      </w:r>
    </w:p>
    <w:p w14:paraId="5C3A0FD6" w14:textId="77777777" w:rsidR="000865B9" w:rsidRPr="004133EB" w:rsidRDefault="000865B9" w:rsidP="000865B9">
      <w:pPr>
        <w:spacing w:after="0" w:line="240" w:lineRule="auto"/>
        <w:jc w:val="both"/>
        <w:rPr>
          <w:rFonts w:ascii="Times New Roman" w:hAnsi="Times New Roman" w:cs="Times New Roman"/>
        </w:rPr>
      </w:pPr>
    </w:p>
    <w:p w14:paraId="3A7E62C7" w14:textId="77777777" w:rsidR="00C74DE8" w:rsidRDefault="00C74DE8" w:rsidP="000865B9">
      <w:pPr>
        <w:spacing w:after="0" w:line="240" w:lineRule="auto"/>
        <w:jc w:val="both"/>
        <w:rPr>
          <w:rFonts w:ascii="Times New Roman" w:hAnsi="Times New Roman" w:cs="Times New Roman"/>
        </w:rPr>
      </w:pPr>
      <w:r w:rsidRPr="004133EB">
        <w:rPr>
          <w:rFonts w:ascii="Times New Roman" w:hAnsi="Times New Roman" w:cs="Times New Roman"/>
        </w:rPr>
        <w:t>Las 10 prioridades nacionales de desarrollo, basadas en los ODS se enumeran a continuación:</w:t>
      </w:r>
    </w:p>
    <w:p w14:paraId="1DA04490" w14:textId="77777777" w:rsidR="00896CA0" w:rsidRPr="004133EB" w:rsidRDefault="00896CA0" w:rsidP="000865B9">
      <w:pPr>
        <w:spacing w:after="0" w:line="240" w:lineRule="auto"/>
        <w:jc w:val="both"/>
        <w:rPr>
          <w:rFonts w:ascii="Times New Roman" w:hAnsi="Times New Roman" w:cs="Times New Roman"/>
        </w:rPr>
      </w:pPr>
    </w:p>
    <w:p w14:paraId="2872FABE" w14:textId="77777777" w:rsidR="00C74DE8" w:rsidRPr="004133EB" w:rsidRDefault="00BC763E" w:rsidP="001032E7">
      <w:pPr>
        <w:pStyle w:val="Prrafodelista"/>
        <w:numPr>
          <w:ilvl w:val="0"/>
          <w:numId w:val="4"/>
        </w:numPr>
        <w:spacing w:after="0" w:line="240" w:lineRule="auto"/>
        <w:jc w:val="both"/>
        <w:rPr>
          <w:rFonts w:ascii="Times New Roman" w:hAnsi="Times New Roman" w:cs="Times New Roman"/>
        </w:rPr>
      </w:pPr>
      <w:r w:rsidRPr="004133EB">
        <w:rPr>
          <w:rFonts w:ascii="Times New Roman" w:hAnsi="Times New Roman" w:cs="Times New Roman"/>
        </w:rPr>
        <w:t>Reducción de la Pobreza y Protección Social</w:t>
      </w:r>
    </w:p>
    <w:p w14:paraId="5E0A07DD" w14:textId="77777777" w:rsidR="00BC763E" w:rsidRPr="004133EB" w:rsidRDefault="00BC763E" w:rsidP="001032E7">
      <w:pPr>
        <w:pStyle w:val="Prrafodelista"/>
        <w:numPr>
          <w:ilvl w:val="0"/>
          <w:numId w:val="4"/>
        </w:numPr>
        <w:spacing w:after="0" w:line="240" w:lineRule="auto"/>
        <w:jc w:val="both"/>
        <w:rPr>
          <w:rFonts w:ascii="Times New Roman" w:hAnsi="Times New Roman" w:cs="Times New Roman"/>
        </w:rPr>
      </w:pPr>
      <w:r w:rsidRPr="004133EB">
        <w:rPr>
          <w:rFonts w:ascii="Times New Roman" w:hAnsi="Times New Roman" w:cs="Times New Roman"/>
        </w:rPr>
        <w:t>Acceso a Servicios de Salud</w:t>
      </w:r>
    </w:p>
    <w:p w14:paraId="41DC9602" w14:textId="77777777" w:rsidR="00BC763E" w:rsidRPr="004133EB" w:rsidRDefault="00BC763E" w:rsidP="001032E7">
      <w:pPr>
        <w:pStyle w:val="Prrafodelista"/>
        <w:numPr>
          <w:ilvl w:val="0"/>
          <w:numId w:val="4"/>
        </w:numPr>
        <w:spacing w:after="0" w:line="240" w:lineRule="auto"/>
        <w:jc w:val="both"/>
        <w:rPr>
          <w:rFonts w:ascii="Times New Roman" w:hAnsi="Times New Roman" w:cs="Times New Roman"/>
        </w:rPr>
      </w:pPr>
      <w:r w:rsidRPr="004133EB">
        <w:rPr>
          <w:rFonts w:ascii="Times New Roman" w:hAnsi="Times New Roman" w:cs="Times New Roman"/>
        </w:rPr>
        <w:t>Empleo e Inversión</w:t>
      </w:r>
    </w:p>
    <w:p w14:paraId="467393B5" w14:textId="77777777" w:rsidR="00BC763E" w:rsidRPr="004133EB" w:rsidRDefault="00BC763E" w:rsidP="001032E7">
      <w:pPr>
        <w:pStyle w:val="Prrafodelista"/>
        <w:numPr>
          <w:ilvl w:val="0"/>
          <w:numId w:val="4"/>
        </w:numPr>
        <w:spacing w:after="0" w:line="240" w:lineRule="auto"/>
        <w:jc w:val="both"/>
        <w:rPr>
          <w:rFonts w:ascii="Times New Roman" w:hAnsi="Times New Roman" w:cs="Times New Roman"/>
        </w:rPr>
      </w:pPr>
      <w:r w:rsidRPr="004133EB">
        <w:rPr>
          <w:rFonts w:ascii="Times New Roman" w:hAnsi="Times New Roman" w:cs="Times New Roman"/>
        </w:rPr>
        <w:t>Acceso al Agua y Gestión de los Recursos Naturales</w:t>
      </w:r>
    </w:p>
    <w:p w14:paraId="5AF65D72" w14:textId="77777777" w:rsidR="00BC763E" w:rsidRPr="004133EB" w:rsidRDefault="00BC763E" w:rsidP="001032E7">
      <w:pPr>
        <w:pStyle w:val="Prrafodelista"/>
        <w:numPr>
          <w:ilvl w:val="0"/>
          <w:numId w:val="4"/>
        </w:numPr>
        <w:spacing w:after="0" w:line="240" w:lineRule="auto"/>
        <w:jc w:val="both"/>
        <w:rPr>
          <w:rFonts w:ascii="Times New Roman" w:hAnsi="Times New Roman" w:cs="Times New Roman"/>
        </w:rPr>
      </w:pPr>
      <w:r w:rsidRPr="004133EB">
        <w:rPr>
          <w:rFonts w:ascii="Times New Roman" w:hAnsi="Times New Roman" w:cs="Times New Roman"/>
        </w:rPr>
        <w:t>Educación</w:t>
      </w:r>
    </w:p>
    <w:p w14:paraId="386BBE53" w14:textId="77777777" w:rsidR="00BC763E" w:rsidRPr="004133EB" w:rsidRDefault="00BC763E" w:rsidP="001032E7">
      <w:pPr>
        <w:pStyle w:val="Prrafodelista"/>
        <w:numPr>
          <w:ilvl w:val="0"/>
          <w:numId w:val="4"/>
        </w:numPr>
        <w:spacing w:after="0" w:line="240" w:lineRule="auto"/>
        <w:jc w:val="both"/>
        <w:rPr>
          <w:rFonts w:ascii="Times New Roman" w:hAnsi="Times New Roman" w:cs="Times New Roman"/>
        </w:rPr>
      </w:pPr>
      <w:r w:rsidRPr="004133EB">
        <w:rPr>
          <w:rFonts w:ascii="Times New Roman" w:hAnsi="Times New Roman" w:cs="Times New Roman"/>
        </w:rPr>
        <w:t>Reforma Fiscal Integral</w:t>
      </w:r>
    </w:p>
    <w:p w14:paraId="18713CD0" w14:textId="77777777" w:rsidR="00BC763E" w:rsidRPr="004133EB" w:rsidRDefault="00BC763E" w:rsidP="001032E7">
      <w:pPr>
        <w:pStyle w:val="Prrafodelista"/>
        <w:numPr>
          <w:ilvl w:val="0"/>
          <w:numId w:val="4"/>
        </w:numPr>
        <w:spacing w:after="0" w:line="240" w:lineRule="auto"/>
        <w:jc w:val="both"/>
        <w:rPr>
          <w:rFonts w:ascii="Times New Roman" w:hAnsi="Times New Roman" w:cs="Times New Roman"/>
        </w:rPr>
      </w:pPr>
      <w:r w:rsidRPr="004133EB">
        <w:rPr>
          <w:rFonts w:ascii="Times New Roman" w:hAnsi="Times New Roman" w:cs="Times New Roman"/>
        </w:rPr>
        <w:t>Ordenamiento Territorial</w:t>
      </w:r>
    </w:p>
    <w:p w14:paraId="4B36B60D" w14:textId="77777777" w:rsidR="00BC763E" w:rsidRPr="004133EB" w:rsidRDefault="00BC763E" w:rsidP="001032E7">
      <w:pPr>
        <w:pStyle w:val="Prrafodelista"/>
        <w:numPr>
          <w:ilvl w:val="0"/>
          <w:numId w:val="4"/>
        </w:numPr>
        <w:spacing w:after="0" w:line="240" w:lineRule="auto"/>
        <w:jc w:val="both"/>
        <w:rPr>
          <w:rFonts w:ascii="Times New Roman" w:hAnsi="Times New Roman" w:cs="Times New Roman"/>
        </w:rPr>
      </w:pPr>
      <w:r w:rsidRPr="004133EB">
        <w:rPr>
          <w:rFonts w:ascii="Times New Roman" w:hAnsi="Times New Roman" w:cs="Times New Roman"/>
        </w:rPr>
        <w:t>Fortalecimiento Institucional, Seguridad y Justicia</w:t>
      </w:r>
    </w:p>
    <w:p w14:paraId="0CF2FD4C" w14:textId="77777777" w:rsidR="00BC763E" w:rsidRPr="004133EB" w:rsidRDefault="00BC763E" w:rsidP="001032E7">
      <w:pPr>
        <w:pStyle w:val="Prrafodelista"/>
        <w:numPr>
          <w:ilvl w:val="0"/>
          <w:numId w:val="4"/>
        </w:numPr>
        <w:spacing w:after="0" w:line="240" w:lineRule="auto"/>
        <w:jc w:val="both"/>
        <w:rPr>
          <w:rFonts w:ascii="Times New Roman" w:hAnsi="Times New Roman" w:cs="Times New Roman"/>
        </w:rPr>
      </w:pPr>
      <w:r w:rsidRPr="004133EB">
        <w:rPr>
          <w:rFonts w:ascii="Times New Roman" w:hAnsi="Times New Roman" w:cs="Times New Roman"/>
        </w:rPr>
        <w:t>Seguridad Alimentaria y Nutricional</w:t>
      </w:r>
    </w:p>
    <w:p w14:paraId="60EC07A7" w14:textId="77777777" w:rsidR="00BC763E" w:rsidRPr="004133EB" w:rsidRDefault="00BC763E" w:rsidP="001032E7">
      <w:pPr>
        <w:pStyle w:val="Prrafodelista"/>
        <w:numPr>
          <w:ilvl w:val="0"/>
          <w:numId w:val="4"/>
        </w:numPr>
        <w:spacing w:after="0" w:line="240" w:lineRule="auto"/>
        <w:jc w:val="both"/>
        <w:rPr>
          <w:rFonts w:ascii="Times New Roman" w:hAnsi="Times New Roman" w:cs="Times New Roman"/>
        </w:rPr>
      </w:pPr>
      <w:r w:rsidRPr="004133EB">
        <w:rPr>
          <w:rFonts w:ascii="Times New Roman" w:hAnsi="Times New Roman" w:cs="Times New Roman"/>
        </w:rPr>
        <w:t>Valor Económico de los Recursos Naturales</w:t>
      </w:r>
    </w:p>
    <w:p w14:paraId="59EE709A" w14:textId="77777777" w:rsidR="000865B9" w:rsidRPr="004133EB" w:rsidRDefault="000865B9" w:rsidP="000865B9">
      <w:pPr>
        <w:pStyle w:val="Prrafodelista"/>
        <w:spacing w:after="0" w:line="240" w:lineRule="auto"/>
        <w:jc w:val="both"/>
        <w:rPr>
          <w:rFonts w:ascii="Times New Roman" w:hAnsi="Times New Roman" w:cs="Times New Roman"/>
        </w:rPr>
      </w:pPr>
    </w:p>
    <w:p w14:paraId="2B62A31B" w14:textId="77777777" w:rsidR="00C74DE8" w:rsidRPr="004133EB" w:rsidRDefault="000865B9" w:rsidP="000865B9">
      <w:pPr>
        <w:spacing w:after="0" w:line="240" w:lineRule="auto"/>
        <w:jc w:val="both"/>
        <w:rPr>
          <w:rFonts w:ascii="Times New Roman" w:hAnsi="Times New Roman" w:cs="Times New Roman"/>
          <w:color w:val="000000"/>
          <w:lang w:eastAsia="es-GT"/>
        </w:rPr>
      </w:pPr>
      <w:r w:rsidRPr="004133EB">
        <w:rPr>
          <w:rFonts w:ascii="Times New Roman" w:hAnsi="Times New Roman" w:cs="Times New Roman"/>
          <w:color w:val="000000"/>
          <w:lang w:eastAsia="es-GT"/>
        </w:rPr>
        <w:t xml:space="preserve">Bajo este </w:t>
      </w:r>
      <w:r w:rsidR="002C33F4" w:rsidRPr="004133EB">
        <w:rPr>
          <w:rFonts w:ascii="Times New Roman" w:hAnsi="Times New Roman" w:cs="Times New Roman"/>
          <w:color w:val="000000"/>
          <w:lang w:eastAsia="es-GT"/>
        </w:rPr>
        <w:t>contexto, se describen a continuación los 24 Resultados Estratégicos de Desarrollo establecidos, cabe destacar que 4 de ellos quedarán fuera de la vinculación del presupuesto por no tener programas asociables;</w:t>
      </w:r>
    </w:p>
    <w:p w14:paraId="02181083" w14:textId="77777777" w:rsidR="000865B9" w:rsidRPr="004133EB" w:rsidRDefault="000865B9" w:rsidP="000865B9">
      <w:pPr>
        <w:spacing w:after="0" w:line="240" w:lineRule="auto"/>
        <w:jc w:val="both"/>
        <w:rPr>
          <w:rFonts w:ascii="Times New Roman" w:hAnsi="Times New Roman" w:cs="Times New Roman"/>
          <w:color w:val="000000"/>
          <w:sz w:val="18"/>
          <w:lang w:eastAsia="es-GT"/>
        </w:rPr>
      </w:pPr>
    </w:p>
    <w:p w14:paraId="703E32ED" w14:textId="7C4767B9" w:rsidR="005A6F4A" w:rsidRPr="003E14B7" w:rsidRDefault="0014127C" w:rsidP="0014127C">
      <w:pPr>
        <w:pStyle w:val="Epgrafe"/>
        <w:jc w:val="center"/>
        <w:rPr>
          <w:rFonts w:ascii="Times New Roman" w:hAnsi="Times New Roman" w:cs="Times New Roman"/>
          <w:b/>
          <w:bCs/>
          <w:iCs w:val="0"/>
          <w:color w:val="auto"/>
          <w:sz w:val="24"/>
          <w:szCs w:val="22"/>
        </w:rPr>
      </w:pPr>
      <w:bookmarkStart w:id="1724" w:name="_Toc16160562"/>
      <w:bookmarkStart w:id="1725" w:name="_Toc49939508"/>
      <w:bookmarkStart w:id="1726" w:name="_Toc81573040"/>
      <w:r w:rsidRPr="003E14B7">
        <w:rPr>
          <w:rFonts w:ascii="Times New Roman" w:hAnsi="Times New Roman" w:cs="Times New Roman"/>
          <w:b/>
          <w:color w:val="auto"/>
          <w:sz w:val="20"/>
        </w:rPr>
        <w:t xml:space="preserve">Tabla </w:t>
      </w:r>
      <w:r w:rsidRPr="003E14B7">
        <w:rPr>
          <w:rFonts w:ascii="Times New Roman" w:hAnsi="Times New Roman" w:cs="Times New Roman"/>
          <w:b/>
          <w:color w:val="auto"/>
          <w:sz w:val="20"/>
        </w:rPr>
        <w:fldChar w:fldCharType="begin"/>
      </w:r>
      <w:r w:rsidRPr="003E14B7">
        <w:rPr>
          <w:rFonts w:ascii="Times New Roman" w:hAnsi="Times New Roman" w:cs="Times New Roman"/>
          <w:b/>
          <w:color w:val="auto"/>
          <w:sz w:val="20"/>
        </w:rPr>
        <w:instrText xml:space="preserve"> SEQ Tabla \* ARABIC </w:instrText>
      </w:r>
      <w:r w:rsidRPr="003E14B7">
        <w:rPr>
          <w:rFonts w:ascii="Times New Roman" w:hAnsi="Times New Roman" w:cs="Times New Roman"/>
          <w:b/>
          <w:color w:val="auto"/>
          <w:sz w:val="20"/>
        </w:rPr>
        <w:fldChar w:fldCharType="separate"/>
      </w:r>
      <w:r w:rsidR="009E18F8">
        <w:rPr>
          <w:rFonts w:ascii="Times New Roman" w:hAnsi="Times New Roman" w:cs="Times New Roman"/>
          <w:b/>
          <w:noProof/>
          <w:color w:val="auto"/>
          <w:sz w:val="20"/>
        </w:rPr>
        <w:t>18</w:t>
      </w:r>
      <w:r w:rsidRPr="003E14B7">
        <w:rPr>
          <w:rFonts w:ascii="Times New Roman" w:hAnsi="Times New Roman" w:cs="Times New Roman"/>
          <w:b/>
          <w:color w:val="auto"/>
          <w:sz w:val="20"/>
        </w:rPr>
        <w:fldChar w:fldCharType="end"/>
      </w:r>
      <w:r w:rsidRPr="003E14B7">
        <w:rPr>
          <w:rFonts w:ascii="Times New Roman" w:hAnsi="Times New Roman" w:cs="Times New Roman"/>
          <w:b/>
          <w:color w:val="auto"/>
          <w:sz w:val="20"/>
        </w:rPr>
        <w:t xml:space="preserve">  </w:t>
      </w:r>
      <w:r w:rsidR="00EB5956" w:rsidRPr="003E14B7">
        <w:rPr>
          <w:rFonts w:ascii="Times New Roman" w:hAnsi="Times New Roman" w:cs="Times New Roman"/>
          <w:b/>
          <w:bCs/>
          <w:iCs w:val="0"/>
          <w:color w:val="auto"/>
          <w:sz w:val="24"/>
          <w:szCs w:val="22"/>
        </w:rPr>
        <w:t xml:space="preserve"> </w:t>
      </w:r>
      <w:r w:rsidR="005A6F4A" w:rsidRPr="003E14B7">
        <w:rPr>
          <w:rFonts w:ascii="Times New Roman" w:hAnsi="Times New Roman" w:cs="Times New Roman"/>
          <w:b/>
          <w:color w:val="auto"/>
          <w:sz w:val="24"/>
          <w:szCs w:val="22"/>
        </w:rPr>
        <w:t xml:space="preserve">Resultados </w:t>
      </w:r>
      <w:r w:rsidR="00F738F6" w:rsidRPr="003E14B7">
        <w:rPr>
          <w:rFonts w:ascii="Times New Roman" w:hAnsi="Times New Roman" w:cs="Times New Roman"/>
          <w:b/>
          <w:color w:val="auto"/>
          <w:sz w:val="24"/>
          <w:szCs w:val="22"/>
        </w:rPr>
        <w:t>E</w:t>
      </w:r>
      <w:r w:rsidR="005A6F4A" w:rsidRPr="003E14B7">
        <w:rPr>
          <w:rFonts w:ascii="Times New Roman" w:hAnsi="Times New Roman" w:cs="Times New Roman"/>
          <w:b/>
          <w:color w:val="auto"/>
          <w:sz w:val="24"/>
          <w:szCs w:val="22"/>
        </w:rPr>
        <w:t>stratégicos de Desarrollo</w:t>
      </w:r>
      <w:bookmarkEnd w:id="1724"/>
      <w:bookmarkEnd w:id="1725"/>
      <w:bookmarkEnd w:id="1726"/>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2095"/>
        <w:gridCol w:w="452"/>
        <w:gridCol w:w="1870"/>
        <w:gridCol w:w="452"/>
        <w:gridCol w:w="1620"/>
        <w:gridCol w:w="452"/>
        <w:gridCol w:w="1675"/>
      </w:tblGrid>
      <w:tr w:rsidR="005856C6" w:rsidRPr="004133EB" w14:paraId="7D96A951" w14:textId="77777777" w:rsidTr="005A6F4A">
        <w:trPr>
          <w:trHeight w:val="450"/>
        </w:trPr>
        <w:tc>
          <w:tcPr>
            <w:tcW w:w="452" w:type="dxa"/>
            <w:vMerge w:val="restart"/>
            <w:shd w:val="clear" w:color="auto" w:fill="BDD6EE" w:themeFill="accent1" w:themeFillTint="66"/>
            <w:hideMark/>
          </w:tcPr>
          <w:p w14:paraId="1D3496ED" w14:textId="77777777" w:rsidR="006001B4" w:rsidRPr="004133EB" w:rsidRDefault="006001B4" w:rsidP="006001B4">
            <w:pPr>
              <w:pStyle w:val="Sinespaciado"/>
              <w:jc w:val="both"/>
              <w:rPr>
                <w:rFonts w:ascii="Times New Roman" w:hAnsi="Times New Roman" w:cs="Times New Roman"/>
                <w:b/>
                <w:bCs/>
                <w:sz w:val="16"/>
                <w:szCs w:val="16"/>
              </w:rPr>
            </w:pPr>
            <w:r w:rsidRPr="004133EB">
              <w:rPr>
                <w:rFonts w:ascii="Times New Roman" w:hAnsi="Times New Roman" w:cs="Times New Roman"/>
                <w:b/>
                <w:bCs/>
                <w:sz w:val="16"/>
                <w:szCs w:val="16"/>
              </w:rPr>
              <w:t>No.</w:t>
            </w:r>
          </w:p>
        </w:tc>
        <w:tc>
          <w:tcPr>
            <w:tcW w:w="2095" w:type="dxa"/>
            <w:vMerge w:val="restart"/>
            <w:shd w:val="clear" w:color="auto" w:fill="BDD6EE" w:themeFill="accent1" w:themeFillTint="66"/>
            <w:hideMark/>
          </w:tcPr>
          <w:p w14:paraId="058ED100" w14:textId="77777777" w:rsidR="006001B4" w:rsidRPr="004133EB" w:rsidRDefault="006001B4" w:rsidP="006001B4">
            <w:pPr>
              <w:pStyle w:val="Sinespaciado"/>
              <w:jc w:val="both"/>
              <w:rPr>
                <w:rFonts w:ascii="Times New Roman" w:hAnsi="Times New Roman" w:cs="Times New Roman"/>
                <w:b/>
                <w:bCs/>
                <w:sz w:val="16"/>
                <w:szCs w:val="16"/>
              </w:rPr>
            </w:pPr>
            <w:r w:rsidRPr="004133EB">
              <w:rPr>
                <w:rFonts w:ascii="Times New Roman" w:hAnsi="Times New Roman" w:cs="Times New Roman"/>
                <w:b/>
                <w:bCs/>
                <w:sz w:val="16"/>
                <w:szCs w:val="16"/>
              </w:rPr>
              <w:t>OBJETIVO DE DESARROLLO SOSTENIBLE</w:t>
            </w:r>
          </w:p>
        </w:tc>
        <w:tc>
          <w:tcPr>
            <w:tcW w:w="452" w:type="dxa"/>
            <w:vMerge w:val="restart"/>
            <w:shd w:val="clear" w:color="auto" w:fill="BDD6EE" w:themeFill="accent1" w:themeFillTint="66"/>
            <w:hideMark/>
          </w:tcPr>
          <w:p w14:paraId="52F4AABD" w14:textId="77777777" w:rsidR="006001B4" w:rsidRPr="004133EB" w:rsidRDefault="006001B4" w:rsidP="006001B4">
            <w:pPr>
              <w:pStyle w:val="Sinespaciado"/>
              <w:jc w:val="both"/>
              <w:rPr>
                <w:rFonts w:ascii="Times New Roman" w:hAnsi="Times New Roman" w:cs="Times New Roman"/>
                <w:b/>
                <w:bCs/>
                <w:sz w:val="16"/>
                <w:szCs w:val="16"/>
              </w:rPr>
            </w:pPr>
            <w:r w:rsidRPr="004133EB">
              <w:rPr>
                <w:rFonts w:ascii="Times New Roman" w:hAnsi="Times New Roman" w:cs="Times New Roman"/>
                <w:b/>
                <w:bCs/>
                <w:sz w:val="16"/>
                <w:szCs w:val="16"/>
              </w:rPr>
              <w:t>No.</w:t>
            </w:r>
          </w:p>
        </w:tc>
        <w:tc>
          <w:tcPr>
            <w:tcW w:w="1870" w:type="dxa"/>
            <w:vMerge w:val="restart"/>
            <w:shd w:val="clear" w:color="auto" w:fill="BDD6EE" w:themeFill="accent1" w:themeFillTint="66"/>
            <w:hideMark/>
          </w:tcPr>
          <w:p w14:paraId="0F470847" w14:textId="77777777" w:rsidR="006001B4" w:rsidRPr="004133EB" w:rsidRDefault="006001B4" w:rsidP="006001B4">
            <w:pPr>
              <w:pStyle w:val="Sinespaciado"/>
              <w:jc w:val="both"/>
              <w:rPr>
                <w:rFonts w:ascii="Times New Roman" w:hAnsi="Times New Roman" w:cs="Times New Roman"/>
                <w:b/>
                <w:bCs/>
                <w:sz w:val="16"/>
                <w:szCs w:val="16"/>
              </w:rPr>
            </w:pPr>
            <w:r w:rsidRPr="004133EB">
              <w:rPr>
                <w:rFonts w:ascii="Times New Roman" w:hAnsi="Times New Roman" w:cs="Times New Roman"/>
                <w:b/>
                <w:bCs/>
                <w:sz w:val="16"/>
                <w:szCs w:val="16"/>
              </w:rPr>
              <w:t>PRIORIDAD NACIONAL</w:t>
            </w:r>
          </w:p>
        </w:tc>
        <w:tc>
          <w:tcPr>
            <w:tcW w:w="452" w:type="dxa"/>
            <w:vMerge w:val="restart"/>
            <w:shd w:val="clear" w:color="auto" w:fill="BDD6EE" w:themeFill="accent1" w:themeFillTint="66"/>
            <w:hideMark/>
          </w:tcPr>
          <w:p w14:paraId="331549AF" w14:textId="77777777" w:rsidR="006001B4" w:rsidRPr="004133EB" w:rsidRDefault="006001B4" w:rsidP="006001B4">
            <w:pPr>
              <w:pStyle w:val="Sinespaciado"/>
              <w:jc w:val="both"/>
              <w:rPr>
                <w:rFonts w:ascii="Times New Roman" w:hAnsi="Times New Roman" w:cs="Times New Roman"/>
                <w:b/>
                <w:bCs/>
                <w:sz w:val="16"/>
                <w:szCs w:val="16"/>
              </w:rPr>
            </w:pPr>
            <w:r w:rsidRPr="004133EB">
              <w:rPr>
                <w:rFonts w:ascii="Times New Roman" w:hAnsi="Times New Roman" w:cs="Times New Roman"/>
                <w:b/>
                <w:bCs/>
                <w:sz w:val="16"/>
                <w:szCs w:val="16"/>
              </w:rPr>
              <w:t>No.</w:t>
            </w:r>
          </w:p>
        </w:tc>
        <w:tc>
          <w:tcPr>
            <w:tcW w:w="1620" w:type="dxa"/>
            <w:vMerge w:val="restart"/>
            <w:shd w:val="clear" w:color="auto" w:fill="BDD6EE" w:themeFill="accent1" w:themeFillTint="66"/>
            <w:hideMark/>
          </w:tcPr>
          <w:p w14:paraId="52B899C3" w14:textId="77777777" w:rsidR="006001B4" w:rsidRPr="004133EB" w:rsidRDefault="006001B4" w:rsidP="006001B4">
            <w:pPr>
              <w:pStyle w:val="Sinespaciado"/>
              <w:jc w:val="both"/>
              <w:rPr>
                <w:rFonts w:ascii="Times New Roman" w:hAnsi="Times New Roman" w:cs="Times New Roman"/>
                <w:b/>
                <w:bCs/>
                <w:sz w:val="16"/>
                <w:szCs w:val="16"/>
              </w:rPr>
            </w:pPr>
            <w:r w:rsidRPr="004133EB">
              <w:rPr>
                <w:rFonts w:ascii="Times New Roman" w:hAnsi="Times New Roman" w:cs="Times New Roman"/>
                <w:b/>
                <w:bCs/>
                <w:sz w:val="16"/>
                <w:szCs w:val="16"/>
              </w:rPr>
              <w:t>META ESTRATÉGICA DE DESARROLLO</w:t>
            </w:r>
          </w:p>
        </w:tc>
        <w:tc>
          <w:tcPr>
            <w:tcW w:w="452" w:type="dxa"/>
            <w:vMerge w:val="restart"/>
            <w:shd w:val="clear" w:color="auto" w:fill="BDD6EE" w:themeFill="accent1" w:themeFillTint="66"/>
            <w:hideMark/>
          </w:tcPr>
          <w:p w14:paraId="0EEFA9DB" w14:textId="77777777" w:rsidR="006001B4" w:rsidRPr="004133EB" w:rsidRDefault="006001B4" w:rsidP="006001B4">
            <w:pPr>
              <w:pStyle w:val="Sinespaciado"/>
              <w:jc w:val="both"/>
              <w:rPr>
                <w:rFonts w:ascii="Times New Roman" w:hAnsi="Times New Roman" w:cs="Times New Roman"/>
                <w:b/>
                <w:bCs/>
                <w:sz w:val="16"/>
                <w:szCs w:val="16"/>
              </w:rPr>
            </w:pPr>
            <w:r w:rsidRPr="004133EB">
              <w:rPr>
                <w:rFonts w:ascii="Times New Roman" w:hAnsi="Times New Roman" w:cs="Times New Roman"/>
                <w:b/>
                <w:bCs/>
                <w:sz w:val="16"/>
                <w:szCs w:val="16"/>
              </w:rPr>
              <w:t>No.</w:t>
            </w:r>
          </w:p>
        </w:tc>
        <w:tc>
          <w:tcPr>
            <w:tcW w:w="1675" w:type="dxa"/>
            <w:vMerge w:val="restart"/>
            <w:shd w:val="clear" w:color="auto" w:fill="BDD6EE" w:themeFill="accent1" w:themeFillTint="66"/>
            <w:hideMark/>
          </w:tcPr>
          <w:p w14:paraId="1B53EC23" w14:textId="77777777" w:rsidR="006001B4" w:rsidRPr="004133EB" w:rsidRDefault="006001B4" w:rsidP="006001B4">
            <w:pPr>
              <w:pStyle w:val="Sinespaciado"/>
              <w:jc w:val="both"/>
              <w:rPr>
                <w:rFonts w:ascii="Times New Roman" w:hAnsi="Times New Roman" w:cs="Times New Roman"/>
                <w:b/>
                <w:bCs/>
                <w:sz w:val="16"/>
                <w:szCs w:val="16"/>
              </w:rPr>
            </w:pPr>
            <w:r w:rsidRPr="004133EB">
              <w:rPr>
                <w:rFonts w:ascii="Times New Roman" w:hAnsi="Times New Roman" w:cs="Times New Roman"/>
                <w:b/>
                <w:bCs/>
                <w:sz w:val="16"/>
                <w:szCs w:val="16"/>
              </w:rPr>
              <w:t xml:space="preserve">RESULTADOS ESTRATEGICOS DE DESARROLLO  </w:t>
            </w:r>
          </w:p>
        </w:tc>
      </w:tr>
      <w:tr w:rsidR="005856C6" w:rsidRPr="004133EB" w14:paraId="38D2DD08" w14:textId="77777777" w:rsidTr="005A6F4A">
        <w:trPr>
          <w:trHeight w:val="450"/>
        </w:trPr>
        <w:tc>
          <w:tcPr>
            <w:tcW w:w="452" w:type="dxa"/>
            <w:vMerge/>
            <w:shd w:val="clear" w:color="auto" w:fill="BDD6EE" w:themeFill="accent1" w:themeFillTint="66"/>
            <w:hideMark/>
          </w:tcPr>
          <w:p w14:paraId="17EA87E2" w14:textId="77777777" w:rsidR="006001B4" w:rsidRPr="004133EB" w:rsidRDefault="006001B4" w:rsidP="006001B4">
            <w:pPr>
              <w:pStyle w:val="Sinespaciado"/>
              <w:jc w:val="both"/>
              <w:rPr>
                <w:rFonts w:ascii="Times New Roman" w:hAnsi="Times New Roman" w:cs="Times New Roman"/>
                <w:b/>
                <w:bCs/>
                <w:sz w:val="16"/>
                <w:szCs w:val="16"/>
              </w:rPr>
            </w:pPr>
          </w:p>
        </w:tc>
        <w:tc>
          <w:tcPr>
            <w:tcW w:w="2095" w:type="dxa"/>
            <w:vMerge/>
            <w:shd w:val="clear" w:color="auto" w:fill="BDD6EE" w:themeFill="accent1" w:themeFillTint="66"/>
            <w:hideMark/>
          </w:tcPr>
          <w:p w14:paraId="1B6B9B88" w14:textId="77777777" w:rsidR="006001B4" w:rsidRPr="004133EB" w:rsidRDefault="006001B4" w:rsidP="006001B4">
            <w:pPr>
              <w:pStyle w:val="Sinespaciado"/>
              <w:jc w:val="both"/>
              <w:rPr>
                <w:rFonts w:ascii="Times New Roman" w:hAnsi="Times New Roman" w:cs="Times New Roman"/>
                <w:b/>
                <w:bCs/>
                <w:sz w:val="16"/>
                <w:szCs w:val="16"/>
              </w:rPr>
            </w:pPr>
          </w:p>
        </w:tc>
        <w:tc>
          <w:tcPr>
            <w:tcW w:w="452" w:type="dxa"/>
            <w:vMerge/>
            <w:shd w:val="clear" w:color="auto" w:fill="BDD6EE" w:themeFill="accent1" w:themeFillTint="66"/>
            <w:hideMark/>
          </w:tcPr>
          <w:p w14:paraId="0A3A6D40" w14:textId="77777777" w:rsidR="006001B4" w:rsidRPr="004133EB" w:rsidRDefault="006001B4" w:rsidP="006001B4">
            <w:pPr>
              <w:pStyle w:val="Sinespaciado"/>
              <w:jc w:val="both"/>
              <w:rPr>
                <w:rFonts w:ascii="Times New Roman" w:hAnsi="Times New Roman" w:cs="Times New Roman"/>
                <w:b/>
                <w:bCs/>
                <w:sz w:val="16"/>
                <w:szCs w:val="16"/>
              </w:rPr>
            </w:pPr>
          </w:p>
        </w:tc>
        <w:tc>
          <w:tcPr>
            <w:tcW w:w="1870" w:type="dxa"/>
            <w:vMerge/>
            <w:shd w:val="clear" w:color="auto" w:fill="BDD6EE" w:themeFill="accent1" w:themeFillTint="66"/>
            <w:hideMark/>
          </w:tcPr>
          <w:p w14:paraId="7E7DF69B" w14:textId="77777777" w:rsidR="006001B4" w:rsidRPr="004133EB" w:rsidRDefault="006001B4" w:rsidP="006001B4">
            <w:pPr>
              <w:pStyle w:val="Sinespaciado"/>
              <w:jc w:val="both"/>
              <w:rPr>
                <w:rFonts w:ascii="Times New Roman" w:hAnsi="Times New Roman" w:cs="Times New Roman"/>
                <w:b/>
                <w:bCs/>
                <w:sz w:val="16"/>
                <w:szCs w:val="16"/>
              </w:rPr>
            </w:pPr>
          </w:p>
        </w:tc>
        <w:tc>
          <w:tcPr>
            <w:tcW w:w="452" w:type="dxa"/>
            <w:vMerge/>
            <w:shd w:val="clear" w:color="auto" w:fill="BDD6EE" w:themeFill="accent1" w:themeFillTint="66"/>
            <w:hideMark/>
          </w:tcPr>
          <w:p w14:paraId="416A87A7" w14:textId="77777777" w:rsidR="006001B4" w:rsidRPr="004133EB" w:rsidRDefault="006001B4" w:rsidP="006001B4">
            <w:pPr>
              <w:pStyle w:val="Sinespaciado"/>
              <w:jc w:val="both"/>
              <w:rPr>
                <w:rFonts w:ascii="Times New Roman" w:hAnsi="Times New Roman" w:cs="Times New Roman"/>
                <w:b/>
                <w:bCs/>
                <w:sz w:val="16"/>
                <w:szCs w:val="16"/>
              </w:rPr>
            </w:pPr>
          </w:p>
        </w:tc>
        <w:tc>
          <w:tcPr>
            <w:tcW w:w="1620" w:type="dxa"/>
            <w:vMerge/>
            <w:shd w:val="clear" w:color="auto" w:fill="BDD6EE" w:themeFill="accent1" w:themeFillTint="66"/>
            <w:hideMark/>
          </w:tcPr>
          <w:p w14:paraId="2EE2E883" w14:textId="77777777" w:rsidR="006001B4" w:rsidRPr="004133EB" w:rsidRDefault="006001B4" w:rsidP="006001B4">
            <w:pPr>
              <w:pStyle w:val="Sinespaciado"/>
              <w:jc w:val="both"/>
              <w:rPr>
                <w:rFonts w:ascii="Times New Roman" w:hAnsi="Times New Roman" w:cs="Times New Roman"/>
                <w:b/>
                <w:bCs/>
                <w:sz w:val="16"/>
                <w:szCs w:val="16"/>
              </w:rPr>
            </w:pPr>
          </w:p>
        </w:tc>
        <w:tc>
          <w:tcPr>
            <w:tcW w:w="452" w:type="dxa"/>
            <w:vMerge/>
            <w:shd w:val="clear" w:color="auto" w:fill="BDD6EE" w:themeFill="accent1" w:themeFillTint="66"/>
            <w:hideMark/>
          </w:tcPr>
          <w:p w14:paraId="51FEB112" w14:textId="77777777" w:rsidR="006001B4" w:rsidRPr="004133EB" w:rsidRDefault="006001B4" w:rsidP="006001B4">
            <w:pPr>
              <w:pStyle w:val="Sinespaciado"/>
              <w:jc w:val="both"/>
              <w:rPr>
                <w:rFonts w:ascii="Times New Roman" w:hAnsi="Times New Roman" w:cs="Times New Roman"/>
                <w:b/>
                <w:bCs/>
                <w:sz w:val="16"/>
                <w:szCs w:val="16"/>
              </w:rPr>
            </w:pPr>
          </w:p>
        </w:tc>
        <w:tc>
          <w:tcPr>
            <w:tcW w:w="1675" w:type="dxa"/>
            <w:vMerge/>
            <w:shd w:val="clear" w:color="auto" w:fill="BDD6EE" w:themeFill="accent1" w:themeFillTint="66"/>
            <w:hideMark/>
          </w:tcPr>
          <w:p w14:paraId="32DBE452" w14:textId="77777777" w:rsidR="006001B4" w:rsidRPr="004133EB" w:rsidRDefault="006001B4" w:rsidP="006001B4">
            <w:pPr>
              <w:pStyle w:val="Sinespaciado"/>
              <w:jc w:val="both"/>
              <w:rPr>
                <w:rFonts w:ascii="Times New Roman" w:hAnsi="Times New Roman" w:cs="Times New Roman"/>
                <w:b/>
                <w:bCs/>
                <w:sz w:val="16"/>
                <w:szCs w:val="16"/>
              </w:rPr>
            </w:pPr>
          </w:p>
        </w:tc>
      </w:tr>
      <w:tr w:rsidR="005856C6" w:rsidRPr="004133EB" w14:paraId="328CC9E7" w14:textId="77777777" w:rsidTr="005A6F4A">
        <w:trPr>
          <w:trHeight w:val="1132"/>
        </w:trPr>
        <w:tc>
          <w:tcPr>
            <w:tcW w:w="452" w:type="dxa"/>
            <w:vMerge w:val="restart"/>
            <w:noWrap/>
            <w:hideMark/>
          </w:tcPr>
          <w:p w14:paraId="0C763B13"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w:t>
            </w:r>
          </w:p>
        </w:tc>
        <w:tc>
          <w:tcPr>
            <w:tcW w:w="2095" w:type="dxa"/>
            <w:vMerge w:val="restart"/>
            <w:hideMark/>
          </w:tcPr>
          <w:p w14:paraId="2EC5001A" w14:textId="77777777" w:rsidR="00B90BC8" w:rsidRPr="004133EB" w:rsidRDefault="006001B4" w:rsidP="00725713">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 Terminar con la pobreza en todas sus formas en todas partes. 2. Poner fin al hambre, lograr la seguridad alimentaria y la mejora de la nutrición y promover la agricultura sostenible.</w:t>
            </w:r>
            <w:r w:rsidRPr="004133EB">
              <w:rPr>
                <w:rFonts w:ascii="Times New Roman" w:hAnsi="Times New Roman" w:cs="Times New Roman"/>
                <w:sz w:val="16"/>
                <w:szCs w:val="16"/>
              </w:rPr>
              <w:br/>
              <w:t>4. Garantizar una educación inclusiva, equitativa y de calidad y promover oportunidades de aprendizaje durante toda la vida para todos.</w:t>
            </w:r>
            <w:r w:rsidRPr="004133EB">
              <w:rPr>
                <w:rFonts w:ascii="Times New Roman" w:hAnsi="Times New Roman" w:cs="Times New Roman"/>
                <w:sz w:val="16"/>
                <w:szCs w:val="16"/>
              </w:rPr>
              <w:br/>
              <w:t>5. Lograr la igualdad de género y empoderar a las mujeres y niñas.</w:t>
            </w:r>
            <w:r w:rsidRPr="004133EB">
              <w:rPr>
                <w:rFonts w:ascii="Times New Roman" w:hAnsi="Times New Roman" w:cs="Times New Roman"/>
                <w:sz w:val="16"/>
                <w:szCs w:val="16"/>
              </w:rPr>
              <w:br/>
              <w:t>6. Asegurar la disponibilidad y la gestión sostenible del agua y el saneamiento para todos.</w:t>
            </w:r>
            <w:r w:rsidRPr="004133EB">
              <w:rPr>
                <w:rFonts w:ascii="Times New Roman" w:hAnsi="Times New Roman" w:cs="Times New Roman"/>
                <w:sz w:val="16"/>
                <w:szCs w:val="16"/>
              </w:rPr>
              <w:br/>
              <w:t>10. Reducir la desigualdad en y entre los países.</w:t>
            </w:r>
            <w:r w:rsidRPr="004133EB">
              <w:rPr>
                <w:rFonts w:ascii="Times New Roman" w:hAnsi="Times New Roman" w:cs="Times New Roman"/>
                <w:sz w:val="16"/>
                <w:szCs w:val="16"/>
              </w:rPr>
              <w:br/>
              <w:t>16.Promover sociedades pacíficas e inclusivas para el desarrollo sostenible, facilitar el acceso a la justicia para todos y crear instituciones eficaces, responsables e inclusivas a todos los niveles.</w:t>
            </w:r>
          </w:p>
          <w:p w14:paraId="56A1A1C3" w14:textId="77777777" w:rsidR="006001B4" w:rsidRPr="004133EB" w:rsidRDefault="006001B4" w:rsidP="00B90BC8">
            <w:pPr>
              <w:rPr>
                <w:rFonts w:ascii="Times New Roman" w:hAnsi="Times New Roman" w:cs="Times New Roman"/>
              </w:rPr>
            </w:pPr>
          </w:p>
        </w:tc>
        <w:tc>
          <w:tcPr>
            <w:tcW w:w="452" w:type="dxa"/>
            <w:vMerge w:val="restart"/>
            <w:noWrap/>
            <w:hideMark/>
          </w:tcPr>
          <w:p w14:paraId="11C79826"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w:t>
            </w:r>
          </w:p>
        </w:tc>
        <w:tc>
          <w:tcPr>
            <w:tcW w:w="1870" w:type="dxa"/>
            <w:vMerge w:val="restart"/>
            <w:hideMark/>
          </w:tcPr>
          <w:p w14:paraId="3124A945" w14:textId="77777777" w:rsidR="00B90BC8"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Reducción de la pobreza y protección social</w:t>
            </w:r>
            <w:r w:rsidR="00B90BC8" w:rsidRPr="004133EB">
              <w:rPr>
                <w:rFonts w:ascii="Times New Roman" w:hAnsi="Times New Roman" w:cs="Times New Roman"/>
                <w:sz w:val="16"/>
                <w:szCs w:val="16"/>
              </w:rPr>
              <w:t>.</w:t>
            </w:r>
          </w:p>
          <w:p w14:paraId="667E9022" w14:textId="77777777" w:rsidR="00B90BC8" w:rsidRPr="004133EB" w:rsidRDefault="00B90BC8" w:rsidP="00B90BC8">
            <w:pPr>
              <w:rPr>
                <w:rFonts w:ascii="Times New Roman" w:hAnsi="Times New Roman" w:cs="Times New Roman"/>
              </w:rPr>
            </w:pPr>
          </w:p>
          <w:p w14:paraId="206C60EA" w14:textId="77777777" w:rsidR="006001B4" w:rsidRPr="004133EB" w:rsidRDefault="006001B4" w:rsidP="00B90BC8">
            <w:pPr>
              <w:rPr>
                <w:rFonts w:ascii="Times New Roman" w:hAnsi="Times New Roman" w:cs="Times New Roman"/>
              </w:rPr>
            </w:pPr>
          </w:p>
        </w:tc>
        <w:tc>
          <w:tcPr>
            <w:tcW w:w="452" w:type="dxa"/>
            <w:vMerge w:val="restart"/>
            <w:noWrap/>
            <w:hideMark/>
          </w:tcPr>
          <w:p w14:paraId="78CEAE72"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vMerge w:val="restart"/>
            <w:hideMark/>
          </w:tcPr>
          <w:p w14:paraId="2C074985"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2030, potenciar y promover la inclusión social, económica y política de todos, independientemente de su edad, sexo, discapacidad, raza, etnia, origen, religión o situación económica u otra condición.</w:t>
            </w:r>
          </w:p>
        </w:tc>
        <w:tc>
          <w:tcPr>
            <w:tcW w:w="452" w:type="dxa"/>
            <w:vMerge w:val="restart"/>
            <w:noWrap/>
            <w:hideMark/>
          </w:tcPr>
          <w:p w14:paraId="2E9C41C5"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w:t>
            </w:r>
          </w:p>
        </w:tc>
        <w:tc>
          <w:tcPr>
            <w:tcW w:w="1675" w:type="dxa"/>
            <w:vMerge w:val="restart"/>
            <w:hideMark/>
          </w:tcPr>
          <w:p w14:paraId="3B93DCDC" w14:textId="77777777" w:rsidR="006001B4" w:rsidRPr="004133EB" w:rsidRDefault="006001B4" w:rsidP="003937C5">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3937C5">
              <w:rPr>
                <w:rFonts w:ascii="Times New Roman" w:hAnsi="Times New Roman" w:cs="Times New Roman"/>
                <w:sz w:val="16"/>
                <w:szCs w:val="16"/>
              </w:rPr>
              <w:t>4</w:t>
            </w:r>
            <w:r w:rsidRPr="004133EB">
              <w:rPr>
                <w:rFonts w:ascii="Times New Roman" w:hAnsi="Times New Roman" w:cs="Times New Roman"/>
                <w:sz w:val="16"/>
                <w:szCs w:val="16"/>
              </w:rPr>
              <w:t xml:space="preserve">, se ha disminuido la pobreza y pobreza extrema con énfasis en los departamentos priorizados, en 27.8 puntos porcentuales. </w:t>
            </w:r>
            <w:r w:rsidRPr="004133EB">
              <w:rPr>
                <w:rFonts w:ascii="Times New Roman" w:hAnsi="Times New Roman" w:cs="Times New Roman"/>
                <w:sz w:val="16"/>
                <w:szCs w:val="16"/>
              </w:rPr>
              <w:br/>
            </w:r>
            <w:r w:rsidRPr="004133EB">
              <w:rPr>
                <w:rFonts w:ascii="Times New Roman" w:hAnsi="Times New Roman" w:cs="Times New Roman"/>
                <w:sz w:val="16"/>
                <w:szCs w:val="16"/>
              </w:rPr>
              <w:br/>
              <w:t xml:space="preserve"> (De 2014 a 202</w:t>
            </w:r>
            <w:r w:rsidR="00763398" w:rsidRPr="004133EB">
              <w:rPr>
                <w:rFonts w:ascii="Times New Roman" w:hAnsi="Times New Roman" w:cs="Times New Roman"/>
                <w:sz w:val="16"/>
                <w:szCs w:val="16"/>
              </w:rPr>
              <w:t>5</w:t>
            </w:r>
            <w:r w:rsidRPr="004133EB">
              <w:rPr>
                <w:rFonts w:ascii="Times New Roman" w:hAnsi="Times New Roman" w:cs="Times New Roman"/>
                <w:sz w:val="16"/>
                <w:szCs w:val="16"/>
              </w:rPr>
              <w:t xml:space="preserve">  en:  pobreza extrema*  /     pobreza**/</w:t>
            </w:r>
            <w:r w:rsidRPr="004133EB">
              <w:rPr>
                <w:rFonts w:ascii="Times New Roman" w:hAnsi="Times New Roman" w:cs="Times New Roman"/>
                <w:sz w:val="16"/>
                <w:szCs w:val="16"/>
              </w:rPr>
              <w:br/>
              <w:t>Alta Verapaz: 53.6  a 38.71 * /29.50 a  21.3,</w:t>
            </w:r>
            <w:r w:rsidRPr="004133EB">
              <w:rPr>
                <w:rFonts w:ascii="Times New Roman" w:hAnsi="Times New Roman" w:cs="Times New Roman"/>
                <w:sz w:val="16"/>
                <w:szCs w:val="16"/>
              </w:rPr>
              <w:br/>
              <w:t>Sololá:   39.9  a 28.82 */ 41.10 a  29.7,</w:t>
            </w:r>
            <w:r w:rsidRPr="004133EB">
              <w:rPr>
                <w:rFonts w:ascii="Times New Roman" w:hAnsi="Times New Roman" w:cs="Times New Roman"/>
                <w:sz w:val="16"/>
                <w:szCs w:val="16"/>
              </w:rPr>
              <w:br/>
              <w:t>Totonicapán:   41. 1  a  29.68 *  / 36.40  a  26.3,</w:t>
            </w:r>
            <w:r w:rsidRPr="004133EB">
              <w:rPr>
                <w:rFonts w:ascii="Times New Roman" w:hAnsi="Times New Roman" w:cs="Times New Roman"/>
                <w:sz w:val="16"/>
                <w:szCs w:val="16"/>
              </w:rPr>
              <w:br/>
              <w:t xml:space="preserve">Huehuetenango:  28.6 a 20.66*  / 45.20 a 32.6, </w:t>
            </w:r>
            <w:r w:rsidRPr="004133EB">
              <w:rPr>
                <w:rFonts w:ascii="Times New Roman" w:hAnsi="Times New Roman" w:cs="Times New Roman"/>
                <w:sz w:val="16"/>
                <w:szCs w:val="16"/>
              </w:rPr>
              <w:br/>
              <w:t>Quiché 41.8 a  30.19* /32.90  a 23.8,</w:t>
            </w:r>
            <w:r w:rsidRPr="004133EB">
              <w:rPr>
                <w:rFonts w:ascii="Times New Roman" w:hAnsi="Times New Roman" w:cs="Times New Roman"/>
                <w:sz w:val="16"/>
                <w:szCs w:val="16"/>
              </w:rPr>
              <w:br/>
              <w:t>Chiquimula 41.1  a 29.68  * / 29.50  a  21.30)</w:t>
            </w:r>
          </w:p>
        </w:tc>
      </w:tr>
      <w:tr w:rsidR="005856C6" w:rsidRPr="004133EB" w14:paraId="033B29E9" w14:textId="77777777" w:rsidTr="005A6F4A">
        <w:trPr>
          <w:trHeight w:val="2550"/>
        </w:trPr>
        <w:tc>
          <w:tcPr>
            <w:tcW w:w="452" w:type="dxa"/>
            <w:vMerge/>
            <w:hideMark/>
          </w:tcPr>
          <w:p w14:paraId="5E2A5E8F"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1A7A8445"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69310941"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193CF9AD"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53432D60"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5330994F"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0A7658F3"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793F0F4E"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53511A75" w14:textId="77777777" w:rsidTr="00484ED3">
        <w:trPr>
          <w:trHeight w:val="1197"/>
        </w:trPr>
        <w:tc>
          <w:tcPr>
            <w:tcW w:w="452" w:type="dxa"/>
            <w:vMerge/>
            <w:hideMark/>
          </w:tcPr>
          <w:p w14:paraId="0FC38BD1"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5BD77EEF"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752D7588"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6C02D305"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43666752"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4A967C0C"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0A21A83D"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483FD166"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55C9AE86" w14:textId="77777777" w:rsidTr="00484ED3">
        <w:trPr>
          <w:trHeight w:val="1400"/>
        </w:trPr>
        <w:tc>
          <w:tcPr>
            <w:tcW w:w="452" w:type="dxa"/>
            <w:vMerge/>
            <w:hideMark/>
          </w:tcPr>
          <w:p w14:paraId="6970E3A0"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2AD96B42"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71F49FA9"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509E0AAF"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5A0CB1D1"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340E7B63" w14:textId="77777777" w:rsidR="006001B4" w:rsidRPr="004133EB" w:rsidRDefault="006001B4" w:rsidP="006001B4">
            <w:pPr>
              <w:pStyle w:val="Sinespaciado"/>
              <w:jc w:val="both"/>
              <w:rPr>
                <w:rFonts w:ascii="Times New Roman" w:hAnsi="Times New Roman" w:cs="Times New Roman"/>
                <w:sz w:val="16"/>
                <w:szCs w:val="16"/>
              </w:rPr>
            </w:pPr>
          </w:p>
        </w:tc>
        <w:tc>
          <w:tcPr>
            <w:tcW w:w="452" w:type="dxa"/>
            <w:noWrap/>
            <w:hideMark/>
          </w:tcPr>
          <w:p w14:paraId="2AA0645A"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2</w:t>
            </w:r>
          </w:p>
        </w:tc>
        <w:tc>
          <w:tcPr>
            <w:tcW w:w="1675" w:type="dxa"/>
            <w:hideMark/>
          </w:tcPr>
          <w:p w14:paraId="66368CF0" w14:textId="77777777" w:rsidR="006001B4" w:rsidRPr="004133EB" w:rsidRDefault="004D4E30" w:rsidP="003937C5">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3937C5">
              <w:rPr>
                <w:rFonts w:ascii="Times New Roman" w:hAnsi="Times New Roman" w:cs="Times New Roman"/>
                <w:sz w:val="16"/>
                <w:szCs w:val="16"/>
              </w:rPr>
              <w:t>4</w:t>
            </w:r>
            <w:r w:rsidR="006001B4" w:rsidRPr="004133EB">
              <w:rPr>
                <w:rFonts w:ascii="Times New Roman" w:hAnsi="Times New Roman" w:cs="Times New Roman"/>
                <w:sz w:val="16"/>
                <w:szCs w:val="16"/>
              </w:rPr>
              <w:t>, se han disminuido en 7 puntos porcentuales los embarazos en niñas y adolescentes</w:t>
            </w:r>
            <w:r w:rsidR="006001B4" w:rsidRPr="004133EB">
              <w:rPr>
                <w:rFonts w:ascii="Times New Roman" w:hAnsi="Times New Roman" w:cs="Times New Roman"/>
                <w:sz w:val="16"/>
                <w:szCs w:val="16"/>
              </w:rPr>
              <w:br/>
              <w:t xml:space="preserve"> (De 18% en 2016 a 11% en 2032)</w:t>
            </w:r>
          </w:p>
        </w:tc>
      </w:tr>
      <w:tr w:rsidR="005856C6" w:rsidRPr="004133EB" w14:paraId="3A5695ED" w14:textId="77777777" w:rsidTr="005A6F4A">
        <w:trPr>
          <w:trHeight w:val="1500"/>
        </w:trPr>
        <w:tc>
          <w:tcPr>
            <w:tcW w:w="452" w:type="dxa"/>
            <w:vMerge/>
            <w:hideMark/>
          </w:tcPr>
          <w:p w14:paraId="353934A1"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6EA4D82E"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450658CB"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1F8935CB"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6DE1829D"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7F5CA104" w14:textId="77777777" w:rsidR="006001B4" w:rsidRPr="004133EB" w:rsidRDefault="006001B4" w:rsidP="006001B4">
            <w:pPr>
              <w:pStyle w:val="Sinespaciado"/>
              <w:jc w:val="both"/>
              <w:rPr>
                <w:rFonts w:ascii="Times New Roman" w:hAnsi="Times New Roman" w:cs="Times New Roman"/>
                <w:sz w:val="16"/>
                <w:szCs w:val="16"/>
              </w:rPr>
            </w:pPr>
          </w:p>
        </w:tc>
        <w:tc>
          <w:tcPr>
            <w:tcW w:w="452" w:type="dxa"/>
            <w:noWrap/>
            <w:hideMark/>
          </w:tcPr>
          <w:p w14:paraId="1F9A0A85" w14:textId="77777777" w:rsidR="00B90BC8"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3</w:t>
            </w:r>
          </w:p>
          <w:p w14:paraId="739251BA" w14:textId="77777777" w:rsidR="006001B4" w:rsidRPr="004133EB" w:rsidRDefault="006001B4" w:rsidP="00B90BC8">
            <w:pPr>
              <w:rPr>
                <w:rFonts w:ascii="Times New Roman" w:hAnsi="Times New Roman" w:cs="Times New Roman"/>
              </w:rPr>
            </w:pPr>
          </w:p>
        </w:tc>
        <w:tc>
          <w:tcPr>
            <w:tcW w:w="1675" w:type="dxa"/>
            <w:hideMark/>
          </w:tcPr>
          <w:p w14:paraId="4F563C5D" w14:textId="77777777" w:rsidR="006001B4" w:rsidRPr="004133EB" w:rsidRDefault="006001B4" w:rsidP="003937C5">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3937C5">
              <w:rPr>
                <w:rFonts w:ascii="Times New Roman" w:hAnsi="Times New Roman" w:cs="Times New Roman"/>
                <w:sz w:val="16"/>
                <w:szCs w:val="16"/>
              </w:rPr>
              <w:t>4</w:t>
            </w:r>
            <w:r w:rsidRPr="004133EB">
              <w:rPr>
                <w:rFonts w:ascii="Times New Roman" w:hAnsi="Times New Roman" w:cs="Times New Roman"/>
                <w:sz w:val="16"/>
                <w:szCs w:val="16"/>
              </w:rPr>
              <w:t>, se ha</w:t>
            </w:r>
            <w:r w:rsidR="00121994" w:rsidRPr="004133EB">
              <w:rPr>
                <w:rFonts w:ascii="Times New Roman" w:hAnsi="Times New Roman" w:cs="Times New Roman"/>
                <w:sz w:val="16"/>
                <w:szCs w:val="16"/>
              </w:rPr>
              <w:t xml:space="preserve"> </w:t>
            </w:r>
            <w:r w:rsidRPr="004133EB">
              <w:rPr>
                <w:rFonts w:ascii="Times New Roman" w:hAnsi="Times New Roman" w:cs="Times New Roman"/>
                <w:sz w:val="16"/>
                <w:szCs w:val="16"/>
              </w:rPr>
              <w:t>reducido el analfabetismo en 9.3 puntos porcentuales a nivel nacional (De 12.3% en 2016 a 3.0% en 2024)</w:t>
            </w:r>
          </w:p>
        </w:tc>
      </w:tr>
      <w:tr w:rsidR="005856C6" w:rsidRPr="004133EB" w14:paraId="6F2C6D12" w14:textId="77777777" w:rsidTr="005A6F4A">
        <w:trPr>
          <w:trHeight w:val="1875"/>
        </w:trPr>
        <w:tc>
          <w:tcPr>
            <w:tcW w:w="452" w:type="dxa"/>
            <w:vMerge/>
            <w:hideMark/>
          </w:tcPr>
          <w:p w14:paraId="26C26C48"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0BC0CF11"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7ED46888"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35BB33CD"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69BF05D4"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604F855B" w14:textId="77777777" w:rsidR="006001B4" w:rsidRPr="004133EB" w:rsidRDefault="006001B4" w:rsidP="006001B4">
            <w:pPr>
              <w:pStyle w:val="Sinespaciado"/>
              <w:jc w:val="both"/>
              <w:rPr>
                <w:rFonts w:ascii="Times New Roman" w:hAnsi="Times New Roman" w:cs="Times New Roman"/>
                <w:sz w:val="16"/>
                <w:szCs w:val="16"/>
              </w:rPr>
            </w:pPr>
          </w:p>
        </w:tc>
        <w:tc>
          <w:tcPr>
            <w:tcW w:w="452" w:type="dxa"/>
            <w:noWrap/>
            <w:hideMark/>
          </w:tcPr>
          <w:p w14:paraId="65BBF11D"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4</w:t>
            </w:r>
          </w:p>
        </w:tc>
        <w:tc>
          <w:tcPr>
            <w:tcW w:w="1675" w:type="dxa"/>
            <w:hideMark/>
          </w:tcPr>
          <w:p w14:paraId="761DC571" w14:textId="77777777" w:rsidR="006001B4" w:rsidRPr="004133EB" w:rsidRDefault="003937C5" w:rsidP="006001B4">
            <w:pPr>
              <w:pStyle w:val="Sinespaciado"/>
              <w:jc w:val="both"/>
              <w:rPr>
                <w:rFonts w:ascii="Times New Roman" w:hAnsi="Times New Roman" w:cs="Times New Roman"/>
                <w:sz w:val="16"/>
                <w:szCs w:val="16"/>
              </w:rPr>
            </w:pPr>
            <w:r>
              <w:rPr>
                <w:rFonts w:ascii="Times New Roman" w:hAnsi="Times New Roman" w:cs="Times New Roman"/>
                <w:sz w:val="16"/>
                <w:szCs w:val="16"/>
              </w:rPr>
              <w:t>Para el 2024</w:t>
            </w:r>
            <w:r w:rsidR="006001B4" w:rsidRPr="004133EB">
              <w:rPr>
                <w:rFonts w:ascii="Times New Roman" w:hAnsi="Times New Roman" w:cs="Times New Roman"/>
                <w:sz w:val="16"/>
                <w:szCs w:val="16"/>
              </w:rPr>
              <w:t xml:space="preserve">, se ha disminuido el déficit habitacional en 18 por ciento </w:t>
            </w:r>
            <w:r w:rsidR="006001B4" w:rsidRPr="004133EB">
              <w:rPr>
                <w:rFonts w:ascii="Times New Roman" w:hAnsi="Times New Roman" w:cs="Times New Roman"/>
                <w:sz w:val="16"/>
                <w:szCs w:val="16"/>
              </w:rPr>
              <w:br/>
              <w:t>(De 2.07 millones de viviendas, considerando el crecimiento del déficit habitacional de 5 años</w:t>
            </w:r>
            <w:r w:rsidR="00121994" w:rsidRPr="004133EB">
              <w:rPr>
                <w:rFonts w:ascii="Times New Roman" w:hAnsi="Times New Roman" w:cs="Times New Roman"/>
                <w:sz w:val="16"/>
                <w:szCs w:val="16"/>
              </w:rPr>
              <w:t xml:space="preserve"> </w:t>
            </w:r>
            <w:r w:rsidR="006001B4" w:rsidRPr="004133EB">
              <w:rPr>
                <w:rFonts w:ascii="Times New Roman" w:hAnsi="Times New Roman" w:cs="Times New Roman"/>
                <w:sz w:val="16"/>
                <w:szCs w:val="16"/>
              </w:rPr>
              <w:t xml:space="preserve">  a 1</w:t>
            </w:r>
            <w:r w:rsidR="004D4E30" w:rsidRPr="004133EB">
              <w:rPr>
                <w:rFonts w:ascii="Times New Roman" w:hAnsi="Times New Roman" w:cs="Times New Roman"/>
                <w:sz w:val="16"/>
                <w:szCs w:val="16"/>
              </w:rPr>
              <w:t>.7 millones de viviendas en 2025</w:t>
            </w:r>
            <w:r w:rsidR="006001B4" w:rsidRPr="004133EB">
              <w:rPr>
                <w:rFonts w:ascii="Times New Roman" w:hAnsi="Times New Roman" w:cs="Times New Roman"/>
                <w:sz w:val="16"/>
                <w:szCs w:val="16"/>
              </w:rPr>
              <w:t>)</w:t>
            </w:r>
          </w:p>
        </w:tc>
      </w:tr>
      <w:tr w:rsidR="005856C6" w:rsidRPr="004133EB" w14:paraId="172AA582" w14:textId="77777777" w:rsidTr="005A6F4A">
        <w:trPr>
          <w:trHeight w:val="1665"/>
        </w:trPr>
        <w:tc>
          <w:tcPr>
            <w:tcW w:w="452" w:type="dxa"/>
            <w:vMerge/>
            <w:hideMark/>
          </w:tcPr>
          <w:p w14:paraId="16613078"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298D38D9"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29CA9AB9"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5C9E8665"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val="restart"/>
            <w:noWrap/>
            <w:hideMark/>
          </w:tcPr>
          <w:p w14:paraId="4896ACB4"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vMerge w:val="restart"/>
            <w:hideMark/>
          </w:tcPr>
          <w:p w14:paraId="576C5154"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Implementar sistemas y medidas de protección social para todos nacionalmente apropiadas, incluidos pisos, y para el año 2030 lograr una cobertura sustancial de los pobres y los vulnerables.</w:t>
            </w:r>
          </w:p>
        </w:tc>
        <w:tc>
          <w:tcPr>
            <w:tcW w:w="452" w:type="dxa"/>
            <w:vMerge w:val="restart"/>
            <w:noWrap/>
            <w:hideMark/>
          </w:tcPr>
          <w:p w14:paraId="7178D87B"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5</w:t>
            </w:r>
          </w:p>
        </w:tc>
        <w:tc>
          <w:tcPr>
            <w:tcW w:w="1675" w:type="dxa"/>
            <w:vMerge w:val="restart"/>
            <w:hideMark/>
          </w:tcPr>
          <w:p w14:paraId="4415E623" w14:textId="77777777" w:rsidR="006001B4" w:rsidRPr="004133EB" w:rsidRDefault="006001B4" w:rsidP="003937C5">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3937C5">
              <w:rPr>
                <w:rFonts w:ascii="Times New Roman" w:hAnsi="Times New Roman" w:cs="Times New Roman"/>
                <w:sz w:val="16"/>
                <w:szCs w:val="16"/>
              </w:rPr>
              <w:t>4</w:t>
            </w:r>
            <w:r w:rsidRPr="004133EB">
              <w:rPr>
                <w:rFonts w:ascii="Times New Roman" w:hAnsi="Times New Roman" w:cs="Times New Roman"/>
                <w:sz w:val="16"/>
                <w:szCs w:val="16"/>
              </w:rPr>
              <w:t>, se ha incrementado en 2,662,105 el número de personas con cobertura de programas sociales para personas en situación de pobreza y vulnerabilidad (de 734,181 en el 2018 a 2,662,105 a 202</w:t>
            </w:r>
            <w:r w:rsidR="004D4E30" w:rsidRPr="004133EB">
              <w:rPr>
                <w:rFonts w:ascii="Times New Roman" w:hAnsi="Times New Roman" w:cs="Times New Roman"/>
                <w:sz w:val="16"/>
                <w:szCs w:val="16"/>
              </w:rPr>
              <w:t>5</w:t>
            </w:r>
            <w:r w:rsidRPr="004133EB">
              <w:rPr>
                <w:rFonts w:ascii="Times New Roman" w:hAnsi="Times New Roman" w:cs="Times New Roman"/>
                <w:sz w:val="16"/>
                <w:szCs w:val="16"/>
              </w:rPr>
              <w:t xml:space="preserve">)  </w:t>
            </w:r>
          </w:p>
        </w:tc>
      </w:tr>
      <w:tr w:rsidR="005856C6" w:rsidRPr="004133EB" w14:paraId="79B1333E" w14:textId="77777777" w:rsidTr="00484ED3">
        <w:trPr>
          <w:trHeight w:val="450"/>
        </w:trPr>
        <w:tc>
          <w:tcPr>
            <w:tcW w:w="452" w:type="dxa"/>
            <w:vMerge/>
            <w:hideMark/>
          </w:tcPr>
          <w:p w14:paraId="5A1C2911"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05605DE7"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5CFF0989"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3F1DA376"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6F14C5C6"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0AF429F4"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53FA3434"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40B1A26E"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4C1221A4" w14:textId="77777777" w:rsidTr="005A6F4A">
        <w:trPr>
          <w:trHeight w:val="1260"/>
        </w:trPr>
        <w:tc>
          <w:tcPr>
            <w:tcW w:w="452" w:type="dxa"/>
            <w:vMerge w:val="restart"/>
            <w:noWrap/>
            <w:hideMark/>
          </w:tcPr>
          <w:p w14:paraId="1E07D733"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2</w:t>
            </w:r>
          </w:p>
        </w:tc>
        <w:tc>
          <w:tcPr>
            <w:tcW w:w="2095" w:type="dxa"/>
            <w:vMerge w:val="restart"/>
            <w:hideMark/>
          </w:tcPr>
          <w:p w14:paraId="2DD774CE"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3. Garantizar una vida sana y promover el bienestar para todos en todas las edades.</w:t>
            </w:r>
            <w:r w:rsidRPr="004133EB">
              <w:rPr>
                <w:rFonts w:ascii="Times New Roman" w:hAnsi="Times New Roman" w:cs="Times New Roman"/>
                <w:sz w:val="16"/>
                <w:szCs w:val="16"/>
              </w:rPr>
              <w:br/>
              <w:t>4. Garantizar una educación inclusiva, equitativa y de calidad y promover oportunidades de aprendizaje durante toda la vida para todos.</w:t>
            </w:r>
            <w:r w:rsidR="00A944AB" w:rsidRPr="004133EB">
              <w:rPr>
                <w:rFonts w:ascii="Times New Roman" w:hAnsi="Times New Roman" w:cs="Times New Roman"/>
                <w:sz w:val="16"/>
                <w:szCs w:val="16"/>
              </w:rPr>
              <w:t xml:space="preserve"> </w:t>
            </w:r>
            <w:r w:rsidRPr="004133EB">
              <w:rPr>
                <w:rFonts w:ascii="Times New Roman" w:hAnsi="Times New Roman" w:cs="Times New Roman"/>
                <w:sz w:val="16"/>
                <w:szCs w:val="16"/>
              </w:rPr>
              <w:t>8.</w:t>
            </w:r>
            <w:r w:rsidR="00A944AB" w:rsidRPr="004133EB">
              <w:rPr>
                <w:rFonts w:ascii="Times New Roman" w:hAnsi="Times New Roman" w:cs="Times New Roman"/>
                <w:sz w:val="16"/>
                <w:szCs w:val="16"/>
              </w:rPr>
              <w:t xml:space="preserve"> </w:t>
            </w:r>
            <w:r w:rsidRPr="004133EB">
              <w:rPr>
                <w:rFonts w:ascii="Times New Roman" w:hAnsi="Times New Roman" w:cs="Times New Roman"/>
                <w:sz w:val="16"/>
                <w:szCs w:val="16"/>
              </w:rPr>
              <w:t>Promover el crecimiento económico sostenido, inclusivo y sostenible, el empleo pleno y productivo y el trabajo decente para todos.</w:t>
            </w:r>
          </w:p>
        </w:tc>
        <w:tc>
          <w:tcPr>
            <w:tcW w:w="452" w:type="dxa"/>
            <w:vMerge w:val="restart"/>
            <w:noWrap/>
            <w:hideMark/>
          </w:tcPr>
          <w:p w14:paraId="3DA8BBEF"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870" w:type="dxa"/>
            <w:vMerge w:val="restart"/>
            <w:hideMark/>
          </w:tcPr>
          <w:p w14:paraId="0D3E830A"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Acceso a servicios de salud</w:t>
            </w:r>
          </w:p>
        </w:tc>
        <w:tc>
          <w:tcPr>
            <w:tcW w:w="452" w:type="dxa"/>
            <w:vMerge w:val="restart"/>
            <w:hideMark/>
          </w:tcPr>
          <w:p w14:paraId="3235C77D"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vMerge w:val="restart"/>
            <w:hideMark/>
          </w:tcPr>
          <w:p w14:paraId="5432CA5F"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Lograr la cobertura sanitaria universal, en particular la protección contra los riesgos financieros, el acceso a servicios de salud, esenciales de calidad y el acceso a medicamentos y vacunas seguras, eficaces, asequibles y de calidad para todos.</w:t>
            </w:r>
          </w:p>
        </w:tc>
        <w:tc>
          <w:tcPr>
            <w:tcW w:w="452" w:type="dxa"/>
            <w:vMerge w:val="restart"/>
            <w:hideMark/>
          </w:tcPr>
          <w:p w14:paraId="3B8A6EB0"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6</w:t>
            </w:r>
          </w:p>
        </w:tc>
        <w:tc>
          <w:tcPr>
            <w:tcW w:w="1675" w:type="dxa"/>
            <w:hideMark/>
          </w:tcPr>
          <w:p w14:paraId="48C5170D" w14:textId="77777777" w:rsidR="006001B4" w:rsidRPr="004133EB" w:rsidRDefault="006001B4" w:rsidP="003937C5">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3937C5">
              <w:rPr>
                <w:rFonts w:ascii="Times New Roman" w:hAnsi="Times New Roman" w:cs="Times New Roman"/>
                <w:sz w:val="16"/>
                <w:szCs w:val="16"/>
              </w:rPr>
              <w:t>4</w:t>
            </w:r>
            <w:r w:rsidRPr="004133EB">
              <w:rPr>
                <w:rFonts w:ascii="Times New Roman" w:hAnsi="Times New Roman" w:cs="Times New Roman"/>
                <w:sz w:val="16"/>
                <w:szCs w:val="16"/>
              </w:rPr>
              <w:t xml:space="preserve">, se ha disminuido la razón de mortalidad materna en 90 muertes por cada cien mil nacidos vivos (De 108 muertes en 2018, a 90 muertes por cada </w:t>
            </w:r>
            <w:r w:rsidR="004D4E30" w:rsidRPr="004133EB">
              <w:rPr>
                <w:rFonts w:ascii="Times New Roman" w:hAnsi="Times New Roman" w:cs="Times New Roman"/>
                <w:sz w:val="16"/>
                <w:szCs w:val="16"/>
              </w:rPr>
              <w:t>cien mil nacidos vividos en 2025</w:t>
            </w:r>
            <w:r w:rsidRPr="004133EB">
              <w:rPr>
                <w:rFonts w:ascii="Times New Roman" w:hAnsi="Times New Roman" w:cs="Times New Roman"/>
                <w:sz w:val="16"/>
                <w:szCs w:val="16"/>
              </w:rPr>
              <w:t>).</w:t>
            </w:r>
          </w:p>
        </w:tc>
      </w:tr>
      <w:tr w:rsidR="005856C6" w:rsidRPr="004133EB" w14:paraId="366FD701" w14:textId="77777777" w:rsidTr="005A6F4A">
        <w:trPr>
          <w:trHeight w:val="450"/>
        </w:trPr>
        <w:tc>
          <w:tcPr>
            <w:tcW w:w="452" w:type="dxa"/>
            <w:vMerge/>
            <w:hideMark/>
          </w:tcPr>
          <w:p w14:paraId="6EA17B33"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44003F93"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5893C18B"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3774D4DA"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1816837E"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32BF3983"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6D0E2E07"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val="restart"/>
            <w:hideMark/>
          </w:tcPr>
          <w:p w14:paraId="10E1BD67" w14:textId="73ECF41C" w:rsidR="00B011BF" w:rsidRDefault="004D4E30" w:rsidP="00B011BF">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3937C5">
              <w:rPr>
                <w:rFonts w:ascii="Times New Roman" w:hAnsi="Times New Roman" w:cs="Times New Roman"/>
                <w:sz w:val="16"/>
                <w:szCs w:val="16"/>
              </w:rPr>
              <w:t>4</w:t>
            </w:r>
            <w:r w:rsidR="006001B4" w:rsidRPr="004133EB">
              <w:rPr>
                <w:rFonts w:ascii="Times New Roman" w:hAnsi="Times New Roman" w:cs="Times New Roman"/>
                <w:sz w:val="16"/>
                <w:szCs w:val="16"/>
              </w:rPr>
              <w:t>, se ha disminuido la tasa de mortalidad en la niñez en 5 puntos por cada mil nacidos vivos (De 25 muertes en 2018 a 20 muertes por cada mil nacidos vivos en 202</w:t>
            </w:r>
            <w:r w:rsidRPr="004133EB">
              <w:rPr>
                <w:rFonts w:ascii="Times New Roman" w:hAnsi="Times New Roman" w:cs="Times New Roman"/>
                <w:sz w:val="16"/>
                <w:szCs w:val="16"/>
              </w:rPr>
              <w:t>5</w:t>
            </w:r>
            <w:r w:rsidR="006001B4" w:rsidRPr="004133EB">
              <w:rPr>
                <w:rFonts w:ascii="Times New Roman" w:hAnsi="Times New Roman" w:cs="Times New Roman"/>
                <w:sz w:val="16"/>
                <w:szCs w:val="16"/>
              </w:rPr>
              <w:t>) y Para el 202</w:t>
            </w:r>
            <w:r w:rsidRPr="004133EB">
              <w:rPr>
                <w:rFonts w:ascii="Times New Roman" w:hAnsi="Times New Roman" w:cs="Times New Roman"/>
                <w:sz w:val="16"/>
                <w:szCs w:val="16"/>
              </w:rPr>
              <w:t>5</w:t>
            </w:r>
            <w:r w:rsidR="006001B4" w:rsidRPr="004133EB">
              <w:rPr>
                <w:rFonts w:ascii="Times New Roman" w:hAnsi="Times New Roman" w:cs="Times New Roman"/>
                <w:sz w:val="16"/>
                <w:szCs w:val="16"/>
              </w:rPr>
              <w:t>, se ha disminuido la prevalencia de desnutrición crónica en niñas y niños menores de cinco años en 13.23 puntos porcentuales</w:t>
            </w:r>
            <w:r w:rsidR="006001B4" w:rsidRPr="004133EB">
              <w:rPr>
                <w:rFonts w:ascii="Times New Roman" w:hAnsi="Times New Roman" w:cs="Times New Roman"/>
                <w:sz w:val="16"/>
                <w:szCs w:val="16"/>
              </w:rPr>
              <w:br/>
              <w:t>(De 46.5% en 2015 a 33.27% en 202</w:t>
            </w:r>
            <w:r w:rsidRPr="004133EB">
              <w:rPr>
                <w:rFonts w:ascii="Times New Roman" w:hAnsi="Times New Roman" w:cs="Times New Roman"/>
                <w:sz w:val="16"/>
                <w:szCs w:val="16"/>
              </w:rPr>
              <w:t>5</w:t>
            </w:r>
            <w:r w:rsidR="006001B4" w:rsidRPr="004133EB">
              <w:rPr>
                <w:rFonts w:ascii="Times New Roman" w:hAnsi="Times New Roman" w:cs="Times New Roman"/>
                <w:sz w:val="16"/>
                <w:szCs w:val="16"/>
              </w:rPr>
              <w:t>)</w:t>
            </w:r>
            <w:r w:rsidR="00B90BC8" w:rsidRPr="004133EB">
              <w:rPr>
                <w:rFonts w:ascii="Times New Roman" w:hAnsi="Times New Roman" w:cs="Times New Roman"/>
                <w:sz w:val="16"/>
                <w:szCs w:val="16"/>
              </w:rPr>
              <w:t>.</w:t>
            </w:r>
          </w:p>
          <w:p w14:paraId="43EEF7A0" w14:textId="6D0D6EC1" w:rsidR="006001B4" w:rsidRPr="00B011BF" w:rsidRDefault="006001B4" w:rsidP="00B011BF"/>
        </w:tc>
      </w:tr>
      <w:tr w:rsidR="005856C6" w:rsidRPr="004133EB" w14:paraId="07C1FBDE" w14:textId="77777777" w:rsidTr="005A6F4A">
        <w:trPr>
          <w:trHeight w:val="600"/>
        </w:trPr>
        <w:tc>
          <w:tcPr>
            <w:tcW w:w="452" w:type="dxa"/>
            <w:vMerge w:val="restart"/>
            <w:noWrap/>
            <w:hideMark/>
          </w:tcPr>
          <w:p w14:paraId="7B98029F" w14:textId="77777777" w:rsidR="0094696E"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p w14:paraId="11A995FC" w14:textId="77777777" w:rsidR="0094696E" w:rsidRPr="004133EB" w:rsidRDefault="0094696E" w:rsidP="0094696E">
            <w:pPr>
              <w:rPr>
                <w:rFonts w:ascii="Times New Roman" w:hAnsi="Times New Roman" w:cs="Times New Roman"/>
              </w:rPr>
            </w:pPr>
          </w:p>
          <w:p w14:paraId="31EBA0B7" w14:textId="77777777" w:rsidR="0094696E" w:rsidRPr="004133EB" w:rsidRDefault="0094696E" w:rsidP="0094696E">
            <w:pPr>
              <w:rPr>
                <w:rFonts w:ascii="Times New Roman" w:hAnsi="Times New Roman" w:cs="Times New Roman"/>
              </w:rPr>
            </w:pPr>
          </w:p>
          <w:p w14:paraId="378160DA" w14:textId="77777777" w:rsidR="0094696E" w:rsidRPr="004133EB" w:rsidRDefault="0094696E" w:rsidP="0094696E">
            <w:pPr>
              <w:rPr>
                <w:rFonts w:ascii="Times New Roman" w:hAnsi="Times New Roman" w:cs="Times New Roman"/>
              </w:rPr>
            </w:pPr>
          </w:p>
          <w:p w14:paraId="796D52E6" w14:textId="77777777" w:rsidR="0094696E" w:rsidRPr="004133EB" w:rsidRDefault="0094696E" w:rsidP="0094696E">
            <w:pPr>
              <w:rPr>
                <w:rFonts w:ascii="Times New Roman" w:hAnsi="Times New Roman" w:cs="Times New Roman"/>
              </w:rPr>
            </w:pPr>
          </w:p>
          <w:p w14:paraId="72123B3C" w14:textId="77777777" w:rsidR="006001B4" w:rsidRPr="004133EB" w:rsidRDefault="006001B4" w:rsidP="0094696E">
            <w:pPr>
              <w:rPr>
                <w:rFonts w:ascii="Times New Roman" w:hAnsi="Times New Roman" w:cs="Times New Roman"/>
              </w:rPr>
            </w:pPr>
          </w:p>
        </w:tc>
        <w:tc>
          <w:tcPr>
            <w:tcW w:w="2095" w:type="dxa"/>
            <w:vMerge w:val="restart"/>
            <w:hideMark/>
          </w:tcPr>
          <w:p w14:paraId="1CFD4EDF" w14:textId="7CC2A298" w:rsidR="00B011BF" w:rsidRDefault="006001B4" w:rsidP="00B011BF">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K'atun.</w:t>
            </w:r>
            <w:r w:rsidRPr="004133EB">
              <w:rPr>
                <w:rFonts w:ascii="Times New Roman" w:hAnsi="Times New Roman" w:cs="Times New Roman"/>
                <w:sz w:val="16"/>
                <w:szCs w:val="16"/>
              </w:rPr>
              <w:br/>
              <w:t>2. Poner fin al hambre, lograr la seguridad alimentaria y la mejora de la nutrición y promover la agricultura sostenible.</w:t>
            </w:r>
            <w:r w:rsidRPr="004133EB">
              <w:rPr>
                <w:rFonts w:ascii="Times New Roman" w:hAnsi="Times New Roman" w:cs="Times New Roman"/>
                <w:sz w:val="16"/>
                <w:szCs w:val="16"/>
              </w:rPr>
              <w:br/>
              <w:t>12. Garantizar modalidades de consumo y producción sostenibles.</w:t>
            </w:r>
            <w:r w:rsidRPr="004133EB">
              <w:rPr>
                <w:rFonts w:ascii="Times New Roman" w:hAnsi="Times New Roman" w:cs="Times New Roman"/>
                <w:sz w:val="16"/>
                <w:szCs w:val="16"/>
              </w:rPr>
              <w:br/>
              <w:t>15. Proteger, restablecer y promover el uso sostenible de los ecosistemas terrestres, efectuar una ordenación sostenible de los bosques, luchar contra la desertificación, detener y revertir la degradación de las tierras y poner freno a la pérdida de la diversidad biológica</w:t>
            </w:r>
            <w:r w:rsidR="00B90BC8" w:rsidRPr="004133EB">
              <w:rPr>
                <w:rFonts w:ascii="Times New Roman" w:hAnsi="Times New Roman" w:cs="Times New Roman"/>
                <w:sz w:val="16"/>
                <w:szCs w:val="16"/>
              </w:rPr>
              <w:t>.</w:t>
            </w:r>
          </w:p>
          <w:p w14:paraId="6DD38B22" w14:textId="77777777" w:rsidR="00B011BF" w:rsidRPr="00B011BF" w:rsidRDefault="00B011BF" w:rsidP="00B011BF"/>
          <w:p w14:paraId="6F27831A" w14:textId="2F32F5F2" w:rsidR="006001B4" w:rsidRPr="00B011BF" w:rsidRDefault="006001B4" w:rsidP="00B011BF"/>
        </w:tc>
        <w:tc>
          <w:tcPr>
            <w:tcW w:w="452" w:type="dxa"/>
            <w:vMerge w:val="restart"/>
            <w:noWrap/>
            <w:hideMark/>
          </w:tcPr>
          <w:p w14:paraId="7FE1B29E" w14:textId="77777777" w:rsidR="0094696E"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p w14:paraId="108E44DF" w14:textId="77777777" w:rsidR="0094696E" w:rsidRPr="004133EB" w:rsidRDefault="0094696E" w:rsidP="0094696E">
            <w:pPr>
              <w:rPr>
                <w:rFonts w:ascii="Times New Roman" w:hAnsi="Times New Roman" w:cs="Times New Roman"/>
              </w:rPr>
            </w:pPr>
          </w:p>
          <w:p w14:paraId="3CF4E106" w14:textId="77777777" w:rsidR="0094696E" w:rsidRPr="004133EB" w:rsidRDefault="0094696E" w:rsidP="0094696E">
            <w:pPr>
              <w:rPr>
                <w:rFonts w:ascii="Times New Roman" w:hAnsi="Times New Roman" w:cs="Times New Roman"/>
              </w:rPr>
            </w:pPr>
          </w:p>
          <w:p w14:paraId="19697DFF" w14:textId="77777777" w:rsidR="0094696E" w:rsidRPr="004133EB" w:rsidRDefault="0094696E" w:rsidP="0094696E">
            <w:pPr>
              <w:rPr>
                <w:rFonts w:ascii="Times New Roman" w:hAnsi="Times New Roman" w:cs="Times New Roman"/>
              </w:rPr>
            </w:pPr>
          </w:p>
          <w:p w14:paraId="7F1358CE" w14:textId="77777777" w:rsidR="0094696E" w:rsidRPr="004133EB" w:rsidRDefault="0094696E" w:rsidP="0094696E">
            <w:pPr>
              <w:rPr>
                <w:rFonts w:ascii="Times New Roman" w:hAnsi="Times New Roman" w:cs="Times New Roman"/>
              </w:rPr>
            </w:pPr>
          </w:p>
          <w:p w14:paraId="2442C761" w14:textId="77777777" w:rsidR="006001B4" w:rsidRPr="004133EB" w:rsidRDefault="006001B4" w:rsidP="0094696E">
            <w:pPr>
              <w:rPr>
                <w:rFonts w:ascii="Times New Roman" w:hAnsi="Times New Roman" w:cs="Times New Roman"/>
              </w:rPr>
            </w:pPr>
          </w:p>
        </w:tc>
        <w:tc>
          <w:tcPr>
            <w:tcW w:w="1870" w:type="dxa"/>
            <w:vMerge w:val="restart"/>
            <w:hideMark/>
          </w:tcPr>
          <w:p w14:paraId="1CC86BC0" w14:textId="5CA7090B" w:rsidR="00B011BF" w:rsidRDefault="006001B4" w:rsidP="00B011BF">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Seguridad alimentaria y nutricional</w:t>
            </w:r>
            <w:r w:rsidR="00B011BF">
              <w:rPr>
                <w:rFonts w:ascii="Times New Roman" w:hAnsi="Times New Roman" w:cs="Times New Roman"/>
                <w:sz w:val="16"/>
                <w:szCs w:val="16"/>
              </w:rPr>
              <w:t>.</w:t>
            </w:r>
          </w:p>
          <w:p w14:paraId="04C66733" w14:textId="77777777" w:rsidR="00B011BF" w:rsidRPr="00B011BF" w:rsidRDefault="00B011BF" w:rsidP="00B011BF"/>
          <w:p w14:paraId="066770AA" w14:textId="77777777" w:rsidR="00B011BF" w:rsidRPr="00B011BF" w:rsidRDefault="00B011BF" w:rsidP="00B011BF"/>
          <w:p w14:paraId="17105DE7" w14:textId="77777777" w:rsidR="00B011BF" w:rsidRPr="00B011BF" w:rsidRDefault="00B011BF" w:rsidP="00B011BF"/>
          <w:p w14:paraId="17B44542" w14:textId="77777777" w:rsidR="00B011BF" w:rsidRPr="00B011BF" w:rsidRDefault="00B011BF" w:rsidP="00B011BF"/>
          <w:p w14:paraId="7E06DB7A" w14:textId="77777777" w:rsidR="00B011BF" w:rsidRPr="00B011BF" w:rsidRDefault="00B011BF" w:rsidP="00B011BF"/>
          <w:p w14:paraId="030278A3" w14:textId="77777777" w:rsidR="00B011BF" w:rsidRPr="00B011BF" w:rsidRDefault="00B011BF" w:rsidP="00B011BF"/>
          <w:p w14:paraId="3125D8E6" w14:textId="77777777" w:rsidR="00B011BF" w:rsidRPr="00B011BF" w:rsidRDefault="00B011BF" w:rsidP="00B011BF"/>
          <w:p w14:paraId="7A43E62D" w14:textId="4C434C9A" w:rsidR="006001B4" w:rsidRPr="00B011BF" w:rsidRDefault="006001B4" w:rsidP="00B011BF"/>
        </w:tc>
        <w:tc>
          <w:tcPr>
            <w:tcW w:w="452" w:type="dxa"/>
            <w:vMerge w:val="restart"/>
            <w:noWrap/>
            <w:hideMark/>
          </w:tcPr>
          <w:p w14:paraId="41253A9B" w14:textId="77777777" w:rsidR="0094696E"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p w14:paraId="4C462FD0" w14:textId="77777777" w:rsidR="0094696E" w:rsidRPr="004133EB" w:rsidRDefault="0094696E" w:rsidP="0094696E">
            <w:pPr>
              <w:rPr>
                <w:rFonts w:ascii="Times New Roman" w:hAnsi="Times New Roman" w:cs="Times New Roman"/>
              </w:rPr>
            </w:pPr>
          </w:p>
          <w:p w14:paraId="3BA520CB" w14:textId="77777777" w:rsidR="0094696E" w:rsidRPr="004133EB" w:rsidRDefault="0094696E" w:rsidP="0094696E">
            <w:pPr>
              <w:rPr>
                <w:rFonts w:ascii="Times New Roman" w:hAnsi="Times New Roman" w:cs="Times New Roman"/>
              </w:rPr>
            </w:pPr>
          </w:p>
          <w:p w14:paraId="48E7EA9B" w14:textId="77777777" w:rsidR="0094696E" w:rsidRPr="004133EB" w:rsidRDefault="0094696E" w:rsidP="0094696E">
            <w:pPr>
              <w:rPr>
                <w:rFonts w:ascii="Times New Roman" w:hAnsi="Times New Roman" w:cs="Times New Roman"/>
              </w:rPr>
            </w:pPr>
          </w:p>
          <w:p w14:paraId="04201481" w14:textId="77777777" w:rsidR="0094696E" w:rsidRPr="004133EB" w:rsidRDefault="0094696E" w:rsidP="0094696E">
            <w:pPr>
              <w:rPr>
                <w:rFonts w:ascii="Times New Roman" w:hAnsi="Times New Roman" w:cs="Times New Roman"/>
              </w:rPr>
            </w:pPr>
          </w:p>
          <w:p w14:paraId="5DBF4452" w14:textId="77777777" w:rsidR="0094696E" w:rsidRPr="004133EB" w:rsidRDefault="0094696E" w:rsidP="0094696E">
            <w:pPr>
              <w:rPr>
                <w:rFonts w:ascii="Times New Roman" w:hAnsi="Times New Roman" w:cs="Times New Roman"/>
              </w:rPr>
            </w:pPr>
          </w:p>
          <w:p w14:paraId="0DACE51E" w14:textId="77777777" w:rsidR="006001B4" w:rsidRPr="004133EB" w:rsidRDefault="006001B4" w:rsidP="0094696E">
            <w:pPr>
              <w:rPr>
                <w:rFonts w:ascii="Times New Roman" w:hAnsi="Times New Roman" w:cs="Times New Roman"/>
              </w:rPr>
            </w:pPr>
          </w:p>
        </w:tc>
        <w:tc>
          <w:tcPr>
            <w:tcW w:w="1620" w:type="dxa"/>
            <w:vMerge w:val="restart"/>
            <w:hideMark/>
          </w:tcPr>
          <w:p w14:paraId="3A5E9E3E" w14:textId="4ABE52E6" w:rsidR="00FF5433" w:rsidRDefault="006001B4" w:rsidP="00FF5433">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año 2032, reducir en no menos de 25 puntos porcentuales la desnutrición crónica en niños y niñas menores de cinco años de los pueblos Maya, Xinka y Garífuna, y la no indígena con énfasis en el área rural.</w:t>
            </w:r>
          </w:p>
          <w:p w14:paraId="35F958F2" w14:textId="63BD6552" w:rsidR="00B011BF" w:rsidRDefault="00B011BF" w:rsidP="00FF5433"/>
          <w:p w14:paraId="3DA43728" w14:textId="02D00D6C" w:rsidR="006001B4" w:rsidRPr="00B011BF" w:rsidRDefault="006001B4" w:rsidP="00B011BF"/>
        </w:tc>
        <w:tc>
          <w:tcPr>
            <w:tcW w:w="452" w:type="dxa"/>
            <w:vMerge w:val="restart"/>
            <w:noWrap/>
            <w:hideMark/>
          </w:tcPr>
          <w:p w14:paraId="5AE98E8F" w14:textId="77777777" w:rsidR="0094696E"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7</w:t>
            </w:r>
          </w:p>
          <w:p w14:paraId="4D0EDC37" w14:textId="77777777" w:rsidR="0094696E" w:rsidRPr="004133EB" w:rsidRDefault="0094696E" w:rsidP="0094696E">
            <w:pPr>
              <w:rPr>
                <w:rFonts w:ascii="Times New Roman" w:hAnsi="Times New Roman" w:cs="Times New Roman"/>
              </w:rPr>
            </w:pPr>
          </w:p>
          <w:p w14:paraId="4E2302C5" w14:textId="77777777" w:rsidR="0094696E" w:rsidRPr="004133EB" w:rsidRDefault="0094696E" w:rsidP="0094696E">
            <w:pPr>
              <w:rPr>
                <w:rFonts w:ascii="Times New Roman" w:hAnsi="Times New Roman" w:cs="Times New Roman"/>
              </w:rPr>
            </w:pPr>
          </w:p>
          <w:p w14:paraId="302E22C6" w14:textId="77777777" w:rsidR="006001B4" w:rsidRPr="004133EB" w:rsidRDefault="006001B4" w:rsidP="0094696E">
            <w:pPr>
              <w:rPr>
                <w:rFonts w:ascii="Times New Roman" w:hAnsi="Times New Roman" w:cs="Times New Roman"/>
              </w:rPr>
            </w:pPr>
          </w:p>
        </w:tc>
        <w:tc>
          <w:tcPr>
            <w:tcW w:w="1675" w:type="dxa"/>
            <w:vMerge/>
            <w:hideMark/>
          </w:tcPr>
          <w:p w14:paraId="74F8CC49"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23AA77A3" w14:textId="77777777" w:rsidTr="005A6F4A">
        <w:trPr>
          <w:trHeight w:val="450"/>
        </w:trPr>
        <w:tc>
          <w:tcPr>
            <w:tcW w:w="452" w:type="dxa"/>
            <w:vMerge/>
            <w:hideMark/>
          </w:tcPr>
          <w:p w14:paraId="37E82421"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5FBECD78"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35DD5960"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07BA771E"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17787911"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03C93960"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59AAD431"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099B3E1C"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044140CD" w14:textId="77777777" w:rsidTr="005A6F4A">
        <w:trPr>
          <w:trHeight w:val="4455"/>
        </w:trPr>
        <w:tc>
          <w:tcPr>
            <w:tcW w:w="452" w:type="dxa"/>
            <w:vMerge/>
            <w:hideMark/>
          </w:tcPr>
          <w:p w14:paraId="5DBC7C48"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22F8CEB8"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3E1F2649"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4C0C9643"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19ED56B8"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4124842B"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30EF4FB9"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67D22779"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3BA98F41" w14:textId="77777777" w:rsidTr="00FF5433">
        <w:trPr>
          <w:trHeight w:val="450"/>
        </w:trPr>
        <w:tc>
          <w:tcPr>
            <w:tcW w:w="452" w:type="dxa"/>
            <w:vMerge/>
            <w:hideMark/>
          </w:tcPr>
          <w:p w14:paraId="565FA4E7"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2E46271B"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545713F2"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2BA4FC4A"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736F6065"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12D207C4"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1E80B476"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4A97C691"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15FFFE21" w14:textId="77777777" w:rsidTr="005A6F4A">
        <w:trPr>
          <w:trHeight w:val="1575"/>
        </w:trPr>
        <w:tc>
          <w:tcPr>
            <w:tcW w:w="452" w:type="dxa"/>
            <w:vMerge w:val="restart"/>
            <w:noWrap/>
            <w:hideMark/>
          </w:tcPr>
          <w:p w14:paraId="72E97DA3"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2095" w:type="dxa"/>
            <w:vMerge w:val="restart"/>
            <w:hideMark/>
          </w:tcPr>
          <w:p w14:paraId="0285CBEE"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6. Asegurar la disponibilidad y la gestión sostenible del agua y el saneamiento para todos.</w:t>
            </w:r>
            <w:r w:rsidRPr="004133EB">
              <w:rPr>
                <w:rFonts w:ascii="Times New Roman" w:hAnsi="Times New Roman" w:cs="Times New Roman"/>
                <w:sz w:val="16"/>
                <w:szCs w:val="16"/>
              </w:rPr>
              <w:br/>
              <w:t xml:space="preserve">7. Garantizar el acceso a energía </w:t>
            </w:r>
            <w:r w:rsidR="0094696E" w:rsidRPr="004133EB">
              <w:rPr>
                <w:rFonts w:ascii="Times New Roman" w:hAnsi="Times New Roman" w:cs="Times New Roman"/>
                <w:sz w:val="16"/>
                <w:szCs w:val="16"/>
              </w:rPr>
              <w:t>asequible</w:t>
            </w:r>
            <w:r w:rsidRPr="004133EB">
              <w:rPr>
                <w:rFonts w:ascii="Times New Roman" w:hAnsi="Times New Roman" w:cs="Times New Roman"/>
                <w:sz w:val="16"/>
                <w:szCs w:val="16"/>
              </w:rPr>
              <w:t>, fiable, sostenible y moderna para todos.</w:t>
            </w:r>
            <w:r w:rsidRPr="004133EB">
              <w:rPr>
                <w:rFonts w:ascii="Times New Roman" w:hAnsi="Times New Roman" w:cs="Times New Roman"/>
                <w:sz w:val="16"/>
                <w:szCs w:val="16"/>
              </w:rPr>
              <w:br/>
              <w:t>13. Adoptar medidas urgentes para combatir el cambio climático y sus efectos.</w:t>
            </w:r>
            <w:r w:rsidRPr="004133EB">
              <w:rPr>
                <w:rFonts w:ascii="Times New Roman" w:hAnsi="Times New Roman" w:cs="Times New Roman"/>
                <w:sz w:val="16"/>
                <w:szCs w:val="16"/>
              </w:rPr>
              <w:br/>
              <w:t xml:space="preserve">15. Proteger, </w:t>
            </w:r>
            <w:r w:rsidR="0094696E" w:rsidRPr="004133EB">
              <w:rPr>
                <w:rFonts w:ascii="Times New Roman" w:hAnsi="Times New Roman" w:cs="Times New Roman"/>
                <w:sz w:val="16"/>
                <w:szCs w:val="16"/>
              </w:rPr>
              <w:t>restablecer</w:t>
            </w:r>
            <w:r w:rsidRPr="004133EB">
              <w:rPr>
                <w:rFonts w:ascii="Times New Roman" w:hAnsi="Times New Roman" w:cs="Times New Roman"/>
                <w:sz w:val="16"/>
                <w:szCs w:val="16"/>
              </w:rPr>
              <w:t xml:space="preserve"> y promover el uso sostenible de los ecosistemas terrestres, efectuar una ordenación sostenible de los bosques, luchar contra la desertificación, </w:t>
            </w:r>
            <w:r w:rsidR="0094696E" w:rsidRPr="004133EB">
              <w:rPr>
                <w:rFonts w:ascii="Times New Roman" w:hAnsi="Times New Roman" w:cs="Times New Roman"/>
                <w:sz w:val="16"/>
                <w:szCs w:val="16"/>
              </w:rPr>
              <w:t>detener</w:t>
            </w:r>
            <w:r w:rsidRPr="004133EB">
              <w:rPr>
                <w:rFonts w:ascii="Times New Roman" w:hAnsi="Times New Roman" w:cs="Times New Roman"/>
                <w:sz w:val="16"/>
                <w:szCs w:val="16"/>
              </w:rPr>
              <w:t xml:space="preserve"> y revertir la degradación de las tierras y poner freno a la pérdida de la diversidad </w:t>
            </w:r>
            <w:r w:rsidR="0094696E" w:rsidRPr="004133EB">
              <w:rPr>
                <w:rFonts w:ascii="Times New Roman" w:hAnsi="Times New Roman" w:cs="Times New Roman"/>
                <w:sz w:val="16"/>
                <w:szCs w:val="16"/>
              </w:rPr>
              <w:t>biológica</w:t>
            </w:r>
            <w:r w:rsidRPr="004133EB">
              <w:rPr>
                <w:rFonts w:ascii="Times New Roman" w:hAnsi="Times New Roman" w:cs="Times New Roman"/>
                <w:sz w:val="16"/>
                <w:szCs w:val="16"/>
              </w:rPr>
              <w:t>.</w:t>
            </w:r>
          </w:p>
        </w:tc>
        <w:tc>
          <w:tcPr>
            <w:tcW w:w="452" w:type="dxa"/>
            <w:vMerge w:val="restart"/>
            <w:hideMark/>
          </w:tcPr>
          <w:p w14:paraId="61ED2AB9"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870" w:type="dxa"/>
            <w:vMerge w:val="restart"/>
            <w:hideMark/>
          </w:tcPr>
          <w:p w14:paraId="628CDD10"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Acceso al agua y gestión de RRNN</w:t>
            </w:r>
          </w:p>
        </w:tc>
        <w:tc>
          <w:tcPr>
            <w:tcW w:w="452" w:type="dxa"/>
            <w:vMerge w:val="restart"/>
            <w:hideMark/>
          </w:tcPr>
          <w:p w14:paraId="5109A832"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vMerge w:val="restart"/>
            <w:hideMark/>
          </w:tcPr>
          <w:p w14:paraId="7A8669E4"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2030, lograr la ordenación sostenible y el uso eficiente de los recursos naturales</w:t>
            </w:r>
          </w:p>
        </w:tc>
        <w:tc>
          <w:tcPr>
            <w:tcW w:w="452" w:type="dxa"/>
            <w:vMerge w:val="restart"/>
            <w:hideMark/>
          </w:tcPr>
          <w:p w14:paraId="119946F8"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8</w:t>
            </w:r>
          </w:p>
        </w:tc>
        <w:tc>
          <w:tcPr>
            <w:tcW w:w="1675" w:type="dxa"/>
            <w:vMerge w:val="restart"/>
            <w:hideMark/>
          </w:tcPr>
          <w:p w14:paraId="40444460" w14:textId="77777777" w:rsidR="006001B4" w:rsidRPr="004133EB" w:rsidRDefault="006001B4" w:rsidP="004D4E30">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3937C5">
              <w:rPr>
                <w:rFonts w:ascii="Times New Roman" w:hAnsi="Times New Roman" w:cs="Times New Roman"/>
                <w:sz w:val="16"/>
                <w:szCs w:val="16"/>
              </w:rPr>
              <w:t>4</w:t>
            </w:r>
            <w:r w:rsidRPr="004133EB">
              <w:rPr>
                <w:rFonts w:ascii="Times New Roman" w:hAnsi="Times New Roman" w:cs="Times New Roman"/>
                <w:sz w:val="16"/>
                <w:szCs w:val="16"/>
              </w:rPr>
              <w:t xml:space="preserve">, se ha incrementado en 10.8 puntos porcentuales el acceso a agua potable domiciliar en los hogares guatemaltecos </w:t>
            </w:r>
            <w:r w:rsidRPr="004133EB">
              <w:rPr>
                <w:rFonts w:ascii="Times New Roman" w:hAnsi="Times New Roman" w:cs="Times New Roman"/>
                <w:sz w:val="16"/>
                <w:szCs w:val="16"/>
              </w:rPr>
              <w:br/>
              <w:t>(D</w:t>
            </w:r>
            <w:r w:rsidR="004D4E30" w:rsidRPr="004133EB">
              <w:rPr>
                <w:rFonts w:ascii="Times New Roman" w:hAnsi="Times New Roman" w:cs="Times New Roman"/>
                <w:sz w:val="16"/>
                <w:szCs w:val="16"/>
              </w:rPr>
              <w:t>e 76.3% en 2014 a 87.10% en 2025</w:t>
            </w:r>
            <w:r w:rsidRPr="004133EB">
              <w:rPr>
                <w:rFonts w:ascii="Times New Roman" w:hAnsi="Times New Roman" w:cs="Times New Roman"/>
                <w:sz w:val="16"/>
                <w:szCs w:val="16"/>
              </w:rPr>
              <w:t>).</w:t>
            </w:r>
          </w:p>
        </w:tc>
      </w:tr>
      <w:tr w:rsidR="005856C6" w:rsidRPr="004133EB" w14:paraId="0E6C6E28" w14:textId="77777777" w:rsidTr="005A6F4A">
        <w:trPr>
          <w:trHeight w:val="450"/>
        </w:trPr>
        <w:tc>
          <w:tcPr>
            <w:tcW w:w="452" w:type="dxa"/>
            <w:vMerge/>
            <w:hideMark/>
          </w:tcPr>
          <w:p w14:paraId="18C4F701"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5744B1FC"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016CFB79"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4CF80C26"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62F6FAAD"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37FBA13B"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4B651ADE"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00C4869A"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3DD98ECF" w14:textId="77777777" w:rsidTr="005A6F4A">
        <w:trPr>
          <w:trHeight w:val="1620"/>
        </w:trPr>
        <w:tc>
          <w:tcPr>
            <w:tcW w:w="452" w:type="dxa"/>
            <w:vMerge/>
            <w:hideMark/>
          </w:tcPr>
          <w:p w14:paraId="70CAAE73"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2A9366C8"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73DABF39"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29E6F33B"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1C0DEC49"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5D2E7BCB" w14:textId="77777777" w:rsidR="006001B4" w:rsidRPr="004133EB" w:rsidRDefault="006001B4" w:rsidP="006001B4">
            <w:pPr>
              <w:pStyle w:val="Sinespaciado"/>
              <w:jc w:val="both"/>
              <w:rPr>
                <w:rFonts w:ascii="Times New Roman" w:hAnsi="Times New Roman" w:cs="Times New Roman"/>
                <w:sz w:val="16"/>
                <w:szCs w:val="16"/>
              </w:rPr>
            </w:pPr>
          </w:p>
        </w:tc>
        <w:tc>
          <w:tcPr>
            <w:tcW w:w="452" w:type="dxa"/>
            <w:noWrap/>
            <w:hideMark/>
          </w:tcPr>
          <w:p w14:paraId="5B4FFB54"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9</w:t>
            </w:r>
          </w:p>
        </w:tc>
        <w:tc>
          <w:tcPr>
            <w:tcW w:w="1675" w:type="dxa"/>
            <w:hideMark/>
          </w:tcPr>
          <w:p w14:paraId="2669A487" w14:textId="77777777" w:rsidR="006001B4" w:rsidRPr="004133EB" w:rsidRDefault="006001B4" w:rsidP="004D4E30">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3937C5">
              <w:rPr>
                <w:rFonts w:ascii="Times New Roman" w:hAnsi="Times New Roman" w:cs="Times New Roman"/>
                <w:sz w:val="16"/>
                <w:szCs w:val="16"/>
              </w:rPr>
              <w:t>4</w:t>
            </w:r>
            <w:r w:rsidRPr="004133EB">
              <w:rPr>
                <w:rFonts w:ascii="Times New Roman" w:hAnsi="Times New Roman" w:cs="Times New Roman"/>
                <w:sz w:val="16"/>
                <w:szCs w:val="16"/>
              </w:rPr>
              <w:t xml:space="preserve">, se ha incrementado en 21 puntos porcentuales el acceso a saneamiento básico en los hogares guatemaltecos  </w:t>
            </w:r>
            <w:r w:rsidRPr="004133EB">
              <w:rPr>
                <w:rFonts w:ascii="Times New Roman" w:hAnsi="Times New Roman" w:cs="Times New Roman"/>
                <w:sz w:val="16"/>
                <w:szCs w:val="16"/>
              </w:rPr>
              <w:br/>
              <w:t>(</w:t>
            </w:r>
            <w:r w:rsidR="004D4E30" w:rsidRPr="004133EB">
              <w:rPr>
                <w:rFonts w:ascii="Times New Roman" w:hAnsi="Times New Roman" w:cs="Times New Roman"/>
                <w:sz w:val="16"/>
                <w:szCs w:val="16"/>
              </w:rPr>
              <w:t>De 53.3% en 2014 a 74.3% en 2025</w:t>
            </w:r>
            <w:r w:rsidRPr="004133EB">
              <w:rPr>
                <w:rFonts w:ascii="Times New Roman" w:hAnsi="Times New Roman" w:cs="Times New Roman"/>
                <w:sz w:val="16"/>
                <w:szCs w:val="16"/>
              </w:rPr>
              <w:t>).</w:t>
            </w:r>
          </w:p>
        </w:tc>
      </w:tr>
      <w:tr w:rsidR="005856C6" w:rsidRPr="004133EB" w14:paraId="22B0A5FE" w14:textId="77777777" w:rsidTr="005A6F4A">
        <w:trPr>
          <w:trHeight w:val="1650"/>
        </w:trPr>
        <w:tc>
          <w:tcPr>
            <w:tcW w:w="452" w:type="dxa"/>
            <w:vMerge/>
            <w:hideMark/>
          </w:tcPr>
          <w:p w14:paraId="5E4864C7"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1A4F0E5F"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65E71173"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6C9558CB"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387C52CA"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val="restart"/>
            <w:hideMark/>
          </w:tcPr>
          <w:p w14:paraId="1480F0B8"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2020, promover la ordenación sostenible de todos los tipos de bosques, poner fin a la deforestación, recuperar los bosques degradados e incrementar la forestación y la reforestación a nivel de país.</w:t>
            </w:r>
          </w:p>
        </w:tc>
        <w:tc>
          <w:tcPr>
            <w:tcW w:w="452" w:type="dxa"/>
            <w:vMerge w:val="restart"/>
            <w:noWrap/>
            <w:hideMark/>
          </w:tcPr>
          <w:p w14:paraId="319F7473"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10</w:t>
            </w:r>
          </w:p>
        </w:tc>
        <w:tc>
          <w:tcPr>
            <w:tcW w:w="1675" w:type="dxa"/>
            <w:vMerge w:val="restart"/>
            <w:hideMark/>
          </w:tcPr>
          <w:p w14:paraId="4D431CB2" w14:textId="77777777" w:rsidR="006001B4" w:rsidRPr="004133EB" w:rsidRDefault="004D4E30" w:rsidP="003937C5">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3937C5">
              <w:rPr>
                <w:rFonts w:ascii="Times New Roman" w:hAnsi="Times New Roman" w:cs="Times New Roman"/>
                <w:sz w:val="16"/>
                <w:szCs w:val="16"/>
              </w:rPr>
              <w:t>4</w:t>
            </w:r>
            <w:r w:rsidR="006001B4" w:rsidRPr="004133EB">
              <w:rPr>
                <w:rFonts w:ascii="Times New Roman" w:hAnsi="Times New Roman" w:cs="Times New Roman"/>
                <w:sz w:val="16"/>
                <w:szCs w:val="16"/>
              </w:rPr>
              <w:t>, se ha incrementado la cobertura forestal a 33.7 por ciento a nivel nacional 33.0% en 2016)</w:t>
            </w:r>
          </w:p>
        </w:tc>
      </w:tr>
      <w:tr w:rsidR="005856C6" w:rsidRPr="004133EB" w14:paraId="5F743294" w14:textId="77777777" w:rsidTr="00484ED3">
        <w:trPr>
          <w:trHeight w:val="754"/>
        </w:trPr>
        <w:tc>
          <w:tcPr>
            <w:tcW w:w="452" w:type="dxa"/>
            <w:vMerge/>
            <w:hideMark/>
          </w:tcPr>
          <w:p w14:paraId="6DDCC621"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49A9DD6B"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14A02E69"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60213222"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748D20D5"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65318D74"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390C8191"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2FD37D21"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2D9409EE" w14:textId="77777777" w:rsidTr="005A6F4A">
        <w:trPr>
          <w:trHeight w:val="1650"/>
        </w:trPr>
        <w:tc>
          <w:tcPr>
            <w:tcW w:w="452" w:type="dxa"/>
            <w:vMerge/>
            <w:hideMark/>
          </w:tcPr>
          <w:p w14:paraId="07C53E92"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34FE229C"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14827DA9"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6D1B7EB4"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52D8B614"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5ECDEC50" w14:textId="77777777" w:rsidR="006001B4" w:rsidRPr="004133EB" w:rsidRDefault="006001B4" w:rsidP="006001B4">
            <w:pPr>
              <w:pStyle w:val="Sinespaciado"/>
              <w:jc w:val="both"/>
              <w:rPr>
                <w:rFonts w:ascii="Times New Roman" w:hAnsi="Times New Roman" w:cs="Times New Roman"/>
                <w:sz w:val="16"/>
                <w:szCs w:val="16"/>
              </w:rPr>
            </w:pPr>
          </w:p>
        </w:tc>
        <w:tc>
          <w:tcPr>
            <w:tcW w:w="452" w:type="dxa"/>
            <w:noWrap/>
            <w:hideMark/>
          </w:tcPr>
          <w:p w14:paraId="1CEFAB1B"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11</w:t>
            </w:r>
          </w:p>
        </w:tc>
        <w:tc>
          <w:tcPr>
            <w:tcW w:w="1675" w:type="dxa"/>
            <w:hideMark/>
          </w:tcPr>
          <w:p w14:paraId="3183EFD2" w14:textId="77777777" w:rsidR="006001B4" w:rsidRPr="004133EB" w:rsidRDefault="006001B4" w:rsidP="003937C5">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3937C5">
              <w:rPr>
                <w:rFonts w:ascii="Times New Roman" w:hAnsi="Times New Roman" w:cs="Times New Roman"/>
                <w:sz w:val="16"/>
                <w:szCs w:val="16"/>
              </w:rPr>
              <w:t>4</w:t>
            </w:r>
            <w:r w:rsidRPr="004133EB">
              <w:rPr>
                <w:rFonts w:ascii="Times New Roman" w:hAnsi="Times New Roman" w:cs="Times New Roman"/>
                <w:sz w:val="16"/>
                <w:szCs w:val="16"/>
              </w:rPr>
              <w:t xml:space="preserve">, se ha incrementado en 3.29 puntos porcentuales el índice de cobertura de energía eléctrica para uso domiciliar, a nivel nacional  </w:t>
            </w:r>
            <w:r w:rsidRPr="004133EB">
              <w:rPr>
                <w:rFonts w:ascii="Times New Roman" w:hAnsi="Times New Roman" w:cs="Times New Roman"/>
                <w:sz w:val="16"/>
                <w:szCs w:val="16"/>
              </w:rPr>
              <w:br/>
              <w:t>(De</w:t>
            </w:r>
            <w:r w:rsidR="004D4E30" w:rsidRPr="004133EB">
              <w:rPr>
                <w:rFonts w:ascii="Times New Roman" w:hAnsi="Times New Roman" w:cs="Times New Roman"/>
                <w:sz w:val="16"/>
                <w:szCs w:val="16"/>
              </w:rPr>
              <w:t xml:space="preserve"> 92.96% en 2017 a 96.25% en 2025</w:t>
            </w:r>
            <w:r w:rsidRPr="004133EB">
              <w:rPr>
                <w:rFonts w:ascii="Times New Roman" w:hAnsi="Times New Roman" w:cs="Times New Roman"/>
                <w:sz w:val="16"/>
                <w:szCs w:val="16"/>
              </w:rPr>
              <w:t>).</w:t>
            </w:r>
          </w:p>
        </w:tc>
      </w:tr>
      <w:tr w:rsidR="005856C6" w:rsidRPr="004133EB" w14:paraId="260A175D" w14:textId="77777777" w:rsidTr="005A6F4A">
        <w:trPr>
          <w:trHeight w:val="1260"/>
        </w:trPr>
        <w:tc>
          <w:tcPr>
            <w:tcW w:w="452" w:type="dxa"/>
            <w:vMerge/>
            <w:hideMark/>
          </w:tcPr>
          <w:p w14:paraId="234DC39C"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7955EA78"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701103A3"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57C582C5"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4F369176"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7B774A29"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val="restart"/>
            <w:noWrap/>
            <w:hideMark/>
          </w:tcPr>
          <w:p w14:paraId="2A64EF1F"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12</w:t>
            </w:r>
          </w:p>
        </w:tc>
        <w:tc>
          <w:tcPr>
            <w:tcW w:w="1675" w:type="dxa"/>
            <w:vMerge w:val="restart"/>
            <w:hideMark/>
          </w:tcPr>
          <w:p w14:paraId="7D364536" w14:textId="77777777" w:rsidR="006001B4" w:rsidRPr="004133EB" w:rsidRDefault="006001B4" w:rsidP="004D4E30">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3937C5">
              <w:rPr>
                <w:rFonts w:ascii="Times New Roman" w:hAnsi="Times New Roman" w:cs="Times New Roman"/>
                <w:sz w:val="16"/>
                <w:szCs w:val="16"/>
              </w:rPr>
              <w:t>4</w:t>
            </w:r>
            <w:r w:rsidRPr="004133EB">
              <w:rPr>
                <w:rFonts w:ascii="Times New Roman" w:hAnsi="Times New Roman" w:cs="Times New Roman"/>
                <w:sz w:val="16"/>
                <w:szCs w:val="16"/>
              </w:rPr>
              <w:t xml:space="preserve"> se ha disminuido en 25 por cientos el consumo excedente de leña a nivel nacional  </w:t>
            </w:r>
            <w:r w:rsidRPr="004133EB">
              <w:rPr>
                <w:rFonts w:ascii="Times New Roman" w:hAnsi="Times New Roman" w:cs="Times New Roman"/>
                <w:sz w:val="16"/>
                <w:szCs w:val="16"/>
              </w:rPr>
              <w:br/>
              <w:t>(De 5,725,290 toneladas en 2018 a 4,293,967.5 toneladas en 202</w:t>
            </w:r>
            <w:r w:rsidR="00A944AB" w:rsidRPr="004133EB">
              <w:rPr>
                <w:rFonts w:ascii="Times New Roman" w:hAnsi="Times New Roman" w:cs="Times New Roman"/>
                <w:sz w:val="16"/>
                <w:szCs w:val="16"/>
              </w:rPr>
              <w:t>5</w:t>
            </w:r>
            <w:r w:rsidRPr="004133EB">
              <w:rPr>
                <w:rFonts w:ascii="Times New Roman" w:hAnsi="Times New Roman" w:cs="Times New Roman"/>
                <w:sz w:val="16"/>
                <w:szCs w:val="16"/>
              </w:rPr>
              <w:t>)</w:t>
            </w:r>
          </w:p>
        </w:tc>
      </w:tr>
      <w:tr w:rsidR="005856C6" w:rsidRPr="004133EB" w14:paraId="70F9748D" w14:textId="77777777" w:rsidTr="005A6F4A">
        <w:trPr>
          <w:trHeight w:val="450"/>
        </w:trPr>
        <w:tc>
          <w:tcPr>
            <w:tcW w:w="452" w:type="dxa"/>
            <w:vMerge/>
            <w:hideMark/>
          </w:tcPr>
          <w:p w14:paraId="6C2F103E"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648F02F9"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5D71EC63"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76867B50"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203594BD"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4297E70F"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58880077"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7486C326"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6D2272A9" w14:textId="77777777" w:rsidTr="00484ED3">
        <w:trPr>
          <w:trHeight w:val="1416"/>
        </w:trPr>
        <w:tc>
          <w:tcPr>
            <w:tcW w:w="452" w:type="dxa"/>
            <w:vMerge w:val="restart"/>
            <w:noWrap/>
            <w:hideMark/>
          </w:tcPr>
          <w:p w14:paraId="2CF926DB"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2095" w:type="dxa"/>
            <w:vMerge w:val="restart"/>
            <w:hideMark/>
          </w:tcPr>
          <w:p w14:paraId="6D546D1B"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br/>
              <w:t>8. Promover el crecimiento económico sostenido, inclusivo y sostenible, el empleo pleno y productivo y el trabajo decente para todos.</w:t>
            </w:r>
            <w:r w:rsidRPr="004133EB">
              <w:rPr>
                <w:rFonts w:ascii="Times New Roman" w:hAnsi="Times New Roman" w:cs="Times New Roman"/>
                <w:sz w:val="16"/>
                <w:szCs w:val="16"/>
              </w:rPr>
              <w:br/>
              <w:t xml:space="preserve">9. Construir infraestructura resiliente, promover la industrialización inclusiva y sostenible y fomentar la </w:t>
            </w:r>
            <w:r w:rsidR="00A944AB" w:rsidRPr="004133EB">
              <w:rPr>
                <w:rFonts w:ascii="Times New Roman" w:hAnsi="Times New Roman" w:cs="Times New Roman"/>
                <w:sz w:val="16"/>
                <w:szCs w:val="16"/>
              </w:rPr>
              <w:t>innovación</w:t>
            </w:r>
            <w:r w:rsidRPr="004133EB">
              <w:rPr>
                <w:rFonts w:ascii="Times New Roman" w:hAnsi="Times New Roman" w:cs="Times New Roman"/>
                <w:sz w:val="16"/>
                <w:szCs w:val="16"/>
              </w:rPr>
              <w:t>.</w:t>
            </w:r>
            <w:r w:rsidRPr="004133EB">
              <w:rPr>
                <w:rFonts w:ascii="Times New Roman" w:hAnsi="Times New Roman" w:cs="Times New Roman"/>
                <w:sz w:val="16"/>
                <w:szCs w:val="16"/>
              </w:rPr>
              <w:br/>
              <w:t>16. Promover sociedades pacíficas e inclusivas para el desarrollo sostenible, facilitar el acceso a la justicia para todos y crear instituciones eficaces, responsables e inclusivas a todos los niveles.</w:t>
            </w:r>
          </w:p>
          <w:p w14:paraId="5AEAA4EF" w14:textId="77777777" w:rsidR="003F4A7F" w:rsidRPr="004133EB" w:rsidRDefault="003F4A7F" w:rsidP="003F4A7F">
            <w:pPr>
              <w:rPr>
                <w:rFonts w:ascii="Times New Roman" w:hAnsi="Times New Roman" w:cs="Times New Roman"/>
              </w:rPr>
            </w:pPr>
          </w:p>
          <w:p w14:paraId="76C6560A" w14:textId="77777777" w:rsidR="003F4A7F" w:rsidRPr="004133EB" w:rsidRDefault="003F4A7F" w:rsidP="003F4A7F">
            <w:pPr>
              <w:rPr>
                <w:rFonts w:ascii="Times New Roman" w:hAnsi="Times New Roman" w:cs="Times New Roman"/>
              </w:rPr>
            </w:pPr>
          </w:p>
          <w:p w14:paraId="31DFA915" w14:textId="77777777" w:rsidR="003F4A7F" w:rsidRPr="004133EB" w:rsidRDefault="003F4A7F" w:rsidP="003F4A7F">
            <w:pPr>
              <w:rPr>
                <w:rFonts w:ascii="Times New Roman" w:hAnsi="Times New Roman" w:cs="Times New Roman"/>
              </w:rPr>
            </w:pPr>
          </w:p>
          <w:p w14:paraId="6C665062" w14:textId="77777777" w:rsidR="003F4A7F" w:rsidRPr="004133EB" w:rsidRDefault="003F4A7F" w:rsidP="003F4A7F">
            <w:pPr>
              <w:rPr>
                <w:rFonts w:ascii="Times New Roman" w:hAnsi="Times New Roman" w:cs="Times New Roman"/>
              </w:rPr>
            </w:pPr>
          </w:p>
          <w:p w14:paraId="2C26C3ED" w14:textId="77777777" w:rsidR="003F4A7F" w:rsidRPr="004133EB" w:rsidRDefault="003F4A7F" w:rsidP="003F4A7F">
            <w:pPr>
              <w:rPr>
                <w:rFonts w:ascii="Times New Roman" w:hAnsi="Times New Roman" w:cs="Times New Roman"/>
              </w:rPr>
            </w:pPr>
          </w:p>
        </w:tc>
        <w:tc>
          <w:tcPr>
            <w:tcW w:w="452" w:type="dxa"/>
            <w:vMerge w:val="restart"/>
            <w:noWrap/>
            <w:hideMark/>
          </w:tcPr>
          <w:p w14:paraId="66372C8B"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870" w:type="dxa"/>
            <w:vMerge w:val="restart"/>
            <w:noWrap/>
            <w:hideMark/>
          </w:tcPr>
          <w:p w14:paraId="6DB4BB57"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Empleo e inversión</w:t>
            </w:r>
          </w:p>
        </w:tc>
        <w:tc>
          <w:tcPr>
            <w:tcW w:w="452" w:type="dxa"/>
            <w:noWrap/>
            <w:hideMark/>
          </w:tcPr>
          <w:p w14:paraId="4983F98F"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hideMark/>
          </w:tcPr>
          <w:p w14:paraId="6709ADA7"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En 2032, el crecimiento del PIB real ha sido paulatino y sostenido, hasta alcanzar una tasa no menor del 5.4%: a) Rango entre 3.4 y 4.4% en el quinquenio 2015-2020, b) Rango entre 4.4 y 5.4% en el quinquenio 2021-2025, c) no menor del 5.4 en los siguientes años, hasta llegar a 2032.</w:t>
            </w:r>
          </w:p>
        </w:tc>
        <w:tc>
          <w:tcPr>
            <w:tcW w:w="452" w:type="dxa"/>
            <w:noWrap/>
            <w:hideMark/>
          </w:tcPr>
          <w:p w14:paraId="7957BD2D"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13</w:t>
            </w:r>
          </w:p>
        </w:tc>
        <w:tc>
          <w:tcPr>
            <w:tcW w:w="1675" w:type="dxa"/>
            <w:hideMark/>
          </w:tcPr>
          <w:p w14:paraId="36015B90" w14:textId="77777777" w:rsidR="006001B4" w:rsidRPr="004133EB" w:rsidRDefault="006001B4" w:rsidP="003937C5">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3937C5">
              <w:rPr>
                <w:rFonts w:ascii="Times New Roman" w:hAnsi="Times New Roman" w:cs="Times New Roman"/>
                <w:sz w:val="16"/>
                <w:szCs w:val="16"/>
              </w:rPr>
              <w:t>4</w:t>
            </w:r>
            <w:r w:rsidRPr="004133EB">
              <w:rPr>
                <w:rFonts w:ascii="Times New Roman" w:hAnsi="Times New Roman" w:cs="Times New Roman"/>
                <w:sz w:val="16"/>
                <w:szCs w:val="16"/>
              </w:rPr>
              <w:t>, se ha incrementado en 3.5 puntos porcentuales, la tasa de crecimiento del PIB (De 3.1% en 2018 a 3.5% en 202</w:t>
            </w:r>
            <w:r w:rsidR="004D4E30" w:rsidRPr="004133EB">
              <w:rPr>
                <w:rFonts w:ascii="Times New Roman" w:hAnsi="Times New Roman" w:cs="Times New Roman"/>
                <w:sz w:val="16"/>
                <w:szCs w:val="16"/>
              </w:rPr>
              <w:t>5</w:t>
            </w:r>
            <w:r w:rsidRPr="004133EB">
              <w:rPr>
                <w:rFonts w:ascii="Times New Roman" w:hAnsi="Times New Roman" w:cs="Times New Roman"/>
                <w:sz w:val="16"/>
                <w:szCs w:val="16"/>
              </w:rPr>
              <w:t xml:space="preserve">). </w:t>
            </w:r>
          </w:p>
        </w:tc>
      </w:tr>
      <w:tr w:rsidR="005856C6" w:rsidRPr="004133EB" w14:paraId="591D2002" w14:textId="77777777" w:rsidTr="005A6F4A">
        <w:trPr>
          <w:trHeight w:val="450"/>
        </w:trPr>
        <w:tc>
          <w:tcPr>
            <w:tcW w:w="452" w:type="dxa"/>
            <w:vMerge/>
            <w:hideMark/>
          </w:tcPr>
          <w:p w14:paraId="5D95A4F2"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50E5B2F4"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170F08B8"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36CE38A9"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val="restart"/>
            <w:noWrap/>
            <w:hideMark/>
          </w:tcPr>
          <w:p w14:paraId="20607F9E"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vMerge w:val="restart"/>
            <w:hideMark/>
          </w:tcPr>
          <w:p w14:paraId="310C8A2B"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2030, elaborar y poner en práctica políticas encaminadas a promover un turismo sostenible que cree puestos de trabajo y promueva la cultura y los productos locales.</w:t>
            </w:r>
          </w:p>
        </w:tc>
        <w:tc>
          <w:tcPr>
            <w:tcW w:w="452" w:type="dxa"/>
            <w:vMerge w:val="restart"/>
            <w:noWrap/>
            <w:hideMark/>
          </w:tcPr>
          <w:p w14:paraId="491D6F2F"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14</w:t>
            </w:r>
          </w:p>
        </w:tc>
        <w:tc>
          <w:tcPr>
            <w:tcW w:w="1675" w:type="dxa"/>
            <w:vMerge w:val="restart"/>
            <w:hideMark/>
          </w:tcPr>
          <w:p w14:paraId="093F3691" w14:textId="77777777" w:rsidR="006001B4" w:rsidRPr="004133EB" w:rsidRDefault="006001B4" w:rsidP="003937C5">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3937C5">
              <w:rPr>
                <w:rFonts w:ascii="Times New Roman" w:hAnsi="Times New Roman" w:cs="Times New Roman"/>
                <w:sz w:val="16"/>
                <w:szCs w:val="16"/>
              </w:rPr>
              <w:t>4</w:t>
            </w:r>
            <w:r w:rsidRPr="004133EB">
              <w:rPr>
                <w:rFonts w:ascii="Times New Roman" w:hAnsi="Times New Roman" w:cs="Times New Roman"/>
                <w:sz w:val="16"/>
                <w:szCs w:val="16"/>
              </w:rPr>
              <w:t xml:space="preserve">, se ha mantenido en 3.5 de calificación del índice de competitividad turística </w:t>
            </w:r>
            <w:r w:rsidRPr="004133EB">
              <w:rPr>
                <w:rFonts w:ascii="Times New Roman" w:hAnsi="Times New Roman" w:cs="Times New Roman"/>
                <w:sz w:val="16"/>
                <w:szCs w:val="16"/>
              </w:rPr>
              <w:br/>
              <w:t>(de 3.5 en la edición 2017 del foro de económico mundial).</w:t>
            </w:r>
          </w:p>
        </w:tc>
      </w:tr>
      <w:tr w:rsidR="005856C6" w:rsidRPr="004133EB" w14:paraId="60F815B3" w14:textId="77777777" w:rsidTr="005A6F4A">
        <w:trPr>
          <w:trHeight w:val="1679"/>
        </w:trPr>
        <w:tc>
          <w:tcPr>
            <w:tcW w:w="452" w:type="dxa"/>
            <w:vMerge/>
            <w:hideMark/>
          </w:tcPr>
          <w:p w14:paraId="4D61C391"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3A987F85"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0760F619"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2DCDDC53"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4D8A1B51"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4646D0FC"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25CC363B"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26493161"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301AE752" w14:textId="77777777" w:rsidTr="005A6F4A">
        <w:trPr>
          <w:trHeight w:val="3420"/>
        </w:trPr>
        <w:tc>
          <w:tcPr>
            <w:tcW w:w="452" w:type="dxa"/>
            <w:vMerge/>
            <w:hideMark/>
          </w:tcPr>
          <w:p w14:paraId="28656E76"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564B7710"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2823849E"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75A37923"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val="restart"/>
            <w:noWrap/>
            <w:hideMark/>
          </w:tcPr>
          <w:p w14:paraId="1B6B2875"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vMerge w:val="restart"/>
            <w:hideMark/>
          </w:tcPr>
          <w:p w14:paraId="78FBC3FA"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Se ha reducido la precariedad laboral mediante la generación de empleos decentes y de calidad. a) Disminución gradual de la tasa de subempleo a partir del último dato disponible: 16.9% b) Disminución gradual de la informalidad a partir del último dato disponible: 69.2%. c) disminución gradual de la tasa de desempleo a partir del último dato disponible: 3.2%. d) Eliminación del porcentaje de trabajadores que viven en pobreza extrema.</w:t>
            </w:r>
          </w:p>
        </w:tc>
        <w:tc>
          <w:tcPr>
            <w:tcW w:w="452" w:type="dxa"/>
            <w:vMerge w:val="restart"/>
            <w:noWrap/>
            <w:hideMark/>
          </w:tcPr>
          <w:p w14:paraId="6D9A45DA"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15</w:t>
            </w:r>
          </w:p>
        </w:tc>
        <w:tc>
          <w:tcPr>
            <w:tcW w:w="1675" w:type="dxa"/>
            <w:vMerge w:val="restart"/>
            <w:hideMark/>
          </w:tcPr>
          <w:p w14:paraId="5276BC19" w14:textId="77777777" w:rsidR="006001B4" w:rsidRPr="004133EB" w:rsidRDefault="006001B4" w:rsidP="003937C5">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3937C5">
              <w:rPr>
                <w:rFonts w:ascii="Times New Roman" w:hAnsi="Times New Roman" w:cs="Times New Roman"/>
                <w:sz w:val="16"/>
                <w:szCs w:val="16"/>
              </w:rPr>
              <w:t>4</w:t>
            </w:r>
            <w:r w:rsidRPr="004133EB">
              <w:rPr>
                <w:rFonts w:ascii="Times New Roman" w:hAnsi="Times New Roman" w:cs="Times New Roman"/>
                <w:sz w:val="16"/>
                <w:szCs w:val="16"/>
              </w:rPr>
              <w:t>, se ha incrementado la formalidad del empleo en 5.8 puntos porcentuales</w:t>
            </w:r>
            <w:r w:rsidRPr="004133EB">
              <w:rPr>
                <w:rFonts w:ascii="Times New Roman" w:hAnsi="Times New Roman" w:cs="Times New Roman"/>
                <w:sz w:val="16"/>
                <w:szCs w:val="16"/>
              </w:rPr>
              <w:br/>
              <w:t>(De 30.5% en 2018</w:t>
            </w:r>
            <w:r w:rsidR="00121994" w:rsidRPr="004133EB">
              <w:rPr>
                <w:rFonts w:ascii="Times New Roman" w:hAnsi="Times New Roman" w:cs="Times New Roman"/>
                <w:sz w:val="16"/>
                <w:szCs w:val="16"/>
              </w:rPr>
              <w:t xml:space="preserve"> </w:t>
            </w:r>
            <w:r w:rsidR="004D4E30" w:rsidRPr="004133EB">
              <w:rPr>
                <w:rFonts w:ascii="Times New Roman" w:hAnsi="Times New Roman" w:cs="Times New Roman"/>
                <w:sz w:val="16"/>
                <w:szCs w:val="16"/>
              </w:rPr>
              <w:t>a 36.30% en 2025</w:t>
            </w:r>
            <w:r w:rsidRPr="004133EB">
              <w:rPr>
                <w:rFonts w:ascii="Times New Roman" w:hAnsi="Times New Roman" w:cs="Times New Roman"/>
                <w:sz w:val="16"/>
                <w:szCs w:val="16"/>
              </w:rPr>
              <w:t>)</w:t>
            </w:r>
          </w:p>
        </w:tc>
      </w:tr>
      <w:tr w:rsidR="005856C6" w:rsidRPr="004133EB" w14:paraId="386AA27E" w14:textId="77777777" w:rsidTr="005A6F4A">
        <w:trPr>
          <w:trHeight w:val="885"/>
        </w:trPr>
        <w:tc>
          <w:tcPr>
            <w:tcW w:w="452" w:type="dxa"/>
            <w:vMerge/>
            <w:hideMark/>
          </w:tcPr>
          <w:p w14:paraId="1328FF45"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26D5C2AC"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719A1AB2"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3FFF132E"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378F9092"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19AA081C"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2B05D032"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1910E695"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17355F38" w14:textId="77777777" w:rsidTr="005A6F4A">
        <w:trPr>
          <w:trHeight w:val="1275"/>
        </w:trPr>
        <w:tc>
          <w:tcPr>
            <w:tcW w:w="452" w:type="dxa"/>
            <w:vMerge w:val="restart"/>
            <w:noWrap/>
            <w:hideMark/>
          </w:tcPr>
          <w:p w14:paraId="6DE896BC"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2095" w:type="dxa"/>
            <w:vMerge w:val="restart"/>
            <w:hideMark/>
          </w:tcPr>
          <w:p w14:paraId="0EEB97C5"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 Terminar con la pobreza en todas sus formas en todas partes.</w:t>
            </w:r>
            <w:r w:rsidRPr="004133EB">
              <w:rPr>
                <w:rFonts w:ascii="Times New Roman" w:hAnsi="Times New Roman" w:cs="Times New Roman"/>
                <w:sz w:val="16"/>
                <w:szCs w:val="16"/>
              </w:rPr>
              <w:br/>
              <w:t>10. Reducir la desigualdad en y entre los países.</w:t>
            </w:r>
            <w:r w:rsidRPr="004133EB">
              <w:rPr>
                <w:rFonts w:ascii="Times New Roman" w:hAnsi="Times New Roman" w:cs="Times New Roman"/>
                <w:sz w:val="16"/>
                <w:szCs w:val="16"/>
              </w:rPr>
              <w:br/>
              <w:t>11. Lograr que las ciudades y los asentamientos humanos sean inclusivos, seguros, resilientes y sostenibles.</w:t>
            </w:r>
            <w:r w:rsidRPr="004133EB">
              <w:rPr>
                <w:rFonts w:ascii="Times New Roman" w:hAnsi="Times New Roman" w:cs="Times New Roman"/>
                <w:sz w:val="16"/>
                <w:szCs w:val="16"/>
              </w:rPr>
              <w:br/>
              <w:t>16. Promover sociedades pacíficas e inclusivas para el desarrollo sostenible, facilitar el acceso a la justicia para todos y crear instituciones eficaces, responsables e inclusivas a todos los niveles.</w:t>
            </w:r>
          </w:p>
        </w:tc>
        <w:tc>
          <w:tcPr>
            <w:tcW w:w="452" w:type="dxa"/>
            <w:vMerge w:val="restart"/>
            <w:noWrap/>
            <w:hideMark/>
          </w:tcPr>
          <w:p w14:paraId="7F2A2293"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870" w:type="dxa"/>
            <w:vMerge w:val="restart"/>
            <w:hideMark/>
          </w:tcPr>
          <w:p w14:paraId="0E7D6295"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Fortalecimiento institucional, seguridad y justicia</w:t>
            </w:r>
          </w:p>
        </w:tc>
        <w:tc>
          <w:tcPr>
            <w:tcW w:w="452" w:type="dxa"/>
            <w:vMerge w:val="restart"/>
            <w:noWrap/>
            <w:hideMark/>
          </w:tcPr>
          <w:p w14:paraId="7B3BA74C"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vMerge w:val="restart"/>
            <w:noWrap/>
            <w:hideMark/>
          </w:tcPr>
          <w:p w14:paraId="3A8DFF27"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452" w:type="dxa"/>
            <w:noWrap/>
            <w:hideMark/>
          </w:tcPr>
          <w:p w14:paraId="74824E69"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16</w:t>
            </w:r>
          </w:p>
        </w:tc>
        <w:tc>
          <w:tcPr>
            <w:tcW w:w="1675" w:type="dxa"/>
            <w:hideMark/>
          </w:tcPr>
          <w:p w14:paraId="46070AC7"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3937C5">
              <w:rPr>
                <w:rFonts w:ascii="Times New Roman" w:hAnsi="Times New Roman" w:cs="Times New Roman"/>
                <w:sz w:val="16"/>
                <w:szCs w:val="16"/>
              </w:rPr>
              <w:t>4</w:t>
            </w:r>
            <w:r w:rsidRPr="004133EB">
              <w:rPr>
                <w:rFonts w:ascii="Times New Roman" w:hAnsi="Times New Roman" w:cs="Times New Roman"/>
                <w:sz w:val="16"/>
                <w:szCs w:val="16"/>
              </w:rPr>
              <w:t>, se ha disminuido la tasa de homicidios en 11 puntos (De 21.5 en 2019 a 10.5 por cada cien mil habitantes en 202</w:t>
            </w:r>
            <w:r w:rsidR="00A944AB" w:rsidRPr="004133EB">
              <w:rPr>
                <w:rFonts w:ascii="Times New Roman" w:hAnsi="Times New Roman" w:cs="Times New Roman"/>
                <w:sz w:val="16"/>
                <w:szCs w:val="16"/>
              </w:rPr>
              <w:t>5</w:t>
            </w:r>
            <w:r w:rsidRPr="004133EB">
              <w:rPr>
                <w:rFonts w:ascii="Times New Roman" w:hAnsi="Times New Roman" w:cs="Times New Roman"/>
                <w:sz w:val="16"/>
                <w:szCs w:val="16"/>
              </w:rPr>
              <w:t>)</w:t>
            </w:r>
          </w:p>
        </w:tc>
      </w:tr>
      <w:tr w:rsidR="005856C6" w:rsidRPr="004133EB" w14:paraId="1EA2D808" w14:textId="77777777" w:rsidTr="005A6F4A">
        <w:trPr>
          <w:trHeight w:val="1050"/>
        </w:trPr>
        <w:tc>
          <w:tcPr>
            <w:tcW w:w="452" w:type="dxa"/>
            <w:vMerge/>
            <w:hideMark/>
          </w:tcPr>
          <w:p w14:paraId="7592A289"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15724EA5"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5D3FC092"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71CB7674"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258C430B"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10F4BD10"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val="restart"/>
            <w:noWrap/>
            <w:hideMark/>
          </w:tcPr>
          <w:p w14:paraId="1805CDE8"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17</w:t>
            </w:r>
          </w:p>
        </w:tc>
        <w:tc>
          <w:tcPr>
            <w:tcW w:w="1675" w:type="dxa"/>
            <w:vMerge w:val="restart"/>
            <w:hideMark/>
          </w:tcPr>
          <w:p w14:paraId="31B8EE83" w14:textId="77777777" w:rsidR="006001B4" w:rsidRPr="004133EB" w:rsidRDefault="006001B4" w:rsidP="003937C5">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3937C5">
              <w:rPr>
                <w:rFonts w:ascii="Times New Roman" w:hAnsi="Times New Roman" w:cs="Times New Roman"/>
                <w:sz w:val="16"/>
                <w:szCs w:val="16"/>
              </w:rPr>
              <w:t>4</w:t>
            </w:r>
            <w:r w:rsidRPr="004133EB">
              <w:rPr>
                <w:rFonts w:ascii="Times New Roman" w:hAnsi="Times New Roman" w:cs="Times New Roman"/>
                <w:sz w:val="16"/>
                <w:szCs w:val="16"/>
              </w:rPr>
              <w:t xml:space="preserve">, se ha disminuido en 26 puntos la tasa de delitos cometidos contra el patrimonio de las personas </w:t>
            </w:r>
            <w:r w:rsidRPr="004133EB">
              <w:rPr>
                <w:rFonts w:ascii="Times New Roman" w:hAnsi="Times New Roman" w:cs="Times New Roman"/>
                <w:sz w:val="16"/>
                <w:szCs w:val="16"/>
              </w:rPr>
              <w:br/>
              <w:t>(De 56 en 2019 a 30.4 por cada cien mil habitantes en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w:t>
            </w:r>
          </w:p>
        </w:tc>
      </w:tr>
      <w:tr w:rsidR="005856C6" w:rsidRPr="004133EB" w14:paraId="1F980522" w14:textId="77777777" w:rsidTr="005A6F4A">
        <w:trPr>
          <w:trHeight w:val="1050"/>
        </w:trPr>
        <w:tc>
          <w:tcPr>
            <w:tcW w:w="452" w:type="dxa"/>
            <w:vMerge/>
            <w:hideMark/>
          </w:tcPr>
          <w:p w14:paraId="68466679"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6FD6194E"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0395AE04"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2041797D"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0ADE866E"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15D7F185"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185940B4" w14:textId="77777777" w:rsidR="006001B4" w:rsidRPr="004133EB" w:rsidRDefault="006001B4" w:rsidP="006001B4">
            <w:pPr>
              <w:pStyle w:val="Sinespaciado"/>
              <w:jc w:val="both"/>
              <w:rPr>
                <w:rFonts w:ascii="Times New Roman" w:hAnsi="Times New Roman" w:cs="Times New Roman"/>
                <w:sz w:val="16"/>
                <w:szCs w:val="16"/>
              </w:rPr>
            </w:pPr>
          </w:p>
        </w:tc>
        <w:tc>
          <w:tcPr>
            <w:tcW w:w="1675" w:type="dxa"/>
            <w:vMerge/>
            <w:hideMark/>
          </w:tcPr>
          <w:p w14:paraId="3313F483" w14:textId="77777777" w:rsidR="006001B4" w:rsidRPr="004133EB" w:rsidRDefault="006001B4" w:rsidP="006001B4">
            <w:pPr>
              <w:pStyle w:val="Sinespaciado"/>
              <w:jc w:val="both"/>
              <w:rPr>
                <w:rFonts w:ascii="Times New Roman" w:hAnsi="Times New Roman" w:cs="Times New Roman"/>
                <w:sz w:val="16"/>
                <w:szCs w:val="16"/>
              </w:rPr>
            </w:pPr>
          </w:p>
        </w:tc>
      </w:tr>
      <w:tr w:rsidR="005856C6" w:rsidRPr="004133EB" w14:paraId="3137F2B9" w14:textId="77777777" w:rsidTr="005A6F4A">
        <w:trPr>
          <w:trHeight w:val="1470"/>
        </w:trPr>
        <w:tc>
          <w:tcPr>
            <w:tcW w:w="452" w:type="dxa"/>
            <w:vMerge/>
            <w:hideMark/>
          </w:tcPr>
          <w:p w14:paraId="26099E07"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5A00409E"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56BBD194"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7E63EEFB"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5AD419AE"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15EA03DA" w14:textId="77777777" w:rsidR="006001B4" w:rsidRPr="004133EB" w:rsidRDefault="006001B4" w:rsidP="006001B4">
            <w:pPr>
              <w:pStyle w:val="Sinespaciado"/>
              <w:jc w:val="both"/>
              <w:rPr>
                <w:rFonts w:ascii="Times New Roman" w:hAnsi="Times New Roman" w:cs="Times New Roman"/>
                <w:sz w:val="16"/>
                <w:szCs w:val="16"/>
              </w:rPr>
            </w:pPr>
          </w:p>
        </w:tc>
        <w:tc>
          <w:tcPr>
            <w:tcW w:w="452" w:type="dxa"/>
            <w:noWrap/>
            <w:hideMark/>
          </w:tcPr>
          <w:p w14:paraId="4DA27B4A"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18</w:t>
            </w:r>
          </w:p>
        </w:tc>
        <w:tc>
          <w:tcPr>
            <w:tcW w:w="1675" w:type="dxa"/>
            <w:hideMark/>
          </w:tcPr>
          <w:p w14:paraId="6D60AF74" w14:textId="77777777" w:rsidR="006001B4" w:rsidRPr="004133EB" w:rsidRDefault="006001B4" w:rsidP="003937C5">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w:t>
            </w:r>
            <w:r w:rsidR="003937C5">
              <w:rPr>
                <w:rFonts w:ascii="Times New Roman" w:hAnsi="Times New Roman" w:cs="Times New Roman"/>
                <w:sz w:val="16"/>
                <w:szCs w:val="16"/>
              </w:rPr>
              <w:t>24</w:t>
            </w:r>
            <w:r w:rsidRPr="004133EB">
              <w:rPr>
                <w:rFonts w:ascii="Times New Roman" w:hAnsi="Times New Roman" w:cs="Times New Roman"/>
                <w:sz w:val="16"/>
                <w:szCs w:val="16"/>
              </w:rPr>
              <w:t xml:space="preserve">, se ha disminuido el porcentaje de hechos de tránsito en 16 puntos porcentuales </w:t>
            </w:r>
            <w:r w:rsidRPr="004133EB">
              <w:rPr>
                <w:rFonts w:ascii="Times New Roman" w:hAnsi="Times New Roman" w:cs="Times New Roman"/>
                <w:sz w:val="16"/>
                <w:szCs w:val="16"/>
              </w:rPr>
              <w:br/>
              <w:t>(De 87% de hechos de tránsito en 2019 a 71% en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w:t>
            </w:r>
          </w:p>
        </w:tc>
      </w:tr>
      <w:tr w:rsidR="005856C6" w:rsidRPr="004133EB" w14:paraId="34AFAB59" w14:textId="77777777" w:rsidTr="005A6F4A">
        <w:trPr>
          <w:trHeight w:val="1425"/>
        </w:trPr>
        <w:tc>
          <w:tcPr>
            <w:tcW w:w="452" w:type="dxa"/>
            <w:vMerge/>
            <w:hideMark/>
          </w:tcPr>
          <w:p w14:paraId="4A67672B"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7BEDACCB"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680ACF38"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01BC91B5"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3A2E719F"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22C9A254" w14:textId="77777777" w:rsidR="006001B4" w:rsidRPr="004133EB" w:rsidRDefault="006001B4" w:rsidP="006001B4">
            <w:pPr>
              <w:pStyle w:val="Sinespaciado"/>
              <w:jc w:val="both"/>
              <w:rPr>
                <w:rFonts w:ascii="Times New Roman" w:hAnsi="Times New Roman" w:cs="Times New Roman"/>
                <w:sz w:val="16"/>
                <w:szCs w:val="16"/>
              </w:rPr>
            </w:pPr>
          </w:p>
        </w:tc>
        <w:tc>
          <w:tcPr>
            <w:tcW w:w="452" w:type="dxa"/>
            <w:noWrap/>
            <w:hideMark/>
          </w:tcPr>
          <w:p w14:paraId="2C653886"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19</w:t>
            </w:r>
          </w:p>
        </w:tc>
        <w:tc>
          <w:tcPr>
            <w:tcW w:w="1675" w:type="dxa"/>
            <w:hideMark/>
          </w:tcPr>
          <w:p w14:paraId="42363583"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3937C5">
              <w:rPr>
                <w:rFonts w:ascii="Times New Roman" w:hAnsi="Times New Roman" w:cs="Times New Roman"/>
                <w:sz w:val="16"/>
                <w:szCs w:val="16"/>
              </w:rPr>
              <w:t>4</w:t>
            </w:r>
            <w:r w:rsidRPr="004133EB">
              <w:rPr>
                <w:rFonts w:ascii="Times New Roman" w:hAnsi="Times New Roman" w:cs="Times New Roman"/>
                <w:sz w:val="16"/>
                <w:szCs w:val="16"/>
              </w:rPr>
              <w:t xml:space="preserve">, se ha disminuido el porcentaje de extorsiones en 5 puntos porcentuales </w:t>
            </w:r>
            <w:r w:rsidRPr="004133EB">
              <w:rPr>
                <w:rFonts w:ascii="Times New Roman" w:hAnsi="Times New Roman" w:cs="Times New Roman"/>
                <w:sz w:val="16"/>
                <w:szCs w:val="16"/>
              </w:rPr>
              <w:br/>
              <w:t>(De 90% de casos en 2019 a 85% en 20</w:t>
            </w:r>
            <w:r w:rsidR="00AA1FEE" w:rsidRPr="004133EB">
              <w:rPr>
                <w:rFonts w:ascii="Times New Roman" w:hAnsi="Times New Roman" w:cs="Times New Roman"/>
                <w:sz w:val="16"/>
                <w:szCs w:val="16"/>
              </w:rPr>
              <w:t>25)</w:t>
            </w:r>
          </w:p>
        </w:tc>
      </w:tr>
      <w:tr w:rsidR="005856C6" w:rsidRPr="004133EB" w14:paraId="394689FE" w14:textId="77777777" w:rsidTr="005A6F4A">
        <w:trPr>
          <w:trHeight w:val="1200"/>
        </w:trPr>
        <w:tc>
          <w:tcPr>
            <w:tcW w:w="452" w:type="dxa"/>
            <w:vMerge/>
            <w:hideMark/>
          </w:tcPr>
          <w:p w14:paraId="524D371E"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7748662B"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2F846B85"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061D9660"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381E982C"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08C0ABC6" w14:textId="77777777" w:rsidR="006001B4" w:rsidRPr="004133EB" w:rsidRDefault="006001B4" w:rsidP="006001B4">
            <w:pPr>
              <w:pStyle w:val="Sinespaciado"/>
              <w:jc w:val="both"/>
              <w:rPr>
                <w:rFonts w:ascii="Times New Roman" w:hAnsi="Times New Roman" w:cs="Times New Roman"/>
                <w:sz w:val="16"/>
                <w:szCs w:val="16"/>
              </w:rPr>
            </w:pPr>
          </w:p>
        </w:tc>
        <w:tc>
          <w:tcPr>
            <w:tcW w:w="452" w:type="dxa"/>
            <w:noWrap/>
            <w:hideMark/>
          </w:tcPr>
          <w:p w14:paraId="628A91F6"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20</w:t>
            </w:r>
          </w:p>
        </w:tc>
        <w:tc>
          <w:tcPr>
            <w:tcW w:w="1675" w:type="dxa"/>
            <w:hideMark/>
          </w:tcPr>
          <w:p w14:paraId="790E6BB2" w14:textId="77777777" w:rsidR="006001B4" w:rsidRPr="004133EB" w:rsidRDefault="003937C5" w:rsidP="003937C5">
            <w:pPr>
              <w:pStyle w:val="Sinespaciado"/>
              <w:jc w:val="both"/>
              <w:rPr>
                <w:rFonts w:ascii="Times New Roman" w:hAnsi="Times New Roman" w:cs="Times New Roman"/>
                <w:sz w:val="16"/>
                <w:szCs w:val="16"/>
              </w:rPr>
            </w:pPr>
            <w:r>
              <w:rPr>
                <w:rFonts w:ascii="Times New Roman" w:hAnsi="Times New Roman" w:cs="Times New Roman"/>
                <w:sz w:val="16"/>
                <w:szCs w:val="16"/>
              </w:rPr>
              <w:t>Para el 2024</w:t>
            </w:r>
            <w:r w:rsidR="006001B4" w:rsidRPr="004133EB">
              <w:rPr>
                <w:rFonts w:ascii="Times New Roman" w:hAnsi="Times New Roman" w:cs="Times New Roman"/>
                <w:sz w:val="16"/>
                <w:szCs w:val="16"/>
              </w:rPr>
              <w:t xml:space="preserve">, se ha disminuido la violencia intrafamiliar en 20 puntos porcentuales  </w:t>
            </w:r>
            <w:r w:rsidR="006001B4" w:rsidRPr="004133EB">
              <w:rPr>
                <w:rFonts w:ascii="Times New Roman" w:hAnsi="Times New Roman" w:cs="Times New Roman"/>
                <w:sz w:val="16"/>
                <w:szCs w:val="16"/>
              </w:rPr>
              <w:br/>
              <w:t>(De 84% de casos en 2019 a 64% en 202</w:t>
            </w:r>
            <w:r w:rsidR="00AA1FEE" w:rsidRPr="004133EB">
              <w:rPr>
                <w:rFonts w:ascii="Times New Roman" w:hAnsi="Times New Roman" w:cs="Times New Roman"/>
                <w:sz w:val="16"/>
                <w:szCs w:val="16"/>
              </w:rPr>
              <w:t>5</w:t>
            </w:r>
            <w:r w:rsidR="006001B4" w:rsidRPr="004133EB">
              <w:rPr>
                <w:rFonts w:ascii="Times New Roman" w:hAnsi="Times New Roman" w:cs="Times New Roman"/>
                <w:sz w:val="16"/>
                <w:szCs w:val="16"/>
              </w:rPr>
              <w:t>)</w:t>
            </w:r>
          </w:p>
        </w:tc>
      </w:tr>
      <w:tr w:rsidR="005856C6" w:rsidRPr="004133EB" w14:paraId="0FE943CA" w14:textId="77777777" w:rsidTr="005A6F4A">
        <w:trPr>
          <w:trHeight w:val="2833"/>
        </w:trPr>
        <w:tc>
          <w:tcPr>
            <w:tcW w:w="452" w:type="dxa"/>
            <w:vMerge w:val="restart"/>
            <w:noWrap/>
            <w:hideMark/>
          </w:tcPr>
          <w:p w14:paraId="6228B8B4"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2095" w:type="dxa"/>
            <w:vMerge w:val="restart"/>
            <w:hideMark/>
          </w:tcPr>
          <w:p w14:paraId="4F42ACA7"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4. Garantizar una educación inclusiva, equitativa y de calidad y promover oportunidades de aprendizaje durante toda la vida para todos.</w:t>
            </w:r>
            <w:r w:rsidRPr="004133EB">
              <w:rPr>
                <w:rFonts w:ascii="Times New Roman" w:hAnsi="Times New Roman" w:cs="Times New Roman"/>
                <w:sz w:val="16"/>
                <w:szCs w:val="16"/>
              </w:rPr>
              <w:br/>
              <w:t>8. Promover el crecimiento económico sostenido, inclusivo y sostenible, el empleo pleno y productivo y el trabajo decente para todos.</w:t>
            </w:r>
            <w:r w:rsidRPr="004133EB">
              <w:rPr>
                <w:rFonts w:ascii="Times New Roman" w:hAnsi="Times New Roman" w:cs="Times New Roman"/>
                <w:sz w:val="16"/>
                <w:szCs w:val="16"/>
              </w:rPr>
              <w:br/>
              <w:t>9. Construir infraestructura resiliente, promover la industrialización inclusiva y sostenible y fomentar la innovaciòn.</w:t>
            </w:r>
            <w:r w:rsidRPr="004133EB">
              <w:rPr>
                <w:rFonts w:ascii="Times New Roman" w:hAnsi="Times New Roman" w:cs="Times New Roman"/>
                <w:sz w:val="16"/>
                <w:szCs w:val="16"/>
              </w:rPr>
              <w:br/>
              <w:t>16. Promover sociedades pacíficas e inclusivas para el desarrollo sostenible, facilitar el acceso a la justicia para todos y crear instituciones eficaces, responsables e inclusivas a todos los niveles.</w:t>
            </w:r>
          </w:p>
        </w:tc>
        <w:tc>
          <w:tcPr>
            <w:tcW w:w="452" w:type="dxa"/>
            <w:vMerge w:val="restart"/>
            <w:noWrap/>
            <w:hideMark/>
          </w:tcPr>
          <w:p w14:paraId="4BE665A6"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870" w:type="dxa"/>
            <w:vMerge w:val="restart"/>
            <w:noWrap/>
            <w:hideMark/>
          </w:tcPr>
          <w:p w14:paraId="60D6691E"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Educación</w:t>
            </w:r>
          </w:p>
        </w:tc>
        <w:tc>
          <w:tcPr>
            <w:tcW w:w="452" w:type="dxa"/>
            <w:vMerge w:val="restart"/>
            <w:noWrap/>
            <w:hideMark/>
          </w:tcPr>
          <w:p w14:paraId="1C8B9F9C"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vMerge w:val="restart"/>
            <w:hideMark/>
          </w:tcPr>
          <w:p w14:paraId="3376D2E1"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2030, velar porque todas las niñas y todos los niños tengan una enseñanza primaria y secundaria completa, gratuita, equitativa y de calidad que produzca resultados de aprendizajes pertinentes y efectivos.</w:t>
            </w:r>
          </w:p>
        </w:tc>
        <w:tc>
          <w:tcPr>
            <w:tcW w:w="452" w:type="dxa"/>
            <w:noWrap/>
            <w:hideMark/>
          </w:tcPr>
          <w:p w14:paraId="7084C5D8"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21</w:t>
            </w:r>
          </w:p>
        </w:tc>
        <w:tc>
          <w:tcPr>
            <w:tcW w:w="1675" w:type="dxa"/>
            <w:hideMark/>
          </w:tcPr>
          <w:p w14:paraId="30A6F3F1" w14:textId="77777777" w:rsidR="006001B4" w:rsidRPr="004133EB" w:rsidRDefault="006001B4" w:rsidP="003937C5">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3937C5">
              <w:rPr>
                <w:rFonts w:ascii="Times New Roman" w:hAnsi="Times New Roman" w:cs="Times New Roman"/>
                <w:sz w:val="16"/>
                <w:szCs w:val="16"/>
              </w:rPr>
              <w:t>4</w:t>
            </w:r>
            <w:r w:rsidRPr="004133EB">
              <w:rPr>
                <w:rFonts w:ascii="Times New Roman" w:hAnsi="Times New Roman" w:cs="Times New Roman"/>
                <w:sz w:val="16"/>
                <w:szCs w:val="16"/>
              </w:rPr>
              <w:t>, se incrementó en 4.6 puntos porcentuales la población que alcanza el nivel de lectura y en 3.53 puntos porcentuales la población que alcanza el nivel de matemática en niños y niñas del sexto grado del nivel primario, (de 40.40% en lectura en 2014 a 45 % a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 xml:space="preserve"> y de 44.47% en matemática a 48% a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w:t>
            </w:r>
          </w:p>
        </w:tc>
      </w:tr>
      <w:tr w:rsidR="005856C6" w:rsidRPr="004133EB" w14:paraId="4A43D109" w14:textId="77777777" w:rsidTr="00167300">
        <w:trPr>
          <w:trHeight w:val="3144"/>
        </w:trPr>
        <w:tc>
          <w:tcPr>
            <w:tcW w:w="452" w:type="dxa"/>
            <w:vMerge/>
            <w:hideMark/>
          </w:tcPr>
          <w:p w14:paraId="02DA4AB1" w14:textId="77777777" w:rsidR="006001B4" w:rsidRPr="004133EB" w:rsidRDefault="006001B4" w:rsidP="006001B4">
            <w:pPr>
              <w:pStyle w:val="Sinespaciado"/>
              <w:jc w:val="both"/>
              <w:rPr>
                <w:rFonts w:ascii="Times New Roman" w:hAnsi="Times New Roman" w:cs="Times New Roman"/>
                <w:sz w:val="16"/>
                <w:szCs w:val="16"/>
              </w:rPr>
            </w:pPr>
          </w:p>
        </w:tc>
        <w:tc>
          <w:tcPr>
            <w:tcW w:w="2095" w:type="dxa"/>
            <w:vMerge/>
            <w:hideMark/>
          </w:tcPr>
          <w:p w14:paraId="0B702585"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685C2227" w14:textId="77777777" w:rsidR="006001B4" w:rsidRPr="004133EB" w:rsidRDefault="006001B4" w:rsidP="006001B4">
            <w:pPr>
              <w:pStyle w:val="Sinespaciado"/>
              <w:jc w:val="both"/>
              <w:rPr>
                <w:rFonts w:ascii="Times New Roman" w:hAnsi="Times New Roman" w:cs="Times New Roman"/>
                <w:sz w:val="16"/>
                <w:szCs w:val="16"/>
              </w:rPr>
            </w:pPr>
          </w:p>
        </w:tc>
        <w:tc>
          <w:tcPr>
            <w:tcW w:w="1870" w:type="dxa"/>
            <w:vMerge/>
            <w:hideMark/>
          </w:tcPr>
          <w:p w14:paraId="319723E7" w14:textId="77777777" w:rsidR="006001B4" w:rsidRPr="004133EB" w:rsidRDefault="006001B4" w:rsidP="006001B4">
            <w:pPr>
              <w:pStyle w:val="Sinespaciado"/>
              <w:jc w:val="both"/>
              <w:rPr>
                <w:rFonts w:ascii="Times New Roman" w:hAnsi="Times New Roman" w:cs="Times New Roman"/>
                <w:sz w:val="16"/>
                <w:szCs w:val="16"/>
              </w:rPr>
            </w:pPr>
          </w:p>
        </w:tc>
        <w:tc>
          <w:tcPr>
            <w:tcW w:w="452" w:type="dxa"/>
            <w:vMerge/>
            <w:hideMark/>
          </w:tcPr>
          <w:p w14:paraId="0E491523" w14:textId="77777777" w:rsidR="006001B4" w:rsidRPr="004133EB" w:rsidRDefault="006001B4" w:rsidP="006001B4">
            <w:pPr>
              <w:pStyle w:val="Sinespaciado"/>
              <w:jc w:val="both"/>
              <w:rPr>
                <w:rFonts w:ascii="Times New Roman" w:hAnsi="Times New Roman" w:cs="Times New Roman"/>
                <w:sz w:val="16"/>
                <w:szCs w:val="16"/>
              </w:rPr>
            </w:pPr>
          </w:p>
        </w:tc>
        <w:tc>
          <w:tcPr>
            <w:tcW w:w="1620" w:type="dxa"/>
            <w:vMerge/>
            <w:hideMark/>
          </w:tcPr>
          <w:p w14:paraId="24BC8661" w14:textId="77777777" w:rsidR="006001B4" w:rsidRPr="004133EB" w:rsidRDefault="006001B4" w:rsidP="006001B4">
            <w:pPr>
              <w:pStyle w:val="Sinespaciado"/>
              <w:jc w:val="both"/>
              <w:rPr>
                <w:rFonts w:ascii="Times New Roman" w:hAnsi="Times New Roman" w:cs="Times New Roman"/>
                <w:sz w:val="16"/>
                <w:szCs w:val="16"/>
              </w:rPr>
            </w:pPr>
          </w:p>
        </w:tc>
        <w:tc>
          <w:tcPr>
            <w:tcW w:w="452" w:type="dxa"/>
            <w:noWrap/>
            <w:hideMark/>
          </w:tcPr>
          <w:p w14:paraId="6F7C0696"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22</w:t>
            </w:r>
          </w:p>
        </w:tc>
        <w:tc>
          <w:tcPr>
            <w:tcW w:w="1675" w:type="dxa"/>
            <w:hideMark/>
          </w:tcPr>
          <w:p w14:paraId="0415900C" w14:textId="77777777" w:rsidR="006001B4" w:rsidRPr="004133EB" w:rsidRDefault="006001B4" w:rsidP="003937C5">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202</w:t>
            </w:r>
            <w:r w:rsidR="003937C5">
              <w:rPr>
                <w:rFonts w:ascii="Times New Roman" w:hAnsi="Times New Roman" w:cs="Times New Roman"/>
                <w:sz w:val="16"/>
                <w:szCs w:val="16"/>
              </w:rPr>
              <w:t>4</w:t>
            </w:r>
            <w:r w:rsidRPr="004133EB">
              <w:rPr>
                <w:rFonts w:ascii="Times New Roman" w:hAnsi="Times New Roman" w:cs="Times New Roman"/>
                <w:sz w:val="16"/>
                <w:szCs w:val="16"/>
              </w:rPr>
              <w:t xml:space="preserve">, se incrementó en </w:t>
            </w:r>
            <w:r w:rsidR="00AA1FEE" w:rsidRPr="004133EB">
              <w:rPr>
                <w:rFonts w:ascii="Times New Roman" w:hAnsi="Times New Roman" w:cs="Times New Roman"/>
                <w:sz w:val="16"/>
                <w:szCs w:val="16"/>
              </w:rPr>
              <w:t>0</w:t>
            </w:r>
            <w:r w:rsidRPr="004133EB">
              <w:rPr>
                <w:rFonts w:ascii="Times New Roman" w:hAnsi="Times New Roman" w:cs="Times New Roman"/>
                <w:sz w:val="16"/>
                <w:szCs w:val="16"/>
              </w:rPr>
              <w:t>5 puntos porcentuales la población que alcanza el nivel de lectura y en 03 puntos porcentuales la población que alcanza el nivel de matemática en jóvenes del tercer grado del ciclo básico del nivel medio, (de 15% en lectura en 2013 a 20% a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 xml:space="preserve"> y de 18% en matemática a 21% a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w:t>
            </w:r>
          </w:p>
        </w:tc>
      </w:tr>
      <w:tr w:rsidR="005856C6" w:rsidRPr="004133EB" w14:paraId="6710A7C6" w14:textId="77777777" w:rsidTr="005A6F4A">
        <w:trPr>
          <w:trHeight w:val="1966"/>
        </w:trPr>
        <w:tc>
          <w:tcPr>
            <w:tcW w:w="452" w:type="dxa"/>
            <w:noWrap/>
            <w:hideMark/>
          </w:tcPr>
          <w:p w14:paraId="26B71459"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2095" w:type="dxa"/>
            <w:hideMark/>
          </w:tcPr>
          <w:p w14:paraId="58945826"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452" w:type="dxa"/>
            <w:noWrap/>
            <w:hideMark/>
          </w:tcPr>
          <w:p w14:paraId="4E067E06"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870" w:type="dxa"/>
            <w:hideMark/>
          </w:tcPr>
          <w:p w14:paraId="6A1D8C4F"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Valor Económico de los RRNN</w:t>
            </w:r>
          </w:p>
        </w:tc>
        <w:tc>
          <w:tcPr>
            <w:tcW w:w="452" w:type="dxa"/>
            <w:noWrap/>
            <w:hideMark/>
          </w:tcPr>
          <w:p w14:paraId="0A9CB4A1"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hideMark/>
          </w:tcPr>
          <w:p w14:paraId="38CA369E"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2020, integrar los valores de los ecosistemas y la diversidad biológica en</w:t>
            </w:r>
            <w:r w:rsidR="00B90BC8" w:rsidRPr="004133EB">
              <w:rPr>
                <w:rFonts w:ascii="Times New Roman" w:hAnsi="Times New Roman" w:cs="Times New Roman"/>
                <w:sz w:val="16"/>
                <w:szCs w:val="16"/>
              </w:rPr>
              <w:t xml:space="preserve"> </w:t>
            </w:r>
            <w:r w:rsidRPr="004133EB">
              <w:rPr>
                <w:rFonts w:ascii="Times New Roman" w:hAnsi="Times New Roman" w:cs="Times New Roman"/>
                <w:sz w:val="16"/>
                <w:szCs w:val="16"/>
              </w:rPr>
              <w:t xml:space="preserve">la planificación nacional y local, los procesos de desarrollo, las estrategias de </w:t>
            </w:r>
            <w:r w:rsidR="00B90BC8" w:rsidRPr="004133EB">
              <w:rPr>
                <w:rFonts w:ascii="Times New Roman" w:hAnsi="Times New Roman" w:cs="Times New Roman"/>
                <w:sz w:val="16"/>
                <w:szCs w:val="16"/>
              </w:rPr>
              <w:t>reducción</w:t>
            </w:r>
            <w:r w:rsidRPr="004133EB">
              <w:rPr>
                <w:rFonts w:ascii="Times New Roman" w:hAnsi="Times New Roman" w:cs="Times New Roman"/>
                <w:sz w:val="16"/>
                <w:szCs w:val="16"/>
              </w:rPr>
              <w:t xml:space="preserve"> de la pobreza y la contabilidad.</w:t>
            </w:r>
          </w:p>
        </w:tc>
        <w:tc>
          <w:tcPr>
            <w:tcW w:w="452" w:type="dxa"/>
            <w:noWrap/>
            <w:hideMark/>
          </w:tcPr>
          <w:p w14:paraId="409E12BB"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75" w:type="dxa"/>
            <w:hideMark/>
          </w:tcPr>
          <w:p w14:paraId="0B4166C7"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Pendiente estudio de cuentas ambientales</w:t>
            </w:r>
          </w:p>
        </w:tc>
      </w:tr>
      <w:tr w:rsidR="005856C6" w:rsidRPr="004133EB" w14:paraId="4968B6CD" w14:textId="77777777" w:rsidTr="005A6F4A">
        <w:trPr>
          <w:trHeight w:val="1605"/>
        </w:trPr>
        <w:tc>
          <w:tcPr>
            <w:tcW w:w="452" w:type="dxa"/>
            <w:noWrap/>
            <w:hideMark/>
          </w:tcPr>
          <w:p w14:paraId="05013BB6"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2095" w:type="dxa"/>
            <w:hideMark/>
          </w:tcPr>
          <w:p w14:paraId="1B5C745C"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452" w:type="dxa"/>
            <w:noWrap/>
            <w:hideMark/>
          </w:tcPr>
          <w:p w14:paraId="44E8AC96"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870" w:type="dxa"/>
            <w:hideMark/>
          </w:tcPr>
          <w:p w14:paraId="2D31D50E"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Reforma fiscal integral</w:t>
            </w:r>
          </w:p>
        </w:tc>
        <w:tc>
          <w:tcPr>
            <w:tcW w:w="452" w:type="dxa"/>
            <w:hideMark/>
          </w:tcPr>
          <w:p w14:paraId="6BC73667"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hideMark/>
          </w:tcPr>
          <w:p w14:paraId="547EEFB9"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La carga tributaria ha superado el nivel observado en 2007 (12.1%), y el gasto ha superado el nivel del 7.0% del PIB, obtenido en 2010.</w:t>
            </w:r>
          </w:p>
        </w:tc>
        <w:tc>
          <w:tcPr>
            <w:tcW w:w="452" w:type="dxa"/>
            <w:noWrap/>
            <w:hideMark/>
          </w:tcPr>
          <w:p w14:paraId="24BF7209"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23</w:t>
            </w:r>
          </w:p>
        </w:tc>
        <w:tc>
          <w:tcPr>
            <w:tcW w:w="1675" w:type="dxa"/>
            <w:hideMark/>
          </w:tcPr>
          <w:p w14:paraId="5F869756" w14:textId="77777777" w:rsidR="006001B4" w:rsidRPr="004133EB" w:rsidRDefault="006001B4" w:rsidP="003937C5">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w:t>
            </w:r>
            <w:r w:rsidR="003937C5">
              <w:rPr>
                <w:rFonts w:ascii="Times New Roman" w:hAnsi="Times New Roman" w:cs="Times New Roman"/>
                <w:sz w:val="16"/>
                <w:szCs w:val="16"/>
              </w:rPr>
              <w:t>24</w:t>
            </w:r>
            <w:r w:rsidRPr="004133EB">
              <w:rPr>
                <w:rFonts w:ascii="Times New Roman" w:hAnsi="Times New Roman" w:cs="Times New Roman"/>
                <w:sz w:val="16"/>
                <w:szCs w:val="16"/>
              </w:rPr>
              <w:t>, se ha incrementado la carga tributaria en 0.8 puntos porcentuales y el gasto social en 0.4 puntos porcentuales (de 10.2 en 2018 a 11.0 en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w:t>
            </w:r>
          </w:p>
        </w:tc>
      </w:tr>
      <w:tr w:rsidR="005856C6" w:rsidRPr="004133EB" w14:paraId="542989D9" w14:textId="77777777" w:rsidTr="005A6F4A">
        <w:trPr>
          <w:trHeight w:val="1860"/>
        </w:trPr>
        <w:tc>
          <w:tcPr>
            <w:tcW w:w="452" w:type="dxa"/>
            <w:noWrap/>
            <w:hideMark/>
          </w:tcPr>
          <w:p w14:paraId="5139BA47"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2095" w:type="dxa"/>
            <w:noWrap/>
            <w:hideMark/>
          </w:tcPr>
          <w:p w14:paraId="2EAC0D89"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452" w:type="dxa"/>
            <w:noWrap/>
            <w:hideMark/>
          </w:tcPr>
          <w:p w14:paraId="19900F26"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870" w:type="dxa"/>
            <w:hideMark/>
          </w:tcPr>
          <w:p w14:paraId="46A1D821"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Ordenamiento Territorial</w:t>
            </w:r>
          </w:p>
        </w:tc>
        <w:tc>
          <w:tcPr>
            <w:tcW w:w="452" w:type="dxa"/>
            <w:hideMark/>
          </w:tcPr>
          <w:p w14:paraId="49ED5416"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 </w:t>
            </w:r>
          </w:p>
        </w:tc>
        <w:tc>
          <w:tcPr>
            <w:tcW w:w="1620" w:type="dxa"/>
            <w:hideMark/>
          </w:tcPr>
          <w:p w14:paraId="30BFB1A0"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El 100.0% de los municipios cuentan con planes de ordenamiento territorial integral que se implementan satisfactoriamente.</w:t>
            </w:r>
          </w:p>
        </w:tc>
        <w:tc>
          <w:tcPr>
            <w:tcW w:w="452" w:type="dxa"/>
            <w:noWrap/>
            <w:hideMark/>
          </w:tcPr>
          <w:p w14:paraId="450E149A"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24</w:t>
            </w:r>
          </w:p>
        </w:tc>
        <w:tc>
          <w:tcPr>
            <w:tcW w:w="1675" w:type="dxa"/>
            <w:hideMark/>
          </w:tcPr>
          <w:p w14:paraId="48392ABE" w14:textId="77777777" w:rsidR="006001B4" w:rsidRPr="004133EB" w:rsidRDefault="006001B4" w:rsidP="006001B4">
            <w:pPr>
              <w:pStyle w:val="Sinespaciado"/>
              <w:jc w:val="both"/>
              <w:rPr>
                <w:rFonts w:ascii="Times New Roman" w:hAnsi="Times New Roman" w:cs="Times New Roman"/>
                <w:sz w:val="16"/>
                <w:szCs w:val="16"/>
              </w:rPr>
            </w:pPr>
            <w:r w:rsidRPr="004133EB">
              <w:rPr>
                <w:rFonts w:ascii="Times New Roman" w:hAnsi="Times New Roman" w:cs="Times New Roman"/>
                <w:sz w:val="16"/>
                <w:szCs w:val="16"/>
              </w:rPr>
              <w:t>Para el 20</w:t>
            </w:r>
            <w:r w:rsidR="003937C5">
              <w:rPr>
                <w:rFonts w:ascii="Times New Roman" w:hAnsi="Times New Roman" w:cs="Times New Roman"/>
                <w:sz w:val="16"/>
                <w:szCs w:val="16"/>
              </w:rPr>
              <w:t>24</w:t>
            </w:r>
            <w:r w:rsidRPr="004133EB">
              <w:rPr>
                <w:rFonts w:ascii="Times New Roman" w:hAnsi="Times New Roman" w:cs="Times New Roman"/>
                <w:sz w:val="16"/>
                <w:szCs w:val="16"/>
              </w:rPr>
              <w:t xml:space="preserve"> se ha incrementado en 36 puntos porcentuales los gobiernos locales que mejoran la gestión municipal en función de sus competencias   (De 14%  en </w:t>
            </w:r>
            <w:r w:rsidR="00B90BC8" w:rsidRPr="004133EB">
              <w:rPr>
                <w:rFonts w:ascii="Times New Roman" w:hAnsi="Times New Roman" w:cs="Times New Roman"/>
                <w:sz w:val="16"/>
                <w:szCs w:val="16"/>
              </w:rPr>
              <w:t>categorías</w:t>
            </w:r>
            <w:r w:rsidRPr="004133EB">
              <w:rPr>
                <w:rFonts w:ascii="Times New Roman" w:hAnsi="Times New Roman" w:cs="Times New Roman"/>
                <w:sz w:val="16"/>
                <w:szCs w:val="16"/>
              </w:rPr>
              <w:t xml:space="preserve"> media a alta en  2016 a 50% en 202</w:t>
            </w:r>
            <w:r w:rsidR="00AA1FEE" w:rsidRPr="004133EB">
              <w:rPr>
                <w:rFonts w:ascii="Times New Roman" w:hAnsi="Times New Roman" w:cs="Times New Roman"/>
                <w:sz w:val="16"/>
                <w:szCs w:val="16"/>
              </w:rPr>
              <w:t>5</w:t>
            </w:r>
            <w:r w:rsidRPr="004133EB">
              <w:rPr>
                <w:rFonts w:ascii="Times New Roman" w:hAnsi="Times New Roman" w:cs="Times New Roman"/>
                <w:sz w:val="16"/>
                <w:szCs w:val="16"/>
              </w:rPr>
              <w:t>, según el Ranking de la gestión municipal)</w:t>
            </w:r>
          </w:p>
        </w:tc>
      </w:tr>
    </w:tbl>
    <w:p w14:paraId="589A26F7" w14:textId="77777777" w:rsidR="002C33F4" w:rsidRPr="00F738F6" w:rsidRDefault="0089236E" w:rsidP="00DB2A8F">
      <w:pPr>
        <w:pStyle w:val="Sinespaciado"/>
        <w:jc w:val="both"/>
        <w:rPr>
          <w:rFonts w:ascii="Times New Roman" w:hAnsi="Times New Roman" w:cs="Times New Roman"/>
          <w:sz w:val="16"/>
        </w:rPr>
      </w:pPr>
      <w:r w:rsidRPr="00F738F6">
        <w:rPr>
          <w:rFonts w:ascii="Times New Roman" w:hAnsi="Times New Roman" w:cs="Times New Roman"/>
          <w:sz w:val="16"/>
        </w:rPr>
        <w:t>Fuente: Ministerio de Finanzas Públicas</w:t>
      </w:r>
    </w:p>
    <w:p w14:paraId="2CD5C978" w14:textId="77777777" w:rsidR="0089236E" w:rsidRPr="004133EB" w:rsidRDefault="0089236E" w:rsidP="000865B9">
      <w:pPr>
        <w:spacing w:after="0" w:line="240" w:lineRule="auto"/>
        <w:jc w:val="both"/>
        <w:rPr>
          <w:rFonts w:ascii="Times New Roman" w:hAnsi="Times New Roman" w:cs="Times New Roman"/>
        </w:rPr>
      </w:pPr>
    </w:p>
    <w:p w14:paraId="209EBE1D" w14:textId="77777777" w:rsidR="00DF6B12" w:rsidRPr="004133EB" w:rsidRDefault="00DF6B12" w:rsidP="00DF6B12">
      <w:pPr>
        <w:spacing w:after="0" w:line="240" w:lineRule="auto"/>
        <w:jc w:val="both"/>
        <w:rPr>
          <w:rFonts w:ascii="Times New Roman" w:hAnsi="Times New Roman" w:cs="Times New Roman"/>
        </w:rPr>
      </w:pPr>
      <w:r w:rsidRPr="004133EB">
        <w:rPr>
          <w:rFonts w:ascii="Times New Roman" w:hAnsi="Times New Roman" w:cs="Times New Roman"/>
        </w:rPr>
        <w:t xml:space="preserve">Asimismo, </w:t>
      </w:r>
      <w:r w:rsidR="003D2E00">
        <w:rPr>
          <w:rFonts w:ascii="Times New Roman" w:hAnsi="Times New Roman" w:cs="Times New Roman"/>
        </w:rPr>
        <w:t xml:space="preserve">un documento importante en </w:t>
      </w:r>
      <w:r w:rsidR="005D5AE1">
        <w:rPr>
          <w:rFonts w:ascii="Times New Roman" w:hAnsi="Times New Roman" w:cs="Times New Roman"/>
        </w:rPr>
        <w:t xml:space="preserve">la </w:t>
      </w:r>
      <w:r w:rsidR="003D2E00">
        <w:rPr>
          <w:rFonts w:ascii="Times New Roman" w:hAnsi="Times New Roman" w:cs="Times New Roman"/>
        </w:rPr>
        <w:t>planificación</w:t>
      </w:r>
      <w:r w:rsidR="005D5AE1">
        <w:rPr>
          <w:rFonts w:ascii="Times New Roman" w:hAnsi="Times New Roman" w:cs="Times New Roman"/>
        </w:rPr>
        <w:t xml:space="preserve"> y presupuestación</w:t>
      </w:r>
      <w:r w:rsidR="003D2E00">
        <w:rPr>
          <w:rFonts w:ascii="Times New Roman" w:hAnsi="Times New Roman" w:cs="Times New Roman"/>
        </w:rPr>
        <w:t xml:space="preserve"> de mediano plazo lo constituye </w:t>
      </w:r>
      <w:r w:rsidRPr="004133EB">
        <w:rPr>
          <w:rFonts w:ascii="Times New Roman" w:hAnsi="Times New Roman" w:cs="Times New Roman"/>
        </w:rPr>
        <w:t>la Política General de Gobierno (PGG) 2020-2024, que fue aprobada por medio del Acuerdo Gubernativo 32-2020 en Consejo de Ministros, la misma se encuentra alineada a las metas estratégicas de desarrollo (MED), agrupadas en las diez prioridades nacionales de desarrollo (PND). Por lo que la PGG se enfoca en definir lineamientos que orienten la gestión gubernamental de manera estratégica. L</w:t>
      </w:r>
      <w:r w:rsidR="003D2E00">
        <w:rPr>
          <w:rFonts w:ascii="Times New Roman" w:hAnsi="Times New Roman" w:cs="Times New Roman"/>
        </w:rPr>
        <w:t>a PGG se fundamenta en el Plan Nacional de Innovación y D</w:t>
      </w:r>
      <w:r w:rsidRPr="004133EB">
        <w:rPr>
          <w:rFonts w:ascii="Times New Roman" w:hAnsi="Times New Roman" w:cs="Times New Roman"/>
        </w:rPr>
        <w:t>esarrollo (PLANID), en el que se definen los lineamientos y acciones públicas estratégicas articuladas que deben seguir las instituciones del sector público durante el período de administración gubernamental 2020-2024, en sinergia con las PND derivadas del proceso de integración del Plan Nacional de Desarrollo K’atun: nuestra Guatemala 2032 y la Agenda 2030 para el desarrollo sostenible.</w:t>
      </w:r>
    </w:p>
    <w:p w14:paraId="04F016E3" w14:textId="77777777" w:rsidR="00DF6B12" w:rsidRPr="004133EB" w:rsidRDefault="00DF6B12" w:rsidP="00DF6B12">
      <w:pPr>
        <w:spacing w:after="0" w:line="240" w:lineRule="auto"/>
        <w:jc w:val="both"/>
        <w:rPr>
          <w:rFonts w:ascii="Times New Roman" w:hAnsi="Times New Roman" w:cs="Times New Roman"/>
        </w:rPr>
      </w:pPr>
    </w:p>
    <w:p w14:paraId="09AAA65C" w14:textId="77777777" w:rsidR="00DF6B12" w:rsidRPr="004133EB" w:rsidRDefault="00DF6B12" w:rsidP="00DF6B12">
      <w:pPr>
        <w:spacing w:after="0" w:line="240" w:lineRule="auto"/>
        <w:jc w:val="both"/>
        <w:rPr>
          <w:rFonts w:ascii="Times New Roman" w:hAnsi="Times New Roman" w:cs="Times New Roman"/>
        </w:rPr>
      </w:pPr>
      <w:r w:rsidRPr="004133EB">
        <w:rPr>
          <w:rFonts w:ascii="Times New Roman" w:hAnsi="Times New Roman" w:cs="Times New Roman"/>
        </w:rPr>
        <w:t>La PGG 2020-2024 propone cinco pilares estratégicos sensibles al entorno social, político, económico y ambiental:</w:t>
      </w:r>
    </w:p>
    <w:p w14:paraId="72BCCB1F" w14:textId="77777777" w:rsidR="00DF6B12" w:rsidRPr="004133EB" w:rsidRDefault="00DF6B12" w:rsidP="00DF6B12">
      <w:pPr>
        <w:spacing w:after="0" w:line="240" w:lineRule="auto"/>
        <w:jc w:val="both"/>
        <w:rPr>
          <w:rFonts w:ascii="Times New Roman" w:hAnsi="Times New Roman" w:cs="Times New Roman"/>
        </w:rPr>
      </w:pPr>
    </w:p>
    <w:p w14:paraId="4FC94AD7" w14:textId="77777777" w:rsidR="00DF6B12" w:rsidRPr="004133EB" w:rsidRDefault="00DF6B12" w:rsidP="001032E7">
      <w:pPr>
        <w:pStyle w:val="Prrafodelista"/>
        <w:numPr>
          <w:ilvl w:val="0"/>
          <w:numId w:val="16"/>
        </w:numPr>
        <w:spacing w:after="0" w:line="240" w:lineRule="auto"/>
        <w:jc w:val="both"/>
        <w:rPr>
          <w:rFonts w:ascii="Times New Roman" w:hAnsi="Times New Roman" w:cs="Times New Roman"/>
        </w:rPr>
      </w:pPr>
      <w:r w:rsidRPr="004133EB">
        <w:rPr>
          <w:rFonts w:ascii="Times New Roman" w:hAnsi="Times New Roman" w:cs="Times New Roman"/>
          <w:b/>
        </w:rPr>
        <w:t>Economía, competitividad y prosperidad</w:t>
      </w:r>
      <w:r w:rsidRPr="004133EB">
        <w:rPr>
          <w:rFonts w:ascii="Times New Roman" w:hAnsi="Times New Roman" w:cs="Times New Roman"/>
        </w:rPr>
        <w:t>, busca alcanzar un mayor crecimiento económico y aumentar significativamente las fuentes de empleo sostenible.</w:t>
      </w:r>
    </w:p>
    <w:p w14:paraId="7848E734" w14:textId="77777777" w:rsidR="00DF6B12" w:rsidRPr="004133EB" w:rsidRDefault="00DF6B12" w:rsidP="001032E7">
      <w:pPr>
        <w:pStyle w:val="Prrafodelista"/>
        <w:numPr>
          <w:ilvl w:val="0"/>
          <w:numId w:val="16"/>
        </w:numPr>
        <w:spacing w:after="0" w:line="240" w:lineRule="auto"/>
        <w:jc w:val="both"/>
        <w:rPr>
          <w:rFonts w:ascii="Times New Roman" w:hAnsi="Times New Roman" w:cs="Times New Roman"/>
        </w:rPr>
      </w:pPr>
      <w:r w:rsidRPr="004133EB">
        <w:rPr>
          <w:rFonts w:ascii="Times New Roman" w:hAnsi="Times New Roman" w:cs="Times New Roman"/>
          <w:b/>
        </w:rPr>
        <w:t>Desarrollo social</w:t>
      </w:r>
      <w:r w:rsidRPr="004133EB">
        <w:rPr>
          <w:rFonts w:ascii="Times New Roman" w:hAnsi="Times New Roman" w:cs="Times New Roman"/>
        </w:rPr>
        <w:t>, el objetivo es atender de manera directa y efectiva a los más pobres a través de compensadores sociales eficaces y focalizados.</w:t>
      </w:r>
    </w:p>
    <w:p w14:paraId="1FDAB293" w14:textId="77777777" w:rsidR="00DF6B12" w:rsidRPr="004133EB" w:rsidRDefault="00DF6B12" w:rsidP="001032E7">
      <w:pPr>
        <w:pStyle w:val="Prrafodelista"/>
        <w:numPr>
          <w:ilvl w:val="0"/>
          <w:numId w:val="16"/>
        </w:numPr>
        <w:spacing w:after="0" w:line="240" w:lineRule="auto"/>
        <w:jc w:val="both"/>
        <w:rPr>
          <w:rFonts w:ascii="Times New Roman" w:hAnsi="Times New Roman" w:cs="Times New Roman"/>
        </w:rPr>
      </w:pPr>
      <w:r w:rsidRPr="004133EB">
        <w:rPr>
          <w:rFonts w:ascii="Times New Roman" w:hAnsi="Times New Roman" w:cs="Times New Roman"/>
          <w:b/>
        </w:rPr>
        <w:t>Gobernabilidad y seguridad en desarrollo</w:t>
      </w:r>
      <w:r w:rsidRPr="004133EB">
        <w:rPr>
          <w:rFonts w:ascii="Times New Roman" w:hAnsi="Times New Roman" w:cs="Times New Roman"/>
        </w:rPr>
        <w:t>, persigue mejorar la gobernabilidad del país para una convivencia en paz y armoniosa, que permita condiciones adecuadas de inversión;</w:t>
      </w:r>
    </w:p>
    <w:p w14:paraId="24016E79" w14:textId="77777777" w:rsidR="00DF6B12" w:rsidRPr="004133EB" w:rsidRDefault="00DF6B12" w:rsidP="001032E7">
      <w:pPr>
        <w:pStyle w:val="Prrafodelista"/>
        <w:numPr>
          <w:ilvl w:val="0"/>
          <w:numId w:val="16"/>
        </w:numPr>
        <w:spacing w:after="0" w:line="240" w:lineRule="auto"/>
        <w:jc w:val="both"/>
        <w:rPr>
          <w:rFonts w:ascii="Times New Roman" w:hAnsi="Times New Roman" w:cs="Times New Roman"/>
        </w:rPr>
      </w:pPr>
      <w:r w:rsidRPr="004133EB">
        <w:rPr>
          <w:rFonts w:ascii="Times New Roman" w:hAnsi="Times New Roman" w:cs="Times New Roman"/>
          <w:b/>
        </w:rPr>
        <w:t>Estado responsable, transparente y efectivo</w:t>
      </w:r>
      <w:r w:rsidRPr="004133EB">
        <w:rPr>
          <w:rFonts w:ascii="Times New Roman" w:hAnsi="Times New Roman" w:cs="Times New Roman"/>
        </w:rPr>
        <w:t>, procura administrar de manera efectiva y transparente las instituciones del Estado para ponerlas al servicio de la ciudadanía;</w:t>
      </w:r>
    </w:p>
    <w:p w14:paraId="65F7CCDB" w14:textId="77777777" w:rsidR="00DF6B12" w:rsidRPr="004133EB" w:rsidRDefault="00DF6B12" w:rsidP="001032E7">
      <w:pPr>
        <w:pStyle w:val="Prrafodelista"/>
        <w:numPr>
          <w:ilvl w:val="0"/>
          <w:numId w:val="16"/>
        </w:numPr>
        <w:spacing w:after="0" w:line="240" w:lineRule="auto"/>
        <w:jc w:val="both"/>
        <w:rPr>
          <w:rFonts w:ascii="Times New Roman" w:hAnsi="Times New Roman" w:cs="Times New Roman"/>
        </w:rPr>
      </w:pPr>
      <w:r w:rsidRPr="004133EB">
        <w:rPr>
          <w:rFonts w:ascii="Times New Roman" w:hAnsi="Times New Roman" w:cs="Times New Roman"/>
          <w:b/>
        </w:rPr>
        <w:t>Relaciones con el mundo,</w:t>
      </w:r>
      <w:r w:rsidRPr="004133EB">
        <w:rPr>
          <w:rFonts w:ascii="Times New Roman" w:hAnsi="Times New Roman" w:cs="Times New Roman"/>
        </w:rPr>
        <w:t xml:space="preserve"> tiene el objetivo de garantizar el aprovechamiento de las relaciones internacionales para que, además de mantener buenos vínculos diplomáticos, mejore el orden del comercio internacional, el turismo, la inversión y el trato a nuestros migrantes.</w:t>
      </w:r>
    </w:p>
    <w:p w14:paraId="6E7AD089" w14:textId="77777777" w:rsidR="00DF6B12" w:rsidRPr="004133EB" w:rsidRDefault="00DF6B12" w:rsidP="00DF6B12">
      <w:pPr>
        <w:spacing w:after="0" w:line="240" w:lineRule="auto"/>
        <w:jc w:val="both"/>
        <w:rPr>
          <w:rFonts w:ascii="Times New Roman" w:hAnsi="Times New Roman" w:cs="Times New Roman"/>
        </w:rPr>
      </w:pPr>
    </w:p>
    <w:p w14:paraId="789F15F2" w14:textId="77777777" w:rsidR="00DF6B12" w:rsidRPr="004133EB" w:rsidRDefault="00DF6B12" w:rsidP="00DF6B12">
      <w:pPr>
        <w:spacing w:after="0" w:line="240" w:lineRule="auto"/>
        <w:jc w:val="both"/>
        <w:rPr>
          <w:rFonts w:ascii="Times New Roman" w:hAnsi="Times New Roman" w:cs="Times New Roman"/>
        </w:rPr>
      </w:pPr>
      <w:r w:rsidRPr="004133EB">
        <w:rPr>
          <w:rFonts w:ascii="Times New Roman" w:hAnsi="Times New Roman" w:cs="Times New Roman"/>
        </w:rPr>
        <w:t>En adición a estos cinco pilares, la PGG 2020-2024 incluye de manera transversal el aspecto ambiental, que está configurado para solucionar la problemática de la gestión sostenible del ambiente, recursos naturales, ordenamiento territorial y cambio climático.</w:t>
      </w:r>
    </w:p>
    <w:p w14:paraId="0A19E0A0" w14:textId="77777777" w:rsidR="00F9411E" w:rsidRPr="004133EB" w:rsidRDefault="003D2E00" w:rsidP="00DF6B12">
      <w:pPr>
        <w:spacing w:after="0" w:line="240" w:lineRule="auto"/>
        <w:jc w:val="both"/>
        <w:rPr>
          <w:rFonts w:ascii="Times New Roman" w:hAnsi="Times New Roman" w:cs="Times New Roman"/>
        </w:rPr>
      </w:pPr>
      <w:r>
        <w:rPr>
          <w:noProof/>
          <w:lang w:val="es-ES" w:eastAsia="es-ES"/>
        </w:rPr>
        <w:drawing>
          <wp:anchor distT="0" distB="0" distL="114300" distR="114300" simplePos="0" relativeHeight="251939328" behindDoc="0" locked="0" layoutInCell="1" allowOverlap="1" wp14:anchorId="58F2EFC1" wp14:editId="7DABD3A9">
            <wp:simplePos x="0" y="0"/>
            <wp:positionH relativeFrom="column">
              <wp:posOffset>318135</wp:posOffset>
            </wp:positionH>
            <wp:positionV relativeFrom="paragraph">
              <wp:posOffset>421593</wp:posOffset>
            </wp:positionV>
            <wp:extent cx="5249545" cy="3097530"/>
            <wp:effectExtent l="0" t="0" r="8255" b="762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4">
                      <a:extLst>
                        <a:ext uri="{28A0092B-C50C-407E-A947-70E740481C1C}">
                          <a14:useLocalDpi xmlns:a14="http://schemas.microsoft.com/office/drawing/2010/main" val="0"/>
                        </a:ext>
                      </a:extLst>
                    </a:blip>
                    <a:srcRect t="10454"/>
                    <a:stretch/>
                  </pic:blipFill>
                  <pic:spPr bwMode="auto">
                    <a:xfrm>
                      <a:off x="0" y="0"/>
                      <a:ext cx="5249545" cy="3097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1727" w:name="_Toc81573098"/>
    <w:p w14:paraId="1DCB0968" w14:textId="7A1DAC6D" w:rsidR="003E14B7" w:rsidRDefault="003D2E00" w:rsidP="003E14B7">
      <w:pPr>
        <w:pStyle w:val="Epgrafe"/>
        <w:jc w:val="center"/>
        <w:rPr>
          <w:rFonts w:ascii="Times New Roman" w:hAnsi="Times New Roman" w:cs="Times New Roman"/>
          <w:b/>
          <w:i w:val="0"/>
          <w:color w:val="auto"/>
          <w:sz w:val="22"/>
          <w:szCs w:val="22"/>
        </w:rPr>
      </w:pPr>
      <w:r w:rsidRPr="003E14B7">
        <w:rPr>
          <w:rFonts w:ascii="Times New Roman" w:hAnsi="Times New Roman" w:cs="Times New Roman"/>
          <w:b/>
          <w:bCs/>
          <w:i w:val="0"/>
          <w:iCs w:val="0"/>
          <w:noProof/>
          <w:color w:val="auto"/>
          <w:sz w:val="20"/>
          <w:lang w:val="es-ES" w:eastAsia="es-ES"/>
        </w:rPr>
        <mc:AlternateContent>
          <mc:Choice Requires="wps">
            <w:drawing>
              <wp:anchor distT="0" distB="0" distL="114300" distR="114300" simplePos="0" relativeHeight="251875840" behindDoc="0" locked="0" layoutInCell="1" allowOverlap="1" wp14:anchorId="2FC98EEF" wp14:editId="43E3E684">
                <wp:simplePos x="0" y="0"/>
                <wp:positionH relativeFrom="margin">
                  <wp:posOffset>33655</wp:posOffset>
                </wp:positionH>
                <wp:positionV relativeFrom="paragraph">
                  <wp:posOffset>3502822</wp:posOffset>
                </wp:positionV>
                <wp:extent cx="3832529" cy="214746"/>
                <wp:effectExtent l="0" t="0" r="0" b="0"/>
                <wp:wrapNone/>
                <wp:docPr id="127" name="Text Box 16"/>
                <wp:cNvGraphicFramePr/>
                <a:graphic xmlns:a="http://schemas.openxmlformats.org/drawingml/2006/main">
                  <a:graphicData uri="http://schemas.microsoft.com/office/word/2010/wordprocessingShape">
                    <wps:wsp>
                      <wps:cNvSpPr txBox="1"/>
                      <wps:spPr>
                        <a:xfrm>
                          <a:off x="0" y="0"/>
                          <a:ext cx="3832529" cy="214746"/>
                        </a:xfrm>
                        <a:prstGeom prst="rect">
                          <a:avLst/>
                        </a:prstGeom>
                        <a:solidFill>
                          <a:sysClr val="window" lastClr="FFFFFF"/>
                        </a:solidFill>
                        <a:ln w="6350">
                          <a:noFill/>
                        </a:ln>
                      </wps:spPr>
                      <wps:txbx>
                        <w:txbxContent>
                          <w:p w14:paraId="57A0F406" w14:textId="77777777" w:rsidR="00A36CEB" w:rsidRPr="00EC77E9" w:rsidRDefault="00A36CEB" w:rsidP="00DF6B12">
                            <w:pPr>
                              <w:spacing w:after="0"/>
                              <w:rPr>
                                <w:rFonts w:ascii="Times New Roman" w:hAnsi="Times New Roman" w:cs="Times New Roman"/>
                                <w:sz w:val="16"/>
                                <w:szCs w:val="16"/>
                              </w:rPr>
                            </w:pPr>
                            <w:r w:rsidRPr="00EC77E9">
                              <w:rPr>
                                <w:rFonts w:ascii="Times New Roman" w:hAnsi="Times New Roman" w:cs="Times New Roman"/>
                                <w:sz w:val="16"/>
                                <w:szCs w:val="16"/>
                              </w:rPr>
                              <w:t xml:space="preserve">Fuente: </w:t>
                            </w:r>
                            <w:r>
                              <w:rPr>
                                <w:rFonts w:ascii="Times New Roman" w:hAnsi="Times New Roman" w:cs="Times New Roman"/>
                                <w:sz w:val="16"/>
                                <w:szCs w:val="16"/>
                              </w:rPr>
                              <w:t>Dirección de Análisis y Política Fiscal</w:t>
                            </w:r>
                            <w:r w:rsidRPr="00EC77E9">
                              <w:rPr>
                                <w:rFonts w:ascii="Times New Roman" w:hAnsi="Times New Roman" w:cs="Times New Roman"/>
                                <w:sz w:val="16"/>
                                <w:szCs w:val="16"/>
                              </w:rPr>
                              <w:t xml:space="preserve"> con información </w:t>
                            </w:r>
                            <w:r>
                              <w:rPr>
                                <w:rFonts w:ascii="Times New Roman" w:hAnsi="Times New Roman" w:cs="Times New Roman"/>
                                <w:sz w:val="16"/>
                                <w:szCs w:val="16"/>
                              </w:rPr>
                              <w:t>de la PGG 2020-2024</w:t>
                            </w:r>
                          </w:p>
                          <w:p w14:paraId="54BE618C" w14:textId="77777777" w:rsidR="00A36CEB" w:rsidRPr="00EC77E9" w:rsidRDefault="00A36CEB" w:rsidP="00DF6B12">
                            <w:pPr>
                              <w:spacing w:after="0"/>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FC98EEF" id="_x0000_s1039" type="#_x0000_t202" style="position:absolute;left:0;text-align:left;margin-left:2.65pt;margin-top:275.8pt;width:301.75pt;height:16.9pt;z-index:25187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" fillcolor="window" stroked="f" strokeweight=".5pt">
                <v:textbox>
                  <w:txbxContent>
                    <w:p w14:paraId="57A0F406" w14:textId="77777777" w:rsidR="00A36CEB" w:rsidRPr="00EC77E9" w:rsidRDefault="00A36CEB" w:rsidP="00DF6B12">
                      <w:pPr>
                        <w:spacing w:after="0"/>
                        <w:rPr>
                          <w:rFonts w:ascii="Times New Roman" w:hAnsi="Times New Roman" w:cs="Times New Roman"/>
                          <w:sz w:val="16"/>
                          <w:szCs w:val="16"/>
                        </w:rPr>
                      </w:pPr>
                      <w:r w:rsidRPr="00EC77E9">
                        <w:rPr>
                          <w:rFonts w:ascii="Times New Roman" w:hAnsi="Times New Roman" w:cs="Times New Roman"/>
                          <w:sz w:val="16"/>
                          <w:szCs w:val="16"/>
                        </w:rPr>
                        <w:t xml:space="preserve">Fuente: </w:t>
                      </w:r>
                      <w:r>
                        <w:rPr>
                          <w:rFonts w:ascii="Times New Roman" w:hAnsi="Times New Roman" w:cs="Times New Roman"/>
                          <w:sz w:val="16"/>
                          <w:szCs w:val="16"/>
                        </w:rPr>
                        <w:t>Dirección de Análisis y Política Fiscal</w:t>
                      </w:r>
                      <w:r w:rsidRPr="00EC77E9">
                        <w:rPr>
                          <w:rFonts w:ascii="Times New Roman" w:hAnsi="Times New Roman" w:cs="Times New Roman"/>
                          <w:sz w:val="16"/>
                          <w:szCs w:val="16"/>
                        </w:rPr>
                        <w:t xml:space="preserve"> con información </w:t>
                      </w:r>
                      <w:r>
                        <w:rPr>
                          <w:rFonts w:ascii="Times New Roman" w:hAnsi="Times New Roman" w:cs="Times New Roman"/>
                          <w:sz w:val="16"/>
                          <w:szCs w:val="16"/>
                        </w:rPr>
                        <w:t>de la PGG 2020-2024</w:t>
                      </w:r>
                    </w:p>
                    <w:p w14:paraId="54BE618C" w14:textId="77777777" w:rsidR="00A36CEB" w:rsidRPr="00EC77E9" w:rsidRDefault="00A36CEB" w:rsidP="00DF6B12">
                      <w:pPr>
                        <w:spacing w:after="0"/>
                        <w:rPr>
                          <w:rFonts w:ascii="Times New Roman" w:hAnsi="Times New Roman" w:cs="Times New Roman"/>
                          <w:sz w:val="16"/>
                          <w:szCs w:val="16"/>
                        </w:rPr>
                      </w:pPr>
                    </w:p>
                  </w:txbxContent>
                </v:textbox>
                <w10:wrap anchorx="margin"/>
              </v:shape>
            </w:pict>
          </mc:Fallback>
        </mc:AlternateContent>
      </w:r>
      <w:bookmarkStart w:id="1728" w:name="_Toc50016849"/>
      <w:r w:rsidR="003E14B7" w:rsidRPr="003E14B7">
        <w:rPr>
          <w:rFonts w:ascii="Times New Roman" w:hAnsi="Times New Roman" w:cs="Times New Roman"/>
          <w:b/>
          <w:color w:val="auto"/>
          <w:sz w:val="20"/>
        </w:rPr>
        <w:t xml:space="preserve">Gráfico </w:t>
      </w:r>
      <w:r w:rsidR="003E14B7" w:rsidRPr="003E14B7">
        <w:rPr>
          <w:rFonts w:ascii="Times New Roman" w:hAnsi="Times New Roman" w:cs="Times New Roman"/>
          <w:b/>
          <w:color w:val="auto"/>
          <w:sz w:val="20"/>
        </w:rPr>
        <w:fldChar w:fldCharType="begin"/>
      </w:r>
      <w:r w:rsidR="003E14B7" w:rsidRPr="003E14B7">
        <w:rPr>
          <w:rFonts w:ascii="Times New Roman" w:hAnsi="Times New Roman" w:cs="Times New Roman"/>
          <w:b/>
          <w:color w:val="auto"/>
          <w:sz w:val="20"/>
        </w:rPr>
        <w:instrText xml:space="preserve"> SEQ Gráfico \* ARABIC </w:instrText>
      </w:r>
      <w:r w:rsidR="003E14B7" w:rsidRPr="003E14B7">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48</w:t>
      </w:r>
      <w:r w:rsidR="003E14B7" w:rsidRPr="003E14B7">
        <w:rPr>
          <w:rFonts w:ascii="Times New Roman" w:hAnsi="Times New Roman" w:cs="Times New Roman"/>
          <w:b/>
          <w:color w:val="auto"/>
          <w:sz w:val="20"/>
        </w:rPr>
        <w:fldChar w:fldCharType="end"/>
      </w:r>
      <w:r w:rsidR="003E14B7" w:rsidRPr="003E14B7">
        <w:rPr>
          <w:rFonts w:ascii="Times New Roman" w:hAnsi="Times New Roman" w:cs="Times New Roman"/>
          <w:b/>
          <w:color w:val="auto"/>
          <w:sz w:val="20"/>
        </w:rPr>
        <w:t xml:space="preserve">  </w:t>
      </w:r>
      <w:r w:rsidR="003E14B7" w:rsidRPr="003E5992">
        <w:rPr>
          <w:rFonts w:ascii="Times New Roman" w:hAnsi="Times New Roman" w:cs="Times New Roman"/>
          <w:b/>
          <w:i w:val="0"/>
          <w:color w:val="auto"/>
          <w:sz w:val="22"/>
          <w:szCs w:val="22"/>
        </w:rPr>
        <w:t>Pilares estratégicos de la PGG 2020-2024</w:t>
      </w:r>
      <w:bookmarkEnd w:id="1727"/>
      <w:bookmarkEnd w:id="1728"/>
    </w:p>
    <w:p w14:paraId="1134A5DD" w14:textId="77777777" w:rsidR="00DF6B12" w:rsidRPr="004133EB" w:rsidRDefault="003D2E00" w:rsidP="00DF6B12">
      <w:pPr>
        <w:spacing w:after="0" w:line="240" w:lineRule="auto"/>
        <w:jc w:val="both"/>
        <w:rPr>
          <w:rFonts w:ascii="Times New Roman" w:hAnsi="Times New Roman" w:cs="Times New Roman"/>
        </w:rPr>
      </w:pPr>
      <w:r w:rsidRPr="003D2E00">
        <w:rPr>
          <w:noProof/>
          <w:lang w:eastAsia="es-GT"/>
        </w:rPr>
        <w:t xml:space="preserve"> </w:t>
      </w:r>
    </w:p>
    <w:p w14:paraId="2E6840CE" w14:textId="77777777" w:rsidR="00B011BF" w:rsidRDefault="00B011BF" w:rsidP="00DF6B12">
      <w:pPr>
        <w:spacing w:after="0" w:line="240" w:lineRule="auto"/>
        <w:jc w:val="both"/>
        <w:rPr>
          <w:rFonts w:ascii="Times New Roman" w:hAnsi="Times New Roman" w:cs="Times New Roman"/>
        </w:rPr>
      </w:pPr>
    </w:p>
    <w:p w14:paraId="3721CFDD" w14:textId="77777777" w:rsidR="00B011BF" w:rsidRDefault="00B011BF" w:rsidP="00DF6B12">
      <w:pPr>
        <w:spacing w:after="0" w:line="240" w:lineRule="auto"/>
        <w:jc w:val="both"/>
        <w:rPr>
          <w:rFonts w:ascii="Times New Roman" w:hAnsi="Times New Roman" w:cs="Times New Roman"/>
        </w:rPr>
      </w:pPr>
    </w:p>
    <w:p w14:paraId="22A442C3" w14:textId="248C583D" w:rsidR="00DF6B12" w:rsidRPr="004133EB" w:rsidRDefault="00DF6B12" w:rsidP="00DF6B12">
      <w:pPr>
        <w:spacing w:after="0" w:line="240" w:lineRule="auto"/>
        <w:jc w:val="both"/>
        <w:rPr>
          <w:rFonts w:ascii="Times New Roman" w:hAnsi="Times New Roman" w:cs="Times New Roman"/>
        </w:rPr>
      </w:pPr>
      <w:r w:rsidRPr="004133EB">
        <w:rPr>
          <w:rFonts w:ascii="Times New Roman" w:hAnsi="Times New Roman" w:cs="Times New Roman"/>
        </w:rPr>
        <w:t xml:space="preserve">Para que el proyecto </w:t>
      </w:r>
      <w:r w:rsidR="00F24312" w:rsidRPr="004133EB">
        <w:rPr>
          <w:rFonts w:ascii="Times New Roman" w:hAnsi="Times New Roman" w:cs="Times New Roman"/>
        </w:rPr>
        <w:t xml:space="preserve">de gobierno descrito en la PGG 2020-2024 </w:t>
      </w:r>
      <w:r w:rsidRPr="004133EB">
        <w:rPr>
          <w:rFonts w:ascii="Times New Roman" w:hAnsi="Times New Roman" w:cs="Times New Roman"/>
        </w:rPr>
        <w:t>sea financiable se integrarán todas las fuentes de financiamiento y se promoverán otras, como las alianzas público</w:t>
      </w:r>
      <w:r w:rsidR="005D5AE1">
        <w:rPr>
          <w:rFonts w:ascii="Times New Roman" w:hAnsi="Times New Roman" w:cs="Times New Roman"/>
        </w:rPr>
        <w:t>-</w:t>
      </w:r>
      <w:r w:rsidRPr="004133EB">
        <w:rPr>
          <w:rFonts w:ascii="Times New Roman" w:hAnsi="Times New Roman" w:cs="Times New Roman"/>
        </w:rPr>
        <w:t xml:space="preserve">privadas y el leasing público, que impondrán un carácter innovador a la gestión pública. </w:t>
      </w:r>
    </w:p>
    <w:p w14:paraId="12A201D1" w14:textId="77777777" w:rsidR="00DF6B12" w:rsidRPr="004133EB" w:rsidRDefault="00DF6B12" w:rsidP="00DF6B12">
      <w:pPr>
        <w:spacing w:after="0" w:line="240" w:lineRule="auto"/>
        <w:jc w:val="both"/>
        <w:rPr>
          <w:rFonts w:ascii="Times New Roman" w:hAnsi="Times New Roman" w:cs="Times New Roman"/>
        </w:rPr>
      </w:pPr>
    </w:p>
    <w:p w14:paraId="6C2C73A2" w14:textId="77777777" w:rsidR="00DF6B12" w:rsidRPr="004133EB" w:rsidRDefault="00DF6B12" w:rsidP="00DF6B12">
      <w:pPr>
        <w:spacing w:after="0" w:line="240" w:lineRule="auto"/>
        <w:jc w:val="both"/>
        <w:rPr>
          <w:rFonts w:ascii="Times New Roman" w:hAnsi="Times New Roman" w:cs="Times New Roman"/>
        </w:rPr>
      </w:pPr>
      <w:r w:rsidRPr="004133EB">
        <w:rPr>
          <w:rFonts w:ascii="Times New Roman" w:hAnsi="Times New Roman" w:cs="Times New Roman"/>
        </w:rPr>
        <w:t xml:space="preserve">La coordinación de la implementación de la PGG es responsabilidad del Vicepresidente de la República, el cual debe velar por la facilitación de acciones entre las diferentes instituciones, para garantizar su cumplimiento, dentro del ejercicio de sus funciones y atribuciones en el ámbito de su competencia. </w:t>
      </w:r>
    </w:p>
    <w:p w14:paraId="005CFD59" w14:textId="77777777" w:rsidR="00DF6B12" w:rsidRPr="004133EB" w:rsidRDefault="00DF6B12" w:rsidP="00DF6B12">
      <w:pPr>
        <w:spacing w:after="0" w:line="240" w:lineRule="auto"/>
        <w:jc w:val="both"/>
        <w:rPr>
          <w:rFonts w:ascii="Times New Roman" w:hAnsi="Times New Roman" w:cs="Times New Roman"/>
        </w:rPr>
      </w:pPr>
    </w:p>
    <w:p w14:paraId="0A6FFD9A" w14:textId="77777777" w:rsidR="00DF6B12" w:rsidRPr="004133EB" w:rsidRDefault="00DF6B12" w:rsidP="00DF6B12">
      <w:pPr>
        <w:spacing w:after="0" w:line="240" w:lineRule="auto"/>
        <w:jc w:val="both"/>
        <w:rPr>
          <w:rFonts w:ascii="Times New Roman" w:hAnsi="Times New Roman" w:cs="Times New Roman"/>
        </w:rPr>
      </w:pPr>
      <w:r w:rsidRPr="004133EB">
        <w:rPr>
          <w:rFonts w:ascii="Times New Roman" w:hAnsi="Times New Roman" w:cs="Times New Roman"/>
        </w:rPr>
        <w:t xml:space="preserve">La aplicación de la política contribuirá a que el Estado sea más eficiente en el impulso de los cambios que permitan alcanzar desarrollo, progreso, paz y equidad para la población guatemalteca. En consecuencia, se afianzará la visión de un futuro próspero para Guatemala. </w:t>
      </w:r>
    </w:p>
    <w:p w14:paraId="0560AE41" w14:textId="77777777" w:rsidR="00DF6B12" w:rsidRPr="004133EB" w:rsidRDefault="00DF6B12" w:rsidP="00DF6B12">
      <w:pPr>
        <w:spacing w:after="0" w:line="240" w:lineRule="auto"/>
        <w:jc w:val="both"/>
        <w:rPr>
          <w:rFonts w:ascii="Times New Roman" w:hAnsi="Times New Roman" w:cs="Times New Roman"/>
        </w:rPr>
      </w:pPr>
    </w:p>
    <w:p w14:paraId="6909A308" w14:textId="77777777" w:rsidR="00DF6B12" w:rsidRPr="004133EB" w:rsidRDefault="00DF6B12" w:rsidP="00DF6B12">
      <w:pPr>
        <w:spacing w:after="0" w:line="240" w:lineRule="auto"/>
        <w:jc w:val="both"/>
        <w:rPr>
          <w:rFonts w:ascii="Times New Roman" w:hAnsi="Times New Roman" w:cs="Times New Roman"/>
        </w:rPr>
      </w:pPr>
      <w:r w:rsidRPr="004133EB">
        <w:rPr>
          <w:rFonts w:ascii="Times New Roman" w:hAnsi="Times New Roman" w:cs="Times New Roman"/>
        </w:rPr>
        <w:t>No obstante, la consecución de las metas propuestas dentro de la PGG 2020-2024 está sujeta a factores exógenos que incidirán, inevitablemente, en las acciones del gobierno; tales circunstancias pueden ser: conmociones económicas, eventos de la política internacional, incluso fenómenos meteorológicos.</w:t>
      </w:r>
    </w:p>
    <w:p w14:paraId="31C05A07" w14:textId="77777777" w:rsidR="00DF6B12" w:rsidRPr="004133EB" w:rsidRDefault="00DF6B12" w:rsidP="00DF6B12">
      <w:pPr>
        <w:spacing w:after="0" w:line="240" w:lineRule="auto"/>
        <w:jc w:val="both"/>
        <w:rPr>
          <w:rFonts w:ascii="Times New Roman" w:hAnsi="Times New Roman" w:cs="Times New Roman"/>
        </w:rPr>
      </w:pPr>
    </w:p>
    <w:p w14:paraId="3B4A959C" w14:textId="77777777" w:rsidR="00DF6B12" w:rsidRPr="004133EB" w:rsidRDefault="00DF6B12" w:rsidP="00DF6B12">
      <w:pPr>
        <w:spacing w:after="0" w:line="240" w:lineRule="auto"/>
        <w:jc w:val="both"/>
        <w:rPr>
          <w:rFonts w:ascii="Times New Roman" w:hAnsi="Times New Roman" w:cs="Times New Roman"/>
        </w:rPr>
      </w:pPr>
      <w:r w:rsidRPr="004133EB">
        <w:rPr>
          <w:rFonts w:ascii="Times New Roman" w:hAnsi="Times New Roman" w:cs="Times New Roman"/>
        </w:rPr>
        <w:t>La consecución de la PGG se vio afectada durante el primer año de la actual administración pública, dado que Guatemala tuvo que enfrentarse a uno de estos factores exógenos y por ello la orientación del gasto público ha tenido una nueva arista. Este nuevo componente sería como consecuencia de la emergencia causada por el COVID-19. El gobierno de Guatemala plasma la orientación del gasto público, principalmente durante 2020 y parte de 2021 en el “Plan General de Atención a la Emergencia COVID-19”.</w:t>
      </w:r>
    </w:p>
    <w:p w14:paraId="375A5E0F" w14:textId="77777777" w:rsidR="00DF6B12" w:rsidRPr="004133EB" w:rsidRDefault="00DF6B12" w:rsidP="00DF6B12">
      <w:pPr>
        <w:spacing w:after="0" w:line="240" w:lineRule="auto"/>
        <w:jc w:val="both"/>
        <w:rPr>
          <w:rFonts w:ascii="Times New Roman" w:hAnsi="Times New Roman" w:cs="Times New Roman"/>
        </w:rPr>
      </w:pPr>
    </w:p>
    <w:p w14:paraId="20D73DDE" w14:textId="77777777" w:rsidR="00DF6B12" w:rsidRDefault="00DF6B12" w:rsidP="00DF6B12">
      <w:pPr>
        <w:spacing w:after="0" w:line="240" w:lineRule="auto"/>
        <w:jc w:val="both"/>
        <w:rPr>
          <w:rFonts w:ascii="Times New Roman" w:hAnsi="Times New Roman" w:cs="Times New Roman"/>
        </w:rPr>
      </w:pPr>
      <w:r w:rsidRPr="004133EB">
        <w:rPr>
          <w:rFonts w:ascii="Times New Roman" w:hAnsi="Times New Roman" w:cs="Times New Roman"/>
        </w:rPr>
        <w:t xml:space="preserve">El final de la pandemia COVID-19 </w:t>
      </w:r>
      <w:r w:rsidR="00F0210D">
        <w:rPr>
          <w:rFonts w:ascii="Times New Roman" w:hAnsi="Times New Roman" w:cs="Times New Roman"/>
        </w:rPr>
        <w:t xml:space="preserve">aún </w:t>
      </w:r>
      <w:r w:rsidRPr="004133EB">
        <w:rPr>
          <w:rFonts w:ascii="Times New Roman" w:hAnsi="Times New Roman" w:cs="Times New Roman"/>
        </w:rPr>
        <w:t>es incierto</w:t>
      </w:r>
      <w:r w:rsidR="00F0210D">
        <w:rPr>
          <w:rFonts w:ascii="Times New Roman" w:hAnsi="Times New Roman" w:cs="Times New Roman"/>
        </w:rPr>
        <w:t xml:space="preserve"> en 2021</w:t>
      </w:r>
      <w:r w:rsidRPr="004133EB">
        <w:rPr>
          <w:rFonts w:ascii="Times New Roman" w:hAnsi="Times New Roman" w:cs="Times New Roman"/>
        </w:rPr>
        <w:t>, por lo que en el corto plazo se tiene previsto que las acciones por parte del gobierno</w:t>
      </w:r>
      <w:r w:rsidR="002D3055">
        <w:rPr>
          <w:rFonts w:ascii="Times New Roman" w:hAnsi="Times New Roman" w:cs="Times New Roman"/>
        </w:rPr>
        <w:t xml:space="preserve"> se orienten hacia </w:t>
      </w:r>
      <w:r w:rsidR="00F0210D">
        <w:rPr>
          <w:rFonts w:ascii="Times New Roman" w:hAnsi="Times New Roman" w:cs="Times New Roman"/>
        </w:rPr>
        <w:t xml:space="preserve">la vacunación de la población, </w:t>
      </w:r>
      <w:r w:rsidRPr="004133EB">
        <w:rPr>
          <w:rFonts w:ascii="Times New Roman" w:hAnsi="Times New Roman" w:cs="Times New Roman"/>
        </w:rPr>
        <w:t xml:space="preserve">apoyar la reactivación económica y la atención de las necesidades de la población más vulnerable, por ello la política fiscal en los años siguientes será </w:t>
      </w:r>
      <w:r w:rsidR="002D3055">
        <w:rPr>
          <w:rFonts w:ascii="Times New Roman" w:hAnsi="Times New Roman" w:cs="Times New Roman"/>
        </w:rPr>
        <w:t xml:space="preserve">contra </w:t>
      </w:r>
      <w:r w:rsidRPr="004133EB">
        <w:rPr>
          <w:rFonts w:ascii="Times New Roman" w:hAnsi="Times New Roman" w:cs="Times New Roman"/>
        </w:rPr>
        <w:t xml:space="preserve">cíclica, de forma que el gasto público y el déficit fiscal se mantendrá en niveles </w:t>
      </w:r>
      <w:r w:rsidR="002D3055">
        <w:rPr>
          <w:rFonts w:ascii="Times New Roman" w:hAnsi="Times New Roman" w:cs="Times New Roman"/>
        </w:rPr>
        <w:t>congruentes con las necesidades económicas y sociales del país</w:t>
      </w:r>
      <w:r w:rsidRPr="004133EB">
        <w:rPr>
          <w:rFonts w:ascii="Times New Roman" w:hAnsi="Times New Roman" w:cs="Times New Roman"/>
        </w:rPr>
        <w:t>.</w:t>
      </w:r>
    </w:p>
    <w:p w14:paraId="7C6D2E02" w14:textId="77777777" w:rsidR="00F0210D" w:rsidRDefault="00F0210D" w:rsidP="00DF6B12">
      <w:pPr>
        <w:spacing w:after="0" w:line="240" w:lineRule="auto"/>
        <w:jc w:val="both"/>
        <w:rPr>
          <w:rFonts w:ascii="Times New Roman" w:hAnsi="Times New Roman" w:cs="Times New Roman"/>
        </w:rPr>
      </w:pPr>
    </w:p>
    <w:p w14:paraId="038B040F" w14:textId="77777777" w:rsidR="00F65C45" w:rsidRDefault="00F0210D" w:rsidP="00DF6B12">
      <w:pPr>
        <w:spacing w:after="0" w:line="240" w:lineRule="auto"/>
        <w:jc w:val="both"/>
        <w:rPr>
          <w:rFonts w:ascii="Times New Roman" w:hAnsi="Times New Roman" w:cs="Times New Roman"/>
        </w:rPr>
      </w:pPr>
      <w:r>
        <w:rPr>
          <w:rFonts w:ascii="Times New Roman" w:hAnsi="Times New Roman" w:cs="Times New Roman"/>
        </w:rPr>
        <w:t>A partir de 20</w:t>
      </w:r>
      <w:r w:rsidR="00F65C45">
        <w:rPr>
          <w:rFonts w:ascii="Times New Roman" w:hAnsi="Times New Roman" w:cs="Times New Roman"/>
        </w:rPr>
        <w:t xml:space="preserve">21, se tiene previsto retornar </w:t>
      </w:r>
      <w:r>
        <w:rPr>
          <w:rFonts w:ascii="Times New Roman" w:hAnsi="Times New Roman" w:cs="Times New Roman"/>
        </w:rPr>
        <w:t>las acciones de gobierno hacia la visión estratégica que fue planteada en el PLANID a través de la PGG 2020-2024, siendo la base para que las entidades públicas definan sus acciones y asignen el presupuesto necesario para la implementación de la propuesta estratégica que se integra en los cinco pilares que la conform</w:t>
      </w:r>
      <w:r w:rsidR="00F65C45">
        <w:rPr>
          <w:rFonts w:ascii="Times New Roman" w:hAnsi="Times New Roman" w:cs="Times New Roman"/>
        </w:rPr>
        <w:t>an, s</w:t>
      </w:r>
      <w:r>
        <w:rPr>
          <w:rFonts w:ascii="Times New Roman" w:hAnsi="Times New Roman" w:cs="Times New Roman"/>
        </w:rPr>
        <w:t>iendo realizado con un enfoque de programación p</w:t>
      </w:r>
      <w:r w:rsidR="00F65C45">
        <w:rPr>
          <w:rFonts w:ascii="Times New Roman" w:hAnsi="Times New Roman" w:cs="Times New Roman"/>
        </w:rPr>
        <w:t>or resultados, para ello es</w:t>
      </w:r>
      <w:r>
        <w:rPr>
          <w:rFonts w:ascii="Times New Roman" w:hAnsi="Times New Roman" w:cs="Times New Roman"/>
        </w:rPr>
        <w:t xml:space="preserve"> fundamental la planificación anual, multianual y estratégica de las instituciones públicas</w:t>
      </w:r>
      <w:r w:rsidR="00F65C45">
        <w:rPr>
          <w:rFonts w:ascii="Times New Roman" w:hAnsi="Times New Roman" w:cs="Times New Roman"/>
        </w:rPr>
        <w:t>.</w:t>
      </w:r>
    </w:p>
    <w:p w14:paraId="07275459" w14:textId="77777777" w:rsidR="00F65C45" w:rsidRPr="00F65C45" w:rsidRDefault="00F65C45" w:rsidP="00DF6B12">
      <w:pPr>
        <w:spacing w:after="0" w:line="240" w:lineRule="auto"/>
        <w:jc w:val="both"/>
        <w:rPr>
          <w:rFonts w:ascii="Times New Roman" w:hAnsi="Times New Roman" w:cs="Times New Roman"/>
          <w:b/>
        </w:rPr>
      </w:pPr>
    </w:p>
    <w:p w14:paraId="0ADB83D9" w14:textId="77777777" w:rsidR="00D67860" w:rsidRDefault="00F65C45" w:rsidP="00DF6B12">
      <w:pPr>
        <w:spacing w:after="0" w:line="240" w:lineRule="auto"/>
        <w:jc w:val="both"/>
        <w:rPr>
          <w:rFonts w:ascii="Times New Roman" w:hAnsi="Times New Roman" w:cs="Times New Roman"/>
        </w:rPr>
      </w:pPr>
      <w:r>
        <w:rPr>
          <w:rFonts w:ascii="Times New Roman" w:hAnsi="Times New Roman" w:cs="Times New Roman"/>
        </w:rPr>
        <w:t>A</w:t>
      </w:r>
      <w:r w:rsidRPr="00F65C45">
        <w:rPr>
          <w:rFonts w:ascii="Times New Roman" w:hAnsi="Times New Roman" w:cs="Times New Roman"/>
        </w:rPr>
        <w:t xml:space="preserve">unque el marco de acción de la administración </w:t>
      </w:r>
      <w:r>
        <w:rPr>
          <w:rFonts w:ascii="Times New Roman" w:hAnsi="Times New Roman" w:cs="Times New Roman"/>
        </w:rPr>
        <w:t xml:space="preserve">gubernamental es de cuatro años, se toman en cuenta </w:t>
      </w:r>
      <w:r w:rsidRPr="00F65C45">
        <w:rPr>
          <w:rFonts w:ascii="Times New Roman" w:hAnsi="Times New Roman" w:cs="Times New Roman"/>
        </w:rPr>
        <w:t>las metas planteadas en la agenda pública de</w:t>
      </w:r>
      <w:r>
        <w:rPr>
          <w:rFonts w:ascii="Times New Roman" w:hAnsi="Times New Roman" w:cs="Times New Roman"/>
        </w:rPr>
        <w:t xml:space="preserve"> desarrollo para el largo plazo. Se analizaron las contribuciones de </w:t>
      </w:r>
      <w:r w:rsidRPr="00F65C45">
        <w:rPr>
          <w:rFonts w:ascii="Times New Roman" w:hAnsi="Times New Roman" w:cs="Times New Roman"/>
        </w:rPr>
        <w:t xml:space="preserve">las metas y acciones estratégicas del PLANID a esa agenda de desarrollo, </w:t>
      </w:r>
      <w:r w:rsidR="00D67860">
        <w:rPr>
          <w:rFonts w:ascii="Times New Roman" w:hAnsi="Times New Roman" w:cs="Times New Roman"/>
        </w:rPr>
        <w:t xml:space="preserve">al final la consecución de metas </w:t>
      </w:r>
      <w:r w:rsidRPr="00F65C45">
        <w:rPr>
          <w:rFonts w:ascii="Times New Roman" w:hAnsi="Times New Roman" w:cs="Times New Roman"/>
        </w:rPr>
        <w:t>en el corto plazo,</w:t>
      </w:r>
      <w:r w:rsidR="00D67860">
        <w:rPr>
          <w:rFonts w:ascii="Times New Roman" w:hAnsi="Times New Roman" w:cs="Times New Roman"/>
        </w:rPr>
        <w:t xml:space="preserve"> coadyuva</w:t>
      </w:r>
      <w:r w:rsidRPr="00F65C45">
        <w:rPr>
          <w:rFonts w:ascii="Times New Roman" w:hAnsi="Times New Roman" w:cs="Times New Roman"/>
        </w:rPr>
        <w:t xml:space="preserve"> a la consecución de las metas de largo alcance.</w:t>
      </w:r>
    </w:p>
    <w:p w14:paraId="225DC113" w14:textId="77777777" w:rsidR="00D67860" w:rsidRDefault="00D67860" w:rsidP="00DF6B12">
      <w:pPr>
        <w:spacing w:after="0" w:line="240" w:lineRule="auto"/>
        <w:jc w:val="both"/>
        <w:rPr>
          <w:rFonts w:ascii="Times New Roman" w:hAnsi="Times New Roman" w:cs="Times New Roman"/>
        </w:rPr>
      </w:pPr>
    </w:p>
    <w:p w14:paraId="01C4B3F2" w14:textId="77777777" w:rsidR="00F65C45" w:rsidRPr="00F65C45" w:rsidRDefault="00F65C45" w:rsidP="00DF6B12">
      <w:pPr>
        <w:spacing w:after="0" w:line="240" w:lineRule="auto"/>
        <w:jc w:val="both"/>
        <w:rPr>
          <w:rFonts w:ascii="Times New Roman" w:hAnsi="Times New Roman" w:cs="Times New Roman"/>
        </w:rPr>
      </w:pPr>
      <w:r w:rsidRPr="00F65C45">
        <w:rPr>
          <w:rFonts w:ascii="Times New Roman" w:hAnsi="Times New Roman" w:cs="Times New Roman"/>
        </w:rPr>
        <w:t>Existen puntos de convergencia total entre dichas metas y la agenda de desarrollo, mientras que otras áreas del PLANID suman una visión innovadora a las estrategias de gestión pública.</w:t>
      </w:r>
    </w:p>
    <w:p w14:paraId="72380DAC" w14:textId="77777777" w:rsidR="00F0210D" w:rsidRDefault="00F0210D" w:rsidP="00DF6B12">
      <w:pPr>
        <w:spacing w:after="0" w:line="240" w:lineRule="auto"/>
        <w:jc w:val="both"/>
        <w:rPr>
          <w:rFonts w:ascii="Times New Roman" w:hAnsi="Times New Roman" w:cs="Times New Roman"/>
        </w:rPr>
      </w:pPr>
    </w:p>
    <w:p w14:paraId="6B71799E" w14:textId="77777777" w:rsidR="00BC4DFD" w:rsidRPr="004133EB" w:rsidRDefault="00BC4DFD" w:rsidP="000865B9">
      <w:pPr>
        <w:spacing w:after="0" w:line="240" w:lineRule="auto"/>
        <w:jc w:val="both"/>
        <w:rPr>
          <w:rFonts w:ascii="Times New Roman" w:hAnsi="Times New Roman" w:cs="Times New Roman"/>
        </w:rPr>
      </w:pPr>
      <w:r w:rsidRPr="004133EB">
        <w:rPr>
          <w:rFonts w:ascii="Times New Roman" w:hAnsi="Times New Roman" w:cs="Times New Roman"/>
        </w:rPr>
        <w:t xml:space="preserve">Por otro </w:t>
      </w:r>
      <w:r w:rsidR="003B2218" w:rsidRPr="004133EB">
        <w:rPr>
          <w:rFonts w:ascii="Times New Roman" w:hAnsi="Times New Roman" w:cs="Times New Roman"/>
        </w:rPr>
        <w:t>lado, merece especial atención</w:t>
      </w:r>
      <w:r w:rsidRPr="004133EB">
        <w:rPr>
          <w:rFonts w:ascii="Times New Roman" w:hAnsi="Times New Roman" w:cs="Times New Roman"/>
        </w:rPr>
        <w:t xml:space="preserve"> las recomendaciones del Fondo Monetario Internacional en cuanto al apoyo que debe seguir brindando la política fiscal a la demanda agregada, la cual debe continuar en el corto y mediano plazo, considerando el espacio fiscal existente</w:t>
      </w:r>
      <w:r w:rsidR="00405B19" w:rsidRPr="004133EB">
        <w:rPr>
          <w:rFonts w:ascii="Times New Roman" w:hAnsi="Times New Roman" w:cs="Times New Roman"/>
        </w:rPr>
        <w:t>, a pesar de la fuerte intervención del gobierno para atender la crisis provocada por la pandemia COVID-19 en 2020 y por el compromiso de apoyar la reactivación económica mediante el impulso de la inversión pública en 2021</w:t>
      </w:r>
      <w:r w:rsidR="002D3055">
        <w:rPr>
          <w:rFonts w:ascii="Times New Roman" w:hAnsi="Times New Roman" w:cs="Times New Roman"/>
        </w:rPr>
        <w:t xml:space="preserve"> y seguir con la reconstrucción derivada de las tormentas tropical ETA e IOTA</w:t>
      </w:r>
      <w:r w:rsidRPr="004133EB">
        <w:rPr>
          <w:rFonts w:ascii="Times New Roman" w:hAnsi="Times New Roman" w:cs="Times New Roman"/>
        </w:rPr>
        <w:t xml:space="preserve">. Asimismo, se deben </w:t>
      </w:r>
      <w:r w:rsidR="0001257A" w:rsidRPr="004133EB">
        <w:rPr>
          <w:rFonts w:ascii="Times New Roman" w:hAnsi="Times New Roman" w:cs="Times New Roman"/>
        </w:rPr>
        <w:t>realizar esfuerzos tendentes a</w:t>
      </w:r>
      <w:r w:rsidRPr="004133EB">
        <w:rPr>
          <w:rFonts w:ascii="Times New Roman" w:hAnsi="Times New Roman" w:cs="Times New Roman"/>
        </w:rPr>
        <w:t xml:space="preserve"> mejorar la eficiencia en el gasto para aumentar la cobertura y la calidad de los servicios públicos prestados y reforzar la rentabilidad de las adquisiciones. A medida que se incrementa el gasto, se deben priorizar aquellas inversiones que generen las externalidades positivas más fuertes y con el mayor potencial de recuperación de costos. </w:t>
      </w:r>
    </w:p>
    <w:p w14:paraId="7B539629" w14:textId="77777777" w:rsidR="000865B9" w:rsidRPr="004133EB" w:rsidRDefault="000865B9" w:rsidP="000865B9">
      <w:pPr>
        <w:spacing w:after="0" w:line="240" w:lineRule="auto"/>
        <w:jc w:val="both"/>
        <w:rPr>
          <w:rFonts w:ascii="Times New Roman" w:hAnsi="Times New Roman" w:cs="Times New Roman"/>
        </w:rPr>
      </w:pPr>
    </w:p>
    <w:p w14:paraId="50B49529" w14:textId="77777777" w:rsidR="00AA1E78" w:rsidRPr="004133EB" w:rsidRDefault="00BC4DFD" w:rsidP="000865B9">
      <w:pPr>
        <w:spacing w:after="0" w:line="240" w:lineRule="auto"/>
        <w:jc w:val="both"/>
        <w:rPr>
          <w:rFonts w:ascii="Times New Roman" w:hAnsi="Times New Roman" w:cs="Times New Roman"/>
        </w:rPr>
      </w:pPr>
      <w:r w:rsidRPr="004133EB">
        <w:rPr>
          <w:rFonts w:ascii="Times New Roman" w:hAnsi="Times New Roman" w:cs="Times New Roman"/>
        </w:rPr>
        <w:t>De esa cuenta, es</w:t>
      </w:r>
      <w:r w:rsidR="00DB2A8F" w:rsidRPr="004133EB">
        <w:rPr>
          <w:rFonts w:ascii="Times New Roman" w:hAnsi="Times New Roman" w:cs="Times New Roman"/>
        </w:rPr>
        <w:t xml:space="preserve"> importante </w:t>
      </w:r>
      <w:r w:rsidRPr="004133EB">
        <w:rPr>
          <w:rFonts w:ascii="Times New Roman" w:hAnsi="Times New Roman" w:cs="Times New Roman"/>
        </w:rPr>
        <w:t>la</w:t>
      </w:r>
      <w:r w:rsidR="00DB2A8F" w:rsidRPr="004133EB">
        <w:rPr>
          <w:rFonts w:ascii="Times New Roman" w:hAnsi="Times New Roman" w:cs="Times New Roman"/>
        </w:rPr>
        <w:t xml:space="preserve"> focalización</w:t>
      </w:r>
      <w:r w:rsidRPr="004133EB">
        <w:rPr>
          <w:rFonts w:ascii="Times New Roman" w:hAnsi="Times New Roman" w:cs="Times New Roman"/>
        </w:rPr>
        <w:t xml:space="preserve"> de gasto</w:t>
      </w:r>
      <w:r w:rsidR="00DB2A8F" w:rsidRPr="004133EB">
        <w:rPr>
          <w:rFonts w:ascii="Times New Roman" w:hAnsi="Times New Roman" w:cs="Times New Roman"/>
        </w:rPr>
        <w:t xml:space="preserve"> en infraestructura y e</w:t>
      </w:r>
      <w:r w:rsidRPr="004133EB">
        <w:rPr>
          <w:rFonts w:ascii="Times New Roman" w:hAnsi="Times New Roman" w:cs="Times New Roman"/>
        </w:rPr>
        <w:t>n</w:t>
      </w:r>
      <w:r w:rsidR="00DB2A8F" w:rsidRPr="004133EB">
        <w:rPr>
          <w:rFonts w:ascii="Times New Roman" w:hAnsi="Times New Roman" w:cs="Times New Roman"/>
        </w:rPr>
        <w:t xml:space="preserve"> gasto social, </w:t>
      </w:r>
      <w:r w:rsidRPr="004133EB">
        <w:rPr>
          <w:rFonts w:ascii="Times New Roman" w:hAnsi="Times New Roman" w:cs="Times New Roman"/>
        </w:rPr>
        <w:t xml:space="preserve">el cual </w:t>
      </w:r>
      <w:r w:rsidR="00346AE1" w:rsidRPr="004133EB">
        <w:rPr>
          <w:rFonts w:ascii="Times New Roman" w:hAnsi="Times New Roman" w:cs="Times New Roman"/>
        </w:rPr>
        <w:t>permita</w:t>
      </w:r>
      <w:r w:rsidR="00DB2A8F" w:rsidRPr="004133EB">
        <w:rPr>
          <w:rFonts w:ascii="Times New Roman" w:hAnsi="Times New Roman" w:cs="Times New Roman"/>
        </w:rPr>
        <w:t xml:space="preserve"> promover el crecimiento del sector privado y los ODS </w:t>
      </w:r>
      <w:r w:rsidR="00346AE1" w:rsidRPr="004133EB">
        <w:rPr>
          <w:rFonts w:ascii="Times New Roman" w:hAnsi="Times New Roman" w:cs="Times New Roman"/>
        </w:rPr>
        <w:t>priorizados</w:t>
      </w:r>
      <w:r w:rsidR="00DB2A8F" w:rsidRPr="004133EB">
        <w:rPr>
          <w:rFonts w:ascii="Times New Roman" w:hAnsi="Times New Roman" w:cs="Times New Roman"/>
        </w:rPr>
        <w:t xml:space="preserve">. Por lo que </w:t>
      </w:r>
      <w:r w:rsidR="00E3398F" w:rsidRPr="004133EB">
        <w:rPr>
          <w:rFonts w:ascii="Times New Roman" w:hAnsi="Times New Roman" w:cs="Times New Roman"/>
        </w:rPr>
        <w:t>de</w:t>
      </w:r>
      <w:r w:rsidR="00DB2A8F" w:rsidRPr="004133EB">
        <w:rPr>
          <w:rFonts w:ascii="Times New Roman" w:hAnsi="Times New Roman" w:cs="Times New Roman"/>
        </w:rPr>
        <w:t xml:space="preserve"> pri</w:t>
      </w:r>
      <w:r w:rsidR="00346AE1" w:rsidRPr="004133EB">
        <w:rPr>
          <w:rFonts w:ascii="Times New Roman" w:hAnsi="Times New Roman" w:cs="Times New Roman"/>
        </w:rPr>
        <w:t>vilegiar</w:t>
      </w:r>
      <w:r w:rsidR="00DB2A8F" w:rsidRPr="004133EB">
        <w:rPr>
          <w:rFonts w:ascii="Times New Roman" w:hAnsi="Times New Roman" w:cs="Times New Roman"/>
        </w:rPr>
        <w:t xml:space="preserve"> aquellas inversiones que generen las externalidades </w:t>
      </w:r>
      <w:r w:rsidR="00E3398F" w:rsidRPr="004133EB">
        <w:rPr>
          <w:rFonts w:ascii="Times New Roman" w:hAnsi="Times New Roman" w:cs="Times New Roman"/>
        </w:rPr>
        <w:t>positivas</w:t>
      </w:r>
      <w:r w:rsidR="00DB2A8F" w:rsidRPr="004133EB">
        <w:rPr>
          <w:rFonts w:ascii="Times New Roman" w:hAnsi="Times New Roman" w:cs="Times New Roman"/>
        </w:rPr>
        <w:t xml:space="preserve"> (como los servicios de agua y saneamiento, atención médica preventiva y primaria, programas de educación</w:t>
      </w:r>
      <w:r w:rsidRPr="004133EB">
        <w:rPr>
          <w:rFonts w:ascii="Times New Roman" w:hAnsi="Times New Roman" w:cs="Times New Roman"/>
        </w:rPr>
        <w:t xml:space="preserve"> </w:t>
      </w:r>
      <w:r w:rsidR="00DB2A8F" w:rsidRPr="004133EB">
        <w:rPr>
          <w:rFonts w:ascii="Times New Roman" w:hAnsi="Times New Roman" w:cs="Times New Roman"/>
        </w:rPr>
        <w:t>preescolar</w:t>
      </w:r>
      <w:r w:rsidRPr="004133EB">
        <w:rPr>
          <w:rFonts w:ascii="Times New Roman" w:hAnsi="Times New Roman" w:cs="Times New Roman"/>
        </w:rPr>
        <w:t>, a nivel primario</w:t>
      </w:r>
      <w:r w:rsidR="00DB2A8F" w:rsidRPr="004133EB">
        <w:rPr>
          <w:rFonts w:ascii="Times New Roman" w:hAnsi="Times New Roman" w:cs="Times New Roman"/>
        </w:rPr>
        <w:t xml:space="preserve"> y capacitación de maestros) y aquellas con el mayor potencial de recuperación de costos y participación del sector privado como es el caso de la infraestructura vial</w:t>
      </w:r>
      <w:r w:rsidRPr="004133EB">
        <w:rPr>
          <w:rFonts w:ascii="Times New Roman" w:hAnsi="Times New Roman" w:cs="Times New Roman"/>
        </w:rPr>
        <w:t xml:space="preserve">; lograrán </w:t>
      </w:r>
      <w:r w:rsidR="000865B9" w:rsidRPr="004133EB">
        <w:rPr>
          <w:rFonts w:ascii="Times New Roman" w:hAnsi="Times New Roman" w:cs="Times New Roman"/>
        </w:rPr>
        <w:t>un mayor impacto</w:t>
      </w:r>
      <w:r w:rsidR="00C47B71" w:rsidRPr="004133EB">
        <w:rPr>
          <w:rFonts w:ascii="Times New Roman" w:hAnsi="Times New Roman" w:cs="Times New Roman"/>
        </w:rPr>
        <w:t xml:space="preserve"> </w:t>
      </w:r>
      <w:r w:rsidRPr="004133EB">
        <w:rPr>
          <w:rFonts w:ascii="Times New Roman" w:hAnsi="Times New Roman" w:cs="Times New Roman"/>
        </w:rPr>
        <w:t>en el desarrollo social y en la actividad económica.</w:t>
      </w:r>
      <w:r w:rsidR="00DB2A8F" w:rsidRPr="004133EB">
        <w:rPr>
          <w:rFonts w:ascii="Times New Roman" w:hAnsi="Times New Roman" w:cs="Times New Roman"/>
        </w:rPr>
        <w:t xml:space="preserve"> </w:t>
      </w:r>
      <w:r w:rsidRPr="004133EB">
        <w:rPr>
          <w:rFonts w:ascii="Times New Roman" w:hAnsi="Times New Roman" w:cs="Times New Roman"/>
        </w:rPr>
        <w:t>Además, l</w:t>
      </w:r>
      <w:r w:rsidR="00DB2A8F" w:rsidRPr="004133EB">
        <w:rPr>
          <w:rFonts w:ascii="Times New Roman" w:hAnsi="Times New Roman" w:cs="Times New Roman"/>
        </w:rPr>
        <w:t xml:space="preserve">a aprobación de préstamos plurianuales para educación, salud, seguridad alimentaria, justicia, infraestructura y agua y saneamiento facilitaría la incorporación de estas prioridades en un marco presupuestario de mediano plazo. </w:t>
      </w:r>
    </w:p>
    <w:p w14:paraId="3ACB1FE2" w14:textId="77777777" w:rsidR="00B04D4D" w:rsidRPr="004133EB" w:rsidRDefault="00B04D4D" w:rsidP="000865B9">
      <w:pPr>
        <w:spacing w:after="0" w:line="240" w:lineRule="auto"/>
        <w:jc w:val="both"/>
        <w:rPr>
          <w:rFonts w:ascii="Times New Roman" w:hAnsi="Times New Roman" w:cs="Times New Roman"/>
        </w:rPr>
      </w:pPr>
    </w:p>
    <w:p w14:paraId="1D9300B6" w14:textId="77777777" w:rsidR="00B04D4D" w:rsidRDefault="00DF6B12" w:rsidP="00B04D4D">
      <w:pPr>
        <w:spacing w:after="0" w:line="240" w:lineRule="auto"/>
        <w:jc w:val="both"/>
        <w:rPr>
          <w:rFonts w:ascii="Times New Roman" w:hAnsi="Times New Roman" w:cs="Times New Roman"/>
        </w:rPr>
      </w:pPr>
      <w:r w:rsidRPr="004133EB">
        <w:rPr>
          <w:rFonts w:ascii="Times New Roman" w:hAnsi="Times New Roman" w:cs="Times New Roman"/>
        </w:rPr>
        <w:t>Por último</w:t>
      </w:r>
      <w:r w:rsidR="00B04D4D" w:rsidRPr="004133EB">
        <w:rPr>
          <w:rFonts w:ascii="Times New Roman" w:hAnsi="Times New Roman" w:cs="Times New Roman"/>
        </w:rPr>
        <w:t xml:space="preserve">, </w:t>
      </w:r>
      <w:r w:rsidRPr="004133EB">
        <w:rPr>
          <w:rFonts w:ascii="Times New Roman" w:hAnsi="Times New Roman" w:cs="Times New Roman"/>
        </w:rPr>
        <w:t xml:space="preserve">cabe destacar que </w:t>
      </w:r>
      <w:r w:rsidR="00B04D4D" w:rsidRPr="004133EB">
        <w:rPr>
          <w:rFonts w:ascii="Times New Roman" w:hAnsi="Times New Roman" w:cs="Times New Roman"/>
        </w:rPr>
        <w:t>la orientación del gasto público</w:t>
      </w:r>
      <w:r w:rsidRPr="004133EB">
        <w:rPr>
          <w:rFonts w:ascii="Times New Roman" w:hAnsi="Times New Roman" w:cs="Times New Roman"/>
        </w:rPr>
        <w:t>, también</w:t>
      </w:r>
      <w:r w:rsidR="00B04D4D" w:rsidRPr="004133EB">
        <w:rPr>
          <w:rFonts w:ascii="Times New Roman" w:hAnsi="Times New Roman" w:cs="Times New Roman"/>
        </w:rPr>
        <w:t xml:space="preserve"> está determinada por las rigideces presupuestarias originadas principalmente por las asignaciones establecidas por mandato constitucional, las que devienen de leyes ordinarias como el destino específico que consideran la normativa de algunos impuestos, las aportaciones que se instituyen de las leyes orgánicas de entidades descentralizadas y autónomas, así como la asignación de la nómina estatal, el pago de pensiones y jubilaciones, el servicio de la deuda pública interna y externa y otros compromisos de carácter ineludible, que limitan en cierto sentido el margen de maniobra de la política fiscal.</w:t>
      </w:r>
    </w:p>
    <w:p w14:paraId="2B8F1744" w14:textId="77777777" w:rsidR="00F0210D" w:rsidRDefault="00F0210D" w:rsidP="00B04D4D">
      <w:pPr>
        <w:spacing w:after="0" w:line="240" w:lineRule="auto"/>
        <w:jc w:val="both"/>
        <w:rPr>
          <w:rFonts w:ascii="Times New Roman" w:hAnsi="Times New Roman" w:cs="Times New Roman"/>
        </w:rPr>
      </w:pPr>
    </w:p>
    <w:p w14:paraId="2B7C5AAE" w14:textId="77777777" w:rsidR="00484ED3" w:rsidRPr="004133EB" w:rsidRDefault="00484ED3" w:rsidP="00B04D4D">
      <w:pPr>
        <w:spacing w:after="0" w:line="240" w:lineRule="auto"/>
        <w:jc w:val="both"/>
        <w:rPr>
          <w:rFonts w:ascii="Times New Roman" w:hAnsi="Times New Roman" w:cs="Times New Roman"/>
        </w:rPr>
      </w:pPr>
    </w:p>
    <w:p w14:paraId="5CAF89EB" w14:textId="77777777" w:rsidR="00813233" w:rsidRPr="00F12665" w:rsidRDefault="00813233" w:rsidP="001032E7">
      <w:pPr>
        <w:pStyle w:val="Sinespaciado"/>
        <w:numPr>
          <w:ilvl w:val="2"/>
          <w:numId w:val="38"/>
        </w:numPr>
        <w:outlineLvl w:val="2"/>
        <w:rPr>
          <w:rFonts w:ascii="Times New Roman" w:hAnsi="Times New Roman" w:cs="Times New Roman"/>
          <w:b/>
          <w:sz w:val="24"/>
        </w:rPr>
      </w:pPr>
      <w:bookmarkStart w:id="1729" w:name="_Toc81571917"/>
      <w:r w:rsidRPr="00F12665">
        <w:rPr>
          <w:rFonts w:ascii="Times New Roman" w:hAnsi="Times New Roman" w:cs="Times New Roman"/>
          <w:b/>
          <w:sz w:val="24"/>
        </w:rPr>
        <w:t>Orientaciones del financiamiento público</w:t>
      </w:r>
      <w:bookmarkEnd w:id="1729"/>
      <w:r w:rsidRPr="00F12665">
        <w:rPr>
          <w:rFonts w:ascii="Times New Roman" w:hAnsi="Times New Roman" w:cs="Times New Roman"/>
          <w:b/>
          <w:sz w:val="24"/>
        </w:rPr>
        <w:t xml:space="preserve"> </w:t>
      </w:r>
    </w:p>
    <w:p w14:paraId="554AEBDD" w14:textId="77777777" w:rsidR="00813233" w:rsidRPr="00813233" w:rsidRDefault="00813233" w:rsidP="00813233">
      <w:pPr>
        <w:spacing w:after="0" w:line="240" w:lineRule="auto"/>
        <w:jc w:val="both"/>
        <w:rPr>
          <w:rFonts w:ascii="Times New Roman" w:hAnsi="Times New Roman" w:cs="Times New Roman"/>
        </w:rPr>
      </w:pPr>
    </w:p>
    <w:p w14:paraId="364761EA" w14:textId="77777777" w:rsidR="00813233" w:rsidRPr="00813233" w:rsidRDefault="00813233" w:rsidP="00813233">
      <w:pPr>
        <w:spacing w:after="0" w:line="240" w:lineRule="auto"/>
        <w:jc w:val="both"/>
        <w:rPr>
          <w:rFonts w:ascii="Times New Roman" w:hAnsi="Times New Roman" w:cs="Times New Roman"/>
          <w:color w:val="000000"/>
          <w:spacing w:val="5"/>
          <w:shd w:val="clear" w:color="auto" w:fill="FFFFFF"/>
          <w:lang w:eastAsia="es-ES_tradnl"/>
        </w:rPr>
      </w:pPr>
      <w:r w:rsidRPr="00813233">
        <w:rPr>
          <w:rFonts w:ascii="Times New Roman" w:hAnsi="Times New Roman" w:cs="Times New Roman"/>
        </w:rPr>
        <w:t xml:space="preserve">Conforme a la definición de la política económica vigente, planteada en el Plan Nacional de Desarrollo, el cual considera que el crecimiento económico incluyente y sostenible requiere, entre otros aspectos, de un aumento de la inversión pública y privada y considerando que los recursos fiscales son limitados para atender las necesidades de inversión y las brechas sociales existentes, es necesario complementar el financiamiento con recursos provenientes del endeudamiento interno y externo, para contribuir, como gobierno, al crecimiento y desarrollo económico del país, procurando gestionar recursos del sistema financiero nacional e internacional en condiciones financieras </w:t>
      </w:r>
      <w:r w:rsidR="00B20ED5">
        <w:rPr>
          <w:rFonts w:ascii="Times New Roman" w:hAnsi="Times New Roman" w:cs="Times New Roman"/>
        </w:rPr>
        <w:t>favorables</w:t>
      </w:r>
      <w:r w:rsidRPr="00813233">
        <w:rPr>
          <w:rFonts w:ascii="Times New Roman" w:hAnsi="Times New Roman" w:cs="Times New Roman"/>
        </w:rPr>
        <w:t>.</w:t>
      </w:r>
    </w:p>
    <w:p w14:paraId="6B8425AC" w14:textId="77777777" w:rsidR="00813233" w:rsidRPr="00813233" w:rsidRDefault="00813233" w:rsidP="00813233">
      <w:pPr>
        <w:spacing w:after="0" w:line="240" w:lineRule="auto"/>
        <w:jc w:val="both"/>
        <w:rPr>
          <w:rFonts w:ascii="Times New Roman" w:hAnsi="Times New Roman" w:cs="Times New Roman"/>
          <w:color w:val="000000"/>
          <w:spacing w:val="5"/>
          <w:shd w:val="clear" w:color="auto" w:fill="FFFFFF"/>
          <w:lang w:eastAsia="es-ES_tradnl"/>
        </w:rPr>
      </w:pPr>
    </w:p>
    <w:p w14:paraId="47A62541" w14:textId="77777777" w:rsidR="00813233" w:rsidRPr="00813233" w:rsidRDefault="00813233" w:rsidP="00813233">
      <w:pPr>
        <w:spacing w:after="0" w:line="240" w:lineRule="auto"/>
        <w:jc w:val="both"/>
        <w:rPr>
          <w:rFonts w:ascii="Times New Roman" w:hAnsi="Times New Roman" w:cs="Times New Roman"/>
          <w:color w:val="000000"/>
          <w:spacing w:val="5"/>
          <w:shd w:val="clear" w:color="auto" w:fill="FFFFFF"/>
          <w:lang w:eastAsia="es-ES_tradnl"/>
        </w:rPr>
      </w:pPr>
      <w:r w:rsidRPr="00813233">
        <w:rPr>
          <w:rFonts w:ascii="Times New Roman" w:hAnsi="Times New Roman" w:cs="Times New Roman"/>
          <w:color w:val="000000"/>
          <w:spacing w:val="5"/>
          <w:shd w:val="clear" w:color="auto" w:fill="FFFFFF"/>
          <w:lang w:eastAsia="es-ES_tradnl"/>
        </w:rPr>
        <w:t>De esa cuenta, los principales objetivos del financiamiento público son:</w:t>
      </w:r>
    </w:p>
    <w:p w14:paraId="4BF00C7F" w14:textId="77777777" w:rsidR="00813233" w:rsidRPr="00813233" w:rsidRDefault="00813233" w:rsidP="001032E7">
      <w:pPr>
        <w:numPr>
          <w:ilvl w:val="0"/>
          <w:numId w:val="23"/>
        </w:numPr>
        <w:spacing w:before="100" w:beforeAutospacing="1" w:after="0" w:line="276" w:lineRule="auto"/>
        <w:ind w:left="714" w:hanging="357"/>
        <w:jc w:val="both"/>
        <w:rPr>
          <w:rFonts w:ascii="Times New Roman" w:eastAsia="Times New Roman" w:hAnsi="Times New Roman" w:cs="Times New Roman"/>
          <w:lang w:val="es-ES" w:eastAsia="es-ES"/>
        </w:rPr>
      </w:pPr>
      <w:r w:rsidRPr="00813233">
        <w:rPr>
          <w:rFonts w:ascii="Times New Roman" w:eastAsia="Times New Roman" w:hAnsi="Times New Roman" w:cs="Times New Roman"/>
          <w:lang w:val="es-ES" w:eastAsia="es-ES"/>
        </w:rPr>
        <w:t xml:space="preserve">Promover la captación de medios de financiamiento a costos favorables para el </w:t>
      </w:r>
      <w:r w:rsidR="00B20ED5">
        <w:rPr>
          <w:rFonts w:ascii="Times New Roman" w:eastAsia="Times New Roman" w:hAnsi="Times New Roman" w:cs="Times New Roman"/>
          <w:lang w:val="es-ES" w:eastAsia="es-ES"/>
        </w:rPr>
        <w:t>país</w:t>
      </w:r>
      <w:r w:rsidRPr="00813233">
        <w:rPr>
          <w:rFonts w:ascii="Times New Roman" w:eastAsia="Times New Roman" w:hAnsi="Times New Roman" w:cs="Times New Roman"/>
          <w:lang w:val="es-ES" w:eastAsia="es-ES"/>
        </w:rPr>
        <w:t xml:space="preserve"> dentro de las opciones del mercado interno y externo de crédito. </w:t>
      </w:r>
    </w:p>
    <w:p w14:paraId="531C54D4" w14:textId="77777777" w:rsidR="00813233" w:rsidRPr="00813233" w:rsidRDefault="00813233" w:rsidP="001032E7">
      <w:pPr>
        <w:numPr>
          <w:ilvl w:val="0"/>
          <w:numId w:val="23"/>
        </w:numPr>
        <w:spacing w:before="100" w:beforeAutospacing="1" w:after="0" w:line="276" w:lineRule="auto"/>
        <w:ind w:left="714" w:hanging="357"/>
        <w:jc w:val="both"/>
        <w:rPr>
          <w:rFonts w:ascii="Times New Roman" w:eastAsia="Times New Roman" w:hAnsi="Times New Roman" w:cs="Times New Roman"/>
          <w:lang w:val="es-ES" w:eastAsia="es-ES"/>
        </w:rPr>
      </w:pPr>
      <w:r w:rsidRPr="00813233">
        <w:rPr>
          <w:rFonts w:ascii="Times New Roman" w:eastAsia="Times New Roman" w:hAnsi="Times New Roman" w:cs="Times New Roman"/>
          <w:lang w:val="es-ES" w:eastAsia="es-ES"/>
        </w:rPr>
        <w:t>Dar cumplimiento a las obligaciones financieras adquiridas por operaciones de crédito público en forma oportuna.</w:t>
      </w:r>
    </w:p>
    <w:p w14:paraId="00EF2A0D" w14:textId="77777777" w:rsidR="00813233" w:rsidRPr="00813233" w:rsidRDefault="00813233" w:rsidP="001032E7">
      <w:pPr>
        <w:numPr>
          <w:ilvl w:val="0"/>
          <w:numId w:val="23"/>
        </w:numPr>
        <w:spacing w:before="100" w:beforeAutospacing="1" w:after="0" w:line="240" w:lineRule="auto"/>
        <w:ind w:left="714" w:hanging="357"/>
        <w:jc w:val="both"/>
        <w:rPr>
          <w:rFonts w:ascii="Times New Roman" w:eastAsia="Times New Roman" w:hAnsi="Times New Roman" w:cs="Times New Roman"/>
          <w:lang w:val="es-ES" w:eastAsia="es-ES"/>
        </w:rPr>
      </w:pPr>
      <w:r w:rsidRPr="00813233">
        <w:rPr>
          <w:rFonts w:ascii="Times New Roman" w:eastAsia="Times New Roman" w:hAnsi="Times New Roman" w:cs="Times New Roman"/>
          <w:lang w:val="es-ES" w:eastAsia="es-ES"/>
        </w:rPr>
        <w:t>Procurar accesos a los mercados de crédito interno y externo, así como a las diferentes fuentes financieras internacionales para gestionar los instrumentos financieros que permitan atender las necesidades d</w:t>
      </w:r>
      <w:r w:rsidR="00B20ED5">
        <w:rPr>
          <w:rFonts w:ascii="Times New Roman" w:eastAsia="Times New Roman" w:hAnsi="Times New Roman" w:cs="Times New Roman"/>
          <w:lang w:val="es-ES" w:eastAsia="es-ES"/>
        </w:rPr>
        <w:t>e financiamiento que se requiere</w:t>
      </w:r>
      <w:r w:rsidRPr="00813233">
        <w:rPr>
          <w:rFonts w:ascii="Times New Roman" w:eastAsia="Times New Roman" w:hAnsi="Times New Roman" w:cs="Times New Roman"/>
          <w:lang w:val="es-ES" w:eastAsia="es-ES"/>
        </w:rPr>
        <w:t xml:space="preserve">n para el ejercicio fiscal vigente, condicionados a las </w:t>
      </w:r>
      <w:r w:rsidR="00C3170B" w:rsidRPr="00813233">
        <w:rPr>
          <w:rFonts w:ascii="Times New Roman" w:eastAsia="Times New Roman" w:hAnsi="Times New Roman" w:cs="Times New Roman"/>
          <w:lang w:val="es-ES" w:eastAsia="es-ES"/>
        </w:rPr>
        <w:t>vari</w:t>
      </w:r>
      <w:r w:rsidR="00C3170B">
        <w:rPr>
          <w:rFonts w:ascii="Times New Roman" w:eastAsia="Times New Roman" w:hAnsi="Times New Roman" w:cs="Times New Roman"/>
          <w:lang w:val="es-ES" w:eastAsia="es-ES"/>
        </w:rPr>
        <w:t>a</w:t>
      </w:r>
      <w:r w:rsidR="00C3170B" w:rsidRPr="00813233">
        <w:rPr>
          <w:rFonts w:ascii="Times New Roman" w:eastAsia="Times New Roman" w:hAnsi="Times New Roman" w:cs="Times New Roman"/>
          <w:lang w:val="es-ES" w:eastAsia="es-ES"/>
        </w:rPr>
        <w:t>ciones</w:t>
      </w:r>
      <w:r w:rsidRPr="00813233">
        <w:rPr>
          <w:rFonts w:ascii="Times New Roman" w:eastAsia="Times New Roman" w:hAnsi="Times New Roman" w:cs="Times New Roman"/>
          <w:lang w:val="es-ES" w:eastAsia="es-ES"/>
        </w:rPr>
        <w:t xml:space="preserve"> de las características del mercado de crédito.</w:t>
      </w:r>
    </w:p>
    <w:p w14:paraId="722CF0D0" w14:textId="77777777" w:rsidR="00813233" w:rsidRPr="00813233" w:rsidRDefault="00813233" w:rsidP="001032E7">
      <w:pPr>
        <w:numPr>
          <w:ilvl w:val="0"/>
          <w:numId w:val="23"/>
        </w:numPr>
        <w:spacing w:after="0" w:line="240" w:lineRule="auto"/>
        <w:ind w:left="714" w:hanging="357"/>
        <w:contextualSpacing/>
        <w:jc w:val="both"/>
        <w:rPr>
          <w:rFonts w:ascii="Times New Roman" w:hAnsi="Times New Roman" w:cs="Times New Roman"/>
        </w:rPr>
      </w:pPr>
      <w:r w:rsidRPr="00813233">
        <w:rPr>
          <w:rFonts w:ascii="Times New Roman" w:hAnsi="Times New Roman" w:cs="Times New Roman"/>
        </w:rPr>
        <w:t xml:space="preserve">Procurar la realización de operaciones de gestión de pasivos y riesgos del portafolio de la deuda pública en los mercados local e internacional de crédito, cuando las condiciones del mercado sean favorables al </w:t>
      </w:r>
      <w:r w:rsidR="0078072A">
        <w:rPr>
          <w:rFonts w:ascii="Times New Roman" w:hAnsi="Times New Roman" w:cs="Times New Roman"/>
        </w:rPr>
        <w:t>Estado</w:t>
      </w:r>
      <w:r w:rsidRPr="00813233">
        <w:rPr>
          <w:rFonts w:ascii="Times New Roman" w:hAnsi="Times New Roman" w:cs="Times New Roman"/>
        </w:rPr>
        <w:t>.</w:t>
      </w:r>
    </w:p>
    <w:p w14:paraId="411F4F54" w14:textId="77777777" w:rsidR="00813233" w:rsidRPr="00813233" w:rsidRDefault="00813233" w:rsidP="00813233">
      <w:pPr>
        <w:spacing w:after="0" w:line="240" w:lineRule="auto"/>
        <w:ind w:left="720"/>
        <w:contextualSpacing/>
        <w:jc w:val="both"/>
        <w:rPr>
          <w:rFonts w:ascii="Times New Roman" w:hAnsi="Times New Roman" w:cs="Times New Roman"/>
        </w:rPr>
      </w:pPr>
    </w:p>
    <w:p w14:paraId="693320F4" w14:textId="77777777" w:rsidR="00813233" w:rsidRPr="00813233" w:rsidRDefault="00813233" w:rsidP="00813233">
      <w:pPr>
        <w:spacing w:after="0" w:line="240" w:lineRule="auto"/>
        <w:jc w:val="both"/>
        <w:rPr>
          <w:rFonts w:ascii="Times New Roman" w:hAnsi="Times New Roman" w:cs="Times New Roman"/>
        </w:rPr>
      </w:pPr>
      <w:r w:rsidRPr="00813233">
        <w:rPr>
          <w:rFonts w:ascii="Times New Roman" w:hAnsi="Times New Roman" w:cs="Times New Roman"/>
        </w:rPr>
        <w:t>Para alcanzar los objetivos de la Política de Crédito Público, se establecen algunas líneas estratégicas, entre las que destacan:</w:t>
      </w:r>
    </w:p>
    <w:p w14:paraId="69842FDE" w14:textId="77777777" w:rsidR="00813233" w:rsidRPr="00813233" w:rsidRDefault="00813233" w:rsidP="001032E7">
      <w:pPr>
        <w:numPr>
          <w:ilvl w:val="0"/>
          <w:numId w:val="24"/>
        </w:numPr>
        <w:spacing w:before="100" w:beforeAutospacing="1" w:after="0" w:line="240" w:lineRule="auto"/>
        <w:jc w:val="both"/>
        <w:rPr>
          <w:rFonts w:ascii="Times New Roman" w:eastAsia="Times New Roman" w:hAnsi="Times New Roman" w:cs="Times New Roman"/>
          <w:szCs w:val="24"/>
          <w:lang w:val="es-ES" w:eastAsia="es-ES"/>
        </w:rPr>
      </w:pPr>
      <w:r w:rsidRPr="00813233">
        <w:rPr>
          <w:rFonts w:ascii="Times New Roman" w:eastAsia="Times New Roman" w:hAnsi="Times New Roman" w:cs="Times New Roman"/>
          <w:szCs w:val="24"/>
          <w:lang w:val="es-ES" w:eastAsia="es-ES"/>
        </w:rPr>
        <w:t xml:space="preserve">Atender las necesidades de financiamiento del </w:t>
      </w:r>
      <w:r w:rsidR="00B20ED5">
        <w:rPr>
          <w:rFonts w:ascii="Times New Roman" w:eastAsia="Times New Roman" w:hAnsi="Times New Roman" w:cs="Times New Roman"/>
          <w:szCs w:val="24"/>
          <w:lang w:val="es-ES" w:eastAsia="es-ES"/>
        </w:rPr>
        <w:t>gobierno</w:t>
      </w:r>
      <w:r w:rsidRPr="00813233">
        <w:rPr>
          <w:rFonts w:ascii="Times New Roman" w:eastAsia="Times New Roman" w:hAnsi="Times New Roman" w:cs="Times New Roman"/>
          <w:szCs w:val="24"/>
          <w:lang w:val="es-ES" w:eastAsia="es-ES"/>
        </w:rPr>
        <w:t>, mediante la gestión y uso del endeudamiento interno y externo, sin desplazar la demanda del sector privado para la producción de bienes y servicios.</w:t>
      </w:r>
    </w:p>
    <w:p w14:paraId="0F2D41D3" w14:textId="77777777" w:rsidR="00813233" w:rsidRPr="00813233" w:rsidRDefault="00B20ED5" w:rsidP="001032E7">
      <w:pPr>
        <w:numPr>
          <w:ilvl w:val="0"/>
          <w:numId w:val="24"/>
        </w:numPr>
        <w:spacing w:before="100" w:beforeAutospacing="1" w:after="100" w:afterAutospacing="1" w:line="240" w:lineRule="auto"/>
        <w:jc w:val="both"/>
        <w:rPr>
          <w:rFonts w:ascii="Times New Roman" w:eastAsia="Times New Roman" w:hAnsi="Times New Roman" w:cs="Times New Roman"/>
          <w:szCs w:val="24"/>
          <w:lang w:val="es-ES" w:eastAsia="es-ES"/>
        </w:rPr>
      </w:pPr>
      <w:r>
        <w:rPr>
          <w:rFonts w:ascii="Times New Roman" w:eastAsia="Times New Roman" w:hAnsi="Times New Roman" w:cs="Times New Roman"/>
          <w:szCs w:val="24"/>
          <w:lang w:val="es-ES" w:eastAsia="es-ES"/>
        </w:rPr>
        <w:t xml:space="preserve">Cumplir con </w:t>
      </w:r>
      <w:r w:rsidR="00813233" w:rsidRPr="00813233">
        <w:rPr>
          <w:rFonts w:ascii="Times New Roman" w:eastAsia="Times New Roman" w:hAnsi="Times New Roman" w:cs="Times New Roman"/>
          <w:szCs w:val="24"/>
          <w:lang w:val="es-ES" w:eastAsia="es-ES"/>
        </w:rPr>
        <w:t>el pago del servicio de la deuda pública, conforme a los vencimientos.</w:t>
      </w:r>
    </w:p>
    <w:p w14:paraId="5642FDE3" w14:textId="77777777" w:rsidR="00813233" w:rsidRPr="00813233" w:rsidRDefault="00813233" w:rsidP="001032E7">
      <w:pPr>
        <w:numPr>
          <w:ilvl w:val="0"/>
          <w:numId w:val="24"/>
        </w:numPr>
        <w:spacing w:after="100" w:afterAutospacing="1" w:line="240" w:lineRule="auto"/>
        <w:jc w:val="both"/>
        <w:rPr>
          <w:rFonts w:ascii="Times New Roman" w:eastAsia="Times New Roman" w:hAnsi="Times New Roman" w:cs="Times New Roman"/>
          <w:szCs w:val="24"/>
          <w:lang w:val="es-ES" w:eastAsia="es-ES"/>
        </w:rPr>
      </w:pPr>
      <w:r w:rsidRPr="00813233">
        <w:rPr>
          <w:rFonts w:ascii="Times New Roman" w:eastAsia="Times New Roman" w:hAnsi="Times New Roman" w:cs="Times New Roman"/>
          <w:szCs w:val="24"/>
          <w:lang w:val="es-ES" w:eastAsia="es-ES"/>
        </w:rPr>
        <w:t>Procurar la diversificación de fuentes financieras que mejoren las condiciones contractuales del Portafolio de Operaciones de Crédito Público, ampliando el acceso a los mercados financieros local e internacional.</w:t>
      </w:r>
    </w:p>
    <w:p w14:paraId="6312DD2E" w14:textId="77777777" w:rsidR="00813233" w:rsidRPr="00813233" w:rsidRDefault="00813233" w:rsidP="001032E7">
      <w:pPr>
        <w:numPr>
          <w:ilvl w:val="0"/>
          <w:numId w:val="24"/>
        </w:numPr>
        <w:spacing w:after="100" w:afterAutospacing="1" w:line="240" w:lineRule="auto"/>
        <w:jc w:val="both"/>
        <w:rPr>
          <w:rFonts w:ascii="Times New Roman" w:eastAsia="Times New Roman" w:hAnsi="Times New Roman" w:cs="Times New Roman"/>
          <w:szCs w:val="24"/>
          <w:lang w:val="es-ES" w:eastAsia="es-ES"/>
        </w:rPr>
      </w:pPr>
      <w:r w:rsidRPr="00813233">
        <w:rPr>
          <w:rFonts w:ascii="Times New Roman" w:eastAsia="Times New Roman" w:hAnsi="Times New Roman" w:cs="Times New Roman"/>
          <w:szCs w:val="24"/>
          <w:lang w:val="es-ES" w:eastAsia="es-ES"/>
        </w:rPr>
        <w:t>Gestionar el financiamiento en condiciones de mercado y a plazos que permitan mantener estables los riesgos de refinanciamiento y de tasa de interés de la deuda pública, buscando bajos costos dentro de las opciones permitidas por las leyes y normas vigentes, y se tomará en cuenta el perfil de vencimientos de la deuda pública, para evitar la concentración de pagos provenientes de operaciones de crédito público.</w:t>
      </w:r>
    </w:p>
    <w:p w14:paraId="65BC273E" w14:textId="77777777" w:rsidR="00813233" w:rsidRPr="00813233" w:rsidRDefault="00813233" w:rsidP="001032E7">
      <w:pPr>
        <w:numPr>
          <w:ilvl w:val="0"/>
          <w:numId w:val="24"/>
        </w:numPr>
        <w:spacing w:before="100" w:beforeAutospacing="1" w:after="100" w:afterAutospacing="1" w:line="240" w:lineRule="auto"/>
        <w:jc w:val="both"/>
        <w:rPr>
          <w:rFonts w:ascii="Times New Roman" w:eastAsia="Times New Roman" w:hAnsi="Times New Roman" w:cs="Times New Roman"/>
          <w:szCs w:val="24"/>
          <w:lang w:val="es-ES" w:eastAsia="es-ES"/>
        </w:rPr>
      </w:pPr>
      <w:r w:rsidRPr="00813233">
        <w:rPr>
          <w:rFonts w:ascii="Times New Roman" w:eastAsia="Times New Roman" w:hAnsi="Times New Roman" w:cs="Times New Roman"/>
          <w:szCs w:val="24"/>
          <w:lang w:val="es-ES" w:eastAsia="es-ES"/>
        </w:rPr>
        <w:t xml:space="preserve">Coadyuvar en el apoyo a la ejecución de préstamos externos que financien inversión y que tengan a su cargo las entidades del </w:t>
      </w:r>
      <w:r w:rsidR="00B20ED5">
        <w:rPr>
          <w:rFonts w:ascii="Times New Roman" w:eastAsia="Times New Roman" w:hAnsi="Times New Roman" w:cs="Times New Roman"/>
          <w:szCs w:val="24"/>
          <w:lang w:val="es-ES" w:eastAsia="es-ES"/>
        </w:rPr>
        <w:t>gobierno</w:t>
      </w:r>
      <w:r w:rsidRPr="00813233">
        <w:rPr>
          <w:rFonts w:ascii="Times New Roman" w:eastAsia="Times New Roman" w:hAnsi="Times New Roman" w:cs="Times New Roman"/>
          <w:szCs w:val="24"/>
          <w:lang w:val="es-ES" w:eastAsia="es-ES"/>
        </w:rPr>
        <w:t xml:space="preserve"> con recursos procedentes de </w:t>
      </w:r>
      <w:r w:rsidR="00B20ED5">
        <w:rPr>
          <w:rFonts w:ascii="Times New Roman" w:eastAsia="Times New Roman" w:hAnsi="Times New Roman" w:cs="Times New Roman"/>
          <w:szCs w:val="24"/>
          <w:lang w:val="es-ES" w:eastAsia="es-ES"/>
        </w:rPr>
        <w:t>países amigos</w:t>
      </w:r>
      <w:r w:rsidRPr="00813233">
        <w:rPr>
          <w:rFonts w:ascii="Times New Roman" w:eastAsia="Times New Roman" w:hAnsi="Times New Roman" w:cs="Times New Roman"/>
          <w:szCs w:val="24"/>
          <w:lang w:val="es-ES" w:eastAsia="es-ES"/>
        </w:rPr>
        <w:t>,</w:t>
      </w:r>
      <w:r w:rsidR="00B20ED5">
        <w:rPr>
          <w:rFonts w:ascii="Times New Roman" w:eastAsia="Times New Roman" w:hAnsi="Times New Roman" w:cs="Times New Roman"/>
          <w:szCs w:val="24"/>
          <w:lang w:val="es-ES" w:eastAsia="es-ES"/>
        </w:rPr>
        <w:t xml:space="preserve"> la cooperación financiera internacional, y </w:t>
      </w:r>
      <w:r w:rsidRPr="00813233">
        <w:rPr>
          <w:rFonts w:ascii="Times New Roman" w:eastAsia="Times New Roman" w:hAnsi="Times New Roman" w:cs="Times New Roman"/>
          <w:szCs w:val="24"/>
          <w:lang w:val="es-ES" w:eastAsia="es-ES"/>
        </w:rPr>
        <w:t>multilateral reembolsable, con mecanismos de monitoreo que muestren los avances y niveles de desempeño financiero y presupuestario de las unidades ejecutoras.</w:t>
      </w:r>
    </w:p>
    <w:p w14:paraId="7E3A6730" w14:textId="77777777" w:rsidR="00813233" w:rsidRDefault="00813233" w:rsidP="00813233">
      <w:pPr>
        <w:widowControl w:val="0"/>
        <w:spacing w:after="0" w:line="240" w:lineRule="auto"/>
        <w:ind w:left="20" w:right="20"/>
        <w:jc w:val="both"/>
        <w:rPr>
          <w:rFonts w:ascii="Times New Roman" w:hAnsi="Times New Roman" w:cs="Times New Roman"/>
        </w:rPr>
      </w:pPr>
      <w:r w:rsidRPr="00813233">
        <w:rPr>
          <w:rFonts w:ascii="Times New Roman" w:hAnsi="Times New Roman" w:cs="Times New Roman"/>
        </w:rPr>
        <w:t>Es importante considerar que para efectos del financiamiento público debe existir una estrecha coordinación entre la Política Fiscal y la Política Monetaria, Cambiaría y Crediticia, lo cual permitirá coadyuvar a preservar la estabilidad macroeconómica del país, por lo que el Ministerio de Finanzas Públicas, mantendrá comunicación estrecha con las entidades responsables de las políticas macroeconómicas del país.</w:t>
      </w:r>
    </w:p>
    <w:p w14:paraId="21958B55" w14:textId="77777777" w:rsidR="00484ED3" w:rsidRPr="00813233" w:rsidRDefault="00484ED3" w:rsidP="00813233">
      <w:pPr>
        <w:widowControl w:val="0"/>
        <w:spacing w:after="0" w:line="240" w:lineRule="auto"/>
        <w:ind w:left="20" w:right="20"/>
        <w:jc w:val="both"/>
        <w:rPr>
          <w:rFonts w:ascii="Times New Roman" w:hAnsi="Times New Roman" w:cs="Times New Roman"/>
        </w:rPr>
      </w:pPr>
    </w:p>
    <w:p w14:paraId="010F0F21" w14:textId="77777777" w:rsidR="00813233" w:rsidRPr="00F12665" w:rsidRDefault="00813233" w:rsidP="001032E7">
      <w:pPr>
        <w:pStyle w:val="Sinespaciado"/>
        <w:numPr>
          <w:ilvl w:val="2"/>
          <w:numId w:val="38"/>
        </w:numPr>
        <w:outlineLvl w:val="2"/>
        <w:rPr>
          <w:rFonts w:ascii="Times New Roman" w:hAnsi="Times New Roman" w:cs="Times New Roman"/>
          <w:b/>
          <w:sz w:val="24"/>
        </w:rPr>
      </w:pPr>
      <w:bookmarkStart w:id="1730" w:name="_Toc81571918"/>
      <w:r w:rsidRPr="00F12665">
        <w:rPr>
          <w:rFonts w:ascii="Times New Roman" w:hAnsi="Times New Roman" w:cs="Times New Roman"/>
          <w:b/>
          <w:sz w:val="24"/>
        </w:rPr>
        <w:t>Estrategia Fiscal Ambiental</w:t>
      </w:r>
      <w:bookmarkEnd w:id="1730"/>
    </w:p>
    <w:p w14:paraId="39C410E6" w14:textId="77777777" w:rsidR="00813233" w:rsidRPr="00813233" w:rsidRDefault="00813233" w:rsidP="00813233">
      <w:pPr>
        <w:spacing w:after="0" w:line="240" w:lineRule="auto"/>
        <w:jc w:val="both"/>
        <w:rPr>
          <w:rFonts w:ascii="Times New Roman" w:hAnsi="Times New Roman" w:cs="Times New Roman"/>
        </w:rPr>
      </w:pPr>
    </w:p>
    <w:p w14:paraId="31C90BF7" w14:textId="77777777" w:rsidR="00813233" w:rsidRPr="00813233" w:rsidRDefault="00813233" w:rsidP="00813233">
      <w:pPr>
        <w:numPr>
          <w:ilvl w:val="1"/>
          <w:numId w:val="0"/>
        </w:numPr>
        <w:spacing w:after="0" w:line="240" w:lineRule="auto"/>
        <w:jc w:val="both"/>
        <w:rPr>
          <w:rFonts w:ascii="Times New Roman" w:hAnsi="Times New Roman" w:cs="Times New Roman"/>
        </w:rPr>
      </w:pPr>
      <w:r w:rsidRPr="00813233">
        <w:rPr>
          <w:rFonts w:ascii="Times New Roman" w:hAnsi="Times New Roman" w:cs="Times New Roman"/>
        </w:rPr>
        <w:t>La Estrategia Fiscal Ambiental (EFA) se ha venido impulsando desde hace varios años, aunque en su principio se le conocía como “Reforma Fiscal Verde” o “Estrategia Fiscal Verde” al final hace referencia al mismo objetivo, relacionado a un conjunto de acciones concernientes a la política fiscal, pero que, al mismo tiempo, tienen como objetivo reducir el impacto ambiental.</w:t>
      </w:r>
    </w:p>
    <w:p w14:paraId="08DCE1D1" w14:textId="77777777" w:rsidR="00813233" w:rsidRPr="00813233" w:rsidRDefault="00813233" w:rsidP="00813233">
      <w:pPr>
        <w:numPr>
          <w:ilvl w:val="1"/>
          <w:numId w:val="0"/>
        </w:numPr>
        <w:spacing w:after="0" w:line="240" w:lineRule="auto"/>
        <w:jc w:val="both"/>
        <w:rPr>
          <w:rFonts w:ascii="Times New Roman" w:hAnsi="Times New Roman" w:cs="Times New Roman"/>
        </w:rPr>
      </w:pPr>
      <w:r w:rsidRPr="00813233">
        <w:rPr>
          <w:rFonts w:ascii="Times New Roman" w:hAnsi="Times New Roman" w:cs="Times New Roman"/>
        </w:rPr>
        <w:t xml:space="preserve"> </w:t>
      </w:r>
    </w:p>
    <w:p w14:paraId="1CCFD5A9" w14:textId="77777777" w:rsidR="00813233" w:rsidRPr="00813233" w:rsidRDefault="00813233" w:rsidP="00813233">
      <w:pPr>
        <w:numPr>
          <w:ilvl w:val="1"/>
          <w:numId w:val="0"/>
        </w:numPr>
        <w:spacing w:after="0" w:line="240" w:lineRule="auto"/>
        <w:jc w:val="both"/>
        <w:rPr>
          <w:rFonts w:ascii="Times New Roman" w:hAnsi="Times New Roman" w:cs="Times New Roman"/>
        </w:rPr>
      </w:pPr>
      <w:r w:rsidRPr="00813233">
        <w:rPr>
          <w:rFonts w:ascii="Times New Roman" w:hAnsi="Times New Roman" w:cs="Times New Roman"/>
        </w:rPr>
        <w:t>El objetivo de la EFA ha consistido en utilizar los instrumentos fiscales y económicos de los que dispone el Ministerio de Finanzas Públicas, para lograr prevenir la contaminación ambiental y mantener el equilibrio ecológico, logrando coadyuvar al cumplimiento de objetivos nacionales e internacionales en adaptación y mitigación al cambio climático y a la protección de los recursos naturales.</w:t>
      </w:r>
    </w:p>
    <w:p w14:paraId="6C4479DA" w14:textId="77777777" w:rsidR="00813233" w:rsidRPr="00813233" w:rsidRDefault="00813233" w:rsidP="00813233">
      <w:pPr>
        <w:numPr>
          <w:ilvl w:val="1"/>
          <w:numId w:val="0"/>
        </w:numPr>
        <w:spacing w:after="0" w:line="240" w:lineRule="auto"/>
        <w:jc w:val="both"/>
        <w:rPr>
          <w:rFonts w:ascii="Times New Roman" w:hAnsi="Times New Roman" w:cs="Times New Roman"/>
        </w:rPr>
      </w:pPr>
      <w:r w:rsidRPr="00813233">
        <w:rPr>
          <w:rFonts w:ascii="Times New Roman" w:hAnsi="Times New Roman" w:cs="Times New Roman"/>
        </w:rPr>
        <w:t xml:space="preserve"> </w:t>
      </w:r>
    </w:p>
    <w:p w14:paraId="1A0388A6" w14:textId="77777777" w:rsidR="00813233" w:rsidRPr="00813233" w:rsidRDefault="00813233" w:rsidP="00813233">
      <w:pPr>
        <w:numPr>
          <w:ilvl w:val="1"/>
          <w:numId w:val="0"/>
        </w:numPr>
        <w:spacing w:after="0" w:line="240" w:lineRule="auto"/>
        <w:jc w:val="both"/>
        <w:rPr>
          <w:rFonts w:ascii="Times New Roman" w:hAnsi="Times New Roman" w:cs="Times New Roman"/>
        </w:rPr>
      </w:pPr>
      <w:r w:rsidRPr="00813233">
        <w:rPr>
          <w:rFonts w:ascii="Times New Roman" w:hAnsi="Times New Roman" w:cs="Times New Roman"/>
        </w:rPr>
        <w:t>El Ministerio de Finanzas Públicas como la institución encargada de cumplir y hacer cumplir con todo lo relativo al régimen jurídico hacendario del país, cuenta dentro de su ámbito de competencia con instrumentos como los ingresos fiscales, la ejecución presupuestaria, la calidad del gasto, la ejecución de las compras del Estado, el registro y el control de los bienes que constituyen el patrimonio estatal y la evaluación de los riesgos fiscales asociados a contingencias, de esa cuenta se definieron cinco ejes estratégicos para contribuir con la respuesta a la problemática ambiental desde una perspectiva fiscal y dentro del ámbito de competencia de la cartera del tesoro.</w:t>
      </w:r>
    </w:p>
    <w:p w14:paraId="149E03E0" w14:textId="77777777" w:rsidR="00813233" w:rsidRPr="00813233" w:rsidRDefault="00813233" w:rsidP="00813233">
      <w:pPr>
        <w:numPr>
          <w:ilvl w:val="1"/>
          <w:numId w:val="0"/>
        </w:numPr>
        <w:spacing w:after="0" w:line="240" w:lineRule="auto"/>
        <w:jc w:val="both"/>
        <w:rPr>
          <w:rFonts w:ascii="Times New Roman" w:hAnsi="Times New Roman" w:cs="Times New Roman"/>
        </w:rPr>
      </w:pPr>
    </w:p>
    <w:p w14:paraId="0D076B5D" w14:textId="3376B199" w:rsidR="00813233" w:rsidRPr="00813233" w:rsidRDefault="00206305" w:rsidP="00813233">
      <w:pPr>
        <w:numPr>
          <w:ilvl w:val="1"/>
          <w:numId w:val="0"/>
        </w:numPr>
        <w:spacing w:after="0" w:line="240" w:lineRule="auto"/>
        <w:jc w:val="both"/>
        <w:rPr>
          <w:rFonts w:ascii="Times New Roman" w:hAnsi="Times New Roman" w:cs="Times New Roman"/>
        </w:rPr>
      </w:pPr>
      <w:r w:rsidRPr="00206305">
        <w:rPr>
          <w:rFonts w:ascii="Times New Roman" w:hAnsi="Times New Roman" w:cs="Times New Roman"/>
        </w:rPr>
        <w:t>En el 2018 mediante el Acuerdo Ministerial 442-2018 de fecha 5 de septiembre, el Ministerio de Finanzas Públicas aprobó la Estrategia Fiscal Ambiental (EFA). Como resultado del proceso de institucionalización y socialización el Ministerio por medio del Acuerdo Ministerial 4-2019</w:t>
      </w:r>
      <w:r>
        <w:rPr>
          <w:rFonts w:ascii="Times New Roman" w:hAnsi="Times New Roman" w:cs="Times New Roman"/>
        </w:rPr>
        <w:t xml:space="preserve"> </w:t>
      </w:r>
      <w:r w:rsidRPr="00206305">
        <w:rPr>
          <w:rFonts w:ascii="Times New Roman" w:hAnsi="Times New Roman" w:cs="Times New Roman"/>
        </w:rPr>
        <w:t xml:space="preserve">(reforma Acuerdo 131-2021) y su </w:t>
      </w:r>
      <w:r>
        <w:rPr>
          <w:rFonts w:ascii="Times New Roman" w:hAnsi="Times New Roman" w:cs="Times New Roman"/>
        </w:rPr>
        <w:t>r</w:t>
      </w:r>
      <w:r w:rsidRPr="00206305">
        <w:rPr>
          <w:rFonts w:ascii="Times New Roman" w:hAnsi="Times New Roman" w:cs="Times New Roman"/>
        </w:rPr>
        <w:t>eglamento por medio d</w:t>
      </w:r>
      <w:r>
        <w:rPr>
          <w:rFonts w:ascii="Times New Roman" w:hAnsi="Times New Roman" w:cs="Times New Roman"/>
        </w:rPr>
        <w:t xml:space="preserve">el Acuerdo Ministerial 398-2019, </w:t>
      </w:r>
      <w:r w:rsidRPr="00206305">
        <w:rPr>
          <w:rFonts w:ascii="Times New Roman" w:hAnsi="Times New Roman" w:cs="Times New Roman"/>
        </w:rPr>
        <w:t xml:space="preserve">creó la Mesa Técnica de la Estrategia Fiscal Ambiental con el objetivo de </w:t>
      </w:r>
      <w:r>
        <w:rPr>
          <w:rFonts w:ascii="Times New Roman" w:hAnsi="Times New Roman" w:cs="Times New Roman"/>
        </w:rPr>
        <w:t xml:space="preserve">dotar de </w:t>
      </w:r>
      <w:r w:rsidRPr="00206305">
        <w:rPr>
          <w:rFonts w:ascii="Times New Roman" w:hAnsi="Times New Roman" w:cs="Times New Roman"/>
        </w:rPr>
        <w:t>operativi</w:t>
      </w:r>
      <w:r>
        <w:rPr>
          <w:rFonts w:ascii="Times New Roman" w:hAnsi="Times New Roman" w:cs="Times New Roman"/>
        </w:rPr>
        <w:t>dad</w:t>
      </w:r>
      <w:r w:rsidRPr="00206305">
        <w:rPr>
          <w:rFonts w:ascii="Times New Roman" w:hAnsi="Times New Roman" w:cs="Times New Roman"/>
        </w:rPr>
        <w:t xml:space="preserve"> la EFA, en donde forman parte nueve direcciones vinculadas directamente. Así mismo el Ministerio trabaja de forma conjunta con las inst</w:t>
      </w:r>
      <w:r>
        <w:rPr>
          <w:rFonts w:ascii="Times New Roman" w:hAnsi="Times New Roman" w:cs="Times New Roman"/>
        </w:rPr>
        <w:t>ituciones del sector público</w:t>
      </w:r>
      <w:r w:rsidRPr="00206305">
        <w:rPr>
          <w:rFonts w:ascii="Times New Roman" w:hAnsi="Times New Roman" w:cs="Times New Roman"/>
        </w:rPr>
        <w:t xml:space="preserve"> vinculadas a los ejes estratégicos de la EFA por medio de la Mesa Interinstitucional</w:t>
      </w:r>
      <w:r>
        <w:rPr>
          <w:rFonts w:ascii="Times New Roman" w:hAnsi="Times New Roman" w:cs="Times New Roman"/>
        </w:rPr>
        <w:t>,</w:t>
      </w:r>
      <w:r w:rsidRPr="00206305">
        <w:rPr>
          <w:rFonts w:ascii="Times New Roman" w:hAnsi="Times New Roman" w:cs="Times New Roman"/>
        </w:rPr>
        <w:t xml:space="preserve"> en donde participa el Ministerio de Ambiente y Recursos Naturales, Ministerio de Economía, Ministerio de Energía y Minas y la</w:t>
      </w:r>
      <w:r>
        <w:rPr>
          <w:rFonts w:ascii="Times New Roman" w:hAnsi="Times New Roman" w:cs="Times New Roman"/>
        </w:rPr>
        <w:t xml:space="preserve"> Secretaria de Planificación y P</w:t>
      </w:r>
      <w:r w:rsidRPr="00206305">
        <w:rPr>
          <w:rFonts w:ascii="Times New Roman" w:hAnsi="Times New Roman" w:cs="Times New Roman"/>
        </w:rPr>
        <w:t>rogramación de la Presidencia, esto con el objetivo de crear una ruta de trabajo conjunta para la implementación de las acciones dentro de la EFA.</w:t>
      </w:r>
    </w:p>
    <w:p w14:paraId="70AE9118" w14:textId="77777777" w:rsidR="00813233" w:rsidRPr="00813233" w:rsidRDefault="00813233" w:rsidP="00813233">
      <w:pPr>
        <w:numPr>
          <w:ilvl w:val="1"/>
          <w:numId w:val="0"/>
        </w:numPr>
        <w:spacing w:after="0" w:line="240" w:lineRule="auto"/>
        <w:jc w:val="both"/>
        <w:rPr>
          <w:rFonts w:ascii="Times New Roman" w:hAnsi="Times New Roman" w:cs="Times New Roman"/>
        </w:rPr>
      </w:pPr>
    </w:p>
    <w:p w14:paraId="6E7730D4" w14:textId="36405838" w:rsidR="00813233" w:rsidRDefault="00206305" w:rsidP="00206305">
      <w:pPr>
        <w:numPr>
          <w:ilvl w:val="1"/>
          <w:numId w:val="0"/>
        </w:numPr>
        <w:spacing w:after="0" w:line="240" w:lineRule="auto"/>
        <w:jc w:val="both"/>
        <w:rPr>
          <w:rFonts w:ascii="Times New Roman" w:hAnsi="Times New Roman" w:cs="Times New Roman"/>
        </w:rPr>
      </w:pPr>
      <w:r w:rsidRPr="00206305">
        <w:rPr>
          <w:rFonts w:ascii="Times New Roman" w:hAnsi="Times New Roman" w:cs="Times New Roman"/>
        </w:rPr>
        <w:t xml:space="preserve">Son relevantes los alcances que se podrían obtener en el mediano plazo si se logran viabilizar los diferentes proyectos que se tienen previsto emprender dentro de cada eje estratégico de la EFA. De esa cuenta, se elaboró un apartado especial de </w:t>
      </w:r>
      <w:r w:rsidR="008D2CFA">
        <w:rPr>
          <w:rFonts w:ascii="Times New Roman" w:hAnsi="Times New Roman" w:cs="Times New Roman"/>
        </w:rPr>
        <w:t>los avances de esta</w:t>
      </w:r>
      <w:r w:rsidRPr="00206305">
        <w:rPr>
          <w:rFonts w:ascii="Times New Roman" w:hAnsi="Times New Roman" w:cs="Times New Roman"/>
        </w:rPr>
        <w:t xml:space="preserve"> estrategia en el Anexo de este documento.</w:t>
      </w:r>
    </w:p>
    <w:p w14:paraId="69328C9B" w14:textId="77777777" w:rsidR="00206305" w:rsidRPr="00206305" w:rsidRDefault="00206305" w:rsidP="00206305">
      <w:pPr>
        <w:numPr>
          <w:ilvl w:val="1"/>
          <w:numId w:val="0"/>
        </w:numPr>
        <w:spacing w:after="0" w:line="240" w:lineRule="auto"/>
        <w:jc w:val="both"/>
        <w:rPr>
          <w:rFonts w:ascii="Times New Roman" w:hAnsi="Times New Roman" w:cs="Times New Roman"/>
        </w:rPr>
      </w:pPr>
    </w:p>
    <w:p w14:paraId="7EC8E03B" w14:textId="6EE98236" w:rsidR="005263B9" w:rsidRDefault="008E3988" w:rsidP="001032E7">
      <w:pPr>
        <w:pStyle w:val="Sinespaciado"/>
        <w:numPr>
          <w:ilvl w:val="0"/>
          <w:numId w:val="38"/>
        </w:numPr>
        <w:outlineLvl w:val="1"/>
        <w:rPr>
          <w:rFonts w:ascii="Times New Roman" w:hAnsi="Times New Roman" w:cs="Times New Roman"/>
          <w:b/>
          <w:sz w:val="24"/>
        </w:rPr>
      </w:pPr>
      <w:bookmarkStart w:id="1731" w:name="_Toc81571919"/>
      <w:bookmarkStart w:id="1732" w:name="_Toc16155046"/>
      <w:bookmarkStart w:id="1733" w:name="_Toc49939480"/>
      <w:r>
        <w:rPr>
          <w:rFonts w:ascii="Times New Roman" w:hAnsi="Times New Roman" w:cs="Times New Roman"/>
          <w:b/>
          <w:sz w:val="24"/>
        </w:rPr>
        <w:t>Ejercicio de Presupuesto Abierto</w:t>
      </w:r>
      <w:bookmarkEnd w:id="1731"/>
    </w:p>
    <w:p w14:paraId="0F354E00" w14:textId="0AFE1D8F" w:rsidR="008E3988" w:rsidRDefault="008E3988" w:rsidP="008E3988">
      <w:pPr>
        <w:pStyle w:val="Sinespaciado"/>
        <w:outlineLvl w:val="1"/>
        <w:rPr>
          <w:rFonts w:ascii="Times New Roman" w:hAnsi="Times New Roman" w:cs="Times New Roman"/>
          <w:b/>
          <w:sz w:val="24"/>
        </w:rPr>
      </w:pPr>
    </w:p>
    <w:p w14:paraId="683D0CD0" w14:textId="77777777" w:rsidR="00455E75" w:rsidRPr="002F4BDC" w:rsidRDefault="00455E75" w:rsidP="00455E75">
      <w:pPr>
        <w:spacing w:after="0" w:line="240" w:lineRule="auto"/>
        <w:jc w:val="both"/>
        <w:rPr>
          <w:rFonts w:ascii="Times New Roman" w:hAnsi="Times New Roman" w:cs="Times New Roman"/>
        </w:rPr>
      </w:pPr>
      <w:r w:rsidRPr="002F4BDC">
        <w:rPr>
          <w:rFonts w:ascii="Times New Roman" w:hAnsi="Times New Roman" w:cs="Times New Roman"/>
        </w:rPr>
        <w:t xml:space="preserve">El proceso de Presupuesto Abierto 2022-2026 durante este año, igual que ocurrió en 2020, tuvo como característica que todo el proceso se llevó a cabo por medio de foros virtuales, esto con el fin de respetar las medidas de distanciamiento social recomendadas por los expertos para la contención del COVID-19. </w:t>
      </w:r>
    </w:p>
    <w:p w14:paraId="09218166" w14:textId="77777777" w:rsidR="00455E75" w:rsidRDefault="00455E75" w:rsidP="00455E75">
      <w:pPr>
        <w:spacing w:after="0" w:line="240" w:lineRule="auto"/>
        <w:jc w:val="both"/>
        <w:rPr>
          <w:rFonts w:ascii="Times New Roman" w:hAnsi="Times New Roman" w:cs="Times New Roman"/>
          <w:highlight w:val="lightGray"/>
        </w:rPr>
      </w:pPr>
    </w:p>
    <w:p w14:paraId="656DE6DE" w14:textId="2BB80B99" w:rsidR="00455E75" w:rsidRPr="001A33F5" w:rsidRDefault="00455E75" w:rsidP="00455E75">
      <w:pPr>
        <w:jc w:val="both"/>
        <w:rPr>
          <w:rFonts w:ascii="Times New Roman" w:hAnsi="Times New Roman" w:cs="Times New Roman"/>
        </w:rPr>
      </w:pPr>
      <w:r w:rsidRPr="002F4BDC">
        <w:rPr>
          <w:rFonts w:ascii="Times New Roman" w:hAnsi="Times New Roman" w:cs="Times New Roman"/>
        </w:rPr>
        <w:t>El Presupuesto Abierto 2022-2026 se llevó a cabo del 12 de julio al 2</w:t>
      </w:r>
      <w:r w:rsidR="00EA40FE">
        <w:rPr>
          <w:rFonts w:ascii="Times New Roman" w:hAnsi="Times New Roman" w:cs="Times New Roman"/>
        </w:rPr>
        <w:t>6</w:t>
      </w:r>
      <w:r w:rsidRPr="002F4BDC">
        <w:rPr>
          <w:rFonts w:ascii="Times New Roman" w:hAnsi="Times New Roman" w:cs="Times New Roman"/>
        </w:rPr>
        <w:t xml:space="preserve"> de agosto de 2021, con el objetivo que las asignaciones presupuestarias de mediano plazo consideren, como en años anteriores, algunas de las recomendaciones planteadas en los Talleres de Presupuesto Abierto, en los cuales se convocó a expertos en las materias para apoyar con una discusión constructiva que aporte a las entidades y sume al proceso de formulación presupuestaria.</w:t>
      </w:r>
    </w:p>
    <w:p w14:paraId="443EB10F" w14:textId="77777777" w:rsidR="00455E75" w:rsidRDefault="00455E75" w:rsidP="00455E75">
      <w:pPr>
        <w:spacing w:after="0" w:line="240" w:lineRule="auto"/>
        <w:jc w:val="both"/>
        <w:rPr>
          <w:rFonts w:ascii="Times New Roman" w:hAnsi="Times New Roman" w:cs="Times New Roman"/>
        </w:rPr>
      </w:pPr>
      <w:r w:rsidRPr="002F4BDC">
        <w:rPr>
          <w:rFonts w:ascii="Times New Roman" w:hAnsi="Times New Roman" w:cs="Times New Roman"/>
        </w:rPr>
        <w:t>El Presupuesto Abierto 2022-2026 incluye cuatro módulos estratégicos, que se detallan a continuación:</w:t>
      </w:r>
    </w:p>
    <w:p w14:paraId="341B6132" w14:textId="77777777" w:rsidR="00455E75" w:rsidRDefault="00455E75" w:rsidP="00455E75">
      <w:pPr>
        <w:spacing w:after="0" w:line="240" w:lineRule="auto"/>
        <w:jc w:val="both"/>
        <w:rPr>
          <w:rFonts w:ascii="Times New Roman" w:hAnsi="Times New Roman" w:cs="Times New Roman"/>
        </w:rPr>
      </w:pPr>
      <w:r>
        <w:rPr>
          <w:rFonts w:ascii="Times New Roman" w:hAnsi="Times New Roman" w:cs="Times New Roman"/>
          <w:noProof/>
          <w:lang w:val="es-ES" w:eastAsia="es-ES"/>
        </w:rPr>
        <w:drawing>
          <wp:anchor distT="0" distB="0" distL="114300" distR="114300" simplePos="0" relativeHeight="252012032" behindDoc="0" locked="0" layoutInCell="1" allowOverlap="1" wp14:anchorId="2578A3A2" wp14:editId="190F33FE">
            <wp:simplePos x="0" y="0"/>
            <wp:positionH relativeFrom="column">
              <wp:posOffset>316865</wp:posOffset>
            </wp:positionH>
            <wp:positionV relativeFrom="paragraph">
              <wp:posOffset>167005</wp:posOffset>
            </wp:positionV>
            <wp:extent cx="5095875" cy="3247390"/>
            <wp:effectExtent l="0" t="0" r="9525" b="0"/>
            <wp:wrapSquare wrapText="bothSides"/>
            <wp:docPr id="101" name="Picture 101" descr="Imagen que contiene anim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Imagen que contiene animal&#10;&#10;Descripción generada automáticamente"/>
                    <pic:cNvPicPr/>
                  </pic:nvPicPr>
                  <pic:blipFill>
                    <a:blip r:embed="rId85">
                      <a:extLst>
                        <a:ext uri="{28A0092B-C50C-407E-A947-70E740481C1C}">
                          <a14:useLocalDpi xmlns:a14="http://schemas.microsoft.com/office/drawing/2010/main" val="0"/>
                        </a:ext>
                      </a:extLst>
                    </a:blip>
                    <a:stretch>
                      <a:fillRect/>
                    </a:stretch>
                  </pic:blipFill>
                  <pic:spPr>
                    <a:xfrm>
                      <a:off x="0" y="0"/>
                      <a:ext cx="5095875" cy="3247390"/>
                    </a:xfrm>
                    <a:prstGeom prst="rect">
                      <a:avLst/>
                    </a:prstGeom>
                  </pic:spPr>
                </pic:pic>
              </a:graphicData>
            </a:graphic>
            <wp14:sizeRelH relativeFrom="page">
              <wp14:pctWidth>0</wp14:pctWidth>
            </wp14:sizeRelH>
            <wp14:sizeRelV relativeFrom="page">
              <wp14:pctHeight>0</wp14:pctHeight>
            </wp14:sizeRelV>
          </wp:anchor>
        </w:drawing>
      </w:r>
    </w:p>
    <w:p w14:paraId="196C7F5A" w14:textId="77777777" w:rsidR="00455E75" w:rsidRDefault="00455E75" w:rsidP="00455E75">
      <w:pPr>
        <w:spacing w:after="0" w:line="240" w:lineRule="auto"/>
        <w:jc w:val="both"/>
        <w:rPr>
          <w:rFonts w:ascii="Times New Roman" w:hAnsi="Times New Roman" w:cs="Times New Roman"/>
        </w:rPr>
      </w:pPr>
    </w:p>
    <w:p w14:paraId="725E5E68" w14:textId="77777777" w:rsidR="00455E75" w:rsidRPr="002F4BDC" w:rsidRDefault="00455E75" w:rsidP="00455E75">
      <w:pPr>
        <w:spacing w:after="0" w:line="240" w:lineRule="auto"/>
        <w:jc w:val="both"/>
        <w:rPr>
          <w:rFonts w:ascii="Times New Roman" w:hAnsi="Times New Roman" w:cs="Times New Roman"/>
        </w:rPr>
      </w:pPr>
      <w:r w:rsidRPr="002F4BDC">
        <w:rPr>
          <w:rFonts w:ascii="Times New Roman" w:hAnsi="Times New Roman" w:cs="Times New Roman"/>
        </w:rPr>
        <w:t>Como preparación para los Talleres de Presupuesto Abierto 2022-2026 y en el marco del Bicentenario de la Independencia de Guatemala, el Ministerio de Finanzas Públicas llevó a cabo una semana de formación fiscal, que fue dirigida a periodistas y sociedad civil para fortalecer los conocimientos relacionados con temas presupuestarios. Las capacitaciones se abordaron del 12 al 16 de julio del 2021, con cinco temas priorizados:</w:t>
      </w:r>
    </w:p>
    <w:p w14:paraId="2958BD42" w14:textId="77777777" w:rsidR="00455E75" w:rsidRPr="002F4BDC" w:rsidRDefault="00455E75" w:rsidP="00455E75">
      <w:pPr>
        <w:pStyle w:val="Prrafodelista"/>
        <w:spacing w:after="0" w:line="240" w:lineRule="auto"/>
        <w:jc w:val="both"/>
        <w:rPr>
          <w:rFonts w:ascii="Times New Roman" w:hAnsi="Times New Roman" w:cs="Times New Roman"/>
        </w:rPr>
      </w:pPr>
    </w:p>
    <w:p w14:paraId="4C616205" w14:textId="77777777" w:rsidR="00455E75" w:rsidRPr="002F4BDC" w:rsidRDefault="00455E75" w:rsidP="00455E75">
      <w:pPr>
        <w:pStyle w:val="Prrafodelista"/>
        <w:numPr>
          <w:ilvl w:val="0"/>
          <w:numId w:val="42"/>
        </w:numPr>
        <w:spacing w:after="0" w:line="240" w:lineRule="auto"/>
        <w:jc w:val="both"/>
        <w:rPr>
          <w:rFonts w:ascii="Times New Roman" w:hAnsi="Times New Roman" w:cs="Times New Roman"/>
        </w:rPr>
      </w:pPr>
      <w:r w:rsidRPr="002F4BDC">
        <w:rPr>
          <w:rFonts w:ascii="Times New Roman" w:hAnsi="Times New Roman" w:cs="Times New Roman"/>
          <w:b/>
        </w:rPr>
        <w:t>Ciclo presupuestario y sus fases</w:t>
      </w:r>
      <w:r w:rsidRPr="002F4BDC">
        <w:rPr>
          <w:rFonts w:ascii="Times New Roman" w:hAnsi="Times New Roman" w:cs="Times New Roman"/>
        </w:rPr>
        <w:t>: se explicó los principios presupuestarios de unidad, anualidad, publicidad, programación y equilibrio. Se explicó las nueve etapas que conforman el ciclo presupuestario, siendo estas:</w:t>
      </w:r>
    </w:p>
    <w:p w14:paraId="4EFA39E0" w14:textId="77777777" w:rsidR="00455E75" w:rsidRPr="002F4BDC" w:rsidRDefault="00455E75" w:rsidP="00455E75">
      <w:pPr>
        <w:pStyle w:val="Prrafodelista"/>
        <w:spacing w:after="0" w:line="240" w:lineRule="auto"/>
        <w:jc w:val="both"/>
        <w:rPr>
          <w:rFonts w:ascii="Times New Roman" w:hAnsi="Times New Roman" w:cs="Times New Roman"/>
        </w:rPr>
      </w:pPr>
    </w:p>
    <w:p w14:paraId="708B1AF7" w14:textId="77777777" w:rsidR="00455E75" w:rsidRPr="002F4BDC" w:rsidRDefault="00455E75" w:rsidP="00455E75">
      <w:pPr>
        <w:pStyle w:val="Prrafodelista"/>
        <w:numPr>
          <w:ilvl w:val="1"/>
          <w:numId w:val="42"/>
        </w:numPr>
        <w:spacing w:after="0" w:line="240" w:lineRule="auto"/>
        <w:jc w:val="both"/>
        <w:rPr>
          <w:rFonts w:ascii="Times New Roman" w:hAnsi="Times New Roman" w:cs="Times New Roman"/>
        </w:rPr>
        <w:sectPr w:rsidR="00455E75" w:rsidRPr="002F4BDC" w:rsidSect="00455E75">
          <w:headerReference w:type="default" r:id="rId86"/>
          <w:footerReference w:type="default" r:id="rId87"/>
          <w:footerReference w:type="first" r:id="rId88"/>
          <w:type w:val="continuous"/>
          <w:pgSz w:w="12240" w:h="15840" w:code="1"/>
          <w:pgMar w:top="1418" w:right="1701" w:bottom="1418" w:left="1701" w:header="709" w:footer="709" w:gutter="0"/>
          <w:cols w:space="708"/>
          <w:titlePg/>
          <w:docGrid w:linePitch="360"/>
        </w:sectPr>
      </w:pPr>
    </w:p>
    <w:p w14:paraId="239678B5" w14:textId="77777777" w:rsidR="00455E75" w:rsidRPr="002F4BDC" w:rsidRDefault="00455E75" w:rsidP="00455E75">
      <w:pPr>
        <w:pStyle w:val="Prrafodelista"/>
        <w:numPr>
          <w:ilvl w:val="1"/>
          <w:numId w:val="42"/>
        </w:numPr>
        <w:spacing w:after="0" w:line="240" w:lineRule="auto"/>
        <w:jc w:val="both"/>
        <w:rPr>
          <w:rFonts w:ascii="Times New Roman" w:hAnsi="Times New Roman" w:cs="Times New Roman"/>
        </w:rPr>
      </w:pPr>
      <w:r w:rsidRPr="002F4BDC">
        <w:rPr>
          <w:rFonts w:ascii="Times New Roman" w:hAnsi="Times New Roman" w:cs="Times New Roman"/>
        </w:rPr>
        <w:t>Planificación</w:t>
      </w:r>
    </w:p>
    <w:p w14:paraId="5EA17EB6" w14:textId="77777777" w:rsidR="00455E75" w:rsidRPr="002F4BDC" w:rsidRDefault="00455E75" w:rsidP="00455E75">
      <w:pPr>
        <w:pStyle w:val="Prrafodelista"/>
        <w:numPr>
          <w:ilvl w:val="1"/>
          <w:numId w:val="42"/>
        </w:numPr>
        <w:spacing w:after="0" w:line="240" w:lineRule="auto"/>
        <w:jc w:val="both"/>
        <w:rPr>
          <w:rFonts w:ascii="Times New Roman" w:hAnsi="Times New Roman" w:cs="Times New Roman"/>
        </w:rPr>
      </w:pPr>
      <w:r w:rsidRPr="002F4BDC">
        <w:rPr>
          <w:rFonts w:ascii="Times New Roman" w:hAnsi="Times New Roman" w:cs="Times New Roman"/>
        </w:rPr>
        <w:t>Formulación</w:t>
      </w:r>
    </w:p>
    <w:p w14:paraId="7486E67A" w14:textId="77777777" w:rsidR="00455E75" w:rsidRPr="002F4BDC" w:rsidRDefault="00455E75" w:rsidP="00455E75">
      <w:pPr>
        <w:pStyle w:val="Prrafodelista"/>
        <w:numPr>
          <w:ilvl w:val="1"/>
          <w:numId w:val="42"/>
        </w:numPr>
        <w:spacing w:after="0" w:line="240" w:lineRule="auto"/>
        <w:jc w:val="both"/>
        <w:rPr>
          <w:rFonts w:ascii="Times New Roman" w:hAnsi="Times New Roman" w:cs="Times New Roman"/>
        </w:rPr>
      </w:pPr>
      <w:r w:rsidRPr="002F4BDC">
        <w:rPr>
          <w:rFonts w:ascii="Times New Roman" w:hAnsi="Times New Roman" w:cs="Times New Roman"/>
        </w:rPr>
        <w:t>Presentación</w:t>
      </w:r>
    </w:p>
    <w:p w14:paraId="7644D8C4" w14:textId="77777777" w:rsidR="00455E75" w:rsidRPr="002F4BDC" w:rsidRDefault="00455E75" w:rsidP="00455E75">
      <w:pPr>
        <w:pStyle w:val="Prrafodelista"/>
        <w:numPr>
          <w:ilvl w:val="1"/>
          <w:numId w:val="42"/>
        </w:numPr>
        <w:spacing w:after="0" w:line="240" w:lineRule="auto"/>
        <w:jc w:val="both"/>
        <w:rPr>
          <w:rFonts w:ascii="Times New Roman" w:hAnsi="Times New Roman" w:cs="Times New Roman"/>
        </w:rPr>
      </w:pPr>
      <w:r w:rsidRPr="002F4BDC">
        <w:rPr>
          <w:rFonts w:ascii="Times New Roman" w:hAnsi="Times New Roman" w:cs="Times New Roman"/>
        </w:rPr>
        <w:t>Aprobación</w:t>
      </w:r>
    </w:p>
    <w:p w14:paraId="4A3CE08C" w14:textId="77777777" w:rsidR="00455E75" w:rsidRPr="002F4BDC" w:rsidRDefault="00455E75" w:rsidP="00455E75">
      <w:pPr>
        <w:pStyle w:val="Prrafodelista"/>
        <w:numPr>
          <w:ilvl w:val="1"/>
          <w:numId w:val="42"/>
        </w:numPr>
        <w:spacing w:after="0" w:line="240" w:lineRule="auto"/>
        <w:jc w:val="both"/>
        <w:rPr>
          <w:rFonts w:ascii="Times New Roman" w:hAnsi="Times New Roman" w:cs="Times New Roman"/>
        </w:rPr>
      </w:pPr>
      <w:r w:rsidRPr="002F4BDC">
        <w:rPr>
          <w:rFonts w:ascii="Times New Roman" w:hAnsi="Times New Roman" w:cs="Times New Roman"/>
        </w:rPr>
        <w:t>Ejecución</w:t>
      </w:r>
    </w:p>
    <w:p w14:paraId="1C7F32C1" w14:textId="77777777" w:rsidR="00455E75" w:rsidRPr="002F4BDC" w:rsidRDefault="00455E75" w:rsidP="00455E75">
      <w:pPr>
        <w:pStyle w:val="Prrafodelista"/>
        <w:numPr>
          <w:ilvl w:val="1"/>
          <w:numId w:val="42"/>
        </w:numPr>
        <w:spacing w:after="0" w:line="240" w:lineRule="auto"/>
        <w:jc w:val="both"/>
        <w:rPr>
          <w:rFonts w:ascii="Times New Roman" w:hAnsi="Times New Roman" w:cs="Times New Roman"/>
        </w:rPr>
      </w:pPr>
      <w:r w:rsidRPr="002F4BDC">
        <w:rPr>
          <w:rFonts w:ascii="Times New Roman" w:hAnsi="Times New Roman" w:cs="Times New Roman"/>
        </w:rPr>
        <w:t>Seguimiento</w:t>
      </w:r>
    </w:p>
    <w:p w14:paraId="56CACC10" w14:textId="77777777" w:rsidR="00455E75" w:rsidRPr="002F4BDC" w:rsidRDefault="00455E75" w:rsidP="00455E75">
      <w:pPr>
        <w:pStyle w:val="Prrafodelista"/>
        <w:numPr>
          <w:ilvl w:val="1"/>
          <w:numId w:val="42"/>
        </w:numPr>
        <w:spacing w:after="0" w:line="240" w:lineRule="auto"/>
        <w:jc w:val="both"/>
        <w:rPr>
          <w:rFonts w:ascii="Times New Roman" w:hAnsi="Times New Roman" w:cs="Times New Roman"/>
        </w:rPr>
      </w:pPr>
      <w:r w:rsidRPr="002F4BDC">
        <w:rPr>
          <w:rFonts w:ascii="Times New Roman" w:hAnsi="Times New Roman" w:cs="Times New Roman"/>
        </w:rPr>
        <w:t>Evaluación</w:t>
      </w:r>
    </w:p>
    <w:p w14:paraId="3D035343" w14:textId="77777777" w:rsidR="00455E75" w:rsidRPr="002F4BDC" w:rsidRDefault="00455E75" w:rsidP="00455E75">
      <w:pPr>
        <w:pStyle w:val="Prrafodelista"/>
        <w:numPr>
          <w:ilvl w:val="1"/>
          <w:numId w:val="42"/>
        </w:numPr>
        <w:spacing w:after="0" w:line="240" w:lineRule="auto"/>
        <w:jc w:val="both"/>
        <w:rPr>
          <w:rFonts w:ascii="Times New Roman" w:hAnsi="Times New Roman" w:cs="Times New Roman"/>
        </w:rPr>
      </w:pPr>
      <w:r w:rsidRPr="002F4BDC">
        <w:rPr>
          <w:rFonts w:ascii="Times New Roman" w:hAnsi="Times New Roman" w:cs="Times New Roman"/>
        </w:rPr>
        <w:t>Liquidación</w:t>
      </w:r>
    </w:p>
    <w:p w14:paraId="439DF5D3" w14:textId="77777777" w:rsidR="00455E75" w:rsidRPr="002F4BDC" w:rsidRDefault="00455E75" w:rsidP="00455E75">
      <w:pPr>
        <w:pStyle w:val="Prrafodelista"/>
        <w:numPr>
          <w:ilvl w:val="1"/>
          <w:numId w:val="42"/>
        </w:numPr>
        <w:spacing w:after="0" w:line="240" w:lineRule="auto"/>
        <w:jc w:val="both"/>
        <w:rPr>
          <w:rFonts w:ascii="Times New Roman" w:hAnsi="Times New Roman" w:cs="Times New Roman"/>
        </w:rPr>
      </w:pPr>
      <w:r w:rsidRPr="002F4BDC">
        <w:rPr>
          <w:rFonts w:ascii="Times New Roman" w:hAnsi="Times New Roman" w:cs="Times New Roman"/>
        </w:rPr>
        <w:t>Rendición</w:t>
      </w:r>
    </w:p>
    <w:p w14:paraId="1DEC7A3E" w14:textId="77777777" w:rsidR="00455E75" w:rsidRPr="002F4BDC" w:rsidRDefault="00455E75" w:rsidP="00455E75">
      <w:pPr>
        <w:spacing w:after="0" w:line="240" w:lineRule="auto"/>
        <w:jc w:val="both"/>
        <w:rPr>
          <w:rFonts w:ascii="Times New Roman" w:hAnsi="Times New Roman" w:cs="Times New Roman"/>
          <w:b/>
        </w:rPr>
        <w:sectPr w:rsidR="00455E75" w:rsidRPr="002F4BDC" w:rsidSect="006E576B">
          <w:type w:val="continuous"/>
          <w:pgSz w:w="12240" w:h="15840" w:code="1"/>
          <w:pgMar w:top="1418" w:right="1701" w:bottom="1418" w:left="1701" w:header="709" w:footer="709" w:gutter="0"/>
          <w:cols w:num="2" w:space="708"/>
          <w:titlePg/>
          <w:docGrid w:linePitch="360"/>
        </w:sectPr>
      </w:pPr>
    </w:p>
    <w:p w14:paraId="141A6728" w14:textId="77777777" w:rsidR="00455E75" w:rsidRPr="002F4BDC" w:rsidRDefault="00455E75" w:rsidP="00455E75">
      <w:pPr>
        <w:spacing w:after="0" w:line="240" w:lineRule="auto"/>
        <w:jc w:val="both"/>
        <w:rPr>
          <w:rFonts w:ascii="Times New Roman" w:hAnsi="Times New Roman" w:cs="Times New Roman"/>
          <w:b/>
        </w:rPr>
      </w:pPr>
    </w:p>
    <w:p w14:paraId="53F419B6" w14:textId="77777777" w:rsidR="00455E75" w:rsidRPr="002F4BDC" w:rsidRDefault="00455E75" w:rsidP="00455E75">
      <w:pPr>
        <w:pStyle w:val="Prrafodelista"/>
        <w:numPr>
          <w:ilvl w:val="0"/>
          <w:numId w:val="42"/>
        </w:numPr>
        <w:spacing w:after="0" w:line="240" w:lineRule="auto"/>
        <w:jc w:val="both"/>
        <w:rPr>
          <w:rFonts w:ascii="Times New Roman" w:hAnsi="Times New Roman" w:cs="Times New Roman"/>
          <w:b/>
        </w:rPr>
      </w:pPr>
      <w:r w:rsidRPr="002F4BDC">
        <w:rPr>
          <w:rFonts w:ascii="Times New Roman" w:hAnsi="Times New Roman" w:cs="Times New Roman"/>
          <w:b/>
        </w:rPr>
        <w:t xml:space="preserve">Presupuesto por resultados: </w:t>
      </w:r>
      <w:r w:rsidRPr="002F4BDC">
        <w:rPr>
          <w:rFonts w:ascii="Times New Roman" w:hAnsi="Times New Roman" w:cs="Times New Roman"/>
        </w:rPr>
        <w:t xml:space="preserve">se explicó que por medio de la Gestión por Resultados se busca que las instituciones públicas aumenten el valor que aportan a la ciudadanía por medio de la entrega continua de productos que se trasladan a la sociedad, de modo que generen cambios positivos y sostenibles en las condiciones de vida del ciudadano. La Gestión por Resultados se conforma de cuatro etapas y en cada una de ellas conlleva una serie de modelos e indicadores: </w:t>
      </w:r>
    </w:p>
    <w:p w14:paraId="568B2D16" w14:textId="77777777" w:rsidR="00455E75" w:rsidRPr="002F4BDC" w:rsidRDefault="00455E75" w:rsidP="00455E75">
      <w:pPr>
        <w:pStyle w:val="Prrafodelista"/>
        <w:spacing w:after="0" w:line="240" w:lineRule="auto"/>
        <w:jc w:val="both"/>
        <w:rPr>
          <w:rFonts w:ascii="Times New Roman" w:hAnsi="Times New Roman" w:cs="Times New Roman"/>
          <w:b/>
        </w:rPr>
      </w:pPr>
    </w:p>
    <w:p w14:paraId="344D9A42" w14:textId="77777777" w:rsidR="00455E75" w:rsidRPr="002F4BDC" w:rsidRDefault="00455E75" w:rsidP="00455E75">
      <w:pPr>
        <w:pStyle w:val="Prrafodelista"/>
        <w:numPr>
          <w:ilvl w:val="1"/>
          <w:numId w:val="42"/>
        </w:numPr>
        <w:spacing w:after="0" w:line="240" w:lineRule="auto"/>
        <w:jc w:val="both"/>
        <w:rPr>
          <w:rFonts w:ascii="Times New Roman" w:hAnsi="Times New Roman" w:cs="Times New Roman"/>
        </w:rPr>
      </w:pPr>
      <w:r w:rsidRPr="002F4BDC">
        <w:rPr>
          <w:rFonts w:ascii="Times New Roman" w:hAnsi="Times New Roman" w:cs="Times New Roman"/>
        </w:rPr>
        <w:t>Etapa de Diagnóstico de Situación</w:t>
      </w:r>
    </w:p>
    <w:p w14:paraId="202393B8" w14:textId="77777777" w:rsidR="00455E75" w:rsidRPr="002F4BDC" w:rsidRDefault="00455E75" w:rsidP="00455E75">
      <w:pPr>
        <w:pStyle w:val="Prrafodelista"/>
        <w:numPr>
          <w:ilvl w:val="1"/>
          <w:numId w:val="42"/>
        </w:numPr>
        <w:spacing w:after="0" w:line="240" w:lineRule="auto"/>
        <w:jc w:val="both"/>
        <w:rPr>
          <w:rFonts w:ascii="Times New Roman" w:hAnsi="Times New Roman" w:cs="Times New Roman"/>
        </w:rPr>
      </w:pPr>
      <w:r w:rsidRPr="002F4BDC">
        <w:rPr>
          <w:rFonts w:ascii="Times New Roman" w:hAnsi="Times New Roman" w:cs="Times New Roman"/>
        </w:rPr>
        <w:t>Etapa de Diseño</w:t>
      </w:r>
    </w:p>
    <w:p w14:paraId="0FE6C719" w14:textId="77777777" w:rsidR="00455E75" w:rsidRPr="002F4BDC" w:rsidRDefault="00455E75" w:rsidP="00455E75">
      <w:pPr>
        <w:pStyle w:val="Prrafodelista"/>
        <w:numPr>
          <w:ilvl w:val="1"/>
          <w:numId w:val="42"/>
        </w:numPr>
        <w:spacing w:after="0" w:line="240" w:lineRule="auto"/>
        <w:jc w:val="both"/>
        <w:rPr>
          <w:rFonts w:ascii="Times New Roman" w:hAnsi="Times New Roman" w:cs="Times New Roman"/>
        </w:rPr>
      </w:pPr>
      <w:r w:rsidRPr="002F4BDC">
        <w:rPr>
          <w:rFonts w:ascii="Times New Roman" w:hAnsi="Times New Roman" w:cs="Times New Roman"/>
        </w:rPr>
        <w:t>Etapa de Implementación</w:t>
      </w:r>
    </w:p>
    <w:p w14:paraId="2370C7FA" w14:textId="77777777" w:rsidR="00455E75" w:rsidRPr="002F4BDC" w:rsidRDefault="00455E75" w:rsidP="00455E75">
      <w:pPr>
        <w:pStyle w:val="Prrafodelista"/>
        <w:numPr>
          <w:ilvl w:val="1"/>
          <w:numId w:val="42"/>
        </w:numPr>
        <w:spacing w:after="0" w:line="240" w:lineRule="auto"/>
        <w:jc w:val="both"/>
        <w:rPr>
          <w:rFonts w:ascii="Times New Roman" w:hAnsi="Times New Roman" w:cs="Times New Roman"/>
        </w:rPr>
      </w:pPr>
      <w:r w:rsidRPr="002F4BDC">
        <w:rPr>
          <w:rFonts w:ascii="Times New Roman" w:hAnsi="Times New Roman" w:cs="Times New Roman"/>
        </w:rPr>
        <w:t>Etapa de Seguimiento y Evaluación</w:t>
      </w:r>
    </w:p>
    <w:p w14:paraId="38B476A5" w14:textId="77777777" w:rsidR="00455E75" w:rsidRPr="002F4BDC" w:rsidRDefault="00455E75" w:rsidP="00455E75">
      <w:pPr>
        <w:pStyle w:val="Prrafodelista"/>
        <w:spacing w:after="0" w:line="240" w:lineRule="auto"/>
        <w:jc w:val="both"/>
        <w:rPr>
          <w:rFonts w:ascii="Times New Roman" w:hAnsi="Times New Roman" w:cs="Times New Roman"/>
          <w:b/>
        </w:rPr>
      </w:pPr>
    </w:p>
    <w:p w14:paraId="7E3873F3" w14:textId="77777777" w:rsidR="00455E75" w:rsidRPr="002F4BDC" w:rsidRDefault="00455E75" w:rsidP="00455E75">
      <w:pPr>
        <w:pStyle w:val="Prrafodelista"/>
        <w:numPr>
          <w:ilvl w:val="0"/>
          <w:numId w:val="42"/>
        </w:numPr>
        <w:spacing w:after="0" w:line="240" w:lineRule="auto"/>
        <w:jc w:val="both"/>
        <w:rPr>
          <w:rFonts w:ascii="Times New Roman" w:hAnsi="Times New Roman" w:cs="Times New Roman"/>
          <w:b/>
        </w:rPr>
      </w:pPr>
      <w:r w:rsidRPr="002F4BDC">
        <w:rPr>
          <w:rFonts w:ascii="Times New Roman" w:hAnsi="Times New Roman" w:cs="Times New Roman"/>
          <w:b/>
        </w:rPr>
        <w:t xml:space="preserve">Sistema de Compras Públicas: </w:t>
      </w:r>
      <w:r w:rsidRPr="002F4BDC">
        <w:rPr>
          <w:rFonts w:ascii="Times New Roman" w:hAnsi="Times New Roman" w:cs="Times New Roman"/>
        </w:rPr>
        <w:t>se explicó que es el sistema para la transparencia y la eficiencia de las adquisiciones públicas. Su consulta es pública, irrestricta y gratuita, y provee información en formatos electrónicos y de datos abiertos</w:t>
      </w:r>
    </w:p>
    <w:p w14:paraId="56C53394" w14:textId="77777777" w:rsidR="00455E75" w:rsidRPr="002F4BDC" w:rsidRDefault="00455E75" w:rsidP="00455E75">
      <w:pPr>
        <w:spacing w:after="0" w:line="240" w:lineRule="auto"/>
        <w:jc w:val="both"/>
        <w:rPr>
          <w:rFonts w:ascii="Times New Roman" w:hAnsi="Times New Roman" w:cs="Times New Roman"/>
          <w:b/>
        </w:rPr>
      </w:pPr>
    </w:p>
    <w:p w14:paraId="665889CF" w14:textId="77777777" w:rsidR="00455E75" w:rsidRPr="002F4BDC" w:rsidRDefault="00455E75" w:rsidP="00455E75">
      <w:pPr>
        <w:pStyle w:val="Prrafodelista"/>
        <w:numPr>
          <w:ilvl w:val="0"/>
          <w:numId w:val="42"/>
        </w:numPr>
        <w:spacing w:after="0" w:line="240" w:lineRule="auto"/>
        <w:jc w:val="both"/>
        <w:rPr>
          <w:rFonts w:ascii="Times New Roman" w:hAnsi="Times New Roman" w:cs="Times New Roman"/>
        </w:rPr>
      </w:pPr>
      <w:r w:rsidRPr="002F4BDC">
        <w:rPr>
          <w:rFonts w:ascii="Times New Roman" w:hAnsi="Times New Roman" w:cs="Times New Roman"/>
          <w:b/>
        </w:rPr>
        <w:t xml:space="preserve">Financiamiento del Presupuesto: </w:t>
      </w:r>
      <w:r w:rsidRPr="002F4BDC">
        <w:rPr>
          <w:rFonts w:ascii="Times New Roman" w:hAnsi="Times New Roman" w:cs="Times New Roman"/>
        </w:rPr>
        <w:t>se explicó</w:t>
      </w:r>
      <w:r w:rsidRPr="002F4BDC">
        <w:rPr>
          <w:rFonts w:ascii="Times New Roman" w:hAnsi="Times New Roman" w:cs="Times New Roman"/>
          <w:b/>
        </w:rPr>
        <w:t xml:space="preserve"> </w:t>
      </w:r>
      <w:r w:rsidRPr="002F4BDC">
        <w:rPr>
          <w:rFonts w:ascii="Times New Roman" w:hAnsi="Times New Roman" w:cs="Times New Roman"/>
        </w:rPr>
        <w:t>la composición del Techo Presupuestario de Ingresos del Estado Para el Ejercicio Fiscal 2022, siendo financiando principalmente por los ingresos tributarios con un 70.3%. Toma en consideración el equilibrio presupuestario, es decir, incluye la estimación de todos los ingresos a percibir y el detalle de los gastos que se realizarán.</w:t>
      </w:r>
    </w:p>
    <w:p w14:paraId="6DABAA41" w14:textId="77777777" w:rsidR="00455E75" w:rsidRPr="002F4BDC" w:rsidRDefault="00455E75" w:rsidP="00455E75">
      <w:pPr>
        <w:spacing w:after="0" w:line="240" w:lineRule="auto"/>
        <w:jc w:val="both"/>
        <w:rPr>
          <w:rFonts w:ascii="Times New Roman" w:hAnsi="Times New Roman" w:cs="Times New Roman"/>
          <w:b/>
        </w:rPr>
      </w:pPr>
    </w:p>
    <w:p w14:paraId="6DAF7A91" w14:textId="77777777" w:rsidR="00455E75" w:rsidRPr="002F4BDC" w:rsidRDefault="00455E75" w:rsidP="00455E75">
      <w:pPr>
        <w:pStyle w:val="Prrafodelista"/>
        <w:numPr>
          <w:ilvl w:val="0"/>
          <w:numId w:val="42"/>
        </w:numPr>
        <w:spacing w:after="0" w:line="240" w:lineRule="auto"/>
        <w:jc w:val="both"/>
        <w:rPr>
          <w:rFonts w:ascii="Times New Roman" w:hAnsi="Times New Roman" w:cs="Times New Roman"/>
          <w:b/>
        </w:rPr>
      </w:pPr>
      <w:r w:rsidRPr="002F4BDC">
        <w:rPr>
          <w:rFonts w:ascii="Times New Roman" w:hAnsi="Times New Roman" w:cs="Times New Roman"/>
          <w:b/>
        </w:rPr>
        <w:t xml:space="preserve">Portales de Transparencia Fiscal: </w:t>
      </w:r>
      <w:r w:rsidRPr="002F4BDC">
        <w:rPr>
          <w:rFonts w:ascii="Times New Roman" w:hAnsi="Times New Roman" w:cs="Times New Roman"/>
        </w:rPr>
        <w:t>se explicó cómo funciona el Portal de Datos Abiertos, Portal de ONG, Portal de Transparencia Presupuestaria y el Portal del Sistema Nacional de Inversión Pública. En el</w:t>
      </w:r>
      <w:r w:rsidRPr="002F4BDC">
        <w:rPr>
          <w:rFonts w:ascii="Times New Roman" w:hAnsi="Times New Roman" w:cs="Times New Roman"/>
          <w:b/>
        </w:rPr>
        <w:t xml:space="preserve"> </w:t>
      </w:r>
      <w:r w:rsidRPr="002F4BDC">
        <w:rPr>
          <w:rFonts w:ascii="Times New Roman" w:hAnsi="Times New Roman" w:cs="Times New Roman"/>
        </w:rPr>
        <w:t>Sistema Nacional de Inversión Pública (SNIP), se busca ordenar el proceso de inversión pública, estableciendo procedimientos y plazos, facilitar el proceso de formulación de los proyectos con normas y procedimientos claros a lo largo del ciclo de vida del proyecto y sus etapas y empoderar el concepto de proyecto de inversión pública.</w:t>
      </w:r>
    </w:p>
    <w:p w14:paraId="7FFE0FB9" w14:textId="77777777" w:rsidR="00455E75" w:rsidRDefault="00455E75" w:rsidP="00455E75">
      <w:pPr>
        <w:spacing w:after="0" w:line="240" w:lineRule="auto"/>
        <w:jc w:val="both"/>
        <w:rPr>
          <w:rFonts w:ascii="Times New Roman" w:hAnsi="Times New Roman" w:cs="Times New Roman"/>
          <w:highlight w:val="lightGray"/>
        </w:rPr>
      </w:pPr>
      <w:r>
        <w:rPr>
          <w:rFonts w:ascii="Times New Roman" w:hAnsi="Times New Roman" w:cs="Times New Roman"/>
          <w:noProof/>
          <w:lang w:val="es-ES" w:eastAsia="es-ES"/>
        </w:rPr>
        <w:drawing>
          <wp:anchor distT="0" distB="0" distL="114300" distR="114300" simplePos="0" relativeHeight="252013056" behindDoc="0" locked="0" layoutInCell="1" allowOverlap="1" wp14:anchorId="0F1D64E5" wp14:editId="774A492C">
            <wp:simplePos x="0" y="0"/>
            <wp:positionH relativeFrom="column">
              <wp:posOffset>0</wp:posOffset>
            </wp:positionH>
            <wp:positionV relativeFrom="paragraph">
              <wp:posOffset>227054</wp:posOffset>
            </wp:positionV>
            <wp:extent cx="5612130" cy="1308100"/>
            <wp:effectExtent l="0" t="0" r="7620" b="6350"/>
            <wp:wrapSquare wrapText="bothSides"/>
            <wp:docPr id="100" name="Picture 100"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abla&#10;&#10;Descripción generada automáticamente con confianza baja"/>
                    <pic:cNvPicPr/>
                  </pic:nvPicPr>
                  <pic:blipFill>
                    <a:blip r:embed="rId89">
                      <a:extLst>
                        <a:ext uri="{28A0092B-C50C-407E-A947-70E740481C1C}">
                          <a14:useLocalDpi xmlns:a14="http://schemas.microsoft.com/office/drawing/2010/main" val="0"/>
                        </a:ext>
                      </a:extLst>
                    </a:blip>
                    <a:stretch>
                      <a:fillRect/>
                    </a:stretch>
                  </pic:blipFill>
                  <pic:spPr>
                    <a:xfrm>
                      <a:off x="0" y="0"/>
                      <a:ext cx="5612130" cy="1308100"/>
                    </a:xfrm>
                    <a:prstGeom prst="rect">
                      <a:avLst/>
                    </a:prstGeom>
                  </pic:spPr>
                </pic:pic>
              </a:graphicData>
            </a:graphic>
            <wp14:sizeRelH relativeFrom="page">
              <wp14:pctWidth>0</wp14:pctWidth>
            </wp14:sizeRelH>
            <wp14:sizeRelV relativeFrom="page">
              <wp14:pctHeight>0</wp14:pctHeight>
            </wp14:sizeRelV>
          </wp:anchor>
        </w:drawing>
      </w:r>
    </w:p>
    <w:p w14:paraId="50AE2092" w14:textId="77777777" w:rsidR="00455E75" w:rsidRDefault="00455E75" w:rsidP="00455E75">
      <w:pPr>
        <w:spacing w:after="0" w:line="240" w:lineRule="auto"/>
        <w:jc w:val="both"/>
        <w:rPr>
          <w:rFonts w:ascii="Times New Roman" w:hAnsi="Times New Roman" w:cs="Times New Roman"/>
          <w:highlight w:val="lightGray"/>
        </w:rPr>
      </w:pPr>
    </w:p>
    <w:p w14:paraId="43245E53" w14:textId="77777777" w:rsidR="00455E75" w:rsidRDefault="00455E75" w:rsidP="00455E75">
      <w:pPr>
        <w:spacing w:after="0" w:line="240" w:lineRule="auto"/>
        <w:jc w:val="both"/>
        <w:rPr>
          <w:rFonts w:ascii="Times New Roman" w:hAnsi="Times New Roman" w:cs="Times New Roman"/>
        </w:rPr>
      </w:pPr>
    </w:p>
    <w:p w14:paraId="65437576" w14:textId="77777777" w:rsidR="00455E75" w:rsidRPr="002F4BDC" w:rsidRDefault="00455E75" w:rsidP="00455E75">
      <w:pPr>
        <w:spacing w:after="0" w:line="240" w:lineRule="auto"/>
        <w:jc w:val="both"/>
        <w:rPr>
          <w:rFonts w:ascii="Times New Roman" w:hAnsi="Times New Roman" w:cs="Times New Roman"/>
        </w:rPr>
      </w:pPr>
      <w:r w:rsidRPr="002F4BDC">
        <w:rPr>
          <w:rFonts w:ascii="Times New Roman" w:hAnsi="Times New Roman" w:cs="Times New Roman"/>
        </w:rPr>
        <w:t>En el segundo módulo estratégico correspondiente a los talleres temáticos se buscó generar discusiones entre representantes de la sociedad civil y funcionarios del Estado, para definir prioridades del gasto público en áreas estratégicas para el desarrollo del país</w:t>
      </w:r>
      <w:r>
        <w:rPr>
          <w:rFonts w:ascii="Times New Roman" w:hAnsi="Times New Roman" w:cs="Times New Roman"/>
        </w:rPr>
        <w:t>, en los cuales participo</w:t>
      </w:r>
      <w:r w:rsidRPr="002F4BDC">
        <w:rPr>
          <w:rFonts w:ascii="Times New Roman" w:hAnsi="Times New Roman" w:cs="Times New Roman"/>
        </w:rPr>
        <w:t xml:space="preserve"> la sociedad civil, sector privado, academia y organismos multilaterales, con el objetivo de consensuar el Proyecto de Presupuesto que se entregará al Congreso de la República.</w:t>
      </w:r>
    </w:p>
    <w:p w14:paraId="67FE0B81" w14:textId="77777777" w:rsidR="00455E75" w:rsidRDefault="00455E75" w:rsidP="00455E75">
      <w:pPr>
        <w:spacing w:after="0" w:line="240" w:lineRule="auto"/>
        <w:jc w:val="both"/>
        <w:rPr>
          <w:rFonts w:ascii="Times New Roman" w:hAnsi="Times New Roman" w:cs="Times New Roman"/>
          <w:highlight w:val="lightGray"/>
        </w:rPr>
      </w:pPr>
    </w:p>
    <w:p w14:paraId="180C3353" w14:textId="77777777" w:rsidR="00455E75" w:rsidRDefault="00455E75" w:rsidP="00455E75">
      <w:pPr>
        <w:spacing w:after="0" w:line="240" w:lineRule="auto"/>
        <w:jc w:val="both"/>
        <w:rPr>
          <w:rFonts w:ascii="Times New Roman" w:hAnsi="Times New Roman" w:cs="Times New Roman"/>
          <w:highlight w:val="lightGray"/>
        </w:rPr>
      </w:pPr>
    </w:p>
    <w:p w14:paraId="2719BA5D" w14:textId="77777777" w:rsidR="00455E75" w:rsidRDefault="00455E75" w:rsidP="00455E75">
      <w:pPr>
        <w:spacing w:after="0" w:line="240" w:lineRule="auto"/>
        <w:jc w:val="both"/>
        <w:rPr>
          <w:rFonts w:ascii="Times New Roman" w:hAnsi="Times New Roman" w:cs="Times New Roman"/>
          <w:highlight w:val="lightGray"/>
        </w:rPr>
      </w:pPr>
      <w:r>
        <w:rPr>
          <w:rFonts w:ascii="Times New Roman" w:hAnsi="Times New Roman" w:cs="Times New Roman"/>
          <w:noProof/>
          <w:lang w:val="es-ES" w:eastAsia="es-ES"/>
        </w:rPr>
        <w:drawing>
          <wp:inline distT="0" distB="0" distL="0" distR="0" wp14:anchorId="25554BCB" wp14:editId="77E61C22">
            <wp:extent cx="5612130" cy="2616200"/>
            <wp:effectExtent l="0" t="0" r="7620" b="0"/>
            <wp:docPr id="102" name="Picture 102"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Escala de tiempo&#10;&#10;Descripción generada automáticamente"/>
                    <pic:cNvPicPr/>
                  </pic:nvPicPr>
                  <pic:blipFill>
                    <a:blip r:embed="rId90">
                      <a:extLst>
                        <a:ext uri="{28A0092B-C50C-407E-A947-70E740481C1C}">
                          <a14:useLocalDpi xmlns:a14="http://schemas.microsoft.com/office/drawing/2010/main" val="0"/>
                        </a:ext>
                      </a:extLst>
                    </a:blip>
                    <a:stretch>
                      <a:fillRect/>
                    </a:stretch>
                  </pic:blipFill>
                  <pic:spPr>
                    <a:xfrm>
                      <a:off x="0" y="0"/>
                      <a:ext cx="5612130" cy="2616200"/>
                    </a:xfrm>
                    <a:prstGeom prst="rect">
                      <a:avLst/>
                    </a:prstGeom>
                  </pic:spPr>
                </pic:pic>
              </a:graphicData>
            </a:graphic>
          </wp:inline>
        </w:drawing>
      </w:r>
    </w:p>
    <w:p w14:paraId="210F5901" w14:textId="77777777" w:rsidR="00455E75" w:rsidRPr="002F4BDC" w:rsidRDefault="00455E75" w:rsidP="00455E75">
      <w:pPr>
        <w:spacing w:after="0" w:line="240" w:lineRule="auto"/>
        <w:jc w:val="both"/>
        <w:rPr>
          <w:rFonts w:ascii="Times New Roman" w:hAnsi="Times New Roman" w:cs="Times New Roman"/>
        </w:rPr>
      </w:pPr>
      <w:r w:rsidRPr="002F4BDC">
        <w:rPr>
          <w:rFonts w:ascii="Times New Roman" w:hAnsi="Times New Roman" w:cs="Times New Roman"/>
        </w:rPr>
        <w:t>En el tercer módulo estratégico correspondiente a las exposiciones de Ministerios y Secretarías de Estado, se busca conocer por medio de exposiciones las prioridades del gasto, planes, programas estratégicos en sus ámbitos de acción. Esta fase del Presupuesto Abierto, es de suma importancia debido a que se busca elaborar un presupuesto que atienda las necesidades del país y se oriente al Plan General de Gobierno y a los indicadores para disminuir las brechas económicas y sociales.</w:t>
      </w:r>
    </w:p>
    <w:p w14:paraId="64D63F52" w14:textId="77777777" w:rsidR="00455E75" w:rsidRPr="002F4BDC" w:rsidRDefault="00455E75" w:rsidP="00455E75">
      <w:pPr>
        <w:spacing w:after="0" w:line="240" w:lineRule="auto"/>
        <w:jc w:val="both"/>
        <w:rPr>
          <w:rFonts w:ascii="Times New Roman" w:hAnsi="Times New Roman" w:cs="Times New Roman"/>
        </w:rPr>
      </w:pPr>
    </w:p>
    <w:p w14:paraId="0A482354" w14:textId="77777777" w:rsidR="00455E75" w:rsidRPr="002F4BDC" w:rsidRDefault="00455E75" w:rsidP="00455E75">
      <w:pPr>
        <w:spacing w:after="0" w:line="240" w:lineRule="auto"/>
        <w:jc w:val="both"/>
        <w:rPr>
          <w:rFonts w:ascii="Times New Roman" w:hAnsi="Times New Roman" w:cs="Times New Roman"/>
        </w:rPr>
      </w:pPr>
      <w:r w:rsidRPr="002F4BDC">
        <w:rPr>
          <w:rFonts w:ascii="Times New Roman" w:hAnsi="Times New Roman" w:cs="Times New Roman"/>
        </w:rPr>
        <w:t>Las Entidades y Secretarías priorizan los programas y proyectos a ejecutar de acuerdo a sus objetivos y metas programáticas e institucionales, de acuerdo al nivel de su techo de gasto.</w:t>
      </w:r>
    </w:p>
    <w:p w14:paraId="0C800EA2" w14:textId="77777777" w:rsidR="00455E75" w:rsidRPr="002F4BDC" w:rsidRDefault="00455E75" w:rsidP="00455E75">
      <w:pPr>
        <w:spacing w:after="0" w:line="240" w:lineRule="auto"/>
        <w:jc w:val="both"/>
        <w:rPr>
          <w:rFonts w:ascii="Times New Roman" w:hAnsi="Times New Roman" w:cs="Times New Roman"/>
        </w:rPr>
      </w:pPr>
    </w:p>
    <w:p w14:paraId="27BE0A69" w14:textId="77777777" w:rsidR="00455E75" w:rsidRPr="002F4BDC" w:rsidRDefault="00455E75" w:rsidP="00455E75">
      <w:pPr>
        <w:spacing w:after="0" w:line="240" w:lineRule="auto"/>
        <w:jc w:val="both"/>
        <w:rPr>
          <w:rFonts w:ascii="Times New Roman" w:hAnsi="Times New Roman" w:cs="Times New Roman"/>
        </w:rPr>
      </w:pPr>
      <w:r w:rsidRPr="002F4BDC">
        <w:rPr>
          <w:rFonts w:ascii="Times New Roman" w:hAnsi="Times New Roman" w:cs="Times New Roman"/>
        </w:rPr>
        <w:t>En esta etapa el Ministerio de Finanzas Públicas ha revisado, analizado y recomendado el presupuesto de cada institución para que sea congruent</w:t>
      </w:r>
      <w:r>
        <w:rPr>
          <w:rFonts w:ascii="Times New Roman" w:hAnsi="Times New Roman" w:cs="Times New Roman"/>
        </w:rPr>
        <w:t>e con las políticas, techos y los</w:t>
      </w:r>
      <w:r w:rsidRPr="002F4BDC">
        <w:rPr>
          <w:rFonts w:ascii="Times New Roman" w:hAnsi="Times New Roman" w:cs="Times New Roman"/>
        </w:rPr>
        <w:t xml:space="preserve"> bien</w:t>
      </w:r>
      <w:r>
        <w:rPr>
          <w:rFonts w:ascii="Times New Roman" w:hAnsi="Times New Roman" w:cs="Times New Roman"/>
        </w:rPr>
        <w:t>es</w:t>
      </w:r>
      <w:r w:rsidRPr="002F4BDC">
        <w:rPr>
          <w:rFonts w:ascii="Times New Roman" w:hAnsi="Times New Roman" w:cs="Times New Roman"/>
        </w:rPr>
        <w:t xml:space="preserve"> o servicio</w:t>
      </w:r>
      <w:r>
        <w:rPr>
          <w:rFonts w:ascii="Times New Roman" w:hAnsi="Times New Roman" w:cs="Times New Roman"/>
        </w:rPr>
        <w:t>s</w:t>
      </w:r>
      <w:r w:rsidRPr="002F4BDC">
        <w:rPr>
          <w:rFonts w:ascii="Times New Roman" w:hAnsi="Times New Roman" w:cs="Times New Roman"/>
        </w:rPr>
        <w:t xml:space="preserve"> que se entrega</w:t>
      </w:r>
      <w:r>
        <w:rPr>
          <w:rFonts w:ascii="Times New Roman" w:hAnsi="Times New Roman" w:cs="Times New Roman"/>
        </w:rPr>
        <w:t>n</w:t>
      </w:r>
      <w:r w:rsidRPr="002F4BDC">
        <w:rPr>
          <w:rFonts w:ascii="Times New Roman" w:hAnsi="Times New Roman" w:cs="Times New Roman"/>
        </w:rPr>
        <w:t xml:space="preserve"> a la población. </w:t>
      </w:r>
    </w:p>
    <w:p w14:paraId="40A22268" w14:textId="77777777" w:rsidR="00455E75" w:rsidRPr="002F4BDC" w:rsidRDefault="00455E75" w:rsidP="00455E75">
      <w:pPr>
        <w:spacing w:after="0" w:line="240" w:lineRule="auto"/>
        <w:jc w:val="both"/>
        <w:rPr>
          <w:rFonts w:ascii="Times New Roman" w:hAnsi="Times New Roman" w:cs="Times New Roman"/>
        </w:rPr>
      </w:pPr>
    </w:p>
    <w:p w14:paraId="270EB577" w14:textId="77777777" w:rsidR="00455E75" w:rsidRDefault="00455E75" w:rsidP="00455E75">
      <w:pPr>
        <w:spacing w:after="0" w:line="240" w:lineRule="auto"/>
        <w:jc w:val="both"/>
        <w:rPr>
          <w:rFonts w:ascii="Times New Roman" w:hAnsi="Times New Roman" w:cs="Times New Roman"/>
        </w:rPr>
      </w:pPr>
      <w:r w:rsidRPr="002F4BDC">
        <w:rPr>
          <w:rFonts w:ascii="Times New Roman" w:hAnsi="Times New Roman" w:cs="Times New Roman"/>
        </w:rPr>
        <w:t>En el cuarto módulo estratégico correspondiente a los foros públicos, se busca contar con la participación de la sociedad civil para que comenten en los foros públicos que dirigieron expertos de diferentes instituciones.</w:t>
      </w:r>
      <w:r>
        <w:rPr>
          <w:rFonts w:ascii="Times New Roman" w:hAnsi="Times New Roman" w:cs="Times New Roman"/>
        </w:rPr>
        <w:t xml:space="preserve"> Entre lo más importante de los foros públicos resaltó:</w:t>
      </w:r>
    </w:p>
    <w:p w14:paraId="7A546D38" w14:textId="77777777" w:rsidR="00455E75" w:rsidRDefault="00455E75" w:rsidP="00455E75">
      <w:pPr>
        <w:spacing w:after="0" w:line="240" w:lineRule="auto"/>
        <w:jc w:val="both"/>
        <w:rPr>
          <w:rFonts w:ascii="Times New Roman" w:hAnsi="Times New Roman" w:cs="Times New Roman"/>
        </w:rPr>
      </w:pPr>
    </w:p>
    <w:p w14:paraId="13EEF921" w14:textId="77777777" w:rsidR="00455E75" w:rsidRDefault="00455E75" w:rsidP="00455E75">
      <w:pPr>
        <w:pStyle w:val="Prrafodelista"/>
        <w:numPr>
          <w:ilvl w:val="0"/>
          <w:numId w:val="47"/>
        </w:numPr>
        <w:spacing w:after="0" w:line="240" w:lineRule="auto"/>
        <w:jc w:val="both"/>
        <w:rPr>
          <w:rFonts w:ascii="Times New Roman" w:hAnsi="Times New Roman" w:cs="Times New Roman"/>
        </w:rPr>
      </w:pPr>
      <w:r w:rsidRPr="00311D72">
        <w:rPr>
          <w:rFonts w:ascii="Times New Roman" w:hAnsi="Times New Roman" w:cs="Times New Roman"/>
        </w:rPr>
        <w:t>En el primer foro público, se trató el tema de la transparencia y calidad del gasto público, donde se presentaron los diferentes portales de fiscalización que han sido desarrollados para el acceso fácil a la información, los cuales permiten a la ciudadanía encontrar información de las Organizaciones No Gubernamentales (ONG’s), fideicomisos, préstamos externos y gobiernos locales, entre otros. Se espera que para 2022 se tengan listos dos sitios adicionales que permitirán a la ciudadanía tener acceso en tiempo real a información vinculada a la seguridad alimentaria y nutricional y al seguimiento a proyectos de los Consejos Departamentales de Desarrollo (CODEDES).</w:t>
      </w:r>
    </w:p>
    <w:p w14:paraId="51D81D29" w14:textId="77777777" w:rsidR="00455E75" w:rsidRDefault="00455E75" w:rsidP="00455E75">
      <w:pPr>
        <w:pStyle w:val="Prrafodelista"/>
        <w:numPr>
          <w:ilvl w:val="0"/>
          <w:numId w:val="47"/>
        </w:numPr>
        <w:spacing w:after="0" w:line="240" w:lineRule="auto"/>
        <w:jc w:val="both"/>
        <w:rPr>
          <w:rFonts w:ascii="Times New Roman" w:hAnsi="Times New Roman" w:cs="Times New Roman"/>
        </w:rPr>
      </w:pPr>
      <w:r>
        <w:rPr>
          <w:rFonts w:ascii="Times New Roman" w:hAnsi="Times New Roman" w:cs="Times New Roman"/>
        </w:rPr>
        <w:t xml:space="preserve">En el segundo foro público, se trató el tema de los riesgos fiscales, resaltando la importancia de contar con capacidad de respuesta por parte de la política fiscal a la ocurrencia de eventos de riesgo que podrían causar desviaciones de los escenarios previstos inicialmente. La correcta respuesta a los riesgos fiscales, fortalece las finanzas públicas, mantiene la estabilidad económica y promueve el crecimiento. Dentro del </w:t>
      </w:r>
      <w:r w:rsidRPr="0062200B">
        <w:rPr>
          <w:rFonts w:ascii="Times New Roman" w:hAnsi="Times New Roman" w:cs="Times New Roman"/>
        </w:rPr>
        <w:t xml:space="preserve">Proyecto de Presupuesto General de Ingresos y Egresos del Estado </w:t>
      </w:r>
      <w:r>
        <w:rPr>
          <w:rFonts w:ascii="Times New Roman" w:hAnsi="Times New Roman" w:cs="Times New Roman"/>
        </w:rPr>
        <w:t xml:space="preserve">para el ejercicio fiscal </w:t>
      </w:r>
      <w:r w:rsidRPr="0062200B">
        <w:rPr>
          <w:rFonts w:ascii="Times New Roman" w:hAnsi="Times New Roman" w:cs="Times New Roman"/>
        </w:rPr>
        <w:t>2022,</w:t>
      </w:r>
      <w:r>
        <w:rPr>
          <w:rFonts w:ascii="Times New Roman" w:hAnsi="Times New Roman" w:cs="Times New Roman"/>
        </w:rPr>
        <w:t xml:space="preserve"> incluye un anexo con el detalle de los riesgos fiscales identificados. Asimismo, sobresale que la no aprobación </w:t>
      </w:r>
      <w:r w:rsidRPr="0062200B">
        <w:rPr>
          <w:rFonts w:ascii="Times New Roman" w:hAnsi="Times New Roman" w:cs="Times New Roman"/>
        </w:rPr>
        <w:t>del Presupuesto 2022 tambi</w:t>
      </w:r>
      <w:r>
        <w:rPr>
          <w:rFonts w:ascii="Times New Roman" w:hAnsi="Times New Roman" w:cs="Times New Roman"/>
        </w:rPr>
        <w:t xml:space="preserve">én representa un riesgo fiscal ya que representaría </w:t>
      </w:r>
      <w:r w:rsidRPr="0062200B">
        <w:rPr>
          <w:rFonts w:ascii="Times New Roman" w:hAnsi="Times New Roman" w:cs="Times New Roman"/>
        </w:rPr>
        <w:t>complicaciones presupuestarias</w:t>
      </w:r>
      <w:r>
        <w:rPr>
          <w:rFonts w:ascii="Times New Roman" w:hAnsi="Times New Roman" w:cs="Times New Roman"/>
        </w:rPr>
        <w:t>.</w:t>
      </w:r>
    </w:p>
    <w:p w14:paraId="6AE3943F" w14:textId="0A795F3B" w:rsidR="00455E75" w:rsidRDefault="00455E75" w:rsidP="00455E75">
      <w:pPr>
        <w:pStyle w:val="Prrafodelista"/>
        <w:numPr>
          <w:ilvl w:val="0"/>
          <w:numId w:val="47"/>
        </w:numPr>
        <w:spacing w:after="0" w:line="240" w:lineRule="auto"/>
        <w:jc w:val="both"/>
        <w:rPr>
          <w:rFonts w:ascii="Times New Roman" w:hAnsi="Times New Roman" w:cs="Times New Roman"/>
        </w:rPr>
      </w:pPr>
      <w:r w:rsidRPr="0062200B">
        <w:rPr>
          <w:rFonts w:ascii="Times New Roman" w:hAnsi="Times New Roman" w:cs="Times New Roman"/>
        </w:rPr>
        <w:t xml:space="preserve">En el tercer </w:t>
      </w:r>
      <w:r w:rsidRPr="0044766F">
        <w:rPr>
          <w:rFonts w:ascii="Times New Roman" w:hAnsi="Times New Roman" w:cs="Times New Roman"/>
        </w:rPr>
        <w:t>foro público,</w:t>
      </w:r>
      <w:r w:rsidRPr="0062200B">
        <w:rPr>
          <w:rFonts w:ascii="Times New Roman" w:hAnsi="Times New Roman" w:cs="Times New Roman"/>
        </w:rPr>
        <w:t xml:space="preserve"> se trató el tema macroeconómico y fiscal, contando con la participación del Banco de Guatemala (Banguat) y la Superintendencia de Administración Tributaria (SAT). En dicho foro se resaltó la estabilidad macroeconómica del país, el efecto rebote que tendría la economía guatemalteca en 2021 y las perspectivas positivas en la recaudación tributaria derivado del desempeño económico y de las medidas administrativas que ha implementado el ente recaudador. Por el lado fiscal se resaltó que el déficit fiscal estimado y proyectado para 2021 y 2022 es de 2.3% y 2.6%, siguiendo una política de consolidación fiscal en el mediano plazo.</w:t>
      </w:r>
    </w:p>
    <w:p w14:paraId="4FC53457" w14:textId="7DD68516" w:rsidR="00D100A9" w:rsidRPr="00D100A9" w:rsidRDefault="00865FF5" w:rsidP="00D100A9">
      <w:pPr>
        <w:pStyle w:val="Prrafodelista"/>
        <w:numPr>
          <w:ilvl w:val="0"/>
          <w:numId w:val="47"/>
        </w:numPr>
        <w:spacing w:after="0" w:line="240" w:lineRule="auto"/>
        <w:jc w:val="both"/>
        <w:rPr>
          <w:rFonts w:ascii="Times New Roman" w:hAnsi="Times New Roman" w:cs="Times New Roman"/>
        </w:rPr>
      </w:pPr>
      <w:r>
        <w:rPr>
          <w:rFonts w:ascii="Times New Roman" w:hAnsi="Times New Roman" w:cs="Times New Roman"/>
        </w:rPr>
        <w:t xml:space="preserve">En el cuarto y último foro público, se trató el tema de mejora del desempeño de </w:t>
      </w:r>
      <w:r w:rsidR="00D100A9">
        <w:rPr>
          <w:rFonts w:ascii="Times New Roman" w:hAnsi="Times New Roman" w:cs="Times New Roman"/>
        </w:rPr>
        <w:t xml:space="preserve">la infraestructura en Guatemala, con la participación de representantes del sector público y privado, así como organismos financieros internacionales. </w:t>
      </w:r>
      <w:r w:rsidR="00A10FAC">
        <w:rPr>
          <w:rFonts w:ascii="Times New Roman" w:hAnsi="Times New Roman" w:cs="Times New Roman"/>
        </w:rPr>
        <w:t xml:space="preserve">La Segeplan informó que en el Proyecto de Presupuesto 2022, se incluye un plan de inversiones públicas, que consiste en 2,562 proyectos valorados en Q12,209.0 millones ejecutados por CODEDES, Municipalidades y Gobierno Central. Durante el foro también se resaltó el plan “Guatemala no se detiene”, siendo una estrategia pública privada para reactivar y acelerar el crecimiento económico y generar 2.5 millones de empleos en los próximos 10 años. </w:t>
      </w:r>
    </w:p>
    <w:p w14:paraId="37BB135F" w14:textId="77777777" w:rsidR="00455E75" w:rsidRDefault="00455E75" w:rsidP="00455E75">
      <w:pPr>
        <w:spacing w:after="0" w:line="240" w:lineRule="auto"/>
        <w:jc w:val="both"/>
        <w:rPr>
          <w:rFonts w:ascii="Times New Roman" w:hAnsi="Times New Roman" w:cs="Times New Roman"/>
        </w:rPr>
      </w:pPr>
    </w:p>
    <w:p w14:paraId="1EE2FF4D" w14:textId="77777777" w:rsidR="00455E75" w:rsidRDefault="00455E75" w:rsidP="00455E75">
      <w:pPr>
        <w:spacing w:after="0" w:line="240" w:lineRule="auto"/>
        <w:jc w:val="both"/>
        <w:rPr>
          <w:rFonts w:ascii="Times New Roman" w:hAnsi="Times New Roman" w:cs="Times New Roman"/>
        </w:rPr>
      </w:pPr>
      <w:r>
        <w:rPr>
          <w:rFonts w:ascii="Times New Roman" w:hAnsi="Times New Roman" w:cs="Times New Roman"/>
        </w:rPr>
        <w:t>De esta forma concluyeron los cuatro módulos estratégicos considerados dentro del ejercicio de Presupuesto Abierto 2022-2026, siendo el siguiente paso la presentación al Congreso de la República,</w:t>
      </w:r>
      <w:r w:rsidRPr="00E967AA">
        <w:t xml:space="preserve"> </w:t>
      </w:r>
      <w:r>
        <w:t>d</w:t>
      </w:r>
      <w:r w:rsidRPr="00E967AA">
        <w:rPr>
          <w:rFonts w:ascii="Times New Roman" w:hAnsi="Times New Roman" w:cs="Times New Roman"/>
        </w:rPr>
        <w:t>el proyecto de Presupuesto General de Ingresos y Egresos del Esta</w:t>
      </w:r>
      <w:r>
        <w:rPr>
          <w:rFonts w:ascii="Times New Roman" w:hAnsi="Times New Roman" w:cs="Times New Roman"/>
        </w:rPr>
        <w:t>do para el ejercicio fiscal 2022,</w:t>
      </w:r>
      <w:r w:rsidRPr="00E967AA">
        <w:rPr>
          <w:rFonts w:ascii="Times New Roman" w:hAnsi="Times New Roman" w:cs="Times New Roman"/>
        </w:rPr>
        <w:t xml:space="preserve"> a más ta</w:t>
      </w:r>
      <w:r>
        <w:rPr>
          <w:rFonts w:ascii="Times New Roman" w:hAnsi="Times New Roman" w:cs="Times New Roman"/>
        </w:rPr>
        <w:t>rdar el 2 de septiembre.</w:t>
      </w:r>
    </w:p>
    <w:p w14:paraId="0568F402" w14:textId="77777777" w:rsidR="00455E75" w:rsidRPr="002F4BDC" w:rsidRDefault="00455E75" w:rsidP="00455E75">
      <w:pPr>
        <w:spacing w:after="0" w:line="240" w:lineRule="auto"/>
        <w:jc w:val="both"/>
        <w:rPr>
          <w:rFonts w:ascii="Times New Roman" w:hAnsi="Times New Roman" w:cs="Times New Roman"/>
        </w:rPr>
      </w:pPr>
    </w:p>
    <w:p w14:paraId="2665ABB2" w14:textId="10FDD8A5" w:rsidR="00455E75" w:rsidRDefault="00455E75" w:rsidP="00455E75">
      <w:pPr>
        <w:spacing w:after="0" w:line="240" w:lineRule="auto"/>
        <w:jc w:val="both"/>
        <w:rPr>
          <w:rFonts w:ascii="Times New Roman" w:hAnsi="Times New Roman" w:cs="Times New Roman"/>
        </w:rPr>
      </w:pPr>
      <w:r w:rsidRPr="002F4BDC">
        <w:rPr>
          <w:rFonts w:ascii="Times New Roman" w:hAnsi="Times New Roman" w:cs="Times New Roman"/>
        </w:rPr>
        <w:t xml:space="preserve">Como parte de los esfuerzos de inclusión por parte del Ministerio de Finanzas Públicas, se contó con traducción simultánea en lenguaje de señas con el propósito de hacer más incluyente y accesible todo el proceso de Presupuesto Abierto 2022-2026.  </w:t>
      </w:r>
    </w:p>
    <w:p w14:paraId="756CEFD4" w14:textId="77777777" w:rsidR="00865FF5" w:rsidRPr="002F4BDC" w:rsidRDefault="00865FF5" w:rsidP="00455E75">
      <w:pPr>
        <w:spacing w:after="0" w:line="240" w:lineRule="auto"/>
        <w:jc w:val="both"/>
        <w:rPr>
          <w:rFonts w:ascii="Times New Roman" w:hAnsi="Times New Roman" w:cs="Times New Roman"/>
        </w:rPr>
      </w:pPr>
    </w:p>
    <w:p w14:paraId="6D992721" w14:textId="7692F4DE" w:rsidR="00813233" w:rsidRPr="00F12665" w:rsidRDefault="00813233" w:rsidP="001032E7">
      <w:pPr>
        <w:pStyle w:val="Sinespaciado"/>
        <w:numPr>
          <w:ilvl w:val="0"/>
          <w:numId w:val="38"/>
        </w:numPr>
        <w:outlineLvl w:val="1"/>
        <w:rPr>
          <w:rFonts w:ascii="Times New Roman" w:hAnsi="Times New Roman" w:cs="Times New Roman"/>
          <w:b/>
          <w:sz w:val="24"/>
        </w:rPr>
      </w:pPr>
      <w:bookmarkStart w:id="1734" w:name="_Toc81571920"/>
      <w:r w:rsidRPr="00F12665">
        <w:rPr>
          <w:rFonts w:ascii="Times New Roman" w:hAnsi="Times New Roman" w:cs="Times New Roman"/>
          <w:b/>
          <w:sz w:val="24"/>
        </w:rPr>
        <w:t>Metas de política fiscal para el período 202</w:t>
      </w:r>
      <w:r w:rsidR="00B66A75" w:rsidRPr="00F12665">
        <w:rPr>
          <w:rFonts w:ascii="Times New Roman" w:hAnsi="Times New Roman" w:cs="Times New Roman"/>
          <w:b/>
          <w:sz w:val="24"/>
        </w:rPr>
        <w:t>2</w:t>
      </w:r>
      <w:r w:rsidRPr="00F12665">
        <w:rPr>
          <w:rFonts w:ascii="Times New Roman" w:hAnsi="Times New Roman" w:cs="Times New Roman"/>
          <w:b/>
          <w:sz w:val="24"/>
        </w:rPr>
        <w:t xml:space="preserve"> -202</w:t>
      </w:r>
      <w:bookmarkEnd w:id="1732"/>
      <w:bookmarkEnd w:id="1733"/>
      <w:r w:rsidR="00B66A75" w:rsidRPr="00F12665">
        <w:rPr>
          <w:rFonts w:ascii="Times New Roman" w:hAnsi="Times New Roman" w:cs="Times New Roman"/>
          <w:b/>
          <w:sz w:val="24"/>
        </w:rPr>
        <w:t>6</w:t>
      </w:r>
      <w:bookmarkEnd w:id="1734"/>
      <w:r w:rsidRPr="00F12665">
        <w:rPr>
          <w:rFonts w:ascii="Times New Roman" w:hAnsi="Times New Roman" w:cs="Times New Roman"/>
          <w:b/>
          <w:sz w:val="24"/>
        </w:rPr>
        <w:t xml:space="preserve"> </w:t>
      </w:r>
    </w:p>
    <w:p w14:paraId="277F0F68" w14:textId="77777777" w:rsidR="00813233" w:rsidRPr="00813233" w:rsidRDefault="00813233" w:rsidP="00813233">
      <w:pPr>
        <w:autoSpaceDE w:val="0"/>
        <w:autoSpaceDN w:val="0"/>
        <w:adjustRightInd w:val="0"/>
        <w:spacing w:after="0" w:line="240" w:lineRule="auto"/>
        <w:jc w:val="both"/>
        <w:rPr>
          <w:rFonts w:ascii="Times New Roman" w:hAnsi="Times New Roman" w:cs="Times New Roman"/>
          <w:color w:val="000000"/>
        </w:rPr>
      </w:pPr>
    </w:p>
    <w:p w14:paraId="507ECA58" w14:textId="77777777" w:rsidR="00813233" w:rsidRPr="00813233" w:rsidRDefault="00813233" w:rsidP="00813233">
      <w:pPr>
        <w:autoSpaceDE w:val="0"/>
        <w:autoSpaceDN w:val="0"/>
        <w:adjustRightInd w:val="0"/>
        <w:spacing w:after="0" w:line="240" w:lineRule="auto"/>
        <w:jc w:val="both"/>
        <w:rPr>
          <w:rFonts w:ascii="Times New Roman" w:hAnsi="Times New Roman" w:cs="Times New Roman"/>
          <w:color w:val="000000"/>
        </w:rPr>
      </w:pPr>
      <w:r w:rsidRPr="00813233">
        <w:rPr>
          <w:rFonts w:ascii="Times New Roman" w:hAnsi="Times New Roman" w:cs="Times New Roman"/>
          <w:color w:val="000000"/>
        </w:rPr>
        <w:t xml:space="preserve">Para los próximos años, la política fiscal de Guatemala buscará establecer una estructura institucional sólida que permita mayor predictibilidad, menor discrecionalidad, mayor transparencia, planificación y coordinación entre las instituciones, con el objeto de convertirse en un instrumento para aumentar el bienestar de la población a través de una mayor tasa de crecimiento económico. En este sentido, se emprenderán medidas encaminadas al aumento sostenido de la recaudación tributaria, principalmente en materia de combate a la evasión tributaria y el contrabando. </w:t>
      </w:r>
    </w:p>
    <w:p w14:paraId="2B256956" w14:textId="77777777" w:rsidR="00813233" w:rsidRPr="00813233" w:rsidRDefault="00813233" w:rsidP="00813233">
      <w:pPr>
        <w:autoSpaceDE w:val="0"/>
        <w:autoSpaceDN w:val="0"/>
        <w:adjustRightInd w:val="0"/>
        <w:spacing w:after="0" w:line="240" w:lineRule="auto"/>
        <w:jc w:val="both"/>
        <w:rPr>
          <w:rFonts w:ascii="Times New Roman" w:hAnsi="Times New Roman" w:cs="Times New Roman"/>
          <w:color w:val="000000"/>
        </w:rPr>
      </w:pPr>
    </w:p>
    <w:p w14:paraId="5546DA23" w14:textId="77777777" w:rsidR="00813233" w:rsidRPr="00813233" w:rsidRDefault="00813233" w:rsidP="00813233">
      <w:pPr>
        <w:autoSpaceDE w:val="0"/>
        <w:autoSpaceDN w:val="0"/>
        <w:adjustRightInd w:val="0"/>
        <w:spacing w:after="0" w:line="240" w:lineRule="auto"/>
        <w:jc w:val="both"/>
        <w:rPr>
          <w:rFonts w:ascii="Times New Roman" w:hAnsi="Times New Roman" w:cs="Times New Roman"/>
          <w:color w:val="000000"/>
        </w:rPr>
      </w:pPr>
      <w:r w:rsidRPr="00813233">
        <w:rPr>
          <w:rFonts w:ascii="Times New Roman" w:hAnsi="Times New Roman" w:cs="Times New Roman"/>
          <w:color w:val="000000"/>
        </w:rPr>
        <w:t xml:space="preserve">De la misma forma, se trabajará en mejorar la eficiencia y calidad del gasto público, para lo cual se avanzará en la formulación y ejecución de presupuestos basados en una gestión por resultados, que se enfocará en privilegiar el cumplimiento de los compromisos que como Estado se deben de solventar y aquellos que devienen del Plan Nacional de Desarrollo y la interacción de esta con los Objetivos de Desarrollo Sostenible. </w:t>
      </w:r>
    </w:p>
    <w:p w14:paraId="1A2B5F03" w14:textId="77777777" w:rsidR="00813233" w:rsidRPr="00813233" w:rsidRDefault="00813233" w:rsidP="00813233">
      <w:pPr>
        <w:autoSpaceDE w:val="0"/>
        <w:autoSpaceDN w:val="0"/>
        <w:adjustRightInd w:val="0"/>
        <w:spacing w:after="0" w:line="240" w:lineRule="auto"/>
        <w:jc w:val="both"/>
        <w:rPr>
          <w:rFonts w:ascii="Times New Roman" w:hAnsi="Times New Roman" w:cs="Times New Roman"/>
          <w:color w:val="000000"/>
        </w:rPr>
      </w:pPr>
    </w:p>
    <w:p w14:paraId="0CE8B7F5" w14:textId="77777777" w:rsidR="00813233" w:rsidRPr="00813233" w:rsidRDefault="00813233" w:rsidP="00813233">
      <w:pPr>
        <w:autoSpaceDE w:val="0"/>
        <w:autoSpaceDN w:val="0"/>
        <w:adjustRightInd w:val="0"/>
        <w:spacing w:after="0" w:line="240" w:lineRule="auto"/>
        <w:jc w:val="both"/>
        <w:rPr>
          <w:rFonts w:ascii="Times New Roman" w:hAnsi="Times New Roman" w:cs="Times New Roman"/>
          <w:color w:val="000000"/>
        </w:rPr>
      </w:pPr>
      <w:r w:rsidRPr="00813233">
        <w:rPr>
          <w:rFonts w:ascii="Times New Roman" w:hAnsi="Times New Roman" w:cs="Times New Roman"/>
          <w:color w:val="000000"/>
        </w:rPr>
        <w:t xml:space="preserve">En la misma lógica, se propiciará un crecimiento sostenido de la inversión pública, principalmente obras de infraestructura vial y productiva, los que serán financiados con recursos propios y externos, así como a través del desarrollo de proyectos en el marco de la ley de alianzas público-privadas (APP). </w:t>
      </w:r>
    </w:p>
    <w:p w14:paraId="56E5D884" w14:textId="77777777" w:rsidR="00813233" w:rsidRPr="00813233" w:rsidRDefault="00813233" w:rsidP="00813233">
      <w:pPr>
        <w:autoSpaceDE w:val="0"/>
        <w:autoSpaceDN w:val="0"/>
        <w:adjustRightInd w:val="0"/>
        <w:spacing w:after="0" w:line="240" w:lineRule="auto"/>
        <w:jc w:val="both"/>
        <w:rPr>
          <w:rFonts w:ascii="Times New Roman" w:hAnsi="Times New Roman" w:cs="Times New Roman"/>
          <w:color w:val="000000"/>
        </w:rPr>
      </w:pPr>
    </w:p>
    <w:p w14:paraId="4AB027BA" w14:textId="77777777" w:rsidR="00813233" w:rsidRPr="00813233" w:rsidRDefault="00813233" w:rsidP="00813233">
      <w:pPr>
        <w:autoSpaceDE w:val="0"/>
        <w:autoSpaceDN w:val="0"/>
        <w:adjustRightInd w:val="0"/>
        <w:spacing w:after="0" w:line="240" w:lineRule="auto"/>
        <w:jc w:val="both"/>
        <w:rPr>
          <w:rFonts w:ascii="Times New Roman" w:hAnsi="Times New Roman" w:cs="Times New Roman"/>
          <w:color w:val="000000"/>
        </w:rPr>
      </w:pPr>
      <w:r w:rsidRPr="00813233">
        <w:rPr>
          <w:rFonts w:ascii="Times New Roman" w:hAnsi="Times New Roman" w:cs="Times New Roman"/>
          <w:color w:val="000000"/>
        </w:rPr>
        <w:t xml:space="preserve">Todos los esfuerzos en materia de eficiencia en la gestión de ingresos y gastos estarán encaminados a avanzar en garantizar la sostenibilidad de la deuda pública en el mediano y largo plazo, de manera que la gestión de las finanzas públicas coadyuve a la consecución de la estabilidad macroeconómica y el desarrollo económico y social. </w:t>
      </w:r>
    </w:p>
    <w:p w14:paraId="62F0FA5D" w14:textId="77777777" w:rsidR="00813233" w:rsidRPr="00813233" w:rsidRDefault="00813233" w:rsidP="00813233">
      <w:pPr>
        <w:autoSpaceDE w:val="0"/>
        <w:autoSpaceDN w:val="0"/>
        <w:adjustRightInd w:val="0"/>
        <w:spacing w:after="0" w:line="240" w:lineRule="auto"/>
        <w:jc w:val="both"/>
        <w:rPr>
          <w:rFonts w:ascii="Times New Roman" w:hAnsi="Times New Roman" w:cs="Times New Roman"/>
          <w:color w:val="000000"/>
        </w:rPr>
      </w:pPr>
    </w:p>
    <w:p w14:paraId="51C19BEC" w14:textId="77777777" w:rsidR="00813233" w:rsidRPr="00813233" w:rsidRDefault="00813233" w:rsidP="00813233">
      <w:pPr>
        <w:spacing w:line="240" w:lineRule="auto"/>
        <w:jc w:val="both"/>
        <w:rPr>
          <w:rFonts w:ascii="Times New Roman" w:hAnsi="Times New Roman" w:cs="Times New Roman"/>
        </w:rPr>
      </w:pPr>
      <w:r w:rsidRPr="00813233">
        <w:rPr>
          <w:rFonts w:ascii="Times New Roman" w:hAnsi="Times New Roman" w:cs="Times New Roman"/>
        </w:rPr>
        <w:t>En este contexto, las principales metas de la política fiscal para el período 202</w:t>
      </w:r>
      <w:r w:rsidR="00362C56">
        <w:rPr>
          <w:rFonts w:ascii="Times New Roman" w:hAnsi="Times New Roman" w:cs="Times New Roman"/>
        </w:rPr>
        <w:t>2</w:t>
      </w:r>
      <w:r w:rsidRPr="00813233">
        <w:rPr>
          <w:rFonts w:ascii="Times New Roman" w:hAnsi="Times New Roman" w:cs="Times New Roman"/>
        </w:rPr>
        <w:t>-202</w:t>
      </w:r>
      <w:r w:rsidR="00362C56">
        <w:rPr>
          <w:rFonts w:ascii="Times New Roman" w:hAnsi="Times New Roman" w:cs="Times New Roman"/>
        </w:rPr>
        <w:t>6</w:t>
      </w:r>
      <w:r w:rsidRPr="00813233">
        <w:rPr>
          <w:rFonts w:ascii="Times New Roman" w:hAnsi="Times New Roman" w:cs="Times New Roman"/>
        </w:rPr>
        <w:t xml:space="preserve"> son las siguientes:</w:t>
      </w:r>
    </w:p>
    <w:p w14:paraId="0B879A48" w14:textId="45CD48A2" w:rsidR="00813233" w:rsidRPr="00CF34E8" w:rsidRDefault="00813233" w:rsidP="001032E7">
      <w:pPr>
        <w:numPr>
          <w:ilvl w:val="0"/>
          <w:numId w:val="21"/>
        </w:numPr>
        <w:pBdr>
          <w:top w:val="single" w:sz="12" w:space="1" w:color="4472C4" w:themeColor="accent5"/>
          <w:left w:val="single" w:sz="12" w:space="4" w:color="4472C4" w:themeColor="accent5"/>
          <w:bottom w:val="single" w:sz="12" w:space="1" w:color="4472C4" w:themeColor="accent5"/>
          <w:right w:val="single" w:sz="12" w:space="4" w:color="4472C4" w:themeColor="accent5"/>
        </w:pBdr>
        <w:autoSpaceDE w:val="0"/>
        <w:autoSpaceDN w:val="0"/>
        <w:adjustRightInd w:val="0"/>
        <w:spacing w:after="0" w:line="240" w:lineRule="auto"/>
        <w:jc w:val="both"/>
        <w:rPr>
          <w:rFonts w:ascii="Times New Roman" w:hAnsi="Times New Roman" w:cs="Times New Roman"/>
          <w:color w:val="000000"/>
          <w:szCs w:val="20"/>
        </w:rPr>
      </w:pPr>
      <w:r w:rsidRPr="00CF34E8">
        <w:rPr>
          <w:rFonts w:ascii="Times New Roman" w:hAnsi="Times New Roman" w:cs="Times New Roman"/>
          <w:iCs/>
          <w:color w:val="000000"/>
          <w:szCs w:val="20"/>
        </w:rPr>
        <w:t>Alcanzar una</w:t>
      </w:r>
      <w:r w:rsidR="00314D17">
        <w:rPr>
          <w:rFonts w:ascii="Times New Roman" w:hAnsi="Times New Roman" w:cs="Times New Roman"/>
          <w:iCs/>
          <w:color w:val="000000"/>
          <w:szCs w:val="20"/>
        </w:rPr>
        <w:t xml:space="preserve"> carga tributaria de al </w:t>
      </w:r>
      <w:r w:rsidR="00314D17" w:rsidRPr="00AB0BA0">
        <w:rPr>
          <w:rFonts w:ascii="Times New Roman" w:hAnsi="Times New Roman" w:cs="Times New Roman"/>
          <w:iCs/>
          <w:color w:val="000000"/>
          <w:szCs w:val="20"/>
        </w:rPr>
        <w:t xml:space="preserve">menos </w:t>
      </w:r>
      <w:r w:rsidR="009D7586">
        <w:rPr>
          <w:rFonts w:ascii="Times New Roman" w:hAnsi="Times New Roman" w:cs="Times New Roman"/>
          <w:iCs/>
          <w:color w:val="000000"/>
          <w:szCs w:val="20"/>
        </w:rPr>
        <w:t>11.0</w:t>
      </w:r>
      <w:r w:rsidRPr="00AB0BA0">
        <w:rPr>
          <w:rFonts w:ascii="Times New Roman" w:hAnsi="Times New Roman" w:cs="Times New Roman"/>
          <w:iCs/>
          <w:color w:val="000000"/>
          <w:szCs w:val="20"/>
        </w:rPr>
        <w:t>% para 202</w:t>
      </w:r>
      <w:r w:rsidR="00362C56" w:rsidRPr="00AB0BA0">
        <w:rPr>
          <w:rFonts w:ascii="Times New Roman" w:hAnsi="Times New Roman" w:cs="Times New Roman"/>
          <w:iCs/>
          <w:color w:val="000000"/>
          <w:szCs w:val="20"/>
        </w:rPr>
        <w:t>6</w:t>
      </w:r>
      <w:r w:rsidRPr="00AB0BA0">
        <w:rPr>
          <w:rFonts w:ascii="Times New Roman" w:hAnsi="Times New Roman" w:cs="Times New Roman"/>
          <w:iCs/>
          <w:color w:val="000000"/>
          <w:szCs w:val="20"/>
        </w:rPr>
        <w:t>,</w:t>
      </w:r>
      <w:r w:rsidRPr="00CF34E8">
        <w:rPr>
          <w:rFonts w:ascii="Times New Roman" w:hAnsi="Times New Roman" w:cs="Times New Roman"/>
          <w:iCs/>
          <w:color w:val="000000"/>
          <w:szCs w:val="20"/>
        </w:rPr>
        <w:t xml:space="preserve"> sin incluir una reforma tributaria que podría elevar aún más este indicador </w:t>
      </w:r>
    </w:p>
    <w:p w14:paraId="6C36850F" w14:textId="002EE52A" w:rsidR="00813233" w:rsidRPr="00CF34E8" w:rsidRDefault="00813233" w:rsidP="001032E7">
      <w:pPr>
        <w:numPr>
          <w:ilvl w:val="0"/>
          <w:numId w:val="21"/>
        </w:numPr>
        <w:pBdr>
          <w:top w:val="single" w:sz="12" w:space="1" w:color="4472C4" w:themeColor="accent5"/>
          <w:left w:val="single" w:sz="12" w:space="4" w:color="4472C4" w:themeColor="accent5"/>
          <w:bottom w:val="single" w:sz="12" w:space="1" w:color="4472C4" w:themeColor="accent5"/>
          <w:right w:val="single" w:sz="12" w:space="4" w:color="4472C4" w:themeColor="accent5"/>
        </w:pBdr>
        <w:autoSpaceDE w:val="0"/>
        <w:autoSpaceDN w:val="0"/>
        <w:adjustRightInd w:val="0"/>
        <w:spacing w:after="0" w:line="240" w:lineRule="auto"/>
        <w:jc w:val="both"/>
        <w:rPr>
          <w:rFonts w:ascii="Times New Roman" w:hAnsi="Times New Roman" w:cs="Times New Roman"/>
          <w:color w:val="000000"/>
          <w:szCs w:val="20"/>
        </w:rPr>
      </w:pPr>
      <w:r w:rsidRPr="00CF34E8">
        <w:rPr>
          <w:rFonts w:ascii="Times New Roman" w:hAnsi="Times New Roman" w:cs="Times New Roman"/>
          <w:iCs/>
          <w:color w:val="000000"/>
          <w:szCs w:val="20"/>
        </w:rPr>
        <w:t>Promover que el gasto total se sitúe en promedio en no menos del 13.</w:t>
      </w:r>
      <w:r w:rsidR="002B40A8">
        <w:rPr>
          <w:rFonts w:ascii="Times New Roman" w:hAnsi="Times New Roman" w:cs="Times New Roman"/>
          <w:iCs/>
          <w:color w:val="000000"/>
          <w:szCs w:val="20"/>
        </w:rPr>
        <w:t>8</w:t>
      </w:r>
      <w:r w:rsidRPr="00CF34E8">
        <w:rPr>
          <w:rFonts w:ascii="Times New Roman" w:hAnsi="Times New Roman" w:cs="Times New Roman"/>
          <w:iCs/>
          <w:color w:val="000000"/>
          <w:szCs w:val="20"/>
        </w:rPr>
        <w:t xml:space="preserve">% del PIB en el período indicado. </w:t>
      </w:r>
    </w:p>
    <w:p w14:paraId="029B868A" w14:textId="77777777" w:rsidR="00813233" w:rsidRPr="00CF34E8" w:rsidRDefault="00813233" w:rsidP="001032E7">
      <w:pPr>
        <w:numPr>
          <w:ilvl w:val="0"/>
          <w:numId w:val="21"/>
        </w:numPr>
        <w:pBdr>
          <w:top w:val="single" w:sz="12" w:space="1" w:color="4472C4" w:themeColor="accent5"/>
          <w:left w:val="single" w:sz="12" w:space="4" w:color="4472C4" w:themeColor="accent5"/>
          <w:bottom w:val="single" w:sz="12" w:space="1" w:color="4472C4" w:themeColor="accent5"/>
          <w:right w:val="single" w:sz="12" w:space="4" w:color="4472C4" w:themeColor="accent5"/>
        </w:pBdr>
        <w:autoSpaceDE w:val="0"/>
        <w:autoSpaceDN w:val="0"/>
        <w:adjustRightInd w:val="0"/>
        <w:spacing w:after="0" w:line="240" w:lineRule="auto"/>
        <w:jc w:val="both"/>
        <w:rPr>
          <w:rFonts w:ascii="Times New Roman" w:hAnsi="Times New Roman" w:cs="Times New Roman"/>
          <w:color w:val="000000"/>
          <w:szCs w:val="20"/>
        </w:rPr>
      </w:pPr>
      <w:r w:rsidRPr="00CF34E8">
        <w:rPr>
          <w:rFonts w:ascii="Times New Roman" w:hAnsi="Times New Roman" w:cs="Times New Roman"/>
          <w:iCs/>
          <w:color w:val="000000"/>
          <w:szCs w:val="20"/>
        </w:rPr>
        <w:t xml:space="preserve">Asegurar que el gasto social (educación, salud y vivienda) sea igual o mayor al 5% del PIB. </w:t>
      </w:r>
    </w:p>
    <w:p w14:paraId="238519CD" w14:textId="35E6B737" w:rsidR="00813233" w:rsidRPr="00CF34E8" w:rsidRDefault="00813233" w:rsidP="001032E7">
      <w:pPr>
        <w:numPr>
          <w:ilvl w:val="0"/>
          <w:numId w:val="21"/>
        </w:numPr>
        <w:pBdr>
          <w:top w:val="single" w:sz="12" w:space="1" w:color="4472C4" w:themeColor="accent5"/>
          <w:left w:val="single" w:sz="12" w:space="4" w:color="4472C4" w:themeColor="accent5"/>
          <w:bottom w:val="single" w:sz="12" w:space="1" w:color="4472C4" w:themeColor="accent5"/>
          <w:right w:val="single" w:sz="12" w:space="4" w:color="4472C4" w:themeColor="accent5"/>
        </w:pBdr>
        <w:autoSpaceDE w:val="0"/>
        <w:autoSpaceDN w:val="0"/>
        <w:adjustRightInd w:val="0"/>
        <w:spacing w:after="0" w:line="240" w:lineRule="auto"/>
        <w:jc w:val="both"/>
        <w:rPr>
          <w:rFonts w:ascii="Times New Roman" w:hAnsi="Times New Roman" w:cs="Times New Roman"/>
          <w:color w:val="000000"/>
          <w:szCs w:val="20"/>
        </w:rPr>
      </w:pPr>
      <w:r w:rsidRPr="00CF34E8">
        <w:rPr>
          <w:rFonts w:ascii="Times New Roman" w:hAnsi="Times New Roman" w:cs="Times New Roman"/>
          <w:iCs/>
          <w:color w:val="000000"/>
          <w:szCs w:val="20"/>
        </w:rPr>
        <w:t>Alcanzar un nivel de gasto de capital promedio no menor al 2.</w:t>
      </w:r>
      <w:r w:rsidR="002B40A8">
        <w:rPr>
          <w:rFonts w:ascii="Times New Roman" w:hAnsi="Times New Roman" w:cs="Times New Roman"/>
          <w:iCs/>
          <w:color w:val="000000"/>
          <w:szCs w:val="20"/>
        </w:rPr>
        <w:t>4</w:t>
      </w:r>
      <w:r w:rsidRPr="00CF34E8">
        <w:rPr>
          <w:rFonts w:ascii="Times New Roman" w:hAnsi="Times New Roman" w:cs="Times New Roman"/>
          <w:iCs/>
          <w:color w:val="000000"/>
          <w:szCs w:val="20"/>
        </w:rPr>
        <w:t xml:space="preserve">% del PIB. </w:t>
      </w:r>
    </w:p>
    <w:p w14:paraId="443B93C2" w14:textId="59D2E61F" w:rsidR="00813233" w:rsidRPr="00CF34E8" w:rsidRDefault="00813233" w:rsidP="001032E7">
      <w:pPr>
        <w:numPr>
          <w:ilvl w:val="0"/>
          <w:numId w:val="21"/>
        </w:numPr>
        <w:pBdr>
          <w:top w:val="single" w:sz="12" w:space="1" w:color="4472C4" w:themeColor="accent5"/>
          <w:left w:val="single" w:sz="12" w:space="4" w:color="4472C4" w:themeColor="accent5"/>
          <w:bottom w:val="single" w:sz="12" w:space="1" w:color="4472C4" w:themeColor="accent5"/>
          <w:right w:val="single" w:sz="12" w:space="4" w:color="4472C4" w:themeColor="accent5"/>
        </w:pBdr>
        <w:autoSpaceDE w:val="0"/>
        <w:autoSpaceDN w:val="0"/>
        <w:adjustRightInd w:val="0"/>
        <w:spacing w:after="0" w:line="240" w:lineRule="auto"/>
        <w:jc w:val="both"/>
        <w:rPr>
          <w:rFonts w:ascii="Times New Roman" w:hAnsi="Times New Roman" w:cs="Times New Roman"/>
          <w:color w:val="000000"/>
          <w:szCs w:val="20"/>
        </w:rPr>
      </w:pPr>
      <w:r w:rsidRPr="00CF34E8">
        <w:rPr>
          <w:rFonts w:ascii="Times New Roman" w:hAnsi="Times New Roman" w:cs="Times New Roman"/>
          <w:iCs/>
          <w:color w:val="000000"/>
          <w:szCs w:val="20"/>
        </w:rPr>
        <w:t>Lograr que el déficit fiscal en promedio se ubique en 2.</w:t>
      </w:r>
      <w:r w:rsidR="002B40A8">
        <w:rPr>
          <w:rFonts w:ascii="Times New Roman" w:hAnsi="Times New Roman" w:cs="Times New Roman"/>
          <w:iCs/>
          <w:color w:val="000000"/>
          <w:szCs w:val="20"/>
        </w:rPr>
        <w:t>2</w:t>
      </w:r>
      <w:r w:rsidRPr="00CF34E8">
        <w:rPr>
          <w:rFonts w:ascii="Times New Roman" w:hAnsi="Times New Roman" w:cs="Times New Roman"/>
          <w:iCs/>
          <w:color w:val="000000"/>
          <w:szCs w:val="20"/>
        </w:rPr>
        <w:t>% del PIB, aunque debe mostrar una tendencia decreciente.</w:t>
      </w:r>
    </w:p>
    <w:p w14:paraId="3CA0527E" w14:textId="77777777" w:rsidR="00813233" w:rsidRPr="00CF34E8" w:rsidRDefault="00813233" w:rsidP="001032E7">
      <w:pPr>
        <w:numPr>
          <w:ilvl w:val="0"/>
          <w:numId w:val="21"/>
        </w:numPr>
        <w:pBdr>
          <w:top w:val="single" w:sz="12" w:space="1" w:color="4472C4" w:themeColor="accent5"/>
          <w:left w:val="single" w:sz="12" w:space="4" w:color="4472C4" w:themeColor="accent5"/>
          <w:bottom w:val="single" w:sz="12" w:space="1" w:color="4472C4" w:themeColor="accent5"/>
          <w:right w:val="single" w:sz="12" w:space="4" w:color="4472C4" w:themeColor="accent5"/>
        </w:pBdr>
        <w:autoSpaceDE w:val="0"/>
        <w:autoSpaceDN w:val="0"/>
        <w:adjustRightInd w:val="0"/>
        <w:spacing w:after="0" w:line="240" w:lineRule="auto"/>
        <w:jc w:val="both"/>
        <w:rPr>
          <w:rFonts w:ascii="Times New Roman" w:hAnsi="Times New Roman" w:cs="Times New Roman"/>
          <w:color w:val="000000"/>
          <w:szCs w:val="20"/>
        </w:rPr>
      </w:pPr>
      <w:r w:rsidRPr="00CF34E8">
        <w:rPr>
          <w:rFonts w:ascii="Times New Roman" w:hAnsi="Times New Roman" w:cs="Times New Roman"/>
          <w:iCs/>
          <w:color w:val="000000"/>
          <w:szCs w:val="20"/>
        </w:rPr>
        <w:t xml:space="preserve">Lograr un nivel de deuda pública no mayor al 40% del PIB. </w:t>
      </w:r>
    </w:p>
    <w:p w14:paraId="6D897D85" w14:textId="77777777" w:rsidR="00813233" w:rsidRPr="00CF34E8" w:rsidRDefault="00813233" w:rsidP="001032E7">
      <w:pPr>
        <w:numPr>
          <w:ilvl w:val="0"/>
          <w:numId w:val="21"/>
        </w:numPr>
        <w:pBdr>
          <w:top w:val="single" w:sz="12" w:space="1" w:color="4472C4" w:themeColor="accent5"/>
          <w:left w:val="single" w:sz="12" w:space="4" w:color="4472C4" w:themeColor="accent5"/>
          <w:bottom w:val="single" w:sz="12" w:space="1" w:color="4472C4" w:themeColor="accent5"/>
          <w:right w:val="single" w:sz="12" w:space="4" w:color="4472C4" w:themeColor="accent5"/>
        </w:pBdr>
        <w:autoSpaceDE w:val="0"/>
        <w:autoSpaceDN w:val="0"/>
        <w:adjustRightInd w:val="0"/>
        <w:spacing w:after="0" w:line="240" w:lineRule="auto"/>
        <w:jc w:val="both"/>
        <w:rPr>
          <w:rFonts w:ascii="Times New Roman" w:hAnsi="Times New Roman" w:cs="Times New Roman"/>
          <w:color w:val="000000"/>
          <w:szCs w:val="20"/>
        </w:rPr>
      </w:pPr>
      <w:r w:rsidRPr="00CF34E8">
        <w:rPr>
          <w:rFonts w:ascii="Times New Roman" w:hAnsi="Times New Roman" w:cs="Times New Roman"/>
          <w:iCs/>
          <w:color w:val="000000"/>
          <w:szCs w:val="20"/>
        </w:rPr>
        <w:t>Honrar con prioridad los compromisos de pago asociados a la deuda pública.</w:t>
      </w:r>
    </w:p>
    <w:p w14:paraId="4EA137AC" w14:textId="77777777" w:rsidR="00813233" w:rsidRPr="00813233" w:rsidRDefault="00813233" w:rsidP="00813233">
      <w:pPr>
        <w:widowControl w:val="0"/>
        <w:spacing w:after="0" w:line="240" w:lineRule="auto"/>
        <w:ind w:left="20" w:right="20"/>
        <w:jc w:val="both"/>
        <w:rPr>
          <w:rFonts w:ascii="Times New Roman" w:hAnsi="Times New Roman" w:cs="Times New Roman"/>
          <w:color w:val="000000"/>
          <w:spacing w:val="5"/>
          <w:sz w:val="21"/>
          <w:szCs w:val="21"/>
          <w:shd w:val="clear" w:color="auto" w:fill="FFFFFF"/>
          <w:lang w:eastAsia="es-ES_tradnl"/>
        </w:rPr>
      </w:pPr>
    </w:p>
    <w:p w14:paraId="19E1B21B" w14:textId="77777777" w:rsidR="00813233" w:rsidRPr="00813233" w:rsidRDefault="00813233" w:rsidP="001032E7">
      <w:pPr>
        <w:pStyle w:val="Sinespaciado"/>
        <w:numPr>
          <w:ilvl w:val="1"/>
          <w:numId w:val="38"/>
        </w:numPr>
        <w:outlineLvl w:val="1"/>
        <w:rPr>
          <w:rFonts w:ascii="Times New Roman" w:eastAsiaTheme="majorEastAsia" w:hAnsi="Times New Roman" w:cs="Times New Roman"/>
          <w:b/>
          <w:sz w:val="24"/>
          <w:szCs w:val="24"/>
        </w:rPr>
      </w:pPr>
      <w:bookmarkStart w:id="1735" w:name="_Toc16155047"/>
      <w:bookmarkStart w:id="1736" w:name="_Toc49939481"/>
      <w:bookmarkStart w:id="1737" w:name="_Toc81571921"/>
      <w:r w:rsidRPr="00F12665">
        <w:rPr>
          <w:rFonts w:ascii="Times New Roman" w:hAnsi="Times New Roman" w:cs="Times New Roman"/>
          <w:b/>
          <w:sz w:val="24"/>
        </w:rPr>
        <w:t>Proyecciones fiscales de mediano plazo</w:t>
      </w:r>
      <w:bookmarkEnd w:id="1735"/>
      <w:bookmarkEnd w:id="1736"/>
      <w:bookmarkEnd w:id="1737"/>
    </w:p>
    <w:p w14:paraId="027A6983" w14:textId="77777777" w:rsidR="00813233" w:rsidRPr="00813233" w:rsidRDefault="00813233" w:rsidP="00813233">
      <w:pPr>
        <w:spacing w:after="0" w:line="240" w:lineRule="auto"/>
        <w:rPr>
          <w:rFonts w:ascii="Times New Roman" w:hAnsi="Times New Roman" w:cs="Times New Roman"/>
        </w:rPr>
      </w:pPr>
    </w:p>
    <w:p w14:paraId="2D2E86CE" w14:textId="61DCEDA9" w:rsidR="00F836BD" w:rsidRPr="00813233" w:rsidRDefault="00F836BD" w:rsidP="00F836BD">
      <w:pPr>
        <w:spacing w:after="0" w:line="240" w:lineRule="auto"/>
        <w:jc w:val="both"/>
        <w:rPr>
          <w:rFonts w:ascii="Times New Roman" w:hAnsi="Times New Roman" w:cs="Times New Roman"/>
          <w:bCs/>
          <w:lang w:val="es-ES"/>
        </w:rPr>
      </w:pPr>
      <w:r w:rsidRPr="00813233">
        <w:rPr>
          <w:rFonts w:ascii="Times New Roman" w:hAnsi="Times New Roman" w:cs="Times New Roman"/>
          <w:bCs/>
          <w:lang w:val="es-ES"/>
        </w:rPr>
        <w:t xml:space="preserve">El escenario fiscal de mediano plazo descansa en las perspectivas de la actividad económica previstas en el marco macroeconómico de mediano plazo y que es congruente con un escenario conservador de las principales variables, sustentadas en las estimaciones elaboradas por el Banco de Guatemala </w:t>
      </w:r>
      <w:r w:rsidRPr="00E03FCB">
        <w:rPr>
          <w:rFonts w:ascii="Times New Roman" w:hAnsi="Times New Roman" w:cs="Times New Roman"/>
          <w:bCs/>
          <w:lang w:val="es-ES"/>
        </w:rPr>
        <w:t>en el escenario bajo</w:t>
      </w:r>
      <w:r>
        <w:rPr>
          <w:rFonts w:ascii="Times New Roman" w:hAnsi="Times New Roman" w:cs="Times New Roman"/>
          <w:bCs/>
          <w:lang w:val="es-ES"/>
        </w:rPr>
        <w:t xml:space="preserve"> para los años 2021-202</w:t>
      </w:r>
      <w:r w:rsidR="00F95778">
        <w:rPr>
          <w:rFonts w:ascii="Times New Roman" w:hAnsi="Times New Roman" w:cs="Times New Roman"/>
          <w:bCs/>
          <w:lang w:val="es-ES"/>
        </w:rPr>
        <w:t>6</w:t>
      </w:r>
      <w:r>
        <w:rPr>
          <w:rFonts w:ascii="Times New Roman" w:hAnsi="Times New Roman" w:cs="Times New Roman"/>
          <w:bCs/>
          <w:lang w:val="es-ES"/>
        </w:rPr>
        <w:t xml:space="preserve">. </w:t>
      </w:r>
      <w:r w:rsidRPr="00E03FCB">
        <w:rPr>
          <w:rFonts w:ascii="Times New Roman" w:hAnsi="Times New Roman" w:cs="Times New Roman"/>
          <w:bCs/>
          <w:lang w:val="es-ES"/>
        </w:rPr>
        <w:t xml:space="preserve">  Asimismo</w:t>
      </w:r>
      <w:r w:rsidRPr="00813233">
        <w:rPr>
          <w:rFonts w:ascii="Times New Roman" w:hAnsi="Times New Roman" w:cs="Times New Roman"/>
          <w:bCs/>
          <w:lang w:val="es-ES"/>
        </w:rPr>
        <w:t xml:space="preserve">, es consistente con las perspectivas de desembolsos de préstamos externos que el gobierno puede obtener con las operaciones que actualmente están </w:t>
      </w:r>
      <w:r>
        <w:rPr>
          <w:rFonts w:ascii="Times New Roman" w:hAnsi="Times New Roman" w:cs="Times New Roman"/>
          <w:bCs/>
          <w:lang w:val="es-ES"/>
        </w:rPr>
        <w:t xml:space="preserve">en </w:t>
      </w:r>
      <w:r w:rsidRPr="00813233">
        <w:rPr>
          <w:rFonts w:ascii="Times New Roman" w:hAnsi="Times New Roman" w:cs="Times New Roman"/>
          <w:bCs/>
          <w:lang w:val="es-ES"/>
        </w:rPr>
        <w:t xml:space="preserve">ejecución y los que llevan gestión avanzada, así como por las obligaciones que el Estado debe atender de manera recurrente y por la inversión adicional que se pueda realizar tomando como referencia la disponibilidad de recursos y la priorización del Plan Nacional de Desarrollo enlazado con los objetivos de desarrollo sostenible.   </w:t>
      </w:r>
    </w:p>
    <w:p w14:paraId="6CF659DD" w14:textId="77777777" w:rsidR="00813233" w:rsidRPr="00813233" w:rsidRDefault="00813233" w:rsidP="001032E7">
      <w:pPr>
        <w:numPr>
          <w:ilvl w:val="0"/>
          <w:numId w:val="22"/>
        </w:numPr>
        <w:spacing w:after="0"/>
        <w:contextualSpacing/>
        <w:rPr>
          <w:rFonts w:ascii="Times New Roman" w:hAnsi="Times New Roman" w:cs="Times New Roman"/>
          <w:b/>
          <w:bCs/>
          <w:vanish/>
          <w:sz w:val="24"/>
          <w:lang w:val="es-ES"/>
        </w:rPr>
      </w:pPr>
    </w:p>
    <w:p w14:paraId="41E259A3" w14:textId="77777777" w:rsidR="00813233" w:rsidRPr="00813233" w:rsidRDefault="00813233" w:rsidP="001032E7">
      <w:pPr>
        <w:numPr>
          <w:ilvl w:val="0"/>
          <w:numId w:val="22"/>
        </w:numPr>
        <w:spacing w:after="0"/>
        <w:contextualSpacing/>
        <w:rPr>
          <w:rFonts w:ascii="Times New Roman" w:hAnsi="Times New Roman" w:cs="Times New Roman"/>
          <w:b/>
          <w:bCs/>
          <w:vanish/>
          <w:sz w:val="24"/>
          <w:lang w:val="es-ES"/>
        </w:rPr>
      </w:pPr>
    </w:p>
    <w:p w14:paraId="2395A0DA" w14:textId="77777777" w:rsidR="00813233" w:rsidRPr="00813233" w:rsidRDefault="00813233" w:rsidP="001032E7">
      <w:pPr>
        <w:numPr>
          <w:ilvl w:val="1"/>
          <w:numId w:val="22"/>
        </w:numPr>
        <w:spacing w:after="0"/>
        <w:contextualSpacing/>
        <w:rPr>
          <w:rFonts w:ascii="Times New Roman" w:hAnsi="Times New Roman" w:cs="Times New Roman"/>
          <w:b/>
          <w:bCs/>
          <w:vanish/>
          <w:sz w:val="24"/>
          <w:lang w:val="es-ES"/>
        </w:rPr>
      </w:pPr>
    </w:p>
    <w:p w14:paraId="3E488E7B" w14:textId="77777777" w:rsidR="00813233" w:rsidRPr="00813233" w:rsidRDefault="00813233" w:rsidP="001032E7">
      <w:pPr>
        <w:numPr>
          <w:ilvl w:val="1"/>
          <w:numId w:val="22"/>
        </w:numPr>
        <w:spacing w:after="0"/>
        <w:contextualSpacing/>
        <w:rPr>
          <w:rFonts w:ascii="Times New Roman" w:hAnsi="Times New Roman" w:cs="Times New Roman"/>
          <w:b/>
          <w:bCs/>
          <w:vanish/>
          <w:sz w:val="24"/>
          <w:lang w:val="es-ES"/>
        </w:rPr>
      </w:pPr>
    </w:p>
    <w:p w14:paraId="008EE2DF" w14:textId="77777777" w:rsidR="00813233" w:rsidRPr="00813233" w:rsidRDefault="00813233" w:rsidP="001032E7">
      <w:pPr>
        <w:numPr>
          <w:ilvl w:val="1"/>
          <w:numId w:val="22"/>
        </w:numPr>
        <w:spacing w:after="0"/>
        <w:contextualSpacing/>
        <w:rPr>
          <w:rFonts w:ascii="Times New Roman" w:hAnsi="Times New Roman" w:cs="Times New Roman"/>
          <w:b/>
          <w:bCs/>
          <w:vanish/>
          <w:sz w:val="24"/>
          <w:lang w:val="es-ES"/>
        </w:rPr>
      </w:pPr>
    </w:p>
    <w:p w14:paraId="04A244DB" w14:textId="77777777" w:rsidR="00813233" w:rsidRPr="00813233" w:rsidRDefault="00813233" w:rsidP="001032E7">
      <w:pPr>
        <w:numPr>
          <w:ilvl w:val="1"/>
          <w:numId w:val="22"/>
        </w:numPr>
        <w:spacing w:after="0"/>
        <w:contextualSpacing/>
        <w:rPr>
          <w:rFonts w:ascii="Times New Roman" w:hAnsi="Times New Roman" w:cs="Times New Roman"/>
          <w:b/>
          <w:bCs/>
          <w:vanish/>
          <w:sz w:val="24"/>
          <w:lang w:val="es-ES"/>
        </w:rPr>
      </w:pPr>
    </w:p>
    <w:p w14:paraId="60382FBE" w14:textId="77777777" w:rsidR="00813233" w:rsidRPr="00813233" w:rsidRDefault="00813233" w:rsidP="001032E7">
      <w:pPr>
        <w:numPr>
          <w:ilvl w:val="2"/>
          <w:numId w:val="22"/>
        </w:numPr>
        <w:spacing w:after="0"/>
        <w:contextualSpacing/>
        <w:rPr>
          <w:rFonts w:ascii="Times New Roman" w:hAnsi="Times New Roman" w:cs="Times New Roman"/>
          <w:b/>
          <w:bCs/>
          <w:vanish/>
          <w:sz w:val="24"/>
          <w:lang w:val="es-ES"/>
        </w:rPr>
      </w:pPr>
    </w:p>
    <w:p w14:paraId="668C7B79" w14:textId="77777777" w:rsidR="00813233" w:rsidRPr="00813233" w:rsidRDefault="00813233" w:rsidP="001032E7">
      <w:pPr>
        <w:numPr>
          <w:ilvl w:val="2"/>
          <w:numId w:val="22"/>
        </w:numPr>
        <w:spacing w:after="0"/>
        <w:contextualSpacing/>
        <w:rPr>
          <w:rFonts w:ascii="Times New Roman" w:hAnsi="Times New Roman" w:cs="Times New Roman"/>
          <w:b/>
          <w:bCs/>
          <w:vanish/>
          <w:sz w:val="24"/>
          <w:lang w:val="es-ES"/>
        </w:rPr>
      </w:pPr>
    </w:p>
    <w:p w14:paraId="3669BDAE" w14:textId="77777777" w:rsidR="00813233" w:rsidRPr="00813233" w:rsidRDefault="00813233" w:rsidP="001032E7">
      <w:pPr>
        <w:numPr>
          <w:ilvl w:val="2"/>
          <w:numId w:val="22"/>
        </w:numPr>
        <w:spacing w:after="0"/>
        <w:contextualSpacing/>
        <w:rPr>
          <w:rFonts w:ascii="Times New Roman" w:hAnsi="Times New Roman" w:cs="Times New Roman"/>
          <w:b/>
          <w:bCs/>
          <w:vanish/>
          <w:sz w:val="24"/>
          <w:lang w:val="es-ES"/>
        </w:rPr>
      </w:pPr>
    </w:p>
    <w:p w14:paraId="119E8532" w14:textId="77777777" w:rsidR="00813233" w:rsidRPr="00813233" w:rsidRDefault="00813233" w:rsidP="001032E7">
      <w:pPr>
        <w:numPr>
          <w:ilvl w:val="2"/>
          <w:numId w:val="22"/>
        </w:numPr>
        <w:spacing w:after="0"/>
        <w:contextualSpacing/>
        <w:rPr>
          <w:rFonts w:ascii="Times New Roman" w:hAnsi="Times New Roman" w:cs="Times New Roman"/>
          <w:b/>
          <w:bCs/>
          <w:vanish/>
          <w:sz w:val="24"/>
          <w:lang w:val="es-ES"/>
        </w:rPr>
      </w:pPr>
    </w:p>
    <w:p w14:paraId="09687F7F" w14:textId="77777777" w:rsidR="00E73CEA" w:rsidRPr="00FF5433" w:rsidRDefault="00E73CEA" w:rsidP="00813233">
      <w:pPr>
        <w:spacing w:after="0"/>
        <w:ind w:left="1080"/>
        <w:rPr>
          <w:rFonts w:ascii="Times New Roman" w:hAnsi="Times New Roman" w:cs="Times New Roman"/>
          <w:b/>
          <w:bCs/>
          <w:lang w:val="es-ES"/>
        </w:rPr>
      </w:pPr>
    </w:p>
    <w:p w14:paraId="08EFE4AF" w14:textId="77777777" w:rsidR="0067682D" w:rsidRPr="00F12665" w:rsidRDefault="0067682D" w:rsidP="001032E7">
      <w:pPr>
        <w:pStyle w:val="Sinespaciado"/>
        <w:numPr>
          <w:ilvl w:val="2"/>
          <w:numId w:val="38"/>
        </w:numPr>
        <w:outlineLvl w:val="2"/>
        <w:rPr>
          <w:rFonts w:ascii="Times New Roman" w:hAnsi="Times New Roman" w:cs="Times New Roman"/>
          <w:b/>
          <w:sz w:val="24"/>
        </w:rPr>
      </w:pPr>
      <w:bookmarkStart w:id="1738" w:name="_Toc81571922"/>
      <w:r w:rsidRPr="00F12665">
        <w:rPr>
          <w:rFonts w:ascii="Times New Roman" w:hAnsi="Times New Roman" w:cs="Times New Roman"/>
          <w:b/>
          <w:sz w:val="24"/>
        </w:rPr>
        <w:t>Estimación de ingresos fiscales</w:t>
      </w:r>
      <w:bookmarkEnd w:id="1738"/>
    </w:p>
    <w:p w14:paraId="7624D43B" w14:textId="77777777" w:rsidR="0067682D" w:rsidRPr="004133EB" w:rsidRDefault="0067682D" w:rsidP="0067682D">
      <w:pPr>
        <w:pStyle w:val="Prrafodelista"/>
        <w:spacing w:after="0" w:line="240" w:lineRule="auto"/>
        <w:ind w:left="1728"/>
        <w:rPr>
          <w:rFonts w:ascii="Times New Roman" w:hAnsi="Times New Roman" w:cs="Times New Roman"/>
          <w:b/>
          <w:bCs/>
          <w:sz w:val="24"/>
          <w:lang w:val="es-ES"/>
        </w:rPr>
      </w:pPr>
    </w:p>
    <w:p w14:paraId="7DEEC049" w14:textId="77777777" w:rsidR="0067682D" w:rsidRPr="00CB119B" w:rsidRDefault="0067682D" w:rsidP="0067682D">
      <w:pPr>
        <w:pStyle w:val="Epgrafe"/>
        <w:keepNext/>
        <w:spacing w:after="0"/>
        <w:jc w:val="both"/>
        <w:rPr>
          <w:rFonts w:ascii="Times New Roman" w:hAnsi="Times New Roman" w:cs="Times New Roman"/>
          <w:bCs/>
          <w:i w:val="0"/>
          <w:iCs w:val="0"/>
          <w:color w:val="auto"/>
          <w:sz w:val="22"/>
          <w:szCs w:val="22"/>
          <w:lang w:val="es-ES"/>
        </w:rPr>
      </w:pPr>
      <w:bookmarkStart w:id="1739" w:name="_Toc16158425"/>
      <w:r w:rsidRPr="00D52284">
        <w:rPr>
          <w:rFonts w:ascii="Times New Roman" w:hAnsi="Times New Roman" w:cs="Times New Roman"/>
          <w:bCs/>
          <w:i w:val="0"/>
          <w:iCs w:val="0"/>
          <w:color w:val="auto"/>
          <w:sz w:val="22"/>
          <w:szCs w:val="22"/>
          <w:lang w:val="es-ES"/>
        </w:rPr>
        <w:t>Las estimaciones de ingresos fiscales se realizan sobre la base de información proporcionada por la Superintendencia de Administración Tributaria en el caso de la recaudación de impuestos y lo que las entidades estiman percibir por concepto de operaciones no tributarias como la venta de bienes y servicios, el cobro tasas, derechos, arrendamientos, intereses por algunas operaciones, dividendos que generan algunas empresas públicas o por participaciones de capital del Estado, así como por las donaciones que se esperan recibir de organismos internacionales, además incluye las contribuciones a la seguridad social</w:t>
      </w:r>
      <w:r w:rsidRPr="00CB119B">
        <w:rPr>
          <w:rFonts w:ascii="Times New Roman" w:hAnsi="Times New Roman" w:cs="Times New Roman"/>
          <w:bCs/>
          <w:i w:val="0"/>
          <w:iCs w:val="0"/>
          <w:color w:val="auto"/>
          <w:sz w:val="22"/>
          <w:szCs w:val="22"/>
          <w:lang w:val="es-ES"/>
        </w:rPr>
        <w:t xml:space="preserve"> que pagan los trabajadores del Estado al Régimen de Clases Pasivas.</w:t>
      </w:r>
    </w:p>
    <w:p w14:paraId="4B539D3D" w14:textId="77777777" w:rsidR="0067682D" w:rsidRPr="00CB119B" w:rsidRDefault="0067682D" w:rsidP="0067682D">
      <w:pPr>
        <w:pStyle w:val="Epgrafe"/>
        <w:keepNext/>
        <w:spacing w:after="0"/>
        <w:jc w:val="both"/>
        <w:rPr>
          <w:rFonts w:ascii="Times New Roman" w:hAnsi="Times New Roman" w:cs="Times New Roman"/>
          <w:bCs/>
          <w:i w:val="0"/>
          <w:iCs w:val="0"/>
          <w:color w:val="auto"/>
          <w:sz w:val="22"/>
          <w:szCs w:val="22"/>
          <w:lang w:val="es-ES"/>
        </w:rPr>
      </w:pPr>
    </w:p>
    <w:p w14:paraId="61C41C94" w14:textId="4B0DC2AE" w:rsidR="0067682D" w:rsidRPr="00CB119B" w:rsidRDefault="0067682D" w:rsidP="0067682D">
      <w:pPr>
        <w:pStyle w:val="Epgrafe"/>
        <w:keepNext/>
        <w:spacing w:after="0"/>
        <w:jc w:val="both"/>
        <w:rPr>
          <w:rFonts w:ascii="Times New Roman" w:hAnsi="Times New Roman" w:cs="Times New Roman"/>
          <w:bCs/>
          <w:i w:val="0"/>
          <w:iCs w:val="0"/>
          <w:color w:val="auto"/>
          <w:sz w:val="22"/>
          <w:szCs w:val="22"/>
          <w:lang w:val="es-ES"/>
        </w:rPr>
      </w:pPr>
      <w:r w:rsidRPr="00CB119B">
        <w:rPr>
          <w:rFonts w:ascii="Times New Roman" w:hAnsi="Times New Roman" w:cs="Times New Roman"/>
          <w:bCs/>
          <w:i w:val="0"/>
          <w:iCs w:val="0"/>
          <w:color w:val="auto"/>
          <w:sz w:val="22"/>
          <w:szCs w:val="22"/>
          <w:lang w:val="es-ES"/>
        </w:rPr>
        <w:t xml:space="preserve">Es importante considerar que, generalmente más del </w:t>
      </w:r>
      <w:r w:rsidR="009C24EA">
        <w:rPr>
          <w:rFonts w:ascii="Times New Roman" w:hAnsi="Times New Roman" w:cs="Times New Roman"/>
          <w:bCs/>
          <w:i w:val="0"/>
          <w:iCs w:val="0"/>
          <w:color w:val="auto"/>
          <w:sz w:val="22"/>
          <w:szCs w:val="22"/>
          <w:lang w:val="es-ES"/>
        </w:rPr>
        <w:t>93.4</w:t>
      </w:r>
      <w:r w:rsidRPr="00CB119B">
        <w:rPr>
          <w:rFonts w:ascii="Times New Roman" w:hAnsi="Times New Roman" w:cs="Times New Roman"/>
          <w:bCs/>
          <w:i w:val="0"/>
          <w:iCs w:val="0"/>
          <w:color w:val="auto"/>
          <w:sz w:val="22"/>
          <w:szCs w:val="22"/>
          <w:lang w:val="es-ES"/>
        </w:rPr>
        <w:t>% de los ingresos fiscales provienen de la recaudación tributaria y dentro de los ingresos fiscales no se incluye los recursos por endeudamiento público, así como el uso de depósitos del gobierno en el Banco de Guatemala.</w:t>
      </w:r>
    </w:p>
    <w:p w14:paraId="3B89376D" w14:textId="77777777" w:rsidR="0067682D" w:rsidRPr="00CB119B" w:rsidRDefault="0067682D" w:rsidP="0067682D">
      <w:pPr>
        <w:pStyle w:val="Epgrafe"/>
        <w:keepNext/>
        <w:spacing w:after="0"/>
        <w:jc w:val="both"/>
        <w:rPr>
          <w:rFonts w:ascii="Times New Roman" w:hAnsi="Times New Roman" w:cs="Times New Roman"/>
          <w:bCs/>
          <w:i w:val="0"/>
          <w:iCs w:val="0"/>
          <w:color w:val="auto"/>
          <w:sz w:val="22"/>
          <w:szCs w:val="22"/>
          <w:lang w:val="es-ES"/>
        </w:rPr>
      </w:pPr>
    </w:p>
    <w:p w14:paraId="1A202C63" w14:textId="51839BB0" w:rsidR="0067682D" w:rsidRPr="002D4C9F" w:rsidRDefault="0067682D" w:rsidP="0067682D">
      <w:pPr>
        <w:pStyle w:val="Epgrafe"/>
        <w:keepNext/>
        <w:spacing w:after="0"/>
        <w:jc w:val="both"/>
        <w:rPr>
          <w:rFonts w:ascii="Times New Roman" w:hAnsi="Times New Roman" w:cs="Times New Roman"/>
          <w:bCs/>
          <w:i w:val="0"/>
          <w:iCs w:val="0"/>
          <w:color w:val="000000" w:themeColor="text1"/>
          <w:sz w:val="22"/>
          <w:szCs w:val="22"/>
          <w:lang w:val="es-ES"/>
        </w:rPr>
      </w:pPr>
      <w:r w:rsidRPr="002D4C9F">
        <w:rPr>
          <w:rFonts w:ascii="Times New Roman" w:hAnsi="Times New Roman" w:cs="Times New Roman"/>
          <w:bCs/>
          <w:i w:val="0"/>
          <w:iCs w:val="0"/>
          <w:color w:val="000000" w:themeColor="text1"/>
          <w:sz w:val="22"/>
          <w:szCs w:val="22"/>
          <w:lang w:val="es-ES"/>
        </w:rPr>
        <w:t>Para el desarrollo del presupuesto multianual 2022-2026, se prevé que los ingresos tributarios se ubicarán por el orden de Q7</w:t>
      </w:r>
      <w:r w:rsidR="009D7586">
        <w:rPr>
          <w:rFonts w:ascii="Times New Roman" w:hAnsi="Times New Roman" w:cs="Times New Roman"/>
          <w:bCs/>
          <w:i w:val="0"/>
          <w:iCs w:val="0"/>
          <w:color w:val="000000" w:themeColor="text1"/>
          <w:sz w:val="22"/>
          <w:szCs w:val="22"/>
          <w:lang w:val="es-ES"/>
        </w:rPr>
        <w:t>4,368.</w:t>
      </w:r>
      <w:r w:rsidR="000B78A0">
        <w:rPr>
          <w:rFonts w:ascii="Times New Roman" w:hAnsi="Times New Roman" w:cs="Times New Roman"/>
          <w:bCs/>
          <w:i w:val="0"/>
          <w:iCs w:val="0"/>
          <w:color w:val="000000" w:themeColor="text1"/>
          <w:sz w:val="22"/>
          <w:szCs w:val="22"/>
          <w:lang w:val="es-ES"/>
        </w:rPr>
        <w:t>0</w:t>
      </w:r>
      <w:r w:rsidR="009D7586">
        <w:rPr>
          <w:rFonts w:ascii="Times New Roman" w:hAnsi="Times New Roman" w:cs="Times New Roman"/>
          <w:bCs/>
          <w:i w:val="0"/>
          <w:iCs w:val="0"/>
          <w:color w:val="000000" w:themeColor="text1"/>
          <w:sz w:val="22"/>
          <w:szCs w:val="22"/>
          <w:lang w:val="es-ES"/>
        </w:rPr>
        <w:t xml:space="preserve"> </w:t>
      </w:r>
      <w:r w:rsidRPr="002D4C9F">
        <w:rPr>
          <w:rFonts w:ascii="Times New Roman" w:hAnsi="Times New Roman" w:cs="Times New Roman"/>
          <w:bCs/>
          <w:i w:val="0"/>
          <w:iCs w:val="0"/>
          <w:color w:val="000000" w:themeColor="text1"/>
          <w:sz w:val="22"/>
          <w:szCs w:val="22"/>
          <w:lang w:val="es-ES"/>
        </w:rPr>
        <w:t>millones para 2022 y mostrará un crecimiento interanual promedio de 6.</w:t>
      </w:r>
      <w:r w:rsidR="009D7586">
        <w:rPr>
          <w:rFonts w:ascii="Times New Roman" w:hAnsi="Times New Roman" w:cs="Times New Roman"/>
          <w:bCs/>
          <w:i w:val="0"/>
          <w:iCs w:val="0"/>
          <w:color w:val="000000" w:themeColor="text1"/>
          <w:sz w:val="22"/>
          <w:szCs w:val="22"/>
          <w:lang w:val="es-ES"/>
        </w:rPr>
        <w:t>9</w:t>
      </w:r>
      <w:r w:rsidRPr="002D4C9F">
        <w:rPr>
          <w:rFonts w:ascii="Times New Roman" w:hAnsi="Times New Roman" w:cs="Times New Roman"/>
          <w:bCs/>
          <w:i w:val="0"/>
          <w:iCs w:val="0"/>
          <w:color w:val="000000" w:themeColor="text1"/>
          <w:sz w:val="22"/>
          <w:szCs w:val="22"/>
          <w:lang w:val="es-ES"/>
        </w:rPr>
        <w:t>%. previéndose que para 2026 se situará en Q9</w:t>
      </w:r>
      <w:r w:rsidR="009D7586">
        <w:rPr>
          <w:rFonts w:ascii="Times New Roman" w:hAnsi="Times New Roman" w:cs="Times New Roman"/>
          <w:bCs/>
          <w:i w:val="0"/>
          <w:iCs w:val="0"/>
          <w:color w:val="000000" w:themeColor="text1"/>
          <w:sz w:val="22"/>
          <w:szCs w:val="22"/>
          <w:lang w:val="es-ES"/>
        </w:rPr>
        <w:t xml:space="preserve">8,618.7 </w:t>
      </w:r>
      <w:r w:rsidRPr="002D4C9F">
        <w:rPr>
          <w:rFonts w:ascii="Times New Roman" w:hAnsi="Times New Roman" w:cs="Times New Roman"/>
          <w:bCs/>
          <w:i w:val="0"/>
          <w:iCs w:val="0"/>
          <w:color w:val="000000" w:themeColor="text1"/>
          <w:sz w:val="22"/>
          <w:szCs w:val="22"/>
          <w:lang w:val="es-ES"/>
        </w:rPr>
        <w:t>millones, en donde cerca del 9</w:t>
      </w:r>
      <w:r w:rsidR="00B47EB3">
        <w:rPr>
          <w:rFonts w:ascii="Times New Roman" w:hAnsi="Times New Roman" w:cs="Times New Roman"/>
          <w:bCs/>
          <w:i w:val="0"/>
          <w:iCs w:val="0"/>
          <w:color w:val="000000" w:themeColor="text1"/>
          <w:sz w:val="22"/>
          <w:szCs w:val="22"/>
          <w:lang w:val="es-ES"/>
        </w:rPr>
        <w:t>3.7</w:t>
      </w:r>
      <w:r w:rsidRPr="002D4C9F">
        <w:rPr>
          <w:rFonts w:ascii="Times New Roman" w:hAnsi="Times New Roman" w:cs="Times New Roman"/>
          <w:bCs/>
          <w:i w:val="0"/>
          <w:iCs w:val="0"/>
          <w:color w:val="000000" w:themeColor="text1"/>
          <w:sz w:val="22"/>
          <w:szCs w:val="22"/>
          <w:lang w:val="es-ES"/>
        </w:rPr>
        <w:t xml:space="preserve">% de los recursos proyectados provendrán de la recaudación tributaria. </w:t>
      </w:r>
    </w:p>
    <w:p w14:paraId="5F5398FF" w14:textId="3D50A1A1" w:rsidR="0067682D" w:rsidRDefault="0067682D" w:rsidP="0067682D">
      <w:pPr>
        <w:pStyle w:val="Epgrafe"/>
        <w:spacing w:after="0"/>
        <w:jc w:val="center"/>
        <w:rPr>
          <w:rFonts w:ascii="Times New Roman" w:hAnsi="Times New Roman" w:cs="Times New Roman"/>
          <w:b/>
          <w:i w:val="0"/>
          <w:color w:val="auto"/>
          <w:sz w:val="22"/>
          <w:szCs w:val="22"/>
        </w:rPr>
      </w:pPr>
      <w:bookmarkStart w:id="1740" w:name="_Toc50016850"/>
    </w:p>
    <w:p w14:paraId="595574B4" w14:textId="01DD7BA9" w:rsidR="00B011BF" w:rsidRDefault="00B011BF" w:rsidP="00B011BF"/>
    <w:p w14:paraId="28DDBCFE" w14:textId="4AE0F184" w:rsidR="00B011BF" w:rsidRDefault="00B011BF" w:rsidP="00B011BF"/>
    <w:p w14:paraId="329E3829" w14:textId="77777777" w:rsidR="00B011BF" w:rsidRPr="00B011BF" w:rsidRDefault="00B011BF" w:rsidP="00B011BF"/>
    <w:p w14:paraId="25214FF8" w14:textId="66200747" w:rsidR="0067682D" w:rsidRPr="00CB119B" w:rsidRDefault="003E14B7" w:rsidP="00484ED3">
      <w:pPr>
        <w:pStyle w:val="Epgrafe"/>
        <w:spacing w:after="0"/>
        <w:jc w:val="center"/>
        <w:rPr>
          <w:rFonts w:ascii="Times New Roman" w:hAnsi="Times New Roman" w:cs="Times New Roman"/>
          <w:b/>
          <w:bCs/>
          <w:i w:val="0"/>
          <w:iCs w:val="0"/>
          <w:color w:val="auto"/>
          <w:sz w:val="22"/>
          <w:szCs w:val="22"/>
        </w:rPr>
      </w:pPr>
      <w:bookmarkStart w:id="1741" w:name="_Toc81573099"/>
      <w:r w:rsidRPr="006977EA">
        <w:rPr>
          <w:rFonts w:ascii="Times New Roman" w:hAnsi="Times New Roman" w:cs="Times New Roman"/>
          <w:b/>
          <w:color w:val="auto"/>
          <w:sz w:val="20"/>
        </w:rPr>
        <w:t xml:space="preserve">Gráfico </w:t>
      </w:r>
      <w:r w:rsidRPr="006977EA">
        <w:rPr>
          <w:rFonts w:ascii="Times New Roman" w:hAnsi="Times New Roman" w:cs="Times New Roman"/>
          <w:b/>
          <w:color w:val="auto"/>
          <w:sz w:val="20"/>
        </w:rPr>
        <w:fldChar w:fldCharType="begin"/>
      </w:r>
      <w:r w:rsidRPr="006977EA">
        <w:rPr>
          <w:rFonts w:ascii="Times New Roman" w:hAnsi="Times New Roman" w:cs="Times New Roman"/>
          <w:b/>
          <w:color w:val="auto"/>
          <w:sz w:val="20"/>
        </w:rPr>
        <w:instrText xml:space="preserve"> SEQ Gráfico \* ARABIC </w:instrText>
      </w:r>
      <w:r w:rsidRPr="006977EA">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49</w:t>
      </w:r>
      <w:r w:rsidRPr="006977EA">
        <w:rPr>
          <w:rFonts w:ascii="Times New Roman" w:hAnsi="Times New Roman" w:cs="Times New Roman"/>
          <w:b/>
          <w:color w:val="auto"/>
          <w:sz w:val="20"/>
        </w:rPr>
        <w:fldChar w:fldCharType="end"/>
      </w:r>
      <w:r w:rsidRPr="006977EA">
        <w:rPr>
          <w:rFonts w:ascii="Times New Roman" w:hAnsi="Times New Roman" w:cs="Times New Roman"/>
          <w:b/>
          <w:color w:val="auto"/>
          <w:sz w:val="20"/>
        </w:rPr>
        <w:t xml:space="preserve">  </w:t>
      </w:r>
      <w:r w:rsidR="0067682D" w:rsidRPr="006977EA">
        <w:rPr>
          <w:rFonts w:ascii="Times New Roman" w:hAnsi="Times New Roman" w:cs="Times New Roman"/>
          <w:b/>
          <w:i w:val="0"/>
          <w:color w:val="auto"/>
          <w:sz w:val="22"/>
          <w:szCs w:val="22"/>
        </w:rPr>
        <w:t>Ingresos fiscales 2022-2026</w:t>
      </w:r>
      <w:bookmarkEnd w:id="1739"/>
      <w:bookmarkEnd w:id="1740"/>
      <w:bookmarkEnd w:id="1741"/>
    </w:p>
    <w:p w14:paraId="17FFE3BB" w14:textId="1FB1BCC2" w:rsidR="0067682D" w:rsidRPr="00B011BF" w:rsidRDefault="0067682D" w:rsidP="00B011BF">
      <w:pPr>
        <w:rPr>
          <w:rFonts w:ascii="Times New Roman" w:hAnsi="Times New Roman" w:cs="Times New Roman"/>
          <w:sz w:val="20"/>
        </w:rPr>
      </w:pPr>
      <w:r w:rsidRPr="00CB119B">
        <w:rPr>
          <w:rFonts w:ascii="Times New Roman" w:hAnsi="Times New Roman" w:cs="Times New Roman"/>
          <w:noProof/>
          <w:lang w:val="es-ES" w:eastAsia="es-ES"/>
        </w:rPr>
        <w:drawing>
          <wp:inline distT="0" distB="0" distL="0" distR="0" wp14:anchorId="778029F3" wp14:editId="51D24DFE">
            <wp:extent cx="5486400" cy="2898476"/>
            <wp:effectExtent l="0" t="0" r="0" b="0"/>
            <wp:docPr id="88"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Pr="00B011BF">
        <w:rPr>
          <w:rFonts w:ascii="Times New Roman" w:hAnsi="Times New Roman" w:cs="Times New Roman"/>
          <w:bCs/>
          <w:sz w:val="16"/>
          <w:lang w:val="es-ES"/>
        </w:rPr>
        <w:t>Fuente: Dirección de Análisis y Política Fiscal con información de tributación de la SAT.</w:t>
      </w:r>
    </w:p>
    <w:p w14:paraId="4ED04A42" w14:textId="77777777" w:rsidR="0067682D" w:rsidRPr="00CB119B" w:rsidRDefault="0067682D" w:rsidP="0067682D">
      <w:pPr>
        <w:spacing w:after="0" w:line="240" w:lineRule="auto"/>
        <w:jc w:val="both"/>
        <w:rPr>
          <w:rFonts w:ascii="Times New Roman" w:hAnsi="Times New Roman" w:cs="Times New Roman"/>
          <w:bCs/>
          <w:lang w:val="es-ES"/>
        </w:rPr>
      </w:pPr>
      <w:r w:rsidRPr="00CB119B">
        <w:rPr>
          <w:rFonts w:ascii="Times New Roman" w:hAnsi="Times New Roman" w:cs="Times New Roman"/>
          <w:bCs/>
          <w:lang w:val="es-ES"/>
        </w:rPr>
        <w:t xml:space="preserve">Dentro de los no tributarios el componente más importante son las contribuciones a la seguridad social (MONTEPIO) cuya participación dentro de este tipo de ingresos es de aproximadamente </w:t>
      </w:r>
      <w:r w:rsidR="00453C96">
        <w:rPr>
          <w:rFonts w:ascii="Times New Roman" w:hAnsi="Times New Roman" w:cs="Times New Roman"/>
          <w:bCs/>
          <w:lang w:val="es-ES"/>
        </w:rPr>
        <w:t>61</w:t>
      </w:r>
      <w:r w:rsidRPr="00CB119B">
        <w:rPr>
          <w:rFonts w:ascii="Times New Roman" w:hAnsi="Times New Roman" w:cs="Times New Roman"/>
          <w:bCs/>
          <w:lang w:val="es-ES"/>
        </w:rPr>
        <w:t>% (promedio de 2022 a 2026).</w:t>
      </w:r>
    </w:p>
    <w:p w14:paraId="27BDB133" w14:textId="77777777" w:rsidR="0067682D" w:rsidRPr="00CB119B" w:rsidRDefault="0067682D" w:rsidP="0067682D">
      <w:pPr>
        <w:pStyle w:val="Prrafodelista"/>
        <w:spacing w:after="0" w:line="240" w:lineRule="auto"/>
        <w:ind w:left="1728"/>
        <w:rPr>
          <w:rFonts w:ascii="Times New Roman" w:hAnsi="Times New Roman" w:cs="Times New Roman"/>
          <w:b/>
          <w:bCs/>
          <w:lang w:val="es-ES"/>
        </w:rPr>
      </w:pPr>
    </w:p>
    <w:p w14:paraId="3343C898" w14:textId="77777777" w:rsidR="0067682D" w:rsidRPr="00F12665" w:rsidRDefault="0067682D" w:rsidP="001032E7">
      <w:pPr>
        <w:pStyle w:val="Sinespaciado"/>
        <w:numPr>
          <w:ilvl w:val="2"/>
          <w:numId w:val="38"/>
        </w:numPr>
        <w:outlineLvl w:val="2"/>
        <w:rPr>
          <w:rFonts w:ascii="Times New Roman" w:hAnsi="Times New Roman" w:cs="Times New Roman"/>
          <w:b/>
          <w:sz w:val="24"/>
        </w:rPr>
      </w:pPr>
      <w:bookmarkStart w:id="1742" w:name="_Toc81571923"/>
      <w:r w:rsidRPr="00F12665">
        <w:rPr>
          <w:rFonts w:ascii="Times New Roman" w:hAnsi="Times New Roman" w:cs="Times New Roman"/>
          <w:b/>
          <w:sz w:val="24"/>
        </w:rPr>
        <w:t>Proyecciones de recaudación tributaria</w:t>
      </w:r>
      <w:bookmarkEnd w:id="1742"/>
    </w:p>
    <w:p w14:paraId="4A734B9B" w14:textId="77777777" w:rsidR="0067682D" w:rsidRPr="00CB119B" w:rsidRDefault="0067682D" w:rsidP="0067682D">
      <w:pPr>
        <w:spacing w:after="0" w:line="240" w:lineRule="auto"/>
        <w:rPr>
          <w:rFonts w:ascii="Times New Roman" w:hAnsi="Times New Roman" w:cs="Times New Roman"/>
          <w:lang w:val="es-ES"/>
        </w:rPr>
      </w:pPr>
    </w:p>
    <w:p w14:paraId="442851B9" w14:textId="77777777" w:rsidR="0067682D" w:rsidRPr="00CB119B" w:rsidRDefault="0067682D" w:rsidP="0067682D">
      <w:pPr>
        <w:spacing w:after="0" w:line="240" w:lineRule="auto"/>
        <w:jc w:val="both"/>
        <w:rPr>
          <w:rFonts w:ascii="Times New Roman" w:hAnsi="Times New Roman" w:cs="Times New Roman"/>
          <w:bCs/>
          <w:lang w:val="es-ES"/>
        </w:rPr>
      </w:pPr>
      <w:r w:rsidRPr="00CB119B">
        <w:rPr>
          <w:rFonts w:ascii="Times New Roman" w:hAnsi="Times New Roman" w:cs="Times New Roman"/>
          <w:bCs/>
          <w:lang w:val="es-ES"/>
        </w:rPr>
        <w:t>La estimación de la recaudación tributaria es parte fundamental en el proceso de formulación del Presupuesto General de Ingresos y Egresos del Estado, la recaudación tributaria representa el 94% de los ingresos totales del gobierno central, derivado de esto es importante que el proceso de estimación sea eficiente, confiable y apegado a la realidad económica.</w:t>
      </w:r>
    </w:p>
    <w:p w14:paraId="59D40CEF" w14:textId="77777777" w:rsidR="0067682D" w:rsidRPr="00CB119B" w:rsidRDefault="0067682D" w:rsidP="0067682D">
      <w:pPr>
        <w:spacing w:after="0" w:line="240" w:lineRule="auto"/>
        <w:jc w:val="both"/>
        <w:rPr>
          <w:rFonts w:ascii="Times New Roman" w:hAnsi="Times New Roman" w:cs="Times New Roman"/>
          <w:bCs/>
          <w:lang w:val="es-ES"/>
        </w:rPr>
      </w:pPr>
    </w:p>
    <w:p w14:paraId="370107CA" w14:textId="084DFB95" w:rsidR="0067682D" w:rsidRPr="00CB119B" w:rsidRDefault="0067682D" w:rsidP="0067682D">
      <w:pPr>
        <w:spacing w:after="0" w:line="240" w:lineRule="auto"/>
        <w:jc w:val="both"/>
        <w:rPr>
          <w:rFonts w:ascii="Times New Roman" w:hAnsi="Times New Roman" w:cs="Times New Roman"/>
          <w:bCs/>
          <w:lang w:val="es-ES"/>
        </w:rPr>
      </w:pPr>
      <w:r w:rsidRPr="00CB119B">
        <w:rPr>
          <w:rFonts w:ascii="Times New Roman" w:hAnsi="Times New Roman" w:cs="Times New Roman"/>
          <w:bCs/>
          <w:lang w:val="es-ES"/>
        </w:rPr>
        <w:t>La institucionalidad de las estimaciones de recaudación tributaria está liderada por la Comisión Técnica de Finanzas Públicas -CTFP-, dicha comisión tiene su base legal en la Ley Orgánica del Presupuesto (Decreto 101-97), la cual establece en el artículo 5, que dicha comisión prestará asesoría al Ministro y Viceministro de Finanzas Públicas en materia de administración financiera (definición de políticas, programación, control y evaluación de la gestión financiera pública).</w:t>
      </w:r>
    </w:p>
    <w:p w14:paraId="3D94977E" w14:textId="77777777" w:rsidR="0067682D" w:rsidRPr="00CB119B" w:rsidRDefault="0067682D" w:rsidP="0067682D">
      <w:pPr>
        <w:spacing w:after="0" w:line="240" w:lineRule="auto"/>
        <w:jc w:val="both"/>
        <w:rPr>
          <w:rFonts w:ascii="Times New Roman" w:hAnsi="Times New Roman" w:cs="Times New Roman"/>
          <w:bCs/>
          <w:lang w:val="es-ES"/>
        </w:rPr>
      </w:pPr>
    </w:p>
    <w:p w14:paraId="08847EB7" w14:textId="77777777" w:rsidR="0067682D" w:rsidRPr="00CB119B" w:rsidRDefault="0067682D" w:rsidP="0067682D">
      <w:pPr>
        <w:spacing w:after="0" w:line="240" w:lineRule="auto"/>
        <w:jc w:val="both"/>
        <w:rPr>
          <w:rFonts w:ascii="Times New Roman" w:hAnsi="Times New Roman" w:cs="Times New Roman"/>
          <w:bCs/>
          <w:lang w:val="es-ES"/>
        </w:rPr>
      </w:pPr>
      <w:r w:rsidRPr="00CB119B">
        <w:rPr>
          <w:rFonts w:ascii="Times New Roman" w:hAnsi="Times New Roman" w:cs="Times New Roman"/>
          <w:bCs/>
          <w:lang w:val="es-ES"/>
        </w:rPr>
        <w:t>De manera específica, el Art. 23 bis de la Ley Orgánica de la Superintendencia de Administración Tributaria (LOSAT) le confiere a la CTFP la responsabilidad de acordar el “pronóstico técnico de la recaudación tributaria esperada”. De acuerdo con dicha disposición, el pronóstico podrá considerar aspectos económicos, financieros y la legislación vigente.</w:t>
      </w:r>
    </w:p>
    <w:p w14:paraId="5DFDDFF6" w14:textId="77777777" w:rsidR="0067682D" w:rsidRPr="00CB119B" w:rsidRDefault="0067682D" w:rsidP="0067682D">
      <w:pPr>
        <w:spacing w:after="0" w:line="240" w:lineRule="auto"/>
        <w:jc w:val="both"/>
        <w:rPr>
          <w:rFonts w:ascii="Times New Roman" w:hAnsi="Times New Roman" w:cs="Times New Roman"/>
          <w:bCs/>
          <w:lang w:val="es-ES"/>
        </w:rPr>
      </w:pPr>
    </w:p>
    <w:p w14:paraId="6F85C405" w14:textId="77777777" w:rsidR="0067682D" w:rsidRPr="00CB119B" w:rsidRDefault="0067682D" w:rsidP="0067682D">
      <w:pPr>
        <w:spacing w:after="0" w:line="240" w:lineRule="auto"/>
        <w:jc w:val="both"/>
        <w:rPr>
          <w:rFonts w:ascii="Times New Roman" w:hAnsi="Times New Roman" w:cs="Times New Roman"/>
          <w:bCs/>
          <w:lang w:val="es-ES"/>
        </w:rPr>
      </w:pPr>
      <w:r w:rsidRPr="00CB119B">
        <w:rPr>
          <w:rFonts w:ascii="Times New Roman" w:hAnsi="Times New Roman" w:cs="Times New Roman"/>
          <w:bCs/>
          <w:lang w:val="es-ES"/>
        </w:rPr>
        <w:t xml:space="preserve">Dicho artículo establece también que las metas de recaudación tributaria deben considerar, además del pronóstico acotado, las metas de recaudación adicional por reducción del incumplimiento tributario, de la defraudación tributaria o aduanera, la meta de facilitación del cumplimiento de los contribuyentes, y otras metas incluidas y asociadas a la aplicación del Plan de Recaudación, Control y Fiscalización, establecidas por la SAT. </w:t>
      </w:r>
    </w:p>
    <w:p w14:paraId="79BDE3FB" w14:textId="77777777" w:rsidR="0067682D" w:rsidRPr="00CB119B" w:rsidRDefault="0067682D" w:rsidP="0067682D">
      <w:pPr>
        <w:spacing w:after="0" w:line="240" w:lineRule="auto"/>
        <w:jc w:val="both"/>
        <w:rPr>
          <w:rFonts w:ascii="Times New Roman" w:hAnsi="Times New Roman" w:cs="Times New Roman"/>
          <w:bCs/>
          <w:lang w:val="es-ES"/>
        </w:rPr>
      </w:pPr>
    </w:p>
    <w:p w14:paraId="04E0113E" w14:textId="77777777" w:rsidR="0067682D" w:rsidRPr="00CB119B" w:rsidRDefault="0067682D" w:rsidP="0067682D">
      <w:pPr>
        <w:spacing w:after="0" w:line="240" w:lineRule="auto"/>
        <w:jc w:val="both"/>
        <w:rPr>
          <w:rFonts w:ascii="Times New Roman" w:hAnsi="Times New Roman" w:cs="Times New Roman"/>
          <w:bCs/>
          <w:lang w:val="es-ES"/>
        </w:rPr>
      </w:pPr>
      <w:r w:rsidRPr="00CB119B">
        <w:rPr>
          <w:rFonts w:ascii="Times New Roman" w:hAnsi="Times New Roman" w:cs="Times New Roman"/>
          <w:bCs/>
          <w:lang w:val="es-ES"/>
        </w:rPr>
        <w:t>Para el desarrollo de la estimación de recaudación tributaria, existen metodologías como:</w:t>
      </w:r>
    </w:p>
    <w:p w14:paraId="23023125" w14:textId="77777777" w:rsidR="0067682D" w:rsidRPr="00CB119B" w:rsidRDefault="0067682D" w:rsidP="0067682D">
      <w:pPr>
        <w:spacing w:after="0" w:line="240" w:lineRule="auto"/>
        <w:jc w:val="both"/>
        <w:rPr>
          <w:rFonts w:ascii="Times New Roman" w:hAnsi="Times New Roman" w:cs="Times New Roman"/>
          <w:bCs/>
          <w:lang w:val="es-ES"/>
        </w:rPr>
      </w:pPr>
    </w:p>
    <w:p w14:paraId="26242612" w14:textId="77777777" w:rsidR="0067682D" w:rsidRPr="00CB119B" w:rsidRDefault="0067682D" w:rsidP="001032E7">
      <w:pPr>
        <w:pStyle w:val="Prrafodelista"/>
        <w:numPr>
          <w:ilvl w:val="0"/>
          <w:numId w:val="33"/>
        </w:numPr>
        <w:spacing w:after="0" w:line="240" w:lineRule="auto"/>
        <w:jc w:val="both"/>
        <w:rPr>
          <w:rFonts w:ascii="Times New Roman" w:hAnsi="Times New Roman" w:cs="Times New Roman"/>
          <w:bCs/>
          <w:lang w:val="es-ES"/>
        </w:rPr>
      </w:pPr>
      <w:r w:rsidRPr="00CB119B">
        <w:rPr>
          <w:rFonts w:ascii="Times New Roman" w:hAnsi="Times New Roman" w:cs="Times New Roman"/>
          <w:bCs/>
          <w:u w:val="single"/>
          <w:lang w:val="es-ES"/>
        </w:rPr>
        <w:t>El sistema de extrapolación</w:t>
      </w:r>
      <w:r w:rsidRPr="00CB119B">
        <w:rPr>
          <w:rFonts w:ascii="Times New Roman" w:hAnsi="Times New Roman" w:cs="Times New Roman"/>
          <w:bCs/>
          <w:lang w:val="es-ES"/>
        </w:rPr>
        <w:t>, basado sobre el supuesto de que la evolución de una variable que se ha observado en el pasado (recaudación tributaria) se mantendrá en el futuro, sin considerar el comportamiento de las variables que determinan los ingresos tributarios.</w:t>
      </w:r>
    </w:p>
    <w:p w14:paraId="53D53AE8" w14:textId="77777777" w:rsidR="0067682D" w:rsidRPr="00CB119B" w:rsidRDefault="0067682D" w:rsidP="001032E7">
      <w:pPr>
        <w:pStyle w:val="Prrafodelista"/>
        <w:numPr>
          <w:ilvl w:val="0"/>
          <w:numId w:val="33"/>
        </w:numPr>
        <w:spacing w:after="0" w:line="240" w:lineRule="auto"/>
        <w:jc w:val="both"/>
        <w:rPr>
          <w:rFonts w:ascii="Times New Roman" w:hAnsi="Times New Roman" w:cs="Times New Roman"/>
          <w:bCs/>
          <w:lang w:val="es-ES"/>
        </w:rPr>
      </w:pPr>
      <w:r w:rsidRPr="00CB119B">
        <w:rPr>
          <w:rFonts w:ascii="Times New Roman" w:hAnsi="Times New Roman" w:cs="Times New Roman"/>
          <w:bCs/>
          <w:u w:val="single"/>
          <w:lang w:val="es-ES"/>
        </w:rPr>
        <w:t>El método directo</w:t>
      </w:r>
      <w:r w:rsidRPr="00CB119B">
        <w:rPr>
          <w:rFonts w:ascii="Times New Roman" w:hAnsi="Times New Roman" w:cs="Times New Roman"/>
          <w:bCs/>
          <w:lang w:val="es-ES"/>
        </w:rPr>
        <w:t>, partiendo de los datos históricos de recaudación incorpora, mediante el estudio pormenorizado de cada impuesto, los efectos, tanto de las decisiones de política fiscal (reformas), como el comportamiento de las variables económicas.</w:t>
      </w:r>
    </w:p>
    <w:p w14:paraId="3641C33A" w14:textId="77777777" w:rsidR="0067682D" w:rsidRPr="00CB119B" w:rsidRDefault="0067682D" w:rsidP="001032E7">
      <w:pPr>
        <w:pStyle w:val="Prrafodelista"/>
        <w:numPr>
          <w:ilvl w:val="0"/>
          <w:numId w:val="33"/>
        </w:numPr>
        <w:spacing w:after="0" w:line="240" w:lineRule="auto"/>
        <w:jc w:val="both"/>
        <w:rPr>
          <w:rFonts w:ascii="Times New Roman" w:hAnsi="Times New Roman" w:cs="Times New Roman"/>
          <w:bCs/>
          <w:lang w:val="es-ES"/>
        </w:rPr>
      </w:pPr>
      <w:r w:rsidRPr="00CB119B">
        <w:rPr>
          <w:rFonts w:ascii="Times New Roman" w:hAnsi="Times New Roman" w:cs="Times New Roman"/>
          <w:bCs/>
          <w:u w:val="single"/>
          <w:lang w:val="es-ES"/>
        </w:rPr>
        <w:t>Econometría</w:t>
      </w:r>
      <w:r w:rsidRPr="00CB119B">
        <w:rPr>
          <w:rFonts w:ascii="Times New Roman" w:hAnsi="Times New Roman" w:cs="Times New Roman"/>
          <w:bCs/>
          <w:lang w:val="es-ES"/>
        </w:rPr>
        <w:t>, analiza, interpreta y predice los resultados de la recaudación tributaria y variables económicas explicativas.</w:t>
      </w:r>
    </w:p>
    <w:p w14:paraId="13EB65F5" w14:textId="77777777" w:rsidR="0067682D" w:rsidRPr="00CB119B" w:rsidRDefault="0067682D" w:rsidP="001032E7">
      <w:pPr>
        <w:pStyle w:val="Prrafodelista"/>
        <w:numPr>
          <w:ilvl w:val="0"/>
          <w:numId w:val="33"/>
        </w:numPr>
        <w:spacing w:after="0" w:line="240" w:lineRule="auto"/>
        <w:jc w:val="both"/>
        <w:rPr>
          <w:rFonts w:ascii="Times New Roman" w:hAnsi="Times New Roman" w:cs="Times New Roman"/>
        </w:rPr>
      </w:pPr>
      <w:r w:rsidRPr="00CB119B">
        <w:rPr>
          <w:rFonts w:ascii="Times New Roman" w:hAnsi="Times New Roman" w:cs="Times New Roman"/>
          <w:bCs/>
          <w:u w:val="single"/>
          <w:lang w:val="es-ES"/>
        </w:rPr>
        <w:t>Elasticidad</w:t>
      </w:r>
      <w:r w:rsidRPr="00CB119B">
        <w:rPr>
          <w:rFonts w:ascii="Times New Roman" w:hAnsi="Times New Roman" w:cs="Times New Roman"/>
          <w:bCs/>
          <w:lang w:val="es-ES"/>
        </w:rPr>
        <w:t xml:space="preserve">, es la sensibilidad de variación que presenta una variable a los cambios experimentados por otra. Por ejemplo, cuando el nivel de ingresos de la economía incrementa se esperaría que el monto de la recaudación tributaria aumente aun cuando el marco legal vigente no sufra cambios </w:t>
      </w:r>
      <w:r w:rsidRPr="00CB119B">
        <w:rPr>
          <w:rFonts w:ascii="Times New Roman" w:hAnsi="Times New Roman" w:cs="Times New Roman"/>
          <w:bCs/>
          <w:i/>
          <w:lang w:val="es-ES"/>
        </w:rPr>
        <w:t>(las tasas de los impuestos del sistema tributario permanecen constantes).</w:t>
      </w:r>
      <w:r w:rsidRPr="00CB119B">
        <w:rPr>
          <w:rFonts w:ascii="Times New Roman" w:hAnsi="Times New Roman" w:cs="Times New Roman"/>
        </w:rPr>
        <w:t xml:space="preserve"> </w:t>
      </w:r>
    </w:p>
    <w:p w14:paraId="48B33255" w14:textId="082A73CF" w:rsidR="0067682D" w:rsidRDefault="0067682D" w:rsidP="0067682D">
      <w:pPr>
        <w:spacing w:after="0" w:line="240" w:lineRule="auto"/>
        <w:jc w:val="both"/>
        <w:rPr>
          <w:rFonts w:ascii="Times New Roman" w:hAnsi="Times New Roman" w:cs="Times New Roman"/>
        </w:rPr>
      </w:pPr>
    </w:p>
    <w:p w14:paraId="1D9EC7EA" w14:textId="77777777" w:rsidR="0067682D" w:rsidRPr="00CB119B" w:rsidRDefault="0067682D" w:rsidP="0067682D">
      <w:pPr>
        <w:pBdr>
          <w:top w:val="single" w:sz="4" w:space="1" w:color="auto"/>
          <w:left w:val="single" w:sz="4" w:space="0" w:color="auto"/>
          <w:bottom w:val="single" w:sz="4" w:space="1" w:color="auto"/>
          <w:right w:val="single" w:sz="4" w:space="4" w:color="auto"/>
        </w:pBdr>
        <w:shd w:val="clear" w:color="auto" w:fill="DEEAF6" w:themeFill="accent1" w:themeFillTint="33"/>
        <w:jc w:val="center"/>
        <w:rPr>
          <w:rFonts w:ascii="Times New Roman" w:hAnsi="Times New Roman" w:cs="Times New Roman"/>
          <w:b/>
        </w:rPr>
      </w:pPr>
      <w:r w:rsidRPr="00CB119B">
        <w:rPr>
          <w:rFonts w:ascii="Times New Roman" w:hAnsi="Times New Roman" w:cs="Times New Roman"/>
          <w:b/>
        </w:rPr>
        <w:t>Elasticidad de los principales impuestos</w:t>
      </w:r>
    </w:p>
    <w:p w14:paraId="6F681819" w14:textId="77777777" w:rsidR="0067682D" w:rsidRPr="00CB119B" w:rsidRDefault="0067682D" w:rsidP="0067682D">
      <w:pPr>
        <w:pBdr>
          <w:top w:val="single" w:sz="4" w:space="1" w:color="auto"/>
          <w:left w:val="single" w:sz="4" w:space="0" w:color="auto"/>
          <w:bottom w:val="single" w:sz="4" w:space="1" w:color="auto"/>
          <w:right w:val="single" w:sz="4" w:space="4" w:color="auto"/>
        </w:pBdr>
        <w:shd w:val="clear" w:color="auto" w:fill="DEEAF6" w:themeFill="accent1" w:themeFillTint="33"/>
        <w:spacing w:line="240" w:lineRule="auto"/>
        <w:jc w:val="both"/>
        <w:rPr>
          <w:rFonts w:ascii="Times New Roman" w:hAnsi="Times New Roman" w:cs="Times New Roman"/>
          <w:sz w:val="18"/>
        </w:rPr>
      </w:pPr>
      <w:r w:rsidRPr="00CB119B">
        <w:rPr>
          <w:rFonts w:ascii="Times New Roman" w:hAnsi="Times New Roman" w:cs="Times New Roman"/>
          <w:sz w:val="18"/>
        </w:rPr>
        <w:t xml:space="preserve">Es importante determinar la elasticidad de cada uno de los impuestos esto para conocer el grado de respuesta que estos tienen respecto a las variables que los determinan, esta medición puede utilizarse de manera complementaria con el método directo ya que este método asume una elasticidad teórica igual a 1, a manera de ejemplo se detalla a continuación el cálculo de la elasticidad de los principales impuestos siendo estos el Impuesto sobre la renta y el Impuesto al valor agregado, que en conjunto suman cerca del 75% de la recaudación total. </w:t>
      </w:r>
    </w:p>
    <w:p w14:paraId="07716ADA" w14:textId="77777777" w:rsidR="0067682D" w:rsidRPr="00CB119B" w:rsidRDefault="0067682D" w:rsidP="0067682D">
      <w:pPr>
        <w:pBdr>
          <w:top w:val="single" w:sz="4" w:space="1" w:color="auto"/>
          <w:left w:val="single" w:sz="4" w:space="0" w:color="auto"/>
          <w:bottom w:val="single" w:sz="4" w:space="1" w:color="auto"/>
          <w:right w:val="single" w:sz="4" w:space="4" w:color="auto"/>
        </w:pBdr>
        <w:shd w:val="clear" w:color="auto" w:fill="DEEAF6" w:themeFill="accent1" w:themeFillTint="33"/>
        <w:spacing w:line="240" w:lineRule="auto"/>
        <w:jc w:val="both"/>
        <w:rPr>
          <w:rFonts w:ascii="Times New Roman" w:hAnsi="Times New Roman" w:cs="Times New Roman"/>
          <w:b/>
          <w:sz w:val="18"/>
        </w:rPr>
      </w:pPr>
      <w:r w:rsidRPr="00CB119B">
        <w:rPr>
          <w:rFonts w:ascii="Times New Roman" w:hAnsi="Times New Roman" w:cs="Times New Roman"/>
          <w:b/>
          <w:sz w:val="18"/>
        </w:rPr>
        <w:t>Impuesto al valor agregado</w:t>
      </w:r>
    </w:p>
    <w:p w14:paraId="251CD2BD" w14:textId="77777777" w:rsidR="0067682D" w:rsidRPr="00CB119B" w:rsidRDefault="0067682D" w:rsidP="0067682D">
      <w:pPr>
        <w:pBdr>
          <w:top w:val="single" w:sz="4" w:space="1" w:color="auto"/>
          <w:left w:val="single" w:sz="4" w:space="0" w:color="auto"/>
          <w:bottom w:val="single" w:sz="4" w:space="1" w:color="auto"/>
          <w:right w:val="single" w:sz="4" w:space="4" w:color="auto"/>
        </w:pBdr>
        <w:shd w:val="clear" w:color="auto" w:fill="DEEAF6" w:themeFill="accent1" w:themeFillTint="33"/>
        <w:spacing w:line="240" w:lineRule="auto"/>
        <w:jc w:val="both"/>
        <w:rPr>
          <w:rFonts w:ascii="Times New Roman" w:hAnsi="Times New Roman" w:cs="Times New Roman"/>
          <w:sz w:val="18"/>
        </w:rPr>
      </w:pPr>
      <w:r w:rsidRPr="00CB119B">
        <w:rPr>
          <w:rFonts w:ascii="Times New Roman" w:hAnsi="Times New Roman" w:cs="Times New Roman"/>
          <w:sz w:val="18"/>
        </w:rPr>
        <w:t>Para calcular la elasticidad del Impuesto al valor agregado es necesario realizar ajustes a la recaudación tributaria observada producto de exoneraciones y recaudación extraordinaria por concepto de adeudos tributarios, además de cambiar la recaudación nominal a términos reales con el deflactor del producto interno bruto, para este cálculo de la elasticidad del IVA se tiene como variable asociada el producto interno bruto real, el cálculo se realizó mediante la siguiente función.</w:t>
      </w:r>
    </w:p>
    <w:p w14:paraId="5DCD5036" w14:textId="77777777" w:rsidR="0067682D" w:rsidRPr="00CB119B" w:rsidRDefault="0067682D" w:rsidP="0067682D">
      <w:pPr>
        <w:pBdr>
          <w:top w:val="single" w:sz="4" w:space="1" w:color="auto"/>
          <w:left w:val="single" w:sz="4" w:space="0" w:color="auto"/>
          <w:bottom w:val="single" w:sz="4" w:space="1" w:color="auto"/>
          <w:right w:val="single" w:sz="4" w:space="4" w:color="auto"/>
        </w:pBdr>
        <w:shd w:val="clear" w:color="auto" w:fill="DEEAF6" w:themeFill="accent1" w:themeFillTint="33"/>
        <w:spacing w:line="240" w:lineRule="auto"/>
        <w:jc w:val="both"/>
        <w:rPr>
          <w:rFonts w:ascii="Times New Roman" w:eastAsiaTheme="minorEastAsia" w:hAnsi="Times New Roman" w:cs="Times New Roman"/>
          <w:sz w:val="18"/>
          <w:lang w:val="es-ES"/>
        </w:rPr>
      </w:pPr>
      <m:oMathPara>
        <m:oMath>
          <m:r>
            <w:rPr>
              <w:rFonts w:ascii="Cambria Math" w:hAnsi="Cambria Math" w:cs="Times New Roman"/>
              <w:sz w:val="18"/>
              <w:lang w:val="es-ES"/>
            </w:rPr>
            <m:t>Ln(T)=α+β*Ln(variable asociada)</m:t>
          </m:r>
        </m:oMath>
      </m:oMathPara>
    </w:p>
    <w:p w14:paraId="288B0042" w14:textId="77777777" w:rsidR="0067682D" w:rsidRPr="00CB119B" w:rsidRDefault="0067682D" w:rsidP="0067682D">
      <w:pPr>
        <w:pBdr>
          <w:top w:val="single" w:sz="4" w:space="1" w:color="auto"/>
          <w:left w:val="single" w:sz="4" w:space="0" w:color="auto"/>
          <w:bottom w:val="single" w:sz="4" w:space="1" w:color="auto"/>
          <w:right w:val="single" w:sz="4" w:space="4" w:color="auto"/>
        </w:pBdr>
        <w:shd w:val="clear" w:color="auto" w:fill="DEEAF6" w:themeFill="accent1" w:themeFillTint="33"/>
        <w:spacing w:line="240" w:lineRule="auto"/>
        <w:jc w:val="center"/>
        <w:rPr>
          <w:rFonts w:ascii="Times New Roman" w:eastAsiaTheme="minorEastAsia" w:hAnsi="Times New Roman" w:cs="Times New Roman"/>
          <w:sz w:val="18"/>
          <w:lang w:val="en-US"/>
        </w:rPr>
      </w:pPr>
      <w:r w:rsidRPr="00CB119B">
        <w:rPr>
          <w:rFonts w:ascii="Times New Roman" w:eastAsiaTheme="minorEastAsia" w:hAnsi="Times New Roman" w:cs="Times New Roman"/>
          <w:i/>
          <w:iCs/>
          <w:sz w:val="18"/>
          <w:lang w:val="en-US"/>
        </w:rPr>
        <w:t>ln</w:t>
      </w:r>
      <w:r w:rsidRPr="00CB119B">
        <w:rPr>
          <w:rFonts w:ascii="Times New Roman" w:eastAsiaTheme="minorEastAsia" w:hAnsi="Times New Roman" w:cs="Times New Roman"/>
          <w:sz w:val="18"/>
          <w:lang w:val="en-US"/>
        </w:rPr>
        <w:t>(IVAt )= -4.84913 + 1.1523*</w:t>
      </w:r>
      <w:r w:rsidRPr="00CB119B">
        <w:rPr>
          <w:rFonts w:ascii="Times New Roman" w:eastAsiaTheme="minorEastAsia" w:hAnsi="Times New Roman" w:cs="Times New Roman"/>
          <w:i/>
          <w:iCs/>
          <w:sz w:val="18"/>
          <w:lang w:val="en-US"/>
        </w:rPr>
        <w:t>ln</w:t>
      </w:r>
      <w:r w:rsidRPr="00CB119B">
        <w:rPr>
          <w:rFonts w:ascii="Times New Roman" w:eastAsiaTheme="minorEastAsia" w:hAnsi="Times New Roman" w:cs="Times New Roman"/>
          <w:sz w:val="18"/>
          <w:lang w:val="en-US"/>
        </w:rPr>
        <w:t>(PIBt)</w:t>
      </w:r>
    </w:p>
    <w:p w14:paraId="7795B93E" w14:textId="77777777" w:rsidR="0067682D" w:rsidRPr="00CB119B" w:rsidRDefault="0067682D" w:rsidP="0067682D">
      <w:pPr>
        <w:pBdr>
          <w:top w:val="single" w:sz="4" w:space="1" w:color="auto"/>
          <w:left w:val="single" w:sz="4" w:space="0" w:color="auto"/>
          <w:bottom w:val="single" w:sz="4" w:space="1" w:color="auto"/>
          <w:right w:val="single" w:sz="4" w:space="4" w:color="auto"/>
        </w:pBdr>
        <w:shd w:val="clear" w:color="auto" w:fill="DEEAF6" w:themeFill="accent1" w:themeFillTint="33"/>
        <w:spacing w:line="240" w:lineRule="auto"/>
        <w:jc w:val="center"/>
        <w:rPr>
          <w:rFonts w:ascii="Times New Roman" w:hAnsi="Times New Roman" w:cs="Times New Roman"/>
          <w:bCs/>
          <w:sz w:val="18"/>
          <w:lang w:val="en-US"/>
        </w:rPr>
      </w:pPr>
      <w:r w:rsidRPr="00CB119B">
        <w:rPr>
          <w:rFonts w:ascii="Times New Roman" w:eastAsiaTheme="minorEastAsia" w:hAnsi="Times New Roman" w:cs="Times New Roman"/>
          <w:sz w:val="18"/>
          <w:lang w:val="en-US"/>
        </w:rPr>
        <w:t>R</w:t>
      </w:r>
      <w:r w:rsidRPr="00CB119B">
        <w:rPr>
          <w:rFonts w:ascii="Times New Roman" w:eastAsiaTheme="minorEastAsia" w:hAnsi="Times New Roman" w:cs="Times New Roman"/>
          <w:sz w:val="18"/>
          <w:vertAlign w:val="superscript"/>
          <w:lang w:val="en-US"/>
        </w:rPr>
        <w:t>2</w:t>
      </w:r>
      <w:r w:rsidRPr="00CB119B">
        <w:rPr>
          <w:rFonts w:ascii="Times New Roman" w:eastAsiaTheme="minorEastAsia" w:hAnsi="Times New Roman" w:cs="Times New Roman"/>
          <w:sz w:val="18"/>
          <w:lang w:val="en-US"/>
        </w:rPr>
        <w:t>=0.84862   t=-3.9669156   t=11.3989472</w:t>
      </w:r>
    </w:p>
    <w:p w14:paraId="34B1A7B8" w14:textId="385D2A14" w:rsidR="00484ED3" w:rsidRPr="00CB119B" w:rsidRDefault="0067682D" w:rsidP="0067682D">
      <w:pPr>
        <w:pBdr>
          <w:top w:val="single" w:sz="4" w:space="1" w:color="auto"/>
          <w:left w:val="single" w:sz="4" w:space="0" w:color="auto"/>
          <w:bottom w:val="single" w:sz="4" w:space="1" w:color="auto"/>
          <w:right w:val="single" w:sz="4" w:space="4" w:color="auto"/>
        </w:pBdr>
        <w:shd w:val="clear" w:color="auto" w:fill="DEEAF6" w:themeFill="accent1" w:themeFillTint="33"/>
        <w:spacing w:line="240" w:lineRule="auto"/>
        <w:jc w:val="both"/>
        <w:rPr>
          <w:rFonts w:ascii="Times New Roman" w:hAnsi="Times New Roman" w:cs="Times New Roman"/>
          <w:sz w:val="18"/>
        </w:rPr>
      </w:pPr>
      <w:r w:rsidRPr="00CB119B">
        <w:rPr>
          <w:rFonts w:ascii="Times New Roman" w:hAnsi="Times New Roman" w:cs="Times New Roman"/>
          <w:sz w:val="18"/>
        </w:rPr>
        <w:t>El resultado obtenido mediante el uso de regresión lineal se puede interpretar como la respuesta del Impuesto al valor agregado respecto a un aumento de un 1% del producto interno, es decir que por cada aumento de un 1% del PIB el Impuesto al valor agregado crecerá en 1.15%, de manera histórica la elasticidad del IVA respecto a la variable que lo determina ha sido superior al 1%, para los casos en los que es inferior dicha caída puede estar influenciada por factores externos como el precio del petróleo, remesas familiares, precio de los principales commodities y las importaciones, factores internos como la inflación, el tipo de cambio, el consumo y a crisis internas del ente recaudador.</w:t>
      </w:r>
    </w:p>
    <w:p w14:paraId="1E7BFC30" w14:textId="77777777" w:rsidR="0067682D" w:rsidRPr="00CB119B" w:rsidRDefault="0067682D" w:rsidP="0067682D">
      <w:pPr>
        <w:pBdr>
          <w:top w:val="single" w:sz="4" w:space="1" w:color="auto"/>
          <w:left w:val="single" w:sz="4" w:space="0" w:color="auto"/>
          <w:bottom w:val="single" w:sz="4" w:space="1" w:color="auto"/>
          <w:right w:val="single" w:sz="4" w:space="4" w:color="auto"/>
        </w:pBdr>
        <w:shd w:val="clear" w:color="auto" w:fill="DEEAF6" w:themeFill="accent1" w:themeFillTint="33"/>
        <w:spacing w:line="240" w:lineRule="auto"/>
        <w:jc w:val="both"/>
        <w:rPr>
          <w:rFonts w:ascii="Times New Roman" w:hAnsi="Times New Roman" w:cs="Times New Roman"/>
          <w:b/>
          <w:sz w:val="18"/>
        </w:rPr>
      </w:pPr>
      <w:r w:rsidRPr="00CB119B">
        <w:rPr>
          <w:rFonts w:ascii="Times New Roman" w:hAnsi="Times New Roman" w:cs="Times New Roman"/>
          <w:b/>
          <w:sz w:val="18"/>
        </w:rPr>
        <w:t>Impuesto sobre la renta y otros asociados</w:t>
      </w:r>
    </w:p>
    <w:p w14:paraId="158675B6" w14:textId="77777777" w:rsidR="0067682D" w:rsidRPr="00CB119B" w:rsidRDefault="0067682D" w:rsidP="0067682D">
      <w:pPr>
        <w:pBdr>
          <w:top w:val="single" w:sz="4" w:space="1" w:color="auto"/>
          <w:left w:val="single" w:sz="4" w:space="0" w:color="auto"/>
          <w:bottom w:val="single" w:sz="4" w:space="1" w:color="auto"/>
          <w:right w:val="single" w:sz="4" w:space="4" w:color="auto"/>
        </w:pBdr>
        <w:shd w:val="clear" w:color="auto" w:fill="DEEAF6" w:themeFill="accent1" w:themeFillTint="33"/>
        <w:spacing w:line="240" w:lineRule="auto"/>
        <w:jc w:val="center"/>
        <w:rPr>
          <w:rFonts w:ascii="Times New Roman" w:hAnsi="Times New Roman" w:cs="Times New Roman"/>
          <w:sz w:val="18"/>
          <w:lang w:val="en-US"/>
        </w:rPr>
      </w:pPr>
      <w:r w:rsidRPr="00CB119B">
        <w:rPr>
          <w:rFonts w:ascii="Times New Roman" w:hAnsi="Times New Roman" w:cs="Times New Roman"/>
          <w:i/>
          <w:iCs/>
          <w:sz w:val="18"/>
          <w:lang w:val="en-US"/>
        </w:rPr>
        <w:t>ln</w:t>
      </w:r>
      <w:r w:rsidRPr="00CB119B">
        <w:rPr>
          <w:rFonts w:ascii="Times New Roman" w:hAnsi="Times New Roman" w:cs="Times New Roman"/>
          <w:sz w:val="18"/>
          <w:lang w:val="en-US"/>
        </w:rPr>
        <w:t>(ISRt)=   -12.61254716 +</w:t>
      </w:r>
      <w:r w:rsidRPr="00CB119B">
        <w:rPr>
          <w:rFonts w:ascii="Times New Roman" w:hAnsi="Times New Roman" w:cs="Times New Roman"/>
          <w:sz w:val="18"/>
          <w:lang w:val="en-US"/>
        </w:rPr>
        <w:tab/>
        <w:t>1.752301841*</w:t>
      </w:r>
      <w:r w:rsidRPr="00CB119B">
        <w:rPr>
          <w:rFonts w:ascii="Times New Roman" w:hAnsi="Times New Roman" w:cs="Times New Roman"/>
          <w:i/>
          <w:iCs/>
          <w:sz w:val="18"/>
          <w:lang w:val="en-US"/>
        </w:rPr>
        <w:t>ln</w:t>
      </w:r>
      <w:r w:rsidRPr="00CB119B">
        <w:rPr>
          <w:rFonts w:ascii="Times New Roman" w:hAnsi="Times New Roman" w:cs="Times New Roman"/>
          <w:sz w:val="18"/>
          <w:lang w:val="en-US"/>
        </w:rPr>
        <w:t>(PIBt)</w:t>
      </w:r>
    </w:p>
    <w:p w14:paraId="625E8A67" w14:textId="77777777" w:rsidR="0067682D" w:rsidRPr="00CB119B" w:rsidRDefault="0067682D" w:rsidP="0067682D">
      <w:pPr>
        <w:pBdr>
          <w:top w:val="single" w:sz="4" w:space="1" w:color="auto"/>
          <w:left w:val="single" w:sz="4" w:space="0" w:color="auto"/>
          <w:bottom w:val="single" w:sz="4" w:space="1" w:color="auto"/>
          <w:right w:val="single" w:sz="4" w:space="4" w:color="auto"/>
        </w:pBdr>
        <w:shd w:val="clear" w:color="auto" w:fill="DEEAF6" w:themeFill="accent1" w:themeFillTint="33"/>
        <w:spacing w:line="240" w:lineRule="auto"/>
        <w:jc w:val="center"/>
        <w:rPr>
          <w:rFonts w:ascii="Times New Roman" w:hAnsi="Times New Roman" w:cs="Times New Roman"/>
          <w:sz w:val="18"/>
          <w:lang w:val="en-US"/>
        </w:rPr>
      </w:pPr>
      <w:r w:rsidRPr="00CB119B">
        <w:rPr>
          <w:rFonts w:ascii="Times New Roman" w:hAnsi="Times New Roman" w:cs="Times New Roman"/>
          <w:sz w:val="18"/>
          <w:lang w:val="en-US"/>
        </w:rPr>
        <w:t>R</w:t>
      </w:r>
      <w:r w:rsidRPr="00CB119B">
        <w:rPr>
          <w:rFonts w:ascii="Times New Roman" w:hAnsi="Times New Roman" w:cs="Times New Roman"/>
          <w:sz w:val="18"/>
          <w:vertAlign w:val="superscript"/>
          <w:lang w:val="en-US"/>
        </w:rPr>
        <w:t>2</w:t>
      </w:r>
      <w:r w:rsidRPr="00CB119B">
        <w:rPr>
          <w:rFonts w:ascii="Times New Roman" w:hAnsi="Times New Roman" w:cs="Times New Roman"/>
          <w:sz w:val="18"/>
          <w:lang w:val="en-US"/>
        </w:rPr>
        <w:t>=0.96228</w:t>
      </w:r>
      <w:r w:rsidRPr="00CB119B">
        <w:rPr>
          <w:rFonts w:ascii="Times New Roman" w:hAnsi="Times New Roman" w:cs="Times New Roman"/>
          <w:sz w:val="18"/>
          <w:lang w:val="en-US"/>
        </w:rPr>
        <w:tab/>
        <w:t>t=-14.4309497</w:t>
      </w:r>
      <w:r w:rsidRPr="00CB119B">
        <w:rPr>
          <w:rFonts w:ascii="Times New Roman" w:hAnsi="Times New Roman" w:cs="Times New Roman"/>
          <w:sz w:val="18"/>
          <w:lang w:val="en-US"/>
        </w:rPr>
        <w:tab/>
        <w:t>t=24.2440556</w:t>
      </w:r>
    </w:p>
    <w:p w14:paraId="5FF06F9A" w14:textId="77777777" w:rsidR="0067682D" w:rsidRPr="00CB119B" w:rsidRDefault="0067682D" w:rsidP="0067682D">
      <w:pPr>
        <w:pBdr>
          <w:top w:val="single" w:sz="4" w:space="1" w:color="auto"/>
          <w:left w:val="single" w:sz="4" w:space="0" w:color="auto"/>
          <w:bottom w:val="single" w:sz="4" w:space="1" w:color="auto"/>
          <w:right w:val="single" w:sz="4" w:space="4" w:color="auto"/>
        </w:pBdr>
        <w:shd w:val="clear" w:color="auto" w:fill="DEEAF6" w:themeFill="accent1" w:themeFillTint="33"/>
        <w:spacing w:line="240" w:lineRule="auto"/>
        <w:jc w:val="both"/>
        <w:rPr>
          <w:rFonts w:ascii="Times New Roman" w:hAnsi="Times New Roman" w:cs="Times New Roman"/>
          <w:sz w:val="18"/>
        </w:rPr>
      </w:pPr>
      <w:r w:rsidRPr="00CB119B">
        <w:rPr>
          <w:rFonts w:ascii="Times New Roman" w:hAnsi="Times New Roman" w:cs="Times New Roman"/>
          <w:sz w:val="18"/>
        </w:rPr>
        <w:t>En este caso se considera el impuesto a la renta y los impuestos asociados a cuenta de ISR tales como el Impuesto de solidaridad, el Impuesto extraordinario y temporal de acuerdos de paz, el Impuesto a las empresas mercantiles y agropecuarias, el cálculo de elasticidad para este impuesto es de 1.75%, es decir que por el aumento de un 1% del producto interno bruto el Impuesto a la renta y asociados aumentaría en 1.75%, de igual manera que para el caso anterior este impuesto está sujeto a reformas tributarias, la más reciente aprobada en 2012 que daba vigencia a un nuevo impuesto sobre la renta cedular y que contenía una baja en tasas impositivas de manera gradual hasta 2015 en el régimen de actividades lucrativas dejándolo en 25%.</w:t>
      </w:r>
    </w:p>
    <w:p w14:paraId="25F64D26" w14:textId="77777777" w:rsidR="0067682D" w:rsidRPr="00CB119B" w:rsidRDefault="0067682D" w:rsidP="0067682D">
      <w:pPr>
        <w:spacing w:after="0" w:line="240" w:lineRule="auto"/>
        <w:jc w:val="both"/>
        <w:rPr>
          <w:rFonts w:ascii="Times New Roman" w:hAnsi="Times New Roman" w:cs="Times New Roman"/>
        </w:rPr>
      </w:pPr>
      <w:r w:rsidRPr="00CB119B">
        <w:rPr>
          <w:rFonts w:ascii="Times New Roman" w:hAnsi="Times New Roman" w:cs="Times New Roman"/>
        </w:rPr>
        <w:t>La metodología que se utiliza para el desarrollo de las estimaciones de recaudación tributaria es el método directo, el cual como se indicó con anterioridad precisa del conocimiento y seguimiento de la recaudación tributaria a nivel de impuesto, así como del marco legal vigente.</w:t>
      </w:r>
    </w:p>
    <w:p w14:paraId="74FA7B5A" w14:textId="77777777" w:rsidR="0067682D" w:rsidRPr="00CB119B" w:rsidRDefault="0067682D" w:rsidP="0067682D">
      <w:pPr>
        <w:spacing w:after="0" w:line="240" w:lineRule="auto"/>
        <w:jc w:val="both"/>
        <w:rPr>
          <w:rFonts w:ascii="Times New Roman" w:hAnsi="Times New Roman" w:cs="Times New Roman"/>
        </w:rPr>
      </w:pPr>
    </w:p>
    <w:p w14:paraId="485B0FA6" w14:textId="77777777" w:rsidR="0067682D" w:rsidRPr="00CB119B" w:rsidRDefault="0067682D" w:rsidP="0067682D">
      <w:pPr>
        <w:spacing w:after="0" w:line="240" w:lineRule="auto"/>
        <w:jc w:val="both"/>
        <w:rPr>
          <w:rFonts w:ascii="Times New Roman" w:hAnsi="Times New Roman" w:cs="Times New Roman"/>
        </w:rPr>
      </w:pPr>
      <w:r w:rsidRPr="00CB119B">
        <w:rPr>
          <w:rFonts w:ascii="Times New Roman" w:hAnsi="Times New Roman" w:cs="Times New Roman"/>
        </w:rPr>
        <w:t>La metodología de estimación técnica considera en términos generales los siguientes aspectos:</w:t>
      </w:r>
    </w:p>
    <w:p w14:paraId="68743921" w14:textId="77777777" w:rsidR="0067682D" w:rsidRPr="00CB119B" w:rsidRDefault="0067682D" w:rsidP="0067682D">
      <w:pPr>
        <w:spacing w:after="0" w:line="240" w:lineRule="auto"/>
        <w:jc w:val="both"/>
        <w:rPr>
          <w:rFonts w:ascii="Times New Roman" w:hAnsi="Times New Roman" w:cs="Times New Roman"/>
        </w:rPr>
      </w:pPr>
    </w:p>
    <w:p w14:paraId="4DC0A16C" w14:textId="77777777" w:rsidR="0067682D" w:rsidRPr="00CB119B" w:rsidRDefault="0067682D" w:rsidP="001032E7">
      <w:pPr>
        <w:pStyle w:val="Prrafodelista"/>
        <w:numPr>
          <w:ilvl w:val="0"/>
          <w:numId w:val="41"/>
        </w:numPr>
        <w:spacing w:after="0" w:line="240" w:lineRule="auto"/>
        <w:ind w:left="851"/>
        <w:jc w:val="both"/>
        <w:rPr>
          <w:rFonts w:ascii="Times New Roman" w:hAnsi="Times New Roman" w:cs="Times New Roman"/>
        </w:rPr>
      </w:pPr>
      <w:r w:rsidRPr="00CB119B">
        <w:rPr>
          <w:rFonts w:ascii="Times New Roman" w:hAnsi="Times New Roman" w:cs="Times New Roman"/>
        </w:rPr>
        <w:t>Comportamiento de las variables macroeconómicas elaboradas por el Banco de Guatemala, Producto Interno Bruto real, Producto Interno Bruto Nominal, Importaciones, Exportaciones e Inflación (escenarios bajo, medio y alto).</w:t>
      </w:r>
    </w:p>
    <w:p w14:paraId="71FD7E6E" w14:textId="77777777" w:rsidR="0067682D" w:rsidRPr="00CB119B" w:rsidRDefault="0067682D" w:rsidP="001032E7">
      <w:pPr>
        <w:pStyle w:val="Prrafodelista"/>
        <w:numPr>
          <w:ilvl w:val="0"/>
          <w:numId w:val="41"/>
        </w:numPr>
        <w:spacing w:after="0" w:line="240" w:lineRule="auto"/>
        <w:ind w:left="851"/>
        <w:jc w:val="both"/>
        <w:rPr>
          <w:rFonts w:ascii="Times New Roman" w:hAnsi="Times New Roman" w:cs="Times New Roman"/>
        </w:rPr>
      </w:pPr>
      <w:r w:rsidRPr="00CB119B">
        <w:rPr>
          <w:rFonts w:ascii="Times New Roman" w:hAnsi="Times New Roman" w:cs="Times New Roman"/>
        </w:rPr>
        <w:t>Tipo de cambio</w:t>
      </w:r>
    </w:p>
    <w:p w14:paraId="24E825C4" w14:textId="77777777" w:rsidR="0067682D" w:rsidRPr="00CB119B" w:rsidRDefault="0067682D" w:rsidP="001032E7">
      <w:pPr>
        <w:pStyle w:val="Prrafodelista"/>
        <w:numPr>
          <w:ilvl w:val="0"/>
          <w:numId w:val="41"/>
        </w:numPr>
        <w:spacing w:after="0" w:line="240" w:lineRule="auto"/>
        <w:ind w:left="851"/>
        <w:jc w:val="both"/>
        <w:rPr>
          <w:rFonts w:ascii="Times New Roman" w:hAnsi="Times New Roman" w:cs="Times New Roman"/>
        </w:rPr>
      </w:pPr>
      <w:r w:rsidRPr="00CB119B">
        <w:rPr>
          <w:rFonts w:ascii="Times New Roman" w:hAnsi="Times New Roman" w:cs="Times New Roman"/>
        </w:rPr>
        <w:t xml:space="preserve">El precio internacional del petróleo </w:t>
      </w:r>
    </w:p>
    <w:p w14:paraId="78FDA7F1" w14:textId="77777777" w:rsidR="0067682D" w:rsidRPr="00CB119B" w:rsidRDefault="0067682D" w:rsidP="001032E7">
      <w:pPr>
        <w:pStyle w:val="Prrafodelista"/>
        <w:numPr>
          <w:ilvl w:val="0"/>
          <w:numId w:val="41"/>
        </w:numPr>
        <w:spacing w:after="0" w:line="240" w:lineRule="auto"/>
        <w:ind w:left="851"/>
        <w:jc w:val="both"/>
        <w:rPr>
          <w:rFonts w:ascii="Times New Roman" w:hAnsi="Times New Roman" w:cs="Times New Roman"/>
        </w:rPr>
      </w:pPr>
      <w:r w:rsidRPr="00CB119B">
        <w:rPr>
          <w:rFonts w:ascii="Times New Roman" w:hAnsi="Times New Roman" w:cs="Times New Roman"/>
        </w:rPr>
        <w:t xml:space="preserve">Considera crédito de ISO a cuenta del ISR </w:t>
      </w:r>
    </w:p>
    <w:p w14:paraId="3620BD4A" w14:textId="77777777" w:rsidR="0067682D" w:rsidRPr="00CB119B" w:rsidRDefault="0067682D" w:rsidP="001032E7">
      <w:pPr>
        <w:pStyle w:val="Prrafodelista"/>
        <w:numPr>
          <w:ilvl w:val="0"/>
          <w:numId w:val="41"/>
        </w:numPr>
        <w:spacing w:after="0" w:line="240" w:lineRule="auto"/>
        <w:ind w:left="851"/>
        <w:jc w:val="both"/>
        <w:rPr>
          <w:rFonts w:ascii="Times New Roman" w:hAnsi="Times New Roman" w:cs="Times New Roman"/>
        </w:rPr>
      </w:pPr>
      <w:r w:rsidRPr="00CB119B">
        <w:rPr>
          <w:rFonts w:ascii="Times New Roman" w:hAnsi="Times New Roman" w:cs="Times New Roman"/>
        </w:rPr>
        <w:t xml:space="preserve">El escenario base </w:t>
      </w:r>
      <w:r w:rsidRPr="00CB119B">
        <w:rPr>
          <w:rFonts w:ascii="Times New Roman" w:hAnsi="Times New Roman" w:cs="Times New Roman"/>
          <w:i/>
        </w:rPr>
        <w:t>(cierre fiscal del año anterior al que se está pronosticando)</w:t>
      </w:r>
      <w:r w:rsidRPr="00CB119B">
        <w:rPr>
          <w:rFonts w:ascii="Times New Roman" w:hAnsi="Times New Roman" w:cs="Times New Roman"/>
        </w:rPr>
        <w:t xml:space="preserve"> restando recaudación originada por multas, intereses, moras y extraordinaria.</w:t>
      </w:r>
    </w:p>
    <w:p w14:paraId="210A99B9" w14:textId="77777777" w:rsidR="0067682D" w:rsidRPr="00CB119B" w:rsidRDefault="0067682D" w:rsidP="0067682D">
      <w:pPr>
        <w:pStyle w:val="Prrafodelista"/>
        <w:spacing w:after="0" w:line="240" w:lineRule="auto"/>
        <w:jc w:val="both"/>
        <w:rPr>
          <w:rFonts w:ascii="Times New Roman" w:hAnsi="Times New Roman" w:cs="Times New Roman"/>
        </w:rPr>
      </w:pPr>
    </w:p>
    <w:p w14:paraId="2EB81FE1" w14:textId="77777777" w:rsidR="0067682D" w:rsidRPr="00CB119B" w:rsidRDefault="0067682D" w:rsidP="0067682D">
      <w:pPr>
        <w:spacing w:after="0" w:line="240" w:lineRule="auto"/>
        <w:jc w:val="both"/>
        <w:rPr>
          <w:rFonts w:ascii="Times New Roman" w:hAnsi="Times New Roman" w:cs="Times New Roman"/>
        </w:rPr>
      </w:pPr>
      <w:r w:rsidRPr="00CB119B">
        <w:rPr>
          <w:rFonts w:ascii="Times New Roman" w:hAnsi="Times New Roman" w:cs="Times New Roman"/>
        </w:rPr>
        <w:t>En los meses de abril y mayo de cada año da inicio el ejercicio de estimación de ingresos tributarios el cual servirá de base para consensuar la estimación técnica entre el Ministerio de Finanzas Públicas y la Superintendencia de Administración Tributaria, una vez se logra acordar el monto total de la recaudación y su distribución por impuesto, la cual avala la Comisión Técnica de Finanzas Públicas y que aprueba finalmente el Congreso de la República cuando aprueba el Presupuesto General de Ingresos y Egresos del Estado, el Superintendente de la Administración Tributaria suscribe un convenio de cumplimiento de metas de recaudación con el Ministro de Finanzas Públicas.</w:t>
      </w:r>
    </w:p>
    <w:p w14:paraId="68ABD420" w14:textId="77777777" w:rsidR="0067682D" w:rsidRPr="00CB119B" w:rsidRDefault="0067682D" w:rsidP="0067682D">
      <w:pPr>
        <w:spacing w:after="0" w:line="240" w:lineRule="auto"/>
        <w:jc w:val="both"/>
        <w:rPr>
          <w:rFonts w:ascii="Times New Roman" w:hAnsi="Times New Roman" w:cs="Times New Roman"/>
        </w:rPr>
      </w:pPr>
    </w:p>
    <w:p w14:paraId="22F5C437" w14:textId="77777777" w:rsidR="0067682D" w:rsidRPr="00CB119B" w:rsidRDefault="0067682D" w:rsidP="0067682D">
      <w:pPr>
        <w:spacing w:after="0" w:line="240" w:lineRule="auto"/>
        <w:jc w:val="both"/>
        <w:rPr>
          <w:rFonts w:ascii="Times New Roman" w:hAnsi="Times New Roman" w:cs="Times New Roman"/>
        </w:rPr>
      </w:pPr>
      <w:r w:rsidRPr="00CB119B">
        <w:rPr>
          <w:rFonts w:ascii="Times New Roman" w:hAnsi="Times New Roman" w:cs="Times New Roman"/>
        </w:rPr>
        <w:t>De manera general, se puede resumir la metodología de estimación de cada impuesto con la siguiente función:</w:t>
      </w:r>
    </w:p>
    <w:p w14:paraId="49753DBC" w14:textId="77777777" w:rsidR="0067682D" w:rsidRPr="00CB119B" w:rsidRDefault="0067682D" w:rsidP="0067682D">
      <w:pPr>
        <w:spacing w:after="0" w:line="240" w:lineRule="auto"/>
        <w:jc w:val="both"/>
        <w:rPr>
          <w:rFonts w:ascii="Times New Roman" w:hAnsi="Times New Roman" w:cs="Times New Roman"/>
        </w:rPr>
      </w:pPr>
    </w:p>
    <w:p w14:paraId="31CE2146" w14:textId="77777777" w:rsidR="0067682D" w:rsidRPr="00CB119B" w:rsidRDefault="006D2997" w:rsidP="0067682D">
      <w:p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Impuesto</m:t>
              </m:r>
            </m:e>
            <m:sub>
              <m:r>
                <w:rPr>
                  <w:rFonts w:ascii="Cambria Math" w:hAnsi="Cambria Math" w:cs="Times New Roman"/>
                </w:rPr>
                <m:t>(t+1)</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Impuesto recaudado</m:t>
              </m:r>
            </m:e>
            <m:sub>
              <m:r>
                <w:rPr>
                  <w:rFonts w:ascii="Cambria Math" w:hAnsi="Cambria Math" w:cs="Times New Roman"/>
                </w:rPr>
                <m:t>(t-1)</m:t>
              </m:r>
            </m:sub>
          </m:sSub>
          <m:r>
            <w:rPr>
              <w:rFonts w:ascii="Cambria Math" w:hAnsi="Cambria Math" w:cs="Times New Roman"/>
            </w:rPr>
            <m:t>+</m:t>
          </m:r>
          <m:d>
            <m:dPr>
              <m:begChr m:val="{"/>
              <m:endChr m:val="}"/>
              <m:ctrlPr>
                <w:rPr>
                  <w:rFonts w:ascii="Cambria Math" w:hAnsi="Cambria Math" w:cs="Times New Roman"/>
                  <w:i/>
                </w:rPr>
              </m:ctrlPr>
            </m:dPr>
            <m:e>
              <m:r>
                <w:rPr>
                  <w:rFonts w:ascii="Cambria Math" w:hAnsi="Cambria Math" w:cs="Times New Roman"/>
                </w:rPr>
                <m:t>Escenario Macroeconómico</m:t>
              </m:r>
            </m:e>
          </m:d>
          <m:r>
            <w:rPr>
              <w:rFonts w:ascii="Cambria Math" w:hAnsi="Cambria Math" w:cs="Times New Roman"/>
            </w:rPr>
            <m:t xml:space="preserve"> ±</m:t>
          </m:r>
          <m:d>
            <m:dPr>
              <m:begChr m:val="{"/>
              <m:endChr m:val="}"/>
              <m:ctrlPr>
                <w:rPr>
                  <w:rFonts w:ascii="Cambria Math" w:hAnsi="Cambria Math" w:cs="Times New Roman"/>
                  <w:i/>
                </w:rPr>
              </m:ctrlPr>
            </m:dPr>
            <m:e>
              <m:r>
                <w:rPr>
                  <w:rFonts w:ascii="Cambria Math" w:hAnsi="Cambria Math" w:cs="Times New Roman"/>
                </w:rPr>
                <m:t>Marco Legal</m:t>
              </m:r>
            </m:e>
          </m:d>
          <m:r>
            <w:rPr>
              <w:rFonts w:ascii="Cambria Math" w:hAnsi="Cambria Math" w:cs="Times New Roman"/>
            </w:rPr>
            <m:t>±</m:t>
          </m:r>
          <m:d>
            <m:dPr>
              <m:begChr m:val="{"/>
              <m:endChr m:val="}"/>
              <m:ctrlPr>
                <w:rPr>
                  <w:rFonts w:ascii="Cambria Math" w:hAnsi="Cambria Math" w:cs="Times New Roman"/>
                  <w:i/>
                </w:rPr>
              </m:ctrlPr>
            </m:dPr>
            <m:e>
              <m:r>
                <w:rPr>
                  <w:rFonts w:ascii="Cambria Math" w:hAnsi="Cambria Math" w:cs="Times New Roman"/>
                </w:rPr>
                <m:t>Ajustes</m:t>
              </m:r>
            </m:e>
          </m:d>
        </m:oMath>
      </m:oMathPara>
    </w:p>
    <w:p w14:paraId="4BDF5B50" w14:textId="77777777" w:rsidR="0067682D" w:rsidRPr="00CB119B" w:rsidRDefault="0067682D" w:rsidP="0067682D">
      <w:pPr>
        <w:spacing w:after="0"/>
        <w:jc w:val="both"/>
        <w:rPr>
          <w:rFonts w:ascii="Times New Roman" w:hAnsi="Times New Roman" w:cs="Times New Roman"/>
          <w:i/>
        </w:rPr>
      </w:pPr>
      <w:r w:rsidRPr="00CB119B">
        <w:rPr>
          <w:rFonts w:ascii="Times New Roman" w:hAnsi="Times New Roman" w:cs="Times New Roman"/>
          <w:i/>
        </w:rPr>
        <w:t>Donde:</w:t>
      </w:r>
    </w:p>
    <w:tbl>
      <w:tblPr>
        <w:tblW w:w="0" w:type="auto"/>
        <w:jc w:val="right"/>
        <w:tblLook w:val="04A0" w:firstRow="1" w:lastRow="0" w:firstColumn="1" w:lastColumn="0" w:noHBand="0" w:noVBand="1"/>
      </w:tblPr>
      <w:tblGrid>
        <w:gridCol w:w="2695"/>
        <w:gridCol w:w="5670"/>
      </w:tblGrid>
      <w:tr w:rsidR="0067682D" w:rsidRPr="00CB119B" w14:paraId="32443C02" w14:textId="77777777" w:rsidTr="00B51EF7">
        <w:trPr>
          <w:jc w:val="right"/>
        </w:trPr>
        <w:tc>
          <w:tcPr>
            <w:tcW w:w="2695" w:type="dxa"/>
          </w:tcPr>
          <w:p w14:paraId="52BEE095" w14:textId="77777777" w:rsidR="0067682D" w:rsidRPr="00CB119B" w:rsidRDefault="0067682D" w:rsidP="00B51EF7">
            <w:pPr>
              <w:spacing w:after="0"/>
              <w:jc w:val="both"/>
              <w:rPr>
                <w:rFonts w:ascii="Times New Roman" w:hAnsi="Times New Roman" w:cs="Times New Roman"/>
                <w:i/>
                <w:sz w:val="20"/>
              </w:rPr>
            </w:pPr>
            <w:r w:rsidRPr="00CB119B">
              <w:rPr>
                <w:rFonts w:ascii="Times New Roman" w:hAnsi="Times New Roman" w:cs="Times New Roman"/>
                <w:i/>
                <w:sz w:val="20"/>
              </w:rPr>
              <w:t xml:space="preserve">Impuesto </w:t>
            </w:r>
            <w:r w:rsidRPr="00CB119B">
              <w:rPr>
                <w:rFonts w:ascii="Times New Roman" w:hAnsi="Times New Roman" w:cs="Times New Roman"/>
                <w:i/>
                <w:sz w:val="20"/>
                <w:vertAlign w:val="subscript"/>
              </w:rPr>
              <w:t>(t+1)</w:t>
            </w:r>
          </w:p>
        </w:tc>
        <w:tc>
          <w:tcPr>
            <w:tcW w:w="5670" w:type="dxa"/>
          </w:tcPr>
          <w:p w14:paraId="7FBA89C5" w14:textId="77777777" w:rsidR="0067682D" w:rsidRPr="00CB119B" w:rsidRDefault="0067682D" w:rsidP="00B51EF7">
            <w:pPr>
              <w:spacing w:after="0"/>
              <w:jc w:val="both"/>
              <w:rPr>
                <w:rFonts w:ascii="Times New Roman" w:hAnsi="Times New Roman" w:cs="Times New Roman"/>
                <w:i/>
                <w:sz w:val="20"/>
              </w:rPr>
            </w:pPr>
            <w:r w:rsidRPr="00CB119B">
              <w:rPr>
                <w:rFonts w:ascii="Times New Roman" w:hAnsi="Times New Roman" w:cs="Times New Roman"/>
                <w:i/>
                <w:sz w:val="20"/>
              </w:rPr>
              <w:t>Impuesto a estimar</w:t>
            </w:r>
          </w:p>
        </w:tc>
      </w:tr>
      <w:tr w:rsidR="0067682D" w:rsidRPr="00CB119B" w14:paraId="5B1EB56F" w14:textId="77777777" w:rsidTr="00B51EF7">
        <w:trPr>
          <w:jc w:val="right"/>
        </w:trPr>
        <w:tc>
          <w:tcPr>
            <w:tcW w:w="2695" w:type="dxa"/>
          </w:tcPr>
          <w:p w14:paraId="7EBEF2DD" w14:textId="77777777" w:rsidR="0067682D" w:rsidRPr="00CB119B" w:rsidRDefault="0067682D" w:rsidP="00B51EF7">
            <w:pPr>
              <w:spacing w:after="0"/>
              <w:jc w:val="both"/>
              <w:rPr>
                <w:rFonts w:ascii="Times New Roman" w:hAnsi="Times New Roman" w:cs="Times New Roman"/>
                <w:i/>
                <w:sz w:val="20"/>
              </w:rPr>
            </w:pPr>
            <w:r w:rsidRPr="00CB119B">
              <w:rPr>
                <w:rFonts w:ascii="Times New Roman" w:hAnsi="Times New Roman" w:cs="Times New Roman"/>
                <w:i/>
                <w:sz w:val="20"/>
              </w:rPr>
              <w:t>Impuesto recaudado</w:t>
            </w:r>
            <w:r w:rsidRPr="00CB119B">
              <w:rPr>
                <w:rFonts w:ascii="Times New Roman" w:hAnsi="Times New Roman" w:cs="Times New Roman"/>
                <w:i/>
                <w:sz w:val="20"/>
                <w:vertAlign w:val="subscript"/>
              </w:rPr>
              <w:t>(t-1)</w:t>
            </w:r>
          </w:p>
        </w:tc>
        <w:tc>
          <w:tcPr>
            <w:tcW w:w="5670" w:type="dxa"/>
          </w:tcPr>
          <w:p w14:paraId="7E77F5D4" w14:textId="77777777" w:rsidR="0067682D" w:rsidRPr="00CB119B" w:rsidRDefault="0067682D" w:rsidP="00B51EF7">
            <w:pPr>
              <w:spacing w:after="0"/>
              <w:jc w:val="both"/>
              <w:rPr>
                <w:rFonts w:ascii="Times New Roman" w:hAnsi="Times New Roman" w:cs="Times New Roman"/>
                <w:i/>
                <w:sz w:val="20"/>
              </w:rPr>
            </w:pPr>
            <w:r w:rsidRPr="00CB119B">
              <w:rPr>
                <w:rFonts w:ascii="Times New Roman" w:hAnsi="Times New Roman" w:cs="Times New Roman"/>
                <w:i/>
                <w:sz w:val="20"/>
              </w:rPr>
              <w:t>Recaudación observada del año anterior</w:t>
            </w:r>
          </w:p>
        </w:tc>
      </w:tr>
      <w:tr w:rsidR="0067682D" w:rsidRPr="00CB119B" w14:paraId="344B172A" w14:textId="77777777" w:rsidTr="00B51EF7">
        <w:trPr>
          <w:jc w:val="right"/>
        </w:trPr>
        <w:tc>
          <w:tcPr>
            <w:tcW w:w="2695" w:type="dxa"/>
          </w:tcPr>
          <w:p w14:paraId="4423410F" w14:textId="77777777" w:rsidR="0067682D" w:rsidRPr="00CB119B" w:rsidRDefault="0067682D" w:rsidP="00B51EF7">
            <w:pPr>
              <w:spacing w:after="0"/>
              <w:jc w:val="both"/>
              <w:rPr>
                <w:rFonts w:ascii="Times New Roman" w:hAnsi="Times New Roman" w:cs="Times New Roman"/>
                <w:i/>
                <w:sz w:val="20"/>
              </w:rPr>
            </w:pPr>
            <w:r w:rsidRPr="00CB119B">
              <w:rPr>
                <w:rFonts w:ascii="Times New Roman" w:hAnsi="Times New Roman" w:cs="Times New Roman"/>
                <w:i/>
                <w:sz w:val="20"/>
              </w:rPr>
              <w:t>Escenario Macroeconómico</w:t>
            </w:r>
          </w:p>
        </w:tc>
        <w:tc>
          <w:tcPr>
            <w:tcW w:w="5670" w:type="dxa"/>
          </w:tcPr>
          <w:p w14:paraId="1783BF35" w14:textId="77777777" w:rsidR="0067682D" w:rsidRPr="00CB119B" w:rsidRDefault="0067682D" w:rsidP="00B51EF7">
            <w:pPr>
              <w:spacing w:after="0"/>
              <w:jc w:val="both"/>
              <w:rPr>
                <w:rFonts w:ascii="Times New Roman" w:hAnsi="Times New Roman" w:cs="Times New Roman"/>
                <w:i/>
                <w:sz w:val="20"/>
              </w:rPr>
            </w:pPr>
            <w:r w:rsidRPr="00CB119B">
              <w:rPr>
                <w:rFonts w:ascii="Times New Roman" w:hAnsi="Times New Roman" w:cs="Times New Roman"/>
                <w:i/>
                <w:sz w:val="20"/>
              </w:rPr>
              <w:t xml:space="preserve">Recaudación obtenida por variables macroeconómicas </w:t>
            </w:r>
          </w:p>
        </w:tc>
      </w:tr>
      <w:tr w:rsidR="0067682D" w:rsidRPr="00CB119B" w14:paraId="44380406" w14:textId="77777777" w:rsidTr="00B51EF7">
        <w:trPr>
          <w:jc w:val="right"/>
        </w:trPr>
        <w:tc>
          <w:tcPr>
            <w:tcW w:w="2695" w:type="dxa"/>
          </w:tcPr>
          <w:p w14:paraId="3FC487F7" w14:textId="77777777" w:rsidR="0067682D" w:rsidRPr="00CB119B" w:rsidRDefault="0067682D" w:rsidP="00B51EF7">
            <w:pPr>
              <w:spacing w:after="0"/>
              <w:jc w:val="both"/>
              <w:rPr>
                <w:rFonts w:ascii="Times New Roman" w:hAnsi="Times New Roman" w:cs="Times New Roman"/>
                <w:i/>
                <w:sz w:val="20"/>
              </w:rPr>
            </w:pPr>
            <w:r w:rsidRPr="00CB119B">
              <w:rPr>
                <w:rFonts w:ascii="Times New Roman" w:hAnsi="Times New Roman" w:cs="Times New Roman"/>
                <w:i/>
                <w:sz w:val="20"/>
              </w:rPr>
              <w:t>Marco Legal</w:t>
            </w:r>
          </w:p>
        </w:tc>
        <w:tc>
          <w:tcPr>
            <w:tcW w:w="5670" w:type="dxa"/>
          </w:tcPr>
          <w:p w14:paraId="71A0E32C" w14:textId="77777777" w:rsidR="0067682D" w:rsidRPr="00CB119B" w:rsidRDefault="0067682D" w:rsidP="00B51EF7">
            <w:pPr>
              <w:spacing w:after="0"/>
              <w:jc w:val="both"/>
              <w:rPr>
                <w:rFonts w:ascii="Times New Roman" w:hAnsi="Times New Roman" w:cs="Times New Roman"/>
                <w:i/>
                <w:sz w:val="20"/>
              </w:rPr>
            </w:pPr>
            <w:r w:rsidRPr="00CB119B">
              <w:rPr>
                <w:rFonts w:ascii="Times New Roman" w:hAnsi="Times New Roman" w:cs="Times New Roman"/>
                <w:i/>
                <w:sz w:val="20"/>
              </w:rPr>
              <w:t>Marco legal vigente de cada impuesto que se está estimando.</w:t>
            </w:r>
          </w:p>
        </w:tc>
      </w:tr>
      <w:tr w:rsidR="0067682D" w:rsidRPr="00CB119B" w14:paraId="2CD52D1C" w14:textId="77777777" w:rsidTr="00B51EF7">
        <w:trPr>
          <w:jc w:val="right"/>
        </w:trPr>
        <w:tc>
          <w:tcPr>
            <w:tcW w:w="2695" w:type="dxa"/>
          </w:tcPr>
          <w:p w14:paraId="33FF2988" w14:textId="77777777" w:rsidR="0067682D" w:rsidRPr="00CB119B" w:rsidRDefault="0067682D" w:rsidP="00B51EF7">
            <w:pPr>
              <w:spacing w:after="0"/>
              <w:jc w:val="both"/>
              <w:rPr>
                <w:rFonts w:ascii="Times New Roman" w:hAnsi="Times New Roman" w:cs="Times New Roman"/>
                <w:i/>
                <w:sz w:val="20"/>
              </w:rPr>
            </w:pPr>
            <w:r w:rsidRPr="00CB119B">
              <w:rPr>
                <w:rFonts w:ascii="Times New Roman" w:hAnsi="Times New Roman" w:cs="Times New Roman"/>
                <w:i/>
                <w:sz w:val="20"/>
              </w:rPr>
              <w:t>Ajustes</w:t>
            </w:r>
          </w:p>
        </w:tc>
        <w:tc>
          <w:tcPr>
            <w:tcW w:w="5670" w:type="dxa"/>
          </w:tcPr>
          <w:p w14:paraId="5EE90798" w14:textId="77777777" w:rsidR="0067682D" w:rsidRPr="00CB119B" w:rsidRDefault="0067682D" w:rsidP="00B51EF7">
            <w:pPr>
              <w:spacing w:after="0"/>
              <w:jc w:val="both"/>
              <w:rPr>
                <w:rFonts w:ascii="Times New Roman" w:hAnsi="Times New Roman" w:cs="Times New Roman"/>
                <w:i/>
                <w:sz w:val="20"/>
              </w:rPr>
            </w:pPr>
            <w:r w:rsidRPr="00CB119B">
              <w:rPr>
                <w:rFonts w:ascii="Times New Roman" w:hAnsi="Times New Roman" w:cs="Times New Roman"/>
                <w:i/>
                <w:sz w:val="20"/>
              </w:rPr>
              <w:t xml:space="preserve">Recaudación que se puede generar por un crédito o débito en el impuesto que se está estimando. </w:t>
            </w:r>
          </w:p>
        </w:tc>
      </w:tr>
    </w:tbl>
    <w:p w14:paraId="09304B50" w14:textId="77777777" w:rsidR="0067682D" w:rsidRPr="00CB119B" w:rsidRDefault="0067682D" w:rsidP="0067682D">
      <w:pPr>
        <w:spacing w:after="0"/>
        <w:jc w:val="both"/>
        <w:rPr>
          <w:rFonts w:ascii="Times New Roman" w:hAnsi="Times New Roman" w:cs="Times New Roman"/>
          <w:b/>
        </w:rPr>
      </w:pPr>
    </w:p>
    <w:p w14:paraId="1CC6021F" w14:textId="77777777" w:rsidR="0067682D" w:rsidRPr="00CB119B" w:rsidRDefault="0067682D" w:rsidP="0067682D">
      <w:pPr>
        <w:spacing w:after="0" w:line="240" w:lineRule="auto"/>
        <w:jc w:val="both"/>
        <w:rPr>
          <w:rFonts w:ascii="Times New Roman" w:hAnsi="Times New Roman" w:cs="Times New Roman"/>
        </w:rPr>
      </w:pPr>
      <w:r w:rsidRPr="00CB119B">
        <w:rPr>
          <w:rFonts w:ascii="Times New Roman" w:hAnsi="Times New Roman" w:cs="Times New Roman"/>
        </w:rPr>
        <w:t>De esa cuenta, es posible establecer la base de estimación de cada impuesto, la cual depende de las características especiales del tributo, que están en función de la base imponible y de las variables macroeconómicas que lo determinan, las cuales se detallan a continuación:</w:t>
      </w:r>
      <w:r w:rsidRPr="00CB119B">
        <w:rPr>
          <w:rFonts w:ascii="Times New Roman" w:hAnsi="Times New Roman" w:cs="Times New Roman"/>
        </w:rPr>
        <w:tab/>
      </w:r>
    </w:p>
    <w:p w14:paraId="734C32BB" w14:textId="77777777" w:rsidR="0067682D" w:rsidRPr="00CB119B" w:rsidRDefault="0067682D" w:rsidP="0067682D">
      <w:pPr>
        <w:spacing w:after="0" w:line="240" w:lineRule="auto"/>
        <w:jc w:val="both"/>
        <w:rPr>
          <w:rFonts w:ascii="Times New Roman" w:hAnsi="Times New Roman" w:cs="Times New Roman"/>
        </w:rPr>
      </w:pPr>
    </w:p>
    <w:p w14:paraId="4D43171C" w14:textId="0316CCDF" w:rsidR="0067682D" w:rsidRPr="003E14B7" w:rsidRDefault="0014127C" w:rsidP="0014127C">
      <w:pPr>
        <w:pStyle w:val="Epgrafe"/>
        <w:jc w:val="center"/>
        <w:rPr>
          <w:rFonts w:ascii="Times New Roman" w:hAnsi="Times New Roman" w:cs="Times New Roman"/>
          <w:b/>
          <w:color w:val="auto"/>
          <w:sz w:val="24"/>
        </w:rPr>
      </w:pPr>
      <w:bookmarkStart w:id="1743" w:name="_Toc16160563"/>
      <w:bookmarkStart w:id="1744" w:name="_Toc49939509"/>
      <w:bookmarkStart w:id="1745" w:name="_Toc81573041"/>
      <w:r w:rsidRPr="003E14B7">
        <w:rPr>
          <w:rFonts w:ascii="Times New Roman" w:hAnsi="Times New Roman" w:cs="Times New Roman"/>
          <w:b/>
          <w:color w:val="auto"/>
          <w:sz w:val="20"/>
        </w:rPr>
        <w:t xml:space="preserve">Tabla </w:t>
      </w:r>
      <w:r w:rsidRPr="003E14B7">
        <w:rPr>
          <w:rFonts w:ascii="Times New Roman" w:hAnsi="Times New Roman" w:cs="Times New Roman"/>
          <w:b/>
          <w:color w:val="auto"/>
          <w:sz w:val="20"/>
        </w:rPr>
        <w:fldChar w:fldCharType="begin"/>
      </w:r>
      <w:r w:rsidRPr="003E14B7">
        <w:rPr>
          <w:rFonts w:ascii="Times New Roman" w:hAnsi="Times New Roman" w:cs="Times New Roman"/>
          <w:b/>
          <w:color w:val="auto"/>
          <w:sz w:val="20"/>
        </w:rPr>
        <w:instrText xml:space="preserve"> SEQ Tabla \* ARABIC </w:instrText>
      </w:r>
      <w:r w:rsidRPr="003E14B7">
        <w:rPr>
          <w:rFonts w:ascii="Times New Roman" w:hAnsi="Times New Roman" w:cs="Times New Roman"/>
          <w:b/>
          <w:color w:val="auto"/>
          <w:sz w:val="20"/>
        </w:rPr>
        <w:fldChar w:fldCharType="separate"/>
      </w:r>
      <w:r w:rsidR="009E18F8">
        <w:rPr>
          <w:rFonts w:ascii="Times New Roman" w:hAnsi="Times New Roman" w:cs="Times New Roman"/>
          <w:b/>
          <w:noProof/>
          <w:color w:val="auto"/>
          <w:sz w:val="20"/>
        </w:rPr>
        <w:t>19</w:t>
      </w:r>
      <w:r w:rsidRPr="003E14B7">
        <w:rPr>
          <w:rFonts w:ascii="Times New Roman" w:hAnsi="Times New Roman" w:cs="Times New Roman"/>
          <w:b/>
          <w:color w:val="auto"/>
          <w:sz w:val="20"/>
        </w:rPr>
        <w:fldChar w:fldCharType="end"/>
      </w:r>
      <w:r w:rsidRPr="003E14B7">
        <w:rPr>
          <w:rFonts w:ascii="Times New Roman" w:hAnsi="Times New Roman" w:cs="Times New Roman"/>
          <w:b/>
          <w:color w:val="auto"/>
          <w:sz w:val="20"/>
        </w:rPr>
        <w:t xml:space="preserve"> </w:t>
      </w:r>
      <w:r w:rsidR="0067682D" w:rsidRPr="003E14B7">
        <w:rPr>
          <w:rFonts w:ascii="Times New Roman" w:hAnsi="Times New Roman" w:cs="Times New Roman"/>
          <w:b/>
          <w:color w:val="auto"/>
          <w:sz w:val="24"/>
        </w:rPr>
        <w:t xml:space="preserve"> Base de estimación por impuesto</w:t>
      </w:r>
      <w:bookmarkEnd w:id="1743"/>
      <w:bookmarkEnd w:id="1744"/>
      <w:bookmarkEnd w:id="17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ook w:val="04A0" w:firstRow="1" w:lastRow="0" w:firstColumn="1" w:lastColumn="0" w:noHBand="0" w:noVBand="1"/>
      </w:tblPr>
      <w:tblGrid>
        <w:gridCol w:w="3689"/>
        <w:gridCol w:w="5139"/>
      </w:tblGrid>
      <w:tr w:rsidR="0067682D" w:rsidRPr="00CB119B" w14:paraId="47A74A73" w14:textId="77777777" w:rsidTr="00B51EF7">
        <w:trPr>
          <w:trHeight w:val="422"/>
        </w:trPr>
        <w:tc>
          <w:tcPr>
            <w:tcW w:w="3689" w:type="dxa"/>
            <w:shd w:val="clear" w:color="auto" w:fill="BDD6EE" w:themeFill="accent1" w:themeFillTint="66"/>
            <w:vAlign w:val="center"/>
          </w:tcPr>
          <w:p w14:paraId="21DA6BA9" w14:textId="77777777" w:rsidR="0067682D" w:rsidRPr="00CB119B" w:rsidRDefault="0067682D" w:rsidP="00B51EF7">
            <w:pPr>
              <w:jc w:val="center"/>
              <w:rPr>
                <w:rFonts w:ascii="Times New Roman" w:hAnsi="Times New Roman" w:cs="Times New Roman"/>
                <w:b/>
              </w:rPr>
            </w:pPr>
            <w:r w:rsidRPr="00CB119B">
              <w:rPr>
                <w:rFonts w:ascii="Times New Roman" w:hAnsi="Times New Roman" w:cs="Times New Roman"/>
                <w:b/>
              </w:rPr>
              <w:t>Impuesto</w:t>
            </w:r>
          </w:p>
        </w:tc>
        <w:tc>
          <w:tcPr>
            <w:tcW w:w="5139" w:type="dxa"/>
            <w:shd w:val="clear" w:color="auto" w:fill="9CC2E5" w:themeFill="accent1" w:themeFillTint="99"/>
            <w:vAlign w:val="center"/>
          </w:tcPr>
          <w:p w14:paraId="5360E7BE" w14:textId="77777777" w:rsidR="0067682D" w:rsidRPr="00CB119B" w:rsidRDefault="0067682D" w:rsidP="00B51EF7">
            <w:pPr>
              <w:spacing w:after="0"/>
              <w:jc w:val="center"/>
              <w:rPr>
                <w:rFonts w:ascii="Times New Roman" w:hAnsi="Times New Roman" w:cs="Times New Roman"/>
                <w:b/>
              </w:rPr>
            </w:pPr>
            <w:r w:rsidRPr="00CB119B">
              <w:rPr>
                <w:rFonts w:ascii="Times New Roman" w:hAnsi="Times New Roman" w:cs="Times New Roman"/>
                <w:b/>
              </w:rPr>
              <w:t>La base de estimación para cada impuesto la constituye</w:t>
            </w:r>
          </w:p>
        </w:tc>
      </w:tr>
      <w:tr w:rsidR="0067682D" w:rsidRPr="00CB119B" w14:paraId="16270CFB" w14:textId="77777777" w:rsidTr="00B51EF7">
        <w:trPr>
          <w:trHeight w:val="1033"/>
        </w:trPr>
        <w:tc>
          <w:tcPr>
            <w:tcW w:w="3689" w:type="dxa"/>
            <w:shd w:val="clear" w:color="auto" w:fill="BDD6EE" w:themeFill="accent1" w:themeFillTint="66"/>
            <w:vAlign w:val="center"/>
          </w:tcPr>
          <w:p w14:paraId="77E0033A" w14:textId="77777777" w:rsidR="0067682D" w:rsidRPr="00CB119B" w:rsidRDefault="0067682D" w:rsidP="00B51EF7">
            <w:pPr>
              <w:spacing w:after="0"/>
              <w:jc w:val="both"/>
              <w:rPr>
                <w:rFonts w:ascii="Times New Roman" w:hAnsi="Times New Roman" w:cs="Times New Roman"/>
                <w:sz w:val="20"/>
              </w:rPr>
            </w:pPr>
            <w:r w:rsidRPr="00CB119B">
              <w:rPr>
                <w:rFonts w:ascii="Times New Roman" w:hAnsi="Times New Roman" w:cs="Times New Roman"/>
                <w:sz w:val="20"/>
              </w:rPr>
              <w:t>Impuesto sobre la renta</w:t>
            </w:r>
          </w:p>
        </w:tc>
        <w:tc>
          <w:tcPr>
            <w:tcW w:w="5139" w:type="dxa"/>
            <w:shd w:val="clear" w:color="auto" w:fill="9CC2E5" w:themeFill="accent1" w:themeFillTint="99"/>
            <w:vAlign w:val="center"/>
          </w:tcPr>
          <w:p w14:paraId="67E8C606" w14:textId="77777777" w:rsidR="0067682D" w:rsidRPr="00CB119B" w:rsidRDefault="0067682D" w:rsidP="001032E7">
            <w:pPr>
              <w:pStyle w:val="Prrafodelista"/>
              <w:numPr>
                <w:ilvl w:val="0"/>
                <w:numId w:val="34"/>
              </w:numPr>
              <w:spacing w:after="0"/>
              <w:jc w:val="both"/>
              <w:rPr>
                <w:rFonts w:ascii="Times New Roman" w:hAnsi="Times New Roman" w:cs="Times New Roman"/>
                <w:sz w:val="20"/>
              </w:rPr>
            </w:pPr>
            <w:r w:rsidRPr="00CB119B">
              <w:rPr>
                <w:rFonts w:ascii="Times New Roman" w:hAnsi="Times New Roman" w:cs="Times New Roman"/>
                <w:sz w:val="20"/>
              </w:rPr>
              <w:t>Recaudación observada en el año anterior</w:t>
            </w:r>
          </w:p>
          <w:p w14:paraId="6801BB0E" w14:textId="77777777" w:rsidR="0067682D" w:rsidRPr="00CB119B" w:rsidRDefault="0067682D" w:rsidP="001032E7">
            <w:pPr>
              <w:pStyle w:val="Prrafodelista"/>
              <w:numPr>
                <w:ilvl w:val="0"/>
                <w:numId w:val="34"/>
              </w:numPr>
              <w:spacing w:after="0"/>
              <w:jc w:val="both"/>
              <w:rPr>
                <w:rFonts w:ascii="Times New Roman" w:hAnsi="Times New Roman" w:cs="Times New Roman"/>
                <w:sz w:val="20"/>
              </w:rPr>
            </w:pPr>
            <w:r w:rsidRPr="00CB119B">
              <w:rPr>
                <w:rFonts w:ascii="Times New Roman" w:hAnsi="Times New Roman" w:cs="Times New Roman"/>
                <w:sz w:val="20"/>
              </w:rPr>
              <w:t>Una fracción de crédito del ISO de Año</w:t>
            </w:r>
            <w:r w:rsidRPr="00CB119B">
              <w:rPr>
                <w:rFonts w:ascii="Times New Roman" w:hAnsi="Times New Roman" w:cs="Times New Roman"/>
                <w:sz w:val="20"/>
                <w:vertAlign w:val="subscript"/>
              </w:rPr>
              <w:t>(t-2)</w:t>
            </w:r>
          </w:p>
          <w:p w14:paraId="2571F0FD" w14:textId="77777777" w:rsidR="0067682D" w:rsidRPr="00CB119B" w:rsidRDefault="0067682D" w:rsidP="001032E7">
            <w:pPr>
              <w:pStyle w:val="Prrafodelista"/>
              <w:numPr>
                <w:ilvl w:val="0"/>
                <w:numId w:val="34"/>
              </w:numPr>
              <w:spacing w:after="0"/>
              <w:jc w:val="both"/>
              <w:rPr>
                <w:rFonts w:ascii="Times New Roman" w:hAnsi="Times New Roman" w:cs="Times New Roman"/>
                <w:sz w:val="20"/>
              </w:rPr>
            </w:pPr>
            <w:r w:rsidRPr="00CB119B">
              <w:rPr>
                <w:rFonts w:ascii="Times New Roman" w:hAnsi="Times New Roman" w:cs="Times New Roman"/>
                <w:sz w:val="20"/>
              </w:rPr>
              <w:t>Variación del PIB nominal</w:t>
            </w:r>
          </w:p>
          <w:p w14:paraId="1F36D8C7" w14:textId="77777777" w:rsidR="0067682D" w:rsidRPr="00CB119B" w:rsidRDefault="0067682D" w:rsidP="001032E7">
            <w:pPr>
              <w:pStyle w:val="Prrafodelista"/>
              <w:numPr>
                <w:ilvl w:val="0"/>
                <w:numId w:val="34"/>
              </w:numPr>
              <w:spacing w:after="0"/>
              <w:jc w:val="both"/>
              <w:rPr>
                <w:rFonts w:ascii="Times New Roman" w:hAnsi="Times New Roman" w:cs="Times New Roman"/>
                <w:sz w:val="20"/>
              </w:rPr>
            </w:pPr>
            <w:r w:rsidRPr="00CB119B">
              <w:rPr>
                <w:rFonts w:ascii="Times New Roman" w:hAnsi="Times New Roman" w:cs="Times New Roman"/>
                <w:sz w:val="20"/>
              </w:rPr>
              <w:t>Una fracción de crédito del ISO de Año</w:t>
            </w:r>
            <w:r w:rsidRPr="00CB119B">
              <w:rPr>
                <w:rFonts w:ascii="Times New Roman" w:hAnsi="Times New Roman" w:cs="Times New Roman"/>
                <w:sz w:val="20"/>
                <w:vertAlign w:val="subscript"/>
              </w:rPr>
              <w:t>(t-1)</w:t>
            </w:r>
          </w:p>
        </w:tc>
      </w:tr>
      <w:tr w:rsidR="0067682D" w:rsidRPr="00CB119B" w14:paraId="6BCE9E63" w14:textId="77777777" w:rsidTr="00B51EF7">
        <w:trPr>
          <w:trHeight w:val="849"/>
        </w:trPr>
        <w:tc>
          <w:tcPr>
            <w:tcW w:w="3689" w:type="dxa"/>
            <w:shd w:val="clear" w:color="auto" w:fill="BDD6EE" w:themeFill="accent1" w:themeFillTint="66"/>
            <w:vAlign w:val="center"/>
          </w:tcPr>
          <w:p w14:paraId="7329C5FB" w14:textId="77777777" w:rsidR="0067682D" w:rsidRPr="00CB119B" w:rsidRDefault="0067682D" w:rsidP="00B51EF7">
            <w:pPr>
              <w:spacing w:after="0"/>
              <w:jc w:val="both"/>
              <w:rPr>
                <w:rFonts w:ascii="Times New Roman" w:hAnsi="Times New Roman" w:cs="Times New Roman"/>
                <w:sz w:val="20"/>
              </w:rPr>
            </w:pPr>
            <w:r w:rsidRPr="00CB119B">
              <w:rPr>
                <w:rFonts w:ascii="Times New Roman" w:hAnsi="Times New Roman" w:cs="Times New Roman"/>
                <w:sz w:val="20"/>
              </w:rPr>
              <w:t>Impuesto de Solidaridad</w:t>
            </w:r>
          </w:p>
        </w:tc>
        <w:tc>
          <w:tcPr>
            <w:tcW w:w="5139" w:type="dxa"/>
            <w:shd w:val="clear" w:color="auto" w:fill="9CC2E5" w:themeFill="accent1" w:themeFillTint="99"/>
            <w:vAlign w:val="center"/>
          </w:tcPr>
          <w:p w14:paraId="249D355B" w14:textId="77777777" w:rsidR="0067682D" w:rsidRPr="00CB119B" w:rsidRDefault="0067682D" w:rsidP="001032E7">
            <w:pPr>
              <w:pStyle w:val="Prrafodelista"/>
              <w:numPr>
                <w:ilvl w:val="0"/>
                <w:numId w:val="34"/>
              </w:numPr>
              <w:spacing w:after="0"/>
              <w:jc w:val="both"/>
              <w:rPr>
                <w:rFonts w:ascii="Times New Roman" w:hAnsi="Times New Roman" w:cs="Times New Roman"/>
                <w:sz w:val="20"/>
              </w:rPr>
            </w:pPr>
            <w:r w:rsidRPr="00CB119B">
              <w:rPr>
                <w:rFonts w:ascii="Times New Roman" w:hAnsi="Times New Roman" w:cs="Times New Roman"/>
                <w:sz w:val="20"/>
              </w:rPr>
              <w:t>Recaudación observada en el año anterior</w:t>
            </w:r>
          </w:p>
          <w:p w14:paraId="3E14B19C" w14:textId="77777777" w:rsidR="0067682D" w:rsidRPr="00CB119B" w:rsidRDefault="0067682D" w:rsidP="001032E7">
            <w:pPr>
              <w:pStyle w:val="Prrafodelista"/>
              <w:numPr>
                <w:ilvl w:val="0"/>
                <w:numId w:val="34"/>
              </w:numPr>
              <w:spacing w:after="0"/>
              <w:jc w:val="both"/>
              <w:rPr>
                <w:rFonts w:ascii="Times New Roman" w:hAnsi="Times New Roman" w:cs="Times New Roman"/>
                <w:sz w:val="20"/>
              </w:rPr>
            </w:pPr>
            <w:r w:rsidRPr="00CB119B">
              <w:rPr>
                <w:rFonts w:ascii="Times New Roman" w:hAnsi="Times New Roman" w:cs="Times New Roman"/>
                <w:sz w:val="20"/>
              </w:rPr>
              <w:t>Una fracción está determinada por variación del PIB nominal</w:t>
            </w:r>
          </w:p>
          <w:p w14:paraId="3AEE8770" w14:textId="77777777" w:rsidR="0067682D" w:rsidRPr="00CB119B" w:rsidRDefault="0067682D" w:rsidP="001032E7">
            <w:pPr>
              <w:pStyle w:val="Prrafodelista"/>
              <w:numPr>
                <w:ilvl w:val="0"/>
                <w:numId w:val="34"/>
              </w:numPr>
              <w:spacing w:after="0"/>
              <w:jc w:val="both"/>
              <w:rPr>
                <w:rFonts w:ascii="Times New Roman" w:hAnsi="Times New Roman" w:cs="Times New Roman"/>
                <w:sz w:val="20"/>
              </w:rPr>
            </w:pPr>
            <w:r w:rsidRPr="00CB119B">
              <w:rPr>
                <w:rFonts w:ascii="Times New Roman" w:hAnsi="Times New Roman" w:cs="Times New Roman"/>
                <w:sz w:val="20"/>
              </w:rPr>
              <w:t>Una fracción está determinada por variación del PIB real</w:t>
            </w:r>
          </w:p>
        </w:tc>
      </w:tr>
      <w:tr w:rsidR="0067682D" w:rsidRPr="00CB119B" w14:paraId="28D5CE5B" w14:textId="77777777" w:rsidTr="00B51EF7">
        <w:trPr>
          <w:trHeight w:val="243"/>
        </w:trPr>
        <w:tc>
          <w:tcPr>
            <w:tcW w:w="3689" w:type="dxa"/>
            <w:shd w:val="clear" w:color="auto" w:fill="BDD6EE" w:themeFill="accent1" w:themeFillTint="66"/>
            <w:vAlign w:val="center"/>
          </w:tcPr>
          <w:p w14:paraId="709F3FD6" w14:textId="77777777" w:rsidR="0067682D" w:rsidRPr="00CB119B" w:rsidRDefault="0067682D" w:rsidP="00B51EF7">
            <w:pPr>
              <w:spacing w:after="0"/>
              <w:jc w:val="both"/>
              <w:rPr>
                <w:rFonts w:ascii="Times New Roman" w:hAnsi="Times New Roman" w:cs="Times New Roman"/>
                <w:sz w:val="20"/>
              </w:rPr>
            </w:pPr>
            <w:r w:rsidRPr="00CB119B">
              <w:rPr>
                <w:rFonts w:ascii="Times New Roman" w:hAnsi="Times New Roman" w:cs="Times New Roman"/>
                <w:sz w:val="20"/>
              </w:rPr>
              <w:t>Impuesto al valor agregado</w:t>
            </w:r>
          </w:p>
        </w:tc>
        <w:tc>
          <w:tcPr>
            <w:tcW w:w="5139" w:type="dxa"/>
            <w:shd w:val="clear" w:color="auto" w:fill="9CC2E5" w:themeFill="accent1" w:themeFillTint="99"/>
            <w:vAlign w:val="center"/>
          </w:tcPr>
          <w:p w14:paraId="2860E8F5" w14:textId="77777777" w:rsidR="0067682D" w:rsidRPr="00CB119B" w:rsidRDefault="0067682D" w:rsidP="00B51EF7">
            <w:pPr>
              <w:spacing w:after="0"/>
              <w:jc w:val="both"/>
              <w:rPr>
                <w:rFonts w:ascii="Times New Roman" w:hAnsi="Times New Roman" w:cs="Times New Roman"/>
                <w:sz w:val="20"/>
              </w:rPr>
            </w:pPr>
          </w:p>
        </w:tc>
      </w:tr>
      <w:tr w:rsidR="0067682D" w:rsidRPr="00CB119B" w14:paraId="28337762" w14:textId="77777777" w:rsidTr="00B51EF7">
        <w:trPr>
          <w:trHeight w:val="573"/>
        </w:trPr>
        <w:tc>
          <w:tcPr>
            <w:tcW w:w="3689" w:type="dxa"/>
            <w:shd w:val="clear" w:color="auto" w:fill="BDD6EE" w:themeFill="accent1" w:themeFillTint="66"/>
            <w:vAlign w:val="center"/>
          </w:tcPr>
          <w:p w14:paraId="2D5A3A3F" w14:textId="77777777" w:rsidR="0067682D" w:rsidRPr="00CB119B" w:rsidRDefault="0067682D" w:rsidP="00B51EF7">
            <w:pPr>
              <w:spacing w:after="0"/>
              <w:jc w:val="both"/>
              <w:rPr>
                <w:rFonts w:ascii="Times New Roman" w:hAnsi="Times New Roman" w:cs="Times New Roman"/>
                <w:sz w:val="20"/>
              </w:rPr>
            </w:pPr>
            <w:r w:rsidRPr="00CB119B">
              <w:rPr>
                <w:rFonts w:ascii="Times New Roman" w:hAnsi="Times New Roman" w:cs="Times New Roman"/>
                <w:sz w:val="20"/>
              </w:rPr>
              <w:t xml:space="preserve">     Doméstico</w:t>
            </w:r>
          </w:p>
        </w:tc>
        <w:tc>
          <w:tcPr>
            <w:tcW w:w="5139" w:type="dxa"/>
            <w:shd w:val="clear" w:color="auto" w:fill="9CC2E5" w:themeFill="accent1" w:themeFillTint="99"/>
            <w:vAlign w:val="center"/>
          </w:tcPr>
          <w:p w14:paraId="79795DC6" w14:textId="77777777" w:rsidR="0067682D" w:rsidRPr="00CB119B" w:rsidRDefault="0067682D" w:rsidP="001032E7">
            <w:pPr>
              <w:pStyle w:val="Prrafodelista"/>
              <w:numPr>
                <w:ilvl w:val="0"/>
                <w:numId w:val="34"/>
              </w:numPr>
              <w:spacing w:after="0"/>
              <w:jc w:val="both"/>
              <w:rPr>
                <w:rFonts w:ascii="Times New Roman" w:hAnsi="Times New Roman" w:cs="Times New Roman"/>
                <w:sz w:val="20"/>
              </w:rPr>
            </w:pPr>
            <w:r w:rsidRPr="00CB119B">
              <w:rPr>
                <w:rFonts w:ascii="Times New Roman" w:hAnsi="Times New Roman" w:cs="Times New Roman"/>
                <w:sz w:val="20"/>
              </w:rPr>
              <w:t>Recaudación observada en el año anterior en términos brutos</w:t>
            </w:r>
          </w:p>
          <w:p w14:paraId="400F5B6F" w14:textId="77777777" w:rsidR="0067682D" w:rsidRPr="00CB119B" w:rsidRDefault="0067682D" w:rsidP="001032E7">
            <w:pPr>
              <w:pStyle w:val="Prrafodelista"/>
              <w:numPr>
                <w:ilvl w:val="0"/>
                <w:numId w:val="34"/>
              </w:numPr>
              <w:spacing w:after="0"/>
              <w:jc w:val="both"/>
              <w:rPr>
                <w:rFonts w:ascii="Times New Roman" w:hAnsi="Times New Roman" w:cs="Times New Roman"/>
                <w:sz w:val="20"/>
              </w:rPr>
            </w:pPr>
            <w:r w:rsidRPr="00CB119B">
              <w:rPr>
                <w:rFonts w:ascii="Times New Roman" w:hAnsi="Times New Roman" w:cs="Times New Roman"/>
                <w:sz w:val="20"/>
              </w:rPr>
              <w:t>Variación del PIB nominal</w:t>
            </w:r>
          </w:p>
        </w:tc>
      </w:tr>
      <w:tr w:rsidR="0067682D" w:rsidRPr="00CB119B" w14:paraId="065DA397" w14:textId="77777777" w:rsidTr="00B51EF7">
        <w:trPr>
          <w:trHeight w:val="1017"/>
        </w:trPr>
        <w:tc>
          <w:tcPr>
            <w:tcW w:w="3689" w:type="dxa"/>
            <w:shd w:val="clear" w:color="auto" w:fill="BDD6EE" w:themeFill="accent1" w:themeFillTint="66"/>
            <w:vAlign w:val="center"/>
          </w:tcPr>
          <w:p w14:paraId="5977BE12" w14:textId="77777777" w:rsidR="0067682D" w:rsidRPr="00CB119B" w:rsidRDefault="0067682D" w:rsidP="00B51EF7">
            <w:pPr>
              <w:spacing w:after="0"/>
              <w:jc w:val="both"/>
              <w:rPr>
                <w:rFonts w:ascii="Times New Roman" w:hAnsi="Times New Roman" w:cs="Times New Roman"/>
                <w:sz w:val="20"/>
              </w:rPr>
            </w:pPr>
            <w:r w:rsidRPr="00CB119B">
              <w:rPr>
                <w:rFonts w:ascii="Times New Roman" w:hAnsi="Times New Roman" w:cs="Times New Roman"/>
                <w:sz w:val="20"/>
              </w:rPr>
              <w:t xml:space="preserve">     Importaciones</w:t>
            </w:r>
          </w:p>
        </w:tc>
        <w:tc>
          <w:tcPr>
            <w:tcW w:w="5139" w:type="dxa"/>
            <w:shd w:val="clear" w:color="auto" w:fill="9CC2E5" w:themeFill="accent1" w:themeFillTint="99"/>
            <w:vAlign w:val="center"/>
          </w:tcPr>
          <w:p w14:paraId="61C39FB7" w14:textId="77777777" w:rsidR="0067682D" w:rsidRPr="00CB119B" w:rsidRDefault="0067682D" w:rsidP="001032E7">
            <w:pPr>
              <w:pStyle w:val="Prrafodelista"/>
              <w:numPr>
                <w:ilvl w:val="0"/>
                <w:numId w:val="34"/>
              </w:numPr>
              <w:spacing w:after="0"/>
              <w:jc w:val="both"/>
              <w:rPr>
                <w:rFonts w:ascii="Times New Roman" w:hAnsi="Times New Roman" w:cs="Times New Roman"/>
                <w:sz w:val="20"/>
              </w:rPr>
            </w:pPr>
            <w:r w:rsidRPr="00CB119B">
              <w:rPr>
                <w:rFonts w:ascii="Times New Roman" w:hAnsi="Times New Roman" w:cs="Times New Roman"/>
                <w:sz w:val="20"/>
              </w:rPr>
              <w:t>Recaudación observada en el año anterior en términos brutos</w:t>
            </w:r>
          </w:p>
          <w:p w14:paraId="28D30DE4" w14:textId="77777777" w:rsidR="0067682D" w:rsidRPr="00CB119B" w:rsidRDefault="0067682D" w:rsidP="001032E7">
            <w:pPr>
              <w:pStyle w:val="Prrafodelista"/>
              <w:numPr>
                <w:ilvl w:val="0"/>
                <w:numId w:val="34"/>
              </w:numPr>
              <w:spacing w:after="0"/>
              <w:jc w:val="both"/>
              <w:rPr>
                <w:rFonts w:ascii="Times New Roman" w:hAnsi="Times New Roman" w:cs="Times New Roman"/>
                <w:sz w:val="20"/>
              </w:rPr>
            </w:pPr>
            <w:r w:rsidRPr="00CB119B">
              <w:rPr>
                <w:rFonts w:ascii="Times New Roman" w:hAnsi="Times New Roman" w:cs="Times New Roman"/>
                <w:sz w:val="20"/>
              </w:rPr>
              <w:t>Variación de las importaciones</w:t>
            </w:r>
          </w:p>
          <w:p w14:paraId="43C8B892" w14:textId="77777777" w:rsidR="0067682D" w:rsidRPr="00CB119B" w:rsidRDefault="0067682D" w:rsidP="001032E7">
            <w:pPr>
              <w:pStyle w:val="Prrafodelista"/>
              <w:numPr>
                <w:ilvl w:val="0"/>
                <w:numId w:val="34"/>
              </w:numPr>
              <w:spacing w:after="0"/>
              <w:jc w:val="both"/>
              <w:rPr>
                <w:rFonts w:ascii="Times New Roman" w:hAnsi="Times New Roman" w:cs="Times New Roman"/>
                <w:sz w:val="20"/>
              </w:rPr>
            </w:pPr>
            <w:r w:rsidRPr="00CB119B">
              <w:rPr>
                <w:rFonts w:ascii="Times New Roman" w:hAnsi="Times New Roman" w:cs="Times New Roman"/>
                <w:sz w:val="20"/>
              </w:rPr>
              <w:t>Tipo de cambio</w:t>
            </w:r>
          </w:p>
        </w:tc>
      </w:tr>
      <w:tr w:rsidR="0067682D" w:rsidRPr="00CB119B" w14:paraId="00DF5351" w14:textId="77777777" w:rsidTr="00B51EF7">
        <w:trPr>
          <w:trHeight w:val="258"/>
        </w:trPr>
        <w:tc>
          <w:tcPr>
            <w:tcW w:w="3689" w:type="dxa"/>
            <w:shd w:val="clear" w:color="auto" w:fill="BDD6EE" w:themeFill="accent1" w:themeFillTint="66"/>
            <w:vAlign w:val="center"/>
          </w:tcPr>
          <w:p w14:paraId="51599692" w14:textId="77777777" w:rsidR="0067682D" w:rsidRPr="00CB119B" w:rsidRDefault="0067682D" w:rsidP="00B51EF7">
            <w:pPr>
              <w:spacing w:after="0"/>
              <w:jc w:val="both"/>
              <w:rPr>
                <w:rFonts w:ascii="Times New Roman" w:hAnsi="Times New Roman" w:cs="Times New Roman"/>
                <w:sz w:val="20"/>
              </w:rPr>
            </w:pPr>
            <w:r w:rsidRPr="00CB119B">
              <w:rPr>
                <w:rFonts w:ascii="Times New Roman" w:hAnsi="Times New Roman" w:cs="Times New Roman"/>
                <w:sz w:val="20"/>
              </w:rPr>
              <w:t xml:space="preserve">Derechos arancelarios </w:t>
            </w:r>
          </w:p>
        </w:tc>
        <w:tc>
          <w:tcPr>
            <w:tcW w:w="5139" w:type="dxa"/>
            <w:vMerge w:val="restart"/>
            <w:shd w:val="clear" w:color="auto" w:fill="9CC2E5" w:themeFill="accent1" w:themeFillTint="99"/>
            <w:vAlign w:val="center"/>
          </w:tcPr>
          <w:p w14:paraId="74F23A26" w14:textId="77777777" w:rsidR="0067682D" w:rsidRPr="00CB119B" w:rsidRDefault="0067682D" w:rsidP="001032E7">
            <w:pPr>
              <w:pStyle w:val="Prrafodelista"/>
              <w:numPr>
                <w:ilvl w:val="0"/>
                <w:numId w:val="34"/>
              </w:numPr>
              <w:spacing w:after="0"/>
              <w:jc w:val="both"/>
              <w:rPr>
                <w:rFonts w:ascii="Times New Roman" w:hAnsi="Times New Roman" w:cs="Times New Roman"/>
                <w:sz w:val="20"/>
              </w:rPr>
            </w:pPr>
            <w:r w:rsidRPr="00CB119B">
              <w:rPr>
                <w:rFonts w:ascii="Times New Roman" w:hAnsi="Times New Roman" w:cs="Times New Roman"/>
                <w:sz w:val="20"/>
              </w:rPr>
              <w:t xml:space="preserve">Recaudación observada en el año anterior </w:t>
            </w:r>
          </w:p>
          <w:p w14:paraId="0BADBF37" w14:textId="77777777" w:rsidR="0067682D" w:rsidRPr="00CB119B" w:rsidRDefault="0067682D" w:rsidP="001032E7">
            <w:pPr>
              <w:pStyle w:val="Prrafodelista"/>
              <w:numPr>
                <w:ilvl w:val="0"/>
                <w:numId w:val="34"/>
              </w:numPr>
              <w:spacing w:after="0"/>
              <w:jc w:val="both"/>
              <w:rPr>
                <w:rFonts w:ascii="Times New Roman" w:hAnsi="Times New Roman" w:cs="Times New Roman"/>
                <w:sz w:val="20"/>
              </w:rPr>
            </w:pPr>
            <w:r w:rsidRPr="00CB119B">
              <w:rPr>
                <w:rFonts w:ascii="Times New Roman" w:hAnsi="Times New Roman" w:cs="Times New Roman"/>
                <w:sz w:val="20"/>
              </w:rPr>
              <w:t>Variación de las importaciones</w:t>
            </w:r>
          </w:p>
          <w:p w14:paraId="238D5AC1" w14:textId="77777777" w:rsidR="0067682D" w:rsidRPr="00CB119B" w:rsidRDefault="0067682D" w:rsidP="001032E7">
            <w:pPr>
              <w:pStyle w:val="Prrafodelista"/>
              <w:numPr>
                <w:ilvl w:val="0"/>
                <w:numId w:val="34"/>
              </w:numPr>
              <w:spacing w:after="0"/>
              <w:jc w:val="both"/>
              <w:rPr>
                <w:rFonts w:ascii="Times New Roman" w:hAnsi="Times New Roman" w:cs="Times New Roman"/>
                <w:sz w:val="20"/>
              </w:rPr>
            </w:pPr>
            <w:r w:rsidRPr="00CB119B">
              <w:rPr>
                <w:rFonts w:ascii="Times New Roman" w:hAnsi="Times New Roman" w:cs="Times New Roman"/>
                <w:sz w:val="20"/>
              </w:rPr>
              <w:t>Tipo de cambio</w:t>
            </w:r>
          </w:p>
        </w:tc>
      </w:tr>
      <w:tr w:rsidR="0067682D" w:rsidRPr="00CB119B" w14:paraId="71980BB6" w14:textId="77777777" w:rsidTr="00B51EF7">
        <w:trPr>
          <w:trHeight w:val="361"/>
        </w:trPr>
        <w:tc>
          <w:tcPr>
            <w:tcW w:w="3689" w:type="dxa"/>
            <w:shd w:val="clear" w:color="auto" w:fill="BDD6EE" w:themeFill="accent1" w:themeFillTint="66"/>
            <w:vAlign w:val="center"/>
          </w:tcPr>
          <w:p w14:paraId="128BFC8E" w14:textId="77777777" w:rsidR="0067682D" w:rsidRPr="00CB119B" w:rsidRDefault="0067682D" w:rsidP="00B51EF7">
            <w:pPr>
              <w:spacing w:after="0"/>
              <w:jc w:val="both"/>
              <w:rPr>
                <w:rFonts w:ascii="Times New Roman" w:hAnsi="Times New Roman" w:cs="Times New Roman"/>
                <w:sz w:val="20"/>
              </w:rPr>
            </w:pPr>
            <w:r w:rsidRPr="00CB119B">
              <w:rPr>
                <w:rFonts w:ascii="Times New Roman" w:hAnsi="Times New Roman" w:cs="Times New Roman"/>
                <w:sz w:val="20"/>
              </w:rPr>
              <w:t>Impuesto a la primera matrícula</w:t>
            </w:r>
          </w:p>
        </w:tc>
        <w:tc>
          <w:tcPr>
            <w:tcW w:w="5139" w:type="dxa"/>
            <w:vMerge/>
            <w:shd w:val="clear" w:color="auto" w:fill="9CC2E5" w:themeFill="accent1" w:themeFillTint="99"/>
            <w:vAlign w:val="center"/>
          </w:tcPr>
          <w:p w14:paraId="1F649AEC" w14:textId="77777777" w:rsidR="0067682D" w:rsidRPr="00CB119B" w:rsidRDefault="0067682D" w:rsidP="001032E7">
            <w:pPr>
              <w:pStyle w:val="Prrafodelista"/>
              <w:numPr>
                <w:ilvl w:val="0"/>
                <w:numId w:val="34"/>
              </w:numPr>
              <w:spacing w:after="0"/>
              <w:jc w:val="both"/>
              <w:rPr>
                <w:rFonts w:ascii="Times New Roman" w:hAnsi="Times New Roman" w:cs="Times New Roman"/>
                <w:sz w:val="20"/>
              </w:rPr>
            </w:pPr>
          </w:p>
        </w:tc>
      </w:tr>
      <w:tr w:rsidR="0067682D" w:rsidRPr="00CB119B" w14:paraId="11A525F1" w14:textId="77777777" w:rsidTr="00B51EF7">
        <w:trPr>
          <w:trHeight w:val="708"/>
        </w:trPr>
        <w:tc>
          <w:tcPr>
            <w:tcW w:w="3689" w:type="dxa"/>
            <w:shd w:val="clear" w:color="auto" w:fill="BDD6EE" w:themeFill="accent1" w:themeFillTint="66"/>
            <w:vAlign w:val="center"/>
          </w:tcPr>
          <w:p w14:paraId="7106419C" w14:textId="77777777" w:rsidR="0067682D" w:rsidRPr="00CB119B" w:rsidRDefault="0067682D" w:rsidP="00B51EF7">
            <w:pPr>
              <w:spacing w:after="0"/>
              <w:jc w:val="both"/>
              <w:rPr>
                <w:rFonts w:ascii="Times New Roman" w:hAnsi="Times New Roman" w:cs="Times New Roman"/>
                <w:sz w:val="20"/>
              </w:rPr>
            </w:pPr>
            <w:r w:rsidRPr="00CB119B">
              <w:rPr>
                <w:rFonts w:ascii="Times New Roman" w:hAnsi="Times New Roman" w:cs="Times New Roman"/>
                <w:sz w:val="20"/>
              </w:rPr>
              <w:t>Derivados del Petróleo</w:t>
            </w:r>
          </w:p>
        </w:tc>
        <w:tc>
          <w:tcPr>
            <w:tcW w:w="5139" w:type="dxa"/>
            <w:shd w:val="clear" w:color="auto" w:fill="9CC2E5" w:themeFill="accent1" w:themeFillTint="99"/>
            <w:vAlign w:val="center"/>
          </w:tcPr>
          <w:p w14:paraId="180FE2E7" w14:textId="77777777" w:rsidR="0067682D" w:rsidRPr="00CB119B" w:rsidRDefault="0067682D" w:rsidP="001032E7">
            <w:pPr>
              <w:pStyle w:val="Prrafodelista"/>
              <w:numPr>
                <w:ilvl w:val="0"/>
                <w:numId w:val="34"/>
              </w:numPr>
              <w:spacing w:after="0"/>
              <w:jc w:val="both"/>
              <w:rPr>
                <w:rFonts w:ascii="Times New Roman" w:hAnsi="Times New Roman" w:cs="Times New Roman"/>
                <w:sz w:val="20"/>
              </w:rPr>
            </w:pPr>
            <w:r w:rsidRPr="00CB119B">
              <w:rPr>
                <w:rFonts w:ascii="Times New Roman" w:hAnsi="Times New Roman" w:cs="Times New Roman"/>
                <w:sz w:val="20"/>
              </w:rPr>
              <w:t xml:space="preserve">Recaudación observada en el año anterior </w:t>
            </w:r>
          </w:p>
          <w:p w14:paraId="34807AAE" w14:textId="77777777" w:rsidR="0067682D" w:rsidRPr="00CB119B" w:rsidRDefault="0067682D" w:rsidP="001032E7">
            <w:pPr>
              <w:pStyle w:val="Prrafodelista"/>
              <w:numPr>
                <w:ilvl w:val="0"/>
                <w:numId w:val="34"/>
              </w:numPr>
              <w:spacing w:after="0"/>
              <w:jc w:val="both"/>
              <w:rPr>
                <w:rFonts w:ascii="Times New Roman" w:hAnsi="Times New Roman" w:cs="Times New Roman"/>
                <w:sz w:val="20"/>
              </w:rPr>
            </w:pPr>
            <w:r w:rsidRPr="00CB119B">
              <w:rPr>
                <w:rFonts w:ascii="Times New Roman" w:hAnsi="Times New Roman" w:cs="Times New Roman"/>
                <w:sz w:val="20"/>
              </w:rPr>
              <w:t>Variación del PIB real</w:t>
            </w:r>
          </w:p>
          <w:p w14:paraId="3FEF38FB" w14:textId="77777777" w:rsidR="0067682D" w:rsidRPr="00CB119B" w:rsidRDefault="0067682D" w:rsidP="001032E7">
            <w:pPr>
              <w:pStyle w:val="Prrafodelista"/>
              <w:numPr>
                <w:ilvl w:val="0"/>
                <w:numId w:val="34"/>
              </w:numPr>
              <w:spacing w:after="0"/>
              <w:jc w:val="both"/>
              <w:rPr>
                <w:rFonts w:ascii="Times New Roman" w:hAnsi="Times New Roman" w:cs="Times New Roman"/>
                <w:sz w:val="20"/>
              </w:rPr>
            </w:pPr>
            <w:r w:rsidRPr="00CB119B">
              <w:rPr>
                <w:rFonts w:ascii="Times New Roman" w:hAnsi="Times New Roman" w:cs="Times New Roman"/>
                <w:sz w:val="20"/>
              </w:rPr>
              <w:t>Precio Internacional del petróleo</w:t>
            </w:r>
          </w:p>
          <w:p w14:paraId="5769D1DE" w14:textId="77777777" w:rsidR="0067682D" w:rsidRPr="00CB119B" w:rsidRDefault="0067682D" w:rsidP="001032E7">
            <w:pPr>
              <w:pStyle w:val="Prrafodelista"/>
              <w:numPr>
                <w:ilvl w:val="0"/>
                <w:numId w:val="34"/>
              </w:numPr>
              <w:spacing w:after="0"/>
              <w:jc w:val="both"/>
              <w:rPr>
                <w:rFonts w:ascii="Times New Roman" w:hAnsi="Times New Roman" w:cs="Times New Roman"/>
                <w:sz w:val="20"/>
              </w:rPr>
            </w:pPr>
            <w:r w:rsidRPr="00CB119B">
              <w:rPr>
                <w:rFonts w:ascii="Times New Roman" w:hAnsi="Times New Roman" w:cs="Times New Roman"/>
                <w:sz w:val="20"/>
              </w:rPr>
              <w:t>Tipo de cambio</w:t>
            </w:r>
          </w:p>
        </w:tc>
      </w:tr>
      <w:tr w:rsidR="0067682D" w:rsidRPr="00CB119B" w14:paraId="488FA5B3" w14:textId="77777777" w:rsidTr="00B51EF7">
        <w:trPr>
          <w:trHeight w:val="1078"/>
        </w:trPr>
        <w:tc>
          <w:tcPr>
            <w:tcW w:w="3689" w:type="dxa"/>
            <w:shd w:val="clear" w:color="auto" w:fill="BDD6EE" w:themeFill="accent1" w:themeFillTint="66"/>
            <w:vAlign w:val="center"/>
          </w:tcPr>
          <w:p w14:paraId="07AD3E6F" w14:textId="77777777" w:rsidR="0067682D" w:rsidRPr="00CB119B" w:rsidRDefault="0067682D" w:rsidP="00B51EF7">
            <w:pPr>
              <w:spacing w:after="0"/>
              <w:jc w:val="both"/>
              <w:rPr>
                <w:rFonts w:ascii="Times New Roman" w:hAnsi="Times New Roman" w:cs="Times New Roman"/>
                <w:sz w:val="20"/>
              </w:rPr>
            </w:pPr>
            <w:r w:rsidRPr="00CB119B">
              <w:rPr>
                <w:rFonts w:ascii="Times New Roman" w:hAnsi="Times New Roman" w:cs="Times New Roman"/>
                <w:sz w:val="20"/>
              </w:rPr>
              <w:t>Bebidas alcohólicas y no alcohólicas</w:t>
            </w:r>
          </w:p>
        </w:tc>
        <w:tc>
          <w:tcPr>
            <w:tcW w:w="5139" w:type="dxa"/>
            <w:shd w:val="clear" w:color="auto" w:fill="9CC2E5" w:themeFill="accent1" w:themeFillTint="99"/>
            <w:vAlign w:val="center"/>
          </w:tcPr>
          <w:p w14:paraId="1C40DE6D" w14:textId="77777777" w:rsidR="0067682D" w:rsidRPr="00CB119B" w:rsidRDefault="0067682D" w:rsidP="001032E7">
            <w:pPr>
              <w:pStyle w:val="Prrafodelista"/>
              <w:numPr>
                <w:ilvl w:val="0"/>
                <w:numId w:val="34"/>
              </w:numPr>
              <w:spacing w:after="0"/>
              <w:jc w:val="both"/>
              <w:rPr>
                <w:rFonts w:ascii="Times New Roman" w:hAnsi="Times New Roman" w:cs="Times New Roman"/>
                <w:sz w:val="20"/>
              </w:rPr>
            </w:pPr>
            <w:r w:rsidRPr="00CB119B">
              <w:rPr>
                <w:rFonts w:ascii="Times New Roman" w:hAnsi="Times New Roman" w:cs="Times New Roman"/>
                <w:sz w:val="20"/>
              </w:rPr>
              <w:t xml:space="preserve">Recaudación observada en el año anterior </w:t>
            </w:r>
          </w:p>
          <w:p w14:paraId="7FA1B49D" w14:textId="77777777" w:rsidR="0067682D" w:rsidRPr="00CB119B" w:rsidRDefault="0067682D" w:rsidP="001032E7">
            <w:pPr>
              <w:pStyle w:val="Prrafodelista"/>
              <w:numPr>
                <w:ilvl w:val="0"/>
                <w:numId w:val="34"/>
              </w:numPr>
              <w:spacing w:after="0"/>
              <w:jc w:val="both"/>
              <w:rPr>
                <w:rFonts w:ascii="Times New Roman" w:hAnsi="Times New Roman" w:cs="Times New Roman"/>
                <w:sz w:val="20"/>
              </w:rPr>
            </w:pPr>
            <w:r w:rsidRPr="00CB119B">
              <w:rPr>
                <w:rFonts w:ascii="Times New Roman" w:hAnsi="Times New Roman" w:cs="Times New Roman"/>
                <w:sz w:val="20"/>
              </w:rPr>
              <w:t>Una fracción está determinada por la variación del PIB real</w:t>
            </w:r>
          </w:p>
          <w:p w14:paraId="799AF400" w14:textId="77777777" w:rsidR="0067682D" w:rsidRPr="00CB119B" w:rsidRDefault="0067682D" w:rsidP="001032E7">
            <w:pPr>
              <w:pStyle w:val="Prrafodelista"/>
              <w:numPr>
                <w:ilvl w:val="0"/>
                <w:numId w:val="34"/>
              </w:numPr>
              <w:spacing w:after="0"/>
              <w:jc w:val="both"/>
              <w:rPr>
                <w:rFonts w:ascii="Times New Roman" w:hAnsi="Times New Roman" w:cs="Times New Roman"/>
                <w:sz w:val="20"/>
              </w:rPr>
            </w:pPr>
            <w:r w:rsidRPr="00CB119B">
              <w:rPr>
                <w:rFonts w:ascii="Times New Roman" w:hAnsi="Times New Roman" w:cs="Times New Roman"/>
                <w:sz w:val="20"/>
              </w:rPr>
              <w:t>Una fracción está determinada por la variación del PIB nominal</w:t>
            </w:r>
          </w:p>
        </w:tc>
      </w:tr>
      <w:tr w:rsidR="0067682D" w:rsidRPr="00CB119B" w14:paraId="31076CCF" w14:textId="77777777" w:rsidTr="00B51EF7">
        <w:trPr>
          <w:trHeight w:val="401"/>
        </w:trPr>
        <w:tc>
          <w:tcPr>
            <w:tcW w:w="3689" w:type="dxa"/>
            <w:shd w:val="clear" w:color="auto" w:fill="BDD6EE" w:themeFill="accent1" w:themeFillTint="66"/>
            <w:vAlign w:val="center"/>
          </w:tcPr>
          <w:p w14:paraId="49D4AE0D" w14:textId="77777777" w:rsidR="0067682D" w:rsidRPr="00CB119B" w:rsidRDefault="0067682D" w:rsidP="00B51EF7">
            <w:pPr>
              <w:spacing w:after="0"/>
              <w:jc w:val="both"/>
              <w:rPr>
                <w:rFonts w:ascii="Times New Roman" w:hAnsi="Times New Roman" w:cs="Times New Roman"/>
                <w:sz w:val="20"/>
              </w:rPr>
            </w:pPr>
            <w:r w:rsidRPr="00CB119B">
              <w:rPr>
                <w:rFonts w:ascii="Times New Roman" w:hAnsi="Times New Roman" w:cs="Times New Roman"/>
                <w:sz w:val="20"/>
              </w:rPr>
              <w:t xml:space="preserve">Impuesto a circulación de vehículos </w:t>
            </w:r>
          </w:p>
        </w:tc>
        <w:tc>
          <w:tcPr>
            <w:tcW w:w="5139" w:type="dxa"/>
            <w:shd w:val="clear" w:color="auto" w:fill="9CC2E5" w:themeFill="accent1" w:themeFillTint="99"/>
            <w:vAlign w:val="center"/>
          </w:tcPr>
          <w:p w14:paraId="7F260362" w14:textId="77777777" w:rsidR="0067682D" w:rsidRPr="00CB119B" w:rsidRDefault="0067682D" w:rsidP="001032E7">
            <w:pPr>
              <w:pStyle w:val="Prrafodelista"/>
              <w:numPr>
                <w:ilvl w:val="0"/>
                <w:numId w:val="34"/>
              </w:numPr>
              <w:spacing w:after="0"/>
              <w:jc w:val="both"/>
              <w:rPr>
                <w:rFonts w:ascii="Times New Roman" w:hAnsi="Times New Roman" w:cs="Times New Roman"/>
                <w:sz w:val="20"/>
              </w:rPr>
            </w:pPr>
            <w:r w:rsidRPr="00CB119B">
              <w:rPr>
                <w:rFonts w:ascii="Times New Roman" w:hAnsi="Times New Roman" w:cs="Times New Roman"/>
                <w:sz w:val="20"/>
              </w:rPr>
              <w:t xml:space="preserve">Recaudación observada en el año anterior </w:t>
            </w:r>
          </w:p>
          <w:p w14:paraId="705CBE8F" w14:textId="77777777" w:rsidR="0067682D" w:rsidRPr="00CB119B" w:rsidRDefault="0067682D" w:rsidP="001032E7">
            <w:pPr>
              <w:pStyle w:val="Prrafodelista"/>
              <w:numPr>
                <w:ilvl w:val="0"/>
                <w:numId w:val="34"/>
              </w:numPr>
              <w:spacing w:after="0"/>
              <w:jc w:val="both"/>
              <w:rPr>
                <w:rFonts w:ascii="Times New Roman" w:hAnsi="Times New Roman" w:cs="Times New Roman"/>
                <w:sz w:val="20"/>
              </w:rPr>
            </w:pPr>
            <w:r w:rsidRPr="00CB119B">
              <w:rPr>
                <w:rFonts w:ascii="Times New Roman" w:hAnsi="Times New Roman" w:cs="Times New Roman"/>
                <w:sz w:val="20"/>
              </w:rPr>
              <w:t>Variación del PIB nominal</w:t>
            </w:r>
          </w:p>
        </w:tc>
      </w:tr>
      <w:tr w:rsidR="0067682D" w:rsidRPr="00CB119B" w14:paraId="638C5BA5" w14:textId="77777777" w:rsidTr="00B51EF7">
        <w:trPr>
          <w:trHeight w:val="243"/>
        </w:trPr>
        <w:tc>
          <w:tcPr>
            <w:tcW w:w="3689" w:type="dxa"/>
            <w:shd w:val="clear" w:color="auto" w:fill="BDD6EE" w:themeFill="accent1" w:themeFillTint="66"/>
            <w:vAlign w:val="center"/>
          </w:tcPr>
          <w:p w14:paraId="04E61A98" w14:textId="77777777" w:rsidR="0067682D" w:rsidRPr="00CB119B" w:rsidRDefault="0067682D" w:rsidP="00B51EF7">
            <w:pPr>
              <w:spacing w:after="0"/>
              <w:jc w:val="both"/>
              <w:rPr>
                <w:rFonts w:ascii="Times New Roman" w:hAnsi="Times New Roman" w:cs="Times New Roman"/>
                <w:sz w:val="20"/>
              </w:rPr>
            </w:pPr>
            <w:r w:rsidRPr="00CB119B">
              <w:rPr>
                <w:rFonts w:ascii="Times New Roman" w:hAnsi="Times New Roman" w:cs="Times New Roman"/>
                <w:sz w:val="20"/>
              </w:rPr>
              <w:t>Impuesto a timbres fiscales</w:t>
            </w:r>
          </w:p>
        </w:tc>
        <w:tc>
          <w:tcPr>
            <w:tcW w:w="5139" w:type="dxa"/>
            <w:vMerge w:val="restart"/>
            <w:shd w:val="clear" w:color="auto" w:fill="9CC2E5" w:themeFill="accent1" w:themeFillTint="99"/>
            <w:vAlign w:val="center"/>
          </w:tcPr>
          <w:p w14:paraId="0A96E116" w14:textId="77777777" w:rsidR="0067682D" w:rsidRPr="00CB119B" w:rsidRDefault="0067682D" w:rsidP="001032E7">
            <w:pPr>
              <w:pStyle w:val="Prrafodelista"/>
              <w:numPr>
                <w:ilvl w:val="0"/>
                <w:numId w:val="34"/>
              </w:numPr>
              <w:spacing w:after="0"/>
              <w:jc w:val="both"/>
              <w:rPr>
                <w:rFonts w:ascii="Times New Roman" w:hAnsi="Times New Roman" w:cs="Times New Roman"/>
                <w:sz w:val="20"/>
              </w:rPr>
            </w:pPr>
            <w:r w:rsidRPr="00CB119B">
              <w:rPr>
                <w:rFonts w:ascii="Times New Roman" w:hAnsi="Times New Roman" w:cs="Times New Roman"/>
                <w:sz w:val="20"/>
              </w:rPr>
              <w:t>Recaudación observada en el año anterior</w:t>
            </w:r>
          </w:p>
          <w:p w14:paraId="5945AE61" w14:textId="77777777" w:rsidR="0067682D" w:rsidRPr="00CB119B" w:rsidRDefault="0067682D" w:rsidP="001032E7">
            <w:pPr>
              <w:pStyle w:val="Prrafodelista"/>
              <w:numPr>
                <w:ilvl w:val="0"/>
                <w:numId w:val="34"/>
              </w:numPr>
              <w:spacing w:after="0"/>
              <w:jc w:val="both"/>
              <w:rPr>
                <w:rFonts w:ascii="Times New Roman" w:hAnsi="Times New Roman" w:cs="Times New Roman"/>
                <w:sz w:val="20"/>
              </w:rPr>
            </w:pPr>
            <w:r w:rsidRPr="00CB119B">
              <w:rPr>
                <w:rFonts w:ascii="Times New Roman" w:hAnsi="Times New Roman" w:cs="Times New Roman"/>
                <w:sz w:val="20"/>
              </w:rPr>
              <w:t>Variación del PIB real</w:t>
            </w:r>
          </w:p>
          <w:p w14:paraId="613FB194" w14:textId="77777777" w:rsidR="0067682D" w:rsidRPr="00CB119B" w:rsidRDefault="0067682D" w:rsidP="001032E7">
            <w:pPr>
              <w:pStyle w:val="Prrafodelista"/>
              <w:numPr>
                <w:ilvl w:val="0"/>
                <w:numId w:val="34"/>
              </w:numPr>
              <w:spacing w:after="0"/>
              <w:jc w:val="both"/>
              <w:rPr>
                <w:rFonts w:ascii="Times New Roman" w:hAnsi="Times New Roman" w:cs="Times New Roman"/>
                <w:sz w:val="20"/>
              </w:rPr>
            </w:pPr>
            <w:r w:rsidRPr="00CB119B">
              <w:rPr>
                <w:rFonts w:ascii="Times New Roman" w:hAnsi="Times New Roman" w:cs="Times New Roman"/>
                <w:sz w:val="20"/>
              </w:rPr>
              <w:t>Para el caso de regalías e hidrocarburos considera el precio internacional del petróleo</w:t>
            </w:r>
          </w:p>
        </w:tc>
      </w:tr>
      <w:tr w:rsidR="0067682D" w:rsidRPr="00CB119B" w14:paraId="1FCA6DB1" w14:textId="77777777" w:rsidTr="00B51EF7">
        <w:trPr>
          <w:trHeight w:val="258"/>
        </w:trPr>
        <w:tc>
          <w:tcPr>
            <w:tcW w:w="3689" w:type="dxa"/>
            <w:shd w:val="clear" w:color="auto" w:fill="BDD6EE" w:themeFill="accent1" w:themeFillTint="66"/>
            <w:vAlign w:val="center"/>
          </w:tcPr>
          <w:p w14:paraId="1AA4C3D4" w14:textId="77777777" w:rsidR="0067682D" w:rsidRPr="00CB119B" w:rsidRDefault="0067682D" w:rsidP="00B51EF7">
            <w:pPr>
              <w:spacing w:after="0"/>
              <w:jc w:val="both"/>
              <w:rPr>
                <w:rFonts w:ascii="Times New Roman" w:hAnsi="Times New Roman" w:cs="Times New Roman"/>
                <w:sz w:val="20"/>
              </w:rPr>
            </w:pPr>
            <w:r w:rsidRPr="00CB119B">
              <w:rPr>
                <w:rFonts w:ascii="Times New Roman" w:hAnsi="Times New Roman" w:cs="Times New Roman"/>
                <w:sz w:val="20"/>
              </w:rPr>
              <w:t xml:space="preserve">Impuesto a la propiedad </w:t>
            </w:r>
          </w:p>
        </w:tc>
        <w:tc>
          <w:tcPr>
            <w:tcW w:w="5139" w:type="dxa"/>
            <w:vMerge/>
            <w:shd w:val="clear" w:color="auto" w:fill="9CC2E5" w:themeFill="accent1" w:themeFillTint="99"/>
            <w:vAlign w:val="center"/>
          </w:tcPr>
          <w:p w14:paraId="3DF94B4C" w14:textId="77777777" w:rsidR="0067682D" w:rsidRPr="00CB119B" w:rsidRDefault="0067682D" w:rsidP="001032E7">
            <w:pPr>
              <w:pStyle w:val="Prrafodelista"/>
              <w:numPr>
                <w:ilvl w:val="0"/>
                <w:numId w:val="34"/>
              </w:numPr>
              <w:spacing w:after="0"/>
              <w:jc w:val="both"/>
              <w:rPr>
                <w:rFonts w:ascii="Times New Roman" w:hAnsi="Times New Roman" w:cs="Times New Roman"/>
              </w:rPr>
            </w:pPr>
          </w:p>
        </w:tc>
      </w:tr>
      <w:tr w:rsidR="0067682D" w:rsidRPr="00CB119B" w14:paraId="136AC9E7" w14:textId="77777777" w:rsidTr="00B51EF7">
        <w:trPr>
          <w:trHeight w:val="317"/>
        </w:trPr>
        <w:tc>
          <w:tcPr>
            <w:tcW w:w="3689" w:type="dxa"/>
            <w:shd w:val="clear" w:color="auto" w:fill="BDD6EE" w:themeFill="accent1" w:themeFillTint="66"/>
            <w:vAlign w:val="center"/>
          </w:tcPr>
          <w:p w14:paraId="33DED2ED" w14:textId="77777777" w:rsidR="0067682D" w:rsidRPr="00CB119B" w:rsidRDefault="0067682D" w:rsidP="00B51EF7">
            <w:pPr>
              <w:spacing w:after="0"/>
              <w:jc w:val="both"/>
              <w:rPr>
                <w:rFonts w:ascii="Times New Roman" w:hAnsi="Times New Roman" w:cs="Times New Roman"/>
                <w:sz w:val="20"/>
              </w:rPr>
            </w:pPr>
            <w:r w:rsidRPr="00CB119B">
              <w:rPr>
                <w:rFonts w:ascii="Times New Roman" w:hAnsi="Times New Roman" w:cs="Times New Roman"/>
                <w:sz w:val="20"/>
              </w:rPr>
              <w:t>Impuesto a la distribución de Tabacos</w:t>
            </w:r>
          </w:p>
        </w:tc>
        <w:tc>
          <w:tcPr>
            <w:tcW w:w="5139" w:type="dxa"/>
            <w:vMerge/>
            <w:shd w:val="clear" w:color="auto" w:fill="9CC2E5" w:themeFill="accent1" w:themeFillTint="99"/>
            <w:vAlign w:val="center"/>
          </w:tcPr>
          <w:p w14:paraId="064EADB6" w14:textId="77777777" w:rsidR="0067682D" w:rsidRPr="00CB119B" w:rsidRDefault="0067682D" w:rsidP="00B51EF7">
            <w:pPr>
              <w:spacing w:after="0"/>
              <w:jc w:val="both"/>
              <w:rPr>
                <w:rFonts w:ascii="Times New Roman" w:hAnsi="Times New Roman" w:cs="Times New Roman"/>
              </w:rPr>
            </w:pPr>
          </w:p>
        </w:tc>
      </w:tr>
      <w:tr w:rsidR="0067682D" w:rsidRPr="00CB119B" w14:paraId="607DC10C" w14:textId="77777777" w:rsidTr="00B51EF7">
        <w:trPr>
          <w:trHeight w:val="265"/>
        </w:trPr>
        <w:tc>
          <w:tcPr>
            <w:tcW w:w="3689" w:type="dxa"/>
            <w:shd w:val="clear" w:color="auto" w:fill="BDD6EE" w:themeFill="accent1" w:themeFillTint="66"/>
            <w:vAlign w:val="center"/>
          </w:tcPr>
          <w:p w14:paraId="02D071E5" w14:textId="77777777" w:rsidR="0067682D" w:rsidRPr="00CB119B" w:rsidRDefault="0067682D" w:rsidP="00B51EF7">
            <w:pPr>
              <w:spacing w:after="0"/>
              <w:jc w:val="both"/>
              <w:rPr>
                <w:rFonts w:ascii="Times New Roman" w:hAnsi="Times New Roman" w:cs="Times New Roman"/>
                <w:sz w:val="20"/>
              </w:rPr>
            </w:pPr>
            <w:r w:rsidRPr="00CB119B">
              <w:rPr>
                <w:rFonts w:ascii="Times New Roman" w:hAnsi="Times New Roman" w:cs="Times New Roman"/>
                <w:sz w:val="20"/>
              </w:rPr>
              <w:t>Impuesto a la distribución de Cemento</w:t>
            </w:r>
          </w:p>
        </w:tc>
        <w:tc>
          <w:tcPr>
            <w:tcW w:w="5139" w:type="dxa"/>
            <w:vMerge/>
            <w:shd w:val="clear" w:color="auto" w:fill="9CC2E5" w:themeFill="accent1" w:themeFillTint="99"/>
            <w:vAlign w:val="center"/>
          </w:tcPr>
          <w:p w14:paraId="11AE22E7" w14:textId="77777777" w:rsidR="0067682D" w:rsidRPr="00CB119B" w:rsidRDefault="0067682D" w:rsidP="00B51EF7">
            <w:pPr>
              <w:spacing w:after="0"/>
              <w:jc w:val="both"/>
              <w:rPr>
                <w:rFonts w:ascii="Times New Roman" w:hAnsi="Times New Roman" w:cs="Times New Roman"/>
              </w:rPr>
            </w:pPr>
          </w:p>
        </w:tc>
      </w:tr>
      <w:tr w:rsidR="0067682D" w:rsidRPr="00CB119B" w14:paraId="5E5F039B" w14:textId="77777777" w:rsidTr="00B51EF7">
        <w:trPr>
          <w:trHeight w:val="283"/>
        </w:trPr>
        <w:tc>
          <w:tcPr>
            <w:tcW w:w="3689" w:type="dxa"/>
            <w:shd w:val="clear" w:color="auto" w:fill="BDD6EE" w:themeFill="accent1" w:themeFillTint="66"/>
            <w:vAlign w:val="center"/>
          </w:tcPr>
          <w:p w14:paraId="5363E4FD" w14:textId="77777777" w:rsidR="0067682D" w:rsidRPr="00CB119B" w:rsidRDefault="0067682D" w:rsidP="00B51EF7">
            <w:pPr>
              <w:spacing w:after="0"/>
              <w:jc w:val="both"/>
              <w:rPr>
                <w:rFonts w:ascii="Times New Roman" w:hAnsi="Times New Roman" w:cs="Times New Roman"/>
                <w:sz w:val="20"/>
              </w:rPr>
            </w:pPr>
            <w:r w:rsidRPr="00CB119B">
              <w:rPr>
                <w:rFonts w:ascii="Times New Roman" w:hAnsi="Times New Roman" w:cs="Times New Roman"/>
                <w:sz w:val="20"/>
              </w:rPr>
              <w:t>Regalías e hidrocarburos compartibles</w:t>
            </w:r>
          </w:p>
        </w:tc>
        <w:tc>
          <w:tcPr>
            <w:tcW w:w="5139" w:type="dxa"/>
            <w:vMerge/>
            <w:shd w:val="clear" w:color="auto" w:fill="9CC2E5" w:themeFill="accent1" w:themeFillTint="99"/>
            <w:vAlign w:val="center"/>
          </w:tcPr>
          <w:p w14:paraId="3A54B2E0" w14:textId="77777777" w:rsidR="0067682D" w:rsidRPr="00CB119B" w:rsidRDefault="0067682D" w:rsidP="00B51EF7">
            <w:pPr>
              <w:spacing w:after="0"/>
              <w:jc w:val="both"/>
              <w:rPr>
                <w:rFonts w:ascii="Times New Roman" w:hAnsi="Times New Roman" w:cs="Times New Roman"/>
              </w:rPr>
            </w:pPr>
          </w:p>
        </w:tc>
      </w:tr>
      <w:tr w:rsidR="0067682D" w:rsidRPr="00CB119B" w14:paraId="7FE2FE2C" w14:textId="77777777" w:rsidTr="00B51EF7">
        <w:trPr>
          <w:trHeight w:val="243"/>
        </w:trPr>
        <w:tc>
          <w:tcPr>
            <w:tcW w:w="3689" w:type="dxa"/>
            <w:shd w:val="clear" w:color="auto" w:fill="BDD6EE" w:themeFill="accent1" w:themeFillTint="66"/>
            <w:vAlign w:val="center"/>
          </w:tcPr>
          <w:p w14:paraId="7E1A2F0A" w14:textId="77777777" w:rsidR="0067682D" w:rsidRPr="00CB119B" w:rsidRDefault="0067682D" w:rsidP="00B51EF7">
            <w:pPr>
              <w:spacing w:after="0"/>
              <w:jc w:val="both"/>
              <w:rPr>
                <w:rFonts w:ascii="Times New Roman" w:hAnsi="Times New Roman" w:cs="Times New Roman"/>
                <w:sz w:val="20"/>
              </w:rPr>
            </w:pPr>
            <w:r w:rsidRPr="00CB119B">
              <w:rPr>
                <w:rFonts w:ascii="Times New Roman" w:hAnsi="Times New Roman" w:cs="Times New Roman"/>
                <w:sz w:val="20"/>
              </w:rPr>
              <w:t>Impuesto a las salidas del país</w:t>
            </w:r>
          </w:p>
        </w:tc>
        <w:tc>
          <w:tcPr>
            <w:tcW w:w="5139" w:type="dxa"/>
            <w:vMerge/>
            <w:shd w:val="clear" w:color="auto" w:fill="9CC2E5" w:themeFill="accent1" w:themeFillTint="99"/>
            <w:vAlign w:val="center"/>
          </w:tcPr>
          <w:p w14:paraId="4D8B9BC0" w14:textId="77777777" w:rsidR="0067682D" w:rsidRPr="00CB119B" w:rsidRDefault="0067682D" w:rsidP="00B51EF7">
            <w:pPr>
              <w:spacing w:after="0"/>
              <w:jc w:val="both"/>
              <w:rPr>
                <w:rFonts w:ascii="Times New Roman" w:hAnsi="Times New Roman" w:cs="Times New Roman"/>
              </w:rPr>
            </w:pPr>
          </w:p>
        </w:tc>
      </w:tr>
    </w:tbl>
    <w:p w14:paraId="423DCDA1" w14:textId="77777777" w:rsidR="0067682D" w:rsidRPr="00CB119B" w:rsidRDefault="0067682D" w:rsidP="0067682D">
      <w:pPr>
        <w:spacing w:after="0" w:line="240" w:lineRule="auto"/>
        <w:jc w:val="both"/>
        <w:rPr>
          <w:rFonts w:ascii="Times New Roman" w:hAnsi="Times New Roman" w:cs="Times New Roman"/>
          <w:sz w:val="14"/>
          <w:lang w:val="es-MX"/>
        </w:rPr>
      </w:pPr>
      <w:r w:rsidRPr="00CB119B">
        <w:rPr>
          <w:rFonts w:ascii="Times New Roman" w:hAnsi="Times New Roman" w:cs="Times New Roman"/>
          <w:sz w:val="14"/>
          <w:lang w:val="es-MX"/>
        </w:rPr>
        <w:t>Fuente: Dirección de Análisis y Política Fiscal</w:t>
      </w:r>
    </w:p>
    <w:p w14:paraId="580665D7" w14:textId="77777777" w:rsidR="0067682D" w:rsidRPr="00CB119B" w:rsidRDefault="0067682D" w:rsidP="0067682D">
      <w:pPr>
        <w:spacing w:after="0" w:line="240" w:lineRule="auto"/>
        <w:jc w:val="both"/>
        <w:rPr>
          <w:rFonts w:ascii="Times New Roman" w:hAnsi="Times New Roman" w:cs="Times New Roman"/>
          <w:lang w:val="es-MX"/>
        </w:rPr>
      </w:pPr>
    </w:p>
    <w:p w14:paraId="44FAB7BE" w14:textId="3191EAD1" w:rsidR="00484ED3" w:rsidRDefault="0067682D" w:rsidP="00FF5433">
      <w:pPr>
        <w:spacing w:after="0" w:line="240" w:lineRule="auto"/>
        <w:jc w:val="both"/>
        <w:rPr>
          <w:rFonts w:ascii="Times New Roman" w:hAnsi="Times New Roman" w:cs="Times New Roman"/>
        </w:rPr>
      </w:pPr>
      <w:r w:rsidRPr="00CB119B">
        <w:rPr>
          <w:rFonts w:ascii="Times New Roman" w:hAnsi="Times New Roman" w:cs="Times New Roman"/>
        </w:rPr>
        <w:t>Tomando en consideración la base para la estimación de cada uno de los impuestos y las proyecciones macroeconómicas expuestas en el Marco Macroeconómico, se procede a estimar el nivel de recaudación tributaria para el mediano plazo.</w:t>
      </w:r>
    </w:p>
    <w:p w14:paraId="45EA1F4E" w14:textId="77777777" w:rsidR="00FF5433" w:rsidRPr="00CB119B" w:rsidRDefault="00FF5433" w:rsidP="00FF5433">
      <w:pPr>
        <w:spacing w:after="0" w:line="240" w:lineRule="auto"/>
        <w:jc w:val="both"/>
        <w:rPr>
          <w:rFonts w:ascii="Times New Roman" w:hAnsi="Times New Roman" w:cs="Times New Roman"/>
        </w:rPr>
      </w:pPr>
    </w:p>
    <w:p w14:paraId="6167D3DB" w14:textId="47FA7383" w:rsidR="0067682D" w:rsidRPr="003E14B7" w:rsidRDefault="0014127C" w:rsidP="00484ED3">
      <w:pPr>
        <w:pStyle w:val="Epgrafe"/>
        <w:spacing w:after="0"/>
        <w:jc w:val="center"/>
        <w:rPr>
          <w:rFonts w:ascii="Times New Roman" w:hAnsi="Times New Roman" w:cs="Times New Roman"/>
          <w:b/>
          <w:color w:val="auto"/>
          <w:sz w:val="22"/>
          <w:szCs w:val="20"/>
        </w:rPr>
      </w:pPr>
      <w:bookmarkStart w:id="1746" w:name="_Toc16160564"/>
      <w:bookmarkStart w:id="1747" w:name="_Toc49939510"/>
      <w:bookmarkStart w:id="1748" w:name="_Toc81573042"/>
      <w:r w:rsidRPr="003E14B7">
        <w:rPr>
          <w:rFonts w:ascii="Times New Roman" w:hAnsi="Times New Roman" w:cs="Times New Roman"/>
          <w:b/>
          <w:color w:val="auto"/>
          <w:sz w:val="22"/>
          <w:szCs w:val="20"/>
        </w:rPr>
        <w:t xml:space="preserve">Tabla </w:t>
      </w:r>
      <w:r w:rsidRPr="003E14B7">
        <w:rPr>
          <w:rFonts w:ascii="Times New Roman" w:hAnsi="Times New Roman" w:cs="Times New Roman"/>
          <w:b/>
          <w:color w:val="auto"/>
          <w:sz w:val="22"/>
          <w:szCs w:val="20"/>
        </w:rPr>
        <w:fldChar w:fldCharType="begin"/>
      </w:r>
      <w:r w:rsidRPr="003E14B7">
        <w:rPr>
          <w:rFonts w:ascii="Times New Roman" w:hAnsi="Times New Roman" w:cs="Times New Roman"/>
          <w:b/>
          <w:color w:val="auto"/>
          <w:sz w:val="22"/>
          <w:szCs w:val="20"/>
        </w:rPr>
        <w:instrText xml:space="preserve"> SEQ Tabla \* ARABIC </w:instrText>
      </w:r>
      <w:r w:rsidRPr="003E14B7">
        <w:rPr>
          <w:rFonts w:ascii="Times New Roman" w:hAnsi="Times New Roman" w:cs="Times New Roman"/>
          <w:b/>
          <w:color w:val="auto"/>
          <w:sz w:val="22"/>
          <w:szCs w:val="20"/>
        </w:rPr>
        <w:fldChar w:fldCharType="separate"/>
      </w:r>
      <w:r w:rsidR="00081415">
        <w:rPr>
          <w:rFonts w:ascii="Times New Roman" w:hAnsi="Times New Roman" w:cs="Times New Roman"/>
          <w:b/>
          <w:noProof/>
          <w:color w:val="auto"/>
          <w:sz w:val="22"/>
          <w:szCs w:val="20"/>
        </w:rPr>
        <w:t>20</w:t>
      </w:r>
      <w:r w:rsidRPr="003E14B7">
        <w:rPr>
          <w:rFonts w:ascii="Times New Roman" w:hAnsi="Times New Roman" w:cs="Times New Roman"/>
          <w:b/>
          <w:color w:val="auto"/>
          <w:sz w:val="22"/>
          <w:szCs w:val="20"/>
        </w:rPr>
        <w:fldChar w:fldCharType="end"/>
      </w:r>
      <w:r w:rsidRPr="003E14B7">
        <w:rPr>
          <w:rFonts w:ascii="Times New Roman" w:hAnsi="Times New Roman" w:cs="Times New Roman"/>
          <w:b/>
          <w:color w:val="auto"/>
          <w:sz w:val="22"/>
          <w:szCs w:val="20"/>
        </w:rPr>
        <w:t xml:space="preserve"> </w:t>
      </w:r>
      <w:r w:rsidR="0067682D" w:rsidRPr="003E14B7">
        <w:rPr>
          <w:rFonts w:ascii="Times New Roman" w:hAnsi="Times New Roman" w:cs="Times New Roman"/>
          <w:b/>
          <w:color w:val="auto"/>
          <w:sz w:val="22"/>
          <w:szCs w:val="20"/>
        </w:rPr>
        <w:t xml:space="preserve"> Escenario macroeconómico 2022-202</w:t>
      </w:r>
      <w:bookmarkEnd w:id="1746"/>
      <w:r w:rsidR="0067682D" w:rsidRPr="003E14B7">
        <w:rPr>
          <w:rFonts w:ascii="Times New Roman" w:hAnsi="Times New Roman" w:cs="Times New Roman"/>
          <w:b/>
          <w:color w:val="auto"/>
          <w:sz w:val="22"/>
          <w:szCs w:val="20"/>
        </w:rPr>
        <w:t>6</w:t>
      </w:r>
      <w:bookmarkEnd w:id="1747"/>
      <w:bookmarkEnd w:id="1748"/>
    </w:p>
    <w:p w14:paraId="67375E9C" w14:textId="77777777" w:rsidR="0067682D" w:rsidRPr="00CB119B" w:rsidRDefault="0067682D" w:rsidP="0067682D">
      <w:pPr>
        <w:pStyle w:val="Sinespaciado"/>
        <w:jc w:val="center"/>
        <w:rPr>
          <w:rFonts w:ascii="Times New Roman" w:hAnsi="Times New Roman" w:cs="Times New Roman"/>
          <w:sz w:val="20"/>
        </w:rPr>
      </w:pPr>
      <w:r w:rsidRPr="00CB119B">
        <w:rPr>
          <w:rFonts w:ascii="Times New Roman" w:hAnsi="Times New Roman" w:cs="Times New Roman"/>
          <w:sz w:val="20"/>
        </w:rPr>
        <w:t>Millones de quetzales, millones de dólares y porcentajes</w:t>
      </w:r>
    </w:p>
    <w:p w14:paraId="52356FA5" w14:textId="157B44AE" w:rsidR="0067682D" w:rsidRPr="00CB119B" w:rsidRDefault="00D640EE" w:rsidP="0067682D">
      <w:pPr>
        <w:spacing w:after="0" w:line="240" w:lineRule="auto"/>
        <w:jc w:val="both"/>
        <w:rPr>
          <w:rFonts w:ascii="Times New Roman" w:hAnsi="Times New Roman" w:cs="Times New Roman"/>
        </w:rPr>
      </w:pPr>
      <w:r w:rsidRPr="00D640EE">
        <w:rPr>
          <w:noProof/>
          <w:lang w:val="es-ES" w:eastAsia="es-ES"/>
        </w:rPr>
        <w:drawing>
          <wp:inline distT="0" distB="0" distL="0" distR="0" wp14:anchorId="2F12E17C" wp14:editId="0C06FD0B">
            <wp:extent cx="5612130" cy="1551305"/>
            <wp:effectExtent l="0" t="0" r="762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12130" cy="1551305"/>
                    </a:xfrm>
                    <a:prstGeom prst="rect">
                      <a:avLst/>
                    </a:prstGeom>
                    <a:noFill/>
                    <a:ln>
                      <a:noFill/>
                    </a:ln>
                  </pic:spPr>
                </pic:pic>
              </a:graphicData>
            </a:graphic>
          </wp:inline>
        </w:drawing>
      </w:r>
    </w:p>
    <w:p w14:paraId="6708F923" w14:textId="37BBE0AF" w:rsidR="0067682D" w:rsidRPr="00484ED3" w:rsidRDefault="0067682D" w:rsidP="0067682D">
      <w:pPr>
        <w:spacing w:after="0" w:line="240" w:lineRule="auto"/>
        <w:jc w:val="both"/>
        <w:rPr>
          <w:rFonts w:ascii="Times New Roman" w:hAnsi="Times New Roman" w:cs="Times New Roman"/>
          <w:sz w:val="18"/>
        </w:rPr>
      </w:pPr>
      <w:r w:rsidRPr="00484ED3">
        <w:rPr>
          <w:rFonts w:ascii="Times New Roman" w:hAnsi="Times New Roman" w:cs="Times New Roman"/>
          <w:sz w:val="18"/>
        </w:rPr>
        <w:t>Fuente: Banco de Guatemala</w:t>
      </w:r>
      <w:r w:rsidR="00AC1F6C">
        <w:rPr>
          <w:rFonts w:ascii="Times New Roman" w:hAnsi="Times New Roman" w:cs="Times New Roman"/>
          <w:sz w:val="18"/>
        </w:rPr>
        <w:t xml:space="preserve"> (escenario bajo</w:t>
      </w:r>
      <w:r w:rsidR="00BA4AD8">
        <w:rPr>
          <w:rFonts w:ascii="Times New Roman" w:hAnsi="Times New Roman" w:cs="Times New Roman"/>
          <w:sz w:val="18"/>
        </w:rPr>
        <w:t xml:space="preserve"> 2021-2022</w:t>
      </w:r>
      <w:r w:rsidR="00AC1F6C">
        <w:rPr>
          <w:rFonts w:ascii="Times New Roman" w:hAnsi="Times New Roman" w:cs="Times New Roman"/>
          <w:sz w:val="18"/>
        </w:rPr>
        <w:t>)</w:t>
      </w:r>
    </w:p>
    <w:p w14:paraId="5E4A98A4" w14:textId="77777777" w:rsidR="0067682D" w:rsidRPr="00CB119B" w:rsidRDefault="0067682D" w:rsidP="0067682D">
      <w:pPr>
        <w:spacing w:after="0" w:line="240" w:lineRule="auto"/>
        <w:jc w:val="both"/>
        <w:rPr>
          <w:rFonts w:ascii="Times New Roman" w:hAnsi="Times New Roman" w:cs="Times New Roman"/>
        </w:rPr>
      </w:pPr>
    </w:p>
    <w:p w14:paraId="6ECEBF1D" w14:textId="160A8C77" w:rsidR="0067682D" w:rsidRPr="00CB119B" w:rsidRDefault="0067682D" w:rsidP="0067682D">
      <w:pPr>
        <w:spacing w:after="0" w:line="240" w:lineRule="auto"/>
        <w:jc w:val="both"/>
        <w:rPr>
          <w:rFonts w:ascii="Times New Roman" w:hAnsi="Times New Roman" w:cs="Times New Roman"/>
        </w:rPr>
      </w:pPr>
      <w:r w:rsidRPr="00CB119B">
        <w:rPr>
          <w:rFonts w:ascii="Times New Roman" w:hAnsi="Times New Roman" w:cs="Times New Roman"/>
        </w:rPr>
        <w:t xml:space="preserve">Adicionalmente, para el período 2022-2026, se considera una reducción de la evasión del IVA y el impuesto sobre la renta a personas jurídicas, los cuales se sustentan con el efecto de las medidas administrativas que está realizando la SAT desde 2016 y que siguen avanzando en este </w:t>
      </w:r>
      <w:r w:rsidR="00C37594">
        <w:rPr>
          <w:rFonts w:ascii="Times New Roman" w:hAnsi="Times New Roman" w:cs="Times New Roman"/>
        </w:rPr>
        <w:t>periodo</w:t>
      </w:r>
      <w:r w:rsidRPr="00CB119B">
        <w:rPr>
          <w:rFonts w:ascii="Times New Roman" w:hAnsi="Times New Roman" w:cs="Times New Roman"/>
        </w:rPr>
        <w:t>.</w:t>
      </w:r>
    </w:p>
    <w:p w14:paraId="0C86BF30" w14:textId="77777777" w:rsidR="0067682D" w:rsidRPr="00CB119B" w:rsidRDefault="0067682D" w:rsidP="0067682D">
      <w:pPr>
        <w:spacing w:after="0" w:line="240" w:lineRule="auto"/>
        <w:jc w:val="both"/>
        <w:rPr>
          <w:rFonts w:ascii="Times New Roman" w:hAnsi="Times New Roman" w:cs="Times New Roman"/>
        </w:rPr>
      </w:pPr>
    </w:p>
    <w:p w14:paraId="28614D76" w14:textId="47CCA11D" w:rsidR="0067682D" w:rsidRPr="00CB119B" w:rsidRDefault="0067682D" w:rsidP="0067682D">
      <w:pPr>
        <w:spacing w:after="0" w:line="240" w:lineRule="auto"/>
        <w:jc w:val="both"/>
        <w:rPr>
          <w:rFonts w:ascii="Times New Roman" w:hAnsi="Times New Roman" w:cs="Times New Roman"/>
        </w:rPr>
      </w:pPr>
      <w:r w:rsidRPr="00CB119B">
        <w:rPr>
          <w:rFonts w:ascii="Times New Roman" w:hAnsi="Times New Roman" w:cs="Times New Roman"/>
        </w:rPr>
        <w:t>Además, es importante indicar que, la estimación de medidas administrativas encaminadas a reducir la evasión tributaria constituye base para la estimación del año siguiente, por lo que tiene un efecto multiplicador en la recaudación base de cada año, registrándose dichas medidas en el rubro de otros indirectos y otros directos, cuyo monto previsto para 2022 es de Q</w:t>
      </w:r>
      <w:r w:rsidR="00C37594">
        <w:rPr>
          <w:rFonts w:ascii="Times New Roman" w:hAnsi="Times New Roman" w:cs="Times New Roman"/>
        </w:rPr>
        <w:t xml:space="preserve">1,250 </w:t>
      </w:r>
      <w:r w:rsidRPr="00CB119B">
        <w:rPr>
          <w:rFonts w:ascii="Times New Roman" w:hAnsi="Times New Roman" w:cs="Times New Roman"/>
        </w:rPr>
        <w:t>millones. Asimismo, los principales impuestos ISR e IVA total, en conjunto representan el 7</w:t>
      </w:r>
      <w:r w:rsidR="00C37594">
        <w:rPr>
          <w:rFonts w:ascii="Times New Roman" w:hAnsi="Times New Roman" w:cs="Times New Roman"/>
        </w:rPr>
        <w:t>5.2</w:t>
      </w:r>
      <w:r w:rsidRPr="00CB119B">
        <w:rPr>
          <w:rFonts w:ascii="Times New Roman" w:hAnsi="Times New Roman" w:cs="Times New Roman"/>
        </w:rPr>
        <w:t xml:space="preserve">% de la recaudación total, se prevé un crecimiento de las importaciones en torno al </w:t>
      </w:r>
      <w:r w:rsidR="00C37594">
        <w:rPr>
          <w:rFonts w:ascii="Times New Roman" w:hAnsi="Times New Roman" w:cs="Times New Roman"/>
        </w:rPr>
        <w:t>6.0</w:t>
      </w:r>
      <w:r w:rsidRPr="00CB119B">
        <w:rPr>
          <w:rFonts w:ascii="Times New Roman" w:hAnsi="Times New Roman" w:cs="Times New Roman"/>
        </w:rPr>
        <w:t>% en 202</w:t>
      </w:r>
      <w:r w:rsidR="003807FF">
        <w:rPr>
          <w:rFonts w:ascii="Times New Roman" w:hAnsi="Times New Roman" w:cs="Times New Roman"/>
        </w:rPr>
        <w:t xml:space="preserve">2 monto </w:t>
      </w:r>
      <w:r w:rsidRPr="00CB119B">
        <w:rPr>
          <w:rFonts w:ascii="Times New Roman" w:hAnsi="Times New Roman" w:cs="Times New Roman"/>
        </w:rPr>
        <w:t>inferior al estimado para 2021, este escenario es conservador y es el recomendado para considerarse para el Presupuesto General de Ingresos y Egresos del Estado 2022 y multianual 2023-2026.</w:t>
      </w:r>
    </w:p>
    <w:p w14:paraId="37E5641C" w14:textId="4EB84E23" w:rsidR="0067682D" w:rsidRDefault="0067682D" w:rsidP="0067682D">
      <w:pPr>
        <w:spacing w:after="0" w:line="240" w:lineRule="auto"/>
        <w:jc w:val="both"/>
        <w:rPr>
          <w:rFonts w:ascii="Times New Roman" w:hAnsi="Times New Roman" w:cs="Times New Roman"/>
        </w:rPr>
      </w:pPr>
    </w:p>
    <w:p w14:paraId="0F9A67F7" w14:textId="77777777" w:rsidR="00FF5433" w:rsidRPr="00CB119B" w:rsidRDefault="00FF5433" w:rsidP="0067682D">
      <w:pPr>
        <w:spacing w:after="0" w:line="240" w:lineRule="auto"/>
        <w:jc w:val="both"/>
        <w:rPr>
          <w:rFonts w:ascii="Times New Roman" w:hAnsi="Times New Roman" w:cs="Times New Roman"/>
        </w:rPr>
      </w:pPr>
    </w:p>
    <w:p w14:paraId="763E6182" w14:textId="09E4037C" w:rsidR="0067682D" w:rsidRPr="00484ED3" w:rsidRDefault="0014127C" w:rsidP="00484ED3">
      <w:pPr>
        <w:pStyle w:val="Epgrafe"/>
        <w:spacing w:after="0"/>
        <w:jc w:val="center"/>
        <w:rPr>
          <w:rFonts w:ascii="Times New Roman" w:hAnsi="Times New Roman" w:cs="Times New Roman"/>
          <w:b/>
          <w:color w:val="auto"/>
          <w:sz w:val="22"/>
          <w:szCs w:val="22"/>
        </w:rPr>
      </w:pPr>
      <w:bookmarkStart w:id="1749" w:name="_Toc16160565"/>
      <w:bookmarkStart w:id="1750" w:name="_Toc49939511"/>
      <w:bookmarkStart w:id="1751" w:name="_Toc81573043"/>
      <w:r w:rsidRPr="00484ED3">
        <w:rPr>
          <w:rFonts w:ascii="Times New Roman" w:hAnsi="Times New Roman" w:cs="Times New Roman"/>
          <w:b/>
          <w:color w:val="auto"/>
          <w:sz w:val="22"/>
          <w:szCs w:val="22"/>
        </w:rPr>
        <w:t xml:space="preserve">Tabla </w:t>
      </w:r>
      <w:r w:rsidRPr="00484ED3">
        <w:rPr>
          <w:rFonts w:ascii="Times New Roman" w:hAnsi="Times New Roman" w:cs="Times New Roman"/>
          <w:b/>
          <w:color w:val="auto"/>
          <w:sz w:val="22"/>
          <w:szCs w:val="22"/>
        </w:rPr>
        <w:fldChar w:fldCharType="begin"/>
      </w:r>
      <w:r w:rsidRPr="00484ED3">
        <w:rPr>
          <w:rFonts w:ascii="Times New Roman" w:hAnsi="Times New Roman" w:cs="Times New Roman"/>
          <w:b/>
          <w:color w:val="auto"/>
          <w:sz w:val="22"/>
          <w:szCs w:val="22"/>
        </w:rPr>
        <w:instrText xml:space="preserve"> SEQ Tabla \* ARABIC </w:instrText>
      </w:r>
      <w:r w:rsidRPr="00484ED3">
        <w:rPr>
          <w:rFonts w:ascii="Times New Roman" w:hAnsi="Times New Roman" w:cs="Times New Roman"/>
          <w:b/>
          <w:color w:val="auto"/>
          <w:sz w:val="22"/>
          <w:szCs w:val="22"/>
        </w:rPr>
        <w:fldChar w:fldCharType="separate"/>
      </w:r>
      <w:r w:rsidR="009E18F8">
        <w:rPr>
          <w:rFonts w:ascii="Times New Roman" w:hAnsi="Times New Roman" w:cs="Times New Roman"/>
          <w:b/>
          <w:noProof/>
          <w:color w:val="auto"/>
          <w:sz w:val="22"/>
          <w:szCs w:val="22"/>
        </w:rPr>
        <w:t>21</w:t>
      </w:r>
      <w:r w:rsidRPr="00484ED3">
        <w:rPr>
          <w:rFonts w:ascii="Times New Roman" w:hAnsi="Times New Roman" w:cs="Times New Roman"/>
          <w:b/>
          <w:color w:val="auto"/>
          <w:sz w:val="22"/>
          <w:szCs w:val="22"/>
        </w:rPr>
        <w:fldChar w:fldCharType="end"/>
      </w:r>
      <w:r w:rsidRPr="00484ED3">
        <w:rPr>
          <w:rFonts w:ascii="Times New Roman" w:hAnsi="Times New Roman" w:cs="Times New Roman"/>
          <w:b/>
          <w:color w:val="auto"/>
          <w:sz w:val="22"/>
          <w:szCs w:val="22"/>
        </w:rPr>
        <w:t xml:space="preserve"> </w:t>
      </w:r>
      <w:r w:rsidR="0067682D" w:rsidRPr="00484ED3">
        <w:rPr>
          <w:rFonts w:ascii="Times New Roman" w:hAnsi="Times New Roman" w:cs="Times New Roman"/>
          <w:b/>
          <w:color w:val="auto"/>
          <w:sz w:val="22"/>
          <w:szCs w:val="22"/>
        </w:rPr>
        <w:t xml:space="preserve"> Recaudación tributaria neta</w:t>
      </w:r>
      <w:bookmarkEnd w:id="1749"/>
      <w:bookmarkEnd w:id="1750"/>
      <w:bookmarkEnd w:id="1751"/>
    </w:p>
    <w:p w14:paraId="522FA22D" w14:textId="77777777" w:rsidR="0067682D" w:rsidRPr="00484ED3" w:rsidRDefault="0067682D" w:rsidP="0067682D">
      <w:pPr>
        <w:pStyle w:val="Sinespaciado"/>
        <w:jc w:val="center"/>
        <w:rPr>
          <w:rFonts w:ascii="Times New Roman" w:hAnsi="Times New Roman" w:cs="Times New Roman"/>
          <w:sz w:val="20"/>
        </w:rPr>
      </w:pPr>
      <w:r w:rsidRPr="00484ED3">
        <w:rPr>
          <w:rFonts w:ascii="Times New Roman" w:hAnsi="Times New Roman" w:cs="Times New Roman"/>
          <w:sz w:val="20"/>
        </w:rPr>
        <w:t>2019 – 2026</w:t>
      </w:r>
    </w:p>
    <w:p w14:paraId="086D6C32" w14:textId="77777777" w:rsidR="0067682D" w:rsidRPr="00484ED3" w:rsidRDefault="0067682D" w:rsidP="0067682D">
      <w:pPr>
        <w:pStyle w:val="Sinespaciado"/>
        <w:jc w:val="center"/>
        <w:rPr>
          <w:rFonts w:ascii="Times New Roman" w:hAnsi="Times New Roman" w:cs="Times New Roman"/>
          <w:sz w:val="20"/>
        </w:rPr>
      </w:pPr>
      <w:r w:rsidRPr="00484ED3">
        <w:rPr>
          <w:rFonts w:ascii="Times New Roman" w:hAnsi="Times New Roman" w:cs="Times New Roman"/>
          <w:sz w:val="20"/>
        </w:rPr>
        <w:t>Millones de quetzales</w:t>
      </w:r>
    </w:p>
    <w:p w14:paraId="68DC7774" w14:textId="3FBD0A9B" w:rsidR="0067682D" w:rsidRPr="00CB119B" w:rsidRDefault="00DD5DA9" w:rsidP="0067682D">
      <w:pPr>
        <w:pStyle w:val="Sinespaciado"/>
        <w:jc w:val="center"/>
        <w:rPr>
          <w:rFonts w:ascii="Times New Roman" w:hAnsi="Times New Roman" w:cs="Times New Roman"/>
        </w:rPr>
      </w:pPr>
      <w:r w:rsidRPr="00DD5DA9">
        <w:rPr>
          <w:noProof/>
          <w:lang w:val="es-ES" w:eastAsia="es-ES"/>
        </w:rPr>
        <w:drawing>
          <wp:inline distT="0" distB="0" distL="0" distR="0" wp14:anchorId="34E278EC" wp14:editId="03263477">
            <wp:extent cx="5612130" cy="4159250"/>
            <wp:effectExtent l="0" t="0" r="762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12130" cy="4159250"/>
                    </a:xfrm>
                    <a:prstGeom prst="rect">
                      <a:avLst/>
                    </a:prstGeom>
                    <a:noFill/>
                    <a:ln>
                      <a:noFill/>
                    </a:ln>
                  </pic:spPr>
                </pic:pic>
              </a:graphicData>
            </a:graphic>
          </wp:inline>
        </w:drawing>
      </w:r>
    </w:p>
    <w:p w14:paraId="6CDF8D4E" w14:textId="77777777" w:rsidR="0067682D" w:rsidRPr="00CB119B" w:rsidRDefault="0067682D" w:rsidP="0067682D">
      <w:pPr>
        <w:pStyle w:val="Sinespaciado"/>
        <w:rPr>
          <w:rFonts w:ascii="Times New Roman" w:hAnsi="Times New Roman" w:cs="Times New Roman"/>
          <w:sz w:val="16"/>
        </w:rPr>
      </w:pPr>
      <w:r w:rsidRPr="00CB119B">
        <w:rPr>
          <w:rFonts w:ascii="Times New Roman" w:hAnsi="Times New Roman" w:cs="Times New Roman"/>
          <w:sz w:val="16"/>
        </w:rPr>
        <w:t>Fuente: Superintendencia de Administración Tributaria</w:t>
      </w:r>
    </w:p>
    <w:p w14:paraId="573CE651" w14:textId="77777777" w:rsidR="0067682D" w:rsidRPr="00CB119B" w:rsidRDefault="0067682D" w:rsidP="0067682D">
      <w:pPr>
        <w:spacing w:after="0" w:line="240" w:lineRule="auto"/>
        <w:jc w:val="both"/>
        <w:rPr>
          <w:rFonts w:ascii="Times New Roman" w:hAnsi="Times New Roman" w:cs="Times New Roman"/>
        </w:rPr>
      </w:pPr>
    </w:p>
    <w:p w14:paraId="565C8A5D" w14:textId="3FE0EF43" w:rsidR="0067682D" w:rsidRPr="00CB119B" w:rsidRDefault="0067682D" w:rsidP="0067682D">
      <w:pPr>
        <w:spacing w:after="0" w:line="240" w:lineRule="auto"/>
        <w:jc w:val="both"/>
        <w:rPr>
          <w:rFonts w:ascii="Times New Roman" w:hAnsi="Times New Roman" w:cs="Times New Roman"/>
        </w:rPr>
      </w:pPr>
      <w:bookmarkStart w:id="1752" w:name="_Toc16158426"/>
      <w:r w:rsidRPr="00174A25">
        <w:rPr>
          <w:rFonts w:ascii="Times New Roman" w:hAnsi="Times New Roman" w:cs="Times New Roman"/>
        </w:rPr>
        <w:t>Tomando en consideración el escenario macroeconómico previsto para el mediano plazo y el esfuerzo administrativo por parte de la SAT, para 2022 los ingresos tributarios pueden ubicarse en torno a Q7</w:t>
      </w:r>
      <w:r w:rsidR="00132F74" w:rsidRPr="00174A25">
        <w:rPr>
          <w:rFonts w:ascii="Times New Roman" w:hAnsi="Times New Roman" w:cs="Times New Roman"/>
        </w:rPr>
        <w:t xml:space="preserve">4,368.0 </w:t>
      </w:r>
      <w:r w:rsidRPr="00174A25">
        <w:rPr>
          <w:rFonts w:ascii="Times New Roman" w:hAnsi="Times New Roman" w:cs="Times New Roman"/>
        </w:rPr>
        <w:t>millones, equivalente al 10.</w:t>
      </w:r>
      <w:r w:rsidR="00132F74" w:rsidRPr="00174A25">
        <w:rPr>
          <w:rFonts w:ascii="Times New Roman" w:hAnsi="Times New Roman" w:cs="Times New Roman"/>
        </w:rPr>
        <w:t>69</w:t>
      </w:r>
      <w:r w:rsidRPr="00174A25">
        <w:rPr>
          <w:rFonts w:ascii="Times New Roman" w:hAnsi="Times New Roman" w:cs="Times New Roman"/>
        </w:rPr>
        <w:t xml:space="preserve">% del PIB, indicador </w:t>
      </w:r>
      <w:r w:rsidR="00174A25" w:rsidRPr="00174A25">
        <w:rPr>
          <w:rFonts w:ascii="Times New Roman" w:hAnsi="Times New Roman" w:cs="Times New Roman"/>
        </w:rPr>
        <w:t>ligeramente inferior</w:t>
      </w:r>
      <w:r w:rsidRPr="00174A25">
        <w:rPr>
          <w:rFonts w:ascii="Times New Roman" w:hAnsi="Times New Roman" w:cs="Times New Roman"/>
        </w:rPr>
        <w:t xml:space="preserve"> al previsto en el cierre estimado para 2021</w:t>
      </w:r>
      <w:r w:rsidR="00326F4D">
        <w:rPr>
          <w:rFonts w:ascii="Times New Roman" w:hAnsi="Times New Roman" w:cs="Times New Roman"/>
        </w:rPr>
        <w:t xml:space="preserve">, </w:t>
      </w:r>
      <w:r w:rsidRPr="00174A25">
        <w:rPr>
          <w:rFonts w:ascii="Times New Roman" w:hAnsi="Times New Roman" w:cs="Times New Roman"/>
        </w:rPr>
        <w:t xml:space="preserve">se prevé que para 2026 la carga tributaria se ubique en </w:t>
      </w:r>
      <w:r w:rsidR="00174A25" w:rsidRPr="00174A25">
        <w:rPr>
          <w:rFonts w:ascii="Times New Roman" w:hAnsi="Times New Roman" w:cs="Times New Roman"/>
        </w:rPr>
        <w:t>11.</w:t>
      </w:r>
      <w:r w:rsidR="002F129A">
        <w:rPr>
          <w:rFonts w:ascii="Times New Roman" w:hAnsi="Times New Roman" w:cs="Times New Roman"/>
        </w:rPr>
        <w:t>1</w:t>
      </w:r>
      <w:r w:rsidRPr="00174A25">
        <w:rPr>
          <w:rFonts w:ascii="Times New Roman" w:hAnsi="Times New Roman" w:cs="Times New Roman"/>
        </w:rPr>
        <w:t>%.</w:t>
      </w:r>
      <w:r w:rsidRPr="00CB119B">
        <w:rPr>
          <w:rFonts w:ascii="Times New Roman" w:hAnsi="Times New Roman" w:cs="Times New Roman"/>
        </w:rPr>
        <w:t xml:space="preserve">  </w:t>
      </w:r>
    </w:p>
    <w:p w14:paraId="373502EE" w14:textId="77777777" w:rsidR="0067682D" w:rsidRPr="00CB119B" w:rsidRDefault="0067682D" w:rsidP="0067682D">
      <w:pPr>
        <w:spacing w:after="0" w:line="240" w:lineRule="auto"/>
        <w:jc w:val="both"/>
        <w:rPr>
          <w:rFonts w:ascii="Times New Roman" w:hAnsi="Times New Roman" w:cs="Times New Roman"/>
        </w:rPr>
      </w:pPr>
    </w:p>
    <w:p w14:paraId="07BE2295" w14:textId="152E43AA" w:rsidR="0067682D" w:rsidRPr="00CB119B" w:rsidRDefault="0067682D" w:rsidP="0067682D">
      <w:pPr>
        <w:spacing w:after="0" w:line="240" w:lineRule="auto"/>
        <w:jc w:val="both"/>
        <w:rPr>
          <w:rFonts w:ascii="Times New Roman" w:hAnsi="Times New Roman" w:cs="Times New Roman"/>
        </w:rPr>
      </w:pPr>
      <w:r w:rsidRPr="00CB119B">
        <w:rPr>
          <w:rFonts w:ascii="Times New Roman" w:hAnsi="Times New Roman" w:cs="Times New Roman"/>
        </w:rPr>
        <w:t xml:space="preserve">Vale hacer notar que para el escenario multianual se </w:t>
      </w:r>
      <w:r w:rsidR="00CB119B" w:rsidRPr="00CB119B">
        <w:rPr>
          <w:rFonts w:ascii="Times New Roman" w:hAnsi="Times New Roman" w:cs="Times New Roman"/>
        </w:rPr>
        <w:t>consideró</w:t>
      </w:r>
      <w:r w:rsidRPr="00CB119B">
        <w:rPr>
          <w:rFonts w:ascii="Times New Roman" w:hAnsi="Times New Roman" w:cs="Times New Roman"/>
        </w:rPr>
        <w:t xml:space="preserve"> el escenario bajo proporcionado por el Banco de Guatemala.</w:t>
      </w:r>
    </w:p>
    <w:p w14:paraId="2441517F" w14:textId="77777777" w:rsidR="0067682D" w:rsidRPr="00CB119B" w:rsidRDefault="0067682D" w:rsidP="0067682D">
      <w:pPr>
        <w:spacing w:after="0" w:line="240" w:lineRule="auto"/>
        <w:jc w:val="both"/>
        <w:rPr>
          <w:rFonts w:ascii="Times New Roman" w:hAnsi="Times New Roman" w:cs="Times New Roman"/>
        </w:rPr>
      </w:pPr>
    </w:p>
    <w:p w14:paraId="78E044C8" w14:textId="561B6746" w:rsidR="0067682D" w:rsidRPr="00CB119B" w:rsidRDefault="0067682D" w:rsidP="0067682D">
      <w:pPr>
        <w:spacing w:after="0" w:line="240" w:lineRule="auto"/>
        <w:jc w:val="both"/>
        <w:rPr>
          <w:rFonts w:ascii="Times New Roman" w:hAnsi="Times New Roman" w:cs="Times New Roman"/>
        </w:rPr>
      </w:pPr>
      <w:r w:rsidRPr="00CB119B">
        <w:rPr>
          <w:rFonts w:ascii="Times New Roman" w:hAnsi="Times New Roman" w:cs="Times New Roman"/>
        </w:rPr>
        <w:t>Es importante mencionar que el esfuerzo administrativo de SAT es clave para alcanzar este comportamiento creciente en la recaudación de lo contrario la recaudación mostrará una reducción en términos del PIB que podría llegar a 10.</w:t>
      </w:r>
      <w:r w:rsidR="00E66C53">
        <w:rPr>
          <w:rFonts w:ascii="Times New Roman" w:hAnsi="Times New Roman" w:cs="Times New Roman"/>
        </w:rPr>
        <w:t>5</w:t>
      </w:r>
      <w:r w:rsidR="00541C0C">
        <w:rPr>
          <w:rFonts w:ascii="Times New Roman" w:hAnsi="Times New Roman" w:cs="Times New Roman"/>
        </w:rPr>
        <w:t>7</w:t>
      </w:r>
      <w:r w:rsidRPr="00CB119B">
        <w:rPr>
          <w:rFonts w:ascii="Times New Roman" w:hAnsi="Times New Roman" w:cs="Times New Roman"/>
        </w:rPr>
        <w:t>% en 2026.</w:t>
      </w:r>
    </w:p>
    <w:p w14:paraId="4EBBB014" w14:textId="77777777" w:rsidR="0067682D" w:rsidRPr="00CB119B" w:rsidRDefault="0067682D" w:rsidP="0067682D">
      <w:pPr>
        <w:pStyle w:val="Sinespaciado"/>
        <w:jc w:val="center"/>
        <w:rPr>
          <w:rFonts w:ascii="Times New Roman" w:hAnsi="Times New Roman" w:cs="Times New Roman"/>
          <w:b/>
        </w:rPr>
      </w:pPr>
    </w:p>
    <w:p w14:paraId="115EE030" w14:textId="08D12121" w:rsidR="0067682D" w:rsidRPr="00CB119B" w:rsidRDefault="003E14B7" w:rsidP="00484ED3">
      <w:pPr>
        <w:pStyle w:val="Epgrafe"/>
        <w:spacing w:after="0"/>
        <w:jc w:val="center"/>
        <w:rPr>
          <w:rFonts w:ascii="Times New Roman" w:hAnsi="Times New Roman" w:cs="Times New Roman"/>
          <w:b/>
          <w:bCs/>
          <w:i w:val="0"/>
          <w:iCs w:val="0"/>
          <w:color w:val="auto"/>
          <w:sz w:val="22"/>
          <w:szCs w:val="22"/>
        </w:rPr>
      </w:pPr>
      <w:bookmarkStart w:id="1753" w:name="_Toc50016851"/>
      <w:bookmarkStart w:id="1754" w:name="_Toc81573100"/>
      <w:r w:rsidRPr="003E14B7">
        <w:rPr>
          <w:rFonts w:ascii="Times New Roman" w:hAnsi="Times New Roman" w:cs="Times New Roman"/>
          <w:b/>
          <w:color w:val="auto"/>
          <w:sz w:val="20"/>
        </w:rPr>
        <w:t xml:space="preserve">Gráfico </w:t>
      </w:r>
      <w:r w:rsidRPr="003E14B7">
        <w:rPr>
          <w:rFonts w:ascii="Times New Roman" w:hAnsi="Times New Roman" w:cs="Times New Roman"/>
          <w:b/>
          <w:color w:val="auto"/>
          <w:sz w:val="20"/>
        </w:rPr>
        <w:fldChar w:fldCharType="begin"/>
      </w:r>
      <w:r w:rsidRPr="003E14B7">
        <w:rPr>
          <w:rFonts w:ascii="Times New Roman" w:hAnsi="Times New Roman" w:cs="Times New Roman"/>
          <w:b/>
          <w:color w:val="auto"/>
          <w:sz w:val="20"/>
        </w:rPr>
        <w:instrText xml:space="preserve"> SEQ Gráfico \* ARABIC </w:instrText>
      </w:r>
      <w:r w:rsidRPr="003E14B7">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50</w:t>
      </w:r>
      <w:r w:rsidRPr="003E14B7">
        <w:rPr>
          <w:rFonts w:ascii="Times New Roman" w:hAnsi="Times New Roman" w:cs="Times New Roman"/>
          <w:b/>
          <w:color w:val="auto"/>
          <w:sz w:val="20"/>
        </w:rPr>
        <w:fldChar w:fldCharType="end"/>
      </w:r>
      <w:r w:rsidRPr="003E14B7">
        <w:rPr>
          <w:rFonts w:ascii="Times New Roman" w:hAnsi="Times New Roman" w:cs="Times New Roman"/>
          <w:b/>
          <w:color w:val="auto"/>
          <w:sz w:val="20"/>
        </w:rPr>
        <w:t xml:space="preserve">  </w:t>
      </w:r>
      <w:r w:rsidR="0067682D" w:rsidRPr="00CB119B">
        <w:rPr>
          <w:rFonts w:ascii="Times New Roman" w:hAnsi="Times New Roman" w:cs="Times New Roman"/>
          <w:b/>
          <w:i w:val="0"/>
          <w:color w:val="auto"/>
          <w:sz w:val="22"/>
          <w:szCs w:val="22"/>
        </w:rPr>
        <w:t>Carga tributaria 2019-202</w:t>
      </w:r>
      <w:bookmarkEnd w:id="1752"/>
      <w:r w:rsidR="00E76DE8">
        <w:rPr>
          <w:rFonts w:ascii="Times New Roman" w:hAnsi="Times New Roman" w:cs="Times New Roman"/>
          <w:b/>
          <w:i w:val="0"/>
          <w:color w:val="auto"/>
          <w:sz w:val="22"/>
          <w:szCs w:val="22"/>
        </w:rPr>
        <w:t>6</w:t>
      </w:r>
      <w:bookmarkEnd w:id="1753"/>
      <w:bookmarkEnd w:id="1754"/>
    </w:p>
    <w:p w14:paraId="7FCB3AA5" w14:textId="77777777" w:rsidR="0067682D" w:rsidRPr="00CB119B" w:rsidRDefault="0067682D" w:rsidP="0067682D">
      <w:pPr>
        <w:pStyle w:val="Sinespaciado"/>
        <w:jc w:val="center"/>
        <w:rPr>
          <w:rFonts w:ascii="Times New Roman" w:hAnsi="Times New Roman" w:cs="Times New Roman"/>
          <w:sz w:val="18"/>
        </w:rPr>
      </w:pPr>
      <w:r w:rsidRPr="00CB119B">
        <w:rPr>
          <w:rFonts w:ascii="Times New Roman" w:hAnsi="Times New Roman" w:cs="Times New Roman"/>
          <w:sz w:val="18"/>
        </w:rPr>
        <w:t>Porcentajes del PIB</w:t>
      </w:r>
    </w:p>
    <w:p w14:paraId="3295C866" w14:textId="77777777" w:rsidR="00484ED3" w:rsidRDefault="0067682D" w:rsidP="00484ED3">
      <w:pPr>
        <w:jc w:val="center"/>
        <w:rPr>
          <w:rFonts w:ascii="Times New Roman" w:hAnsi="Times New Roman" w:cs="Times New Roman"/>
          <w:sz w:val="16"/>
        </w:rPr>
      </w:pPr>
      <w:r w:rsidRPr="00484ED3">
        <w:rPr>
          <w:rFonts w:ascii="Times New Roman" w:hAnsi="Times New Roman" w:cs="Times New Roman"/>
          <w:noProof/>
          <w:sz w:val="20"/>
          <w:lang w:val="es-ES" w:eastAsia="es-ES"/>
        </w:rPr>
        <w:drawing>
          <wp:inline distT="0" distB="0" distL="0" distR="0" wp14:anchorId="78585EDD" wp14:editId="6BB765CF">
            <wp:extent cx="4781550" cy="2286000"/>
            <wp:effectExtent l="0" t="0" r="0" b="0"/>
            <wp:docPr id="90"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735BFA8" w14:textId="77777777" w:rsidR="0067682D" w:rsidRPr="004133EB" w:rsidRDefault="00484ED3" w:rsidP="00484ED3">
      <w:pPr>
        <w:rPr>
          <w:rFonts w:ascii="Times New Roman" w:hAnsi="Times New Roman" w:cs="Times New Roman"/>
        </w:rPr>
      </w:pPr>
      <w:r>
        <w:rPr>
          <w:rFonts w:ascii="Times New Roman" w:hAnsi="Times New Roman" w:cs="Times New Roman"/>
          <w:sz w:val="16"/>
        </w:rPr>
        <w:t xml:space="preserve">             </w:t>
      </w:r>
      <w:r w:rsidR="0067682D" w:rsidRPr="00CB119B">
        <w:rPr>
          <w:rFonts w:ascii="Times New Roman" w:hAnsi="Times New Roman" w:cs="Times New Roman"/>
          <w:sz w:val="16"/>
        </w:rPr>
        <w:t>Fuente: Dirección de Análisis y Política Fiscal</w:t>
      </w:r>
      <w:r w:rsidR="0067682D">
        <w:rPr>
          <w:rFonts w:ascii="Times New Roman" w:hAnsi="Times New Roman" w:cs="Times New Roman"/>
          <w:sz w:val="16"/>
        </w:rPr>
        <w:t xml:space="preserve"> </w:t>
      </w:r>
    </w:p>
    <w:p w14:paraId="24065844" w14:textId="77777777" w:rsidR="00E76DE8" w:rsidRPr="00484ED3" w:rsidRDefault="00E76DE8" w:rsidP="00813233">
      <w:pPr>
        <w:spacing w:after="0"/>
        <w:ind w:left="1080"/>
        <w:rPr>
          <w:rFonts w:ascii="Times New Roman" w:hAnsi="Times New Roman" w:cs="Times New Roman"/>
          <w:b/>
          <w:bCs/>
          <w:sz w:val="14"/>
          <w:lang w:val="es-ES"/>
        </w:rPr>
      </w:pPr>
    </w:p>
    <w:p w14:paraId="2274E014" w14:textId="77777777" w:rsidR="00813233" w:rsidRPr="00042B26" w:rsidRDefault="00813233" w:rsidP="001032E7">
      <w:pPr>
        <w:pStyle w:val="Sinespaciado"/>
        <w:numPr>
          <w:ilvl w:val="2"/>
          <w:numId w:val="38"/>
        </w:numPr>
        <w:outlineLvl w:val="2"/>
        <w:rPr>
          <w:rFonts w:ascii="Times New Roman" w:hAnsi="Times New Roman" w:cs="Times New Roman"/>
          <w:b/>
          <w:sz w:val="24"/>
        </w:rPr>
      </w:pPr>
      <w:bookmarkStart w:id="1755" w:name="_Toc81571924"/>
      <w:r w:rsidRPr="00042B26">
        <w:rPr>
          <w:rFonts w:ascii="Times New Roman" w:hAnsi="Times New Roman" w:cs="Times New Roman"/>
          <w:b/>
          <w:sz w:val="24"/>
        </w:rPr>
        <w:t>Proyecciones de gasto público</w:t>
      </w:r>
      <w:bookmarkEnd w:id="1755"/>
    </w:p>
    <w:p w14:paraId="78C51BA8" w14:textId="77777777" w:rsidR="00813233" w:rsidRPr="00813233" w:rsidRDefault="00813233" w:rsidP="00813233">
      <w:pPr>
        <w:spacing w:after="0"/>
        <w:rPr>
          <w:rFonts w:ascii="Times New Roman" w:hAnsi="Times New Roman" w:cs="Times New Roman"/>
          <w:lang w:val="es-ES"/>
        </w:rPr>
      </w:pPr>
    </w:p>
    <w:p w14:paraId="3CC2E54E" w14:textId="77777777" w:rsidR="00813233" w:rsidRPr="00813233" w:rsidRDefault="00813233" w:rsidP="00813233">
      <w:pPr>
        <w:spacing w:after="0" w:line="240" w:lineRule="auto"/>
        <w:jc w:val="both"/>
        <w:rPr>
          <w:rFonts w:ascii="Times New Roman" w:hAnsi="Times New Roman" w:cs="Times New Roman"/>
        </w:rPr>
      </w:pPr>
      <w:r w:rsidRPr="00813233">
        <w:rPr>
          <w:rFonts w:ascii="Times New Roman" w:hAnsi="Times New Roman" w:cs="Times New Roman"/>
        </w:rPr>
        <w:t>Las estimaciones de gasto público, como se indicó anteriormente, están determinadas por las obligaciones que el Estado debe honrar para cumplir con las obligaciones constitucionales o de leyes específicas, así como otros compromisos ineludibles como las remuneraciones, las prestaciones a la seguridad social y el servicio de la deuda pública. Asimismo, el componente de orientación de la política pública está vinculado con el Plan Nacional de Desarrollo y su articulación con los ODS que desemboca en la priorización de 10 objetivos estratégicos que permitirán que Guatemala en el mediano y largo plazos, logre mejorar considerablemente el bienestar de la población y permita a la vez contribuir al crecimiento económico.</w:t>
      </w:r>
    </w:p>
    <w:p w14:paraId="1BE3C31F" w14:textId="77777777" w:rsidR="00813233" w:rsidRPr="00813233" w:rsidRDefault="00813233" w:rsidP="00813233">
      <w:pPr>
        <w:spacing w:after="0" w:line="240" w:lineRule="auto"/>
        <w:jc w:val="both"/>
        <w:rPr>
          <w:rFonts w:ascii="Times New Roman" w:hAnsi="Times New Roman" w:cs="Times New Roman"/>
        </w:rPr>
      </w:pPr>
    </w:p>
    <w:p w14:paraId="0BC13151" w14:textId="77777777" w:rsidR="00813233" w:rsidRPr="00EA40FE" w:rsidRDefault="00813233" w:rsidP="00813233">
      <w:pPr>
        <w:spacing w:after="0" w:line="240" w:lineRule="auto"/>
        <w:jc w:val="both"/>
        <w:rPr>
          <w:rFonts w:ascii="Times New Roman" w:hAnsi="Times New Roman" w:cs="Times New Roman"/>
        </w:rPr>
      </w:pPr>
      <w:r w:rsidRPr="00813233">
        <w:rPr>
          <w:rFonts w:ascii="Times New Roman" w:hAnsi="Times New Roman" w:cs="Times New Roman"/>
        </w:rPr>
        <w:t>En ese sentido, es importante considerar que para el proyecto de presupuesto 202</w:t>
      </w:r>
      <w:r w:rsidR="006F3117">
        <w:rPr>
          <w:rFonts w:ascii="Times New Roman" w:hAnsi="Times New Roman" w:cs="Times New Roman"/>
        </w:rPr>
        <w:t>2</w:t>
      </w:r>
      <w:r w:rsidRPr="00813233">
        <w:rPr>
          <w:rFonts w:ascii="Times New Roman" w:hAnsi="Times New Roman" w:cs="Times New Roman"/>
        </w:rPr>
        <w:t xml:space="preserve"> y para el mediano plazo los ingresos tributarios proyectados tendrán pre asignaciones o destinos específicos que establece </w:t>
      </w:r>
      <w:r w:rsidRPr="00EA40FE">
        <w:rPr>
          <w:rFonts w:ascii="Times New Roman" w:hAnsi="Times New Roman" w:cs="Times New Roman"/>
        </w:rPr>
        <w:t xml:space="preserve">la Constitución Política de la República de Guatemala, así como la legislación tributaria por el equivalente al 34.5% del total de ingresos que se espera recibir.   </w:t>
      </w:r>
    </w:p>
    <w:p w14:paraId="0D8D949F" w14:textId="77777777" w:rsidR="00813233" w:rsidRPr="00EA40FE" w:rsidRDefault="00813233" w:rsidP="00813233">
      <w:pPr>
        <w:spacing w:after="0" w:line="240" w:lineRule="auto"/>
        <w:jc w:val="both"/>
        <w:rPr>
          <w:rFonts w:ascii="Times New Roman" w:hAnsi="Times New Roman" w:cs="Times New Roman"/>
        </w:rPr>
      </w:pPr>
    </w:p>
    <w:p w14:paraId="0B8B40FA" w14:textId="77777777" w:rsidR="00813233" w:rsidRPr="00813233" w:rsidRDefault="00813233" w:rsidP="00813233">
      <w:pPr>
        <w:spacing w:after="0" w:line="240" w:lineRule="auto"/>
        <w:jc w:val="both"/>
        <w:rPr>
          <w:rFonts w:ascii="Times New Roman" w:hAnsi="Times New Roman" w:cs="Times New Roman"/>
        </w:rPr>
      </w:pPr>
      <w:r w:rsidRPr="00EA40FE">
        <w:rPr>
          <w:rFonts w:ascii="Times New Roman" w:hAnsi="Times New Roman" w:cs="Times New Roman"/>
        </w:rPr>
        <w:t>Sin embargo, a nivel de todo el presupuesto las rigideces presupuestarias son mayores ya que no solo incorpora las pre asignaciones de los impuestos, sino también otros compromisos ineludibles como las remuneraciones del Estado, el pago de las clases pasivas y aportes al IGSS, así como el servicio de la deuda pública y los aportes institucionales a entidades descentralizadas y autónomas incluyendo las Municipalidades y los Consejos de Desarrollo Urbano y Rural. En su totalidad esto representa cerca del 91% de rigidez presupuestaria, es decir el margen de maniobra de la política fiscal está en torno al 9% del total de presupuesto. Esto sin duda genera una restricción importante en el manejo de la política fiscal derivado</w:t>
      </w:r>
      <w:r w:rsidRPr="00813233">
        <w:rPr>
          <w:rFonts w:ascii="Times New Roman" w:hAnsi="Times New Roman" w:cs="Times New Roman"/>
        </w:rPr>
        <w:t xml:space="preserve"> que más de la tercera parte de la tributación no puede tener un destino diferente al establecido por la Ley afectando el grado de discrecionalidad para orientar la política pública a determinados fines prioritarios.</w:t>
      </w:r>
    </w:p>
    <w:p w14:paraId="7848668C" w14:textId="547E1E67" w:rsidR="00813233" w:rsidRDefault="00813233" w:rsidP="00813233">
      <w:pPr>
        <w:spacing w:after="0" w:line="240" w:lineRule="auto"/>
        <w:jc w:val="both"/>
        <w:rPr>
          <w:rFonts w:ascii="Times New Roman" w:hAnsi="Times New Roman" w:cs="Times New Roman"/>
        </w:rPr>
      </w:pPr>
    </w:p>
    <w:p w14:paraId="05614315" w14:textId="77777777" w:rsidR="00B011BF" w:rsidRDefault="00B011BF" w:rsidP="00813233">
      <w:pPr>
        <w:spacing w:after="0" w:line="240" w:lineRule="auto"/>
        <w:jc w:val="both"/>
        <w:rPr>
          <w:rFonts w:ascii="Times New Roman" w:hAnsi="Times New Roman" w:cs="Times New Roman"/>
        </w:rPr>
      </w:pPr>
    </w:p>
    <w:p w14:paraId="0C92FDC0" w14:textId="2B6439D3" w:rsidR="00813233" w:rsidRPr="003E14B7" w:rsidRDefault="003E14B7" w:rsidP="00FF5433">
      <w:pPr>
        <w:pStyle w:val="Epgrafe"/>
        <w:spacing w:after="0"/>
        <w:jc w:val="center"/>
        <w:rPr>
          <w:rFonts w:ascii="Times New Roman" w:hAnsi="Times New Roman" w:cs="Times New Roman"/>
          <w:b/>
          <w:bCs/>
          <w:color w:val="auto"/>
          <w:sz w:val="20"/>
          <w:szCs w:val="20"/>
        </w:rPr>
      </w:pPr>
      <w:bookmarkStart w:id="1756" w:name="_Toc16158427"/>
      <w:bookmarkStart w:id="1757" w:name="_Toc50016852"/>
      <w:bookmarkStart w:id="1758" w:name="_Toc81573101"/>
      <w:r w:rsidRPr="003E14B7">
        <w:rPr>
          <w:rFonts w:ascii="Times New Roman" w:hAnsi="Times New Roman" w:cs="Times New Roman"/>
          <w:b/>
          <w:color w:val="auto"/>
          <w:sz w:val="20"/>
          <w:szCs w:val="20"/>
        </w:rPr>
        <w:t xml:space="preserve">Gráfico </w:t>
      </w:r>
      <w:r w:rsidRPr="003E14B7">
        <w:rPr>
          <w:rFonts w:ascii="Times New Roman" w:hAnsi="Times New Roman" w:cs="Times New Roman"/>
          <w:b/>
          <w:color w:val="auto"/>
          <w:sz w:val="20"/>
          <w:szCs w:val="20"/>
        </w:rPr>
        <w:fldChar w:fldCharType="begin"/>
      </w:r>
      <w:r w:rsidRPr="003E14B7">
        <w:rPr>
          <w:rFonts w:ascii="Times New Roman" w:hAnsi="Times New Roman" w:cs="Times New Roman"/>
          <w:b/>
          <w:color w:val="auto"/>
          <w:sz w:val="20"/>
          <w:szCs w:val="20"/>
        </w:rPr>
        <w:instrText xml:space="preserve"> SEQ Gráfico \* ARABIC </w:instrText>
      </w:r>
      <w:r w:rsidRPr="003E14B7">
        <w:rPr>
          <w:rFonts w:ascii="Times New Roman" w:hAnsi="Times New Roman" w:cs="Times New Roman"/>
          <w:b/>
          <w:color w:val="auto"/>
          <w:sz w:val="20"/>
          <w:szCs w:val="20"/>
        </w:rPr>
        <w:fldChar w:fldCharType="separate"/>
      </w:r>
      <w:r w:rsidR="00D6529D">
        <w:rPr>
          <w:rFonts w:ascii="Times New Roman" w:hAnsi="Times New Roman" w:cs="Times New Roman"/>
          <w:b/>
          <w:noProof/>
          <w:color w:val="auto"/>
          <w:sz w:val="20"/>
          <w:szCs w:val="20"/>
        </w:rPr>
        <w:t>51</w:t>
      </w:r>
      <w:r w:rsidRPr="003E14B7">
        <w:rPr>
          <w:rFonts w:ascii="Times New Roman" w:hAnsi="Times New Roman" w:cs="Times New Roman"/>
          <w:b/>
          <w:color w:val="auto"/>
          <w:sz w:val="20"/>
          <w:szCs w:val="20"/>
        </w:rPr>
        <w:fldChar w:fldCharType="end"/>
      </w:r>
      <w:r w:rsidRPr="003E14B7">
        <w:rPr>
          <w:rFonts w:ascii="Times New Roman" w:hAnsi="Times New Roman" w:cs="Times New Roman"/>
          <w:b/>
          <w:color w:val="auto"/>
          <w:sz w:val="20"/>
          <w:szCs w:val="20"/>
        </w:rPr>
        <w:t xml:space="preserve">  </w:t>
      </w:r>
      <w:r w:rsidR="00813233" w:rsidRPr="003E14B7">
        <w:rPr>
          <w:rFonts w:ascii="Times New Roman" w:hAnsi="Times New Roman" w:cs="Times New Roman"/>
          <w:b/>
          <w:i w:val="0"/>
          <w:iCs w:val="0"/>
          <w:color w:val="auto"/>
          <w:sz w:val="22"/>
          <w:szCs w:val="20"/>
        </w:rPr>
        <w:t>Rigideces presupuestarias</w:t>
      </w:r>
      <w:bookmarkEnd w:id="1756"/>
      <w:bookmarkEnd w:id="1757"/>
      <w:bookmarkEnd w:id="1758"/>
    </w:p>
    <w:tbl>
      <w:tblPr>
        <w:tblW w:w="9218" w:type="dxa"/>
        <w:tblLook w:val="04A0" w:firstRow="1" w:lastRow="0" w:firstColumn="1" w:lastColumn="0" w:noHBand="0" w:noVBand="1"/>
      </w:tblPr>
      <w:tblGrid>
        <w:gridCol w:w="9218"/>
      </w:tblGrid>
      <w:tr w:rsidR="00813233" w:rsidRPr="00813233" w14:paraId="4A5F04F2" w14:textId="77777777" w:rsidTr="00CF34E8">
        <w:trPr>
          <w:trHeight w:val="369"/>
        </w:trPr>
        <w:tc>
          <w:tcPr>
            <w:tcW w:w="9218" w:type="dxa"/>
            <w:vAlign w:val="center"/>
          </w:tcPr>
          <w:p w14:paraId="7E1D7002" w14:textId="77777777" w:rsidR="00813233" w:rsidRPr="00813233" w:rsidRDefault="00813233" w:rsidP="00813233">
            <w:pPr>
              <w:spacing w:after="0" w:line="240" w:lineRule="auto"/>
              <w:jc w:val="center"/>
              <w:rPr>
                <w:rFonts w:ascii="Times New Roman" w:hAnsi="Times New Roman" w:cs="Times New Roman"/>
              </w:rPr>
            </w:pPr>
            <w:r w:rsidRPr="00813233">
              <w:rPr>
                <w:rFonts w:ascii="Times New Roman" w:hAnsi="Times New Roman" w:cs="Times New Roman"/>
                <w:sz w:val="20"/>
              </w:rPr>
              <w:t>Porcentajes</w:t>
            </w:r>
          </w:p>
        </w:tc>
      </w:tr>
      <w:tr w:rsidR="00813233" w:rsidRPr="00813233" w14:paraId="27DC8B11" w14:textId="77777777" w:rsidTr="00CF34E8">
        <w:tblPrEx>
          <w:tblCellMar>
            <w:left w:w="70" w:type="dxa"/>
            <w:right w:w="70" w:type="dxa"/>
          </w:tblCellMar>
        </w:tblPrEx>
        <w:trPr>
          <w:trHeight w:val="4721"/>
        </w:trPr>
        <w:tc>
          <w:tcPr>
            <w:tcW w:w="9218" w:type="dxa"/>
          </w:tcPr>
          <w:p w14:paraId="3A4D9A72" w14:textId="77777777" w:rsidR="00813233" w:rsidRPr="00813233" w:rsidRDefault="00813233" w:rsidP="00813233">
            <w:pPr>
              <w:spacing w:after="0"/>
              <w:jc w:val="center"/>
              <w:rPr>
                <w:rFonts w:ascii="Times New Roman" w:hAnsi="Times New Roman" w:cs="Times New Roman"/>
              </w:rPr>
            </w:pPr>
            <w:r w:rsidRPr="00813233">
              <w:rPr>
                <w:rFonts w:ascii="Times New Roman" w:hAnsi="Times New Roman" w:cs="Times New Roman"/>
                <w:noProof/>
                <w:lang w:val="es-ES" w:eastAsia="es-ES"/>
              </w:rPr>
              <w:drawing>
                <wp:anchor distT="0" distB="0" distL="114300" distR="114300" simplePos="0" relativeHeight="251950592" behindDoc="0" locked="0" layoutInCell="1" allowOverlap="1" wp14:anchorId="30EE17A4" wp14:editId="75C9B953">
                  <wp:simplePos x="0" y="0"/>
                  <wp:positionH relativeFrom="column">
                    <wp:posOffset>738505</wp:posOffset>
                  </wp:positionH>
                  <wp:positionV relativeFrom="paragraph">
                    <wp:posOffset>0</wp:posOffset>
                  </wp:positionV>
                  <wp:extent cx="4363085" cy="318262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363085" cy="3182620"/>
                          </a:xfrm>
                          <a:prstGeom prst="rect">
                            <a:avLst/>
                          </a:prstGeom>
                          <a:noFill/>
                        </pic:spPr>
                      </pic:pic>
                    </a:graphicData>
                  </a:graphic>
                  <wp14:sizeRelH relativeFrom="page">
                    <wp14:pctWidth>0</wp14:pctWidth>
                  </wp14:sizeRelH>
                  <wp14:sizeRelV relativeFrom="page">
                    <wp14:pctHeight>0</wp14:pctHeight>
                  </wp14:sizeRelV>
                </wp:anchor>
              </w:drawing>
            </w:r>
          </w:p>
          <w:p w14:paraId="4E2ADBC8" w14:textId="77777777" w:rsidR="00813233" w:rsidRPr="00813233" w:rsidRDefault="00813233" w:rsidP="00813233">
            <w:pPr>
              <w:spacing w:after="0"/>
              <w:jc w:val="both"/>
              <w:rPr>
                <w:rFonts w:ascii="Times New Roman" w:hAnsi="Times New Roman" w:cs="Times New Roman"/>
                <w:sz w:val="14"/>
              </w:rPr>
            </w:pPr>
            <w:r w:rsidRPr="00813233">
              <w:rPr>
                <w:rFonts w:ascii="Times New Roman" w:hAnsi="Times New Roman" w:cs="Times New Roman"/>
                <w:sz w:val="14"/>
              </w:rPr>
              <w:t xml:space="preserve">                                                  </w:t>
            </w:r>
          </w:p>
          <w:p w14:paraId="5D3E75B9" w14:textId="77777777" w:rsidR="00813233" w:rsidRPr="00813233" w:rsidRDefault="00813233" w:rsidP="00813233">
            <w:pPr>
              <w:spacing w:after="0"/>
              <w:jc w:val="both"/>
              <w:rPr>
                <w:rFonts w:ascii="Times New Roman" w:hAnsi="Times New Roman" w:cs="Times New Roman"/>
                <w:sz w:val="14"/>
              </w:rPr>
            </w:pPr>
          </w:p>
          <w:p w14:paraId="403733E4" w14:textId="77777777" w:rsidR="00813233" w:rsidRPr="00813233" w:rsidRDefault="00813233" w:rsidP="00813233">
            <w:pPr>
              <w:spacing w:after="0"/>
              <w:jc w:val="both"/>
              <w:rPr>
                <w:rFonts w:ascii="Times New Roman" w:hAnsi="Times New Roman" w:cs="Times New Roman"/>
                <w:sz w:val="14"/>
              </w:rPr>
            </w:pPr>
          </w:p>
          <w:p w14:paraId="20CE8B12" w14:textId="77777777" w:rsidR="00813233" w:rsidRPr="00813233" w:rsidRDefault="00813233" w:rsidP="00813233">
            <w:pPr>
              <w:spacing w:after="0"/>
              <w:jc w:val="both"/>
              <w:rPr>
                <w:rFonts w:ascii="Times New Roman" w:hAnsi="Times New Roman" w:cs="Times New Roman"/>
                <w:sz w:val="14"/>
              </w:rPr>
            </w:pPr>
          </w:p>
          <w:p w14:paraId="2EB9F1D4" w14:textId="77777777" w:rsidR="00813233" w:rsidRPr="00813233" w:rsidRDefault="00813233" w:rsidP="00813233">
            <w:pPr>
              <w:spacing w:after="0"/>
              <w:jc w:val="both"/>
              <w:rPr>
                <w:rFonts w:ascii="Times New Roman" w:hAnsi="Times New Roman" w:cs="Times New Roman"/>
                <w:sz w:val="14"/>
              </w:rPr>
            </w:pPr>
          </w:p>
          <w:p w14:paraId="2E7F2603" w14:textId="77777777" w:rsidR="00813233" w:rsidRPr="00813233" w:rsidRDefault="00813233" w:rsidP="00813233">
            <w:pPr>
              <w:spacing w:after="0"/>
              <w:jc w:val="both"/>
              <w:rPr>
                <w:rFonts w:ascii="Times New Roman" w:hAnsi="Times New Roman" w:cs="Times New Roman"/>
                <w:sz w:val="14"/>
              </w:rPr>
            </w:pPr>
          </w:p>
          <w:p w14:paraId="5EE20C51" w14:textId="77777777" w:rsidR="00813233" w:rsidRPr="00813233" w:rsidRDefault="00813233" w:rsidP="00813233">
            <w:pPr>
              <w:spacing w:after="0"/>
              <w:jc w:val="both"/>
              <w:rPr>
                <w:rFonts w:ascii="Times New Roman" w:hAnsi="Times New Roman" w:cs="Times New Roman"/>
                <w:sz w:val="14"/>
              </w:rPr>
            </w:pPr>
          </w:p>
          <w:p w14:paraId="20FF675B" w14:textId="77777777" w:rsidR="00813233" w:rsidRPr="00813233" w:rsidRDefault="00813233" w:rsidP="00813233">
            <w:pPr>
              <w:spacing w:after="0"/>
              <w:jc w:val="both"/>
              <w:rPr>
                <w:rFonts w:ascii="Times New Roman" w:hAnsi="Times New Roman" w:cs="Times New Roman"/>
                <w:sz w:val="14"/>
              </w:rPr>
            </w:pPr>
          </w:p>
          <w:p w14:paraId="012CBF11" w14:textId="77777777" w:rsidR="00813233" w:rsidRPr="00813233" w:rsidRDefault="00813233" w:rsidP="00813233">
            <w:pPr>
              <w:spacing w:after="0"/>
              <w:jc w:val="both"/>
              <w:rPr>
                <w:rFonts w:ascii="Times New Roman" w:hAnsi="Times New Roman" w:cs="Times New Roman"/>
                <w:sz w:val="14"/>
              </w:rPr>
            </w:pPr>
          </w:p>
          <w:p w14:paraId="2CAA9AB6" w14:textId="77777777" w:rsidR="00813233" w:rsidRPr="00813233" w:rsidRDefault="00813233" w:rsidP="00813233">
            <w:pPr>
              <w:spacing w:after="0"/>
              <w:jc w:val="both"/>
              <w:rPr>
                <w:rFonts w:ascii="Times New Roman" w:hAnsi="Times New Roman" w:cs="Times New Roman"/>
                <w:sz w:val="14"/>
              </w:rPr>
            </w:pPr>
          </w:p>
          <w:p w14:paraId="27FE000D" w14:textId="77777777" w:rsidR="00813233" w:rsidRPr="00813233" w:rsidRDefault="00813233" w:rsidP="00813233">
            <w:pPr>
              <w:spacing w:after="0"/>
              <w:jc w:val="both"/>
              <w:rPr>
                <w:rFonts w:ascii="Times New Roman" w:hAnsi="Times New Roman" w:cs="Times New Roman"/>
                <w:sz w:val="14"/>
              </w:rPr>
            </w:pPr>
          </w:p>
          <w:p w14:paraId="5654C016" w14:textId="77777777" w:rsidR="00813233" w:rsidRPr="00813233" w:rsidRDefault="00813233" w:rsidP="00813233">
            <w:pPr>
              <w:spacing w:after="0"/>
              <w:jc w:val="both"/>
              <w:rPr>
                <w:rFonts w:ascii="Times New Roman" w:hAnsi="Times New Roman" w:cs="Times New Roman"/>
                <w:sz w:val="14"/>
              </w:rPr>
            </w:pPr>
          </w:p>
          <w:p w14:paraId="0C59E785" w14:textId="77777777" w:rsidR="00813233" w:rsidRPr="00813233" w:rsidRDefault="00813233" w:rsidP="00813233">
            <w:pPr>
              <w:spacing w:after="0"/>
              <w:jc w:val="both"/>
              <w:rPr>
                <w:rFonts w:ascii="Times New Roman" w:hAnsi="Times New Roman" w:cs="Times New Roman"/>
                <w:sz w:val="14"/>
              </w:rPr>
            </w:pPr>
          </w:p>
          <w:p w14:paraId="70139B1A" w14:textId="77777777" w:rsidR="00813233" w:rsidRPr="00813233" w:rsidRDefault="00813233" w:rsidP="00813233">
            <w:pPr>
              <w:spacing w:after="0"/>
              <w:jc w:val="both"/>
              <w:rPr>
                <w:rFonts w:ascii="Times New Roman" w:hAnsi="Times New Roman" w:cs="Times New Roman"/>
                <w:sz w:val="14"/>
              </w:rPr>
            </w:pPr>
          </w:p>
          <w:p w14:paraId="3B3220B8" w14:textId="77777777" w:rsidR="00813233" w:rsidRPr="00813233" w:rsidRDefault="00813233" w:rsidP="00813233">
            <w:pPr>
              <w:spacing w:after="0"/>
              <w:jc w:val="both"/>
              <w:rPr>
                <w:rFonts w:ascii="Times New Roman" w:hAnsi="Times New Roman" w:cs="Times New Roman"/>
                <w:sz w:val="14"/>
              </w:rPr>
            </w:pPr>
          </w:p>
          <w:p w14:paraId="0D1DF875" w14:textId="77777777" w:rsidR="00813233" w:rsidRPr="00813233" w:rsidRDefault="00813233" w:rsidP="00813233">
            <w:pPr>
              <w:spacing w:after="0"/>
              <w:jc w:val="both"/>
              <w:rPr>
                <w:rFonts w:ascii="Times New Roman" w:hAnsi="Times New Roman" w:cs="Times New Roman"/>
                <w:sz w:val="14"/>
              </w:rPr>
            </w:pPr>
          </w:p>
          <w:p w14:paraId="51D14A2A" w14:textId="77777777" w:rsidR="00813233" w:rsidRPr="00813233" w:rsidRDefault="00813233" w:rsidP="00813233">
            <w:pPr>
              <w:spacing w:after="0"/>
              <w:jc w:val="both"/>
              <w:rPr>
                <w:rFonts w:ascii="Times New Roman" w:hAnsi="Times New Roman" w:cs="Times New Roman"/>
                <w:sz w:val="14"/>
              </w:rPr>
            </w:pPr>
          </w:p>
          <w:p w14:paraId="651706CC" w14:textId="77777777" w:rsidR="00813233" w:rsidRPr="00813233" w:rsidRDefault="00813233" w:rsidP="00813233">
            <w:pPr>
              <w:spacing w:after="0"/>
              <w:jc w:val="both"/>
              <w:rPr>
                <w:rFonts w:ascii="Times New Roman" w:hAnsi="Times New Roman" w:cs="Times New Roman"/>
                <w:sz w:val="14"/>
              </w:rPr>
            </w:pPr>
          </w:p>
          <w:p w14:paraId="3F6C9C46" w14:textId="77777777" w:rsidR="00813233" w:rsidRPr="00813233" w:rsidRDefault="00813233" w:rsidP="00813233">
            <w:pPr>
              <w:spacing w:after="0"/>
              <w:jc w:val="both"/>
              <w:rPr>
                <w:rFonts w:ascii="Times New Roman" w:hAnsi="Times New Roman" w:cs="Times New Roman"/>
                <w:sz w:val="14"/>
              </w:rPr>
            </w:pPr>
          </w:p>
          <w:p w14:paraId="44B3ECF1" w14:textId="77777777" w:rsidR="00813233" w:rsidRPr="00813233" w:rsidRDefault="00813233" w:rsidP="00813233">
            <w:pPr>
              <w:spacing w:after="0"/>
              <w:jc w:val="both"/>
              <w:rPr>
                <w:rFonts w:ascii="Times New Roman" w:hAnsi="Times New Roman" w:cs="Times New Roman"/>
                <w:sz w:val="14"/>
              </w:rPr>
            </w:pPr>
          </w:p>
          <w:p w14:paraId="4595A647" w14:textId="77777777" w:rsidR="00813233" w:rsidRPr="00813233" w:rsidRDefault="00813233" w:rsidP="00813233">
            <w:pPr>
              <w:spacing w:after="0"/>
              <w:jc w:val="both"/>
              <w:rPr>
                <w:rFonts w:ascii="Times New Roman" w:hAnsi="Times New Roman" w:cs="Times New Roman"/>
                <w:sz w:val="14"/>
              </w:rPr>
            </w:pPr>
          </w:p>
          <w:p w14:paraId="1918CBA2" w14:textId="77777777" w:rsidR="00813233" w:rsidRPr="00813233" w:rsidRDefault="00813233" w:rsidP="00813233">
            <w:pPr>
              <w:spacing w:after="0"/>
              <w:jc w:val="both"/>
              <w:rPr>
                <w:rFonts w:ascii="Times New Roman" w:hAnsi="Times New Roman" w:cs="Times New Roman"/>
                <w:sz w:val="14"/>
              </w:rPr>
            </w:pPr>
          </w:p>
          <w:p w14:paraId="6748D785" w14:textId="77777777" w:rsidR="00813233" w:rsidRPr="00813233" w:rsidRDefault="00813233" w:rsidP="00813233">
            <w:pPr>
              <w:spacing w:after="0"/>
              <w:jc w:val="both"/>
              <w:rPr>
                <w:rFonts w:ascii="Times New Roman" w:hAnsi="Times New Roman" w:cs="Times New Roman"/>
                <w:sz w:val="14"/>
              </w:rPr>
            </w:pPr>
          </w:p>
          <w:p w14:paraId="70810911" w14:textId="77777777" w:rsidR="00813233" w:rsidRPr="00813233" w:rsidRDefault="00813233" w:rsidP="00813233">
            <w:pPr>
              <w:spacing w:after="0"/>
              <w:jc w:val="both"/>
              <w:rPr>
                <w:rFonts w:ascii="Times New Roman" w:hAnsi="Times New Roman" w:cs="Times New Roman"/>
                <w:sz w:val="14"/>
              </w:rPr>
            </w:pPr>
          </w:p>
          <w:p w14:paraId="54E8A15F" w14:textId="77777777" w:rsidR="00B011BF" w:rsidRDefault="00B011BF" w:rsidP="00813233">
            <w:pPr>
              <w:spacing w:after="0"/>
              <w:jc w:val="both"/>
              <w:rPr>
                <w:rFonts w:ascii="Times New Roman" w:hAnsi="Times New Roman" w:cs="Times New Roman"/>
                <w:sz w:val="14"/>
              </w:rPr>
            </w:pPr>
          </w:p>
          <w:p w14:paraId="096B142E" w14:textId="77777777" w:rsidR="00B011BF" w:rsidRDefault="00B011BF" w:rsidP="00813233">
            <w:pPr>
              <w:spacing w:after="0"/>
              <w:jc w:val="both"/>
              <w:rPr>
                <w:rFonts w:ascii="Times New Roman" w:hAnsi="Times New Roman" w:cs="Times New Roman"/>
                <w:sz w:val="14"/>
              </w:rPr>
            </w:pPr>
          </w:p>
          <w:p w14:paraId="1A3CE41E" w14:textId="77777777" w:rsidR="00B011BF" w:rsidRDefault="00B011BF" w:rsidP="00813233">
            <w:pPr>
              <w:spacing w:after="0"/>
              <w:jc w:val="both"/>
              <w:rPr>
                <w:rFonts w:ascii="Times New Roman" w:hAnsi="Times New Roman" w:cs="Times New Roman"/>
                <w:sz w:val="14"/>
              </w:rPr>
            </w:pPr>
          </w:p>
          <w:p w14:paraId="2145C5C4" w14:textId="63F3C797" w:rsidR="001E5AAF" w:rsidRDefault="00813233" w:rsidP="00813233">
            <w:pPr>
              <w:spacing w:after="0"/>
              <w:jc w:val="both"/>
              <w:rPr>
                <w:rFonts w:ascii="Times New Roman" w:hAnsi="Times New Roman" w:cs="Times New Roman"/>
                <w:sz w:val="16"/>
              </w:rPr>
            </w:pPr>
            <w:r w:rsidRPr="00813233">
              <w:rPr>
                <w:rFonts w:ascii="Times New Roman" w:hAnsi="Times New Roman" w:cs="Times New Roman"/>
                <w:sz w:val="14"/>
              </w:rPr>
              <w:t xml:space="preserve">                        </w:t>
            </w:r>
            <w:r w:rsidRPr="00813233">
              <w:rPr>
                <w:rFonts w:ascii="Times New Roman" w:hAnsi="Times New Roman" w:cs="Times New Roman"/>
                <w:sz w:val="16"/>
              </w:rPr>
              <w:t xml:space="preserve">           </w:t>
            </w:r>
          </w:p>
          <w:p w14:paraId="0CC0BBF6" w14:textId="17345B77" w:rsidR="00813233" w:rsidRPr="00B011BF" w:rsidRDefault="00FF5433" w:rsidP="00813233">
            <w:pPr>
              <w:spacing w:after="0"/>
              <w:jc w:val="both"/>
              <w:rPr>
                <w:rFonts w:ascii="Times New Roman" w:hAnsi="Times New Roman" w:cs="Times New Roman"/>
                <w:sz w:val="16"/>
              </w:rPr>
            </w:pPr>
            <w:r>
              <w:rPr>
                <w:rFonts w:ascii="Times New Roman" w:hAnsi="Times New Roman" w:cs="Times New Roman"/>
                <w:sz w:val="16"/>
              </w:rPr>
              <w:t xml:space="preserve">                               </w:t>
            </w:r>
            <w:r w:rsidR="00813233" w:rsidRPr="00813233">
              <w:rPr>
                <w:rFonts w:ascii="Times New Roman" w:hAnsi="Times New Roman" w:cs="Times New Roman"/>
                <w:sz w:val="16"/>
              </w:rPr>
              <w:t>Fuente: Dirección de Análisis y Política Fiscal</w:t>
            </w:r>
          </w:p>
          <w:p w14:paraId="58F771FB" w14:textId="77777777" w:rsidR="00813233" w:rsidRPr="00813233" w:rsidRDefault="00813233" w:rsidP="00813233">
            <w:pPr>
              <w:spacing w:after="0"/>
              <w:jc w:val="both"/>
              <w:rPr>
                <w:rFonts w:ascii="Times New Roman" w:hAnsi="Times New Roman" w:cs="Times New Roman"/>
              </w:rPr>
            </w:pPr>
          </w:p>
        </w:tc>
      </w:tr>
    </w:tbl>
    <w:p w14:paraId="52CFDFB2" w14:textId="77777777" w:rsidR="00813233" w:rsidRPr="00813233" w:rsidRDefault="00106E63" w:rsidP="00813233">
      <w:pPr>
        <w:spacing w:after="0" w:line="240" w:lineRule="auto"/>
        <w:jc w:val="both"/>
        <w:rPr>
          <w:rFonts w:ascii="Times New Roman" w:hAnsi="Times New Roman" w:cs="Times New Roman"/>
        </w:rPr>
      </w:pPr>
      <w:r>
        <w:rPr>
          <w:rFonts w:ascii="Times New Roman" w:hAnsi="Times New Roman" w:cs="Times New Roman"/>
        </w:rPr>
        <w:t xml:space="preserve">Con un manejo adecuado de la política fiscal se debe </w:t>
      </w:r>
      <w:r w:rsidR="00813233" w:rsidRPr="00813233">
        <w:rPr>
          <w:rFonts w:ascii="Times New Roman" w:hAnsi="Times New Roman" w:cs="Times New Roman"/>
        </w:rPr>
        <w:t>responder a los compromisos emanados de los programas prioritarios del Plan Nacional de Desarrollo en c</w:t>
      </w:r>
      <w:r>
        <w:rPr>
          <w:rFonts w:ascii="Times New Roman" w:hAnsi="Times New Roman" w:cs="Times New Roman"/>
        </w:rPr>
        <w:t>ongruencia con los lineamientos y</w:t>
      </w:r>
      <w:r w:rsidR="00813233" w:rsidRPr="00813233">
        <w:rPr>
          <w:rFonts w:ascii="Times New Roman" w:hAnsi="Times New Roman" w:cs="Times New Roman"/>
        </w:rPr>
        <w:t xml:space="preserve"> las orientaciones generales del gasto público, además de tomar en consideración algunas de las acciones para dar atención a la emergencia económica causada por el COVID-19, las cuales se encuentran descritas en el Plan General de Atención a la Emergencia COVID-19, principalmente en el componente económico de infraestructura y productividad</w:t>
      </w:r>
      <w:r>
        <w:rPr>
          <w:rFonts w:ascii="Times New Roman" w:hAnsi="Times New Roman" w:cs="Times New Roman"/>
        </w:rPr>
        <w:t xml:space="preserve"> y el Plan Nacional de Vacunación contra la COVID-19</w:t>
      </w:r>
      <w:r w:rsidR="001E5AAF">
        <w:rPr>
          <w:rFonts w:ascii="Times New Roman" w:hAnsi="Times New Roman" w:cs="Times New Roman"/>
        </w:rPr>
        <w:t>,</w:t>
      </w:r>
      <w:r>
        <w:rPr>
          <w:rFonts w:ascii="Times New Roman" w:hAnsi="Times New Roman" w:cs="Times New Roman"/>
        </w:rPr>
        <w:t xml:space="preserve"> el cual demanda recursos para el proceso de vacunación, para la logística de conservación, transporte y distribución</w:t>
      </w:r>
      <w:r w:rsidR="00F15138">
        <w:rPr>
          <w:rFonts w:ascii="Times New Roman" w:hAnsi="Times New Roman" w:cs="Times New Roman"/>
        </w:rPr>
        <w:t xml:space="preserve">, así como otros gastos relacionados. </w:t>
      </w:r>
      <w:r w:rsidR="001E5AAF">
        <w:rPr>
          <w:rFonts w:ascii="Times New Roman" w:hAnsi="Times New Roman" w:cs="Times New Roman"/>
        </w:rPr>
        <w:t>Asimismo</w:t>
      </w:r>
      <w:r w:rsidR="00813233" w:rsidRPr="00813233">
        <w:rPr>
          <w:rFonts w:ascii="Times New Roman" w:hAnsi="Times New Roman" w:cs="Times New Roman"/>
        </w:rPr>
        <w:t>, se consideran las estimaciones de recaudación de ingresos fiscales de mediano plazo, así como las otras fuentes de financiamiento, se elaboraron las asignaciones generales del gasto público, para el ejercicio fiscal 202</w:t>
      </w:r>
      <w:r>
        <w:rPr>
          <w:rFonts w:ascii="Times New Roman" w:hAnsi="Times New Roman" w:cs="Times New Roman"/>
        </w:rPr>
        <w:t>2</w:t>
      </w:r>
      <w:r w:rsidR="00813233" w:rsidRPr="00813233">
        <w:rPr>
          <w:rFonts w:ascii="Times New Roman" w:hAnsi="Times New Roman" w:cs="Times New Roman"/>
        </w:rPr>
        <w:t>-202</w:t>
      </w:r>
      <w:r>
        <w:rPr>
          <w:rFonts w:ascii="Times New Roman" w:hAnsi="Times New Roman" w:cs="Times New Roman"/>
        </w:rPr>
        <w:t>6</w:t>
      </w:r>
      <w:r w:rsidR="00813233" w:rsidRPr="00813233">
        <w:rPr>
          <w:rFonts w:ascii="Times New Roman" w:hAnsi="Times New Roman" w:cs="Times New Roman"/>
        </w:rPr>
        <w:t xml:space="preserve">. </w:t>
      </w:r>
    </w:p>
    <w:p w14:paraId="0BC58550" w14:textId="77777777" w:rsidR="00813233" w:rsidRPr="00813233" w:rsidRDefault="00813233" w:rsidP="00813233">
      <w:pPr>
        <w:spacing w:after="0" w:line="240" w:lineRule="auto"/>
        <w:jc w:val="both"/>
        <w:rPr>
          <w:rFonts w:ascii="Times New Roman" w:hAnsi="Times New Roman" w:cs="Times New Roman"/>
        </w:rPr>
      </w:pPr>
      <w:r w:rsidRPr="00813233">
        <w:rPr>
          <w:rFonts w:ascii="Times New Roman" w:hAnsi="Times New Roman" w:cs="Times New Roman"/>
        </w:rPr>
        <w:t xml:space="preserve"> </w:t>
      </w:r>
    </w:p>
    <w:p w14:paraId="3397F2C7" w14:textId="59F3DC55" w:rsidR="00F15138" w:rsidRDefault="00FD330A" w:rsidP="00813233">
      <w:pPr>
        <w:spacing w:after="0" w:line="240" w:lineRule="auto"/>
        <w:jc w:val="both"/>
        <w:rPr>
          <w:rFonts w:ascii="Times New Roman" w:hAnsi="Times New Roman" w:cs="Times New Roman"/>
        </w:rPr>
      </w:pPr>
      <w:r w:rsidRPr="00B80F60">
        <w:rPr>
          <w:rFonts w:ascii="Times New Roman" w:hAnsi="Times New Roman" w:cs="Times New Roman"/>
        </w:rPr>
        <w:t>Tomando en cuenta lo anterior, e</w:t>
      </w:r>
      <w:r w:rsidR="00813233" w:rsidRPr="00B80F60">
        <w:rPr>
          <w:rFonts w:ascii="Times New Roman" w:hAnsi="Times New Roman" w:cs="Times New Roman"/>
        </w:rPr>
        <w:t xml:space="preserve">l techo de presupuesto </w:t>
      </w:r>
      <w:r w:rsidRPr="00B80F60">
        <w:rPr>
          <w:rFonts w:ascii="Times New Roman" w:hAnsi="Times New Roman" w:cs="Times New Roman"/>
        </w:rPr>
        <w:t>propuesto</w:t>
      </w:r>
      <w:r w:rsidR="008218D4" w:rsidRPr="00B80F60">
        <w:rPr>
          <w:rFonts w:ascii="Times New Roman" w:hAnsi="Times New Roman" w:cs="Times New Roman"/>
        </w:rPr>
        <w:t xml:space="preserve"> </w:t>
      </w:r>
      <w:r w:rsidR="00813233" w:rsidRPr="00B80F60">
        <w:rPr>
          <w:rFonts w:ascii="Times New Roman" w:hAnsi="Times New Roman" w:cs="Times New Roman"/>
        </w:rPr>
        <w:t>para 202</w:t>
      </w:r>
      <w:r w:rsidR="00F15138" w:rsidRPr="00B80F60">
        <w:rPr>
          <w:rFonts w:ascii="Times New Roman" w:hAnsi="Times New Roman" w:cs="Times New Roman"/>
        </w:rPr>
        <w:t>2</w:t>
      </w:r>
      <w:r w:rsidR="00813233" w:rsidRPr="00B80F60">
        <w:rPr>
          <w:rFonts w:ascii="Times New Roman" w:hAnsi="Times New Roman" w:cs="Times New Roman"/>
        </w:rPr>
        <w:t xml:space="preserve"> se plantea en Q</w:t>
      </w:r>
      <w:r w:rsidR="003E1577" w:rsidRPr="00B80F60">
        <w:rPr>
          <w:rFonts w:ascii="Times New Roman" w:hAnsi="Times New Roman" w:cs="Times New Roman"/>
        </w:rPr>
        <w:t>10</w:t>
      </w:r>
      <w:r w:rsidR="004156BB">
        <w:rPr>
          <w:rFonts w:ascii="Times New Roman" w:hAnsi="Times New Roman" w:cs="Times New Roman"/>
        </w:rPr>
        <w:t>3,992.5</w:t>
      </w:r>
      <w:r w:rsidR="00813233" w:rsidRPr="00B80F60">
        <w:rPr>
          <w:rFonts w:ascii="Times New Roman" w:hAnsi="Times New Roman" w:cs="Times New Roman"/>
        </w:rPr>
        <w:t xml:space="preserve"> millones, con una tasa de crec</w:t>
      </w:r>
      <w:r w:rsidR="00F15138" w:rsidRPr="00B80F60">
        <w:rPr>
          <w:rFonts w:ascii="Times New Roman" w:hAnsi="Times New Roman" w:cs="Times New Roman"/>
        </w:rPr>
        <w:t xml:space="preserve">imiento interanual negativa de </w:t>
      </w:r>
      <w:r w:rsidR="00B953FD">
        <w:rPr>
          <w:rFonts w:ascii="Times New Roman" w:hAnsi="Times New Roman" w:cs="Times New Roman"/>
        </w:rPr>
        <w:t>3.3</w:t>
      </w:r>
      <w:r w:rsidR="00813233" w:rsidRPr="00B80F60">
        <w:rPr>
          <w:rFonts w:ascii="Times New Roman" w:hAnsi="Times New Roman" w:cs="Times New Roman"/>
        </w:rPr>
        <w:t>% con res</w:t>
      </w:r>
      <w:r w:rsidR="00F15138" w:rsidRPr="00B80F60">
        <w:rPr>
          <w:rFonts w:ascii="Times New Roman" w:hAnsi="Times New Roman" w:cs="Times New Roman"/>
        </w:rPr>
        <w:t xml:space="preserve">pecto al presupuesto vigente a </w:t>
      </w:r>
      <w:r w:rsidR="0069165D" w:rsidRPr="00B80F60">
        <w:rPr>
          <w:rFonts w:ascii="Times New Roman" w:hAnsi="Times New Roman" w:cs="Times New Roman"/>
        </w:rPr>
        <w:t>junio</w:t>
      </w:r>
      <w:r w:rsidR="00813233" w:rsidRPr="00B80F60">
        <w:rPr>
          <w:rFonts w:ascii="Times New Roman" w:hAnsi="Times New Roman" w:cs="Times New Roman"/>
        </w:rPr>
        <w:t xml:space="preserve"> de 202</w:t>
      </w:r>
      <w:r w:rsidR="00F15138" w:rsidRPr="00B80F60">
        <w:rPr>
          <w:rFonts w:ascii="Times New Roman" w:hAnsi="Times New Roman" w:cs="Times New Roman"/>
        </w:rPr>
        <w:t>1</w:t>
      </w:r>
      <w:r w:rsidR="00813233" w:rsidRPr="00B80F60">
        <w:rPr>
          <w:rFonts w:ascii="Times New Roman" w:hAnsi="Times New Roman" w:cs="Times New Roman"/>
        </w:rPr>
        <w:t>,</w:t>
      </w:r>
      <w:r w:rsidR="00F15138" w:rsidRPr="00B80F60">
        <w:rPr>
          <w:rFonts w:ascii="Times New Roman" w:hAnsi="Times New Roman" w:cs="Times New Roman"/>
        </w:rPr>
        <w:t xml:space="preserve"> </w:t>
      </w:r>
      <w:r w:rsidR="00045C7B" w:rsidRPr="00B80F60">
        <w:rPr>
          <w:rFonts w:ascii="Times New Roman" w:hAnsi="Times New Roman" w:cs="Times New Roman"/>
        </w:rPr>
        <w:t xml:space="preserve">aunque respecto al presupuesto ajustado anunciado por el Ejecutivo para el ejercicio fiscal 2021 (Q94,354.0 millones) reporta un crecimiento de </w:t>
      </w:r>
      <w:r w:rsidR="00D72ED4">
        <w:rPr>
          <w:rFonts w:ascii="Times New Roman" w:hAnsi="Times New Roman" w:cs="Times New Roman"/>
        </w:rPr>
        <w:t>10.2</w:t>
      </w:r>
      <w:r w:rsidR="00045C7B" w:rsidRPr="00B80F60">
        <w:rPr>
          <w:rFonts w:ascii="Times New Roman" w:hAnsi="Times New Roman" w:cs="Times New Roman"/>
        </w:rPr>
        <w:t xml:space="preserve">%. Hay que </w:t>
      </w:r>
      <w:r w:rsidR="00D72ED4">
        <w:rPr>
          <w:rFonts w:ascii="Times New Roman" w:hAnsi="Times New Roman" w:cs="Times New Roman"/>
        </w:rPr>
        <w:t>recorda</w:t>
      </w:r>
      <w:r w:rsidR="00045C7B" w:rsidRPr="00B80F60">
        <w:rPr>
          <w:rFonts w:ascii="Times New Roman" w:hAnsi="Times New Roman" w:cs="Times New Roman"/>
        </w:rPr>
        <w:t>r que el 2021 no cont</w:t>
      </w:r>
      <w:r w:rsidR="001E5AAF" w:rsidRPr="00B80F60">
        <w:rPr>
          <w:rFonts w:ascii="Times New Roman" w:hAnsi="Times New Roman" w:cs="Times New Roman"/>
        </w:rPr>
        <w:t xml:space="preserve">ó </w:t>
      </w:r>
      <w:r w:rsidR="00045C7B" w:rsidRPr="00B80F60">
        <w:rPr>
          <w:rFonts w:ascii="Times New Roman" w:hAnsi="Times New Roman" w:cs="Times New Roman"/>
        </w:rPr>
        <w:t>con un presupuesto propio, y por ello el presupuesto vigente considera todas las ampliaciones realizadas en 2020 para la atención de la pandemia COVID-19 y otros gastos que era necesario cubrir.</w:t>
      </w:r>
      <w:r w:rsidR="00045C7B">
        <w:rPr>
          <w:rFonts w:ascii="Times New Roman" w:hAnsi="Times New Roman" w:cs="Times New Roman"/>
        </w:rPr>
        <w:t xml:space="preserve"> </w:t>
      </w:r>
    </w:p>
    <w:p w14:paraId="648EEC7A" w14:textId="44C914FE" w:rsidR="00174398" w:rsidRDefault="00174398" w:rsidP="00813233">
      <w:pPr>
        <w:spacing w:after="0" w:line="240" w:lineRule="auto"/>
        <w:jc w:val="both"/>
        <w:rPr>
          <w:rFonts w:ascii="Times New Roman" w:hAnsi="Times New Roman" w:cs="Times New Roman"/>
        </w:rPr>
      </w:pPr>
    </w:p>
    <w:p w14:paraId="47AFDD40" w14:textId="33BE6A48" w:rsidR="009C3139" w:rsidRPr="004C27CE" w:rsidRDefault="00174398" w:rsidP="00174398">
      <w:pPr>
        <w:spacing w:after="0" w:line="240" w:lineRule="auto"/>
        <w:jc w:val="both"/>
        <w:rPr>
          <w:rFonts w:ascii="Times New Roman" w:hAnsi="Times New Roman" w:cs="Times New Roman"/>
        </w:rPr>
      </w:pPr>
      <w:r w:rsidRPr="004C27CE">
        <w:rPr>
          <w:rFonts w:ascii="Times New Roman" w:hAnsi="Times New Roman" w:cs="Times New Roman"/>
        </w:rPr>
        <w:t xml:space="preserve">Para el 2022 está considerado que el gasto público se enfocaría en aumentar los bienes y servicios que se entregan a la población, mostrando un crecimiento de </w:t>
      </w:r>
      <w:r w:rsidR="006964CA" w:rsidRPr="004C27CE">
        <w:rPr>
          <w:rFonts w:ascii="Times New Roman" w:hAnsi="Times New Roman" w:cs="Times New Roman"/>
        </w:rPr>
        <w:t>52.2</w:t>
      </w:r>
      <w:r w:rsidRPr="004C27CE">
        <w:rPr>
          <w:rFonts w:ascii="Times New Roman" w:hAnsi="Times New Roman" w:cs="Times New Roman"/>
        </w:rPr>
        <w:t>%</w:t>
      </w:r>
      <w:r w:rsidR="00D765FF" w:rsidRPr="004C27CE">
        <w:rPr>
          <w:rFonts w:ascii="Times New Roman" w:hAnsi="Times New Roman" w:cs="Times New Roman"/>
        </w:rPr>
        <w:t xml:space="preserve"> con respecto a lo estimado para 2021</w:t>
      </w:r>
      <w:r w:rsidRPr="004C27CE">
        <w:rPr>
          <w:rFonts w:ascii="Times New Roman" w:hAnsi="Times New Roman" w:cs="Times New Roman"/>
        </w:rPr>
        <w:t>, esto es relevante dado que en 2021 también se espera que este sea uno de los rubros del gasto que reporten mayor incremento. As</w:t>
      </w:r>
      <w:r w:rsidR="00D765FF" w:rsidRPr="004C27CE">
        <w:rPr>
          <w:rFonts w:ascii="Times New Roman" w:hAnsi="Times New Roman" w:cs="Times New Roman"/>
        </w:rPr>
        <w:t>i</w:t>
      </w:r>
      <w:r w:rsidRPr="004C27CE">
        <w:rPr>
          <w:rFonts w:ascii="Times New Roman" w:hAnsi="Times New Roman" w:cs="Times New Roman"/>
        </w:rPr>
        <w:t>mismo, las tra</w:t>
      </w:r>
      <w:r w:rsidR="002F17E4" w:rsidRPr="004C27CE">
        <w:rPr>
          <w:rFonts w:ascii="Times New Roman" w:hAnsi="Times New Roman" w:cs="Times New Roman"/>
        </w:rPr>
        <w:t>nsferencias corrientes estarían creciendo alrededor de 2</w:t>
      </w:r>
      <w:r w:rsidR="000D1C86" w:rsidRPr="004C27CE">
        <w:rPr>
          <w:rFonts w:ascii="Times New Roman" w:hAnsi="Times New Roman" w:cs="Times New Roman"/>
        </w:rPr>
        <w:t>1.3</w:t>
      </w:r>
      <w:r w:rsidR="002F17E4" w:rsidRPr="004C27CE">
        <w:rPr>
          <w:rFonts w:ascii="Times New Roman" w:hAnsi="Times New Roman" w:cs="Times New Roman"/>
        </w:rPr>
        <w:t>%</w:t>
      </w:r>
      <w:r w:rsidR="00393D8A" w:rsidRPr="004C27CE">
        <w:rPr>
          <w:rFonts w:ascii="Times New Roman" w:hAnsi="Times New Roman" w:cs="Times New Roman"/>
        </w:rPr>
        <w:t>.</w:t>
      </w:r>
      <w:r w:rsidR="009C3139" w:rsidRPr="004C27CE">
        <w:rPr>
          <w:rFonts w:ascii="Times New Roman" w:hAnsi="Times New Roman" w:cs="Times New Roman"/>
        </w:rPr>
        <w:t xml:space="preserve"> </w:t>
      </w:r>
    </w:p>
    <w:p w14:paraId="625FC4E5" w14:textId="7F65750E" w:rsidR="009C3139" w:rsidRPr="004C27CE" w:rsidRDefault="009C3139" w:rsidP="00174398">
      <w:pPr>
        <w:spacing w:after="0" w:line="240" w:lineRule="auto"/>
        <w:jc w:val="both"/>
        <w:rPr>
          <w:rFonts w:ascii="Times New Roman" w:hAnsi="Times New Roman" w:cs="Times New Roman"/>
        </w:rPr>
      </w:pPr>
    </w:p>
    <w:p w14:paraId="47DF60CF" w14:textId="6A50F6D7" w:rsidR="009C3139" w:rsidRPr="004C27CE" w:rsidRDefault="002F17E4" w:rsidP="00174398">
      <w:pPr>
        <w:spacing w:after="0" w:line="240" w:lineRule="auto"/>
        <w:jc w:val="both"/>
        <w:rPr>
          <w:rFonts w:ascii="Times New Roman" w:hAnsi="Times New Roman" w:cs="Times New Roman"/>
        </w:rPr>
      </w:pPr>
      <w:r w:rsidRPr="004C27CE">
        <w:rPr>
          <w:rFonts w:ascii="Times New Roman" w:hAnsi="Times New Roman" w:cs="Times New Roman"/>
        </w:rPr>
        <w:t>Por su parte, la inversión real directa estaría</w:t>
      </w:r>
      <w:r w:rsidR="00174398" w:rsidRPr="004C27CE">
        <w:rPr>
          <w:rFonts w:ascii="Times New Roman" w:hAnsi="Times New Roman" w:cs="Times New Roman"/>
        </w:rPr>
        <w:t xml:space="preserve"> </w:t>
      </w:r>
      <w:r w:rsidRPr="004C27CE">
        <w:rPr>
          <w:rFonts w:ascii="Times New Roman" w:hAnsi="Times New Roman" w:cs="Times New Roman"/>
        </w:rPr>
        <w:t>cayendo</w:t>
      </w:r>
      <w:r w:rsidR="00B4219C" w:rsidRPr="004C27CE">
        <w:rPr>
          <w:rFonts w:ascii="Times New Roman" w:hAnsi="Times New Roman" w:cs="Times New Roman"/>
        </w:rPr>
        <w:t>,</w:t>
      </w:r>
      <w:r w:rsidR="00174398" w:rsidRPr="004C27CE">
        <w:rPr>
          <w:rFonts w:ascii="Times New Roman" w:hAnsi="Times New Roman" w:cs="Times New Roman"/>
        </w:rPr>
        <w:t xml:space="preserve"> pasando de Q</w:t>
      </w:r>
      <w:r w:rsidRPr="004C27CE">
        <w:rPr>
          <w:rFonts w:ascii="Times New Roman" w:hAnsi="Times New Roman" w:cs="Times New Roman"/>
        </w:rPr>
        <w:t>4</w:t>
      </w:r>
      <w:r w:rsidR="00174398" w:rsidRPr="004C27CE">
        <w:rPr>
          <w:rFonts w:ascii="Times New Roman" w:hAnsi="Times New Roman" w:cs="Times New Roman"/>
        </w:rPr>
        <w:t>,</w:t>
      </w:r>
      <w:r w:rsidRPr="004C27CE">
        <w:rPr>
          <w:rFonts w:ascii="Times New Roman" w:hAnsi="Times New Roman" w:cs="Times New Roman"/>
        </w:rPr>
        <w:t>446.4</w:t>
      </w:r>
      <w:r w:rsidR="00174398" w:rsidRPr="004C27CE">
        <w:rPr>
          <w:rFonts w:ascii="Times New Roman" w:hAnsi="Times New Roman" w:cs="Times New Roman"/>
        </w:rPr>
        <w:t xml:space="preserve"> millones en 202</w:t>
      </w:r>
      <w:r w:rsidR="00A2621E" w:rsidRPr="004C27CE">
        <w:rPr>
          <w:rFonts w:ascii="Times New Roman" w:hAnsi="Times New Roman" w:cs="Times New Roman"/>
        </w:rPr>
        <w:t>1</w:t>
      </w:r>
      <w:r w:rsidR="00174398" w:rsidRPr="004C27CE">
        <w:rPr>
          <w:rFonts w:ascii="Times New Roman" w:hAnsi="Times New Roman" w:cs="Times New Roman"/>
        </w:rPr>
        <w:t xml:space="preserve"> (cierre estimado) a Q</w:t>
      </w:r>
      <w:r w:rsidR="00A06D2B" w:rsidRPr="004C27CE">
        <w:rPr>
          <w:rFonts w:ascii="Times New Roman" w:hAnsi="Times New Roman" w:cs="Times New Roman"/>
        </w:rPr>
        <w:t>4,288.7</w:t>
      </w:r>
      <w:r w:rsidR="00174398" w:rsidRPr="004C27CE">
        <w:rPr>
          <w:rFonts w:ascii="Times New Roman" w:hAnsi="Times New Roman" w:cs="Times New Roman"/>
        </w:rPr>
        <w:t xml:space="preserve"> millones en 202</w:t>
      </w:r>
      <w:r w:rsidRPr="004C27CE">
        <w:rPr>
          <w:rFonts w:ascii="Times New Roman" w:hAnsi="Times New Roman" w:cs="Times New Roman"/>
        </w:rPr>
        <w:t>2</w:t>
      </w:r>
      <w:r w:rsidR="00174398" w:rsidRPr="004C27CE">
        <w:rPr>
          <w:rFonts w:ascii="Times New Roman" w:hAnsi="Times New Roman" w:cs="Times New Roman"/>
        </w:rPr>
        <w:t>, lo cual representaría un</w:t>
      </w:r>
      <w:r w:rsidRPr="004C27CE">
        <w:rPr>
          <w:rFonts w:ascii="Times New Roman" w:hAnsi="Times New Roman" w:cs="Times New Roman"/>
        </w:rPr>
        <w:t>a contracción de</w:t>
      </w:r>
      <w:r w:rsidR="00174398" w:rsidRPr="004C27CE">
        <w:rPr>
          <w:rFonts w:ascii="Times New Roman" w:hAnsi="Times New Roman" w:cs="Times New Roman"/>
        </w:rPr>
        <w:t xml:space="preserve"> </w:t>
      </w:r>
      <w:r w:rsidR="003B2C32" w:rsidRPr="004C27CE">
        <w:rPr>
          <w:rFonts w:ascii="Times New Roman" w:hAnsi="Times New Roman" w:cs="Times New Roman"/>
        </w:rPr>
        <w:t>3.5</w:t>
      </w:r>
      <w:r w:rsidR="00174398" w:rsidRPr="004C27CE">
        <w:rPr>
          <w:rFonts w:ascii="Times New Roman" w:hAnsi="Times New Roman" w:cs="Times New Roman"/>
        </w:rPr>
        <w:t xml:space="preserve">%, </w:t>
      </w:r>
      <w:r w:rsidR="009C3139" w:rsidRPr="004C27CE">
        <w:rPr>
          <w:rFonts w:ascii="Times New Roman" w:hAnsi="Times New Roman" w:cs="Times New Roman"/>
        </w:rPr>
        <w:t xml:space="preserve">derivado que en 2021 </w:t>
      </w:r>
      <w:r w:rsidR="003B2C32" w:rsidRPr="004C27CE">
        <w:rPr>
          <w:rFonts w:ascii="Times New Roman" w:hAnsi="Times New Roman" w:cs="Times New Roman"/>
        </w:rPr>
        <w:t>se prevé priorizar algunos proyectos cuya ejecución se aplazó</w:t>
      </w:r>
      <w:r w:rsidR="004C27CE" w:rsidRPr="004C27CE">
        <w:rPr>
          <w:rFonts w:ascii="Times New Roman" w:hAnsi="Times New Roman" w:cs="Times New Roman"/>
        </w:rPr>
        <w:t xml:space="preserve"> en 2020</w:t>
      </w:r>
      <w:r w:rsidR="009C3139" w:rsidRPr="004C27CE">
        <w:rPr>
          <w:rFonts w:ascii="Times New Roman" w:hAnsi="Times New Roman" w:cs="Times New Roman"/>
        </w:rPr>
        <w:t xml:space="preserve"> luego de la contracción </w:t>
      </w:r>
      <w:r w:rsidR="004C27CE" w:rsidRPr="004C27CE">
        <w:rPr>
          <w:rFonts w:ascii="Times New Roman" w:hAnsi="Times New Roman" w:cs="Times New Roman"/>
        </w:rPr>
        <w:t xml:space="preserve">económica y las medidas de restricción implementadas por la Pandemia </w:t>
      </w:r>
      <w:r w:rsidR="009C3139" w:rsidRPr="004C27CE">
        <w:rPr>
          <w:rFonts w:ascii="Times New Roman" w:hAnsi="Times New Roman" w:cs="Times New Roman"/>
        </w:rPr>
        <w:t xml:space="preserve">del COVID-19. </w:t>
      </w:r>
    </w:p>
    <w:p w14:paraId="5E9C78C8" w14:textId="77777777" w:rsidR="009C3139" w:rsidRDefault="009C3139" w:rsidP="00174398">
      <w:pPr>
        <w:spacing w:after="0" w:line="240" w:lineRule="auto"/>
        <w:jc w:val="both"/>
        <w:rPr>
          <w:rFonts w:ascii="Times New Roman" w:hAnsi="Times New Roman" w:cs="Times New Roman"/>
          <w:highlight w:val="yellow"/>
        </w:rPr>
      </w:pPr>
    </w:p>
    <w:p w14:paraId="0D1727C5" w14:textId="408ED20C" w:rsidR="00813233" w:rsidRDefault="00314D17" w:rsidP="00813233">
      <w:pPr>
        <w:spacing w:after="0" w:line="240" w:lineRule="auto"/>
        <w:jc w:val="both"/>
        <w:rPr>
          <w:rFonts w:ascii="Times New Roman" w:hAnsi="Times New Roman" w:cs="Times New Roman"/>
        </w:rPr>
      </w:pPr>
      <w:r>
        <w:rPr>
          <w:rFonts w:ascii="Times New Roman" w:hAnsi="Times New Roman" w:cs="Times New Roman"/>
        </w:rPr>
        <w:t>P</w:t>
      </w:r>
      <w:r w:rsidR="00813233" w:rsidRPr="00813233">
        <w:rPr>
          <w:rFonts w:ascii="Times New Roman" w:hAnsi="Times New Roman" w:cs="Times New Roman"/>
        </w:rPr>
        <w:t>ara el 202</w:t>
      </w:r>
      <w:r w:rsidR="008679EF">
        <w:rPr>
          <w:rFonts w:ascii="Times New Roman" w:hAnsi="Times New Roman" w:cs="Times New Roman"/>
        </w:rPr>
        <w:t>3</w:t>
      </w:r>
      <w:r>
        <w:rPr>
          <w:rFonts w:ascii="Times New Roman" w:hAnsi="Times New Roman" w:cs="Times New Roman"/>
        </w:rPr>
        <w:t xml:space="preserve">, </w:t>
      </w:r>
      <w:r w:rsidR="00813233" w:rsidRPr="00813233">
        <w:rPr>
          <w:rFonts w:ascii="Times New Roman" w:hAnsi="Times New Roman" w:cs="Times New Roman"/>
        </w:rPr>
        <w:t>e</w:t>
      </w:r>
      <w:r w:rsidR="008679EF">
        <w:rPr>
          <w:rFonts w:ascii="Times New Roman" w:hAnsi="Times New Roman" w:cs="Times New Roman"/>
        </w:rPr>
        <w:t xml:space="preserve">l techo de presupuesto </w:t>
      </w:r>
      <w:r>
        <w:rPr>
          <w:rFonts w:ascii="Times New Roman" w:hAnsi="Times New Roman" w:cs="Times New Roman"/>
        </w:rPr>
        <w:t xml:space="preserve">es </w:t>
      </w:r>
      <w:r w:rsidR="008679EF">
        <w:rPr>
          <w:rFonts w:ascii="Times New Roman" w:hAnsi="Times New Roman" w:cs="Times New Roman"/>
        </w:rPr>
        <w:t>mayor</w:t>
      </w:r>
      <w:r w:rsidR="00813233" w:rsidRPr="00813233">
        <w:rPr>
          <w:rFonts w:ascii="Times New Roman" w:hAnsi="Times New Roman" w:cs="Times New Roman"/>
        </w:rPr>
        <w:t xml:space="preserve"> en </w:t>
      </w:r>
      <w:r w:rsidR="004E0074">
        <w:rPr>
          <w:rFonts w:ascii="Times New Roman" w:hAnsi="Times New Roman" w:cs="Times New Roman"/>
        </w:rPr>
        <w:t>3</w:t>
      </w:r>
      <w:r w:rsidR="00B80F60">
        <w:rPr>
          <w:rFonts w:ascii="Times New Roman" w:hAnsi="Times New Roman" w:cs="Times New Roman"/>
        </w:rPr>
        <w:t>.0</w:t>
      </w:r>
      <w:r w:rsidR="00813233" w:rsidRPr="00813233">
        <w:rPr>
          <w:rFonts w:ascii="Times New Roman" w:hAnsi="Times New Roman" w:cs="Times New Roman"/>
        </w:rPr>
        <w:t>% respecto al de 202</w:t>
      </w:r>
      <w:r w:rsidR="008679EF">
        <w:rPr>
          <w:rFonts w:ascii="Times New Roman" w:hAnsi="Times New Roman" w:cs="Times New Roman"/>
        </w:rPr>
        <w:t>2</w:t>
      </w:r>
      <w:r w:rsidR="00813233" w:rsidRPr="00813233">
        <w:rPr>
          <w:rFonts w:ascii="Times New Roman" w:hAnsi="Times New Roman" w:cs="Times New Roman"/>
        </w:rPr>
        <w:t>, esto debido a que se tiene previsto</w:t>
      </w:r>
      <w:r w:rsidR="008679EF">
        <w:rPr>
          <w:rFonts w:ascii="Times New Roman" w:hAnsi="Times New Roman" w:cs="Times New Roman"/>
        </w:rPr>
        <w:t xml:space="preserve"> una mayor</w:t>
      </w:r>
      <w:r w:rsidR="00B70D6A">
        <w:rPr>
          <w:rFonts w:ascii="Times New Roman" w:hAnsi="Times New Roman" w:cs="Times New Roman"/>
        </w:rPr>
        <w:t xml:space="preserve"> adaptación a la “nueva</w:t>
      </w:r>
      <w:r w:rsidR="008679EF">
        <w:rPr>
          <w:rFonts w:ascii="Times New Roman" w:hAnsi="Times New Roman" w:cs="Times New Roman"/>
        </w:rPr>
        <w:t xml:space="preserve"> normalidad</w:t>
      </w:r>
      <w:r w:rsidR="00B70D6A">
        <w:rPr>
          <w:rFonts w:ascii="Times New Roman" w:hAnsi="Times New Roman" w:cs="Times New Roman"/>
        </w:rPr>
        <w:t xml:space="preserve">” y </w:t>
      </w:r>
      <w:r w:rsidR="00E46E6F">
        <w:rPr>
          <w:rFonts w:ascii="Times New Roman" w:hAnsi="Times New Roman" w:cs="Times New Roman"/>
        </w:rPr>
        <w:t xml:space="preserve">una leve reducción del gasto en inversión pública que </w:t>
      </w:r>
      <w:r w:rsidR="003022E0">
        <w:rPr>
          <w:rFonts w:ascii="Times New Roman" w:hAnsi="Times New Roman" w:cs="Times New Roman"/>
        </w:rPr>
        <w:t>pretende</w:t>
      </w:r>
      <w:r w:rsidR="00E46E6F">
        <w:rPr>
          <w:rFonts w:ascii="Times New Roman" w:hAnsi="Times New Roman" w:cs="Times New Roman"/>
        </w:rPr>
        <w:t xml:space="preserve"> un fuerte impulso en 2022</w:t>
      </w:r>
      <w:r w:rsidR="0081793E">
        <w:rPr>
          <w:rFonts w:ascii="Times New Roman" w:hAnsi="Times New Roman" w:cs="Times New Roman"/>
        </w:rPr>
        <w:t>, además se espera que en 2023</w:t>
      </w:r>
      <w:r w:rsidR="00E46E6F">
        <w:rPr>
          <w:rFonts w:ascii="Times New Roman" w:hAnsi="Times New Roman" w:cs="Times New Roman"/>
        </w:rPr>
        <w:t xml:space="preserve"> </w:t>
      </w:r>
      <w:r w:rsidR="00B70D6A">
        <w:rPr>
          <w:rFonts w:ascii="Times New Roman" w:hAnsi="Times New Roman" w:cs="Times New Roman"/>
        </w:rPr>
        <w:t xml:space="preserve">la </w:t>
      </w:r>
      <w:r w:rsidR="008679EF">
        <w:rPr>
          <w:rFonts w:ascii="Times New Roman" w:hAnsi="Times New Roman" w:cs="Times New Roman"/>
        </w:rPr>
        <w:t xml:space="preserve">economía </w:t>
      </w:r>
      <w:r w:rsidR="00B70D6A">
        <w:rPr>
          <w:rFonts w:ascii="Times New Roman" w:hAnsi="Times New Roman" w:cs="Times New Roman"/>
        </w:rPr>
        <w:t>estaría operando a un nivel más cercano al observa</w:t>
      </w:r>
      <w:r w:rsidR="00C20310">
        <w:rPr>
          <w:rFonts w:ascii="Times New Roman" w:hAnsi="Times New Roman" w:cs="Times New Roman"/>
        </w:rPr>
        <w:t>do</w:t>
      </w:r>
      <w:r w:rsidR="00B70D6A">
        <w:rPr>
          <w:rFonts w:ascii="Times New Roman" w:hAnsi="Times New Roman" w:cs="Times New Roman"/>
        </w:rPr>
        <w:t xml:space="preserve"> antes de la pandemia COVID-19.</w:t>
      </w:r>
    </w:p>
    <w:p w14:paraId="560D7410" w14:textId="77777777" w:rsidR="00B80F60" w:rsidRDefault="00B80F60" w:rsidP="00813233">
      <w:pPr>
        <w:spacing w:after="0" w:line="240" w:lineRule="auto"/>
        <w:jc w:val="both"/>
        <w:rPr>
          <w:rFonts w:ascii="Times New Roman" w:hAnsi="Times New Roman" w:cs="Times New Roman"/>
        </w:rPr>
      </w:pPr>
    </w:p>
    <w:p w14:paraId="34865AAC" w14:textId="3D806349" w:rsidR="00813233" w:rsidRPr="00813233" w:rsidRDefault="00813233" w:rsidP="00813233">
      <w:pPr>
        <w:spacing w:after="0" w:line="240" w:lineRule="auto"/>
        <w:jc w:val="both"/>
        <w:rPr>
          <w:rFonts w:ascii="Times New Roman" w:hAnsi="Times New Roman" w:cs="Times New Roman"/>
        </w:rPr>
      </w:pPr>
      <w:r w:rsidRPr="00813233">
        <w:rPr>
          <w:rFonts w:ascii="Times New Roman" w:hAnsi="Times New Roman" w:cs="Times New Roman"/>
        </w:rPr>
        <w:t>En el mediano plazo se prevé que la variación interanual en los techos presupuestarios sea</w:t>
      </w:r>
      <w:r w:rsidR="00B70D6A">
        <w:rPr>
          <w:rFonts w:ascii="Times New Roman" w:hAnsi="Times New Roman" w:cs="Times New Roman"/>
        </w:rPr>
        <w:t xml:space="preserve"> en promedio de </w:t>
      </w:r>
      <w:r w:rsidR="00311275">
        <w:rPr>
          <w:rFonts w:ascii="Times New Roman" w:hAnsi="Times New Roman" w:cs="Times New Roman"/>
        </w:rPr>
        <w:t>4.3</w:t>
      </w:r>
      <w:r w:rsidRPr="00813233">
        <w:rPr>
          <w:rFonts w:ascii="Times New Roman" w:hAnsi="Times New Roman" w:cs="Times New Roman"/>
        </w:rPr>
        <w:t xml:space="preserve">%, </w:t>
      </w:r>
      <w:r w:rsidR="00311275">
        <w:rPr>
          <w:rFonts w:ascii="Times New Roman" w:hAnsi="Times New Roman" w:cs="Times New Roman"/>
        </w:rPr>
        <w:t>entre 2023-2026</w:t>
      </w:r>
      <w:r w:rsidRPr="00813233">
        <w:rPr>
          <w:rFonts w:ascii="Times New Roman" w:hAnsi="Times New Roman" w:cs="Times New Roman"/>
        </w:rPr>
        <w:t xml:space="preserve">, lo que permitirá una mayor ejecución de gasto y que este regrese a la trayectoria histórica, una vez superada la crisis del COVID-19.   </w:t>
      </w:r>
    </w:p>
    <w:p w14:paraId="21513D32" w14:textId="77777777" w:rsidR="00813233" w:rsidRPr="00813233" w:rsidRDefault="00813233" w:rsidP="00813233">
      <w:pPr>
        <w:keepNext/>
        <w:spacing w:after="0" w:line="240" w:lineRule="auto"/>
        <w:jc w:val="center"/>
        <w:rPr>
          <w:rFonts w:ascii="Times New Roman" w:hAnsi="Times New Roman" w:cs="Times New Roman"/>
          <w:b/>
          <w:bCs/>
          <w:szCs w:val="20"/>
        </w:rPr>
      </w:pPr>
      <w:bookmarkStart w:id="1759" w:name="_Toc16158428"/>
    </w:p>
    <w:p w14:paraId="44A5704B" w14:textId="51A3998C" w:rsidR="00813233" w:rsidRPr="003E14B7" w:rsidRDefault="003E14B7" w:rsidP="00484ED3">
      <w:pPr>
        <w:pStyle w:val="Epgrafe"/>
        <w:spacing w:after="0"/>
        <w:jc w:val="center"/>
        <w:rPr>
          <w:rFonts w:ascii="Times New Roman" w:hAnsi="Times New Roman" w:cs="Times New Roman"/>
          <w:b/>
          <w:bCs/>
          <w:color w:val="auto"/>
          <w:sz w:val="22"/>
        </w:rPr>
      </w:pPr>
      <w:bookmarkStart w:id="1760" w:name="_Toc50016853"/>
      <w:bookmarkStart w:id="1761" w:name="_Toc81573102"/>
      <w:r w:rsidRPr="003E14B7">
        <w:rPr>
          <w:rFonts w:ascii="Times New Roman" w:hAnsi="Times New Roman" w:cs="Times New Roman"/>
          <w:b/>
          <w:color w:val="auto"/>
          <w:sz w:val="22"/>
        </w:rPr>
        <w:t xml:space="preserve">Gráfico </w:t>
      </w:r>
      <w:r w:rsidRPr="003E14B7">
        <w:rPr>
          <w:rFonts w:ascii="Times New Roman" w:hAnsi="Times New Roman" w:cs="Times New Roman"/>
          <w:b/>
          <w:color w:val="auto"/>
          <w:sz w:val="22"/>
        </w:rPr>
        <w:fldChar w:fldCharType="begin"/>
      </w:r>
      <w:r w:rsidRPr="003E14B7">
        <w:rPr>
          <w:rFonts w:ascii="Times New Roman" w:hAnsi="Times New Roman" w:cs="Times New Roman"/>
          <w:b/>
          <w:color w:val="auto"/>
          <w:sz w:val="22"/>
        </w:rPr>
        <w:instrText xml:space="preserve"> SEQ Gráfico \* ARABIC </w:instrText>
      </w:r>
      <w:r w:rsidRPr="003E14B7">
        <w:rPr>
          <w:rFonts w:ascii="Times New Roman" w:hAnsi="Times New Roman" w:cs="Times New Roman"/>
          <w:b/>
          <w:color w:val="auto"/>
          <w:sz w:val="22"/>
        </w:rPr>
        <w:fldChar w:fldCharType="separate"/>
      </w:r>
      <w:r w:rsidR="00D6529D">
        <w:rPr>
          <w:rFonts w:ascii="Times New Roman" w:hAnsi="Times New Roman" w:cs="Times New Roman"/>
          <w:b/>
          <w:noProof/>
          <w:color w:val="auto"/>
          <w:sz w:val="22"/>
        </w:rPr>
        <w:t>52</w:t>
      </w:r>
      <w:r w:rsidRPr="003E14B7">
        <w:rPr>
          <w:rFonts w:ascii="Times New Roman" w:hAnsi="Times New Roman" w:cs="Times New Roman"/>
          <w:b/>
          <w:color w:val="auto"/>
          <w:sz w:val="22"/>
        </w:rPr>
        <w:fldChar w:fldCharType="end"/>
      </w:r>
      <w:r w:rsidRPr="003E14B7">
        <w:rPr>
          <w:rFonts w:ascii="Times New Roman" w:hAnsi="Times New Roman" w:cs="Times New Roman"/>
          <w:b/>
          <w:color w:val="auto"/>
          <w:sz w:val="22"/>
        </w:rPr>
        <w:t xml:space="preserve">  </w:t>
      </w:r>
      <w:r w:rsidR="00813233" w:rsidRPr="003E14B7">
        <w:rPr>
          <w:rFonts w:ascii="Times New Roman" w:hAnsi="Times New Roman" w:cs="Times New Roman"/>
          <w:b/>
          <w:i w:val="0"/>
          <w:iCs w:val="0"/>
          <w:color w:val="auto"/>
          <w:sz w:val="22"/>
        </w:rPr>
        <w:t xml:space="preserve">Asignación total de </w:t>
      </w:r>
      <w:bookmarkEnd w:id="1759"/>
      <w:bookmarkEnd w:id="1760"/>
      <w:r w:rsidR="00B66A75" w:rsidRPr="003E14B7">
        <w:rPr>
          <w:rFonts w:ascii="Times New Roman" w:hAnsi="Times New Roman" w:cs="Times New Roman"/>
          <w:b/>
          <w:i w:val="0"/>
          <w:iCs w:val="0"/>
          <w:color w:val="auto"/>
          <w:sz w:val="22"/>
        </w:rPr>
        <w:t>egresos</w:t>
      </w:r>
      <w:bookmarkEnd w:id="1761"/>
    </w:p>
    <w:p w14:paraId="19D1D1E1" w14:textId="53863B37" w:rsidR="00813233" w:rsidRPr="00813233" w:rsidRDefault="00B66A75" w:rsidP="00813233">
      <w:pPr>
        <w:spacing w:after="0"/>
        <w:jc w:val="center"/>
        <w:rPr>
          <w:rFonts w:ascii="Times New Roman" w:hAnsi="Times New Roman" w:cs="Times New Roman"/>
          <w:sz w:val="18"/>
          <w:szCs w:val="18"/>
        </w:rPr>
      </w:pPr>
      <w:r>
        <w:rPr>
          <w:rFonts w:ascii="Times New Roman" w:hAnsi="Times New Roman" w:cs="Times New Roman"/>
          <w:sz w:val="18"/>
          <w:szCs w:val="18"/>
        </w:rPr>
        <w:t>202</w:t>
      </w:r>
      <w:r w:rsidR="00FB386B">
        <w:rPr>
          <w:rFonts w:ascii="Times New Roman" w:hAnsi="Times New Roman" w:cs="Times New Roman"/>
          <w:sz w:val="18"/>
          <w:szCs w:val="18"/>
        </w:rPr>
        <w:t>2</w:t>
      </w:r>
      <w:r>
        <w:rPr>
          <w:rFonts w:ascii="Times New Roman" w:hAnsi="Times New Roman" w:cs="Times New Roman"/>
          <w:sz w:val="18"/>
          <w:szCs w:val="18"/>
        </w:rPr>
        <w:t>-2026</w:t>
      </w:r>
    </w:p>
    <w:p w14:paraId="216D560B" w14:textId="77777777" w:rsidR="00813233" w:rsidRPr="00813233" w:rsidRDefault="00813233" w:rsidP="00813233">
      <w:pPr>
        <w:spacing w:after="0"/>
        <w:jc w:val="center"/>
        <w:rPr>
          <w:rFonts w:ascii="Times New Roman" w:hAnsi="Times New Roman" w:cs="Times New Roman"/>
          <w:sz w:val="18"/>
          <w:szCs w:val="18"/>
        </w:rPr>
      </w:pPr>
      <w:r w:rsidRPr="00813233">
        <w:rPr>
          <w:rFonts w:ascii="Times New Roman" w:hAnsi="Times New Roman" w:cs="Times New Roman"/>
          <w:sz w:val="18"/>
          <w:szCs w:val="18"/>
        </w:rPr>
        <w:t>Millones de quetzales</w:t>
      </w:r>
    </w:p>
    <w:p w14:paraId="04C12618" w14:textId="09840745" w:rsidR="00FB386B" w:rsidRDefault="00FB386B" w:rsidP="00461B38">
      <w:pPr>
        <w:spacing w:after="0" w:line="240" w:lineRule="auto"/>
        <w:jc w:val="center"/>
        <w:rPr>
          <w:rFonts w:ascii="Times New Roman" w:hAnsi="Times New Roman" w:cs="Times New Roman"/>
          <w:noProof/>
          <w:lang w:eastAsia="es-GT"/>
        </w:rPr>
      </w:pPr>
      <w:r>
        <w:rPr>
          <w:rFonts w:ascii="Times New Roman" w:hAnsi="Times New Roman" w:cs="Times New Roman"/>
          <w:noProof/>
          <w:lang w:val="es-ES" w:eastAsia="es-ES"/>
        </w:rPr>
        <w:drawing>
          <wp:inline distT="0" distB="0" distL="0" distR="0" wp14:anchorId="2917A8BA" wp14:editId="56D7911F">
            <wp:extent cx="5273040" cy="2621280"/>
            <wp:effectExtent l="0" t="0" r="3810" b="0"/>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7A8AAB66" w14:textId="479A47CC" w:rsidR="00813233" w:rsidRPr="00813233" w:rsidRDefault="00813233" w:rsidP="00813233">
      <w:pPr>
        <w:spacing w:after="0" w:line="240" w:lineRule="auto"/>
        <w:rPr>
          <w:rFonts w:ascii="Times New Roman" w:hAnsi="Times New Roman" w:cs="Times New Roman"/>
          <w:sz w:val="16"/>
        </w:rPr>
      </w:pPr>
      <w:r w:rsidRPr="00813233">
        <w:rPr>
          <w:rFonts w:ascii="Times New Roman" w:hAnsi="Times New Roman" w:cs="Times New Roman"/>
          <w:sz w:val="16"/>
        </w:rPr>
        <w:t xml:space="preserve">Fuente: Dirección de Análisis y Política Fiscal </w:t>
      </w:r>
    </w:p>
    <w:p w14:paraId="34DE6C3B" w14:textId="77777777" w:rsidR="00813233" w:rsidRPr="00813233" w:rsidRDefault="00813233" w:rsidP="00813233">
      <w:pPr>
        <w:spacing w:after="0" w:line="240" w:lineRule="auto"/>
        <w:rPr>
          <w:rFonts w:ascii="Times New Roman" w:hAnsi="Times New Roman" w:cs="Times New Roman"/>
        </w:rPr>
      </w:pPr>
    </w:p>
    <w:p w14:paraId="53EAD6CB" w14:textId="1DC96128" w:rsidR="00813233" w:rsidRDefault="00813233" w:rsidP="00813233">
      <w:pPr>
        <w:spacing w:after="0" w:line="240" w:lineRule="auto"/>
        <w:jc w:val="both"/>
        <w:rPr>
          <w:rFonts w:ascii="Times New Roman" w:hAnsi="Times New Roman" w:cs="Times New Roman"/>
        </w:rPr>
      </w:pPr>
      <w:r w:rsidRPr="00E03FCB">
        <w:rPr>
          <w:rFonts w:ascii="Times New Roman" w:hAnsi="Times New Roman" w:cs="Times New Roman"/>
        </w:rPr>
        <w:t>Como resultado de las proyecciones de ingresos fiscales</w:t>
      </w:r>
      <w:r w:rsidR="005D670F" w:rsidRPr="00E03FCB">
        <w:rPr>
          <w:rFonts w:ascii="Times New Roman" w:hAnsi="Times New Roman" w:cs="Times New Roman"/>
        </w:rPr>
        <w:t xml:space="preserve"> y</w:t>
      </w:r>
      <w:r w:rsidRPr="00E03FCB">
        <w:rPr>
          <w:rFonts w:ascii="Times New Roman" w:hAnsi="Times New Roman" w:cs="Times New Roman"/>
        </w:rPr>
        <w:t xml:space="preserve"> la priorización del gasto, se distribuyeron los techos presupuestarios </w:t>
      </w:r>
      <w:r w:rsidR="008E5248" w:rsidRPr="00E03FCB">
        <w:rPr>
          <w:rFonts w:ascii="Times New Roman" w:hAnsi="Times New Roman" w:cs="Times New Roman"/>
        </w:rPr>
        <w:t>totales para la administración central</w:t>
      </w:r>
      <w:r w:rsidRPr="00E03FCB">
        <w:rPr>
          <w:rFonts w:ascii="Times New Roman" w:hAnsi="Times New Roman" w:cs="Times New Roman"/>
        </w:rPr>
        <w:t xml:space="preserve"> de la siguiente forma: para 202</w:t>
      </w:r>
      <w:r w:rsidR="00C372F4" w:rsidRPr="00E03FCB">
        <w:rPr>
          <w:rFonts w:ascii="Times New Roman" w:hAnsi="Times New Roman" w:cs="Times New Roman"/>
        </w:rPr>
        <w:t>2</w:t>
      </w:r>
      <w:r w:rsidRPr="00E03FCB">
        <w:rPr>
          <w:rFonts w:ascii="Times New Roman" w:hAnsi="Times New Roman" w:cs="Times New Roman"/>
        </w:rPr>
        <w:t xml:space="preserve"> se tiene contemplado un presupuesto de Q</w:t>
      </w:r>
      <w:r w:rsidR="00B80F60">
        <w:rPr>
          <w:rFonts w:ascii="Times New Roman" w:hAnsi="Times New Roman" w:cs="Times New Roman"/>
        </w:rPr>
        <w:t>10</w:t>
      </w:r>
      <w:r w:rsidR="00092F1D">
        <w:rPr>
          <w:rFonts w:ascii="Times New Roman" w:hAnsi="Times New Roman" w:cs="Times New Roman"/>
        </w:rPr>
        <w:t>3,992.5</w:t>
      </w:r>
      <w:r w:rsidRPr="00E03FCB">
        <w:rPr>
          <w:rFonts w:ascii="Times New Roman" w:hAnsi="Times New Roman" w:cs="Times New Roman"/>
        </w:rPr>
        <w:t xml:space="preserve"> millones</w:t>
      </w:r>
      <w:r w:rsidR="00CA2625">
        <w:rPr>
          <w:rFonts w:ascii="Times New Roman" w:hAnsi="Times New Roman" w:cs="Times New Roman"/>
        </w:rPr>
        <w:t xml:space="preserve"> (14.</w:t>
      </w:r>
      <w:r w:rsidR="00092F1D">
        <w:rPr>
          <w:rFonts w:ascii="Times New Roman" w:hAnsi="Times New Roman" w:cs="Times New Roman"/>
        </w:rPr>
        <w:t>9</w:t>
      </w:r>
      <w:r w:rsidR="00CA2625">
        <w:rPr>
          <w:rFonts w:ascii="Times New Roman" w:hAnsi="Times New Roman" w:cs="Times New Roman"/>
        </w:rPr>
        <w:t>% del PIB)</w:t>
      </w:r>
      <w:r w:rsidRPr="00E03FCB">
        <w:rPr>
          <w:rFonts w:ascii="Times New Roman" w:hAnsi="Times New Roman" w:cs="Times New Roman"/>
        </w:rPr>
        <w:t xml:space="preserve">, el cual </w:t>
      </w:r>
      <w:r w:rsidR="00C372F4" w:rsidRPr="00E03FCB">
        <w:rPr>
          <w:rFonts w:ascii="Times New Roman" w:hAnsi="Times New Roman" w:cs="Times New Roman"/>
        </w:rPr>
        <w:t>ascendería en</w:t>
      </w:r>
      <w:r w:rsidRPr="00E03FCB">
        <w:rPr>
          <w:rFonts w:ascii="Times New Roman" w:hAnsi="Times New Roman" w:cs="Times New Roman"/>
        </w:rPr>
        <w:t xml:space="preserve"> 202</w:t>
      </w:r>
      <w:r w:rsidR="00C372F4" w:rsidRPr="00E03FCB">
        <w:rPr>
          <w:rFonts w:ascii="Times New Roman" w:hAnsi="Times New Roman" w:cs="Times New Roman"/>
        </w:rPr>
        <w:t>3</w:t>
      </w:r>
      <w:r w:rsidRPr="00E03FCB">
        <w:rPr>
          <w:rFonts w:ascii="Times New Roman" w:hAnsi="Times New Roman" w:cs="Times New Roman"/>
        </w:rPr>
        <w:t xml:space="preserve"> hasta ubicarse en Q</w:t>
      </w:r>
      <w:r w:rsidR="00B80F60">
        <w:rPr>
          <w:rFonts w:ascii="Times New Roman" w:hAnsi="Times New Roman" w:cs="Times New Roman"/>
        </w:rPr>
        <w:t>10</w:t>
      </w:r>
      <w:r w:rsidR="00DE6BB3">
        <w:rPr>
          <w:rFonts w:ascii="Times New Roman" w:hAnsi="Times New Roman" w:cs="Times New Roman"/>
        </w:rPr>
        <w:t>7,101.1</w:t>
      </w:r>
      <w:r w:rsidR="00566919" w:rsidRPr="00E03FCB">
        <w:rPr>
          <w:rFonts w:ascii="Times New Roman" w:hAnsi="Times New Roman" w:cs="Times New Roman"/>
        </w:rPr>
        <w:t xml:space="preserve"> millones</w:t>
      </w:r>
      <w:r w:rsidR="00CA2625">
        <w:rPr>
          <w:rFonts w:ascii="Times New Roman" w:hAnsi="Times New Roman" w:cs="Times New Roman"/>
        </w:rPr>
        <w:t xml:space="preserve"> (14.</w:t>
      </w:r>
      <w:r w:rsidR="00DE6BB3">
        <w:rPr>
          <w:rFonts w:ascii="Times New Roman" w:hAnsi="Times New Roman" w:cs="Times New Roman"/>
        </w:rPr>
        <w:t>5</w:t>
      </w:r>
      <w:r w:rsidR="00CA2625">
        <w:rPr>
          <w:rFonts w:ascii="Times New Roman" w:hAnsi="Times New Roman" w:cs="Times New Roman"/>
        </w:rPr>
        <w:t>% del PIB)</w:t>
      </w:r>
      <w:r w:rsidR="00566919" w:rsidRPr="00E03FCB">
        <w:rPr>
          <w:rFonts w:ascii="Times New Roman" w:hAnsi="Times New Roman" w:cs="Times New Roman"/>
        </w:rPr>
        <w:t>, en 2024</w:t>
      </w:r>
      <w:r w:rsidRPr="00E03FCB">
        <w:rPr>
          <w:rFonts w:ascii="Times New Roman" w:hAnsi="Times New Roman" w:cs="Times New Roman"/>
        </w:rPr>
        <w:t xml:space="preserve"> en Q1</w:t>
      </w:r>
      <w:r w:rsidR="00B80F60">
        <w:rPr>
          <w:rFonts w:ascii="Times New Roman" w:hAnsi="Times New Roman" w:cs="Times New Roman"/>
        </w:rPr>
        <w:t>1</w:t>
      </w:r>
      <w:r w:rsidR="009601AE">
        <w:rPr>
          <w:rFonts w:ascii="Times New Roman" w:hAnsi="Times New Roman" w:cs="Times New Roman"/>
        </w:rPr>
        <w:t>1,879.1</w:t>
      </w:r>
      <w:r w:rsidR="00566919" w:rsidRPr="00E03FCB">
        <w:rPr>
          <w:rFonts w:ascii="Times New Roman" w:hAnsi="Times New Roman" w:cs="Times New Roman"/>
        </w:rPr>
        <w:t xml:space="preserve"> millones</w:t>
      </w:r>
      <w:r w:rsidR="00CA2625">
        <w:rPr>
          <w:rFonts w:ascii="Times New Roman" w:hAnsi="Times New Roman" w:cs="Times New Roman"/>
        </w:rPr>
        <w:t xml:space="preserve"> (14</w:t>
      </w:r>
      <w:r w:rsidR="009E0071">
        <w:rPr>
          <w:rFonts w:ascii="Times New Roman" w:hAnsi="Times New Roman" w:cs="Times New Roman"/>
        </w:rPr>
        <w:t>.2</w:t>
      </w:r>
      <w:r w:rsidR="00CA2625">
        <w:rPr>
          <w:rFonts w:ascii="Times New Roman" w:hAnsi="Times New Roman" w:cs="Times New Roman"/>
        </w:rPr>
        <w:t>% del PIB)</w:t>
      </w:r>
      <w:r w:rsidR="00AF256C">
        <w:rPr>
          <w:rFonts w:ascii="Times New Roman" w:hAnsi="Times New Roman" w:cs="Times New Roman"/>
        </w:rPr>
        <w:t xml:space="preserve"> y</w:t>
      </w:r>
      <w:r w:rsidR="00566919" w:rsidRPr="00E03FCB">
        <w:rPr>
          <w:rFonts w:ascii="Times New Roman" w:hAnsi="Times New Roman" w:cs="Times New Roman"/>
        </w:rPr>
        <w:t xml:space="preserve"> 2025 en Q11</w:t>
      </w:r>
      <w:r w:rsidR="009601AE">
        <w:rPr>
          <w:rFonts w:ascii="Times New Roman" w:hAnsi="Times New Roman" w:cs="Times New Roman"/>
        </w:rPr>
        <w:t>6,</w:t>
      </w:r>
      <w:r w:rsidR="00494C2B">
        <w:rPr>
          <w:rFonts w:ascii="Times New Roman" w:hAnsi="Times New Roman" w:cs="Times New Roman"/>
        </w:rPr>
        <w:t>682.7</w:t>
      </w:r>
      <w:r w:rsidR="00566919" w:rsidRPr="00E03FCB">
        <w:rPr>
          <w:rFonts w:ascii="Times New Roman" w:hAnsi="Times New Roman" w:cs="Times New Roman"/>
        </w:rPr>
        <w:t xml:space="preserve"> millones</w:t>
      </w:r>
      <w:r w:rsidR="00A12DE8">
        <w:rPr>
          <w:rFonts w:ascii="Times New Roman" w:hAnsi="Times New Roman" w:cs="Times New Roman"/>
        </w:rPr>
        <w:t xml:space="preserve"> (14.</w:t>
      </w:r>
      <w:r w:rsidR="00104395">
        <w:rPr>
          <w:rFonts w:ascii="Times New Roman" w:hAnsi="Times New Roman" w:cs="Times New Roman"/>
        </w:rPr>
        <w:t>0</w:t>
      </w:r>
      <w:r w:rsidR="00A12DE8">
        <w:rPr>
          <w:rFonts w:ascii="Times New Roman" w:hAnsi="Times New Roman" w:cs="Times New Roman"/>
        </w:rPr>
        <w:t>% del PIB)</w:t>
      </w:r>
      <w:r w:rsidR="00494C2B" w:rsidRPr="00E03FCB">
        <w:rPr>
          <w:rFonts w:ascii="Times New Roman" w:hAnsi="Times New Roman" w:cs="Times New Roman"/>
        </w:rPr>
        <w:t>.</w:t>
      </w:r>
      <w:r w:rsidR="0035681A">
        <w:rPr>
          <w:rFonts w:ascii="Times New Roman" w:hAnsi="Times New Roman" w:cs="Times New Roman"/>
        </w:rPr>
        <w:t xml:space="preserve"> </w:t>
      </w:r>
      <w:r w:rsidR="00566919" w:rsidRPr="00E03FCB">
        <w:rPr>
          <w:rFonts w:ascii="Times New Roman" w:hAnsi="Times New Roman" w:cs="Times New Roman"/>
        </w:rPr>
        <w:t xml:space="preserve"> A partir de </w:t>
      </w:r>
      <w:r w:rsidRPr="00E03FCB">
        <w:rPr>
          <w:rFonts w:ascii="Times New Roman" w:hAnsi="Times New Roman" w:cs="Times New Roman"/>
        </w:rPr>
        <w:t>202</w:t>
      </w:r>
      <w:r w:rsidR="00566919" w:rsidRPr="00E03FCB">
        <w:rPr>
          <w:rFonts w:ascii="Times New Roman" w:hAnsi="Times New Roman" w:cs="Times New Roman"/>
        </w:rPr>
        <w:t>2</w:t>
      </w:r>
      <w:r w:rsidRPr="00E03FCB">
        <w:rPr>
          <w:rFonts w:ascii="Times New Roman" w:hAnsi="Times New Roman" w:cs="Times New Roman"/>
        </w:rPr>
        <w:t xml:space="preserve"> las asignaciones presupuestarias tendrían aumentos más acordes a las necesidades </w:t>
      </w:r>
      <w:r w:rsidR="00566919" w:rsidRPr="00E03FCB">
        <w:rPr>
          <w:rFonts w:ascii="Times New Roman" w:hAnsi="Times New Roman" w:cs="Times New Roman"/>
        </w:rPr>
        <w:t>plantea</w:t>
      </w:r>
      <w:r w:rsidR="00104395">
        <w:rPr>
          <w:rFonts w:ascii="Times New Roman" w:hAnsi="Times New Roman" w:cs="Times New Roman"/>
        </w:rPr>
        <w:t>das por las entidades públicas</w:t>
      </w:r>
      <w:r w:rsidR="00566919" w:rsidRPr="00E03FCB">
        <w:rPr>
          <w:rFonts w:ascii="Times New Roman" w:hAnsi="Times New Roman" w:cs="Times New Roman"/>
        </w:rPr>
        <w:t>,</w:t>
      </w:r>
      <w:r w:rsidR="00104395">
        <w:rPr>
          <w:rFonts w:ascii="Times New Roman" w:hAnsi="Times New Roman" w:cs="Times New Roman"/>
        </w:rPr>
        <w:t xml:space="preserve"> una vez estén más acentuadas las necesidades de gasto respecto al COVID-19,</w:t>
      </w:r>
      <w:r w:rsidR="00566919" w:rsidRPr="00E03FCB">
        <w:rPr>
          <w:rFonts w:ascii="Times New Roman" w:hAnsi="Times New Roman" w:cs="Times New Roman"/>
        </w:rPr>
        <w:t xml:space="preserve"> </w:t>
      </w:r>
      <w:r w:rsidRPr="00E03FCB">
        <w:rPr>
          <w:rFonts w:ascii="Times New Roman" w:hAnsi="Times New Roman" w:cs="Times New Roman"/>
        </w:rPr>
        <w:t>se tiene previsto que para 202</w:t>
      </w:r>
      <w:r w:rsidR="00566919" w:rsidRPr="00E03FCB">
        <w:rPr>
          <w:rFonts w:ascii="Times New Roman" w:hAnsi="Times New Roman" w:cs="Times New Roman"/>
        </w:rPr>
        <w:t>6</w:t>
      </w:r>
      <w:r w:rsidRPr="00E03FCB">
        <w:rPr>
          <w:rFonts w:ascii="Times New Roman" w:hAnsi="Times New Roman" w:cs="Times New Roman"/>
        </w:rPr>
        <w:t>, la asignación presupuestaria alcance un monto de Q1</w:t>
      </w:r>
      <w:r w:rsidR="00104395">
        <w:rPr>
          <w:rFonts w:ascii="Times New Roman" w:hAnsi="Times New Roman" w:cs="Times New Roman"/>
        </w:rPr>
        <w:t>2</w:t>
      </w:r>
      <w:r w:rsidR="00AF256C">
        <w:rPr>
          <w:rFonts w:ascii="Times New Roman" w:hAnsi="Times New Roman" w:cs="Times New Roman"/>
        </w:rPr>
        <w:t>2,432.2</w:t>
      </w:r>
      <w:r w:rsidRPr="00E03FCB">
        <w:rPr>
          <w:rFonts w:ascii="Times New Roman" w:hAnsi="Times New Roman" w:cs="Times New Roman"/>
        </w:rPr>
        <w:t xml:space="preserve"> millones, el cual se ubicaría en </w:t>
      </w:r>
      <w:r w:rsidR="00AF256C">
        <w:rPr>
          <w:rFonts w:ascii="Times New Roman" w:hAnsi="Times New Roman" w:cs="Times New Roman"/>
        </w:rPr>
        <w:t>13.8</w:t>
      </w:r>
      <w:r w:rsidRPr="00E03FCB">
        <w:rPr>
          <w:rFonts w:ascii="Times New Roman" w:hAnsi="Times New Roman" w:cs="Times New Roman"/>
        </w:rPr>
        <w:t>% del PIB.</w:t>
      </w:r>
      <w:r w:rsidR="0018343F">
        <w:rPr>
          <w:rFonts w:ascii="Times New Roman" w:hAnsi="Times New Roman" w:cs="Times New Roman"/>
        </w:rPr>
        <w:t xml:space="preserve">  Aunque podrían surgir ajustes en las asignaciones futuras que dependerán del financiamiento previsto y de las necesidades estratégicas e institucionales del gobierno.</w:t>
      </w:r>
    </w:p>
    <w:p w14:paraId="33975F70" w14:textId="54B244FD" w:rsidR="00294098" w:rsidRDefault="00294098" w:rsidP="00813233">
      <w:pPr>
        <w:spacing w:after="0" w:line="240" w:lineRule="auto"/>
        <w:jc w:val="both"/>
        <w:rPr>
          <w:rFonts w:ascii="Times New Roman" w:hAnsi="Times New Roman" w:cs="Times New Roman"/>
        </w:rPr>
      </w:pPr>
    </w:p>
    <w:p w14:paraId="09411DBD" w14:textId="3652E509" w:rsidR="006E576B" w:rsidRDefault="006E576B" w:rsidP="00813233">
      <w:pPr>
        <w:spacing w:after="0" w:line="240" w:lineRule="auto"/>
        <w:jc w:val="both"/>
        <w:rPr>
          <w:rFonts w:ascii="Times New Roman" w:hAnsi="Times New Roman" w:cs="Times New Roman"/>
        </w:rPr>
      </w:pPr>
    </w:p>
    <w:p w14:paraId="25296AA1" w14:textId="40EC6C98" w:rsidR="00455E75" w:rsidRDefault="00455E75" w:rsidP="00813233">
      <w:pPr>
        <w:spacing w:after="0" w:line="240" w:lineRule="auto"/>
        <w:jc w:val="both"/>
        <w:rPr>
          <w:rFonts w:ascii="Times New Roman" w:hAnsi="Times New Roman" w:cs="Times New Roman"/>
        </w:rPr>
      </w:pPr>
    </w:p>
    <w:p w14:paraId="490ECF58" w14:textId="09CCC271" w:rsidR="00455E75" w:rsidRDefault="00455E75" w:rsidP="00813233">
      <w:pPr>
        <w:spacing w:after="0" w:line="240" w:lineRule="auto"/>
        <w:jc w:val="both"/>
        <w:rPr>
          <w:rFonts w:ascii="Times New Roman" w:hAnsi="Times New Roman" w:cs="Times New Roman"/>
        </w:rPr>
      </w:pPr>
    </w:p>
    <w:p w14:paraId="0F4C27FE" w14:textId="77777777" w:rsidR="00AA0C32" w:rsidRPr="00813233" w:rsidRDefault="00AA0C32" w:rsidP="00813233">
      <w:pPr>
        <w:spacing w:after="0" w:line="240" w:lineRule="auto"/>
        <w:jc w:val="both"/>
        <w:rPr>
          <w:rFonts w:ascii="Times New Roman" w:hAnsi="Times New Roman" w:cs="Times New Roman"/>
        </w:rPr>
      </w:pPr>
    </w:p>
    <w:p w14:paraId="552B6FA3" w14:textId="77777777" w:rsidR="00813233" w:rsidRPr="00042B26" w:rsidRDefault="00813233" w:rsidP="001032E7">
      <w:pPr>
        <w:pStyle w:val="Sinespaciado"/>
        <w:numPr>
          <w:ilvl w:val="2"/>
          <w:numId w:val="38"/>
        </w:numPr>
        <w:outlineLvl w:val="2"/>
        <w:rPr>
          <w:rFonts w:ascii="Times New Roman" w:hAnsi="Times New Roman" w:cs="Times New Roman"/>
          <w:b/>
          <w:sz w:val="24"/>
        </w:rPr>
      </w:pPr>
      <w:bookmarkStart w:id="1762" w:name="_Toc81571925"/>
      <w:r w:rsidRPr="00813233">
        <w:rPr>
          <w:rFonts w:ascii="Times New Roman" w:hAnsi="Times New Roman" w:cs="Times New Roman"/>
          <w:b/>
          <w:bCs/>
          <w:sz w:val="24"/>
          <w:lang w:val="es-ES"/>
        </w:rPr>
        <w:t>Proyección del financiamiento de déficit fiscal</w:t>
      </w:r>
      <w:bookmarkEnd w:id="1762"/>
    </w:p>
    <w:p w14:paraId="7E669135" w14:textId="77777777" w:rsidR="00042B26" w:rsidRPr="00042B26" w:rsidRDefault="00042B26" w:rsidP="00042B26">
      <w:pPr>
        <w:pStyle w:val="Sinespaciado"/>
        <w:ind w:left="1224"/>
        <w:rPr>
          <w:rFonts w:ascii="Times New Roman" w:hAnsi="Times New Roman" w:cs="Times New Roman"/>
          <w:b/>
          <w:sz w:val="24"/>
        </w:rPr>
      </w:pPr>
    </w:p>
    <w:p w14:paraId="3FDDAC05" w14:textId="77777777" w:rsidR="00813233" w:rsidRPr="00813233" w:rsidRDefault="00813233" w:rsidP="00813233">
      <w:pPr>
        <w:spacing w:after="0" w:line="240" w:lineRule="auto"/>
        <w:jc w:val="both"/>
        <w:rPr>
          <w:rFonts w:ascii="Times New Roman" w:hAnsi="Times New Roman" w:cs="Times New Roman"/>
        </w:rPr>
      </w:pPr>
      <w:r w:rsidRPr="00813233">
        <w:rPr>
          <w:rFonts w:ascii="Times New Roman" w:hAnsi="Times New Roman" w:cs="Times New Roman"/>
        </w:rPr>
        <w:t>Como resultado de la proyección de ingresos prevista para el mediano y largo plazos, y con base en la asignación de techos presupuestarios programada para responder a las necesidades de la sociedad guatemalteca y tomando en consideración los compromisos ineludibles del Estado, se tiene al final de cada ejercicio fiscal un resultado deficitario, cuyo nivel se considera no generará distorsiones a la economía y es financiable a través de recursos internos o externos en condiciones financieras que se espera sigan siendo bastante favorables</w:t>
      </w:r>
      <w:r w:rsidR="004E378E">
        <w:rPr>
          <w:rFonts w:ascii="Times New Roman" w:hAnsi="Times New Roman" w:cs="Times New Roman"/>
        </w:rPr>
        <w:t>, como lo han sido hasta le fecha</w:t>
      </w:r>
      <w:r w:rsidRPr="00813233">
        <w:rPr>
          <w:rFonts w:ascii="Times New Roman" w:hAnsi="Times New Roman" w:cs="Times New Roman"/>
        </w:rPr>
        <w:t>.</w:t>
      </w:r>
    </w:p>
    <w:p w14:paraId="361D08C5" w14:textId="77777777" w:rsidR="00813233" w:rsidRPr="00813233" w:rsidRDefault="00813233" w:rsidP="00813233">
      <w:pPr>
        <w:spacing w:after="0" w:line="240" w:lineRule="auto"/>
        <w:jc w:val="both"/>
        <w:rPr>
          <w:rFonts w:ascii="Times New Roman" w:hAnsi="Times New Roman" w:cs="Times New Roman"/>
        </w:rPr>
      </w:pPr>
    </w:p>
    <w:p w14:paraId="12E635F3" w14:textId="264A5DDE" w:rsidR="00813233" w:rsidRPr="00813233" w:rsidRDefault="00813233" w:rsidP="00813233">
      <w:pPr>
        <w:spacing w:after="0" w:line="240" w:lineRule="auto"/>
        <w:jc w:val="both"/>
        <w:rPr>
          <w:rFonts w:ascii="Times New Roman" w:hAnsi="Times New Roman" w:cs="Times New Roman"/>
        </w:rPr>
      </w:pPr>
      <w:r w:rsidRPr="00813233">
        <w:rPr>
          <w:rFonts w:ascii="Times New Roman" w:hAnsi="Times New Roman" w:cs="Times New Roman"/>
        </w:rPr>
        <w:t>En ese sentido, el déficit fiscal que se prevé para 202</w:t>
      </w:r>
      <w:r w:rsidR="004E378E">
        <w:rPr>
          <w:rFonts w:ascii="Times New Roman" w:hAnsi="Times New Roman" w:cs="Times New Roman"/>
        </w:rPr>
        <w:t>2</w:t>
      </w:r>
      <w:r w:rsidRPr="00813233">
        <w:rPr>
          <w:rFonts w:ascii="Times New Roman" w:hAnsi="Times New Roman" w:cs="Times New Roman"/>
        </w:rPr>
        <w:t xml:space="preserve"> es de Q</w:t>
      </w:r>
      <w:r w:rsidR="004E378E">
        <w:rPr>
          <w:rFonts w:ascii="Times New Roman" w:hAnsi="Times New Roman" w:cs="Times New Roman"/>
        </w:rPr>
        <w:t>1</w:t>
      </w:r>
      <w:r w:rsidR="00DF226B">
        <w:rPr>
          <w:rFonts w:ascii="Times New Roman" w:hAnsi="Times New Roman" w:cs="Times New Roman"/>
        </w:rPr>
        <w:t>9,614.5</w:t>
      </w:r>
      <w:r w:rsidRPr="00813233">
        <w:rPr>
          <w:rFonts w:ascii="Times New Roman" w:hAnsi="Times New Roman" w:cs="Times New Roman"/>
        </w:rPr>
        <w:t xml:space="preserve"> millones, siendo de </w:t>
      </w:r>
      <w:r w:rsidR="004E378E">
        <w:rPr>
          <w:rFonts w:ascii="Times New Roman" w:hAnsi="Times New Roman" w:cs="Times New Roman"/>
        </w:rPr>
        <w:t>2</w:t>
      </w:r>
      <w:r w:rsidR="002F4BDC">
        <w:rPr>
          <w:rFonts w:ascii="Times New Roman" w:hAnsi="Times New Roman" w:cs="Times New Roman"/>
        </w:rPr>
        <w:t>.</w:t>
      </w:r>
      <w:r w:rsidR="00DF226B">
        <w:rPr>
          <w:rFonts w:ascii="Times New Roman" w:hAnsi="Times New Roman" w:cs="Times New Roman"/>
        </w:rPr>
        <w:t>8</w:t>
      </w:r>
      <w:r w:rsidRPr="00813233">
        <w:rPr>
          <w:rFonts w:ascii="Times New Roman" w:hAnsi="Times New Roman" w:cs="Times New Roman"/>
        </w:rPr>
        <w:t xml:space="preserve">% del PIB, </w:t>
      </w:r>
      <w:r w:rsidR="009300D2">
        <w:rPr>
          <w:rFonts w:ascii="Times New Roman" w:hAnsi="Times New Roman" w:cs="Times New Roman"/>
        </w:rPr>
        <w:t>superior</w:t>
      </w:r>
      <w:r w:rsidR="004E378E">
        <w:rPr>
          <w:rFonts w:ascii="Times New Roman" w:hAnsi="Times New Roman" w:cs="Times New Roman"/>
        </w:rPr>
        <w:t xml:space="preserve"> al considerado en la estimación de cierre de 2021</w:t>
      </w:r>
      <w:r w:rsidR="00DF226B">
        <w:rPr>
          <w:rFonts w:ascii="Times New Roman" w:hAnsi="Times New Roman" w:cs="Times New Roman"/>
        </w:rPr>
        <w:t xml:space="preserve"> (2.3%)</w:t>
      </w:r>
      <w:r w:rsidR="004E378E">
        <w:rPr>
          <w:rFonts w:ascii="Times New Roman" w:hAnsi="Times New Roman" w:cs="Times New Roman"/>
        </w:rPr>
        <w:t xml:space="preserve">, aunque muy por debajo del </w:t>
      </w:r>
      <w:r w:rsidRPr="00813233">
        <w:rPr>
          <w:rFonts w:ascii="Times New Roman" w:hAnsi="Times New Roman" w:cs="Times New Roman"/>
        </w:rPr>
        <w:t>considerado en el presupuesto vigente para 202</w:t>
      </w:r>
      <w:r w:rsidR="004E378E">
        <w:rPr>
          <w:rFonts w:ascii="Times New Roman" w:hAnsi="Times New Roman" w:cs="Times New Roman"/>
        </w:rPr>
        <w:t>1</w:t>
      </w:r>
      <w:r w:rsidRPr="00813233">
        <w:rPr>
          <w:rFonts w:ascii="Times New Roman" w:hAnsi="Times New Roman" w:cs="Times New Roman"/>
        </w:rPr>
        <w:t xml:space="preserve"> (</w:t>
      </w:r>
      <w:r w:rsidR="004E378E">
        <w:rPr>
          <w:rFonts w:ascii="Times New Roman" w:hAnsi="Times New Roman" w:cs="Times New Roman"/>
        </w:rPr>
        <w:t>5</w:t>
      </w:r>
      <w:r w:rsidRPr="00813233">
        <w:rPr>
          <w:rFonts w:ascii="Times New Roman" w:hAnsi="Times New Roman" w:cs="Times New Roman"/>
        </w:rPr>
        <w:t>.</w:t>
      </w:r>
      <w:r w:rsidR="002F4BDC">
        <w:rPr>
          <w:rFonts w:ascii="Times New Roman" w:hAnsi="Times New Roman" w:cs="Times New Roman"/>
        </w:rPr>
        <w:t>4</w:t>
      </w:r>
      <w:r w:rsidR="001846A7">
        <w:rPr>
          <w:rFonts w:ascii="Times New Roman" w:hAnsi="Times New Roman" w:cs="Times New Roman"/>
        </w:rPr>
        <w:t>%)</w:t>
      </w:r>
      <w:r w:rsidRPr="00813233">
        <w:rPr>
          <w:rFonts w:ascii="Times New Roman" w:hAnsi="Times New Roman" w:cs="Times New Roman"/>
        </w:rPr>
        <w:t xml:space="preserve">. </w:t>
      </w:r>
    </w:p>
    <w:p w14:paraId="24B07097" w14:textId="77777777" w:rsidR="00813233" w:rsidRPr="00813233" w:rsidRDefault="00813233" w:rsidP="00813233">
      <w:pPr>
        <w:spacing w:after="0" w:line="240" w:lineRule="auto"/>
        <w:jc w:val="both"/>
        <w:rPr>
          <w:rFonts w:ascii="Times New Roman" w:hAnsi="Times New Roman" w:cs="Times New Roman"/>
        </w:rPr>
      </w:pPr>
    </w:p>
    <w:p w14:paraId="1FDC0502" w14:textId="2ED20CF6" w:rsidR="00813233" w:rsidRPr="00813233" w:rsidRDefault="001846A7" w:rsidP="00813233">
      <w:pPr>
        <w:spacing w:after="0" w:line="240" w:lineRule="auto"/>
        <w:jc w:val="both"/>
        <w:rPr>
          <w:rFonts w:ascii="Times New Roman" w:hAnsi="Times New Roman" w:cs="Times New Roman"/>
        </w:rPr>
      </w:pPr>
      <w:r>
        <w:rPr>
          <w:rFonts w:ascii="Times New Roman" w:hAnsi="Times New Roman" w:cs="Times New Roman"/>
        </w:rPr>
        <w:t>L</w:t>
      </w:r>
      <w:r w:rsidR="00813233" w:rsidRPr="00813233">
        <w:rPr>
          <w:rFonts w:ascii="Times New Roman" w:hAnsi="Times New Roman" w:cs="Times New Roman"/>
        </w:rPr>
        <w:t xml:space="preserve">a principal fuente de financiamiento del déficit será la emisión y </w:t>
      </w:r>
      <w:r>
        <w:rPr>
          <w:rFonts w:ascii="Times New Roman" w:hAnsi="Times New Roman" w:cs="Times New Roman"/>
        </w:rPr>
        <w:t xml:space="preserve">nueva </w:t>
      </w:r>
      <w:r w:rsidR="00813233" w:rsidRPr="00813233">
        <w:rPr>
          <w:rFonts w:ascii="Times New Roman" w:hAnsi="Times New Roman" w:cs="Times New Roman"/>
        </w:rPr>
        <w:t>colocación de Bonos de Tes</w:t>
      </w:r>
      <w:r>
        <w:rPr>
          <w:rFonts w:ascii="Times New Roman" w:hAnsi="Times New Roman" w:cs="Times New Roman"/>
        </w:rPr>
        <w:t xml:space="preserve">oro, la cual se prevé sea </w:t>
      </w:r>
      <w:r w:rsidRPr="001846A7">
        <w:rPr>
          <w:rFonts w:ascii="Times New Roman" w:hAnsi="Times New Roman" w:cs="Times New Roman"/>
        </w:rPr>
        <w:t>de Q</w:t>
      </w:r>
      <w:r w:rsidR="002F4BDC">
        <w:rPr>
          <w:rFonts w:ascii="Times New Roman" w:hAnsi="Times New Roman" w:cs="Times New Roman"/>
        </w:rPr>
        <w:t>1</w:t>
      </w:r>
      <w:r w:rsidR="00FB46DD">
        <w:rPr>
          <w:rFonts w:ascii="Times New Roman" w:hAnsi="Times New Roman" w:cs="Times New Roman"/>
        </w:rPr>
        <w:t>6,963.1</w:t>
      </w:r>
      <w:r w:rsidR="00813233" w:rsidRPr="001846A7">
        <w:rPr>
          <w:rFonts w:ascii="Times New Roman" w:hAnsi="Times New Roman" w:cs="Times New Roman"/>
        </w:rPr>
        <w:t xml:space="preserve"> millones</w:t>
      </w:r>
      <w:r w:rsidR="00813233" w:rsidRPr="00813233">
        <w:rPr>
          <w:rFonts w:ascii="Times New Roman" w:hAnsi="Times New Roman" w:cs="Times New Roman"/>
        </w:rPr>
        <w:t>. Asimismo, se prevé un financiamiento externo neto negativo, de Q</w:t>
      </w:r>
      <w:r w:rsidR="00FB46DD">
        <w:rPr>
          <w:rFonts w:ascii="Times New Roman" w:hAnsi="Times New Roman" w:cs="Times New Roman"/>
        </w:rPr>
        <w:t>2,294.0</w:t>
      </w:r>
      <w:r w:rsidR="002F4BDC">
        <w:rPr>
          <w:rFonts w:ascii="Times New Roman" w:hAnsi="Times New Roman" w:cs="Times New Roman"/>
        </w:rPr>
        <w:t xml:space="preserve"> millones, de los cuales Q2,451</w:t>
      </w:r>
      <w:r w:rsidR="00813233" w:rsidRPr="00813233">
        <w:rPr>
          <w:rFonts w:ascii="Times New Roman" w:hAnsi="Times New Roman" w:cs="Times New Roman"/>
        </w:rPr>
        <w:t>.</w:t>
      </w:r>
      <w:r>
        <w:rPr>
          <w:rFonts w:ascii="Times New Roman" w:hAnsi="Times New Roman" w:cs="Times New Roman"/>
        </w:rPr>
        <w:t>5</w:t>
      </w:r>
      <w:r w:rsidR="00813233" w:rsidRPr="00813233">
        <w:rPr>
          <w:rFonts w:ascii="Times New Roman" w:hAnsi="Times New Roman" w:cs="Times New Roman"/>
        </w:rPr>
        <w:t xml:space="preserve"> millones</w:t>
      </w:r>
      <w:r>
        <w:rPr>
          <w:rFonts w:ascii="Times New Roman" w:hAnsi="Times New Roman" w:cs="Times New Roman"/>
        </w:rPr>
        <w:t xml:space="preserve"> son desembolsos de préstamos, Q</w:t>
      </w:r>
      <w:r w:rsidR="00FB46DD">
        <w:rPr>
          <w:rFonts w:ascii="Times New Roman" w:hAnsi="Times New Roman" w:cs="Times New Roman"/>
        </w:rPr>
        <w:t>4,745.5</w:t>
      </w:r>
      <w:r w:rsidR="00813233" w:rsidRPr="00813233">
        <w:rPr>
          <w:rFonts w:ascii="Times New Roman" w:hAnsi="Times New Roman" w:cs="Times New Roman"/>
        </w:rPr>
        <w:t xml:space="preserve"> millones corresponde a amortizaciones de préstamos. </w:t>
      </w:r>
    </w:p>
    <w:p w14:paraId="56B8E163" w14:textId="77777777" w:rsidR="00813233" w:rsidRPr="00813233" w:rsidRDefault="00813233" w:rsidP="00813233">
      <w:pPr>
        <w:spacing w:after="0" w:line="240" w:lineRule="auto"/>
        <w:jc w:val="both"/>
        <w:rPr>
          <w:rFonts w:ascii="Times New Roman" w:hAnsi="Times New Roman" w:cs="Times New Roman"/>
        </w:rPr>
      </w:pPr>
    </w:p>
    <w:p w14:paraId="0DAB6DA2" w14:textId="5B4367F6" w:rsidR="00813233" w:rsidRPr="00813233" w:rsidRDefault="00813233" w:rsidP="00813233">
      <w:pPr>
        <w:spacing w:after="0" w:line="240" w:lineRule="auto"/>
        <w:jc w:val="both"/>
        <w:rPr>
          <w:rFonts w:ascii="Times New Roman" w:hAnsi="Times New Roman" w:cs="Times New Roman"/>
        </w:rPr>
      </w:pPr>
      <w:r w:rsidRPr="00813233">
        <w:rPr>
          <w:rFonts w:ascii="Times New Roman" w:hAnsi="Times New Roman" w:cs="Times New Roman"/>
        </w:rPr>
        <w:t xml:space="preserve">En el mediano plazo, el déficit fiscal mostrará un comportamiento decreciente, pasando de un déficit de </w:t>
      </w:r>
      <w:r w:rsidR="002F4BDC">
        <w:rPr>
          <w:rFonts w:ascii="Times New Roman" w:hAnsi="Times New Roman" w:cs="Times New Roman"/>
        </w:rPr>
        <w:t>2</w:t>
      </w:r>
      <w:r w:rsidRPr="00813233">
        <w:rPr>
          <w:rFonts w:ascii="Times New Roman" w:hAnsi="Times New Roman" w:cs="Times New Roman"/>
        </w:rPr>
        <w:t>.</w:t>
      </w:r>
      <w:r w:rsidR="002F4BDC">
        <w:rPr>
          <w:rFonts w:ascii="Times New Roman" w:hAnsi="Times New Roman" w:cs="Times New Roman"/>
        </w:rPr>
        <w:t>3</w:t>
      </w:r>
      <w:r w:rsidRPr="00813233">
        <w:rPr>
          <w:rFonts w:ascii="Times New Roman" w:hAnsi="Times New Roman" w:cs="Times New Roman"/>
        </w:rPr>
        <w:t>% del PIB en 2021</w:t>
      </w:r>
      <w:r w:rsidR="001846A7">
        <w:rPr>
          <w:rFonts w:ascii="Times New Roman" w:hAnsi="Times New Roman" w:cs="Times New Roman"/>
        </w:rPr>
        <w:t xml:space="preserve"> </w:t>
      </w:r>
      <w:r w:rsidRPr="00813233">
        <w:rPr>
          <w:rFonts w:ascii="Times New Roman" w:hAnsi="Times New Roman" w:cs="Times New Roman"/>
        </w:rPr>
        <w:t xml:space="preserve">a </w:t>
      </w:r>
      <w:r w:rsidR="009300D2">
        <w:rPr>
          <w:rFonts w:ascii="Times New Roman" w:hAnsi="Times New Roman" w:cs="Times New Roman"/>
        </w:rPr>
        <w:t>1</w:t>
      </w:r>
      <w:r w:rsidR="002F4BDC">
        <w:rPr>
          <w:rFonts w:ascii="Times New Roman" w:hAnsi="Times New Roman" w:cs="Times New Roman"/>
        </w:rPr>
        <w:t>.</w:t>
      </w:r>
      <w:r w:rsidR="007B6B6D">
        <w:rPr>
          <w:rFonts w:ascii="Times New Roman" w:hAnsi="Times New Roman" w:cs="Times New Roman"/>
        </w:rPr>
        <w:t>4</w:t>
      </w:r>
      <w:r w:rsidRPr="00813233">
        <w:rPr>
          <w:rFonts w:ascii="Times New Roman" w:hAnsi="Times New Roman" w:cs="Times New Roman"/>
        </w:rPr>
        <w:t>% del PIB en 202</w:t>
      </w:r>
      <w:r w:rsidR="001846A7">
        <w:rPr>
          <w:rFonts w:ascii="Times New Roman" w:hAnsi="Times New Roman" w:cs="Times New Roman"/>
        </w:rPr>
        <w:t>6</w:t>
      </w:r>
      <w:r w:rsidRPr="00813233">
        <w:rPr>
          <w:rFonts w:ascii="Times New Roman" w:hAnsi="Times New Roman" w:cs="Times New Roman"/>
        </w:rPr>
        <w:t>, esto debido a la</w:t>
      </w:r>
      <w:r w:rsidR="00105259">
        <w:rPr>
          <w:rFonts w:ascii="Times New Roman" w:hAnsi="Times New Roman" w:cs="Times New Roman"/>
        </w:rPr>
        <w:t xml:space="preserve">s medidas de consolidación fiscal implementadas mediante la </w:t>
      </w:r>
      <w:r w:rsidRPr="00813233">
        <w:rPr>
          <w:rFonts w:ascii="Times New Roman" w:hAnsi="Times New Roman" w:cs="Times New Roman"/>
        </w:rPr>
        <w:t xml:space="preserve">reducción gradual del gasto que se prevé en el mediano plazo y a </w:t>
      </w:r>
      <w:r w:rsidR="001846A7">
        <w:rPr>
          <w:rFonts w:ascii="Times New Roman" w:hAnsi="Times New Roman" w:cs="Times New Roman"/>
        </w:rPr>
        <w:t xml:space="preserve">una </w:t>
      </w:r>
      <w:r w:rsidRPr="00813233">
        <w:rPr>
          <w:rFonts w:ascii="Times New Roman" w:hAnsi="Times New Roman" w:cs="Times New Roman"/>
        </w:rPr>
        <w:t>mejora en la recaudación tributaria producto de las medidas administrativas que podría generar la SAT en los próximos años</w:t>
      </w:r>
      <w:r w:rsidR="00BB5164">
        <w:rPr>
          <w:rFonts w:ascii="Times New Roman" w:hAnsi="Times New Roman" w:cs="Times New Roman"/>
        </w:rPr>
        <w:t xml:space="preserve"> y que han sido evidentes a lo largo del</w:t>
      </w:r>
      <w:r w:rsidR="001846A7">
        <w:rPr>
          <w:rFonts w:ascii="Times New Roman" w:hAnsi="Times New Roman" w:cs="Times New Roman"/>
        </w:rPr>
        <w:t xml:space="preserve"> 2021</w:t>
      </w:r>
      <w:r w:rsidRPr="00813233">
        <w:rPr>
          <w:rFonts w:ascii="Times New Roman" w:hAnsi="Times New Roman" w:cs="Times New Roman"/>
        </w:rPr>
        <w:t>.</w:t>
      </w:r>
    </w:p>
    <w:p w14:paraId="04998B17" w14:textId="7256A75F" w:rsidR="00813233" w:rsidRDefault="00813233" w:rsidP="00813233">
      <w:pPr>
        <w:spacing w:after="0" w:line="240" w:lineRule="auto"/>
        <w:jc w:val="both"/>
        <w:rPr>
          <w:rFonts w:ascii="Times New Roman" w:hAnsi="Times New Roman" w:cs="Times New Roman"/>
        </w:rPr>
      </w:pPr>
    </w:p>
    <w:p w14:paraId="11799D6B" w14:textId="3F90BE42" w:rsidR="004E2715" w:rsidRPr="003E14B7" w:rsidRDefault="0014127C" w:rsidP="00484ED3">
      <w:pPr>
        <w:pStyle w:val="Epgrafe"/>
        <w:spacing w:after="0"/>
        <w:jc w:val="center"/>
        <w:rPr>
          <w:rFonts w:ascii="Times New Roman" w:hAnsi="Times New Roman" w:cs="Times New Roman"/>
          <w:b/>
          <w:bCs/>
          <w:i w:val="0"/>
          <w:color w:val="auto"/>
          <w:sz w:val="22"/>
          <w:szCs w:val="20"/>
        </w:rPr>
      </w:pPr>
      <w:bookmarkStart w:id="1763" w:name="_Toc81573044"/>
      <w:r w:rsidRPr="003E14B7">
        <w:rPr>
          <w:rFonts w:ascii="Times New Roman" w:hAnsi="Times New Roman" w:cs="Times New Roman"/>
          <w:b/>
          <w:color w:val="auto"/>
          <w:sz w:val="22"/>
          <w:szCs w:val="20"/>
        </w:rPr>
        <w:t xml:space="preserve">Tabla </w:t>
      </w:r>
      <w:r w:rsidRPr="003E14B7">
        <w:rPr>
          <w:rFonts w:ascii="Times New Roman" w:hAnsi="Times New Roman" w:cs="Times New Roman"/>
          <w:b/>
          <w:color w:val="auto"/>
          <w:sz w:val="22"/>
          <w:szCs w:val="20"/>
        </w:rPr>
        <w:fldChar w:fldCharType="begin"/>
      </w:r>
      <w:r w:rsidRPr="003E14B7">
        <w:rPr>
          <w:rFonts w:ascii="Times New Roman" w:hAnsi="Times New Roman" w:cs="Times New Roman"/>
          <w:b/>
          <w:color w:val="auto"/>
          <w:sz w:val="22"/>
          <w:szCs w:val="20"/>
        </w:rPr>
        <w:instrText xml:space="preserve"> SEQ Tabla \* ARABIC </w:instrText>
      </w:r>
      <w:r w:rsidRPr="003E14B7">
        <w:rPr>
          <w:rFonts w:ascii="Times New Roman" w:hAnsi="Times New Roman" w:cs="Times New Roman"/>
          <w:b/>
          <w:color w:val="auto"/>
          <w:sz w:val="22"/>
          <w:szCs w:val="20"/>
        </w:rPr>
        <w:fldChar w:fldCharType="separate"/>
      </w:r>
      <w:r w:rsidR="00081415">
        <w:rPr>
          <w:rFonts w:ascii="Times New Roman" w:hAnsi="Times New Roman" w:cs="Times New Roman"/>
          <w:b/>
          <w:noProof/>
          <w:color w:val="auto"/>
          <w:sz w:val="22"/>
          <w:szCs w:val="20"/>
        </w:rPr>
        <w:t>22</w:t>
      </w:r>
      <w:r w:rsidRPr="003E14B7">
        <w:rPr>
          <w:rFonts w:ascii="Times New Roman" w:hAnsi="Times New Roman" w:cs="Times New Roman"/>
          <w:b/>
          <w:color w:val="auto"/>
          <w:sz w:val="22"/>
          <w:szCs w:val="20"/>
        </w:rPr>
        <w:fldChar w:fldCharType="end"/>
      </w:r>
      <w:r w:rsidRPr="003E14B7">
        <w:rPr>
          <w:rFonts w:ascii="Times New Roman" w:hAnsi="Times New Roman" w:cs="Times New Roman"/>
          <w:b/>
          <w:color w:val="auto"/>
          <w:sz w:val="22"/>
          <w:szCs w:val="20"/>
        </w:rPr>
        <w:t xml:space="preserve">  </w:t>
      </w:r>
      <w:r w:rsidR="004E2715" w:rsidRPr="003E14B7">
        <w:rPr>
          <w:rFonts w:ascii="Times New Roman" w:hAnsi="Times New Roman" w:cs="Times New Roman"/>
          <w:b/>
          <w:bCs/>
          <w:color w:val="auto"/>
          <w:sz w:val="22"/>
          <w:szCs w:val="20"/>
        </w:rPr>
        <w:t>Situación financiera estimada para Techos Presupuestarios 2022-2026*</w:t>
      </w:r>
      <w:bookmarkEnd w:id="1763"/>
    </w:p>
    <w:p w14:paraId="0198BDDC" w14:textId="357079BB" w:rsidR="00EF527F" w:rsidRDefault="004E2715" w:rsidP="004E2715">
      <w:pPr>
        <w:spacing w:after="0" w:line="240" w:lineRule="auto"/>
        <w:jc w:val="center"/>
        <w:rPr>
          <w:noProof/>
          <w:lang w:eastAsia="es-GT"/>
        </w:rPr>
      </w:pPr>
      <w:r w:rsidRPr="0014127C">
        <w:rPr>
          <w:rFonts w:ascii="Times New Roman" w:hAnsi="Times New Roman" w:cs="Times New Roman"/>
          <w:bCs/>
          <w:szCs w:val="24"/>
        </w:rPr>
        <w:t>Porcentajes del PIB</w:t>
      </w:r>
    </w:p>
    <w:p w14:paraId="36FAC783" w14:textId="483AA1E5" w:rsidR="001E5211" w:rsidRPr="00813233" w:rsidRDefault="00892E36" w:rsidP="004E2715">
      <w:pPr>
        <w:spacing w:after="0" w:line="240" w:lineRule="auto"/>
        <w:jc w:val="center"/>
        <w:rPr>
          <w:rFonts w:ascii="Times New Roman" w:hAnsi="Times New Roman" w:cs="Times New Roman"/>
          <w:sz w:val="20"/>
        </w:rPr>
      </w:pPr>
      <w:r w:rsidRPr="00892E36">
        <w:rPr>
          <w:noProof/>
          <w:lang w:val="es-ES" w:eastAsia="es-ES"/>
        </w:rPr>
        <w:drawing>
          <wp:inline distT="0" distB="0" distL="0" distR="0" wp14:anchorId="5B9D408B" wp14:editId="26E748BA">
            <wp:extent cx="4769889" cy="31699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70697" cy="3170457"/>
                    </a:xfrm>
                    <a:prstGeom prst="rect">
                      <a:avLst/>
                    </a:prstGeom>
                    <a:noFill/>
                    <a:ln>
                      <a:noFill/>
                    </a:ln>
                  </pic:spPr>
                </pic:pic>
              </a:graphicData>
            </a:graphic>
          </wp:inline>
        </w:drawing>
      </w:r>
    </w:p>
    <w:p w14:paraId="5BB845EF" w14:textId="2A95AFAE" w:rsidR="00DB0357" w:rsidRPr="00DB0357" w:rsidRDefault="00DB0357" w:rsidP="00EF1516">
      <w:pPr>
        <w:tabs>
          <w:tab w:val="left" w:pos="426"/>
        </w:tabs>
        <w:spacing w:after="0" w:line="240" w:lineRule="auto"/>
        <w:jc w:val="both"/>
        <w:rPr>
          <w:rFonts w:ascii="Times New Roman" w:hAnsi="Times New Roman" w:cs="Times New Roman"/>
          <w:sz w:val="16"/>
        </w:rPr>
      </w:pPr>
      <w:r w:rsidRPr="00DB0357">
        <w:rPr>
          <w:rFonts w:ascii="Times New Roman" w:hAnsi="Times New Roman" w:cs="Times New Roman"/>
          <w:sz w:val="16"/>
        </w:rPr>
        <w:t xml:space="preserve">*Para 2021 los datos hacen referencia a la estimación de cierre. Para 2022-2026 los datos son de referencia para los techos presupuestarios </w:t>
      </w:r>
    </w:p>
    <w:p w14:paraId="475FD7B0" w14:textId="77777777" w:rsidR="00813233" w:rsidRDefault="00813233" w:rsidP="00813233">
      <w:pPr>
        <w:tabs>
          <w:tab w:val="left" w:pos="426"/>
        </w:tabs>
        <w:spacing w:after="0" w:line="240" w:lineRule="auto"/>
        <w:rPr>
          <w:rFonts w:ascii="Times New Roman" w:hAnsi="Times New Roman" w:cs="Times New Roman"/>
          <w:sz w:val="16"/>
        </w:rPr>
      </w:pPr>
      <w:r w:rsidRPr="00813233">
        <w:rPr>
          <w:rFonts w:ascii="Times New Roman" w:hAnsi="Times New Roman" w:cs="Times New Roman"/>
          <w:sz w:val="16"/>
        </w:rPr>
        <w:t>Fuente: Dirección de Análisis y Política Fiscal</w:t>
      </w:r>
    </w:p>
    <w:p w14:paraId="42E25587" w14:textId="77777777" w:rsidR="0057133C" w:rsidRDefault="0057133C" w:rsidP="00813233">
      <w:pPr>
        <w:tabs>
          <w:tab w:val="left" w:pos="426"/>
        </w:tabs>
        <w:spacing w:after="0" w:line="240" w:lineRule="auto"/>
        <w:rPr>
          <w:rFonts w:ascii="Times New Roman" w:hAnsi="Times New Roman" w:cs="Times New Roman"/>
          <w:sz w:val="16"/>
        </w:rPr>
      </w:pPr>
    </w:p>
    <w:p w14:paraId="55B494AD" w14:textId="77777777" w:rsidR="00AA0C32" w:rsidRDefault="00AA0C32" w:rsidP="00484ED3">
      <w:pPr>
        <w:pStyle w:val="Epgrafe"/>
        <w:spacing w:after="0"/>
        <w:jc w:val="center"/>
        <w:rPr>
          <w:rFonts w:ascii="Times New Roman" w:hAnsi="Times New Roman" w:cs="Times New Roman"/>
          <w:b/>
          <w:color w:val="auto"/>
          <w:sz w:val="22"/>
          <w:szCs w:val="22"/>
        </w:rPr>
      </w:pPr>
    </w:p>
    <w:p w14:paraId="45286B85" w14:textId="77777777" w:rsidR="00AA0C32" w:rsidRDefault="00AA0C32" w:rsidP="00484ED3">
      <w:pPr>
        <w:pStyle w:val="Epgrafe"/>
        <w:spacing w:after="0"/>
        <w:jc w:val="center"/>
        <w:rPr>
          <w:rFonts w:ascii="Times New Roman" w:hAnsi="Times New Roman" w:cs="Times New Roman"/>
          <w:b/>
          <w:color w:val="auto"/>
          <w:sz w:val="22"/>
          <w:szCs w:val="22"/>
        </w:rPr>
      </w:pPr>
    </w:p>
    <w:p w14:paraId="4A9A8FE5" w14:textId="77777777" w:rsidR="00AA0C32" w:rsidRDefault="00AA0C32" w:rsidP="00484ED3">
      <w:pPr>
        <w:pStyle w:val="Epgrafe"/>
        <w:spacing w:after="0"/>
        <w:jc w:val="center"/>
        <w:rPr>
          <w:rFonts w:ascii="Times New Roman" w:hAnsi="Times New Roman" w:cs="Times New Roman"/>
          <w:b/>
          <w:color w:val="auto"/>
          <w:sz w:val="22"/>
          <w:szCs w:val="22"/>
        </w:rPr>
      </w:pPr>
    </w:p>
    <w:p w14:paraId="5C829EF0" w14:textId="77777777" w:rsidR="00AA0C32" w:rsidRDefault="00AA0C32" w:rsidP="00484ED3">
      <w:pPr>
        <w:pStyle w:val="Epgrafe"/>
        <w:spacing w:after="0"/>
        <w:jc w:val="center"/>
        <w:rPr>
          <w:rFonts w:ascii="Times New Roman" w:hAnsi="Times New Roman" w:cs="Times New Roman"/>
          <w:b/>
          <w:color w:val="auto"/>
          <w:sz w:val="22"/>
          <w:szCs w:val="22"/>
        </w:rPr>
      </w:pPr>
    </w:p>
    <w:p w14:paraId="2FDB4402" w14:textId="77777777" w:rsidR="00AA0C32" w:rsidRDefault="00AA0C32" w:rsidP="00484ED3">
      <w:pPr>
        <w:pStyle w:val="Epgrafe"/>
        <w:spacing w:after="0"/>
        <w:jc w:val="center"/>
        <w:rPr>
          <w:rFonts w:ascii="Times New Roman" w:hAnsi="Times New Roman" w:cs="Times New Roman"/>
          <w:b/>
          <w:color w:val="auto"/>
          <w:sz w:val="22"/>
          <w:szCs w:val="22"/>
        </w:rPr>
      </w:pPr>
    </w:p>
    <w:p w14:paraId="61D5BC43" w14:textId="0FC39C9A" w:rsidR="00D34871" w:rsidRPr="003E14B7" w:rsidRDefault="0014127C" w:rsidP="00484ED3">
      <w:pPr>
        <w:pStyle w:val="Epgrafe"/>
        <w:spacing w:after="0"/>
        <w:jc w:val="center"/>
        <w:rPr>
          <w:rFonts w:ascii="Times New Roman" w:hAnsi="Times New Roman" w:cs="Times New Roman"/>
          <w:b/>
          <w:bCs/>
          <w:color w:val="auto"/>
          <w:sz w:val="22"/>
          <w:szCs w:val="22"/>
        </w:rPr>
      </w:pPr>
      <w:bookmarkStart w:id="1764" w:name="_Toc81573045"/>
      <w:r w:rsidRPr="003E14B7">
        <w:rPr>
          <w:rFonts w:ascii="Times New Roman" w:hAnsi="Times New Roman" w:cs="Times New Roman"/>
          <w:b/>
          <w:color w:val="auto"/>
          <w:sz w:val="22"/>
          <w:szCs w:val="22"/>
        </w:rPr>
        <w:t xml:space="preserve">Tabla </w:t>
      </w:r>
      <w:r w:rsidRPr="003E14B7">
        <w:rPr>
          <w:rFonts w:ascii="Times New Roman" w:hAnsi="Times New Roman" w:cs="Times New Roman"/>
          <w:b/>
          <w:color w:val="auto"/>
          <w:sz w:val="22"/>
          <w:szCs w:val="22"/>
        </w:rPr>
        <w:fldChar w:fldCharType="begin"/>
      </w:r>
      <w:r w:rsidRPr="003E14B7">
        <w:rPr>
          <w:rFonts w:ascii="Times New Roman" w:hAnsi="Times New Roman" w:cs="Times New Roman"/>
          <w:b/>
          <w:color w:val="auto"/>
          <w:sz w:val="22"/>
          <w:szCs w:val="22"/>
        </w:rPr>
        <w:instrText xml:space="preserve"> SEQ Tabla \* ARABIC </w:instrText>
      </w:r>
      <w:r w:rsidRPr="003E14B7">
        <w:rPr>
          <w:rFonts w:ascii="Times New Roman" w:hAnsi="Times New Roman" w:cs="Times New Roman"/>
          <w:b/>
          <w:color w:val="auto"/>
          <w:sz w:val="22"/>
          <w:szCs w:val="22"/>
        </w:rPr>
        <w:fldChar w:fldCharType="separate"/>
      </w:r>
      <w:r w:rsidR="009E18F8">
        <w:rPr>
          <w:rFonts w:ascii="Times New Roman" w:hAnsi="Times New Roman" w:cs="Times New Roman"/>
          <w:b/>
          <w:noProof/>
          <w:color w:val="auto"/>
          <w:sz w:val="22"/>
          <w:szCs w:val="22"/>
        </w:rPr>
        <w:t>23</w:t>
      </w:r>
      <w:r w:rsidRPr="003E14B7">
        <w:rPr>
          <w:rFonts w:ascii="Times New Roman" w:hAnsi="Times New Roman" w:cs="Times New Roman"/>
          <w:b/>
          <w:color w:val="auto"/>
          <w:sz w:val="22"/>
          <w:szCs w:val="22"/>
        </w:rPr>
        <w:fldChar w:fldCharType="end"/>
      </w:r>
      <w:r w:rsidRPr="003E14B7">
        <w:rPr>
          <w:rFonts w:ascii="Times New Roman" w:hAnsi="Times New Roman" w:cs="Times New Roman"/>
          <w:b/>
          <w:color w:val="auto"/>
          <w:sz w:val="22"/>
          <w:szCs w:val="22"/>
        </w:rPr>
        <w:t xml:space="preserve">  </w:t>
      </w:r>
      <w:r w:rsidR="00D34871" w:rsidRPr="003E14B7">
        <w:rPr>
          <w:rFonts w:ascii="Times New Roman" w:hAnsi="Times New Roman" w:cs="Times New Roman"/>
          <w:b/>
          <w:bCs/>
          <w:color w:val="auto"/>
          <w:sz w:val="22"/>
          <w:szCs w:val="22"/>
        </w:rPr>
        <w:t>Situación financiera estimada para Techos Presupuestarios 2022-2026*</w:t>
      </w:r>
      <w:bookmarkEnd w:id="1764"/>
    </w:p>
    <w:p w14:paraId="5FA4331A" w14:textId="77777777" w:rsidR="00D34871" w:rsidRDefault="004E2715" w:rsidP="004E2715">
      <w:pPr>
        <w:spacing w:after="0" w:line="240" w:lineRule="auto"/>
        <w:jc w:val="center"/>
        <w:rPr>
          <w:rFonts w:ascii="Times New Roman" w:hAnsi="Times New Roman" w:cs="Times New Roman"/>
          <w:bCs/>
          <w:szCs w:val="24"/>
        </w:rPr>
      </w:pPr>
      <w:r w:rsidRPr="0014127C">
        <w:rPr>
          <w:rFonts w:ascii="Times New Roman" w:hAnsi="Times New Roman" w:cs="Times New Roman"/>
          <w:bCs/>
          <w:szCs w:val="24"/>
        </w:rPr>
        <w:t>Millones de quetzales</w:t>
      </w:r>
    </w:p>
    <w:p w14:paraId="39495858" w14:textId="666E9EC4" w:rsidR="00AC002E" w:rsidRPr="0014127C" w:rsidRDefault="007C0D87" w:rsidP="004E2715">
      <w:pPr>
        <w:spacing w:after="0" w:line="240" w:lineRule="auto"/>
        <w:jc w:val="center"/>
        <w:rPr>
          <w:bCs/>
          <w:sz w:val="16"/>
        </w:rPr>
      </w:pPr>
      <w:r w:rsidRPr="007C0D87">
        <w:rPr>
          <w:noProof/>
          <w:lang w:val="es-ES" w:eastAsia="es-ES"/>
        </w:rPr>
        <w:drawing>
          <wp:inline distT="0" distB="0" distL="0" distR="0" wp14:anchorId="265678D0" wp14:editId="11DDC1B8">
            <wp:extent cx="4693552" cy="30175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96305" cy="3019290"/>
                    </a:xfrm>
                    <a:prstGeom prst="rect">
                      <a:avLst/>
                    </a:prstGeom>
                    <a:noFill/>
                    <a:ln>
                      <a:noFill/>
                    </a:ln>
                  </pic:spPr>
                </pic:pic>
              </a:graphicData>
            </a:graphic>
          </wp:inline>
        </w:drawing>
      </w:r>
    </w:p>
    <w:p w14:paraId="170150D8" w14:textId="2107BED0" w:rsidR="004E2715" w:rsidRPr="00DB0357" w:rsidRDefault="004E2715" w:rsidP="004E2715">
      <w:pPr>
        <w:tabs>
          <w:tab w:val="left" w:pos="426"/>
        </w:tabs>
        <w:spacing w:after="0" w:line="240" w:lineRule="auto"/>
        <w:jc w:val="both"/>
        <w:rPr>
          <w:rFonts w:ascii="Times New Roman" w:hAnsi="Times New Roman" w:cs="Times New Roman"/>
          <w:sz w:val="16"/>
        </w:rPr>
      </w:pPr>
      <w:r w:rsidRPr="00DB0357">
        <w:rPr>
          <w:rFonts w:ascii="Times New Roman" w:hAnsi="Times New Roman" w:cs="Times New Roman"/>
          <w:sz w:val="16"/>
        </w:rPr>
        <w:t xml:space="preserve">*Para 2021 los datos hacen referencia a la estimación de cierre. Para 2022-2026 los datos son de referencia para los techos presupuestarios </w:t>
      </w:r>
    </w:p>
    <w:p w14:paraId="288723E5" w14:textId="77777777" w:rsidR="004E2715" w:rsidRDefault="004E2715" w:rsidP="004E2715">
      <w:pPr>
        <w:tabs>
          <w:tab w:val="left" w:pos="426"/>
        </w:tabs>
        <w:spacing w:after="0" w:line="240" w:lineRule="auto"/>
        <w:rPr>
          <w:rFonts w:ascii="Times New Roman" w:hAnsi="Times New Roman" w:cs="Times New Roman"/>
          <w:sz w:val="16"/>
        </w:rPr>
      </w:pPr>
      <w:r w:rsidRPr="00813233">
        <w:rPr>
          <w:rFonts w:ascii="Times New Roman" w:hAnsi="Times New Roman" w:cs="Times New Roman"/>
          <w:sz w:val="16"/>
        </w:rPr>
        <w:t>Fuente: Dirección de Análisis y Política Fiscal</w:t>
      </w:r>
    </w:p>
    <w:p w14:paraId="6378CF39" w14:textId="77777777" w:rsidR="0057133C" w:rsidRPr="00B011BF" w:rsidRDefault="0057133C" w:rsidP="00813233">
      <w:pPr>
        <w:tabs>
          <w:tab w:val="left" w:pos="426"/>
        </w:tabs>
        <w:spacing w:after="0" w:line="240" w:lineRule="auto"/>
        <w:rPr>
          <w:rFonts w:ascii="Times New Roman" w:hAnsi="Times New Roman" w:cs="Times New Roman"/>
        </w:rPr>
      </w:pPr>
    </w:p>
    <w:p w14:paraId="5B8C1A99" w14:textId="33B34286" w:rsidR="00813233" w:rsidRDefault="00813233" w:rsidP="00813233">
      <w:pPr>
        <w:spacing w:after="0" w:line="240" w:lineRule="auto"/>
        <w:jc w:val="both"/>
        <w:rPr>
          <w:rFonts w:ascii="Times New Roman" w:hAnsi="Times New Roman" w:cs="Times New Roman"/>
        </w:rPr>
      </w:pPr>
      <w:r w:rsidRPr="00813233">
        <w:rPr>
          <w:rFonts w:ascii="Times New Roman" w:hAnsi="Times New Roman" w:cs="Times New Roman"/>
        </w:rPr>
        <w:t xml:space="preserve">Por su parte, el financiamiento de mediano plazo será igualmente cubierto en un alto porcentaje con la Emisión y Colocación de Bonos del Tesoro, </w:t>
      </w:r>
      <w:r w:rsidR="001E5211">
        <w:rPr>
          <w:rFonts w:ascii="Times New Roman" w:hAnsi="Times New Roman" w:cs="Times New Roman"/>
        </w:rPr>
        <w:t>dado que</w:t>
      </w:r>
      <w:r w:rsidRPr="00813233">
        <w:rPr>
          <w:rFonts w:ascii="Times New Roman" w:hAnsi="Times New Roman" w:cs="Times New Roman"/>
        </w:rPr>
        <w:t xml:space="preserve"> se espera que el financiamiento externo neto sea </w:t>
      </w:r>
      <w:r w:rsidR="001E5211">
        <w:rPr>
          <w:rFonts w:ascii="Times New Roman" w:hAnsi="Times New Roman" w:cs="Times New Roman"/>
        </w:rPr>
        <w:t>nega</w:t>
      </w:r>
      <w:r w:rsidRPr="00813233">
        <w:rPr>
          <w:rFonts w:ascii="Times New Roman" w:hAnsi="Times New Roman" w:cs="Times New Roman"/>
        </w:rPr>
        <w:t xml:space="preserve">tivo </w:t>
      </w:r>
      <w:r w:rsidR="00A34C72">
        <w:rPr>
          <w:rFonts w:ascii="Times New Roman" w:hAnsi="Times New Roman" w:cs="Times New Roman"/>
        </w:rPr>
        <w:t xml:space="preserve">en todo el período considerado, debido a que los desembolsos de préstamos serían menores que las </w:t>
      </w:r>
      <w:r w:rsidR="00B2405A" w:rsidRPr="00A34C72">
        <w:rPr>
          <w:rFonts w:ascii="Times New Roman" w:hAnsi="Times New Roman" w:cs="Times New Roman"/>
        </w:rPr>
        <w:t>amortizaciones de 2022 a 202</w:t>
      </w:r>
      <w:r w:rsidR="00A34C72">
        <w:rPr>
          <w:rFonts w:ascii="Times New Roman" w:hAnsi="Times New Roman" w:cs="Times New Roman"/>
        </w:rPr>
        <w:t>6</w:t>
      </w:r>
      <w:r w:rsidR="00B2405A" w:rsidRPr="00A34C72">
        <w:rPr>
          <w:rFonts w:ascii="Times New Roman" w:hAnsi="Times New Roman" w:cs="Times New Roman"/>
        </w:rPr>
        <w:t xml:space="preserve">. En </w:t>
      </w:r>
      <w:r w:rsidR="00A34C72">
        <w:rPr>
          <w:rFonts w:ascii="Times New Roman" w:hAnsi="Times New Roman" w:cs="Times New Roman"/>
        </w:rPr>
        <w:t xml:space="preserve">2022 y </w:t>
      </w:r>
      <w:r w:rsidR="00B2405A" w:rsidRPr="00A34C72">
        <w:rPr>
          <w:rFonts w:ascii="Times New Roman" w:hAnsi="Times New Roman" w:cs="Times New Roman"/>
        </w:rPr>
        <w:t xml:space="preserve">2026 </w:t>
      </w:r>
      <w:r w:rsidR="00A34C72">
        <w:rPr>
          <w:rFonts w:ascii="Times New Roman" w:hAnsi="Times New Roman" w:cs="Times New Roman"/>
        </w:rPr>
        <w:t xml:space="preserve">se prevé que se </w:t>
      </w:r>
      <w:r w:rsidR="00544DF9">
        <w:rPr>
          <w:rFonts w:ascii="Times New Roman" w:hAnsi="Times New Roman" w:cs="Times New Roman"/>
        </w:rPr>
        <w:t>realizarán</w:t>
      </w:r>
      <w:r w:rsidR="00A34C72">
        <w:rPr>
          <w:rFonts w:ascii="Times New Roman" w:hAnsi="Times New Roman" w:cs="Times New Roman"/>
        </w:rPr>
        <w:t xml:space="preserve"> colocaciones de eurobonos que serán por el equivalente al vencimiento que se espera para esos años, derivado de ello se da un efecto neto. </w:t>
      </w:r>
    </w:p>
    <w:p w14:paraId="64ED83AA" w14:textId="43F528B2" w:rsidR="001534D8" w:rsidRDefault="001534D8" w:rsidP="00813233">
      <w:pPr>
        <w:spacing w:after="0" w:line="240" w:lineRule="auto"/>
        <w:jc w:val="both"/>
        <w:rPr>
          <w:rFonts w:ascii="Times New Roman" w:hAnsi="Times New Roman" w:cs="Times New Roman"/>
        </w:rPr>
      </w:pPr>
    </w:p>
    <w:p w14:paraId="382E929D" w14:textId="2790D3F8" w:rsidR="00813233" w:rsidRDefault="003E14B7" w:rsidP="003E14B7">
      <w:pPr>
        <w:pStyle w:val="Epgrafe"/>
        <w:jc w:val="center"/>
        <w:rPr>
          <w:rFonts w:ascii="Times New Roman" w:hAnsi="Times New Roman" w:cs="Times New Roman"/>
          <w:b/>
          <w:i w:val="0"/>
          <w:iCs w:val="0"/>
          <w:color w:val="auto"/>
          <w:sz w:val="22"/>
        </w:rPr>
      </w:pPr>
      <w:bookmarkStart w:id="1765" w:name="_Toc16158429"/>
      <w:bookmarkStart w:id="1766" w:name="_Toc50016854"/>
      <w:bookmarkStart w:id="1767" w:name="_Toc81573103"/>
      <w:r w:rsidRPr="003E14B7">
        <w:rPr>
          <w:rFonts w:ascii="Times New Roman" w:hAnsi="Times New Roman" w:cs="Times New Roman"/>
          <w:b/>
          <w:color w:val="auto"/>
          <w:sz w:val="20"/>
        </w:rPr>
        <w:t xml:space="preserve">Gráfico </w:t>
      </w:r>
      <w:r w:rsidRPr="003E14B7">
        <w:rPr>
          <w:rFonts w:ascii="Times New Roman" w:hAnsi="Times New Roman" w:cs="Times New Roman"/>
          <w:b/>
          <w:color w:val="auto"/>
          <w:sz w:val="20"/>
        </w:rPr>
        <w:fldChar w:fldCharType="begin"/>
      </w:r>
      <w:r w:rsidRPr="003E14B7">
        <w:rPr>
          <w:rFonts w:ascii="Times New Roman" w:hAnsi="Times New Roman" w:cs="Times New Roman"/>
          <w:b/>
          <w:color w:val="auto"/>
          <w:sz w:val="20"/>
        </w:rPr>
        <w:instrText xml:space="preserve"> SEQ Gráfico \* ARABIC </w:instrText>
      </w:r>
      <w:r w:rsidRPr="003E14B7">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53</w:t>
      </w:r>
      <w:r w:rsidRPr="003E14B7">
        <w:rPr>
          <w:rFonts w:ascii="Times New Roman" w:hAnsi="Times New Roman" w:cs="Times New Roman"/>
          <w:b/>
          <w:color w:val="auto"/>
          <w:sz w:val="20"/>
        </w:rPr>
        <w:fldChar w:fldCharType="end"/>
      </w:r>
      <w:r w:rsidRPr="003E14B7">
        <w:rPr>
          <w:rFonts w:ascii="Times New Roman" w:hAnsi="Times New Roman" w:cs="Times New Roman"/>
          <w:b/>
          <w:color w:val="auto"/>
          <w:sz w:val="20"/>
        </w:rPr>
        <w:t xml:space="preserve">  </w:t>
      </w:r>
      <w:r w:rsidR="00813233" w:rsidRPr="003E14B7">
        <w:rPr>
          <w:rFonts w:ascii="Times New Roman" w:hAnsi="Times New Roman" w:cs="Times New Roman"/>
          <w:b/>
          <w:i w:val="0"/>
          <w:iCs w:val="0"/>
          <w:color w:val="auto"/>
          <w:sz w:val="22"/>
        </w:rPr>
        <w:t>Déficit fiscal y su financiamiento</w:t>
      </w:r>
      <w:bookmarkEnd w:id="1765"/>
      <w:bookmarkEnd w:id="1766"/>
      <w:bookmarkEnd w:id="1767"/>
    </w:p>
    <w:tbl>
      <w:tblPr>
        <w:tblW w:w="9053" w:type="dxa"/>
        <w:tblLook w:val="04A0" w:firstRow="1" w:lastRow="0" w:firstColumn="1" w:lastColumn="0" w:noHBand="0" w:noVBand="1"/>
      </w:tblPr>
      <w:tblGrid>
        <w:gridCol w:w="4322"/>
        <w:gridCol w:w="4732"/>
      </w:tblGrid>
      <w:tr w:rsidR="00813233" w:rsidRPr="00813233" w14:paraId="7F96E999" w14:textId="77777777" w:rsidTr="007B6B6D">
        <w:trPr>
          <w:trHeight w:val="833"/>
        </w:trPr>
        <w:tc>
          <w:tcPr>
            <w:tcW w:w="4252" w:type="dxa"/>
          </w:tcPr>
          <w:p w14:paraId="6DBB736A" w14:textId="77777777" w:rsidR="00813233" w:rsidRPr="00813233" w:rsidRDefault="00813233" w:rsidP="00813233">
            <w:pPr>
              <w:spacing w:after="0"/>
              <w:jc w:val="center"/>
              <w:rPr>
                <w:rFonts w:ascii="Times New Roman" w:hAnsi="Times New Roman" w:cs="Times New Roman"/>
                <w:b/>
              </w:rPr>
            </w:pPr>
            <w:r w:rsidRPr="00813233">
              <w:rPr>
                <w:rFonts w:ascii="Times New Roman" w:hAnsi="Times New Roman" w:cs="Times New Roman"/>
                <w:b/>
              </w:rPr>
              <w:t xml:space="preserve">Déficit fiscal </w:t>
            </w:r>
            <w:r w:rsidR="00FF0AB6">
              <w:rPr>
                <w:rFonts w:ascii="Times New Roman" w:hAnsi="Times New Roman" w:cs="Times New Roman"/>
                <w:b/>
              </w:rPr>
              <w:t>de techos presupuestarios</w:t>
            </w:r>
            <w:r w:rsidRPr="00813233">
              <w:rPr>
                <w:rFonts w:ascii="Times New Roman" w:hAnsi="Times New Roman" w:cs="Times New Roman"/>
                <w:b/>
              </w:rPr>
              <w:t xml:space="preserve"> de mediano plazo</w:t>
            </w:r>
          </w:p>
          <w:p w14:paraId="4B47964E" w14:textId="5784D7DB" w:rsidR="00813233" w:rsidRPr="00813233" w:rsidRDefault="00813233" w:rsidP="00813233">
            <w:pPr>
              <w:spacing w:after="0"/>
              <w:jc w:val="center"/>
              <w:rPr>
                <w:rFonts w:ascii="Times New Roman" w:hAnsi="Times New Roman" w:cs="Times New Roman"/>
                <w:sz w:val="18"/>
              </w:rPr>
            </w:pPr>
            <w:r w:rsidRPr="00813233">
              <w:rPr>
                <w:rFonts w:ascii="Times New Roman" w:hAnsi="Times New Roman" w:cs="Times New Roman"/>
                <w:sz w:val="18"/>
              </w:rPr>
              <w:t>2021 - 2026</w:t>
            </w:r>
          </w:p>
          <w:p w14:paraId="145DFE4A" w14:textId="22CA642B" w:rsidR="00813233" w:rsidRPr="00813233" w:rsidRDefault="00813233" w:rsidP="00813233">
            <w:pPr>
              <w:spacing w:after="0"/>
              <w:jc w:val="center"/>
              <w:rPr>
                <w:rFonts w:ascii="Times New Roman" w:hAnsi="Times New Roman" w:cs="Times New Roman"/>
              </w:rPr>
            </w:pPr>
            <w:r w:rsidRPr="00813233">
              <w:rPr>
                <w:rFonts w:ascii="Times New Roman" w:hAnsi="Times New Roman" w:cs="Times New Roman"/>
                <w:sz w:val="18"/>
              </w:rPr>
              <w:t>Millones de quetzales</w:t>
            </w:r>
          </w:p>
        </w:tc>
        <w:tc>
          <w:tcPr>
            <w:tcW w:w="4801" w:type="dxa"/>
          </w:tcPr>
          <w:p w14:paraId="74F10916" w14:textId="77777777" w:rsidR="00813233" w:rsidRPr="00813233" w:rsidRDefault="00813233" w:rsidP="00813233">
            <w:pPr>
              <w:spacing w:after="0"/>
              <w:jc w:val="center"/>
              <w:rPr>
                <w:rFonts w:ascii="Times New Roman" w:hAnsi="Times New Roman" w:cs="Times New Roman"/>
                <w:b/>
              </w:rPr>
            </w:pPr>
            <w:r w:rsidRPr="00813233">
              <w:rPr>
                <w:rFonts w:ascii="Times New Roman" w:hAnsi="Times New Roman" w:cs="Times New Roman"/>
                <w:b/>
              </w:rPr>
              <w:t>Financiamiento del déficit fiscal</w:t>
            </w:r>
          </w:p>
          <w:p w14:paraId="5DF697A3" w14:textId="77777777" w:rsidR="00813233" w:rsidRPr="00813233" w:rsidRDefault="00813233" w:rsidP="00813233">
            <w:pPr>
              <w:spacing w:after="0"/>
              <w:jc w:val="center"/>
              <w:rPr>
                <w:rFonts w:ascii="Times New Roman" w:hAnsi="Times New Roman" w:cs="Times New Roman"/>
                <w:sz w:val="18"/>
              </w:rPr>
            </w:pPr>
            <w:r w:rsidRPr="00813233">
              <w:rPr>
                <w:rFonts w:ascii="Times New Roman" w:hAnsi="Times New Roman" w:cs="Times New Roman"/>
                <w:sz w:val="18"/>
              </w:rPr>
              <w:t>2021 – 2026</w:t>
            </w:r>
          </w:p>
          <w:p w14:paraId="582431CA" w14:textId="1D647821" w:rsidR="00813233" w:rsidRPr="00813233" w:rsidRDefault="00813233" w:rsidP="00813233">
            <w:pPr>
              <w:spacing w:after="0"/>
              <w:jc w:val="center"/>
              <w:rPr>
                <w:rFonts w:ascii="Times New Roman" w:hAnsi="Times New Roman" w:cs="Times New Roman"/>
              </w:rPr>
            </w:pPr>
            <w:r w:rsidRPr="00813233">
              <w:rPr>
                <w:rFonts w:ascii="Times New Roman" w:hAnsi="Times New Roman" w:cs="Times New Roman"/>
                <w:sz w:val="18"/>
              </w:rPr>
              <w:t>Millones de quetzales</w:t>
            </w:r>
          </w:p>
        </w:tc>
      </w:tr>
      <w:tr w:rsidR="00813233" w:rsidRPr="00813233" w14:paraId="057F1036" w14:textId="77777777" w:rsidTr="007B6B6D">
        <w:trPr>
          <w:trHeight w:val="3111"/>
        </w:trPr>
        <w:tc>
          <w:tcPr>
            <w:tcW w:w="4252" w:type="dxa"/>
          </w:tcPr>
          <w:p w14:paraId="5B8C7CE7" w14:textId="77777777" w:rsidR="00484ED3" w:rsidRPr="00813233" w:rsidRDefault="00484ED3" w:rsidP="00484ED3">
            <w:pPr>
              <w:spacing w:after="0" w:line="240" w:lineRule="auto"/>
              <w:jc w:val="both"/>
              <w:rPr>
                <w:rFonts w:ascii="Times New Roman" w:hAnsi="Times New Roman" w:cs="Times New Roman"/>
                <w:sz w:val="16"/>
              </w:rPr>
            </w:pPr>
            <w:r w:rsidRPr="00813233">
              <w:rPr>
                <w:rFonts w:ascii="Times New Roman" w:hAnsi="Times New Roman" w:cs="Times New Roman"/>
                <w:noProof/>
                <w:color w:val="FFFFFF" w:themeColor="background1"/>
                <w:lang w:val="es-ES" w:eastAsia="es-ES"/>
              </w:rPr>
              <w:drawing>
                <wp:anchor distT="0" distB="0" distL="114300" distR="114300" simplePos="0" relativeHeight="251948544" behindDoc="0" locked="0" layoutInCell="1" allowOverlap="1" wp14:anchorId="6A121057" wp14:editId="035D6186">
                  <wp:simplePos x="0" y="0"/>
                  <wp:positionH relativeFrom="column">
                    <wp:posOffset>-66675</wp:posOffset>
                  </wp:positionH>
                  <wp:positionV relativeFrom="paragraph">
                    <wp:posOffset>6350</wp:posOffset>
                  </wp:positionV>
                  <wp:extent cx="2660015" cy="1684020"/>
                  <wp:effectExtent l="0" t="0" r="6985" b="0"/>
                  <wp:wrapSquare wrapText="bothSides"/>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page">
                    <wp14:pctWidth>0</wp14:pctWidth>
                  </wp14:sizeRelH>
                  <wp14:sizeRelV relativeFrom="page">
                    <wp14:pctHeight>0</wp14:pctHeight>
                  </wp14:sizeRelV>
                </wp:anchor>
              </w:drawing>
            </w:r>
            <w:r w:rsidRPr="00813233">
              <w:rPr>
                <w:rFonts w:ascii="Times New Roman" w:hAnsi="Times New Roman" w:cs="Times New Roman"/>
                <w:sz w:val="16"/>
              </w:rPr>
              <w:t xml:space="preserve">Fuente: Dirección de Análisis y Política Fiscal </w:t>
            </w:r>
          </w:p>
          <w:p w14:paraId="37A0A088" w14:textId="36B2946C" w:rsidR="00813233" w:rsidRPr="00813233" w:rsidRDefault="00813233" w:rsidP="00813233">
            <w:pPr>
              <w:jc w:val="both"/>
              <w:rPr>
                <w:rFonts w:ascii="Times New Roman" w:hAnsi="Times New Roman" w:cs="Times New Roman"/>
                <w:color w:val="FFFFFF" w:themeColor="background1"/>
              </w:rPr>
            </w:pPr>
          </w:p>
        </w:tc>
        <w:tc>
          <w:tcPr>
            <w:tcW w:w="4801" w:type="dxa"/>
          </w:tcPr>
          <w:p w14:paraId="283B497D" w14:textId="326155D1" w:rsidR="00813233" w:rsidRPr="00813233" w:rsidRDefault="00B011BF" w:rsidP="00813233">
            <w:pPr>
              <w:jc w:val="both"/>
              <w:rPr>
                <w:rFonts w:ascii="Times New Roman" w:hAnsi="Times New Roman" w:cs="Times New Roman"/>
              </w:rPr>
            </w:pPr>
            <w:r w:rsidRPr="00813233">
              <w:rPr>
                <w:rFonts w:ascii="Times New Roman" w:hAnsi="Times New Roman" w:cs="Times New Roman"/>
                <w:noProof/>
                <w:lang w:val="es-ES" w:eastAsia="es-ES"/>
              </w:rPr>
              <w:drawing>
                <wp:anchor distT="0" distB="0" distL="114300" distR="114300" simplePos="0" relativeHeight="252015104" behindDoc="0" locked="0" layoutInCell="1" allowOverlap="1" wp14:anchorId="260E9D24" wp14:editId="30731591">
                  <wp:simplePos x="0" y="0"/>
                  <wp:positionH relativeFrom="column">
                    <wp:posOffset>1905</wp:posOffset>
                  </wp:positionH>
                  <wp:positionV relativeFrom="paragraph">
                    <wp:posOffset>53340</wp:posOffset>
                  </wp:positionV>
                  <wp:extent cx="2926080" cy="1752600"/>
                  <wp:effectExtent l="0" t="0" r="7620" b="0"/>
                  <wp:wrapSquare wrapText="bothSides"/>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page">
                    <wp14:pctWidth>0</wp14:pctWidth>
                  </wp14:sizeRelH>
                  <wp14:sizeRelV relativeFrom="page">
                    <wp14:pctHeight>0</wp14:pctHeight>
                  </wp14:sizeRelV>
                </wp:anchor>
              </w:drawing>
            </w:r>
          </w:p>
        </w:tc>
      </w:tr>
    </w:tbl>
    <w:p w14:paraId="19E5FBC7" w14:textId="622E09DF" w:rsidR="00813233" w:rsidRPr="00433B61" w:rsidRDefault="00813233" w:rsidP="00A13D91">
      <w:pPr>
        <w:spacing w:after="0" w:line="240" w:lineRule="auto"/>
        <w:jc w:val="both"/>
        <w:rPr>
          <w:rFonts w:ascii="Times New Roman" w:hAnsi="Times New Roman" w:cs="Times New Roman"/>
        </w:rPr>
      </w:pPr>
      <w:r w:rsidRPr="00813233">
        <w:rPr>
          <w:rFonts w:ascii="Times New Roman" w:hAnsi="Times New Roman" w:cs="Times New Roman"/>
        </w:rPr>
        <w:t>Dado que la emisión y colocación de Bonos del Tesoro será la principal fuente financiamiento del déficit fiscal, se prevé que al menos para los años 20</w:t>
      </w:r>
      <w:r w:rsidR="00B2405A">
        <w:rPr>
          <w:rFonts w:ascii="Times New Roman" w:hAnsi="Times New Roman" w:cs="Times New Roman"/>
        </w:rPr>
        <w:t>22</w:t>
      </w:r>
      <w:r w:rsidRPr="00813233">
        <w:rPr>
          <w:rFonts w:ascii="Times New Roman" w:hAnsi="Times New Roman" w:cs="Times New Roman"/>
        </w:rPr>
        <w:t>-202</w:t>
      </w:r>
      <w:r w:rsidR="00B2405A">
        <w:rPr>
          <w:rFonts w:ascii="Times New Roman" w:hAnsi="Times New Roman" w:cs="Times New Roman"/>
        </w:rPr>
        <w:t>6</w:t>
      </w:r>
      <w:r w:rsidRPr="00813233">
        <w:rPr>
          <w:rFonts w:ascii="Times New Roman" w:hAnsi="Times New Roman" w:cs="Times New Roman"/>
        </w:rPr>
        <w:t xml:space="preserve">, las condiciones financieras se mantengan, por lo que se espera que se sigan realizando colocaciones cuyo plazo promedio sea mayor a 10 años y la tasa de rendimiento promedio se ubique en torno al 6% anual, </w:t>
      </w:r>
      <w:r w:rsidR="00B2405A">
        <w:rPr>
          <w:rFonts w:ascii="Times New Roman" w:hAnsi="Times New Roman" w:cs="Times New Roman"/>
        </w:rPr>
        <w:t xml:space="preserve">aunque durante 2020 se observó una mejora sustancial en la tasa, ubicándose en 5.1%, </w:t>
      </w:r>
      <w:r w:rsidR="00A13D91">
        <w:rPr>
          <w:rFonts w:ascii="Times New Roman" w:hAnsi="Times New Roman" w:cs="Times New Roman"/>
        </w:rPr>
        <w:t>lo cual incluye</w:t>
      </w:r>
      <w:r w:rsidR="00B2405A" w:rsidRPr="00B2405A">
        <w:rPr>
          <w:rFonts w:ascii="Times New Roman" w:hAnsi="Times New Roman" w:cs="Times New Roman"/>
        </w:rPr>
        <w:t xml:space="preserve"> la colocación de Q10,645.0 millones con el Banco de Guatemala, </w:t>
      </w:r>
      <w:r w:rsidR="00544DF9">
        <w:rPr>
          <w:rFonts w:ascii="Times New Roman" w:hAnsi="Times New Roman" w:cs="Times New Roman"/>
        </w:rPr>
        <w:t xml:space="preserve">amparadas bajo el </w:t>
      </w:r>
      <w:r w:rsidR="00B2405A" w:rsidRPr="00B2405A">
        <w:rPr>
          <w:rFonts w:ascii="Times New Roman" w:hAnsi="Times New Roman" w:cs="Times New Roman"/>
        </w:rPr>
        <w:t>Decreto 13-2020</w:t>
      </w:r>
      <w:r w:rsidR="00544DF9">
        <w:rPr>
          <w:rFonts w:ascii="Times New Roman" w:hAnsi="Times New Roman" w:cs="Times New Roman"/>
        </w:rPr>
        <w:t xml:space="preserve"> “Ley de rescate económico a las familias por los efectos causados por el COVID-19”,</w:t>
      </w:r>
      <w:r w:rsidR="00A13D91">
        <w:rPr>
          <w:rFonts w:ascii="Times New Roman" w:hAnsi="Times New Roman" w:cs="Times New Roman"/>
        </w:rPr>
        <w:t xml:space="preserve"> por ello se negociaron condiciones más favorables a los intereses del Estado. Durante 2021, se ha observado que la tasa se ha mantenido a un nivel muy similar al </w:t>
      </w:r>
      <w:r w:rsidR="008228DE">
        <w:rPr>
          <w:rFonts w:ascii="Times New Roman" w:hAnsi="Times New Roman" w:cs="Times New Roman"/>
        </w:rPr>
        <w:t>observado en 2020, siendo de 5.1%</w:t>
      </w:r>
      <w:r w:rsidR="00A13D91">
        <w:rPr>
          <w:rFonts w:ascii="Times New Roman" w:hAnsi="Times New Roman" w:cs="Times New Roman"/>
        </w:rPr>
        <w:t xml:space="preserve"> por ello se considera que existe</w:t>
      </w:r>
      <w:r w:rsidRPr="00813233">
        <w:rPr>
          <w:rFonts w:ascii="Times New Roman" w:hAnsi="Times New Roman" w:cs="Times New Roman"/>
        </w:rPr>
        <w:t xml:space="preserve"> posibilidad de</w:t>
      </w:r>
      <w:r w:rsidR="008228DE">
        <w:rPr>
          <w:rFonts w:ascii="Times New Roman" w:hAnsi="Times New Roman" w:cs="Times New Roman"/>
        </w:rPr>
        <w:t xml:space="preserve"> mantener e incluso</w:t>
      </w:r>
      <w:r w:rsidRPr="00813233">
        <w:rPr>
          <w:rFonts w:ascii="Times New Roman" w:hAnsi="Times New Roman" w:cs="Times New Roman"/>
        </w:rPr>
        <w:t xml:space="preserve"> reducir más la </w:t>
      </w:r>
      <w:r w:rsidR="00A13D91">
        <w:rPr>
          <w:rFonts w:ascii="Times New Roman" w:hAnsi="Times New Roman" w:cs="Times New Roman"/>
        </w:rPr>
        <w:t xml:space="preserve">tasa de interés derivado de un </w:t>
      </w:r>
      <w:r w:rsidRPr="00813233">
        <w:rPr>
          <w:rFonts w:ascii="Times New Roman" w:hAnsi="Times New Roman" w:cs="Times New Roman"/>
        </w:rPr>
        <w:t xml:space="preserve">exceso de liquidez en el mercado financiero nacional. Además, se tiene la posibilidad de poder realizar colocaciones en el mercado </w:t>
      </w:r>
      <w:r w:rsidRPr="00433B61">
        <w:rPr>
          <w:rFonts w:ascii="Times New Roman" w:hAnsi="Times New Roman" w:cs="Times New Roman"/>
        </w:rPr>
        <w:t xml:space="preserve">internacional de capitales a través de Eurobonos, considerando la calificación del país y la larga trayectoria de cumplimiento y de estabilidad macroeconómica, por lo que el plazo y costo financiero de estas operaciones </w:t>
      </w:r>
      <w:r w:rsidR="00077660">
        <w:rPr>
          <w:rFonts w:ascii="Times New Roman" w:hAnsi="Times New Roman" w:cs="Times New Roman"/>
        </w:rPr>
        <w:t>las convierten en</w:t>
      </w:r>
      <w:r w:rsidRPr="00433B61">
        <w:rPr>
          <w:rFonts w:ascii="Times New Roman" w:hAnsi="Times New Roman" w:cs="Times New Roman"/>
        </w:rPr>
        <w:t xml:space="preserve"> atractivas como un mecanismo de financiamiento adicional a la colocación en el mercado doméstico. </w:t>
      </w:r>
    </w:p>
    <w:p w14:paraId="26F8C3C2" w14:textId="77777777" w:rsidR="00813233" w:rsidRPr="00433B61" w:rsidRDefault="00813233" w:rsidP="00813233">
      <w:pPr>
        <w:spacing w:after="0" w:line="240" w:lineRule="auto"/>
        <w:rPr>
          <w:rFonts w:ascii="Times New Roman" w:hAnsi="Times New Roman" w:cs="Times New Roman"/>
          <w:szCs w:val="24"/>
        </w:rPr>
      </w:pPr>
    </w:p>
    <w:p w14:paraId="31E13295" w14:textId="77777777" w:rsidR="0061660F" w:rsidRDefault="00813233" w:rsidP="00107864">
      <w:pPr>
        <w:spacing w:after="0" w:line="240" w:lineRule="auto"/>
        <w:jc w:val="both"/>
        <w:rPr>
          <w:rFonts w:ascii="Times New Roman" w:hAnsi="Times New Roman" w:cs="Times New Roman"/>
          <w:szCs w:val="24"/>
        </w:rPr>
      </w:pPr>
      <w:r w:rsidRPr="000D6E6A">
        <w:rPr>
          <w:rFonts w:ascii="Times New Roman" w:hAnsi="Times New Roman" w:cs="Times New Roman"/>
          <w:szCs w:val="24"/>
        </w:rPr>
        <w:t>En lo que respecta a préstamos externos</w:t>
      </w:r>
      <w:r w:rsidR="0093763D">
        <w:rPr>
          <w:rFonts w:ascii="Times New Roman" w:hAnsi="Times New Roman" w:cs="Times New Roman"/>
          <w:szCs w:val="24"/>
        </w:rPr>
        <w:t>,</w:t>
      </w:r>
      <w:r w:rsidR="000E1264">
        <w:rPr>
          <w:rFonts w:ascii="Times New Roman" w:hAnsi="Times New Roman" w:cs="Times New Roman"/>
          <w:szCs w:val="24"/>
        </w:rPr>
        <w:t xml:space="preserve"> se tiene previsto recibir desembolsos para 2022 por Q2,4</w:t>
      </w:r>
      <w:r w:rsidR="00114E98">
        <w:rPr>
          <w:rFonts w:ascii="Times New Roman" w:hAnsi="Times New Roman" w:cs="Times New Roman"/>
          <w:szCs w:val="24"/>
        </w:rPr>
        <w:t>51.5</w:t>
      </w:r>
      <w:r w:rsidR="000E1264">
        <w:rPr>
          <w:rFonts w:ascii="Times New Roman" w:hAnsi="Times New Roman" w:cs="Times New Roman"/>
          <w:szCs w:val="24"/>
        </w:rPr>
        <w:t xml:space="preserve"> millones</w:t>
      </w:r>
      <w:r w:rsidR="00114E98">
        <w:rPr>
          <w:rFonts w:ascii="Times New Roman" w:hAnsi="Times New Roman" w:cs="Times New Roman"/>
          <w:szCs w:val="24"/>
        </w:rPr>
        <w:t>, de los cuales Q1,139.2 millones podrían ser desembolsados por el B</w:t>
      </w:r>
      <w:r w:rsidR="00590D35">
        <w:rPr>
          <w:rFonts w:ascii="Times New Roman" w:hAnsi="Times New Roman" w:cs="Times New Roman"/>
          <w:szCs w:val="24"/>
        </w:rPr>
        <w:t>anco Interam</w:t>
      </w:r>
      <w:r w:rsidR="004632F1">
        <w:rPr>
          <w:rFonts w:ascii="Times New Roman" w:hAnsi="Times New Roman" w:cs="Times New Roman"/>
          <w:szCs w:val="24"/>
        </w:rPr>
        <w:t>e</w:t>
      </w:r>
      <w:r w:rsidR="00590D35">
        <w:rPr>
          <w:rFonts w:ascii="Times New Roman" w:hAnsi="Times New Roman" w:cs="Times New Roman"/>
          <w:szCs w:val="24"/>
        </w:rPr>
        <w:t>ricano de Desarrollo -BID-, Q915 millones por el Banco</w:t>
      </w:r>
      <w:r w:rsidR="004632F1">
        <w:rPr>
          <w:rFonts w:ascii="Times New Roman" w:hAnsi="Times New Roman" w:cs="Times New Roman"/>
          <w:szCs w:val="24"/>
        </w:rPr>
        <w:t xml:space="preserve"> Centroamericano de Integración económica -BCIE- </w:t>
      </w:r>
      <w:r w:rsidR="00E66860">
        <w:rPr>
          <w:rFonts w:ascii="Times New Roman" w:hAnsi="Times New Roman" w:cs="Times New Roman"/>
          <w:szCs w:val="24"/>
        </w:rPr>
        <w:t>Q3</w:t>
      </w:r>
      <w:r w:rsidR="00E97F86">
        <w:rPr>
          <w:rFonts w:ascii="Times New Roman" w:hAnsi="Times New Roman" w:cs="Times New Roman"/>
          <w:szCs w:val="24"/>
        </w:rPr>
        <w:t>21.2</w:t>
      </w:r>
      <w:r w:rsidR="00E66860">
        <w:rPr>
          <w:rFonts w:ascii="Times New Roman" w:hAnsi="Times New Roman" w:cs="Times New Roman"/>
          <w:szCs w:val="24"/>
        </w:rPr>
        <w:t xml:space="preserve"> millones</w:t>
      </w:r>
      <w:r w:rsidR="00E97F86">
        <w:rPr>
          <w:rFonts w:ascii="Times New Roman" w:hAnsi="Times New Roman" w:cs="Times New Roman"/>
          <w:szCs w:val="24"/>
        </w:rPr>
        <w:t xml:space="preserve"> provenientes del Banco Mundial y Q76.1 millones</w:t>
      </w:r>
      <w:r w:rsidR="00E66860">
        <w:rPr>
          <w:rFonts w:ascii="Times New Roman" w:hAnsi="Times New Roman" w:cs="Times New Roman"/>
          <w:szCs w:val="24"/>
        </w:rPr>
        <w:t xml:space="preserve"> por otr</w:t>
      </w:r>
      <w:r w:rsidR="00E97F86">
        <w:rPr>
          <w:rFonts w:ascii="Times New Roman" w:hAnsi="Times New Roman" w:cs="Times New Roman"/>
          <w:szCs w:val="24"/>
        </w:rPr>
        <w:t>os organismos bilaterales</w:t>
      </w:r>
      <w:r w:rsidR="00403CA1">
        <w:rPr>
          <w:rFonts w:ascii="Times New Roman" w:hAnsi="Times New Roman" w:cs="Times New Roman"/>
          <w:szCs w:val="24"/>
        </w:rPr>
        <w:t>.  Asimismo</w:t>
      </w:r>
      <w:r w:rsidR="00FD3351">
        <w:rPr>
          <w:rFonts w:ascii="Times New Roman" w:hAnsi="Times New Roman" w:cs="Times New Roman"/>
          <w:szCs w:val="24"/>
        </w:rPr>
        <w:t>,</w:t>
      </w:r>
      <w:r w:rsidR="00403CA1">
        <w:rPr>
          <w:rFonts w:ascii="Times New Roman" w:hAnsi="Times New Roman" w:cs="Times New Roman"/>
          <w:szCs w:val="24"/>
        </w:rPr>
        <w:t xml:space="preserve"> se prevé que para 2023 se puedan recibir desembolsos de préstamos por Q2,840.8 millones</w:t>
      </w:r>
      <w:r w:rsidR="00FD3351">
        <w:rPr>
          <w:rFonts w:ascii="Times New Roman" w:hAnsi="Times New Roman" w:cs="Times New Roman"/>
          <w:szCs w:val="24"/>
        </w:rPr>
        <w:t>, en 2024 Q2,114.9 millones</w:t>
      </w:r>
      <w:r w:rsidR="0061660F">
        <w:rPr>
          <w:rFonts w:ascii="Times New Roman" w:hAnsi="Times New Roman" w:cs="Times New Roman"/>
          <w:szCs w:val="24"/>
        </w:rPr>
        <w:t>, en 2025 Q1,346.4 millones y en 2026 cerca de Q432.2 millones.</w:t>
      </w:r>
    </w:p>
    <w:p w14:paraId="6975B5DC" w14:textId="77777777" w:rsidR="0061660F" w:rsidRDefault="0061660F" w:rsidP="00107864">
      <w:pPr>
        <w:spacing w:after="0" w:line="240" w:lineRule="auto"/>
        <w:jc w:val="both"/>
        <w:rPr>
          <w:rFonts w:ascii="Times New Roman" w:hAnsi="Times New Roman" w:cs="Times New Roman"/>
          <w:szCs w:val="24"/>
        </w:rPr>
      </w:pPr>
    </w:p>
    <w:p w14:paraId="5FDEE52F" w14:textId="20C931D5" w:rsidR="00813233" w:rsidRPr="000D6E6A" w:rsidRDefault="0061660F" w:rsidP="00107864">
      <w:pPr>
        <w:spacing w:after="0" w:line="240" w:lineRule="auto"/>
        <w:jc w:val="both"/>
        <w:rPr>
          <w:rFonts w:ascii="Times New Roman" w:hAnsi="Times New Roman" w:cs="Times New Roman"/>
          <w:szCs w:val="24"/>
        </w:rPr>
      </w:pPr>
      <w:r>
        <w:rPr>
          <w:rFonts w:ascii="Times New Roman" w:hAnsi="Times New Roman" w:cs="Times New Roman"/>
          <w:szCs w:val="24"/>
        </w:rPr>
        <w:t xml:space="preserve">Es importante indicar, que </w:t>
      </w:r>
      <w:r w:rsidR="00D0298F">
        <w:rPr>
          <w:rFonts w:ascii="Times New Roman" w:hAnsi="Times New Roman" w:cs="Times New Roman"/>
          <w:szCs w:val="24"/>
        </w:rPr>
        <w:t xml:space="preserve">la proyección de desembolsos de préstamos se realizó sobre la base de </w:t>
      </w:r>
      <w:r w:rsidR="00B50A94">
        <w:rPr>
          <w:rFonts w:ascii="Times New Roman" w:hAnsi="Times New Roman" w:cs="Times New Roman"/>
          <w:szCs w:val="24"/>
        </w:rPr>
        <w:t xml:space="preserve">todos los préstamos que al 30 de junio </w:t>
      </w:r>
      <w:r w:rsidR="008640FB">
        <w:rPr>
          <w:rFonts w:ascii="Times New Roman" w:hAnsi="Times New Roman" w:cs="Times New Roman"/>
          <w:szCs w:val="24"/>
        </w:rPr>
        <w:t xml:space="preserve">de 2021 </w:t>
      </w:r>
      <w:r w:rsidR="00B50A94">
        <w:rPr>
          <w:rFonts w:ascii="Times New Roman" w:hAnsi="Times New Roman" w:cs="Times New Roman"/>
          <w:szCs w:val="24"/>
        </w:rPr>
        <w:t>se habían aprobado por el Congreso de la República y que mostra</w:t>
      </w:r>
      <w:r w:rsidR="008640FB">
        <w:rPr>
          <w:rFonts w:ascii="Times New Roman" w:hAnsi="Times New Roman" w:cs="Times New Roman"/>
          <w:szCs w:val="24"/>
        </w:rPr>
        <w:t>ban</w:t>
      </w:r>
      <w:r w:rsidR="00B50A94">
        <w:rPr>
          <w:rFonts w:ascii="Times New Roman" w:hAnsi="Times New Roman" w:cs="Times New Roman"/>
          <w:szCs w:val="24"/>
        </w:rPr>
        <w:t xml:space="preserve"> desem</w:t>
      </w:r>
      <w:r w:rsidR="00F55074">
        <w:rPr>
          <w:rFonts w:ascii="Times New Roman" w:hAnsi="Times New Roman" w:cs="Times New Roman"/>
          <w:szCs w:val="24"/>
        </w:rPr>
        <w:t xml:space="preserve">bolsos para el mediano plazo, además se consideraron únicamente 3 préstamos en gestión </w:t>
      </w:r>
      <w:r w:rsidR="00950DA1">
        <w:rPr>
          <w:rFonts w:ascii="Times New Roman" w:hAnsi="Times New Roman" w:cs="Times New Roman"/>
          <w:szCs w:val="24"/>
        </w:rPr>
        <w:t>los cuales se encuentran en un estatus avanzado para su aprobación en el Organismo Legislativo</w:t>
      </w:r>
      <w:r w:rsidR="001B6062">
        <w:rPr>
          <w:rFonts w:ascii="Times New Roman" w:hAnsi="Times New Roman" w:cs="Times New Roman"/>
          <w:szCs w:val="24"/>
        </w:rPr>
        <w:t>, estas operaciones así como la</w:t>
      </w:r>
      <w:r w:rsidR="0011752E">
        <w:rPr>
          <w:rFonts w:ascii="Times New Roman" w:hAnsi="Times New Roman" w:cs="Times New Roman"/>
          <w:szCs w:val="24"/>
        </w:rPr>
        <w:t>s</w:t>
      </w:r>
      <w:r w:rsidR="001B6062">
        <w:rPr>
          <w:rFonts w:ascii="Times New Roman" w:hAnsi="Times New Roman" w:cs="Times New Roman"/>
          <w:szCs w:val="24"/>
        </w:rPr>
        <w:t xml:space="preserve"> que se refiere a los préstamos en ejecución se detallan en la siguiente tabla</w:t>
      </w:r>
      <w:r w:rsidR="002E68DB">
        <w:rPr>
          <w:rFonts w:ascii="Times New Roman" w:hAnsi="Times New Roman" w:cs="Times New Roman"/>
          <w:szCs w:val="24"/>
        </w:rPr>
        <w:t>.</w:t>
      </w:r>
      <w:r w:rsidR="00950DA1">
        <w:rPr>
          <w:rFonts w:ascii="Times New Roman" w:hAnsi="Times New Roman" w:cs="Times New Roman"/>
          <w:szCs w:val="24"/>
        </w:rPr>
        <w:t xml:space="preserve"> </w:t>
      </w:r>
      <w:r w:rsidR="00813233" w:rsidRPr="000D6E6A">
        <w:rPr>
          <w:rFonts w:ascii="Times New Roman" w:hAnsi="Times New Roman" w:cs="Times New Roman"/>
          <w:szCs w:val="24"/>
        </w:rPr>
        <w:t xml:space="preserve"> </w:t>
      </w:r>
    </w:p>
    <w:p w14:paraId="050B33E3" w14:textId="755096D3" w:rsidR="00D623BC" w:rsidRDefault="00D623BC" w:rsidP="00813233">
      <w:pPr>
        <w:spacing w:after="0" w:line="240" w:lineRule="auto"/>
        <w:jc w:val="both"/>
        <w:rPr>
          <w:rFonts w:ascii="Times New Roman" w:hAnsi="Times New Roman" w:cs="Times New Roman"/>
          <w:szCs w:val="24"/>
        </w:rPr>
      </w:pPr>
    </w:p>
    <w:p w14:paraId="2FB71BCF" w14:textId="1FE6EAEF" w:rsidR="009C6283" w:rsidRDefault="009C6283" w:rsidP="00813233">
      <w:pPr>
        <w:spacing w:after="0" w:line="240" w:lineRule="auto"/>
        <w:jc w:val="both"/>
        <w:rPr>
          <w:rFonts w:ascii="Times New Roman" w:hAnsi="Times New Roman" w:cs="Times New Roman"/>
          <w:szCs w:val="24"/>
        </w:rPr>
      </w:pPr>
    </w:p>
    <w:p w14:paraId="78CF8386" w14:textId="26994B79" w:rsidR="009C6283" w:rsidRDefault="009C6283" w:rsidP="00813233">
      <w:pPr>
        <w:spacing w:after="0" w:line="240" w:lineRule="auto"/>
        <w:jc w:val="both"/>
        <w:rPr>
          <w:rFonts w:ascii="Times New Roman" w:hAnsi="Times New Roman" w:cs="Times New Roman"/>
          <w:szCs w:val="24"/>
        </w:rPr>
      </w:pPr>
    </w:p>
    <w:p w14:paraId="61F137CC" w14:textId="380A398D" w:rsidR="009C6283" w:rsidRDefault="009C6283" w:rsidP="00813233">
      <w:pPr>
        <w:spacing w:after="0" w:line="240" w:lineRule="auto"/>
        <w:jc w:val="both"/>
        <w:rPr>
          <w:rFonts w:ascii="Times New Roman" w:hAnsi="Times New Roman" w:cs="Times New Roman"/>
          <w:szCs w:val="24"/>
        </w:rPr>
      </w:pPr>
    </w:p>
    <w:p w14:paraId="7B4E9C6D" w14:textId="355916CA" w:rsidR="009C6283" w:rsidRDefault="009C6283" w:rsidP="00813233">
      <w:pPr>
        <w:spacing w:after="0" w:line="240" w:lineRule="auto"/>
        <w:jc w:val="both"/>
        <w:rPr>
          <w:rFonts w:ascii="Times New Roman" w:hAnsi="Times New Roman" w:cs="Times New Roman"/>
          <w:szCs w:val="24"/>
        </w:rPr>
      </w:pPr>
    </w:p>
    <w:p w14:paraId="35CC1116" w14:textId="42A24FBA" w:rsidR="009C6283" w:rsidRDefault="009C6283" w:rsidP="00813233">
      <w:pPr>
        <w:spacing w:after="0" w:line="240" w:lineRule="auto"/>
        <w:jc w:val="both"/>
        <w:rPr>
          <w:rFonts w:ascii="Times New Roman" w:hAnsi="Times New Roman" w:cs="Times New Roman"/>
          <w:szCs w:val="24"/>
        </w:rPr>
      </w:pPr>
    </w:p>
    <w:p w14:paraId="67D9782C" w14:textId="1CE41584" w:rsidR="005A27E5" w:rsidRDefault="005A27E5" w:rsidP="00813233">
      <w:pPr>
        <w:spacing w:after="0" w:line="240" w:lineRule="auto"/>
        <w:jc w:val="both"/>
        <w:rPr>
          <w:rFonts w:ascii="Times New Roman" w:hAnsi="Times New Roman" w:cs="Times New Roman"/>
          <w:szCs w:val="24"/>
        </w:rPr>
      </w:pPr>
    </w:p>
    <w:p w14:paraId="751A2125" w14:textId="0676917D" w:rsidR="005A27E5" w:rsidRDefault="005A27E5" w:rsidP="00813233">
      <w:pPr>
        <w:spacing w:after="0" w:line="240" w:lineRule="auto"/>
        <w:jc w:val="both"/>
        <w:rPr>
          <w:rFonts w:ascii="Times New Roman" w:hAnsi="Times New Roman" w:cs="Times New Roman"/>
          <w:szCs w:val="24"/>
        </w:rPr>
      </w:pPr>
    </w:p>
    <w:p w14:paraId="0DB8246E" w14:textId="6C5A5664" w:rsidR="005A27E5" w:rsidRDefault="005A27E5" w:rsidP="00813233">
      <w:pPr>
        <w:spacing w:after="0" w:line="240" w:lineRule="auto"/>
        <w:jc w:val="both"/>
        <w:rPr>
          <w:rFonts w:ascii="Times New Roman" w:hAnsi="Times New Roman" w:cs="Times New Roman"/>
          <w:szCs w:val="24"/>
        </w:rPr>
      </w:pPr>
    </w:p>
    <w:p w14:paraId="60B130A3" w14:textId="08A3D63A" w:rsidR="005A27E5" w:rsidRDefault="005A27E5" w:rsidP="00813233">
      <w:pPr>
        <w:spacing w:after="0" w:line="240" w:lineRule="auto"/>
        <w:jc w:val="both"/>
        <w:rPr>
          <w:rFonts w:ascii="Times New Roman" w:hAnsi="Times New Roman" w:cs="Times New Roman"/>
          <w:szCs w:val="24"/>
        </w:rPr>
      </w:pPr>
    </w:p>
    <w:p w14:paraId="105E2FF6" w14:textId="0862AF63" w:rsidR="005A27E5" w:rsidRDefault="005A27E5" w:rsidP="00813233">
      <w:pPr>
        <w:spacing w:after="0" w:line="240" w:lineRule="auto"/>
        <w:jc w:val="both"/>
        <w:rPr>
          <w:rFonts w:ascii="Times New Roman" w:hAnsi="Times New Roman" w:cs="Times New Roman"/>
          <w:szCs w:val="24"/>
        </w:rPr>
      </w:pPr>
    </w:p>
    <w:p w14:paraId="4CEF1339" w14:textId="0AC15CA2" w:rsidR="005A27E5" w:rsidRDefault="005A27E5" w:rsidP="00813233">
      <w:pPr>
        <w:spacing w:after="0" w:line="240" w:lineRule="auto"/>
        <w:jc w:val="both"/>
        <w:rPr>
          <w:rFonts w:ascii="Times New Roman" w:hAnsi="Times New Roman" w:cs="Times New Roman"/>
          <w:szCs w:val="24"/>
        </w:rPr>
      </w:pPr>
    </w:p>
    <w:p w14:paraId="370B6E0C" w14:textId="4C8988DE" w:rsidR="005A27E5" w:rsidRDefault="005A27E5" w:rsidP="00813233">
      <w:pPr>
        <w:spacing w:after="0" w:line="240" w:lineRule="auto"/>
        <w:jc w:val="both"/>
        <w:rPr>
          <w:rFonts w:ascii="Times New Roman" w:hAnsi="Times New Roman" w:cs="Times New Roman"/>
          <w:szCs w:val="24"/>
        </w:rPr>
      </w:pPr>
    </w:p>
    <w:p w14:paraId="53548390" w14:textId="6C482020" w:rsidR="005A27E5" w:rsidRDefault="005A27E5" w:rsidP="00813233">
      <w:pPr>
        <w:spacing w:after="0" w:line="240" w:lineRule="auto"/>
        <w:jc w:val="both"/>
        <w:rPr>
          <w:rFonts w:ascii="Times New Roman" w:hAnsi="Times New Roman" w:cs="Times New Roman"/>
          <w:szCs w:val="24"/>
        </w:rPr>
      </w:pPr>
    </w:p>
    <w:p w14:paraId="26054C49" w14:textId="344C4C49" w:rsidR="005A27E5" w:rsidRDefault="005A27E5" w:rsidP="00813233">
      <w:pPr>
        <w:spacing w:after="0" w:line="240" w:lineRule="auto"/>
        <w:jc w:val="both"/>
        <w:rPr>
          <w:rFonts w:ascii="Times New Roman" w:hAnsi="Times New Roman" w:cs="Times New Roman"/>
          <w:szCs w:val="24"/>
        </w:rPr>
      </w:pPr>
    </w:p>
    <w:p w14:paraId="6E175619" w14:textId="104EE529" w:rsidR="005A27E5" w:rsidRDefault="005A27E5" w:rsidP="00813233">
      <w:pPr>
        <w:spacing w:after="0" w:line="240" w:lineRule="auto"/>
        <w:jc w:val="both"/>
        <w:rPr>
          <w:rFonts w:ascii="Times New Roman" w:hAnsi="Times New Roman" w:cs="Times New Roman"/>
          <w:szCs w:val="24"/>
        </w:rPr>
      </w:pPr>
    </w:p>
    <w:p w14:paraId="3DBA14E9" w14:textId="26C0FF45" w:rsidR="005A27E5" w:rsidRDefault="005A27E5" w:rsidP="00813233">
      <w:pPr>
        <w:spacing w:after="0" w:line="240" w:lineRule="auto"/>
        <w:jc w:val="both"/>
        <w:rPr>
          <w:rFonts w:ascii="Times New Roman" w:hAnsi="Times New Roman" w:cs="Times New Roman"/>
          <w:szCs w:val="24"/>
        </w:rPr>
      </w:pPr>
    </w:p>
    <w:p w14:paraId="550DBEA0" w14:textId="0B56E1AF" w:rsidR="005A27E5" w:rsidRDefault="005A27E5" w:rsidP="00813233">
      <w:pPr>
        <w:spacing w:after="0" w:line="240" w:lineRule="auto"/>
        <w:jc w:val="both"/>
        <w:rPr>
          <w:rFonts w:ascii="Times New Roman" w:hAnsi="Times New Roman" w:cs="Times New Roman"/>
          <w:szCs w:val="24"/>
        </w:rPr>
      </w:pPr>
    </w:p>
    <w:p w14:paraId="1F1CBD16" w14:textId="2C8EA58C" w:rsidR="005A27E5" w:rsidRDefault="005A27E5" w:rsidP="00813233">
      <w:pPr>
        <w:spacing w:after="0" w:line="240" w:lineRule="auto"/>
        <w:jc w:val="both"/>
        <w:rPr>
          <w:rFonts w:ascii="Times New Roman" w:hAnsi="Times New Roman" w:cs="Times New Roman"/>
          <w:szCs w:val="24"/>
        </w:rPr>
      </w:pPr>
    </w:p>
    <w:p w14:paraId="7771BA4E" w14:textId="77777777" w:rsidR="005A27E5" w:rsidRDefault="005A27E5" w:rsidP="00813233">
      <w:pPr>
        <w:spacing w:after="0" w:line="240" w:lineRule="auto"/>
        <w:jc w:val="both"/>
        <w:rPr>
          <w:rFonts w:ascii="Times New Roman" w:hAnsi="Times New Roman" w:cs="Times New Roman"/>
          <w:szCs w:val="24"/>
        </w:rPr>
      </w:pPr>
    </w:p>
    <w:p w14:paraId="1594AF54" w14:textId="04E893E9" w:rsidR="009C6283" w:rsidRDefault="009C6283" w:rsidP="00813233">
      <w:pPr>
        <w:spacing w:after="0" w:line="240" w:lineRule="auto"/>
        <w:jc w:val="both"/>
        <w:rPr>
          <w:rFonts w:ascii="Times New Roman" w:hAnsi="Times New Roman" w:cs="Times New Roman"/>
          <w:szCs w:val="24"/>
        </w:rPr>
      </w:pPr>
    </w:p>
    <w:p w14:paraId="697F1501" w14:textId="0967F832" w:rsidR="009C6283" w:rsidRDefault="009C6283" w:rsidP="00813233">
      <w:pPr>
        <w:spacing w:after="0" w:line="240" w:lineRule="auto"/>
        <w:jc w:val="both"/>
        <w:rPr>
          <w:rFonts w:ascii="Times New Roman" w:hAnsi="Times New Roman" w:cs="Times New Roman"/>
          <w:szCs w:val="24"/>
        </w:rPr>
      </w:pPr>
    </w:p>
    <w:p w14:paraId="19D24FF4" w14:textId="173E384F" w:rsidR="00813233" w:rsidRPr="000D6E6A" w:rsidRDefault="008C2AA0" w:rsidP="00484ED3">
      <w:pPr>
        <w:pStyle w:val="Epgrafe"/>
        <w:spacing w:after="0"/>
        <w:jc w:val="center"/>
        <w:rPr>
          <w:rFonts w:ascii="Times New Roman" w:hAnsi="Times New Roman" w:cs="Times New Roman"/>
          <w:b/>
          <w:iCs w:val="0"/>
          <w:color w:val="auto"/>
          <w:sz w:val="22"/>
        </w:rPr>
      </w:pPr>
      <w:bookmarkStart w:id="1768" w:name="_Toc49939516"/>
      <w:bookmarkStart w:id="1769" w:name="_Toc81573046"/>
      <w:r w:rsidRPr="000D6E6A">
        <w:rPr>
          <w:rFonts w:ascii="Times New Roman" w:hAnsi="Times New Roman" w:cs="Times New Roman"/>
          <w:b/>
          <w:color w:val="auto"/>
          <w:sz w:val="22"/>
        </w:rPr>
        <w:t xml:space="preserve">Tabla </w:t>
      </w:r>
      <w:r w:rsidRPr="000D6E6A">
        <w:rPr>
          <w:rFonts w:ascii="Times New Roman" w:hAnsi="Times New Roman" w:cs="Times New Roman"/>
          <w:b/>
          <w:color w:val="auto"/>
          <w:sz w:val="22"/>
        </w:rPr>
        <w:fldChar w:fldCharType="begin"/>
      </w:r>
      <w:r w:rsidRPr="000D6E6A">
        <w:rPr>
          <w:rFonts w:ascii="Times New Roman" w:hAnsi="Times New Roman" w:cs="Times New Roman"/>
          <w:b/>
          <w:color w:val="auto"/>
          <w:sz w:val="22"/>
        </w:rPr>
        <w:instrText xml:space="preserve"> SEQ Tabla \* ARABIC </w:instrText>
      </w:r>
      <w:r w:rsidRPr="000D6E6A">
        <w:rPr>
          <w:rFonts w:ascii="Times New Roman" w:hAnsi="Times New Roman" w:cs="Times New Roman"/>
          <w:b/>
          <w:color w:val="auto"/>
          <w:sz w:val="22"/>
        </w:rPr>
        <w:fldChar w:fldCharType="separate"/>
      </w:r>
      <w:r w:rsidR="009E18F8">
        <w:rPr>
          <w:rFonts w:ascii="Times New Roman" w:hAnsi="Times New Roman" w:cs="Times New Roman"/>
          <w:b/>
          <w:noProof/>
          <w:color w:val="auto"/>
          <w:sz w:val="22"/>
        </w:rPr>
        <w:t>24</w:t>
      </w:r>
      <w:r w:rsidRPr="000D6E6A">
        <w:rPr>
          <w:rFonts w:ascii="Times New Roman" w:hAnsi="Times New Roman" w:cs="Times New Roman"/>
          <w:b/>
          <w:color w:val="auto"/>
          <w:sz w:val="22"/>
        </w:rPr>
        <w:fldChar w:fldCharType="end"/>
      </w:r>
      <w:r w:rsidRPr="000D6E6A">
        <w:rPr>
          <w:rFonts w:ascii="Times New Roman" w:hAnsi="Times New Roman" w:cs="Times New Roman"/>
          <w:b/>
          <w:color w:val="auto"/>
          <w:sz w:val="22"/>
        </w:rPr>
        <w:t xml:space="preserve"> </w:t>
      </w:r>
      <w:r w:rsidR="000D6E6A" w:rsidRPr="000D6E6A">
        <w:rPr>
          <w:rFonts w:ascii="Times New Roman" w:hAnsi="Times New Roman" w:cs="Times New Roman"/>
          <w:b/>
          <w:color w:val="auto"/>
          <w:sz w:val="22"/>
        </w:rPr>
        <w:t xml:space="preserve">Proyección de Desembolsos de </w:t>
      </w:r>
      <w:r w:rsidR="00813233" w:rsidRPr="000D6E6A">
        <w:rPr>
          <w:rFonts w:ascii="Times New Roman" w:hAnsi="Times New Roman" w:cs="Times New Roman"/>
          <w:b/>
          <w:iCs w:val="0"/>
          <w:color w:val="auto"/>
          <w:sz w:val="22"/>
        </w:rPr>
        <w:t xml:space="preserve">Préstamos </w:t>
      </w:r>
      <w:bookmarkEnd w:id="1768"/>
      <w:r w:rsidR="000D6E6A" w:rsidRPr="000D6E6A">
        <w:rPr>
          <w:rFonts w:ascii="Times New Roman" w:hAnsi="Times New Roman" w:cs="Times New Roman"/>
          <w:b/>
          <w:iCs w:val="0"/>
          <w:color w:val="auto"/>
          <w:sz w:val="22"/>
        </w:rPr>
        <w:t>Externos</w:t>
      </w:r>
      <w:bookmarkEnd w:id="1769"/>
    </w:p>
    <w:p w14:paraId="3451F7DE" w14:textId="7CE30FB2" w:rsidR="00570F21" w:rsidRPr="009C6283" w:rsidRDefault="00F92E28" w:rsidP="00813233">
      <w:pPr>
        <w:keepNext/>
        <w:spacing w:after="0" w:line="240" w:lineRule="auto"/>
        <w:jc w:val="center"/>
        <w:rPr>
          <w:rFonts w:ascii="Times New Roman" w:hAnsi="Times New Roman" w:cs="Times New Roman"/>
          <w:b/>
          <w:iCs/>
          <w:szCs w:val="18"/>
        </w:rPr>
      </w:pPr>
      <w:r w:rsidRPr="009C6283">
        <w:rPr>
          <w:rFonts w:ascii="Times New Roman" w:hAnsi="Times New Roman" w:cs="Times New Roman"/>
          <w:b/>
          <w:iCs/>
          <w:szCs w:val="18"/>
        </w:rPr>
        <w:t>2022-2026</w:t>
      </w:r>
      <w:r w:rsidR="00570F21" w:rsidRPr="009C6283">
        <w:rPr>
          <w:rFonts w:ascii="Times New Roman" w:hAnsi="Times New Roman" w:cs="Times New Roman"/>
          <w:b/>
          <w:iCs/>
          <w:szCs w:val="18"/>
        </w:rPr>
        <w:t xml:space="preserve"> </w:t>
      </w:r>
    </w:p>
    <w:p w14:paraId="479ECA47" w14:textId="4B1DAFF5" w:rsidR="00813233" w:rsidRDefault="00813233" w:rsidP="00813233">
      <w:pPr>
        <w:spacing w:after="0"/>
        <w:jc w:val="center"/>
        <w:rPr>
          <w:rFonts w:ascii="Times New Roman" w:hAnsi="Times New Roman" w:cs="Times New Roman"/>
        </w:rPr>
      </w:pPr>
      <w:r w:rsidRPr="009C6283">
        <w:rPr>
          <w:rFonts w:ascii="Times New Roman" w:hAnsi="Times New Roman" w:cs="Times New Roman"/>
        </w:rPr>
        <w:t xml:space="preserve">Cifras en millones de </w:t>
      </w:r>
      <w:r w:rsidR="009C6283" w:rsidRPr="009C6283">
        <w:rPr>
          <w:rFonts w:ascii="Times New Roman" w:hAnsi="Times New Roman" w:cs="Times New Roman"/>
        </w:rPr>
        <w:t>Quetzales</w:t>
      </w:r>
    </w:p>
    <w:p w14:paraId="32AE1FF3" w14:textId="0A55DAF0" w:rsidR="009C6283" w:rsidRDefault="009C6283" w:rsidP="00813233">
      <w:pPr>
        <w:spacing w:after="0"/>
        <w:jc w:val="center"/>
        <w:rPr>
          <w:rFonts w:ascii="Times New Roman" w:hAnsi="Times New Roman" w:cs="Times New Roman"/>
        </w:rPr>
      </w:pPr>
      <w:r w:rsidRPr="009C6283">
        <w:rPr>
          <w:noProof/>
          <w:lang w:val="es-ES" w:eastAsia="es-ES"/>
        </w:rPr>
        <w:drawing>
          <wp:inline distT="0" distB="0" distL="0" distR="0" wp14:anchorId="3358ED6F" wp14:editId="4A0F24E1">
            <wp:extent cx="5612130" cy="5295900"/>
            <wp:effectExtent l="0" t="0" r="762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12130" cy="5295900"/>
                    </a:xfrm>
                    <a:prstGeom prst="rect">
                      <a:avLst/>
                    </a:prstGeom>
                    <a:noFill/>
                    <a:ln>
                      <a:noFill/>
                    </a:ln>
                  </pic:spPr>
                </pic:pic>
              </a:graphicData>
            </a:graphic>
          </wp:inline>
        </w:drawing>
      </w:r>
    </w:p>
    <w:p w14:paraId="31C2DC56" w14:textId="77777777" w:rsidR="00813233" w:rsidRPr="00813233" w:rsidRDefault="00813233" w:rsidP="00813233">
      <w:pPr>
        <w:spacing w:after="0"/>
        <w:rPr>
          <w:rFonts w:ascii="Times New Roman" w:hAnsi="Times New Roman" w:cs="Times New Roman"/>
          <w:sz w:val="16"/>
          <w:szCs w:val="24"/>
        </w:rPr>
      </w:pPr>
      <w:r w:rsidRPr="00813233">
        <w:rPr>
          <w:rFonts w:ascii="Times New Roman" w:hAnsi="Times New Roman" w:cs="Times New Roman"/>
          <w:sz w:val="16"/>
          <w:szCs w:val="24"/>
        </w:rPr>
        <w:t>Fuente: Ministerio de Finanzas Públicas</w:t>
      </w:r>
    </w:p>
    <w:p w14:paraId="1B8BA137" w14:textId="77777777" w:rsidR="00813233" w:rsidRPr="00813233" w:rsidRDefault="00813233" w:rsidP="00813233">
      <w:pPr>
        <w:spacing w:after="0" w:line="240" w:lineRule="auto"/>
        <w:rPr>
          <w:rFonts w:ascii="Times New Roman" w:hAnsi="Times New Roman" w:cs="Times New Roman"/>
          <w:szCs w:val="24"/>
        </w:rPr>
      </w:pPr>
    </w:p>
    <w:p w14:paraId="56B489E1" w14:textId="77777777" w:rsidR="001555DB" w:rsidRPr="00484ED3" w:rsidRDefault="001555DB" w:rsidP="000865B9">
      <w:pPr>
        <w:spacing w:after="0" w:line="240" w:lineRule="auto"/>
        <w:jc w:val="both"/>
        <w:rPr>
          <w:rFonts w:ascii="Times New Roman" w:hAnsi="Times New Roman" w:cs="Times New Roman"/>
          <w:sz w:val="4"/>
        </w:rPr>
      </w:pPr>
    </w:p>
    <w:p w14:paraId="671A60D7" w14:textId="77777777" w:rsidR="00245F66" w:rsidRPr="00042B26" w:rsidRDefault="00245F66" w:rsidP="001032E7">
      <w:pPr>
        <w:pStyle w:val="Sinespaciado"/>
        <w:numPr>
          <w:ilvl w:val="1"/>
          <w:numId w:val="38"/>
        </w:numPr>
        <w:outlineLvl w:val="1"/>
        <w:rPr>
          <w:rFonts w:ascii="Times New Roman" w:hAnsi="Times New Roman" w:cs="Times New Roman"/>
          <w:b/>
          <w:bCs/>
          <w:sz w:val="24"/>
          <w:lang w:val="es-ES"/>
        </w:rPr>
      </w:pPr>
      <w:bookmarkStart w:id="1770" w:name="_Toc16155048"/>
      <w:bookmarkStart w:id="1771" w:name="_Toc81571926"/>
      <w:bookmarkStart w:id="1772" w:name="_Toc49939482"/>
      <w:r w:rsidRPr="00042B26">
        <w:rPr>
          <w:rFonts w:ascii="Times New Roman" w:hAnsi="Times New Roman" w:cs="Times New Roman"/>
          <w:b/>
          <w:bCs/>
          <w:sz w:val="24"/>
          <w:lang w:val="es-ES"/>
        </w:rPr>
        <w:t>Comportamiento histórico del endeudamiento público</w:t>
      </w:r>
      <w:bookmarkEnd w:id="1770"/>
      <w:r w:rsidRPr="00042B26">
        <w:rPr>
          <w:rFonts w:ascii="Times New Roman" w:hAnsi="Times New Roman" w:cs="Times New Roman"/>
          <w:b/>
          <w:bCs/>
          <w:sz w:val="24"/>
          <w:lang w:val="es-ES"/>
        </w:rPr>
        <w:t xml:space="preserve"> y perspectivas</w:t>
      </w:r>
      <w:bookmarkEnd w:id="1771"/>
      <w:r w:rsidRPr="00042B26">
        <w:rPr>
          <w:rFonts w:ascii="Times New Roman" w:hAnsi="Times New Roman" w:cs="Times New Roman"/>
          <w:b/>
          <w:bCs/>
          <w:sz w:val="24"/>
          <w:lang w:val="es-ES"/>
        </w:rPr>
        <w:t xml:space="preserve"> </w:t>
      </w:r>
      <w:bookmarkEnd w:id="1772"/>
    </w:p>
    <w:p w14:paraId="7A020BB7" w14:textId="77777777" w:rsidR="00245F66" w:rsidRDefault="00245F66" w:rsidP="00245F66">
      <w:pPr>
        <w:spacing w:after="0" w:line="240" w:lineRule="auto"/>
        <w:jc w:val="both"/>
        <w:rPr>
          <w:rFonts w:ascii="Times New Roman" w:hAnsi="Times New Roman" w:cs="Times New Roman"/>
          <w:lang w:val="es-MX"/>
        </w:rPr>
      </w:pPr>
    </w:p>
    <w:p w14:paraId="746ABCFE" w14:textId="77777777" w:rsidR="008228DE" w:rsidRPr="008228DE" w:rsidRDefault="008228DE" w:rsidP="008228DE">
      <w:pPr>
        <w:spacing w:after="0" w:line="240" w:lineRule="auto"/>
        <w:jc w:val="both"/>
        <w:rPr>
          <w:rFonts w:ascii="Times New Roman" w:hAnsi="Times New Roman" w:cs="Times New Roman"/>
          <w:lang w:val="es-MX"/>
        </w:rPr>
      </w:pPr>
      <w:r w:rsidRPr="008228DE">
        <w:rPr>
          <w:rFonts w:ascii="Times New Roman" w:hAnsi="Times New Roman" w:cs="Times New Roman"/>
          <w:lang w:val="es-MX"/>
        </w:rPr>
        <w:t xml:space="preserve">Guatemala es un país que se ha caracterizado por tener un manejo prudente de su política fiscal en los últimos 25 años, lo que ha coadyuvado enormemente a la estabilidad macroeconómica del país, esto se refleja en los resultados fiscales obtenidos en la administración central, los cuales arrojan déficit moderados, con algunas excepciones de altos déficit en época de crisis que inmediatamente se controlan debido a que el gasto que crea el impulso no es permanente sino más bien transitorio, como lo es el caso reciente del ejercicio fiscal 2020, lo cual ha propiciado que la deuda pública del país sea baja y estable y haya sido sostenible. Además, el manejo adecuado del endeudamiento ha permitido extender los plazos de colocación de deuda en el mercado interno y en años recientes también en el mercado externo, ya que se han hecho tres colocaciones con plazo de 30 años, reduciendo significativamente el costo financiero de la deuda (tasa de interés).  </w:t>
      </w:r>
    </w:p>
    <w:p w14:paraId="3DE15B94" w14:textId="77777777" w:rsidR="008228DE" w:rsidRPr="008228DE" w:rsidRDefault="008228DE" w:rsidP="008228DE">
      <w:pPr>
        <w:spacing w:after="0" w:line="240" w:lineRule="auto"/>
        <w:jc w:val="both"/>
        <w:rPr>
          <w:rFonts w:ascii="Times New Roman" w:hAnsi="Times New Roman" w:cs="Times New Roman"/>
          <w:lang w:val="es-MX"/>
        </w:rPr>
      </w:pPr>
    </w:p>
    <w:p w14:paraId="30316E23" w14:textId="6FA5C959" w:rsidR="00245F66" w:rsidRDefault="008228DE" w:rsidP="008228DE">
      <w:pPr>
        <w:spacing w:after="0" w:line="240" w:lineRule="auto"/>
        <w:jc w:val="both"/>
        <w:rPr>
          <w:rFonts w:ascii="Times New Roman" w:hAnsi="Times New Roman" w:cs="Times New Roman"/>
          <w:lang w:val="es-MX"/>
        </w:rPr>
      </w:pPr>
      <w:r w:rsidRPr="008228DE">
        <w:rPr>
          <w:rFonts w:ascii="Times New Roman" w:hAnsi="Times New Roman" w:cs="Times New Roman"/>
          <w:lang w:val="es-MX"/>
        </w:rPr>
        <w:t>Además del manejo fiscal prudente, la política macroeconómica ha sido adecuada y ha permitido también un tipo de cambio bastante estable, con leves periodos de variaciones bruscas que inmediatamente recuperan su nivel promedio histórico. Es por ello que</w:t>
      </w:r>
      <w:r w:rsidR="00C21CE0">
        <w:rPr>
          <w:rFonts w:ascii="Times New Roman" w:hAnsi="Times New Roman" w:cs="Times New Roman"/>
          <w:lang w:val="es-MX"/>
        </w:rPr>
        <w:t>,</w:t>
      </w:r>
      <w:r w:rsidRPr="008228DE">
        <w:rPr>
          <w:rFonts w:ascii="Times New Roman" w:hAnsi="Times New Roman" w:cs="Times New Roman"/>
          <w:lang w:val="es-MX"/>
        </w:rPr>
        <w:t xml:space="preserve"> las perturbaciones transitorias en la parte fiscal y las que se dan en otros sectores de la economía no han incidido negativamente en el nivel de la deuda pública ni en su trayectoria de corto, mediano y largo plazos.</w:t>
      </w:r>
    </w:p>
    <w:p w14:paraId="461C9AAF" w14:textId="77777777" w:rsidR="008228DE" w:rsidRDefault="008228DE" w:rsidP="008228DE">
      <w:pPr>
        <w:spacing w:after="0" w:line="240" w:lineRule="auto"/>
        <w:jc w:val="both"/>
        <w:rPr>
          <w:rFonts w:ascii="Times New Roman" w:hAnsi="Times New Roman" w:cs="Times New Roman"/>
          <w:lang w:val="es-MX"/>
        </w:rPr>
      </w:pPr>
    </w:p>
    <w:p w14:paraId="735AF214" w14:textId="165BAAE5" w:rsidR="003E14B7" w:rsidRPr="003E14B7" w:rsidRDefault="003E14B7" w:rsidP="00484ED3">
      <w:pPr>
        <w:spacing w:after="0"/>
        <w:jc w:val="center"/>
        <w:rPr>
          <w:rFonts w:ascii="Times New Roman" w:hAnsi="Times New Roman" w:cs="Times New Roman"/>
          <w:b/>
          <w:bCs/>
          <w:lang w:val="es-MX"/>
        </w:rPr>
      </w:pPr>
      <w:bookmarkStart w:id="1773" w:name="_Toc81573104"/>
      <w:r w:rsidRPr="003E14B7">
        <w:rPr>
          <w:rFonts w:ascii="Times New Roman" w:hAnsi="Times New Roman" w:cs="Times New Roman"/>
          <w:b/>
          <w:i/>
        </w:rPr>
        <w:t xml:space="preserve">Gráfico </w:t>
      </w:r>
      <w:r w:rsidRPr="003E14B7">
        <w:rPr>
          <w:rFonts w:ascii="Times New Roman" w:hAnsi="Times New Roman" w:cs="Times New Roman"/>
          <w:b/>
          <w:i/>
        </w:rPr>
        <w:fldChar w:fldCharType="begin"/>
      </w:r>
      <w:r w:rsidRPr="003E14B7">
        <w:rPr>
          <w:rFonts w:ascii="Times New Roman" w:hAnsi="Times New Roman" w:cs="Times New Roman"/>
          <w:b/>
          <w:i/>
        </w:rPr>
        <w:instrText xml:space="preserve"> SEQ Gráfico \* ARABIC </w:instrText>
      </w:r>
      <w:r w:rsidRPr="003E14B7">
        <w:rPr>
          <w:rFonts w:ascii="Times New Roman" w:hAnsi="Times New Roman" w:cs="Times New Roman"/>
          <w:b/>
          <w:i/>
        </w:rPr>
        <w:fldChar w:fldCharType="separate"/>
      </w:r>
      <w:r w:rsidR="00D6529D">
        <w:rPr>
          <w:rFonts w:ascii="Times New Roman" w:hAnsi="Times New Roman" w:cs="Times New Roman"/>
          <w:b/>
          <w:i/>
          <w:noProof/>
        </w:rPr>
        <w:t>54</w:t>
      </w:r>
      <w:r w:rsidRPr="003E14B7">
        <w:rPr>
          <w:rFonts w:ascii="Times New Roman" w:hAnsi="Times New Roman" w:cs="Times New Roman"/>
          <w:b/>
          <w:i/>
        </w:rPr>
        <w:fldChar w:fldCharType="end"/>
      </w:r>
      <w:r w:rsidRPr="003E14B7">
        <w:rPr>
          <w:rFonts w:ascii="Times New Roman" w:hAnsi="Times New Roman" w:cs="Times New Roman"/>
          <w:b/>
        </w:rPr>
        <w:t xml:space="preserve">  </w:t>
      </w:r>
      <w:r w:rsidRPr="003E14B7">
        <w:rPr>
          <w:rFonts w:ascii="Times New Roman" w:hAnsi="Times New Roman" w:cs="Times New Roman"/>
          <w:b/>
          <w:bCs/>
          <w:lang w:val="es-MX"/>
        </w:rPr>
        <w:t>Indicadores de la deuda pública de Guatemala</w:t>
      </w:r>
      <w:bookmarkEnd w:id="1773"/>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9"/>
      </w:tblGrid>
      <w:tr w:rsidR="00245F66" w14:paraId="137EA211" w14:textId="77777777" w:rsidTr="003E14B7">
        <w:tc>
          <w:tcPr>
            <w:tcW w:w="8838" w:type="dxa"/>
            <w:gridSpan w:val="2"/>
          </w:tcPr>
          <w:p w14:paraId="0305E068" w14:textId="77777777" w:rsidR="00245F66" w:rsidRPr="003E14B7" w:rsidRDefault="00245F66" w:rsidP="003E14B7">
            <w:pPr>
              <w:rPr>
                <w:rFonts w:ascii="Times New Roman" w:hAnsi="Times New Roman" w:cs="Times New Roman"/>
                <w:b/>
                <w:bCs/>
                <w:sz w:val="12"/>
                <w:lang w:val="es-MX"/>
              </w:rPr>
            </w:pPr>
          </w:p>
        </w:tc>
      </w:tr>
      <w:tr w:rsidR="00245F66" w14:paraId="0C1C7EB9" w14:textId="77777777" w:rsidTr="003E14B7">
        <w:tc>
          <w:tcPr>
            <w:tcW w:w="4419" w:type="dxa"/>
          </w:tcPr>
          <w:p w14:paraId="7C1C2710" w14:textId="77777777" w:rsidR="00245F66" w:rsidRDefault="00245F66" w:rsidP="00484ED3">
            <w:pPr>
              <w:jc w:val="center"/>
              <w:rPr>
                <w:rFonts w:ascii="Times New Roman" w:hAnsi="Times New Roman" w:cs="Times New Roman"/>
                <w:lang w:val="es-MX"/>
              </w:rPr>
            </w:pPr>
            <w:r>
              <w:rPr>
                <w:rFonts w:ascii="Times New Roman" w:hAnsi="Times New Roman" w:cs="Times New Roman"/>
                <w:lang w:val="es-MX"/>
              </w:rPr>
              <w:t>Relación deuda/ PIB</w:t>
            </w:r>
          </w:p>
        </w:tc>
        <w:tc>
          <w:tcPr>
            <w:tcW w:w="4419" w:type="dxa"/>
          </w:tcPr>
          <w:p w14:paraId="5F138D31" w14:textId="77777777" w:rsidR="00245F66" w:rsidRDefault="00245F66" w:rsidP="00484ED3">
            <w:pPr>
              <w:jc w:val="center"/>
              <w:rPr>
                <w:rFonts w:ascii="Times New Roman" w:hAnsi="Times New Roman" w:cs="Times New Roman"/>
                <w:lang w:val="es-MX"/>
              </w:rPr>
            </w:pPr>
            <w:r>
              <w:rPr>
                <w:rFonts w:ascii="Times New Roman" w:hAnsi="Times New Roman" w:cs="Times New Roman"/>
                <w:lang w:val="es-MX"/>
              </w:rPr>
              <w:t>Relación deuda/ingresos</w:t>
            </w:r>
          </w:p>
        </w:tc>
      </w:tr>
      <w:tr w:rsidR="00245F66" w14:paraId="4F1B6725" w14:textId="77777777" w:rsidTr="003E14B7">
        <w:tblPrEx>
          <w:tblCellMar>
            <w:left w:w="70" w:type="dxa"/>
            <w:right w:w="70" w:type="dxa"/>
          </w:tblCellMar>
        </w:tblPrEx>
        <w:tc>
          <w:tcPr>
            <w:tcW w:w="4419" w:type="dxa"/>
          </w:tcPr>
          <w:p w14:paraId="3C364497" w14:textId="77777777" w:rsidR="00245F66" w:rsidRPr="00CF5DC0" w:rsidRDefault="00245F66" w:rsidP="00127939">
            <w:pPr>
              <w:jc w:val="both"/>
              <w:rPr>
                <w:rFonts w:ascii="Times New Roman" w:hAnsi="Times New Roman" w:cs="Times New Roman"/>
                <w:lang w:val="es-MX"/>
              </w:rPr>
            </w:pPr>
            <w:r>
              <w:rPr>
                <w:noProof/>
                <w:lang w:val="es-ES" w:eastAsia="es-ES"/>
              </w:rPr>
              <w:drawing>
                <wp:inline distT="0" distB="0" distL="0" distR="0" wp14:anchorId="62A9A3EF" wp14:editId="4206B756">
                  <wp:extent cx="2875915" cy="2170430"/>
                  <wp:effectExtent l="0" t="0" r="635" b="1270"/>
                  <wp:docPr id="57" name="Gráfico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FB386F8-5506-45AE-B696-A0187FC08B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c>
          <w:tcPr>
            <w:tcW w:w="4419" w:type="dxa"/>
          </w:tcPr>
          <w:p w14:paraId="08F23657" w14:textId="7B26A049" w:rsidR="00245F66" w:rsidRDefault="00547AF8" w:rsidP="00127939">
            <w:pPr>
              <w:jc w:val="both"/>
              <w:rPr>
                <w:rFonts w:ascii="Times New Roman" w:hAnsi="Times New Roman" w:cs="Times New Roman"/>
                <w:lang w:val="es-MX"/>
              </w:rPr>
            </w:pPr>
            <w:r>
              <w:rPr>
                <w:rFonts w:ascii="Times New Roman" w:hAnsi="Times New Roman" w:cs="Times New Roman"/>
                <w:noProof/>
                <w:lang w:val="es-ES" w:eastAsia="es-ES"/>
              </w:rPr>
              <w:drawing>
                <wp:inline distT="0" distB="0" distL="0" distR="0" wp14:anchorId="13E0014A" wp14:editId="16B431CA">
                  <wp:extent cx="2879725" cy="2216505"/>
                  <wp:effectExtent l="0" t="0" r="0" b="0"/>
                  <wp:docPr id="6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r>
      <w:tr w:rsidR="00245F66" w14:paraId="5C8129C2" w14:textId="77777777" w:rsidTr="003E14B7">
        <w:tc>
          <w:tcPr>
            <w:tcW w:w="8838" w:type="dxa"/>
            <w:gridSpan w:val="2"/>
          </w:tcPr>
          <w:p w14:paraId="6950D17A" w14:textId="77777777" w:rsidR="00245F66" w:rsidRDefault="00245F66" w:rsidP="00127939">
            <w:pPr>
              <w:jc w:val="both"/>
              <w:rPr>
                <w:rFonts w:ascii="Times New Roman" w:hAnsi="Times New Roman" w:cs="Times New Roman"/>
                <w:lang w:val="es-MX"/>
              </w:rPr>
            </w:pPr>
            <w:r w:rsidRPr="00813233">
              <w:rPr>
                <w:rFonts w:ascii="Times New Roman" w:hAnsi="Times New Roman" w:cs="Times New Roman"/>
                <w:sz w:val="16"/>
              </w:rPr>
              <w:t>Fuente: Dirección de Análisis y Política Fiscal</w:t>
            </w:r>
            <w:r>
              <w:rPr>
                <w:rFonts w:ascii="Times New Roman" w:hAnsi="Times New Roman" w:cs="Times New Roman"/>
                <w:sz w:val="16"/>
              </w:rPr>
              <w:t xml:space="preserve"> </w:t>
            </w:r>
          </w:p>
        </w:tc>
      </w:tr>
    </w:tbl>
    <w:p w14:paraId="622BDBA7" w14:textId="77777777" w:rsidR="00245F66" w:rsidRDefault="00245F66" w:rsidP="00245F66">
      <w:pPr>
        <w:spacing w:after="0" w:line="240" w:lineRule="auto"/>
        <w:jc w:val="both"/>
        <w:rPr>
          <w:rFonts w:ascii="Times New Roman" w:hAnsi="Times New Roman" w:cs="Times New Roman"/>
          <w:lang w:val="es-MX"/>
        </w:rPr>
      </w:pPr>
    </w:p>
    <w:p w14:paraId="5B683D46" w14:textId="77777777" w:rsidR="00BE487A" w:rsidRPr="00BE487A" w:rsidRDefault="00BE487A" w:rsidP="00BE487A">
      <w:pPr>
        <w:spacing w:after="0" w:line="240" w:lineRule="auto"/>
        <w:jc w:val="both"/>
        <w:rPr>
          <w:rFonts w:ascii="Times New Roman" w:hAnsi="Times New Roman" w:cs="Times New Roman"/>
          <w:lang w:val="es-MX"/>
        </w:rPr>
      </w:pPr>
      <w:r w:rsidRPr="00BE487A">
        <w:rPr>
          <w:rFonts w:ascii="Times New Roman" w:hAnsi="Times New Roman" w:cs="Times New Roman"/>
          <w:lang w:val="es-MX"/>
        </w:rPr>
        <w:t>Tomando en cuenta lo anterior, y considerando para el efecto, los indicadores de solvencia de la deuda pública, los cuales son también conocidos como indicadores de sostenibilidad, tratan de mostrar la capacidad de repago de la deuda que tiene un país considerando la producción nacional medida a través del PIB y los ingresos fiscales que tiene el gobierno, como la fuente principal para atender sus compromisos. El principal indicador es la relación deuda / PIB, que muestra la capacidad potencial que tiene el país para atender sus obligaciones que para el cierre del 2020 se ubicó en 31.6%. Este indicador que mostraba una leve tendencia creciente hasta el año 2019, posteriormente derivado del aumento significativo del déficit fiscal en el 2020 aumentó 5.1 puntos porcentuales. No obstante, el indicador Deuda/PIB aún está muy por debajo del benchmark para países emergentes con acceso al mercado del Fondo Monetario Internacional y otros organismos internacionales (MAC por sus siglas en inglés), que se encuentra de 50% a 60%. El aumento de la deuda en el 2020 fue necesario para mitigar la crisis económica y sanitaria de la pandemia Covid-19 a través del financiamiento de los programas que estimularon la economía y sirvieron para las necesidades de la población mediante un incremento en el gasto de transferencias monetarias a personas, inversión financiera y el gasto social.</w:t>
      </w:r>
    </w:p>
    <w:p w14:paraId="49038DC1" w14:textId="77777777" w:rsidR="00BE487A" w:rsidRPr="00BE487A" w:rsidRDefault="00BE487A" w:rsidP="00BE487A">
      <w:pPr>
        <w:spacing w:after="0" w:line="240" w:lineRule="auto"/>
        <w:jc w:val="both"/>
        <w:rPr>
          <w:rFonts w:ascii="Times New Roman" w:hAnsi="Times New Roman" w:cs="Times New Roman"/>
          <w:lang w:val="es-MX"/>
        </w:rPr>
      </w:pPr>
    </w:p>
    <w:p w14:paraId="64A5E1E5" w14:textId="00ACA0C9" w:rsidR="00245F66" w:rsidRDefault="00BE487A" w:rsidP="00BE487A">
      <w:pPr>
        <w:spacing w:after="0" w:line="240" w:lineRule="auto"/>
        <w:jc w:val="both"/>
        <w:rPr>
          <w:rFonts w:ascii="Times New Roman" w:hAnsi="Times New Roman" w:cs="Times New Roman"/>
          <w:lang w:val="es-MX"/>
        </w:rPr>
      </w:pPr>
      <w:r w:rsidRPr="00BE487A">
        <w:rPr>
          <w:rFonts w:ascii="Times New Roman" w:hAnsi="Times New Roman" w:cs="Times New Roman"/>
          <w:lang w:val="es-MX"/>
        </w:rPr>
        <w:t>Para el caso de Guatemala el indicador deuda/ingresos fiscales se ubicó en 236.4% para el año 2019 y para el 2020 se ubicó en 295.3%.  Este indicador es útil para dar seguimiento a la capacidad efectiva para hacer frente a los compromisos de deuda. La principal razón por la que este indicador muestra un nivel alto, en 2020, es como resultado de la caída en recaudación tributaria en dicho año, en la medida en que los ingresos fiscales aumenten considerablemente y la generación de endeudamiento sea moderada, la relación deuda / ingreso, bajaría gradualmente y la solvencia del país sería más holgada. Dado el nuevo escenario planteado por la crisis ocasionada por el COVID-19, no se vislumbra en el corto plazo llevar al Congreso de la República una reforma tributaria, que incremente de forma significativa los ingresos fiscales, por lo que, en el mediano plazo, se prevé que el indicador de la relación deuda/ ingresos fiscales sea creciente, aunque de manera moderada.</w:t>
      </w:r>
    </w:p>
    <w:p w14:paraId="79A0F4AA" w14:textId="7512FF63" w:rsidR="00BE487A" w:rsidRDefault="00BE487A" w:rsidP="00BE487A">
      <w:pPr>
        <w:spacing w:after="0" w:line="240" w:lineRule="auto"/>
        <w:jc w:val="both"/>
        <w:rPr>
          <w:rFonts w:ascii="Times New Roman" w:hAnsi="Times New Roman" w:cs="Times New Roman"/>
          <w:lang w:val="es-MX"/>
        </w:rPr>
      </w:pPr>
    </w:p>
    <w:p w14:paraId="74DC7E56" w14:textId="77777777" w:rsidR="00982162" w:rsidRPr="00813233" w:rsidRDefault="00982162" w:rsidP="00BE487A">
      <w:pPr>
        <w:spacing w:after="0" w:line="240" w:lineRule="auto"/>
        <w:jc w:val="both"/>
        <w:rPr>
          <w:rFonts w:ascii="Times New Roman" w:hAnsi="Times New Roman" w:cs="Times New Roman"/>
          <w:lang w:val="es-MX"/>
        </w:rPr>
      </w:pPr>
    </w:p>
    <w:p w14:paraId="4AD809D3" w14:textId="67879E3A" w:rsidR="00245F66" w:rsidRPr="00813233" w:rsidRDefault="003E14B7" w:rsidP="003E14B7">
      <w:pPr>
        <w:pStyle w:val="Epgrafe"/>
        <w:jc w:val="center"/>
        <w:rPr>
          <w:rFonts w:ascii="Times New Roman" w:hAnsi="Times New Roman" w:cs="Times New Roman"/>
          <w:b/>
          <w:bCs/>
        </w:rPr>
      </w:pPr>
      <w:bookmarkStart w:id="1774" w:name="_Toc50016856"/>
      <w:bookmarkStart w:id="1775" w:name="_Toc81573105"/>
      <w:r w:rsidRPr="003E14B7">
        <w:rPr>
          <w:rFonts w:ascii="Times New Roman" w:hAnsi="Times New Roman" w:cs="Times New Roman"/>
          <w:b/>
          <w:color w:val="auto"/>
          <w:sz w:val="20"/>
        </w:rPr>
        <w:t xml:space="preserve">Gráfico </w:t>
      </w:r>
      <w:r w:rsidRPr="003E14B7">
        <w:rPr>
          <w:rFonts w:ascii="Times New Roman" w:hAnsi="Times New Roman" w:cs="Times New Roman"/>
          <w:b/>
          <w:color w:val="auto"/>
          <w:sz w:val="20"/>
        </w:rPr>
        <w:fldChar w:fldCharType="begin"/>
      </w:r>
      <w:r w:rsidRPr="003E14B7">
        <w:rPr>
          <w:rFonts w:ascii="Times New Roman" w:hAnsi="Times New Roman" w:cs="Times New Roman"/>
          <w:b/>
          <w:color w:val="auto"/>
          <w:sz w:val="20"/>
        </w:rPr>
        <w:instrText xml:space="preserve"> SEQ Gráfico \* ARABIC </w:instrText>
      </w:r>
      <w:r w:rsidRPr="003E14B7">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55</w:t>
      </w:r>
      <w:r w:rsidRPr="003E14B7">
        <w:rPr>
          <w:rFonts w:ascii="Times New Roman" w:hAnsi="Times New Roman" w:cs="Times New Roman"/>
          <w:b/>
          <w:color w:val="auto"/>
          <w:sz w:val="20"/>
        </w:rPr>
        <w:fldChar w:fldCharType="end"/>
      </w:r>
      <w:r w:rsidRPr="003E14B7">
        <w:rPr>
          <w:rFonts w:ascii="Times New Roman" w:hAnsi="Times New Roman" w:cs="Times New Roman"/>
          <w:b/>
          <w:color w:val="auto"/>
          <w:sz w:val="20"/>
        </w:rPr>
        <w:t xml:space="preserve"> </w:t>
      </w:r>
      <w:r w:rsidRPr="003E14B7">
        <w:rPr>
          <w:rFonts w:ascii="Times New Roman" w:hAnsi="Times New Roman" w:cs="Times New Roman"/>
          <w:sz w:val="20"/>
        </w:rPr>
        <w:t xml:space="preserve"> </w:t>
      </w:r>
      <w:r w:rsidR="00245F66" w:rsidRPr="003E14B7">
        <w:rPr>
          <w:rFonts w:ascii="Times New Roman" w:hAnsi="Times New Roman" w:cs="Times New Roman"/>
          <w:b/>
          <w:iCs w:val="0"/>
          <w:color w:val="auto"/>
          <w:sz w:val="22"/>
        </w:rPr>
        <w:t xml:space="preserve">Proyección del indicador deuda/PIB para </w:t>
      </w:r>
      <w:r w:rsidR="003E59FA" w:rsidRPr="003E14B7">
        <w:rPr>
          <w:rFonts w:ascii="Times New Roman" w:hAnsi="Times New Roman" w:cs="Times New Roman"/>
          <w:b/>
          <w:iCs w:val="0"/>
          <w:color w:val="auto"/>
          <w:sz w:val="22"/>
        </w:rPr>
        <w:t>2019-</w:t>
      </w:r>
      <w:r w:rsidR="00245F66" w:rsidRPr="003E14B7">
        <w:rPr>
          <w:rFonts w:ascii="Times New Roman" w:hAnsi="Times New Roman" w:cs="Times New Roman"/>
          <w:b/>
          <w:iCs w:val="0"/>
          <w:color w:val="auto"/>
          <w:sz w:val="22"/>
        </w:rPr>
        <w:t>2021</w:t>
      </w:r>
      <w:bookmarkEnd w:id="1774"/>
      <w:bookmarkEnd w:id="1775"/>
    </w:p>
    <w:p w14:paraId="5CFDB240" w14:textId="1DCDCCD7" w:rsidR="00245F66" w:rsidRPr="00813233" w:rsidRDefault="00BE487A" w:rsidP="00245F66">
      <w:pPr>
        <w:ind w:left="708" w:hanging="708"/>
        <w:rPr>
          <w:rFonts w:ascii="Times New Roman" w:hAnsi="Times New Roman" w:cs="Times New Roman"/>
        </w:rPr>
      </w:pPr>
      <w:r>
        <w:rPr>
          <w:noProof/>
          <w:lang w:val="es-ES" w:eastAsia="es-ES"/>
        </w:rPr>
        <w:drawing>
          <wp:inline distT="0" distB="0" distL="0" distR="0" wp14:anchorId="7B380B79" wp14:editId="19E6DA2B">
            <wp:extent cx="5612130" cy="2806065"/>
            <wp:effectExtent l="0" t="0" r="7620" b="0"/>
            <wp:docPr id="2" name="Gráfico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1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0BAC2FD9" w14:textId="77777777" w:rsidR="00245F66" w:rsidRDefault="00245F66" w:rsidP="00245F66">
      <w:pPr>
        <w:spacing w:after="0" w:line="240" w:lineRule="auto"/>
        <w:jc w:val="both"/>
        <w:rPr>
          <w:rFonts w:ascii="Times New Roman" w:hAnsi="Times New Roman" w:cs="Times New Roman"/>
          <w:sz w:val="16"/>
          <w:szCs w:val="24"/>
        </w:rPr>
      </w:pPr>
      <w:r w:rsidRPr="00813233">
        <w:rPr>
          <w:rFonts w:ascii="Times New Roman" w:hAnsi="Times New Roman" w:cs="Times New Roman"/>
          <w:sz w:val="16"/>
          <w:szCs w:val="24"/>
        </w:rPr>
        <w:t xml:space="preserve">Fuente: Dirección de Análisis y Política Fiscal con información del Fiscal Monitor del FMI, </w:t>
      </w:r>
      <w:r>
        <w:rPr>
          <w:rFonts w:ascii="Times New Roman" w:hAnsi="Times New Roman" w:cs="Times New Roman"/>
          <w:sz w:val="16"/>
          <w:szCs w:val="24"/>
        </w:rPr>
        <w:t>abril</w:t>
      </w:r>
      <w:r w:rsidRPr="00813233">
        <w:rPr>
          <w:rFonts w:ascii="Times New Roman" w:hAnsi="Times New Roman" w:cs="Times New Roman"/>
          <w:sz w:val="16"/>
          <w:szCs w:val="24"/>
        </w:rPr>
        <w:t xml:space="preserve"> de </w:t>
      </w:r>
      <w:r>
        <w:rPr>
          <w:rFonts w:ascii="Times New Roman" w:hAnsi="Times New Roman" w:cs="Times New Roman"/>
          <w:sz w:val="16"/>
          <w:szCs w:val="24"/>
        </w:rPr>
        <w:t>2021</w:t>
      </w:r>
    </w:p>
    <w:p w14:paraId="67B44F34" w14:textId="77777777" w:rsidR="00245F66" w:rsidRPr="00813233" w:rsidRDefault="00245F66" w:rsidP="00245F66">
      <w:pPr>
        <w:spacing w:after="0" w:line="240" w:lineRule="auto"/>
        <w:jc w:val="both"/>
        <w:rPr>
          <w:rFonts w:ascii="Times New Roman" w:hAnsi="Times New Roman" w:cs="Times New Roman"/>
          <w:sz w:val="18"/>
          <w:lang w:val="es-MX"/>
        </w:rPr>
      </w:pPr>
      <w:r>
        <w:rPr>
          <w:rFonts w:ascii="Times New Roman" w:hAnsi="Times New Roman" w:cs="Times New Roman"/>
          <w:sz w:val="16"/>
          <w:szCs w:val="24"/>
        </w:rPr>
        <w:t>Nota: e/ son datos estimados y py/ son proyecciones</w:t>
      </w:r>
      <w:r w:rsidRPr="00813233">
        <w:rPr>
          <w:rFonts w:ascii="Times New Roman" w:hAnsi="Times New Roman" w:cs="Times New Roman"/>
          <w:sz w:val="16"/>
          <w:szCs w:val="24"/>
        </w:rPr>
        <w:t>.</w:t>
      </w:r>
    </w:p>
    <w:p w14:paraId="0B4F60A6" w14:textId="77777777" w:rsidR="00245F66" w:rsidRPr="00813233" w:rsidRDefault="00245F66" w:rsidP="00245F66">
      <w:pPr>
        <w:spacing w:after="0" w:line="240" w:lineRule="auto"/>
        <w:jc w:val="both"/>
        <w:rPr>
          <w:rFonts w:ascii="Times New Roman" w:hAnsi="Times New Roman" w:cs="Times New Roman"/>
          <w:lang w:val="es-MX"/>
        </w:rPr>
      </w:pPr>
    </w:p>
    <w:p w14:paraId="1F0D3839" w14:textId="77777777" w:rsidR="00BE487A" w:rsidRPr="00BE487A" w:rsidRDefault="00BE487A" w:rsidP="00BE487A">
      <w:pPr>
        <w:spacing w:after="0" w:line="240" w:lineRule="auto"/>
        <w:jc w:val="both"/>
        <w:rPr>
          <w:rFonts w:ascii="Times New Roman" w:hAnsi="Times New Roman" w:cs="Times New Roman"/>
        </w:rPr>
      </w:pPr>
      <w:r w:rsidRPr="00BE487A">
        <w:rPr>
          <w:rFonts w:ascii="Times New Roman" w:hAnsi="Times New Roman" w:cs="Times New Roman"/>
        </w:rPr>
        <w:t>El incremento del ratio deuda PIB fue generalizado para la mayoría de los países del mundo, debido a que se tuvieron bajas en los ingresos fiscales y los países tomaron diversas medidas fiscales como el incremento importante en el gasto público para atender la crisis. Asimismo, se adoptaron estímulos monetarios para mitigar los efectos negativos económicos del COVID-19, motivo por el cual las fuertes políticas expansivas tendrán un alto costo en dicho ratio.  Para Estados Unidos, por ejemplo, el aumento del ratio se situó en 18.9 puntos porcentuales, para Perú un aumento de 8.27 y Brasil del 11.3 puntos porcentuales, en el caso de Chile tuvo un aumento menor de 4.34 puntos porcentuales. Por lo que, el aumento del ratio deuda/PIB, para Guatemala, es muy moderado en comparación al resto del mundo.</w:t>
      </w:r>
    </w:p>
    <w:p w14:paraId="59329EA6" w14:textId="77777777" w:rsidR="00BE487A" w:rsidRPr="00BE487A" w:rsidRDefault="00BE487A" w:rsidP="00BE487A">
      <w:pPr>
        <w:spacing w:after="0" w:line="240" w:lineRule="auto"/>
        <w:jc w:val="both"/>
        <w:rPr>
          <w:rFonts w:ascii="Times New Roman" w:hAnsi="Times New Roman" w:cs="Times New Roman"/>
        </w:rPr>
      </w:pPr>
    </w:p>
    <w:p w14:paraId="00A91F79" w14:textId="0B4B947C" w:rsidR="00FF5433" w:rsidRDefault="00BE487A" w:rsidP="00BE487A">
      <w:pPr>
        <w:spacing w:after="0" w:line="240" w:lineRule="auto"/>
        <w:jc w:val="both"/>
        <w:rPr>
          <w:rFonts w:ascii="Times New Roman" w:hAnsi="Times New Roman" w:cs="Times New Roman"/>
        </w:rPr>
      </w:pPr>
      <w:r w:rsidRPr="00BE487A">
        <w:rPr>
          <w:rFonts w:ascii="Times New Roman" w:hAnsi="Times New Roman" w:cs="Times New Roman"/>
        </w:rPr>
        <w:t>El indicador de solvencia deuda / ingresos fiscales para Latinoamérica también tuvo un incremento generalizado en la región en el 2020. Asimismo, para el 2021 las proyecciones del Fondo Monetario Internacional indica que la relación deuda/ingresos fiscales estará alrededor de 259% para México, 344% para Brasil, 135% para Chile, 468% para República Dominicana, 494% para Costa Rica, y 343.6% para El Salvador, entre otros países.</w:t>
      </w:r>
      <w:r w:rsidRPr="00BE487A">
        <w:rPr>
          <w:rFonts w:ascii="Times New Roman" w:hAnsi="Times New Roman" w:cs="Times New Roman"/>
        </w:rPr>
        <w:tab/>
      </w:r>
    </w:p>
    <w:p w14:paraId="6D8C1211" w14:textId="03A84369" w:rsidR="00BE487A" w:rsidRDefault="00BE487A" w:rsidP="00BE487A">
      <w:pPr>
        <w:spacing w:after="0" w:line="240" w:lineRule="auto"/>
        <w:jc w:val="both"/>
        <w:rPr>
          <w:rFonts w:ascii="Times New Roman" w:hAnsi="Times New Roman" w:cs="Times New Roman"/>
          <w:lang w:val="es-MX"/>
        </w:rPr>
      </w:pPr>
    </w:p>
    <w:p w14:paraId="692EBB14" w14:textId="1C68157B" w:rsidR="008963EF" w:rsidRDefault="008963EF" w:rsidP="00BE487A">
      <w:pPr>
        <w:spacing w:after="0" w:line="240" w:lineRule="auto"/>
        <w:jc w:val="both"/>
        <w:rPr>
          <w:rFonts w:ascii="Times New Roman" w:hAnsi="Times New Roman" w:cs="Times New Roman"/>
          <w:lang w:val="es-MX"/>
        </w:rPr>
      </w:pPr>
    </w:p>
    <w:p w14:paraId="600CE0AE" w14:textId="0923834B" w:rsidR="008963EF" w:rsidRDefault="008963EF" w:rsidP="00BE487A">
      <w:pPr>
        <w:spacing w:after="0" w:line="240" w:lineRule="auto"/>
        <w:jc w:val="both"/>
        <w:rPr>
          <w:rFonts w:ascii="Times New Roman" w:hAnsi="Times New Roman" w:cs="Times New Roman"/>
          <w:lang w:val="es-MX"/>
        </w:rPr>
      </w:pPr>
    </w:p>
    <w:p w14:paraId="3270998E" w14:textId="56D5FA79" w:rsidR="008963EF" w:rsidRDefault="008963EF" w:rsidP="00BE487A">
      <w:pPr>
        <w:spacing w:after="0" w:line="240" w:lineRule="auto"/>
        <w:jc w:val="both"/>
        <w:rPr>
          <w:rFonts w:ascii="Times New Roman" w:hAnsi="Times New Roman" w:cs="Times New Roman"/>
          <w:lang w:val="es-MX"/>
        </w:rPr>
      </w:pPr>
    </w:p>
    <w:p w14:paraId="69F6C58D" w14:textId="7D202A47" w:rsidR="008963EF" w:rsidRDefault="008963EF" w:rsidP="00BE487A">
      <w:pPr>
        <w:spacing w:after="0" w:line="240" w:lineRule="auto"/>
        <w:jc w:val="both"/>
        <w:rPr>
          <w:rFonts w:ascii="Times New Roman" w:hAnsi="Times New Roman" w:cs="Times New Roman"/>
          <w:lang w:val="es-MX"/>
        </w:rPr>
      </w:pPr>
    </w:p>
    <w:p w14:paraId="5602DBA7" w14:textId="743B1F7D" w:rsidR="008963EF" w:rsidRDefault="008963EF" w:rsidP="00BE487A">
      <w:pPr>
        <w:spacing w:after="0" w:line="240" w:lineRule="auto"/>
        <w:jc w:val="both"/>
        <w:rPr>
          <w:rFonts w:ascii="Times New Roman" w:hAnsi="Times New Roman" w:cs="Times New Roman"/>
          <w:lang w:val="es-MX"/>
        </w:rPr>
      </w:pPr>
    </w:p>
    <w:p w14:paraId="1B33E42A" w14:textId="04D518E0" w:rsidR="008963EF" w:rsidRDefault="008963EF" w:rsidP="00BE487A">
      <w:pPr>
        <w:spacing w:after="0" w:line="240" w:lineRule="auto"/>
        <w:jc w:val="both"/>
        <w:rPr>
          <w:rFonts w:ascii="Times New Roman" w:hAnsi="Times New Roman" w:cs="Times New Roman"/>
          <w:lang w:val="es-MX"/>
        </w:rPr>
      </w:pPr>
    </w:p>
    <w:p w14:paraId="7E27FF05" w14:textId="09D5719D" w:rsidR="008963EF" w:rsidRDefault="008963EF" w:rsidP="00BE487A">
      <w:pPr>
        <w:spacing w:after="0" w:line="240" w:lineRule="auto"/>
        <w:jc w:val="both"/>
        <w:rPr>
          <w:rFonts w:ascii="Times New Roman" w:hAnsi="Times New Roman" w:cs="Times New Roman"/>
          <w:lang w:val="es-MX"/>
        </w:rPr>
      </w:pPr>
    </w:p>
    <w:p w14:paraId="5C744244" w14:textId="2A6C0B0B" w:rsidR="008963EF" w:rsidRDefault="008963EF" w:rsidP="00BE487A">
      <w:pPr>
        <w:spacing w:after="0" w:line="240" w:lineRule="auto"/>
        <w:jc w:val="both"/>
        <w:rPr>
          <w:rFonts w:ascii="Times New Roman" w:hAnsi="Times New Roman" w:cs="Times New Roman"/>
          <w:lang w:val="es-MX"/>
        </w:rPr>
      </w:pPr>
    </w:p>
    <w:p w14:paraId="0DF061B1" w14:textId="0E6306E8" w:rsidR="008963EF" w:rsidRDefault="008963EF" w:rsidP="00BE487A">
      <w:pPr>
        <w:spacing w:after="0" w:line="240" w:lineRule="auto"/>
        <w:jc w:val="both"/>
        <w:rPr>
          <w:rFonts w:ascii="Times New Roman" w:hAnsi="Times New Roman" w:cs="Times New Roman"/>
          <w:lang w:val="es-MX"/>
        </w:rPr>
      </w:pPr>
    </w:p>
    <w:p w14:paraId="080CB2E0" w14:textId="57FCDBDF" w:rsidR="008963EF" w:rsidRDefault="008963EF" w:rsidP="00BE487A">
      <w:pPr>
        <w:spacing w:after="0" w:line="240" w:lineRule="auto"/>
        <w:jc w:val="both"/>
        <w:rPr>
          <w:rFonts w:ascii="Times New Roman" w:hAnsi="Times New Roman" w:cs="Times New Roman"/>
          <w:lang w:val="es-MX"/>
        </w:rPr>
      </w:pPr>
    </w:p>
    <w:p w14:paraId="1A8BE9A8" w14:textId="2CD7D9DD" w:rsidR="008963EF" w:rsidRDefault="008963EF" w:rsidP="00BE487A">
      <w:pPr>
        <w:spacing w:after="0" w:line="240" w:lineRule="auto"/>
        <w:jc w:val="both"/>
        <w:rPr>
          <w:rFonts w:ascii="Times New Roman" w:hAnsi="Times New Roman" w:cs="Times New Roman"/>
          <w:lang w:val="es-MX"/>
        </w:rPr>
      </w:pPr>
    </w:p>
    <w:p w14:paraId="6FCDCA0D" w14:textId="77777777" w:rsidR="008963EF" w:rsidRDefault="008963EF" w:rsidP="00BE487A">
      <w:pPr>
        <w:spacing w:after="0" w:line="240" w:lineRule="auto"/>
        <w:jc w:val="both"/>
        <w:rPr>
          <w:rFonts w:ascii="Times New Roman" w:hAnsi="Times New Roman" w:cs="Times New Roman"/>
          <w:lang w:val="es-MX"/>
        </w:rPr>
      </w:pPr>
    </w:p>
    <w:p w14:paraId="2F683FB6" w14:textId="79F6971E" w:rsidR="00245F66" w:rsidRPr="003E14B7" w:rsidRDefault="003E14B7" w:rsidP="006D6C3E">
      <w:pPr>
        <w:pStyle w:val="Epgrafe"/>
        <w:spacing w:after="0"/>
        <w:jc w:val="center"/>
        <w:rPr>
          <w:rFonts w:ascii="Times New Roman" w:hAnsi="Times New Roman" w:cs="Times New Roman"/>
          <w:b/>
          <w:i w:val="0"/>
          <w:iCs w:val="0"/>
          <w:color w:val="auto"/>
          <w:sz w:val="20"/>
          <w:lang w:val="es-MX"/>
        </w:rPr>
      </w:pPr>
      <w:bookmarkStart w:id="1776" w:name="_Toc50016857"/>
      <w:bookmarkStart w:id="1777" w:name="_Toc81573106"/>
      <w:r w:rsidRPr="003E14B7">
        <w:rPr>
          <w:rFonts w:ascii="Times New Roman" w:hAnsi="Times New Roman" w:cs="Times New Roman"/>
          <w:b/>
          <w:color w:val="auto"/>
          <w:sz w:val="20"/>
        </w:rPr>
        <w:t xml:space="preserve">Gráfico </w:t>
      </w:r>
      <w:r w:rsidRPr="003E14B7">
        <w:rPr>
          <w:rFonts w:ascii="Times New Roman" w:hAnsi="Times New Roman" w:cs="Times New Roman"/>
          <w:b/>
          <w:color w:val="auto"/>
          <w:sz w:val="20"/>
        </w:rPr>
        <w:fldChar w:fldCharType="begin"/>
      </w:r>
      <w:r w:rsidRPr="003E14B7">
        <w:rPr>
          <w:rFonts w:ascii="Times New Roman" w:hAnsi="Times New Roman" w:cs="Times New Roman"/>
          <w:b/>
          <w:color w:val="auto"/>
          <w:sz w:val="20"/>
        </w:rPr>
        <w:instrText xml:space="preserve"> SEQ Gráfico \* ARABIC </w:instrText>
      </w:r>
      <w:r w:rsidRPr="003E14B7">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56</w:t>
      </w:r>
      <w:r w:rsidRPr="003E14B7">
        <w:rPr>
          <w:rFonts w:ascii="Times New Roman" w:hAnsi="Times New Roman" w:cs="Times New Roman"/>
          <w:b/>
          <w:color w:val="auto"/>
          <w:sz w:val="20"/>
        </w:rPr>
        <w:fldChar w:fldCharType="end"/>
      </w:r>
      <w:r w:rsidRPr="003E14B7">
        <w:rPr>
          <w:rFonts w:ascii="Times New Roman" w:hAnsi="Times New Roman" w:cs="Times New Roman"/>
          <w:b/>
          <w:color w:val="auto"/>
          <w:sz w:val="20"/>
        </w:rPr>
        <w:t xml:space="preserve">  </w:t>
      </w:r>
      <w:r w:rsidR="00245F66" w:rsidRPr="003E14B7">
        <w:rPr>
          <w:rFonts w:ascii="Times New Roman" w:hAnsi="Times New Roman" w:cs="Times New Roman"/>
          <w:b/>
          <w:i w:val="0"/>
          <w:iCs w:val="0"/>
          <w:color w:val="auto"/>
          <w:sz w:val="22"/>
          <w:szCs w:val="24"/>
        </w:rPr>
        <w:t xml:space="preserve">Indicadores de deuda para Latinoamérica en </w:t>
      </w:r>
      <w:bookmarkEnd w:id="1776"/>
      <w:r w:rsidR="00245F66" w:rsidRPr="003E14B7">
        <w:rPr>
          <w:rFonts w:ascii="Times New Roman" w:hAnsi="Times New Roman" w:cs="Times New Roman"/>
          <w:b/>
          <w:i w:val="0"/>
          <w:iCs w:val="0"/>
          <w:color w:val="auto"/>
          <w:sz w:val="22"/>
          <w:szCs w:val="24"/>
        </w:rPr>
        <w:t>2021</w:t>
      </w:r>
      <w:bookmarkEnd w:id="1777"/>
    </w:p>
    <w:tbl>
      <w:tblPr>
        <w:tblStyle w:val="Tablaconcuadrcula"/>
        <w:tblW w:w="95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849"/>
        <w:gridCol w:w="4674"/>
      </w:tblGrid>
      <w:tr w:rsidR="00245F66" w:rsidRPr="00813233" w14:paraId="75A7E0E8" w14:textId="77777777" w:rsidTr="00127939">
        <w:trPr>
          <w:trHeight w:val="138"/>
          <w:jc w:val="center"/>
        </w:trPr>
        <w:tc>
          <w:tcPr>
            <w:tcW w:w="9523" w:type="dxa"/>
            <w:gridSpan w:val="2"/>
          </w:tcPr>
          <w:p w14:paraId="4D60E715" w14:textId="77777777" w:rsidR="00245F66" w:rsidRDefault="00245F66" w:rsidP="007E21CA">
            <w:pPr>
              <w:rPr>
                <w:rFonts w:ascii="Times New Roman" w:hAnsi="Times New Roman" w:cs="Times New Roman"/>
                <w:sz w:val="18"/>
                <w:szCs w:val="18"/>
              </w:rPr>
            </w:pPr>
            <w:r w:rsidRPr="00813233">
              <w:rPr>
                <w:rFonts w:ascii="Times New Roman" w:hAnsi="Times New Roman" w:cs="Times New Roman"/>
                <w:sz w:val="18"/>
                <w:szCs w:val="18"/>
              </w:rPr>
              <w:t xml:space="preserve">  </w:t>
            </w:r>
          </w:p>
          <w:p w14:paraId="198DF2CA" w14:textId="77777777" w:rsidR="00245F66" w:rsidRPr="00813233" w:rsidRDefault="00245F66" w:rsidP="00127939">
            <w:pPr>
              <w:jc w:val="center"/>
              <w:rPr>
                <w:rFonts w:ascii="Times New Roman" w:hAnsi="Times New Roman" w:cs="Times New Roman"/>
                <w:sz w:val="18"/>
                <w:szCs w:val="18"/>
              </w:rPr>
            </w:pPr>
            <w:r w:rsidRPr="00813233">
              <w:rPr>
                <w:rFonts w:ascii="Times New Roman" w:hAnsi="Times New Roman" w:cs="Times New Roman"/>
                <w:sz w:val="18"/>
                <w:szCs w:val="18"/>
              </w:rPr>
              <w:t xml:space="preserve">  En la gráfica izquierda se encuentra el indicador</w:t>
            </w:r>
            <w:r>
              <w:rPr>
                <w:rFonts w:ascii="Times New Roman" w:hAnsi="Times New Roman" w:cs="Times New Roman"/>
                <w:sz w:val="18"/>
                <w:szCs w:val="18"/>
              </w:rPr>
              <w:t xml:space="preserve"> deuda/</w:t>
            </w:r>
            <w:r w:rsidRPr="00813233">
              <w:rPr>
                <w:rFonts w:ascii="Times New Roman" w:hAnsi="Times New Roman" w:cs="Times New Roman"/>
                <w:sz w:val="18"/>
                <w:szCs w:val="18"/>
              </w:rPr>
              <w:t xml:space="preserve"> ingresos fiscales/ en puntos porcentuales a la par del código de país </w:t>
            </w:r>
          </w:p>
        </w:tc>
      </w:tr>
      <w:tr w:rsidR="00245F66" w:rsidRPr="00813233" w14:paraId="77D528B6" w14:textId="77777777" w:rsidTr="005430E9">
        <w:trPr>
          <w:trHeight w:val="3590"/>
          <w:jc w:val="center"/>
        </w:trPr>
        <w:tc>
          <w:tcPr>
            <w:tcW w:w="4876" w:type="dxa"/>
          </w:tcPr>
          <w:p w14:paraId="041F5674" w14:textId="6CF01E61" w:rsidR="00245F66" w:rsidRPr="00E04F98" w:rsidRDefault="00516A77" w:rsidP="00127939">
            <w:pPr>
              <w:tabs>
                <w:tab w:val="left" w:pos="3780"/>
              </w:tabs>
            </w:pPr>
            <w:r>
              <w:rPr>
                <w:noProof/>
                <w:lang w:val="es-ES" w:eastAsia="es-ES"/>
              </w:rPr>
              <w:drawing>
                <wp:inline distT="0" distB="0" distL="0" distR="0" wp14:anchorId="52CA72A9" wp14:editId="484C578C">
                  <wp:extent cx="2879606" cy="2160000"/>
                  <wp:effectExtent l="0" t="0" r="0" b="0"/>
                  <wp:docPr id="92" name="Gráfico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3C0671C-C43D-49B5-86B2-1C41F0E215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c>
          <w:tcPr>
            <w:tcW w:w="4647" w:type="dxa"/>
          </w:tcPr>
          <w:p w14:paraId="414464A0" w14:textId="390A3848" w:rsidR="00245F66" w:rsidRPr="00E04F98" w:rsidRDefault="00516A77" w:rsidP="00127939">
            <w:pPr>
              <w:rPr>
                <w:rFonts w:ascii="Times New Roman" w:hAnsi="Times New Roman" w:cs="Times New Roman"/>
                <w:i/>
                <w:iCs/>
                <w:noProof/>
                <w:color w:val="44546A" w:themeColor="text2"/>
                <w:sz w:val="18"/>
                <w:szCs w:val="18"/>
                <w:lang w:eastAsia="es-GT"/>
              </w:rPr>
            </w:pPr>
            <w:r>
              <w:rPr>
                <w:noProof/>
                <w:lang w:val="es-ES" w:eastAsia="es-ES"/>
              </w:rPr>
              <w:drawing>
                <wp:inline distT="0" distB="0" distL="0" distR="0" wp14:anchorId="581E04C3" wp14:editId="33C76AFB">
                  <wp:extent cx="2879235" cy="2160000"/>
                  <wp:effectExtent l="0" t="0" r="0" b="0"/>
                  <wp:docPr id="110" name="Gráfico 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48E1D7B5-B8DF-4408-8196-D35E29974F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r>
      <w:tr w:rsidR="00245F66" w:rsidRPr="00813233" w14:paraId="3DBB6BB7" w14:textId="77777777" w:rsidTr="00EE15B5">
        <w:trPr>
          <w:trHeight w:val="68"/>
          <w:jc w:val="center"/>
        </w:trPr>
        <w:tc>
          <w:tcPr>
            <w:tcW w:w="9523" w:type="dxa"/>
            <w:gridSpan w:val="2"/>
          </w:tcPr>
          <w:p w14:paraId="4787BF1C" w14:textId="77777777" w:rsidR="00245F66" w:rsidRPr="00813233" w:rsidRDefault="00245F66" w:rsidP="00A36F3B">
            <w:pPr>
              <w:ind w:right="49"/>
              <w:jc w:val="both"/>
              <w:rPr>
                <w:rFonts w:ascii="Times New Roman" w:hAnsi="Times New Roman" w:cs="Times New Roman"/>
                <w:sz w:val="20"/>
                <w:szCs w:val="24"/>
              </w:rPr>
            </w:pPr>
            <w:r w:rsidRPr="00813233">
              <w:rPr>
                <w:rFonts w:ascii="Times New Roman" w:hAnsi="Times New Roman" w:cs="Times New Roman"/>
                <w:sz w:val="16"/>
                <w:szCs w:val="24"/>
              </w:rPr>
              <w:t xml:space="preserve">                   Fuente: Dirección de Análisis y Política Fiscal con proyecc</w:t>
            </w:r>
            <w:r w:rsidR="00A36F3B">
              <w:rPr>
                <w:rFonts w:ascii="Times New Roman" w:hAnsi="Times New Roman" w:cs="Times New Roman"/>
                <w:sz w:val="16"/>
                <w:szCs w:val="24"/>
              </w:rPr>
              <w:t>iones de cierre del FMI para 2021</w:t>
            </w:r>
            <w:r w:rsidRPr="00813233">
              <w:rPr>
                <w:rFonts w:ascii="Times New Roman" w:hAnsi="Times New Roman" w:cs="Times New Roman"/>
                <w:sz w:val="16"/>
                <w:szCs w:val="24"/>
              </w:rPr>
              <w:t>, a excepción de Guatemala.</w:t>
            </w:r>
          </w:p>
        </w:tc>
      </w:tr>
    </w:tbl>
    <w:p w14:paraId="5A201D73" w14:textId="77777777" w:rsidR="00245F66" w:rsidRPr="00813233" w:rsidRDefault="00245F66" w:rsidP="00245F66">
      <w:pPr>
        <w:spacing w:after="0" w:line="240" w:lineRule="auto"/>
        <w:jc w:val="both"/>
        <w:rPr>
          <w:rFonts w:ascii="Times New Roman" w:hAnsi="Times New Roman" w:cs="Times New Roman"/>
          <w:sz w:val="18"/>
          <w:lang w:val="es-MX"/>
        </w:rPr>
      </w:pPr>
    </w:p>
    <w:p w14:paraId="5D56D58E" w14:textId="7A84B39C" w:rsidR="00516A77" w:rsidRPr="00516A77" w:rsidRDefault="00516A77" w:rsidP="00516A77">
      <w:pPr>
        <w:spacing w:after="0" w:line="240" w:lineRule="auto"/>
        <w:jc w:val="both"/>
        <w:rPr>
          <w:rFonts w:ascii="Times New Roman" w:hAnsi="Times New Roman"/>
          <w:szCs w:val="24"/>
          <w:lang w:val="es-MX"/>
        </w:rPr>
      </w:pPr>
      <w:r w:rsidRPr="00516A77">
        <w:rPr>
          <w:rFonts w:ascii="Times New Roman" w:hAnsi="Times New Roman"/>
          <w:szCs w:val="24"/>
          <w:lang w:val="es-MX"/>
        </w:rPr>
        <w:t>En cuanto a las perspectivas de mediano plazo, la deuda pública de Guatemala según la propuesta de techos presupuestarios para 2022 este indicador podría ubicase en 31.7% y mostraría un</w:t>
      </w:r>
      <w:r w:rsidR="00683000">
        <w:rPr>
          <w:rFonts w:ascii="Times New Roman" w:hAnsi="Times New Roman"/>
          <w:szCs w:val="24"/>
          <w:lang w:val="es-MX"/>
        </w:rPr>
        <w:t xml:space="preserve">a reducción gradual </w:t>
      </w:r>
      <w:r w:rsidRPr="00516A77">
        <w:rPr>
          <w:rFonts w:ascii="Times New Roman" w:hAnsi="Times New Roman"/>
          <w:szCs w:val="24"/>
          <w:lang w:val="es-MX"/>
        </w:rPr>
        <w:t>en los próximos años hasta ubica</w:t>
      </w:r>
      <w:r w:rsidR="00C867A1">
        <w:rPr>
          <w:rFonts w:ascii="Times New Roman" w:hAnsi="Times New Roman"/>
          <w:szCs w:val="24"/>
          <w:lang w:val="es-MX"/>
        </w:rPr>
        <w:t>r</w:t>
      </w:r>
      <w:r w:rsidRPr="00516A77">
        <w:rPr>
          <w:rFonts w:ascii="Times New Roman" w:hAnsi="Times New Roman"/>
          <w:szCs w:val="24"/>
          <w:lang w:val="es-MX"/>
        </w:rPr>
        <w:t>se en 2026 en 31.</w:t>
      </w:r>
      <w:r w:rsidR="00504E08">
        <w:rPr>
          <w:rFonts w:ascii="Times New Roman" w:hAnsi="Times New Roman"/>
          <w:szCs w:val="24"/>
          <w:lang w:val="es-MX"/>
        </w:rPr>
        <w:t>0</w:t>
      </w:r>
      <w:r w:rsidRPr="00516A77">
        <w:rPr>
          <w:rFonts w:ascii="Times New Roman" w:hAnsi="Times New Roman"/>
          <w:szCs w:val="24"/>
          <w:lang w:val="es-MX"/>
        </w:rPr>
        <w:t>%.  Este nivel es el más bajo en todo Centroamérica incluyendo a República Dominicana.  Asimismo, este indicador muestra una tendencia creciente derivado del aumento significativo del déficit fiscal en el último año, pero que aún está por debajo del benchmark utilizado por Guatemala (40% del PIB), aunque dado que Guatemala es un país de ingreso medio, podría estar entre 50% - 60%, según lo establecen organismos financieros internacionales como el Fondo Monetario Internacional y el Banco Mundial. Esta proyección es consistente con una gradual consolidación fiscal que</w:t>
      </w:r>
      <w:r w:rsidR="00C867A1">
        <w:rPr>
          <w:rFonts w:ascii="Times New Roman" w:hAnsi="Times New Roman"/>
          <w:szCs w:val="24"/>
          <w:lang w:val="es-MX"/>
        </w:rPr>
        <w:t xml:space="preserve"> se</w:t>
      </w:r>
      <w:r w:rsidRPr="00516A77">
        <w:rPr>
          <w:rFonts w:ascii="Times New Roman" w:hAnsi="Times New Roman"/>
          <w:szCs w:val="24"/>
          <w:lang w:val="es-MX"/>
        </w:rPr>
        <w:t xml:space="preserve"> busca, después de la crisis del COVID-19, cuyo mayor impacto fue 2020, reducir paulatinamente el déficit primario mediante el aumento de los ingresos fiscales y la reducción moderada del gasto principalmente del asociado a las intervenciones por la Pandemia y al apoyo para la reactivación económica.</w:t>
      </w:r>
    </w:p>
    <w:p w14:paraId="674B8054" w14:textId="77777777" w:rsidR="00516A77" w:rsidRPr="00516A77" w:rsidRDefault="00516A77" w:rsidP="00516A77">
      <w:pPr>
        <w:spacing w:after="0" w:line="240" w:lineRule="auto"/>
        <w:jc w:val="both"/>
        <w:rPr>
          <w:rFonts w:ascii="Times New Roman" w:hAnsi="Times New Roman"/>
          <w:szCs w:val="24"/>
          <w:lang w:val="es-MX"/>
        </w:rPr>
      </w:pPr>
    </w:p>
    <w:p w14:paraId="6EDE6EE5" w14:textId="30A4834D" w:rsidR="007E21CA" w:rsidRDefault="00516A77" w:rsidP="00516A77">
      <w:pPr>
        <w:spacing w:after="0" w:line="240" w:lineRule="auto"/>
        <w:jc w:val="both"/>
        <w:rPr>
          <w:rFonts w:ascii="Times New Roman" w:hAnsi="Times New Roman"/>
          <w:szCs w:val="24"/>
          <w:lang w:val="es-MX"/>
        </w:rPr>
      </w:pPr>
      <w:r w:rsidRPr="00516A77">
        <w:rPr>
          <w:rFonts w:ascii="Times New Roman" w:hAnsi="Times New Roman"/>
          <w:szCs w:val="24"/>
          <w:lang w:val="es-MX"/>
        </w:rPr>
        <w:t>En cuanto al indicador de deuda/ingresos fiscales se estima que podría ubicarse para 2022 en 276.</w:t>
      </w:r>
      <w:r w:rsidR="00683000">
        <w:rPr>
          <w:rFonts w:ascii="Times New Roman" w:hAnsi="Times New Roman"/>
          <w:szCs w:val="24"/>
          <w:lang w:val="es-MX"/>
        </w:rPr>
        <w:t>9</w:t>
      </w:r>
      <w:r w:rsidRPr="00516A77">
        <w:rPr>
          <w:rFonts w:ascii="Times New Roman" w:hAnsi="Times New Roman"/>
          <w:szCs w:val="24"/>
          <w:lang w:val="es-MX"/>
        </w:rPr>
        <w:t>%, para 2023 se prevé que podría situarse en 27</w:t>
      </w:r>
      <w:r w:rsidR="00505454">
        <w:rPr>
          <w:rFonts w:ascii="Times New Roman" w:hAnsi="Times New Roman"/>
          <w:szCs w:val="24"/>
          <w:lang w:val="es-MX"/>
        </w:rPr>
        <w:t>5.5</w:t>
      </w:r>
      <w:r w:rsidRPr="00516A77">
        <w:rPr>
          <w:rFonts w:ascii="Times New Roman" w:hAnsi="Times New Roman"/>
          <w:szCs w:val="24"/>
          <w:lang w:val="es-MX"/>
        </w:rPr>
        <w:t>% del PIB y para 2026 este indicador podría disminuir y ubicarse en torno al 2</w:t>
      </w:r>
      <w:r w:rsidR="00505454">
        <w:rPr>
          <w:rFonts w:ascii="Times New Roman" w:hAnsi="Times New Roman"/>
          <w:szCs w:val="24"/>
          <w:lang w:val="es-MX"/>
        </w:rPr>
        <w:t>63.7</w:t>
      </w:r>
      <w:r w:rsidRPr="00516A77">
        <w:rPr>
          <w:rFonts w:ascii="Times New Roman" w:hAnsi="Times New Roman"/>
          <w:szCs w:val="24"/>
          <w:lang w:val="es-MX"/>
        </w:rPr>
        <w:t xml:space="preserve">%. El máximo recomendado para países de ingreso bajo oscila entre 250% y 300%. Sin embargo, este indicador no es para economías de ingreso medio como Guatemala, y no se precisa de un máximo para estas economías. </w:t>
      </w:r>
      <w:r w:rsidR="00C867A1">
        <w:rPr>
          <w:rFonts w:ascii="Times New Roman" w:hAnsi="Times New Roman"/>
          <w:szCs w:val="24"/>
          <w:lang w:val="es-MX"/>
        </w:rPr>
        <w:t xml:space="preserve">No obstante, </w:t>
      </w:r>
      <w:r w:rsidRPr="00516A77">
        <w:rPr>
          <w:rFonts w:ascii="Times New Roman" w:hAnsi="Times New Roman"/>
          <w:szCs w:val="24"/>
          <w:lang w:val="es-MX"/>
        </w:rPr>
        <w:t>se le sigue dando seguimiento por el efecto que tiene en la capacidad efectiva para hacer frente a los compromisos de deuda. La principal razón por la que este indicador muestra un nivel relativamente alto es por el fuerte aumento de la deuda en 2020 para poder contrarrestar los efectos de la pandemia, además de la caída de los ingresos tributarios. De esa cuenta, en la medida en que dichos ingresos aumenten considerablemente y la generación de endeudamiento sea moderada, la relación deuda / ingreso, bajaría gradualmente y la solvencia del país sería más holgada.</w:t>
      </w:r>
    </w:p>
    <w:p w14:paraId="665148E4" w14:textId="77777777" w:rsidR="007E21CA" w:rsidRDefault="007E21CA" w:rsidP="007E21CA">
      <w:pPr>
        <w:spacing w:after="0" w:line="240" w:lineRule="auto"/>
        <w:jc w:val="both"/>
        <w:rPr>
          <w:rFonts w:ascii="Times New Roman" w:hAnsi="Times New Roman"/>
          <w:szCs w:val="24"/>
          <w:lang w:val="es-MX"/>
        </w:rPr>
      </w:pPr>
    </w:p>
    <w:p w14:paraId="1A063685" w14:textId="30482D28" w:rsidR="007E21CA" w:rsidRDefault="007E21CA" w:rsidP="007E21CA">
      <w:pPr>
        <w:spacing w:after="0" w:line="240" w:lineRule="auto"/>
        <w:jc w:val="both"/>
        <w:rPr>
          <w:rFonts w:ascii="Times New Roman" w:hAnsi="Times New Roman"/>
          <w:szCs w:val="24"/>
          <w:lang w:val="es-MX"/>
        </w:rPr>
      </w:pPr>
    </w:p>
    <w:p w14:paraId="5BF93411" w14:textId="62B64F08" w:rsidR="00F359D3" w:rsidRDefault="00F359D3" w:rsidP="007E21CA">
      <w:pPr>
        <w:spacing w:after="0" w:line="240" w:lineRule="auto"/>
        <w:jc w:val="both"/>
        <w:rPr>
          <w:rFonts w:ascii="Times New Roman" w:hAnsi="Times New Roman"/>
          <w:szCs w:val="24"/>
          <w:lang w:val="es-MX"/>
        </w:rPr>
      </w:pPr>
    </w:p>
    <w:p w14:paraId="0702CC43" w14:textId="6D3F6234" w:rsidR="00F359D3" w:rsidRDefault="00F359D3" w:rsidP="007E21CA">
      <w:pPr>
        <w:spacing w:after="0" w:line="240" w:lineRule="auto"/>
        <w:jc w:val="both"/>
        <w:rPr>
          <w:rFonts w:ascii="Times New Roman" w:hAnsi="Times New Roman"/>
          <w:szCs w:val="24"/>
          <w:lang w:val="es-MX"/>
        </w:rPr>
      </w:pPr>
    </w:p>
    <w:p w14:paraId="33A74BB1" w14:textId="0C7792F2" w:rsidR="00F359D3" w:rsidRDefault="00F359D3" w:rsidP="007E21CA">
      <w:pPr>
        <w:spacing w:after="0" w:line="240" w:lineRule="auto"/>
        <w:jc w:val="both"/>
        <w:rPr>
          <w:rFonts w:ascii="Times New Roman" w:hAnsi="Times New Roman"/>
          <w:szCs w:val="24"/>
          <w:lang w:val="es-MX"/>
        </w:rPr>
      </w:pPr>
    </w:p>
    <w:p w14:paraId="624CF33A" w14:textId="4E272923" w:rsidR="00F359D3" w:rsidRDefault="00F359D3" w:rsidP="007E21CA">
      <w:pPr>
        <w:spacing w:after="0" w:line="240" w:lineRule="auto"/>
        <w:jc w:val="both"/>
        <w:rPr>
          <w:rFonts w:ascii="Times New Roman" w:hAnsi="Times New Roman"/>
          <w:szCs w:val="24"/>
          <w:lang w:val="es-MX"/>
        </w:rPr>
      </w:pPr>
    </w:p>
    <w:p w14:paraId="4F61F7B5" w14:textId="14EA00A8" w:rsidR="00F359D3" w:rsidRDefault="00F359D3" w:rsidP="007E21CA">
      <w:pPr>
        <w:spacing w:after="0" w:line="240" w:lineRule="auto"/>
        <w:jc w:val="both"/>
        <w:rPr>
          <w:rFonts w:ascii="Times New Roman" w:hAnsi="Times New Roman"/>
          <w:szCs w:val="24"/>
          <w:lang w:val="es-MX"/>
        </w:rPr>
      </w:pPr>
    </w:p>
    <w:p w14:paraId="7027EF44" w14:textId="4F801221" w:rsidR="00F359D3" w:rsidRDefault="00F359D3" w:rsidP="007E21CA">
      <w:pPr>
        <w:spacing w:after="0" w:line="240" w:lineRule="auto"/>
        <w:jc w:val="both"/>
        <w:rPr>
          <w:rFonts w:ascii="Times New Roman" w:hAnsi="Times New Roman"/>
          <w:szCs w:val="24"/>
          <w:lang w:val="es-MX"/>
        </w:rPr>
      </w:pPr>
    </w:p>
    <w:p w14:paraId="5FB0CFED" w14:textId="77777777" w:rsidR="00F359D3" w:rsidRDefault="00F359D3" w:rsidP="007E21CA">
      <w:pPr>
        <w:spacing w:after="0" w:line="240" w:lineRule="auto"/>
        <w:jc w:val="both"/>
        <w:rPr>
          <w:rFonts w:ascii="Times New Roman" w:hAnsi="Times New Roman"/>
          <w:szCs w:val="24"/>
          <w:lang w:val="es-MX"/>
        </w:rPr>
      </w:pPr>
    </w:p>
    <w:bookmarkStart w:id="1778" w:name="_Toc81573107"/>
    <w:p w14:paraId="7B665EBC" w14:textId="268888FF" w:rsidR="007E21CA" w:rsidRPr="003D2FF9" w:rsidRDefault="00B011BF" w:rsidP="00B011BF">
      <w:pPr>
        <w:pStyle w:val="Epgrafe"/>
        <w:spacing w:after="0"/>
        <w:jc w:val="center"/>
        <w:rPr>
          <w:b/>
          <w:bCs/>
          <w:i w:val="0"/>
          <w:iCs w:val="0"/>
          <w:color w:val="auto"/>
          <w:sz w:val="24"/>
          <w:szCs w:val="24"/>
        </w:rPr>
      </w:pPr>
      <w:r>
        <w:rPr>
          <w:noProof/>
          <w:lang w:val="es-ES" w:eastAsia="es-ES"/>
        </w:rPr>
        <mc:AlternateContent>
          <mc:Choice Requires="wpg">
            <w:drawing>
              <wp:anchor distT="0" distB="0" distL="114300" distR="114300" simplePos="0" relativeHeight="252006912" behindDoc="0" locked="0" layoutInCell="1" allowOverlap="1" wp14:anchorId="3244B0AF" wp14:editId="32AD4EA7">
                <wp:simplePos x="0" y="0"/>
                <wp:positionH relativeFrom="column">
                  <wp:posOffset>64135</wp:posOffset>
                </wp:positionH>
                <wp:positionV relativeFrom="paragraph">
                  <wp:posOffset>263537</wp:posOffset>
                </wp:positionV>
                <wp:extent cx="5753100" cy="2164715"/>
                <wp:effectExtent l="0" t="0" r="0" b="1905"/>
                <wp:wrapSquare wrapText="bothSides"/>
                <wp:docPr id="115" name="Group 115"/>
                <wp:cNvGraphicFramePr/>
                <a:graphic xmlns:a="http://schemas.openxmlformats.org/drawingml/2006/main">
                  <a:graphicData uri="http://schemas.microsoft.com/office/word/2010/wordprocessingGroup">
                    <wpg:wgp>
                      <wpg:cNvGrpSpPr/>
                      <wpg:grpSpPr>
                        <a:xfrm>
                          <a:off x="0" y="0"/>
                          <a:ext cx="5753100" cy="2164715"/>
                          <a:chOff x="5689" y="0"/>
                          <a:chExt cx="5753685" cy="2164715"/>
                        </a:xfrm>
                      </wpg:grpSpPr>
                      <wpg:graphicFrame>
                        <wpg:cNvPr id="114" name="Gráfico 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2FC7998-6521-4DAA-A4FE-49A7157F5E6E}"/>
                            </a:ext>
                          </a:extLst>
                        </wpg:cNvPr>
                        <wpg:cNvFrPr/>
                        <wpg:xfrm>
                          <a:off x="2882189" y="0"/>
                          <a:ext cx="2877185" cy="2164715"/>
                        </wpg:xfrm>
                        <a:graphic>
                          <a:graphicData uri="http://schemas.openxmlformats.org/drawingml/2006/chart">
                            <c:chart xmlns:c="http://schemas.openxmlformats.org/drawingml/2006/chart" xmlns:r="http://schemas.openxmlformats.org/officeDocument/2006/relationships" r:id="rId107"/>
                          </a:graphicData>
                        </a:graphic>
                      </wpg:graphicFrame>
                      <wpg:graphicFrame>
                        <wpg:cNvPr id="113" name="Gráfico 7">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155A1A4-B26B-47FA-A91E-C122451E8CF1}"/>
                            </a:ext>
                          </a:extLst>
                        </wpg:cNvPr>
                        <wpg:cNvFrPr/>
                        <wpg:xfrm>
                          <a:off x="5689" y="0"/>
                          <a:ext cx="2877185" cy="2164715"/>
                        </wpg:xfrm>
                        <a:graphic>
                          <a:graphicData uri="http://schemas.openxmlformats.org/drawingml/2006/chart">
                            <c:chart xmlns:c="http://schemas.openxmlformats.org/drawingml/2006/chart" xmlns:r="http://schemas.openxmlformats.org/officeDocument/2006/relationships" r:id="rId108"/>
                          </a:graphicData>
                        </a:graphic>
                      </wpg:graphicFrame>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18F34B21" id="Group 115" o:spid="_x0000_s1026" style="position:absolute;margin-left:5.05pt;margin-top:20.75pt;width:453pt;height:170.45pt;z-index:252006912;mso-width-relative:margin;mso-height-relative:margin" coordorigin="56" coordsize="57536,21647" o:gfxdata="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">
                <v:shape id="Gráfico 8" o:spid="_x0000_s1027" type="#_x0000_t75" style="position:absolute;left:28832;width:28776;height:21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">
                  <v:imagedata r:id="rId109" o:title=""/>
                  <o:lock v:ext="edit" aspectratio="f"/>
                </v:shape>
                <v:shape id="Gráfico 7" o:spid="_x0000_s1028" type="#_x0000_t75" style="position:absolute;left:56;width:28776;height:21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">
                  <v:imagedata r:id="rId110" o:title=""/>
                  <o:lock v:ext="edit" aspectratio="f"/>
                </v:shape>
                <w10:wrap type="square"/>
              </v:group>
            </w:pict>
          </mc:Fallback>
        </mc:AlternateContent>
      </w:r>
      <w:r w:rsidR="007E21CA" w:rsidRPr="007E21CA">
        <w:rPr>
          <w:rFonts w:ascii="Times New Roman" w:hAnsi="Times New Roman" w:cs="Times New Roman"/>
          <w:b/>
          <w:color w:val="auto"/>
          <w:sz w:val="20"/>
        </w:rPr>
        <w:t xml:space="preserve">Gráfico </w:t>
      </w:r>
      <w:r w:rsidR="007E21CA" w:rsidRPr="007E21CA">
        <w:rPr>
          <w:rFonts w:ascii="Times New Roman" w:hAnsi="Times New Roman" w:cs="Times New Roman"/>
          <w:b/>
          <w:color w:val="auto"/>
          <w:sz w:val="20"/>
        </w:rPr>
        <w:fldChar w:fldCharType="begin"/>
      </w:r>
      <w:r w:rsidR="007E21CA" w:rsidRPr="007E21CA">
        <w:rPr>
          <w:rFonts w:ascii="Times New Roman" w:hAnsi="Times New Roman" w:cs="Times New Roman"/>
          <w:b/>
          <w:color w:val="auto"/>
          <w:sz w:val="20"/>
        </w:rPr>
        <w:instrText xml:space="preserve"> SEQ Gráfico \* ARABIC </w:instrText>
      </w:r>
      <w:r w:rsidR="007E21CA" w:rsidRPr="007E21CA">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57</w:t>
      </w:r>
      <w:r w:rsidR="007E21CA" w:rsidRPr="007E21CA">
        <w:rPr>
          <w:rFonts w:ascii="Times New Roman" w:hAnsi="Times New Roman" w:cs="Times New Roman"/>
          <w:b/>
          <w:color w:val="auto"/>
          <w:sz w:val="20"/>
        </w:rPr>
        <w:fldChar w:fldCharType="end"/>
      </w:r>
      <w:r w:rsidR="007E21CA" w:rsidRPr="007E21CA">
        <w:rPr>
          <w:rFonts w:ascii="Times New Roman" w:hAnsi="Times New Roman" w:cs="Times New Roman"/>
          <w:b/>
          <w:color w:val="auto"/>
          <w:sz w:val="20"/>
        </w:rPr>
        <w:t xml:space="preserve">  </w:t>
      </w:r>
      <w:r w:rsidR="007E21CA" w:rsidRPr="007E21CA">
        <w:rPr>
          <w:rFonts w:ascii="Times New Roman" w:hAnsi="Times New Roman" w:cs="Times New Roman"/>
          <w:b/>
          <w:bCs/>
          <w:i w:val="0"/>
          <w:iCs w:val="0"/>
          <w:color w:val="auto"/>
          <w:sz w:val="22"/>
          <w:szCs w:val="24"/>
        </w:rPr>
        <w:t>Indicadores de Solvencia de la Deuda Pública</w:t>
      </w:r>
      <w:bookmarkEnd w:id="1778"/>
    </w:p>
    <w:p w14:paraId="2D43572E" w14:textId="738795E6" w:rsidR="007E21CA" w:rsidRDefault="007E21CA" w:rsidP="00C867A1">
      <w:pPr>
        <w:tabs>
          <w:tab w:val="left" w:pos="5414"/>
        </w:tabs>
        <w:rPr>
          <w:rFonts w:ascii="Times New Roman" w:hAnsi="Times New Roman" w:cs="Times New Roman"/>
          <w:sz w:val="16"/>
        </w:rPr>
      </w:pPr>
      <w:r w:rsidRPr="00CE62C3">
        <w:rPr>
          <w:noProof/>
        </w:rPr>
        <w:t xml:space="preserve">  </w:t>
      </w:r>
      <w:r w:rsidRPr="00813233">
        <w:rPr>
          <w:rFonts w:ascii="Times New Roman" w:hAnsi="Times New Roman" w:cs="Times New Roman"/>
          <w:sz w:val="16"/>
        </w:rPr>
        <w:t>Fuente: Dirección de Análisis y Política Fiscal</w:t>
      </w:r>
      <w:r>
        <w:rPr>
          <w:rFonts w:ascii="Times New Roman" w:hAnsi="Times New Roman" w:cs="Times New Roman"/>
          <w:sz w:val="16"/>
        </w:rPr>
        <w:t xml:space="preserve"> </w:t>
      </w:r>
    </w:p>
    <w:p w14:paraId="091AEDB8" w14:textId="092D0560" w:rsidR="007E21CA" w:rsidRDefault="007E21CA" w:rsidP="007E21CA">
      <w:pPr>
        <w:pStyle w:val="Sinespaciado"/>
        <w:ind w:right="49"/>
        <w:jc w:val="both"/>
        <w:rPr>
          <w:rFonts w:ascii="Times New Roman" w:hAnsi="Times New Roman"/>
          <w:szCs w:val="24"/>
          <w:lang w:val="es-MX"/>
        </w:rPr>
      </w:pPr>
      <w:r w:rsidRPr="007E21CA">
        <w:rPr>
          <w:rFonts w:ascii="Times New Roman" w:hAnsi="Times New Roman"/>
          <w:szCs w:val="24"/>
          <w:lang w:val="es-MX"/>
        </w:rPr>
        <w:t>Lo anterior muestra que la deuda en el mediano plazo se perfila en niveles sostenibles, es decir, el gobierno podrá tener la capacidad para atender los compromisos en el corto y mediano plazo.</w:t>
      </w:r>
    </w:p>
    <w:p w14:paraId="1F33E3FB" w14:textId="6C8ECA3A" w:rsidR="00AD394D" w:rsidRDefault="00AD394D" w:rsidP="007E21CA">
      <w:pPr>
        <w:pStyle w:val="Sinespaciado"/>
        <w:ind w:right="49"/>
        <w:jc w:val="both"/>
        <w:rPr>
          <w:rFonts w:ascii="Times New Roman" w:hAnsi="Times New Roman"/>
          <w:szCs w:val="24"/>
          <w:lang w:val="es-MX"/>
        </w:rPr>
      </w:pPr>
    </w:p>
    <w:p w14:paraId="2E283975" w14:textId="77777777" w:rsidR="00AD394D" w:rsidRPr="00AB0538" w:rsidRDefault="00AD394D" w:rsidP="00AB0538">
      <w:pPr>
        <w:pStyle w:val="Sinespaciado"/>
        <w:numPr>
          <w:ilvl w:val="1"/>
          <w:numId w:val="38"/>
        </w:numPr>
        <w:outlineLvl w:val="1"/>
        <w:rPr>
          <w:rFonts w:ascii="Times New Roman" w:hAnsi="Times New Roman" w:cs="Times New Roman"/>
          <w:b/>
          <w:bCs/>
          <w:sz w:val="24"/>
          <w:lang w:val="es-ES"/>
        </w:rPr>
      </w:pPr>
      <w:bookmarkStart w:id="1779" w:name="_Toc16155049"/>
      <w:bookmarkStart w:id="1780" w:name="_Toc49939483"/>
      <w:bookmarkStart w:id="1781" w:name="_Toc81571927"/>
      <w:r w:rsidRPr="00AB0538">
        <w:rPr>
          <w:rFonts w:ascii="Times New Roman" w:hAnsi="Times New Roman" w:cs="Times New Roman"/>
          <w:b/>
          <w:bCs/>
          <w:sz w:val="24"/>
          <w:lang w:val="es-ES"/>
        </w:rPr>
        <w:t>El Ciclo económico y la orientación de la política fiscal</w:t>
      </w:r>
      <w:bookmarkEnd w:id="1779"/>
      <w:bookmarkEnd w:id="1780"/>
      <w:bookmarkEnd w:id="1781"/>
    </w:p>
    <w:p w14:paraId="583110E6" w14:textId="77777777" w:rsidR="00AD394D" w:rsidRPr="00AD394D" w:rsidRDefault="00AD394D" w:rsidP="00AD394D">
      <w:pPr>
        <w:spacing w:after="0" w:line="240" w:lineRule="auto"/>
        <w:rPr>
          <w:rFonts w:ascii="Times New Roman" w:hAnsi="Times New Roman" w:cs="Times New Roman"/>
          <w:lang w:val="es-ES_tradnl" w:eastAsia="es-ES"/>
        </w:rPr>
      </w:pPr>
    </w:p>
    <w:p w14:paraId="6D6227C3" w14:textId="38B353AB" w:rsidR="00AD394D" w:rsidRPr="00AD394D" w:rsidRDefault="00AD394D" w:rsidP="00AD394D">
      <w:pPr>
        <w:spacing w:after="0" w:line="240" w:lineRule="auto"/>
        <w:jc w:val="both"/>
        <w:rPr>
          <w:rFonts w:ascii="Times New Roman" w:hAnsi="Times New Roman" w:cs="Times New Roman"/>
        </w:rPr>
      </w:pPr>
      <w:r w:rsidRPr="00AD394D">
        <w:rPr>
          <w:rFonts w:ascii="Times New Roman" w:hAnsi="Times New Roman" w:cs="Times New Roman"/>
        </w:rPr>
        <w:t>Es importante conocer el efecto del ciclo económico sobre las finanzas públicas, para poder obtener realmente el impacto de las decisiones de política sobre los resultados fiscales. De esa cuenta y siguiendo la metodología del Fondo Monetario Internacional, se estimó un indicador que sirve para aislar el efecto del ciclo económico, el cual es denominado balance cíclicamente ajustado (en sus siglas en ingles BCA), éste muestra el resultado de restar al balance devengado por el gobierno central en un determinado período y los ajustes cíclicos correspondientes a los ingresos y gastos del gobierno en el mismo período. Para el efecto, se determinó el PIB potencial y e</w:t>
      </w:r>
      <w:r>
        <w:rPr>
          <w:rFonts w:ascii="Times New Roman" w:hAnsi="Times New Roman" w:cs="Times New Roman"/>
        </w:rPr>
        <w:t xml:space="preserve">l PIB observado para una serie </w:t>
      </w:r>
      <w:r w:rsidRPr="00AD394D">
        <w:rPr>
          <w:rFonts w:ascii="Times New Roman" w:hAnsi="Times New Roman" w:cs="Times New Roman"/>
        </w:rPr>
        <w:t xml:space="preserve">histórica con períodos anuales, así como de las perspectivas de mediano plazo, además se </w:t>
      </w:r>
      <w:r w:rsidR="007A1552">
        <w:rPr>
          <w:rFonts w:ascii="Times New Roman" w:hAnsi="Times New Roman" w:cs="Times New Roman"/>
        </w:rPr>
        <w:t xml:space="preserve">siguió el supuesto recomendado de que la elasticidad de los ingresos fiscales con respecto al PIB es 1 y la elasticidad del gasto </w:t>
      </w:r>
      <w:r w:rsidRPr="00AD394D">
        <w:rPr>
          <w:rFonts w:ascii="Times New Roman" w:hAnsi="Times New Roman" w:cs="Times New Roman"/>
        </w:rPr>
        <w:t>primario</w:t>
      </w:r>
      <w:r w:rsidR="007A1552">
        <w:rPr>
          <w:rFonts w:ascii="Times New Roman" w:hAnsi="Times New Roman" w:cs="Times New Roman"/>
        </w:rPr>
        <w:t xml:space="preserve"> es 0, con el fin de obtener el ingreso y gasto neutral</w:t>
      </w:r>
      <w:r w:rsidRPr="00AD394D">
        <w:rPr>
          <w:rFonts w:ascii="Times New Roman" w:hAnsi="Times New Roman" w:cs="Times New Roman"/>
        </w:rPr>
        <w:t>.</w:t>
      </w:r>
    </w:p>
    <w:p w14:paraId="699C465E" w14:textId="77777777" w:rsidR="00AD394D" w:rsidRPr="00AD394D" w:rsidRDefault="00AD394D" w:rsidP="00AD394D">
      <w:pPr>
        <w:spacing w:after="0" w:line="240" w:lineRule="auto"/>
        <w:jc w:val="both"/>
        <w:rPr>
          <w:rFonts w:ascii="Times New Roman" w:hAnsi="Times New Roman" w:cs="Times New Roman"/>
        </w:rPr>
      </w:pPr>
    </w:p>
    <w:p w14:paraId="1992C5E5" w14:textId="68BD9197" w:rsidR="007C3467" w:rsidRDefault="00AD394D" w:rsidP="00AD394D">
      <w:pPr>
        <w:spacing w:after="0" w:line="240" w:lineRule="auto"/>
        <w:jc w:val="both"/>
        <w:rPr>
          <w:rFonts w:ascii="Times New Roman" w:hAnsi="Times New Roman" w:cs="Times New Roman"/>
        </w:rPr>
      </w:pPr>
      <w:r w:rsidRPr="00AD394D">
        <w:rPr>
          <w:rFonts w:ascii="Times New Roman" w:hAnsi="Times New Roman" w:cs="Times New Roman"/>
        </w:rPr>
        <w:t>Los resultados mostraron que no existen muchas diferencias entre el componente cíclico del balance fiscal y el balance observado, salvo en algunos años específicos como en 2020-202</w:t>
      </w:r>
      <w:r w:rsidR="007A1552" w:rsidRPr="007C3467">
        <w:rPr>
          <w:rFonts w:ascii="Times New Roman" w:hAnsi="Times New Roman" w:cs="Times New Roman"/>
        </w:rPr>
        <w:t>3</w:t>
      </w:r>
      <w:r w:rsidRPr="00AD394D">
        <w:rPr>
          <w:rFonts w:ascii="Times New Roman" w:hAnsi="Times New Roman" w:cs="Times New Roman"/>
        </w:rPr>
        <w:t xml:space="preserve">, en donde la brecha entre ambos balances es de aproximadamente </w:t>
      </w:r>
      <w:r w:rsidR="007C3467" w:rsidRPr="007C3467">
        <w:rPr>
          <w:rFonts w:ascii="Times New Roman" w:hAnsi="Times New Roman" w:cs="Times New Roman"/>
        </w:rPr>
        <w:t>0</w:t>
      </w:r>
      <w:r w:rsidRPr="00AD394D">
        <w:rPr>
          <w:rFonts w:ascii="Times New Roman" w:hAnsi="Times New Roman" w:cs="Times New Roman"/>
        </w:rPr>
        <w:t>.7</w:t>
      </w:r>
      <w:r w:rsidR="007C3467" w:rsidRPr="007C3467">
        <w:rPr>
          <w:rFonts w:ascii="Times New Roman" w:hAnsi="Times New Roman" w:cs="Times New Roman"/>
        </w:rPr>
        <w:t>0</w:t>
      </w:r>
      <w:r w:rsidRPr="00AD394D">
        <w:rPr>
          <w:rFonts w:ascii="Times New Roman" w:hAnsi="Times New Roman" w:cs="Times New Roman"/>
        </w:rPr>
        <w:t xml:space="preserve"> y 0.</w:t>
      </w:r>
      <w:r w:rsidR="007C3467" w:rsidRPr="007C3467">
        <w:rPr>
          <w:rFonts w:ascii="Times New Roman" w:hAnsi="Times New Roman" w:cs="Times New Roman"/>
        </w:rPr>
        <w:t>11</w:t>
      </w:r>
      <w:r w:rsidRPr="00AD394D">
        <w:rPr>
          <w:rFonts w:ascii="Times New Roman" w:hAnsi="Times New Roman" w:cs="Times New Roman"/>
        </w:rPr>
        <w:t xml:space="preserve"> puntos porcentuales del PIB, respectivamente; la interpretación de este caso en donde el balance fiscal observado es menor al cíclicamente ajustado, muestra que las finanzas públicas generan una mayor brecha que la posición subyacente (cíclicamente ajustada), porque la economía tiene un bajo desempeño </w:t>
      </w:r>
      <w:r w:rsidR="007C3467">
        <w:rPr>
          <w:rFonts w:ascii="Times New Roman" w:hAnsi="Times New Roman" w:cs="Times New Roman"/>
        </w:rPr>
        <w:t>y se encuentra en recuperación por la crisis económica derivada del COVID-19.</w:t>
      </w:r>
    </w:p>
    <w:p w14:paraId="7FB8D1EC" w14:textId="712717A8" w:rsidR="007C3467" w:rsidRDefault="007C3467" w:rsidP="00AD394D">
      <w:pPr>
        <w:spacing w:after="0" w:line="240" w:lineRule="auto"/>
        <w:jc w:val="both"/>
        <w:rPr>
          <w:rFonts w:ascii="Times New Roman" w:hAnsi="Times New Roman" w:cs="Times New Roman"/>
        </w:rPr>
      </w:pPr>
    </w:p>
    <w:p w14:paraId="03C370DC" w14:textId="47408D36" w:rsidR="00B011BF" w:rsidRDefault="00B011BF" w:rsidP="00AD394D">
      <w:pPr>
        <w:spacing w:after="0" w:line="240" w:lineRule="auto"/>
        <w:jc w:val="both"/>
        <w:rPr>
          <w:rFonts w:ascii="Times New Roman" w:hAnsi="Times New Roman" w:cs="Times New Roman"/>
        </w:rPr>
      </w:pPr>
    </w:p>
    <w:p w14:paraId="127633FA" w14:textId="37306071" w:rsidR="00B011BF" w:rsidRDefault="00B011BF" w:rsidP="00AD394D">
      <w:pPr>
        <w:spacing w:after="0" w:line="240" w:lineRule="auto"/>
        <w:jc w:val="both"/>
        <w:rPr>
          <w:rFonts w:ascii="Times New Roman" w:hAnsi="Times New Roman" w:cs="Times New Roman"/>
        </w:rPr>
      </w:pPr>
    </w:p>
    <w:p w14:paraId="55F09149" w14:textId="42536C8E" w:rsidR="00B011BF" w:rsidRDefault="00B011BF" w:rsidP="00AD394D">
      <w:pPr>
        <w:spacing w:after="0" w:line="240" w:lineRule="auto"/>
        <w:jc w:val="both"/>
        <w:rPr>
          <w:rFonts w:ascii="Times New Roman" w:hAnsi="Times New Roman" w:cs="Times New Roman"/>
        </w:rPr>
      </w:pPr>
    </w:p>
    <w:p w14:paraId="157855DC" w14:textId="3F24195D" w:rsidR="00B011BF" w:rsidRDefault="00B011BF" w:rsidP="00AD394D">
      <w:pPr>
        <w:spacing w:after="0" w:line="240" w:lineRule="auto"/>
        <w:jc w:val="both"/>
        <w:rPr>
          <w:rFonts w:ascii="Times New Roman" w:hAnsi="Times New Roman" w:cs="Times New Roman"/>
        </w:rPr>
      </w:pPr>
    </w:p>
    <w:p w14:paraId="66EDE84A" w14:textId="43584610" w:rsidR="00B011BF" w:rsidRDefault="00B011BF" w:rsidP="00AD394D">
      <w:pPr>
        <w:spacing w:after="0" w:line="240" w:lineRule="auto"/>
        <w:jc w:val="both"/>
        <w:rPr>
          <w:rFonts w:ascii="Times New Roman" w:hAnsi="Times New Roman" w:cs="Times New Roman"/>
        </w:rPr>
      </w:pPr>
    </w:p>
    <w:p w14:paraId="2C8499CC" w14:textId="005E1A68" w:rsidR="00B011BF" w:rsidRDefault="00B011BF" w:rsidP="00AD394D">
      <w:pPr>
        <w:spacing w:after="0" w:line="240" w:lineRule="auto"/>
        <w:jc w:val="both"/>
        <w:rPr>
          <w:rFonts w:ascii="Times New Roman" w:hAnsi="Times New Roman" w:cs="Times New Roman"/>
        </w:rPr>
      </w:pPr>
    </w:p>
    <w:p w14:paraId="3527C4A0" w14:textId="1CAF9B58" w:rsidR="00B011BF" w:rsidRDefault="00B011BF" w:rsidP="00AD394D">
      <w:pPr>
        <w:spacing w:after="0" w:line="240" w:lineRule="auto"/>
        <w:jc w:val="both"/>
        <w:rPr>
          <w:rFonts w:ascii="Times New Roman" w:hAnsi="Times New Roman" w:cs="Times New Roman"/>
        </w:rPr>
      </w:pPr>
    </w:p>
    <w:p w14:paraId="17E74BD9" w14:textId="6257F9D3" w:rsidR="00B011BF" w:rsidRDefault="00B011BF" w:rsidP="00AD394D">
      <w:pPr>
        <w:spacing w:after="0" w:line="240" w:lineRule="auto"/>
        <w:jc w:val="both"/>
        <w:rPr>
          <w:rFonts w:ascii="Times New Roman" w:hAnsi="Times New Roman" w:cs="Times New Roman"/>
        </w:rPr>
      </w:pPr>
    </w:p>
    <w:p w14:paraId="641809BD" w14:textId="2227E262" w:rsidR="00B011BF" w:rsidRDefault="00B011BF" w:rsidP="00AD394D">
      <w:pPr>
        <w:spacing w:after="0" w:line="240" w:lineRule="auto"/>
        <w:jc w:val="both"/>
        <w:rPr>
          <w:rFonts w:ascii="Times New Roman" w:hAnsi="Times New Roman" w:cs="Times New Roman"/>
        </w:rPr>
      </w:pPr>
    </w:p>
    <w:p w14:paraId="6F2493DA" w14:textId="77777777" w:rsidR="00B011BF" w:rsidRDefault="00B011BF" w:rsidP="00AD394D">
      <w:pPr>
        <w:spacing w:after="0" w:line="240" w:lineRule="auto"/>
        <w:jc w:val="both"/>
        <w:rPr>
          <w:rFonts w:ascii="Times New Roman" w:hAnsi="Times New Roman" w:cs="Times New Roman"/>
        </w:rPr>
      </w:pPr>
    </w:p>
    <w:p w14:paraId="61AF2169" w14:textId="39D6EAD0" w:rsidR="00AD394D" w:rsidRPr="00FB2835" w:rsidRDefault="00FB2835" w:rsidP="00FB2835">
      <w:pPr>
        <w:pStyle w:val="Epgrafe"/>
        <w:jc w:val="center"/>
        <w:rPr>
          <w:rFonts w:ascii="Times New Roman" w:hAnsi="Times New Roman" w:cs="Times New Roman"/>
          <w:b/>
          <w:bCs/>
          <w:color w:val="auto"/>
          <w:sz w:val="22"/>
        </w:rPr>
      </w:pPr>
      <w:bookmarkStart w:id="1782" w:name="_Toc16158437"/>
      <w:bookmarkStart w:id="1783" w:name="_Toc50016863"/>
      <w:bookmarkStart w:id="1784" w:name="_Toc81573108"/>
      <w:r w:rsidRPr="00FB2835">
        <w:rPr>
          <w:rFonts w:ascii="Times New Roman" w:hAnsi="Times New Roman" w:cs="Times New Roman"/>
          <w:b/>
          <w:color w:val="auto"/>
          <w:sz w:val="22"/>
        </w:rPr>
        <w:t xml:space="preserve">Gráfico </w:t>
      </w:r>
      <w:r w:rsidRPr="00FB2835">
        <w:rPr>
          <w:rFonts w:ascii="Times New Roman" w:hAnsi="Times New Roman" w:cs="Times New Roman"/>
          <w:b/>
          <w:color w:val="auto"/>
          <w:sz w:val="22"/>
        </w:rPr>
        <w:fldChar w:fldCharType="begin"/>
      </w:r>
      <w:r w:rsidRPr="00FB2835">
        <w:rPr>
          <w:rFonts w:ascii="Times New Roman" w:hAnsi="Times New Roman" w:cs="Times New Roman"/>
          <w:b/>
          <w:color w:val="auto"/>
          <w:sz w:val="22"/>
        </w:rPr>
        <w:instrText xml:space="preserve"> SEQ Gráfico \* ARABIC </w:instrText>
      </w:r>
      <w:r w:rsidRPr="00FB2835">
        <w:rPr>
          <w:rFonts w:ascii="Times New Roman" w:hAnsi="Times New Roman" w:cs="Times New Roman"/>
          <w:b/>
          <w:color w:val="auto"/>
          <w:sz w:val="22"/>
        </w:rPr>
        <w:fldChar w:fldCharType="separate"/>
      </w:r>
      <w:r w:rsidR="00D6529D">
        <w:rPr>
          <w:rFonts w:ascii="Times New Roman" w:hAnsi="Times New Roman" w:cs="Times New Roman"/>
          <w:b/>
          <w:noProof/>
          <w:color w:val="auto"/>
          <w:sz w:val="22"/>
        </w:rPr>
        <w:t>58</w:t>
      </w:r>
      <w:r w:rsidRPr="00FB2835">
        <w:rPr>
          <w:rFonts w:ascii="Times New Roman" w:hAnsi="Times New Roman" w:cs="Times New Roman"/>
          <w:b/>
          <w:color w:val="auto"/>
          <w:sz w:val="22"/>
        </w:rPr>
        <w:fldChar w:fldCharType="end"/>
      </w:r>
      <w:r w:rsidR="00AD394D" w:rsidRPr="00FB2835">
        <w:rPr>
          <w:rFonts w:ascii="Times New Roman" w:hAnsi="Times New Roman" w:cs="Times New Roman"/>
          <w:b/>
          <w:bCs/>
          <w:color w:val="auto"/>
          <w:sz w:val="22"/>
        </w:rPr>
        <w:t xml:space="preserve">. </w:t>
      </w:r>
      <w:r w:rsidR="00AD394D" w:rsidRPr="00FB2835">
        <w:rPr>
          <w:rFonts w:ascii="Times New Roman" w:hAnsi="Times New Roman" w:cs="Times New Roman"/>
          <w:b/>
          <w:iCs w:val="0"/>
          <w:color w:val="auto"/>
          <w:sz w:val="22"/>
        </w:rPr>
        <w:t>Balance cíclicamente ajustado y observado</w:t>
      </w:r>
      <w:bookmarkEnd w:id="1782"/>
      <w:bookmarkEnd w:id="1783"/>
      <w:bookmarkEnd w:id="1784"/>
    </w:p>
    <w:p w14:paraId="16A192D6" w14:textId="65F3D120" w:rsidR="00AD394D" w:rsidRPr="00AD394D" w:rsidRDefault="007A1552" w:rsidP="00AD394D">
      <w:pPr>
        <w:spacing w:after="0"/>
        <w:jc w:val="center"/>
        <w:rPr>
          <w:rFonts w:ascii="Times New Roman" w:hAnsi="Times New Roman" w:cs="Times New Roman"/>
          <w:lang w:val="es-ES_tradnl" w:eastAsia="es-ES"/>
        </w:rPr>
      </w:pPr>
      <w:r>
        <w:rPr>
          <w:noProof/>
          <w:lang w:val="es-ES" w:eastAsia="es-ES"/>
        </w:rPr>
        <w:drawing>
          <wp:inline distT="0" distB="0" distL="0" distR="0" wp14:anchorId="55AAA0D9" wp14:editId="6D1B584D">
            <wp:extent cx="5326838" cy="2600960"/>
            <wp:effectExtent l="0" t="0" r="7620" b="8890"/>
            <wp:docPr id="193" name="Chart 19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4A35BEE-B457-49D0-82B8-87EAE76A36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4F8ADF7A" w14:textId="77777777" w:rsidR="00AD394D" w:rsidRPr="00AD394D" w:rsidRDefault="00AD394D" w:rsidP="00AD394D">
      <w:pPr>
        <w:spacing w:after="0"/>
        <w:ind w:firstLine="708"/>
        <w:rPr>
          <w:rFonts w:ascii="Times New Roman" w:hAnsi="Times New Roman" w:cs="Times New Roman"/>
          <w:sz w:val="16"/>
          <w:lang w:val="es-ES_tradnl" w:eastAsia="es-ES"/>
        </w:rPr>
      </w:pPr>
      <w:r w:rsidRPr="00AD394D">
        <w:rPr>
          <w:rFonts w:ascii="Times New Roman" w:hAnsi="Times New Roman" w:cs="Times New Roman"/>
          <w:sz w:val="16"/>
          <w:lang w:val="es-ES_tradnl" w:eastAsia="es-ES"/>
        </w:rPr>
        <w:t xml:space="preserve">Fuente: Dirección de Análisis y Política Fiscal </w:t>
      </w:r>
    </w:p>
    <w:p w14:paraId="1DAC2CF4" w14:textId="77777777" w:rsidR="00AD394D" w:rsidRPr="00AD394D" w:rsidRDefault="00AD394D" w:rsidP="00AD394D">
      <w:pPr>
        <w:spacing w:after="0" w:line="240" w:lineRule="auto"/>
        <w:rPr>
          <w:rFonts w:ascii="Times New Roman" w:hAnsi="Times New Roman" w:cs="Times New Roman"/>
          <w:sz w:val="20"/>
          <w:lang w:val="es-ES_tradnl" w:eastAsia="es-ES"/>
        </w:rPr>
      </w:pPr>
      <w:r w:rsidRPr="00AD394D">
        <w:rPr>
          <w:rFonts w:ascii="Times New Roman" w:hAnsi="Times New Roman" w:cs="Times New Roman"/>
          <w:sz w:val="14"/>
          <w:lang w:val="es-ES_tradnl" w:eastAsia="es-ES"/>
        </w:rPr>
        <w:t xml:space="preserve">                                  </w:t>
      </w:r>
    </w:p>
    <w:p w14:paraId="71455A1D" w14:textId="6571A85B" w:rsidR="00AD394D" w:rsidRDefault="00AD394D" w:rsidP="00AD394D">
      <w:pPr>
        <w:spacing w:after="0" w:line="240" w:lineRule="auto"/>
        <w:jc w:val="both"/>
        <w:rPr>
          <w:rFonts w:ascii="Times New Roman" w:hAnsi="Times New Roman" w:cs="Times New Roman"/>
          <w:lang w:val="es-ES_tradnl" w:eastAsia="es-ES"/>
        </w:rPr>
      </w:pPr>
      <w:r w:rsidRPr="00AD394D">
        <w:rPr>
          <w:rFonts w:ascii="Times New Roman" w:hAnsi="Times New Roman" w:cs="Times New Roman"/>
          <w:lang w:val="es-ES_tradnl" w:eastAsia="es-ES"/>
        </w:rPr>
        <w:t xml:space="preserve">Por otro lado, los resultados financieros sugieren que la política fiscal para el período 2005 – 2019, fue levemente contractiva en la mayor parte de los años hasta 2016, a excepción de los años (2005, 2006, 2009 y 2014) en donde la política fiscal fue expansiva. En toda la serie histórica se observa que la mayor expansión se dio en 2009, debido al efecto de la crisis económica internacional, en donde el gobierno para contrarrestar dicho efecto en la economía aumentó el gasto público y no tomó medidas para contener el ajuste automático (a la baja) de la recaudación tributaria producto de la crisis, lo que tuvo un efecto expansivo en la política fiscal. Después, de esos años la política fiscal fue contractiva (2010-2016) situación que se agudizó en los años 2015 en donde el gasto se contrajo fuertemente, en parte porque la economía se encontraba por encima de su nivel potencial, pero también por una política fiscal deliberada de contención de gasto asociado a los problemas de liquidez del gobierno.  A partir de 2017 esto cambió, la política fiscal empezó a ser expansiva al principio por la expansión no deliberada por el lado del ingreso por la reducción en la carga tributaria y posteriormente por una mayor expansión de gasto, importante indicar acá el efecto que tuvo al aumento de la inversión pública en 2018 y 2019, situación que se </w:t>
      </w:r>
      <w:r w:rsidR="001C3B79">
        <w:rPr>
          <w:rFonts w:ascii="Times New Roman" w:hAnsi="Times New Roman" w:cs="Times New Roman"/>
          <w:lang w:val="es-ES_tradnl" w:eastAsia="es-ES"/>
        </w:rPr>
        <w:t>amplió</w:t>
      </w:r>
      <w:r w:rsidRPr="00AD394D">
        <w:rPr>
          <w:rFonts w:ascii="Times New Roman" w:hAnsi="Times New Roman" w:cs="Times New Roman"/>
          <w:lang w:val="es-ES_tradnl" w:eastAsia="es-ES"/>
        </w:rPr>
        <w:t xml:space="preserve"> profundamente en 2020 más por un empuje en el gasto social, derivado que la crisis causada por el COVID-19 h</w:t>
      </w:r>
      <w:r w:rsidR="001C3B79">
        <w:rPr>
          <w:rFonts w:ascii="Times New Roman" w:hAnsi="Times New Roman" w:cs="Times New Roman"/>
          <w:lang w:val="es-ES_tradnl" w:eastAsia="es-ES"/>
        </w:rPr>
        <w:t>izo</w:t>
      </w:r>
      <w:r w:rsidRPr="00AD394D">
        <w:rPr>
          <w:rFonts w:ascii="Times New Roman" w:hAnsi="Times New Roman" w:cs="Times New Roman"/>
          <w:lang w:val="es-ES_tradnl" w:eastAsia="es-ES"/>
        </w:rPr>
        <w:t xml:space="preserve"> necesario una fuerte intervención del gobierno mediante programas sociales y de apoyo empresarial para mitigar el efecto en la economía, y sin bien también se dio un ajuste en los ingresos tributarios por la contracción ec</w:t>
      </w:r>
      <w:r w:rsidR="001C3B79">
        <w:rPr>
          <w:rFonts w:ascii="Times New Roman" w:hAnsi="Times New Roman" w:cs="Times New Roman"/>
          <w:lang w:val="es-ES_tradnl" w:eastAsia="es-ES"/>
        </w:rPr>
        <w:t>onómica, el</w:t>
      </w:r>
      <w:r w:rsidRPr="00AD394D">
        <w:rPr>
          <w:rFonts w:ascii="Times New Roman" w:hAnsi="Times New Roman" w:cs="Times New Roman"/>
          <w:lang w:val="es-ES_tradnl" w:eastAsia="es-ES"/>
        </w:rPr>
        <w:t xml:space="preserve"> ajuste fue menor al aumento adicional en el gasto de gobierno en dicho año. </w:t>
      </w:r>
    </w:p>
    <w:p w14:paraId="545486EB" w14:textId="7C575D62" w:rsidR="001C3B79" w:rsidRDefault="001C3B79" w:rsidP="00AD394D">
      <w:pPr>
        <w:spacing w:after="0" w:line="240" w:lineRule="auto"/>
        <w:jc w:val="both"/>
        <w:rPr>
          <w:rFonts w:ascii="Times New Roman" w:hAnsi="Times New Roman" w:cs="Times New Roman"/>
          <w:lang w:val="es-ES_tradnl" w:eastAsia="es-ES"/>
        </w:rPr>
      </w:pPr>
    </w:p>
    <w:p w14:paraId="3EA6688B" w14:textId="65D89D33" w:rsidR="001C3B79" w:rsidRDefault="001C3B79" w:rsidP="00AD394D">
      <w:pPr>
        <w:spacing w:after="0" w:line="240" w:lineRule="auto"/>
        <w:jc w:val="both"/>
        <w:rPr>
          <w:rFonts w:ascii="Times New Roman" w:hAnsi="Times New Roman" w:cs="Times New Roman"/>
          <w:lang w:val="es-ES_tradnl" w:eastAsia="es-ES"/>
        </w:rPr>
      </w:pPr>
      <w:r>
        <w:rPr>
          <w:rFonts w:ascii="Times New Roman" w:hAnsi="Times New Roman" w:cs="Times New Roman"/>
          <w:lang w:val="es-ES_tradnl" w:eastAsia="es-ES"/>
        </w:rPr>
        <w:t xml:space="preserve">En 2021 la </w:t>
      </w:r>
      <w:r w:rsidR="003C4315">
        <w:rPr>
          <w:rFonts w:ascii="Times New Roman" w:hAnsi="Times New Roman" w:cs="Times New Roman"/>
          <w:lang w:val="es-ES_tradnl" w:eastAsia="es-ES"/>
        </w:rPr>
        <w:t xml:space="preserve">política fiscal será ampliamente contractiva derivado principalmente a la contracción del gasto público que tendrá lugar este año dado que los programas sociales y económicos que tuvieron lugar en 2020 para atender la crisis del COVID-19 cumplieron los objetivos para los que fueron diseñados y por ello ya no se encuentran vigentes en 2021. Adicionalmente, se han tomado medidas por parte de la Administración Tributaria </w:t>
      </w:r>
      <w:r w:rsidR="003C4315" w:rsidRPr="003C4315">
        <w:rPr>
          <w:rFonts w:ascii="Times New Roman" w:hAnsi="Times New Roman" w:cs="Times New Roman"/>
          <w:lang w:val="es-ES_tradnl" w:eastAsia="es-ES"/>
        </w:rPr>
        <w:t>como parte de los esfuerzos por contener la caída observada en 2020</w:t>
      </w:r>
      <w:r w:rsidR="003C4315">
        <w:rPr>
          <w:rFonts w:ascii="Times New Roman" w:hAnsi="Times New Roman" w:cs="Times New Roman"/>
          <w:lang w:val="es-ES_tradnl" w:eastAsia="es-ES"/>
        </w:rPr>
        <w:t xml:space="preserve">, que ha aumentado sustancialmente la recaudación tributaria.  </w:t>
      </w:r>
    </w:p>
    <w:p w14:paraId="0C9F03B3" w14:textId="77777777" w:rsidR="00AD394D" w:rsidRPr="00AD394D" w:rsidRDefault="00AD394D" w:rsidP="00AD394D">
      <w:pPr>
        <w:spacing w:after="0" w:line="240" w:lineRule="auto"/>
        <w:jc w:val="both"/>
        <w:rPr>
          <w:rFonts w:ascii="Times New Roman" w:hAnsi="Times New Roman" w:cs="Times New Roman"/>
          <w:lang w:val="es-ES_tradnl" w:eastAsia="es-ES"/>
        </w:rPr>
      </w:pPr>
    </w:p>
    <w:p w14:paraId="4B5D9290" w14:textId="7BCDFE1A" w:rsidR="00AD394D" w:rsidRPr="00AD394D" w:rsidRDefault="00AD394D" w:rsidP="00AD394D">
      <w:pPr>
        <w:spacing w:after="0" w:line="240" w:lineRule="auto"/>
        <w:jc w:val="both"/>
        <w:rPr>
          <w:rFonts w:ascii="Times New Roman" w:hAnsi="Times New Roman" w:cs="Times New Roman"/>
          <w:lang w:val="es-ES_tradnl" w:eastAsia="es-ES"/>
        </w:rPr>
      </w:pPr>
      <w:r w:rsidRPr="00AD394D">
        <w:rPr>
          <w:rFonts w:ascii="Times New Roman" w:hAnsi="Times New Roman" w:cs="Times New Roman"/>
          <w:lang w:val="es-ES_tradnl" w:eastAsia="es-ES"/>
        </w:rPr>
        <w:t>En el mediano plazo, según las proyecciones del presupuesto multianual, se espera que solo en 202</w:t>
      </w:r>
      <w:r w:rsidR="003C4315">
        <w:rPr>
          <w:rFonts w:ascii="Times New Roman" w:hAnsi="Times New Roman" w:cs="Times New Roman"/>
          <w:lang w:val="es-ES_tradnl" w:eastAsia="es-ES"/>
        </w:rPr>
        <w:t>2</w:t>
      </w:r>
      <w:r w:rsidRPr="00AD394D">
        <w:rPr>
          <w:rFonts w:ascii="Times New Roman" w:hAnsi="Times New Roman" w:cs="Times New Roman"/>
          <w:lang w:val="es-ES_tradnl" w:eastAsia="es-ES"/>
        </w:rPr>
        <w:t xml:space="preserve"> la política fiscal se</w:t>
      </w:r>
      <w:r w:rsidR="003C4315">
        <w:rPr>
          <w:rFonts w:ascii="Times New Roman" w:hAnsi="Times New Roman" w:cs="Times New Roman"/>
          <w:lang w:val="es-ES_tradnl" w:eastAsia="es-ES"/>
        </w:rPr>
        <w:t xml:space="preserve">a </w:t>
      </w:r>
      <w:r w:rsidRPr="00AD394D">
        <w:rPr>
          <w:rFonts w:ascii="Times New Roman" w:hAnsi="Times New Roman" w:cs="Times New Roman"/>
          <w:lang w:val="es-ES_tradnl" w:eastAsia="es-ES"/>
        </w:rPr>
        <w:t xml:space="preserve">expansiva, </w:t>
      </w:r>
      <w:r w:rsidR="003C4315">
        <w:rPr>
          <w:rFonts w:ascii="Times New Roman" w:hAnsi="Times New Roman" w:cs="Times New Roman"/>
          <w:lang w:val="es-ES_tradnl" w:eastAsia="es-ES"/>
        </w:rPr>
        <w:t xml:space="preserve">dado que se espera que el proyecto de presupuesto sea aprobado luego de dos ejercicios fiscales sin contar con un presupuesto aprobado por parte del Organismo Legislativo, lo cual daría certeza de gasto a las entidades del gobierno y </w:t>
      </w:r>
      <w:r w:rsidR="001264CB">
        <w:rPr>
          <w:rFonts w:ascii="Times New Roman" w:hAnsi="Times New Roman" w:cs="Times New Roman"/>
          <w:lang w:val="es-ES_tradnl" w:eastAsia="es-ES"/>
        </w:rPr>
        <w:t>el gasto público crecería. A</w:t>
      </w:r>
      <w:r w:rsidRPr="00AD394D">
        <w:rPr>
          <w:rFonts w:ascii="Times New Roman" w:hAnsi="Times New Roman" w:cs="Times New Roman"/>
          <w:lang w:val="es-ES_tradnl" w:eastAsia="es-ES"/>
        </w:rPr>
        <w:t xml:space="preserve"> partir de 202</w:t>
      </w:r>
      <w:r w:rsidR="001264CB">
        <w:rPr>
          <w:rFonts w:ascii="Times New Roman" w:hAnsi="Times New Roman" w:cs="Times New Roman"/>
          <w:lang w:val="es-ES_tradnl" w:eastAsia="es-ES"/>
        </w:rPr>
        <w:t xml:space="preserve">3 a 2026 </w:t>
      </w:r>
      <w:r w:rsidRPr="00AD394D">
        <w:rPr>
          <w:rFonts w:ascii="Times New Roman" w:hAnsi="Times New Roman" w:cs="Times New Roman"/>
          <w:lang w:val="es-ES_tradnl" w:eastAsia="es-ES"/>
        </w:rPr>
        <w:t xml:space="preserve">la política será </w:t>
      </w:r>
      <w:r w:rsidR="001264CB">
        <w:rPr>
          <w:rFonts w:ascii="Times New Roman" w:hAnsi="Times New Roman" w:cs="Times New Roman"/>
          <w:lang w:val="es-ES_tradnl" w:eastAsia="es-ES"/>
        </w:rPr>
        <w:t xml:space="preserve">levemente </w:t>
      </w:r>
      <w:r w:rsidRPr="00AD394D">
        <w:rPr>
          <w:rFonts w:ascii="Times New Roman" w:hAnsi="Times New Roman" w:cs="Times New Roman"/>
          <w:lang w:val="es-ES_tradnl" w:eastAsia="es-ES"/>
        </w:rPr>
        <w:t>contractiva debido a que las medidas para contener la pandemia prácticamente se eliminarán y únicamente quedará un apoyo para la reactivación económica, aunque con un menor gasto al asociado para el COVID-19, posteriormente se prevé que la contracción se modere gradualmente.</w:t>
      </w:r>
    </w:p>
    <w:p w14:paraId="5FCC826A" w14:textId="77777777" w:rsidR="00AD394D" w:rsidRPr="00AD394D" w:rsidRDefault="00AD394D" w:rsidP="00AD394D">
      <w:pPr>
        <w:spacing w:after="0" w:line="240" w:lineRule="auto"/>
        <w:rPr>
          <w:rFonts w:ascii="Times New Roman" w:hAnsi="Times New Roman" w:cs="Times New Roman"/>
          <w:lang w:val="es-ES_tradnl" w:eastAsia="es-ES"/>
        </w:rPr>
      </w:pPr>
    </w:p>
    <w:p w14:paraId="43B4101F" w14:textId="0A9F31B9" w:rsidR="00AD394D" w:rsidRPr="00FB2835" w:rsidRDefault="00FB2835" w:rsidP="00FB2835">
      <w:pPr>
        <w:pStyle w:val="Epgrafe"/>
        <w:spacing w:after="0"/>
        <w:jc w:val="center"/>
        <w:rPr>
          <w:rFonts w:ascii="Times New Roman" w:hAnsi="Times New Roman" w:cs="Times New Roman"/>
          <w:b/>
          <w:bCs/>
          <w:color w:val="auto"/>
          <w:sz w:val="22"/>
        </w:rPr>
      </w:pPr>
      <w:bookmarkStart w:id="1785" w:name="_Toc16158438"/>
      <w:bookmarkStart w:id="1786" w:name="_Toc50016864"/>
      <w:bookmarkStart w:id="1787" w:name="_Toc81573109"/>
      <w:r w:rsidRPr="00FB2835">
        <w:rPr>
          <w:rFonts w:ascii="Times New Roman" w:hAnsi="Times New Roman" w:cs="Times New Roman"/>
          <w:b/>
          <w:color w:val="auto"/>
          <w:sz w:val="22"/>
        </w:rPr>
        <w:t xml:space="preserve">Gráfico </w:t>
      </w:r>
      <w:r w:rsidRPr="00FB2835">
        <w:rPr>
          <w:rFonts w:ascii="Times New Roman" w:hAnsi="Times New Roman" w:cs="Times New Roman"/>
          <w:b/>
          <w:color w:val="auto"/>
          <w:sz w:val="22"/>
        </w:rPr>
        <w:fldChar w:fldCharType="begin"/>
      </w:r>
      <w:r w:rsidRPr="00FB2835">
        <w:rPr>
          <w:rFonts w:ascii="Times New Roman" w:hAnsi="Times New Roman" w:cs="Times New Roman"/>
          <w:b/>
          <w:color w:val="auto"/>
          <w:sz w:val="22"/>
        </w:rPr>
        <w:instrText xml:space="preserve"> SEQ Gráfico \* ARABIC </w:instrText>
      </w:r>
      <w:r w:rsidRPr="00FB2835">
        <w:rPr>
          <w:rFonts w:ascii="Times New Roman" w:hAnsi="Times New Roman" w:cs="Times New Roman"/>
          <w:b/>
          <w:color w:val="auto"/>
          <w:sz w:val="22"/>
        </w:rPr>
        <w:fldChar w:fldCharType="separate"/>
      </w:r>
      <w:r w:rsidR="00D6529D">
        <w:rPr>
          <w:rFonts w:ascii="Times New Roman" w:hAnsi="Times New Roman" w:cs="Times New Roman"/>
          <w:b/>
          <w:noProof/>
          <w:color w:val="auto"/>
          <w:sz w:val="22"/>
        </w:rPr>
        <w:t>59</w:t>
      </w:r>
      <w:r w:rsidRPr="00FB2835">
        <w:rPr>
          <w:rFonts w:ascii="Times New Roman" w:hAnsi="Times New Roman" w:cs="Times New Roman"/>
          <w:b/>
          <w:color w:val="auto"/>
          <w:sz w:val="22"/>
        </w:rPr>
        <w:fldChar w:fldCharType="end"/>
      </w:r>
      <w:r w:rsidRPr="00FB2835">
        <w:rPr>
          <w:rFonts w:ascii="Times New Roman" w:hAnsi="Times New Roman" w:cs="Times New Roman"/>
          <w:b/>
          <w:color w:val="auto"/>
          <w:sz w:val="22"/>
        </w:rPr>
        <w:t xml:space="preserve">. </w:t>
      </w:r>
      <w:r w:rsidRPr="00FB2835">
        <w:rPr>
          <w:color w:val="auto"/>
          <w:sz w:val="22"/>
        </w:rPr>
        <w:t xml:space="preserve"> </w:t>
      </w:r>
      <w:r w:rsidR="00AD394D" w:rsidRPr="00FB2835">
        <w:rPr>
          <w:rFonts w:ascii="Times New Roman" w:hAnsi="Times New Roman" w:cs="Times New Roman"/>
          <w:b/>
          <w:iCs w:val="0"/>
          <w:color w:val="auto"/>
          <w:sz w:val="22"/>
        </w:rPr>
        <w:t>Impulso fiscal</w:t>
      </w:r>
      <w:bookmarkEnd w:id="1785"/>
      <w:bookmarkEnd w:id="1786"/>
      <w:bookmarkEnd w:id="1787"/>
    </w:p>
    <w:p w14:paraId="6DDB5983" w14:textId="77777777" w:rsidR="00AD394D" w:rsidRPr="00AD394D" w:rsidRDefault="00AD394D" w:rsidP="00AD394D">
      <w:pPr>
        <w:spacing w:after="0" w:line="240" w:lineRule="auto"/>
        <w:jc w:val="center"/>
        <w:rPr>
          <w:rFonts w:ascii="Times New Roman" w:eastAsiaTheme="majorEastAsia" w:hAnsi="Times New Roman" w:cs="Times New Roman"/>
          <w:bCs/>
          <w:noProof/>
          <w:szCs w:val="24"/>
          <w:lang w:eastAsia="es-GT"/>
        </w:rPr>
      </w:pPr>
      <w:r w:rsidRPr="00AD394D">
        <w:rPr>
          <w:rFonts w:ascii="Times New Roman" w:eastAsiaTheme="majorEastAsia" w:hAnsi="Times New Roman" w:cs="Times New Roman"/>
          <w:bCs/>
          <w:noProof/>
          <w:szCs w:val="24"/>
          <w:lang w:eastAsia="es-GT"/>
        </w:rPr>
        <w:t xml:space="preserve">Puntos porcentuales del PIB potencial </w:t>
      </w:r>
    </w:p>
    <w:p w14:paraId="1305F825" w14:textId="5869D1B6" w:rsidR="00AD394D" w:rsidRPr="00AD394D" w:rsidRDefault="00AC4FCD" w:rsidP="00AD394D">
      <w:pPr>
        <w:spacing w:after="0" w:line="240" w:lineRule="auto"/>
        <w:jc w:val="center"/>
        <w:rPr>
          <w:rFonts w:ascii="Times New Roman" w:eastAsiaTheme="majorEastAsia" w:hAnsi="Times New Roman" w:cs="Times New Roman"/>
          <w:bCs/>
          <w:noProof/>
          <w:sz w:val="24"/>
          <w:szCs w:val="26"/>
          <w:lang w:eastAsia="es-GT"/>
        </w:rPr>
      </w:pPr>
      <w:r>
        <w:rPr>
          <w:rFonts w:ascii="Times New Roman" w:eastAsiaTheme="majorEastAsia" w:hAnsi="Times New Roman" w:cs="Times New Roman"/>
          <w:bCs/>
          <w:noProof/>
          <w:sz w:val="24"/>
          <w:szCs w:val="26"/>
          <w:lang w:val="es-ES" w:eastAsia="es-ES"/>
        </w:rPr>
        <w:drawing>
          <wp:inline distT="0" distB="0" distL="0" distR="0" wp14:anchorId="7DBF3EA3" wp14:editId="72BE0217">
            <wp:extent cx="5081852" cy="2834640"/>
            <wp:effectExtent l="0" t="0" r="5080" b="1905"/>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81852" cy="2834640"/>
                    </a:xfrm>
                    <a:prstGeom prst="rect">
                      <a:avLst/>
                    </a:prstGeom>
                    <a:noFill/>
                  </pic:spPr>
                </pic:pic>
              </a:graphicData>
            </a:graphic>
          </wp:inline>
        </w:drawing>
      </w:r>
    </w:p>
    <w:p w14:paraId="670D592A" w14:textId="77777777" w:rsidR="00AD394D" w:rsidRPr="00AD394D" w:rsidRDefault="00AD394D" w:rsidP="00AD394D">
      <w:pPr>
        <w:spacing w:after="0"/>
        <w:ind w:left="516" w:firstLine="708"/>
        <w:rPr>
          <w:rFonts w:ascii="Times New Roman" w:hAnsi="Times New Roman" w:cs="Times New Roman"/>
          <w:sz w:val="16"/>
          <w:lang w:val="es-ES_tradnl" w:eastAsia="es-ES"/>
        </w:rPr>
      </w:pPr>
      <w:r w:rsidRPr="00AD394D">
        <w:rPr>
          <w:rFonts w:ascii="Times New Roman" w:hAnsi="Times New Roman" w:cs="Times New Roman"/>
          <w:sz w:val="16"/>
          <w:lang w:val="es-ES_tradnl" w:eastAsia="es-ES"/>
        </w:rPr>
        <w:t xml:space="preserve">Fuente: Dirección de Análisis y Política Fiscal </w:t>
      </w:r>
    </w:p>
    <w:p w14:paraId="0622832B" w14:textId="77777777" w:rsidR="00AD394D" w:rsidRPr="00AD394D" w:rsidRDefault="00AD394D" w:rsidP="00AD394D">
      <w:pPr>
        <w:spacing w:after="0" w:line="240" w:lineRule="auto"/>
        <w:rPr>
          <w:rFonts w:ascii="Times New Roman" w:eastAsiaTheme="majorEastAsia" w:hAnsi="Times New Roman" w:cs="Times New Roman"/>
          <w:bCs/>
          <w:sz w:val="10"/>
          <w:szCs w:val="26"/>
          <w:lang w:val="es-ES_tradnl" w:eastAsia="es-ES"/>
        </w:rPr>
      </w:pPr>
    </w:p>
    <w:p w14:paraId="750EB31A" w14:textId="77777777" w:rsidR="00AD394D" w:rsidRPr="00AD394D" w:rsidRDefault="00AD394D" w:rsidP="00AD394D">
      <w:pPr>
        <w:spacing w:after="0" w:line="240" w:lineRule="auto"/>
        <w:jc w:val="both"/>
        <w:rPr>
          <w:rFonts w:ascii="Times New Roman" w:hAnsi="Times New Roman" w:cs="Times New Roman"/>
        </w:rPr>
      </w:pPr>
    </w:p>
    <w:p w14:paraId="31C6FADE" w14:textId="4A26CC86" w:rsidR="00611067" w:rsidRDefault="00AD394D" w:rsidP="00AD394D">
      <w:pPr>
        <w:spacing w:after="0" w:line="240" w:lineRule="auto"/>
        <w:jc w:val="both"/>
        <w:rPr>
          <w:rFonts w:ascii="Times New Roman" w:hAnsi="Times New Roman" w:cs="Times New Roman"/>
        </w:rPr>
      </w:pPr>
      <w:r w:rsidRPr="00AD394D">
        <w:rPr>
          <w:rFonts w:ascii="Times New Roman" w:hAnsi="Times New Roman" w:cs="Times New Roman"/>
        </w:rPr>
        <w:t xml:space="preserve">Con base a los resultados del impulso fiscal y la relación de este indicador con la brecha del producto, nos indica que para los años 2020 la política fiscal </w:t>
      </w:r>
      <w:r w:rsidR="00611067">
        <w:rPr>
          <w:rFonts w:ascii="Times New Roman" w:hAnsi="Times New Roman" w:cs="Times New Roman"/>
        </w:rPr>
        <w:t>fue marcadamente contra cíclica</w:t>
      </w:r>
      <w:r w:rsidRPr="00AD394D">
        <w:rPr>
          <w:rFonts w:ascii="Times New Roman" w:hAnsi="Times New Roman" w:cs="Times New Roman"/>
        </w:rPr>
        <w:t xml:space="preserve">. </w:t>
      </w:r>
      <w:r w:rsidR="00611067">
        <w:rPr>
          <w:rFonts w:ascii="Times New Roman" w:hAnsi="Times New Roman" w:cs="Times New Roman"/>
        </w:rPr>
        <w:t xml:space="preserve">Para 2021 nuevamente la política fiscal será marcadamente contra cíclica, dado que con un crecimiento esperado del 4.0%, por arriba del PIB potencial, se dio una fuerte contracción del gasto público, solo </w:t>
      </w:r>
      <w:r w:rsidR="00611067" w:rsidRPr="00611067">
        <w:rPr>
          <w:rFonts w:ascii="Times New Roman" w:hAnsi="Times New Roman" w:cs="Times New Roman"/>
        </w:rPr>
        <w:t>en 20</w:t>
      </w:r>
      <w:r w:rsidR="00611067">
        <w:rPr>
          <w:rFonts w:ascii="Times New Roman" w:hAnsi="Times New Roman" w:cs="Times New Roman"/>
        </w:rPr>
        <w:t>22</w:t>
      </w:r>
      <w:r w:rsidR="007A1552">
        <w:rPr>
          <w:rFonts w:ascii="Times New Roman" w:hAnsi="Times New Roman" w:cs="Times New Roman"/>
        </w:rPr>
        <w:t xml:space="preserve"> y 2024</w:t>
      </w:r>
      <w:r w:rsidR="00611067" w:rsidRPr="00611067">
        <w:rPr>
          <w:rFonts w:ascii="Times New Roman" w:hAnsi="Times New Roman" w:cs="Times New Roman"/>
        </w:rPr>
        <w:t xml:space="preserve"> se puede </w:t>
      </w:r>
      <w:r w:rsidR="00611067">
        <w:rPr>
          <w:rFonts w:ascii="Times New Roman" w:hAnsi="Times New Roman" w:cs="Times New Roman"/>
        </w:rPr>
        <w:t>esperar que la política fiscal</w:t>
      </w:r>
      <w:r w:rsidR="00BB0B0F">
        <w:rPr>
          <w:rFonts w:ascii="Times New Roman" w:hAnsi="Times New Roman" w:cs="Times New Roman"/>
        </w:rPr>
        <w:t xml:space="preserve"> posiblemente </w:t>
      </w:r>
      <w:r w:rsidR="00611067">
        <w:rPr>
          <w:rFonts w:ascii="Times New Roman" w:hAnsi="Times New Roman" w:cs="Times New Roman"/>
        </w:rPr>
        <w:t>sea</w:t>
      </w:r>
      <w:r w:rsidR="00611067" w:rsidRPr="00611067">
        <w:rPr>
          <w:rFonts w:ascii="Times New Roman" w:hAnsi="Times New Roman" w:cs="Times New Roman"/>
        </w:rPr>
        <w:t xml:space="preserve"> pro</w:t>
      </w:r>
      <w:r w:rsidR="00611067">
        <w:rPr>
          <w:rFonts w:ascii="Times New Roman" w:hAnsi="Times New Roman" w:cs="Times New Roman"/>
        </w:rPr>
        <w:t xml:space="preserve"> </w:t>
      </w:r>
      <w:r w:rsidR="00611067" w:rsidRPr="00611067">
        <w:rPr>
          <w:rFonts w:ascii="Times New Roman" w:hAnsi="Times New Roman" w:cs="Times New Roman"/>
        </w:rPr>
        <w:t>cíclica</w:t>
      </w:r>
      <w:r w:rsidR="009E2C74">
        <w:rPr>
          <w:rFonts w:ascii="Times New Roman" w:hAnsi="Times New Roman" w:cs="Times New Roman"/>
        </w:rPr>
        <w:t>, en el caso de 2022 debido a que es prevé un aumento importante de la inversión pública, en parte como un efecto rezagado de lo que no pudo atenderse en 2021 derivado de la improbación del presupuesto para dicho año, en la cual contenía proyectos de inversión para la reactivación económica</w:t>
      </w:r>
      <w:r w:rsidR="003075B0">
        <w:rPr>
          <w:rFonts w:ascii="Times New Roman" w:hAnsi="Times New Roman" w:cs="Times New Roman"/>
        </w:rPr>
        <w:t>, proyectos que se estima gestar en 2022.</w:t>
      </w:r>
      <w:r w:rsidR="00611067">
        <w:rPr>
          <w:rFonts w:ascii="Times New Roman" w:hAnsi="Times New Roman" w:cs="Times New Roman"/>
        </w:rPr>
        <w:t xml:space="preserve"> </w:t>
      </w:r>
    </w:p>
    <w:p w14:paraId="76D8D0BE" w14:textId="77777777" w:rsidR="00611067" w:rsidRDefault="00611067" w:rsidP="00AD394D">
      <w:pPr>
        <w:spacing w:after="0" w:line="240" w:lineRule="auto"/>
        <w:jc w:val="both"/>
        <w:rPr>
          <w:rFonts w:ascii="Times New Roman" w:hAnsi="Times New Roman" w:cs="Times New Roman"/>
        </w:rPr>
      </w:pPr>
    </w:p>
    <w:p w14:paraId="41EA0EC6" w14:textId="4F63F782" w:rsidR="00AD394D" w:rsidRDefault="00AD394D" w:rsidP="00AD394D">
      <w:pPr>
        <w:spacing w:after="0" w:line="240" w:lineRule="auto"/>
        <w:jc w:val="both"/>
        <w:rPr>
          <w:rFonts w:ascii="Times New Roman" w:hAnsi="Times New Roman" w:cs="Times New Roman"/>
        </w:rPr>
      </w:pPr>
      <w:r w:rsidRPr="00AD394D">
        <w:rPr>
          <w:rFonts w:ascii="Times New Roman" w:hAnsi="Times New Roman" w:cs="Times New Roman"/>
        </w:rPr>
        <w:t xml:space="preserve">Es importante </w:t>
      </w:r>
      <w:r w:rsidR="00BB58B1">
        <w:rPr>
          <w:rFonts w:ascii="Times New Roman" w:hAnsi="Times New Roman" w:cs="Times New Roman"/>
        </w:rPr>
        <w:t>reitera</w:t>
      </w:r>
      <w:r w:rsidRPr="00AD394D">
        <w:rPr>
          <w:rFonts w:ascii="Times New Roman" w:hAnsi="Times New Roman" w:cs="Times New Roman"/>
        </w:rPr>
        <w:t xml:space="preserve">r que </w:t>
      </w:r>
      <w:r w:rsidR="00814EFC">
        <w:rPr>
          <w:rFonts w:ascii="Times New Roman" w:hAnsi="Times New Roman" w:cs="Times New Roman"/>
        </w:rPr>
        <w:t xml:space="preserve">en </w:t>
      </w:r>
      <w:r w:rsidRPr="00AD394D">
        <w:rPr>
          <w:rFonts w:ascii="Times New Roman" w:hAnsi="Times New Roman" w:cs="Times New Roman"/>
        </w:rPr>
        <w:t xml:space="preserve">los años </w:t>
      </w:r>
      <w:r w:rsidR="00BB58B1">
        <w:rPr>
          <w:rFonts w:ascii="Times New Roman" w:hAnsi="Times New Roman" w:cs="Times New Roman"/>
        </w:rPr>
        <w:t>20</w:t>
      </w:r>
      <w:r w:rsidR="00814EFC">
        <w:rPr>
          <w:rFonts w:ascii="Times New Roman" w:hAnsi="Times New Roman" w:cs="Times New Roman"/>
        </w:rPr>
        <w:t>20</w:t>
      </w:r>
      <w:r w:rsidR="00B25EC6">
        <w:rPr>
          <w:rFonts w:ascii="Times New Roman" w:hAnsi="Times New Roman" w:cs="Times New Roman"/>
        </w:rPr>
        <w:t xml:space="preserve"> – 202</w:t>
      </w:r>
      <w:r w:rsidR="004A7BCE">
        <w:rPr>
          <w:rFonts w:ascii="Times New Roman" w:hAnsi="Times New Roman" w:cs="Times New Roman"/>
        </w:rPr>
        <w:t>1</w:t>
      </w:r>
      <w:r w:rsidR="00B25EC6">
        <w:rPr>
          <w:rFonts w:ascii="Times New Roman" w:hAnsi="Times New Roman" w:cs="Times New Roman"/>
        </w:rPr>
        <w:t xml:space="preserve">, </w:t>
      </w:r>
      <w:r w:rsidRPr="00AD394D">
        <w:rPr>
          <w:rFonts w:ascii="Times New Roman" w:hAnsi="Times New Roman" w:cs="Times New Roman"/>
        </w:rPr>
        <w:t>202</w:t>
      </w:r>
      <w:r w:rsidR="00814EFC">
        <w:rPr>
          <w:rFonts w:ascii="Times New Roman" w:hAnsi="Times New Roman" w:cs="Times New Roman"/>
        </w:rPr>
        <w:t xml:space="preserve">3 y </w:t>
      </w:r>
      <w:r w:rsidRPr="00AD394D">
        <w:rPr>
          <w:rFonts w:ascii="Times New Roman" w:hAnsi="Times New Roman" w:cs="Times New Roman"/>
        </w:rPr>
        <w:t>202</w:t>
      </w:r>
      <w:r w:rsidR="00E57AB6">
        <w:rPr>
          <w:rFonts w:ascii="Times New Roman" w:hAnsi="Times New Roman" w:cs="Times New Roman"/>
        </w:rPr>
        <w:t>6</w:t>
      </w:r>
      <w:r w:rsidRPr="00AD394D">
        <w:rPr>
          <w:rFonts w:ascii="Times New Roman" w:hAnsi="Times New Roman" w:cs="Times New Roman"/>
        </w:rPr>
        <w:t xml:space="preserve"> </w:t>
      </w:r>
      <w:r w:rsidR="00E57AB6">
        <w:rPr>
          <w:rFonts w:ascii="Times New Roman" w:hAnsi="Times New Roman" w:cs="Times New Roman"/>
        </w:rPr>
        <w:t>la orientación de la política fiscal será contra cíclica</w:t>
      </w:r>
      <w:r w:rsidRPr="00AD394D">
        <w:rPr>
          <w:rFonts w:ascii="Times New Roman" w:hAnsi="Times New Roman" w:cs="Times New Roman"/>
        </w:rPr>
        <w:t xml:space="preserve"> como lo recomienda la literatura económica, ya que, ante un período de fuerte contracción económica,</w:t>
      </w:r>
      <w:r w:rsidR="00E57AB6">
        <w:rPr>
          <w:rFonts w:ascii="Times New Roman" w:hAnsi="Times New Roman" w:cs="Times New Roman"/>
        </w:rPr>
        <w:t xml:space="preserve"> como la observada en 2020, </w:t>
      </w:r>
      <w:r w:rsidRPr="00AD394D">
        <w:rPr>
          <w:rFonts w:ascii="Times New Roman" w:hAnsi="Times New Roman" w:cs="Times New Roman"/>
        </w:rPr>
        <w:t xml:space="preserve">en donde la economía opera muy por debajo de su potencial, la respuesta de la política fiscal fue expansionista con un fuerte aumento del gasto público. Asimismo, ante la recuperación económica se prevé que el nivel de gasto sea más moderado por lo que el impulso es contractivo apoyando así también </w:t>
      </w:r>
      <w:r w:rsidR="00E25E7B">
        <w:rPr>
          <w:rFonts w:ascii="Times New Roman" w:hAnsi="Times New Roman" w:cs="Times New Roman"/>
        </w:rPr>
        <w:t>a reducir la volatilidad de la economía</w:t>
      </w:r>
      <w:r w:rsidR="00184B02">
        <w:rPr>
          <w:rFonts w:ascii="Times New Roman" w:hAnsi="Times New Roman" w:cs="Times New Roman"/>
        </w:rPr>
        <w:t xml:space="preserve"> y fomentar un c</w:t>
      </w:r>
      <w:r w:rsidRPr="00AD394D">
        <w:rPr>
          <w:rFonts w:ascii="Times New Roman" w:hAnsi="Times New Roman" w:cs="Times New Roman"/>
        </w:rPr>
        <w:t xml:space="preserve">recimiento </w:t>
      </w:r>
      <w:r w:rsidR="00184B02">
        <w:rPr>
          <w:rFonts w:ascii="Times New Roman" w:hAnsi="Times New Roman" w:cs="Times New Roman"/>
        </w:rPr>
        <w:t xml:space="preserve">ordenado y </w:t>
      </w:r>
      <w:r w:rsidRPr="00AD394D">
        <w:rPr>
          <w:rFonts w:ascii="Times New Roman" w:hAnsi="Times New Roman" w:cs="Times New Roman"/>
        </w:rPr>
        <w:t xml:space="preserve">sostenido </w:t>
      </w:r>
      <w:r w:rsidR="00C82FBB">
        <w:rPr>
          <w:rFonts w:ascii="Times New Roman" w:hAnsi="Times New Roman" w:cs="Times New Roman"/>
        </w:rPr>
        <w:t>en la actividad económica.</w:t>
      </w:r>
    </w:p>
    <w:p w14:paraId="4B45977F" w14:textId="2343CCEA" w:rsidR="00AD394D" w:rsidRDefault="00AD394D" w:rsidP="00AD394D">
      <w:pPr>
        <w:spacing w:after="0" w:line="240" w:lineRule="auto"/>
        <w:jc w:val="both"/>
        <w:rPr>
          <w:rFonts w:ascii="Times New Roman" w:hAnsi="Times New Roman" w:cs="Times New Roman"/>
        </w:rPr>
      </w:pPr>
    </w:p>
    <w:p w14:paraId="7B190139" w14:textId="24864681" w:rsidR="00BE44B2" w:rsidRDefault="00BE44B2" w:rsidP="00AD394D">
      <w:pPr>
        <w:spacing w:after="0" w:line="240" w:lineRule="auto"/>
        <w:jc w:val="both"/>
        <w:rPr>
          <w:rFonts w:ascii="Times New Roman" w:hAnsi="Times New Roman" w:cs="Times New Roman"/>
        </w:rPr>
      </w:pPr>
    </w:p>
    <w:p w14:paraId="4E4B8613" w14:textId="43A05C29" w:rsidR="00BE44B2" w:rsidRDefault="00BE44B2" w:rsidP="00AD394D">
      <w:pPr>
        <w:spacing w:after="0" w:line="240" w:lineRule="auto"/>
        <w:jc w:val="both"/>
        <w:rPr>
          <w:rFonts w:ascii="Times New Roman" w:hAnsi="Times New Roman" w:cs="Times New Roman"/>
        </w:rPr>
      </w:pPr>
    </w:p>
    <w:p w14:paraId="79FC7A77" w14:textId="690BFBDA" w:rsidR="00BE44B2" w:rsidRDefault="00BE44B2" w:rsidP="00AD394D">
      <w:pPr>
        <w:spacing w:after="0" w:line="240" w:lineRule="auto"/>
        <w:jc w:val="both"/>
        <w:rPr>
          <w:rFonts w:ascii="Times New Roman" w:hAnsi="Times New Roman" w:cs="Times New Roman"/>
        </w:rPr>
      </w:pPr>
    </w:p>
    <w:p w14:paraId="0BC9C1AD" w14:textId="4D70CCAE" w:rsidR="00BE44B2" w:rsidRDefault="00BE44B2" w:rsidP="00AD394D">
      <w:pPr>
        <w:spacing w:after="0" w:line="240" w:lineRule="auto"/>
        <w:jc w:val="both"/>
        <w:rPr>
          <w:rFonts w:ascii="Times New Roman" w:hAnsi="Times New Roman" w:cs="Times New Roman"/>
        </w:rPr>
      </w:pPr>
    </w:p>
    <w:p w14:paraId="7B690633" w14:textId="62AFA926" w:rsidR="00BE44B2" w:rsidRDefault="00BE44B2" w:rsidP="00AD394D">
      <w:pPr>
        <w:spacing w:after="0" w:line="240" w:lineRule="auto"/>
        <w:jc w:val="both"/>
        <w:rPr>
          <w:rFonts w:ascii="Times New Roman" w:hAnsi="Times New Roman" w:cs="Times New Roman"/>
        </w:rPr>
      </w:pPr>
    </w:p>
    <w:p w14:paraId="07F8F54B" w14:textId="5A854378" w:rsidR="00BE44B2" w:rsidRDefault="00BE44B2" w:rsidP="00AD394D">
      <w:pPr>
        <w:spacing w:after="0" w:line="240" w:lineRule="auto"/>
        <w:jc w:val="both"/>
        <w:rPr>
          <w:rFonts w:ascii="Times New Roman" w:hAnsi="Times New Roman" w:cs="Times New Roman"/>
        </w:rPr>
      </w:pPr>
    </w:p>
    <w:p w14:paraId="457A3127" w14:textId="478B8E8B" w:rsidR="00BE44B2" w:rsidRDefault="00BE44B2" w:rsidP="00AD394D">
      <w:pPr>
        <w:spacing w:after="0" w:line="240" w:lineRule="auto"/>
        <w:jc w:val="both"/>
        <w:rPr>
          <w:rFonts w:ascii="Times New Roman" w:hAnsi="Times New Roman" w:cs="Times New Roman"/>
        </w:rPr>
      </w:pPr>
    </w:p>
    <w:p w14:paraId="4FE83E91" w14:textId="3807A1AB" w:rsidR="00BE44B2" w:rsidRDefault="00BE44B2" w:rsidP="00AD394D">
      <w:pPr>
        <w:spacing w:after="0" w:line="240" w:lineRule="auto"/>
        <w:jc w:val="both"/>
        <w:rPr>
          <w:rFonts w:ascii="Times New Roman" w:hAnsi="Times New Roman" w:cs="Times New Roman"/>
        </w:rPr>
      </w:pPr>
    </w:p>
    <w:p w14:paraId="5FF4E697" w14:textId="50F1DBFA" w:rsidR="00BE44B2" w:rsidRDefault="00BE44B2" w:rsidP="00AD394D">
      <w:pPr>
        <w:spacing w:after="0" w:line="240" w:lineRule="auto"/>
        <w:jc w:val="both"/>
        <w:rPr>
          <w:rFonts w:ascii="Times New Roman" w:hAnsi="Times New Roman" w:cs="Times New Roman"/>
        </w:rPr>
      </w:pPr>
    </w:p>
    <w:p w14:paraId="47D1CD9C" w14:textId="7AD43ADF" w:rsidR="00AD394D" w:rsidRPr="00FB2835" w:rsidRDefault="00FB2835" w:rsidP="00FB2835">
      <w:pPr>
        <w:pStyle w:val="Epgrafe"/>
        <w:spacing w:after="0"/>
        <w:jc w:val="center"/>
        <w:rPr>
          <w:rFonts w:ascii="Times New Roman" w:hAnsi="Times New Roman" w:cs="Times New Roman"/>
          <w:b/>
          <w:iCs w:val="0"/>
          <w:color w:val="auto"/>
          <w:sz w:val="22"/>
        </w:rPr>
      </w:pPr>
      <w:bookmarkStart w:id="1788" w:name="_Toc50016865"/>
      <w:bookmarkStart w:id="1789" w:name="_Toc81573110"/>
      <w:r w:rsidRPr="00FB2835">
        <w:rPr>
          <w:rFonts w:ascii="Times New Roman" w:hAnsi="Times New Roman" w:cs="Times New Roman"/>
          <w:b/>
          <w:color w:val="auto"/>
          <w:sz w:val="22"/>
        </w:rPr>
        <w:t xml:space="preserve">Gráfico </w:t>
      </w:r>
      <w:r w:rsidRPr="00FB2835">
        <w:rPr>
          <w:rFonts w:ascii="Times New Roman" w:hAnsi="Times New Roman" w:cs="Times New Roman"/>
          <w:b/>
          <w:color w:val="auto"/>
          <w:sz w:val="22"/>
        </w:rPr>
        <w:fldChar w:fldCharType="begin"/>
      </w:r>
      <w:r w:rsidRPr="00FB2835">
        <w:rPr>
          <w:rFonts w:ascii="Times New Roman" w:hAnsi="Times New Roman" w:cs="Times New Roman"/>
          <w:b/>
          <w:color w:val="auto"/>
          <w:sz w:val="22"/>
        </w:rPr>
        <w:instrText xml:space="preserve"> SEQ Gráfico \* ARABIC </w:instrText>
      </w:r>
      <w:r w:rsidRPr="00FB2835">
        <w:rPr>
          <w:rFonts w:ascii="Times New Roman" w:hAnsi="Times New Roman" w:cs="Times New Roman"/>
          <w:b/>
          <w:color w:val="auto"/>
          <w:sz w:val="22"/>
        </w:rPr>
        <w:fldChar w:fldCharType="separate"/>
      </w:r>
      <w:r w:rsidR="00D6529D">
        <w:rPr>
          <w:rFonts w:ascii="Times New Roman" w:hAnsi="Times New Roman" w:cs="Times New Roman"/>
          <w:b/>
          <w:noProof/>
          <w:color w:val="auto"/>
          <w:sz w:val="22"/>
        </w:rPr>
        <w:t>60</w:t>
      </w:r>
      <w:r w:rsidRPr="00FB2835">
        <w:rPr>
          <w:rFonts w:ascii="Times New Roman" w:hAnsi="Times New Roman" w:cs="Times New Roman"/>
          <w:b/>
          <w:color w:val="auto"/>
          <w:sz w:val="22"/>
        </w:rPr>
        <w:fldChar w:fldCharType="end"/>
      </w:r>
      <w:r w:rsidRPr="00FB2835">
        <w:rPr>
          <w:rFonts w:ascii="Times New Roman" w:hAnsi="Times New Roman" w:cs="Times New Roman"/>
          <w:b/>
          <w:color w:val="auto"/>
          <w:sz w:val="22"/>
        </w:rPr>
        <w:t xml:space="preserve">.  </w:t>
      </w:r>
      <w:r w:rsidR="00AD394D" w:rsidRPr="00FB2835">
        <w:rPr>
          <w:rFonts w:ascii="Times New Roman" w:hAnsi="Times New Roman" w:cs="Times New Roman"/>
          <w:b/>
          <w:iCs w:val="0"/>
          <w:color w:val="auto"/>
          <w:sz w:val="22"/>
        </w:rPr>
        <w:t>Orientación de la política fiscal</w:t>
      </w:r>
      <w:bookmarkEnd w:id="1788"/>
      <w:bookmarkEnd w:id="1789"/>
    </w:p>
    <w:p w14:paraId="4CAA76DC" w14:textId="4BFA8C3D" w:rsidR="007C4BAD" w:rsidRPr="00AD394D" w:rsidRDefault="007C4BAD" w:rsidP="00AD394D">
      <w:pPr>
        <w:spacing w:after="0" w:line="240" w:lineRule="auto"/>
        <w:jc w:val="center"/>
        <w:rPr>
          <w:rFonts w:ascii="Times New Roman" w:hAnsi="Times New Roman" w:cs="Times New Roman"/>
          <w:b/>
          <w:bCs/>
        </w:rPr>
      </w:pPr>
    </w:p>
    <w:p w14:paraId="56C9B7C8" w14:textId="0BE33BD7" w:rsidR="00AD394D" w:rsidRPr="00AD394D" w:rsidRDefault="004E469E" w:rsidP="00AD394D">
      <w:pPr>
        <w:jc w:val="center"/>
        <w:rPr>
          <w:rFonts w:ascii="Times New Roman" w:hAnsi="Times New Roman" w:cs="Times New Roman"/>
        </w:rPr>
      </w:pPr>
      <w:r>
        <w:rPr>
          <w:rFonts w:ascii="Times New Roman" w:hAnsi="Times New Roman" w:cs="Times New Roman"/>
          <w:noProof/>
          <w:lang w:val="es-ES" w:eastAsia="es-ES"/>
        </w:rPr>
        <w:drawing>
          <wp:inline distT="0" distB="0" distL="0" distR="0" wp14:anchorId="0C4C1E02" wp14:editId="1A6284AA">
            <wp:extent cx="4061460" cy="2423160"/>
            <wp:effectExtent l="0" t="0" r="0"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72308" cy="2429632"/>
                    </a:xfrm>
                    <a:prstGeom prst="rect">
                      <a:avLst/>
                    </a:prstGeom>
                    <a:noFill/>
                  </pic:spPr>
                </pic:pic>
              </a:graphicData>
            </a:graphic>
          </wp:inline>
        </w:drawing>
      </w:r>
      <w:r w:rsidR="00AD394D" w:rsidRPr="00AD394D">
        <w:rPr>
          <w:rFonts w:ascii="Times New Roman" w:hAnsi="Times New Roman" w:cs="Times New Roman"/>
          <w:noProof/>
          <w:lang w:eastAsia="es-GT"/>
        </w:rPr>
        <w:t xml:space="preserve"> </w:t>
      </w:r>
    </w:p>
    <w:p w14:paraId="3CF0F77A" w14:textId="27AAB8BB" w:rsidR="00AD394D" w:rsidRPr="00B011BF" w:rsidRDefault="00AD394D" w:rsidP="00B011BF">
      <w:pPr>
        <w:spacing w:after="0"/>
        <w:ind w:left="516" w:firstLine="708"/>
        <w:rPr>
          <w:rFonts w:ascii="Times New Roman" w:hAnsi="Times New Roman" w:cs="Times New Roman"/>
          <w:sz w:val="16"/>
          <w:lang w:val="es-ES_tradnl" w:eastAsia="es-ES"/>
        </w:rPr>
      </w:pPr>
      <w:r w:rsidRPr="00AD394D">
        <w:rPr>
          <w:rFonts w:ascii="Times New Roman" w:hAnsi="Times New Roman" w:cs="Times New Roman"/>
          <w:sz w:val="16"/>
          <w:lang w:val="es-ES_tradnl" w:eastAsia="es-ES"/>
        </w:rPr>
        <w:t>Fuente: Dirección</w:t>
      </w:r>
      <w:r w:rsidR="00B011BF">
        <w:rPr>
          <w:rFonts w:ascii="Times New Roman" w:hAnsi="Times New Roman" w:cs="Times New Roman"/>
          <w:sz w:val="16"/>
          <w:lang w:val="es-ES_tradnl" w:eastAsia="es-ES"/>
        </w:rPr>
        <w:t xml:space="preserve"> de Análisis y Política Fiscal </w:t>
      </w:r>
    </w:p>
    <w:p w14:paraId="4C360A3B" w14:textId="3534735F" w:rsidR="00CB119B" w:rsidRPr="00CB119B" w:rsidRDefault="00CB119B" w:rsidP="00CB119B">
      <w:pPr>
        <w:spacing w:after="0" w:line="240" w:lineRule="auto"/>
        <w:jc w:val="both"/>
        <w:rPr>
          <w:rFonts w:ascii="Times New Roman" w:hAnsi="Times New Roman" w:cs="Times New Roman"/>
        </w:rPr>
      </w:pPr>
      <w:r w:rsidRPr="00CB119B">
        <w:rPr>
          <w:rFonts w:ascii="Times New Roman" w:hAnsi="Times New Roman" w:cs="Times New Roman"/>
        </w:rPr>
        <w:tab/>
      </w:r>
    </w:p>
    <w:p w14:paraId="50334A35" w14:textId="77777777" w:rsidR="00CB119B" w:rsidRPr="00CB119B" w:rsidRDefault="00CB119B" w:rsidP="001032E7">
      <w:pPr>
        <w:pStyle w:val="Prrafodelista"/>
        <w:numPr>
          <w:ilvl w:val="0"/>
          <w:numId w:val="35"/>
        </w:numPr>
        <w:spacing w:after="0"/>
        <w:rPr>
          <w:rFonts w:ascii="Times New Roman" w:hAnsi="Times New Roman" w:cs="Times New Roman"/>
          <w:b/>
          <w:vanish/>
          <w:sz w:val="24"/>
        </w:rPr>
      </w:pPr>
    </w:p>
    <w:p w14:paraId="5AB2A5C0" w14:textId="77777777" w:rsidR="00CB119B" w:rsidRPr="00CB119B" w:rsidRDefault="00CB119B" w:rsidP="001032E7">
      <w:pPr>
        <w:pStyle w:val="Prrafodelista"/>
        <w:numPr>
          <w:ilvl w:val="0"/>
          <w:numId w:val="35"/>
        </w:numPr>
        <w:spacing w:after="0"/>
        <w:rPr>
          <w:rFonts w:ascii="Times New Roman" w:hAnsi="Times New Roman" w:cs="Times New Roman"/>
          <w:b/>
          <w:vanish/>
          <w:sz w:val="24"/>
        </w:rPr>
      </w:pPr>
    </w:p>
    <w:p w14:paraId="128D9011" w14:textId="77777777" w:rsidR="00CB119B" w:rsidRPr="00CB119B" w:rsidRDefault="00CB119B" w:rsidP="001032E7">
      <w:pPr>
        <w:pStyle w:val="Prrafodelista"/>
        <w:numPr>
          <w:ilvl w:val="1"/>
          <w:numId w:val="35"/>
        </w:numPr>
        <w:spacing w:after="0"/>
        <w:rPr>
          <w:rFonts w:ascii="Times New Roman" w:hAnsi="Times New Roman" w:cs="Times New Roman"/>
          <w:b/>
          <w:vanish/>
          <w:sz w:val="24"/>
        </w:rPr>
      </w:pPr>
    </w:p>
    <w:p w14:paraId="5BDCA36E" w14:textId="77777777" w:rsidR="00CB119B" w:rsidRPr="00CB119B" w:rsidRDefault="00CB119B" w:rsidP="001032E7">
      <w:pPr>
        <w:pStyle w:val="Prrafodelista"/>
        <w:numPr>
          <w:ilvl w:val="1"/>
          <w:numId w:val="35"/>
        </w:numPr>
        <w:spacing w:after="0"/>
        <w:rPr>
          <w:rFonts w:ascii="Times New Roman" w:hAnsi="Times New Roman" w:cs="Times New Roman"/>
          <w:b/>
          <w:vanish/>
          <w:sz w:val="24"/>
        </w:rPr>
      </w:pPr>
    </w:p>
    <w:p w14:paraId="3A76A933" w14:textId="77777777" w:rsidR="00CB119B" w:rsidRPr="00CB119B" w:rsidRDefault="00CB119B" w:rsidP="001032E7">
      <w:pPr>
        <w:pStyle w:val="Prrafodelista"/>
        <w:numPr>
          <w:ilvl w:val="1"/>
          <w:numId w:val="35"/>
        </w:numPr>
        <w:spacing w:after="0"/>
        <w:rPr>
          <w:rFonts w:ascii="Times New Roman" w:hAnsi="Times New Roman" w:cs="Times New Roman"/>
          <w:b/>
          <w:vanish/>
          <w:sz w:val="24"/>
        </w:rPr>
      </w:pPr>
    </w:p>
    <w:p w14:paraId="7545D521" w14:textId="77777777" w:rsidR="00CB119B" w:rsidRPr="00CB119B" w:rsidRDefault="00CB119B" w:rsidP="001032E7">
      <w:pPr>
        <w:pStyle w:val="Prrafodelista"/>
        <w:numPr>
          <w:ilvl w:val="1"/>
          <w:numId w:val="35"/>
        </w:numPr>
        <w:spacing w:after="0"/>
        <w:rPr>
          <w:rFonts w:ascii="Times New Roman" w:hAnsi="Times New Roman" w:cs="Times New Roman"/>
          <w:b/>
          <w:vanish/>
          <w:sz w:val="24"/>
        </w:rPr>
      </w:pPr>
    </w:p>
    <w:p w14:paraId="130E3765" w14:textId="77777777" w:rsidR="00CB119B" w:rsidRPr="00CB119B" w:rsidRDefault="00CB119B" w:rsidP="001032E7">
      <w:pPr>
        <w:pStyle w:val="Prrafodelista"/>
        <w:numPr>
          <w:ilvl w:val="2"/>
          <w:numId w:val="35"/>
        </w:numPr>
        <w:spacing w:after="0"/>
        <w:rPr>
          <w:rFonts w:ascii="Times New Roman" w:hAnsi="Times New Roman" w:cs="Times New Roman"/>
          <w:b/>
          <w:vanish/>
          <w:sz w:val="24"/>
        </w:rPr>
      </w:pPr>
    </w:p>
    <w:p w14:paraId="236FE074" w14:textId="77777777" w:rsidR="00CB119B" w:rsidRPr="00CB119B" w:rsidRDefault="00CB119B" w:rsidP="001032E7">
      <w:pPr>
        <w:pStyle w:val="Prrafodelista"/>
        <w:numPr>
          <w:ilvl w:val="2"/>
          <w:numId w:val="35"/>
        </w:numPr>
        <w:spacing w:after="0"/>
        <w:rPr>
          <w:rFonts w:ascii="Times New Roman" w:hAnsi="Times New Roman" w:cs="Times New Roman"/>
          <w:b/>
          <w:vanish/>
          <w:sz w:val="24"/>
        </w:rPr>
      </w:pPr>
    </w:p>
    <w:p w14:paraId="160295EA" w14:textId="77777777" w:rsidR="00CB119B" w:rsidRPr="00CB119B" w:rsidRDefault="00CB119B" w:rsidP="001032E7">
      <w:pPr>
        <w:pStyle w:val="Prrafodelista"/>
        <w:numPr>
          <w:ilvl w:val="2"/>
          <w:numId w:val="35"/>
        </w:numPr>
        <w:spacing w:after="0"/>
        <w:rPr>
          <w:rFonts w:ascii="Times New Roman" w:hAnsi="Times New Roman" w:cs="Times New Roman"/>
          <w:b/>
          <w:vanish/>
          <w:sz w:val="24"/>
        </w:rPr>
      </w:pPr>
    </w:p>
    <w:p w14:paraId="7C3DE854" w14:textId="77777777" w:rsidR="00CB119B" w:rsidRPr="00CB119B" w:rsidRDefault="00CB119B" w:rsidP="001032E7">
      <w:pPr>
        <w:pStyle w:val="Prrafodelista"/>
        <w:numPr>
          <w:ilvl w:val="2"/>
          <w:numId w:val="35"/>
        </w:numPr>
        <w:spacing w:after="0"/>
        <w:rPr>
          <w:rFonts w:ascii="Times New Roman" w:hAnsi="Times New Roman" w:cs="Times New Roman"/>
          <w:b/>
          <w:vanish/>
          <w:sz w:val="24"/>
        </w:rPr>
      </w:pPr>
    </w:p>
    <w:p w14:paraId="6E06D2CD" w14:textId="77777777" w:rsidR="00CB119B" w:rsidRPr="00CB119B" w:rsidRDefault="00CB119B" w:rsidP="001032E7">
      <w:pPr>
        <w:pStyle w:val="Prrafodelista"/>
        <w:numPr>
          <w:ilvl w:val="2"/>
          <w:numId w:val="35"/>
        </w:numPr>
        <w:spacing w:after="0"/>
        <w:rPr>
          <w:rFonts w:ascii="Times New Roman" w:hAnsi="Times New Roman" w:cs="Times New Roman"/>
          <w:b/>
          <w:vanish/>
          <w:sz w:val="24"/>
        </w:rPr>
      </w:pPr>
    </w:p>
    <w:p w14:paraId="16D1FF15" w14:textId="77777777" w:rsidR="00CB119B" w:rsidRPr="00CB119B" w:rsidRDefault="00CB119B" w:rsidP="001032E7">
      <w:pPr>
        <w:pStyle w:val="Prrafodelista"/>
        <w:numPr>
          <w:ilvl w:val="2"/>
          <w:numId w:val="35"/>
        </w:numPr>
        <w:spacing w:after="0"/>
        <w:rPr>
          <w:rFonts w:ascii="Times New Roman" w:hAnsi="Times New Roman" w:cs="Times New Roman"/>
          <w:b/>
          <w:vanish/>
          <w:sz w:val="24"/>
        </w:rPr>
      </w:pPr>
    </w:p>
    <w:p w14:paraId="11337ECE" w14:textId="77777777" w:rsidR="00CB119B" w:rsidRPr="00CB119B" w:rsidRDefault="00CB119B" w:rsidP="001032E7">
      <w:pPr>
        <w:pStyle w:val="Prrafodelista"/>
        <w:numPr>
          <w:ilvl w:val="2"/>
          <w:numId w:val="35"/>
        </w:numPr>
        <w:spacing w:after="0"/>
        <w:rPr>
          <w:rFonts w:ascii="Times New Roman" w:hAnsi="Times New Roman" w:cs="Times New Roman"/>
          <w:b/>
          <w:vanish/>
          <w:sz w:val="24"/>
        </w:rPr>
      </w:pPr>
    </w:p>
    <w:p w14:paraId="059080E1" w14:textId="77777777" w:rsidR="00DB67DE" w:rsidRPr="00CB119B" w:rsidRDefault="00DB67DE" w:rsidP="00AB0538">
      <w:pPr>
        <w:pStyle w:val="Sinespaciado"/>
        <w:numPr>
          <w:ilvl w:val="1"/>
          <w:numId w:val="38"/>
        </w:numPr>
        <w:outlineLvl w:val="1"/>
        <w:rPr>
          <w:rFonts w:ascii="Times New Roman" w:hAnsi="Times New Roman" w:cs="Times New Roman"/>
          <w:b/>
        </w:rPr>
      </w:pPr>
      <w:bookmarkStart w:id="1790" w:name="_Toc16155050"/>
      <w:bookmarkStart w:id="1791" w:name="_Toc49939484"/>
      <w:bookmarkStart w:id="1792" w:name="_Toc81571928"/>
      <w:r w:rsidRPr="00AB0538">
        <w:rPr>
          <w:rFonts w:ascii="Times New Roman" w:hAnsi="Times New Roman" w:cs="Times New Roman"/>
          <w:b/>
          <w:bCs/>
          <w:sz w:val="24"/>
          <w:lang w:val="es-ES"/>
        </w:rPr>
        <w:t>Escenarios alternativos en las proyecciones de recaudación tributaria</w:t>
      </w:r>
      <w:bookmarkEnd w:id="1790"/>
      <w:bookmarkEnd w:id="1791"/>
      <w:bookmarkEnd w:id="1792"/>
      <w:r w:rsidRPr="00CB119B">
        <w:rPr>
          <w:rFonts w:ascii="Times New Roman" w:hAnsi="Times New Roman" w:cs="Times New Roman"/>
          <w:bCs/>
        </w:rPr>
        <w:tab/>
      </w:r>
      <w:r w:rsidRPr="00CB119B">
        <w:rPr>
          <w:rFonts w:ascii="Times New Roman" w:hAnsi="Times New Roman" w:cs="Times New Roman"/>
          <w:b/>
        </w:rPr>
        <w:tab/>
      </w:r>
      <w:r w:rsidRPr="00CB119B">
        <w:rPr>
          <w:rFonts w:ascii="Times New Roman" w:hAnsi="Times New Roman" w:cs="Times New Roman"/>
          <w:b/>
        </w:rPr>
        <w:tab/>
      </w:r>
    </w:p>
    <w:p w14:paraId="13ACF94E" w14:textId="060804C0" w:rsidR="00DB67DE" w:rsidRPr="00CB119B" w:rsidRDefault="00DB67DE" w:rsidP="00DB67DE">
      <w:pPr>
        <w:spacing w:after="0" w:line="240" w:lineRule="auto"/>
        <w:jc w:val="both"/>
        <w:rPr>
          <w:rFonts w:ascii="Times New Roman" w:hAnsi="Times New Roman" w:cs="Times New Roman"/>
        </w:rPr>
      </w:pPr>
      <w:r w:rsidRPr="00CB119B">
        <w:rPr>
          <w:rFonts w:ascii="Times New Roman" w:hAnsi="Times New Roman" w:cs="Times New Roman"/>
        </w:rPr>
        <w:t xml:space="preserve">Para efectos de medir el grado de sensibilidad que tiene la recaudación tributaria ante cambios en las proyecciones macroeconómicas, se elaboraron escenarios que muestran como la recaudación de impuestos </w:t>
      </w:r>
      <w:r w:rsidR="000E0235">
        <w:rPr>
          <w:rFonts w:ascii="Times New Roman" w:hAnsi="Times New Roman" w:cs="Times New Roman"/>
        </w:rPr>
        <w:t>cambia</w:t>
      </w:r>
      <w:r w:rsidRPr="00CB119B">
        <w:rPr>
          <w:rFonts w:ascii="Times New Roman" w:hAnsi="Times New Roman" w:cs="Times New Roman"/>
        </w:rPr>
        <w:t xml:space="preserve"> por el efecto de la variación de las variables macroeconómicas. Para esto se consider</w:t>
      </w:r>
      <w:r w:rsidR="00FC326C">
        <w:rPr>
          <w:rFonts w:ascii="Times New Roman" w:hAnsi="Times New Roman" w:cs="Times New Roman"/>
        </w:rPr>
        <w:t xml:space="preserve">aron </w:t>
      </w:r>
      <w:r w:rsidR="00866BBF">
        <w:rPr>
          <w:rFonts w:ascii="Times New Roman" w:hAnsi="Times New Roman" w:cs="Times New Roman"/>
        </w:rPr>
        <w:t xml:space="preserve">los </w:t>
      </w:r>
      <w:r w:rsidRPr="00CB119B">
        <w:rPr>
          <w:rFonts w:ascii="Times New Roman" w:hAnsi="Times New Roman" w:cs="Times New Roman"/>
        </w:rPr>
        <w:t>escenario</w:t>
      </w:r>
      <w:r w:rsidR="00866BBF">
        <w:rPr>
          <w:rFonts w:ascii="Times New Roman" w:hAnsi="Times New Roman" w:cs="Times New Roman"/>
        </w:rPr>
        <w:t>s con</w:t>
      </w:r>
      <w:r w:rsidRPr="00CB119B">
        <w:rPr>
          <w:rFonts w:ascii="Times New Roman" w:hAnsi="Times New Roman" w:cs="Times New Roman"/>
        </w:rPr>
        <w:t xml:space="preserve"> las proyecciones elaboradas por el Banco de Guatemala </w:t>
      </w:r>
    </w:p>
    <w:p w14:paraId="6DE4D656" w14:textId="77777777" w:rsidR="00DB67DE" w:rsidRPr="00CB119B" w:rsidRDefault="00DB67DE" w:rsidP="00DB67DE">
      <w:pPr>
        <w:spacing w:after="0" w:line="240" w:lineRule="auto"/>
        <w:jc w:val="both"/>
        <w:rPr>
          <w:rFonts w:ascii="Times New Roman" w:hAnsi="Times New Roman" w:cs="Times New Roman"/>
        </w:rPr>
      </w:pPr>
      <w:r w:rsidRPr="00CB119B">
        <w:rPr>
          <w:rFonts w:ascii="Times New Roman" w:hAnsi="Times New Roman" w:cs="Times New Roman"/>
        </w:rPr>
        <w:tab/>
      </w:r>
      <w:r w:rsidRPr="00CB119B">
        <w:rPr>
          <w:rFonts w:ascii="Times New Roman" w:hAnsi="Times New Roman" w:cs="Times New Roman"/>
        </w:rPr>
        <w:tab/>
      </w:r>
      <w:r w:rsidRPr="00CB119B">
        <w:rPr>
          <w:rFonts w:ascii="Times New Roman" w:hAnsi="Times New Roman" w:cs="Times New Roman"/>
        </w:rPr>
        <w:tab/>
      </w:r>
    </w:p>
    <w:p w14:paraId="7EFF9980" w14:textId="77777777" w:rsidR="00DB67DE" w:rsidRPr="00CB119B" w:rsidRDefault="00DB67DE" w:rsidP="001032E7">
      <w:pPr>
        <w:pStyle w:val="Prrafodelista"/>
        <w:numPr>
          <w:ilvl w:val="0"/>
          <w:numId w:val="35"/>
        </w:numPr>
        <w:spacing w:after="0"/>
        <w:rPr>
          <w:rFonts w:ascii="Times New Roman" w:hAnsi="Times New Roman" w:cs="Times New Roman"/>
          <w:b/>
          <w:vanish/>
          <w:sz w:val="24"/>
        </w:rPr>
      </w:pPr>
    </w:p>
    <w:p w14:paraId="2EB0B1DF" w14:textId="77777777" w:rsidR="00DB67DE" w:rsidRPr="00CB119B" w:rsidRDefault="00DB67DE" w:rsidP="001032E7">
      <w:pPr>
        <w:pStyle w:val="Prrafodelista"/>
        <w:numPr>
          <w:ilvl w:val="0"/>
          <w:numId w:val="35"/>
        </w:numPr>
        <w:spacing w:after="0"/>
        <w:rPr>
          <w:rFonts w:ascii="Times New Roman" w:hAnsi="Times New Roman" w:cs="Times New Roman"/>
          <w:b/>
          <w:vanish/>
          <w:sz w:val="24"/>
        </w:rPr>
      </w:pPr>
    </w:p>
    <w:p w14:paraId="4BA480EB" w14:textId="77777777" w:rsidR="00DB67DE" w:rsidRPr="00CB119B" w:rsidRDefault="00DB67DE" w:rsidP="001032E7">
      <w:pPr>
        <w:pStyle w:val="Prrafodelista"/>
        <w:numPr>
          <w:ilvl w:val="1"/>
          <w:numId w:val="35"/>
        </w:numPr>
        <w:spacing w:after="0"/>
        <w:rPr>
          <w:rFonts w:ascii="Times New Roman" w:hAnsi="Times New Roman" w:cs="Times New Roman"/>
          <w:b/>
          <w:vanish/>
          <w:sz w:val="24"/>
        </w:rPr>
      </w:pPr>
    </w:p>
    <w:p w14:paraId="00F28719" w14:textId="77777777" w:rsidR="00DB67DE" w:rsidRPr="00CB119B" w:rsidRDefault="00DB67DE" w:rsidP="001032E7">
      <w:pPr>
        <w:pStyle w:val="Prrafodelista"/>
        <w:numPr>
          <w:ilvl w:val="1"/>
          <w:numId w:val="35"/>
        </w:numPr>
        <w:spacing w:after="0"/>
        <w:rPr>
          <w:rFonts w:ascii="Times New Roman" w:hAnsi="Times New Roman" w:cs="Times New Roman"/>
          <w:b/>
          <w:vanish/>
          <w:sz w:val="24"/>
        </w:rPr>
      </w:pPr>
    </w:p>
    <w:p w14:paraId="733587BF" w14:textId="77777777" w:rsidR="00DB67DE" w:rsidRPr="00CB119B" w:rsidRDefault="00DB67DE" w:rsidP="001032E7">
      <w:pPr>
        <w:pStyle w:val="Prrafodelista"/>
        <w:numPr>
          <w:ilvl w:val="1"/>
          <w:numId w:val="35"/>
        </w:numPr>
        <w:spacing w:after="0"/>
        <w:rPr>
          <w:rFonts w:ascii="Times New Roman" w:hAnsi="Times New Roman" w:cs="Times New Roman"/>
          <w:b/>
          <w:vanish/>
          <w:sz w:val="24"/>
        </w:rPr>
      </w:pPr>
    </w:p>
    <w:p w14:paraId="67A59708" w14:textId="77777777" w:rsidR="00DB67DE" w:rsidRPr="00CB119B" w:rsidRDefault="00DB67DE" w:rsidP="001032E7">
      <w:pPr>
        <w:pStyle w:val="Prrafodelista"/>
        <w:numPr>
          <w:ilvl w:val="1"/>
          <w:numId w:val="35"/>
        </w:numPr>
        <w:spacing w:after="0"/>
        <w:rPr>
          <w:rFonts w:ascii="Times New Roman" w:hAnsi="Times New Roman" w:cs="Times New Roman"/>
          <w:b/>
          <w:vanish/>
          <w:sz w:val="24"/>
        </w:rPr>
      </w:pPr>
    </w:p>
    <w:p w14:paraId="56A001D2" w14:textId="77777777" w:rsidR="00DB67DE" w:rsidRPr="00CB119B" w:rsidRDefault="00DB67DE" w:rsidP="001032E7">
      <w:pPr>
        <w:pStyle w:val="Prrafodelista"/>
        <w:numPr>
          <w:ilvl w:val="2"/>
          <w:numId w:val="35"/>
        </w:numPr>
        <w:spacing w:after="0"/>
        <w:rPr>
          <w:rFonts w:ascii="Times New Roman" w:hAnsi="Times New Roman" w:cs="Times New Roman"/>
          <w:b/>
          <w:vanish/>
          <w:sz w:val="24"/>
        </w:rPr>
      </w:pPr>
    </w:p>
    <w:p w14:paraId="5372AF0D" w14:textId="77777777" w:rsidR="00DB67DE" w:rsidRPr="00CB119B" w:rsidRDefault="00DB67DE" w:rsidP="001032E7">
      <w:pPr>
        <w:pStyle w:val="Prrafodelista"/>
        <w:numPr>
          <w:ilvl w:val="2"/>
          <w:numId w:val="35"/>
        </w:numPr>
        <w:spacing w:after="0"/>
        <w:rPr>
          <w:rFonts w:ascii="Times New Roman" w:hAnsi="Times New Roman" w:cs="Times New Roman"/>
          <w:b/>
          <w:vanish/>
          <w:sz w:val="24"/>
        </w:rPr>
      </w:pPr>
    </w:p>
    <w:p w14:paraId="71B276C9" w14:textId="77777777" w:rsidR="00DB67DE" w:rsidRPr="00CB119B" w:rsidRDefault="00DB67DE" w:rsidP="001032E7">
      <w:pPr>
        <w:pStyle w:val="Prrafodelista"/>
        <w:numPr>
          <w:ilvl w:val="2"/>
          <w:numId w:val="35"/>
        </w:numPr>
        <w:spacing w:after="0"/>
        <w:rPr>
          <w:rFonts w:ascii="Times New Roman" w:hAnsi="Times New Roman" w:cs="Times New Roman"/>
          <w:b/>
          <w:vanish/>
          <w:sz w:val="24"/>
        </w:rPr>
      </w:pPr>
    </w:p>
    <w:p w14:paraId="668400E4" w14:textId="77777777" w:rsidR="00DB67DE" w:rsidRPr="00CB119B" w:rsidRDefault="00DB67DE" w:rsidP="001032E7">
      <w:pPr>
        <w:pStyle w:val="Prrafodelista"/>
        <w:numPr>
          <w:ilvl w:val="2"/>
          <w:numId w:val="35"/>
        </w:numPr>
        <w:spacing w:after="0"/>
        <w:rPr>
          <w:rFonts w:ascii="Times New Roman" w:hAnsi="Times New Roman" w:cs="Times New Roman"/>
          <w:b/>
          <w:vanish/>
          <w:sz w:val="24"/>
        </w:rPr>
      </w:pPr>
    </w:p>
    <w:p w14:paraId="71231F0A" w14:textId="77777777" w:rsidR="00DB67DE" w:rsidRPr="00CB119B" w:rsidRDefault="00DB67DE" w:rsidP="001032E7">
      <w:pPr>
        <w:pStyle w:val="Prrafodelista"/>
        <w:numPr>
          <w:ilvl w:val="2"/>
          <w:numId w:val="35"/>
        </w:numPr>
        <w:spacing w:after="0"/>
        <w:rPr>
          <w:rFonts w:ascii="Times New Roman" w:hAnsi="Times New Roman" w:cs="Times New Roman"/>
          <w:b/>
          <w:vanish/>
          <w:sz w:val="24"/>
        </w:rPr>
      </w:pPr>
    </w:p>
    <w:p w14:paraId="6B6AB845" w14:textId="77777777" w:rsidR="00DB67DE" w:rsidRPr="00CB119B" w:rsidRDefault="00DB67DE" w:rsidP="001032E7">
      <w:pPr>
        <w:pStyle w:val="Prrafodelista"/>
        <w:numPr>
          <w:ilvl w:val="2"/>
          <w:numId w:val="35"/>
        </w:numPr>
        <w:spacing w:after="0"/>
        <w:rPr>
          <w:rFonts w:ascii="Times New Roman" w:hAnsi="Times New Roman" w:cs="Times New Roman"/>
          <w:b/>
          <w:vanish/>
          <w:sz w:val="24"/>
        </w:rPr>
      </w:pPr>
    </w:p>
    <w:p w14:paraId="782C0FCC" w14:textId="77777777" w:rsidR="00DB67DE" w:rsidRPr="00CB119B" w:rsidRDefault="00DB67DE" w:rsidP="001032E7">
      <w:pPr>
        <w:pStyle w:val="Prrafodelista"/>
        <w:numPr>
          <w:ilvl w:val="2"/>
          <w:numId w:val="35"/>
        </w:numPr>
        <w:spacing w:after="0"/>
        <w:rPr>
          <w:rFonts w:ascii="Times New Roman" w:hAnsi="Times New Roman" w:cs="Times New Roman"/>
          <w:b/>
          <w:vanish/>
          <w:sz w:val="24"/>
        </w:rPr>
      </w:pPr>
    </w:p>
    <w:p w14:paraId="2390B4E8" w14:textId="0BB458C9" w:rsidR="00907586" w:rsidRPr="00AB0538" w:rsidRDefault="00907586" w:rsidP="00AB0538">
      <w:pPr>
        <w:pStyle w:val="Sinespaciado"/>
        <w:numPr>
          <w:ilvl w:val="2"/>
          <w:numId w:val="38"/>
        </w:numPr>
        <w:outlineLvl w:val="1"/>
        <w:rPr>
          <w:rFonts w:ascii="Times New Roman" w:hAnsi="Times New Roman" w:cs="Times New Roman"/>
          <w:b/>
          <w:bCs/>
          <w:sz w:val="24"/>
          <w:lang w:val="es-ES"/>
        </w:rPr>
      </w:pPr>
      <w:bookmarkStart w:id="1793" w:name="_Toc81571929"/>
      <w:r w:rsidRPr="00AB0538">
        <w:rPr>
          <w:rFonts w:ascii="Times New Roman" w:hAnsi="Times New Roman" w:cs="Times New Roman"/>
          <w:b/>
          <w:bCs/>
          <w:sz w:val="24"/>
          <w:lang w:val="es-ES"/>
        </w:rPr>
        <w:t xml:space="preserve">Escenario </w:t>
      </w:r>
      <w:r w:rsidR="00F60432" w:rsidRPr="00AB0538">
        <w:rPr>
          <w:rFonts w:ascii="Times New Roman" w:hAnsi="Times New Roman" w:cs="Times New Roman"/>
          <w:b/>
          <w:bCs/>
          <w:sz w:val="24"/>
          <w:lang w:val="es-ES"/>
        </w:rPr>
        <w:t>medio</w:t>
      </w:r>
      <w:bookmarkEnd w:id="1793"/>
    </w:p>
    <w:p w14:paraId="0178F7EF" w14:textId="77777777" w:rsidR="00907586" w:rsidRPr="00CB119B" w:rsidRDefault="00907586" w:rsidP="00907586">
      <w:pPr>
        <w:spacing w:after="0" w:line="240" w:lineRule="auto"/>
        <w:rPr>
          <w:rFonts w:ascii="Times New Roman" w:hAnsi="Times New Roman" w:cs="Times New Roman"/>
        </w:rPr>
      </w:pPr>
    </w:p>
    <w:p w14:paraId="18CC4286" w14:textId="7724894B" w:rsidR="00907586" w:rsidRPr="00CB119B" w:rsidRDefault="00907586" w:rsidP="00907586">
      <w:pPr>
        <w:spacing w:after="0" w:line="240" w:lineRule="auto"/>
        <w:jc w:val="both"/>
        <w:rPr>
          <w:rFonts w:ascii="Times New Roman" w:hAnsi="Times New Roman" w:cs="Times New Roman"/>
        </w:rPr>
      </w:pPr>
      <w:r w:rsidRPr="00CB119B">
        <w:rPr>
          <w:rFonts w:ascii="Times New Roman" w:hAnsi="Times New Roman" w:cs="Times New Roman"/>
        </w:rPr>
        <w:t xml:space="preserve">Este escenario considera que la actividad económica tendrá un desempeño mucho más dinámico con respecto a lo que se había previsto para las estimaciones del presupuesto multianual, sustentadas en una mayor inversión privada, un aumento en el consumo y un entorno económico internacional más favorable en términos de precios y de la demanda externa.  De esa cuenta, se prevé que la economía en 2023 podría estar por encima de su potencial (3.5%), es decir un crecimiento económico en torno al </w:t>
      </w:r>
      <w:r w:rsidR="007572AB">
        <w:rPr>
          <w:rFonts w:ascii="Times New Roman" w:hAnsi="Times New Roman" w:cs="Times New Roman"/>
        </w:rPr>
        <w:t>3.7</w:t>
      </w:r>
      <w:r w:rsidRPr="00CB119B">
        <w:rPr>
          <w:rFonts w:ascii="Times New Roman" w:hAnsi="Times New Roman" w:cs="Times New Roman"/>
        </w:rPr>
        <w:t xml:space="preserve">%, además las importaciones podrían crecer </w:t>
      </w:r>
      <w:r w:rsidR="00B5252C">
        <w:rPr>
          <w:rFonts w:ascii="Times New Roman" w:hAnsi="Times New Roman" w:cs="Times New Roman"/>
        </w:rPr>
        <w:t>8</w:t>
      </w:r>
      <w:r w:rsidR="008A5D4D">
        <w:rPr>
          <w:rFonts w:ascii="Times New Roman" w:hAnsi="Times New Roman" w:cs="Times New Roman"/>
        </w:rPr>
        <w:t>.0</w:t>
      </w:r>
      <w:r w:rsidRPr="00CB119B">
        <w:rPr>
          <w:rFonts w:ascii="Times New Roman" w:hAnsi="Times New Roman" w:cs="Times New Roman"/>
        </w:rPr>
        <w:t>%, el tipo de cambio se sigue previendo neutral.</w:t>
      </w:r>
    </w:p>
    <w:p w14:paraId="6F20D915" w14:textId="77777777" w:rsidR="00907586" w:rsidRPr="00CB119B" w:rsidRDefault="00907586" w:rsidP="00907586">
      <w:pPr>
        <w:spacing w:after="0" w:line="240" w:lineRule="auto"/>
        <w:jc w:val="both"/>
        <w:rPr>
          <w:rFonts w:ascii="Times New Roman" w:hAnsi="Times New Roman" w:cs="Times New Roman"/>
        </w:rPr>
      </w:pPr>
    </w:p>
    <w:p w14:paraId="5A34EE21" w14:textId="77777777" w:rsidR="00907586" w:rsidRPr="00CB119B" w:rsidRDefault="00907586" w:rsidP="00907586">
      <w:pPr>
        <w:spacing w:after="0" w:line="240" w:lineRule="auto"/>
        <w:jc w:val="both"/>
        <w:rPr>
          <w:rFonts w:ascii="Times New Roman" w:hAnsi="Times New Roman" w:cs="Times New Roman"/>
        </w:rPr>
      </w:pPr>
      <w:r w:rsidRPr="00CB119B">
        <w:rPr>
          <w:rFonts w:ascii="Times New Roman" w:hAnsi="Times New Roman" w:cs="Times New Roman"/>
        </w:rPr>
        <w:t>En el mediano plazo se prevé que estas proyecciones sean crecientes, como se muestra a continuación:</w:t>
      </w:r>
    </w:p>
    <w:p w14:paraId="3BA05502" w14:textId="77777777" w:rsidR="00907586" w:rsidRPr="00CB119B" w:rsidRDefault="00907586" w:rsidP="00907586">
      <w:pPr>
        <w:spacing w:after="0" w:line="240" w:lineRule="auto"/>
        <w:jc w:val="both"/>
        <w:rPr>
          <w:rFonts w:ascii="Times New Roman" w:hAnsi="Times New Roman" w:cs="Times New Roman"/>
        </w:rPr>
      </w:pPr>
    </w:p>
    <w:p w14:paraId="10EA1295" w14:textId="5C3933BB" w:rsidR="00907586" w:rsidRPr="00CB119B" w:rsidRDefault="00907586" w:rsidP="00907586">
      <w:pPr>
        <w:pStyle w:val="Epgrafe"/>
        <w:keepNext/>
        <w:spacing w:after="0"/>
        <w:jc w:val="center"/>
        <w:rPr>
          <w:rFonts w:ascii="Times New Roman" w:hAnsi="Times New Roman" w:cs="Times New Roman"/>
          <w:b/>
          <w:i w:val="0"/>
          <w:color w:val="auto"/>
          <w:sz w:val="22"/>
        </w:rPr>
      </w:pPr>
      <w:bookmarkStart w:id="1794" w:name="_Toc81573047"/>
      <w:r w:rsidRPr="00CB119B">
        <w:rPr>
          <w:rFonts w:ascii="Times New Roman" w:hAnsi="Times New Roman" w:cs="Times New Roman"/>
          <w:b/>
          <w:i w:val="0"/>
          <w:color w:val="auto"/>
          <w:sz w:val="22"/>
        </w:rPr>
        <w:t xml:space="preserve">Tabla </w:t>
      </w:r>
      <w:r w:rsidRPr="00CB119B">
        <w:rPr>
          <w:rFonts w:ascii="Times New Roman" w:hAnsi="Times New Roman" w:cs="Times New Roman"/>
          <w:b/>
          <w:i w:val="0"/>
          <w:color w:val="auto"/>
          <w:sz w:val="22"/>
        </w:rPr>
        <w:fldChar w:fldCharType="begin"/>
      </w:r>
      <w:r w:rsidRPr="00CB119B">
        <w:rPr>
          <w:rFonts w:ascii="Times New Roman" w:hAnsi="Times New Roman" w:cs="Times New Roman"/>
          <w:b/>
          <w:i w:val="0"/>
          <w:color w:val="auto"/>
          <w:sz w:val="22"/>
        </w:rPr>
        <w:instrText xml:space="preserve"> SEQ Tabla \* ARABIC </w:instrText>
      </w:r>
      <w:r w:rsidRPr="00CB119B">
        <w:rPr>
          <w:rFonts w:ascii="Times New Roman" w:hAnsi="Times New Roman" w:cs="Times New Roman"/>
          <w:b/>
          <w:i w:val="0"/>
          <w:color w:val="auto"/>
          <w:sz w:val="22"/>
        </w:rPr>
        <w:fldChar w:fldCharType="separate"/>
      </w:r>
      <w:r w:rsidR="009E18F8">
        <w:rPr>
          <w:rFonts w:ascii="Times New Roman" w:hAnsi="Times New Roman" w:cs="Times New Roman"/>
          <w:b/>
          <w:i w:val="0"/>
          <w:noProof/>
          <w:color w:val="auto"/>
          <w:sz w:val="22"/>
        </w:rPr>
        <w:t>25</w:t>
      </w:r>
      <w:r w:rsidRPr="00CB119B">
        <w:rPr>
          <w:rFonts w:ascii="Times New Roman" w:hAnsi="Times New Roman" w:cs="Times New Roman"/>
          <w:b/>
          <w:i w:val="0"/>
          <w:color w:val="auto"/>
          <w:sz w:val="22"/>
        </w:rPr>
        <w:fldChar w:fldCharType="end"/>
      </w:r>
      <w:r w:rsidRPr="00CB119B">
        <w:rPr>
          <w:rFonts w:ascii="Times New Roman" w:hAnsi="Times New Roman" w:cs="Times New Roman"/>
          <w:b/>
          <w:i w:val="0"/>
          <w:color w:val="auto"/>
          <w:sz w:val="22"/>
        </w:rPr>
        <w:t xml:space="preserve"> Escenario macroeconómico alto</w:t>
      </w:r>
      <w:bookmarkEnd w:id="1794"/>
    </w:p>
    <w:p w14:paraId="7ED7A455" w14:textId="697FA494" w:rsidR="00907586" w:rsidRPr="00CB119B" w:rsidRDefault="00B5252C" w:rsidP="00907586">
      <w:pPr>
        <w:spacing w:after="0"/>
        <w:jc w:val="both"/>
        <w:rPr>
          <w:rFonts w:ascii="Times New Roman" w:hAnsi="Times New Roman" w:cs="Times New Roman"/>
          <w:sz w:val="16"/>
        </w:rPr>
      </w:pPr>
      <w:r w:rsidRPr="00B5252C">
        <w:rPr>
          <w:noProof/>
          <w:lang w:val="es-ES" w:eastAsia="es-ES"/>
        </w:rPr>
        <w:drawing>
          <wp:inline distT="0" distB="0" distL="0" distR="0" wp14:anchorId="0708BACA" wp14:editId="50883A7C">
            <wp:extent cx="5612130" cy="949325"/>
            <wp:effectExtent l="0" t="0" r="7620" b="317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12130" cy="949325"/>
                    </a:xfrm>
                    <a:prstGeom prst="rect">
                      <a:avLst/>
                    </a:prstGeom>
                    <a:noFill/>
                    <a:ln>
                      <a:noFill/>
                    </a:ln>
                  </pic:spPr>
                </pic:pic>
              </a:graphicData>
            </a:graphic>
          </wp:inline>
        </w:drawing>
      </w:r>
    </w:p>
    <w:p w14:paraId="31C858A6" w14:textId="77777777" w:rsidR="00907586" w:rsidRPr="00CB119B" w:rsidRDefault="00907586" w:rsidP="00907586">
      <w:pPr>
        <w:spacing w:after="0"/>
        <w:jc w:val="both"/>
        <w:rPr>
          <w:rFonts w:ascii="Times New Roman" w:hAnsi="Times New Roman" w:cs="Times New Roman"/>
          <w:sz w:val="16"/>
        </w:rPr>
      </w:pPr>
      <w:r w:rsidRPr="00CB119B">
        <w:rPr>
          <w:rFonts w:ascii="Times New Roman" w:hAnsi="Times New Roman" w:cs="Times New Roman"/>
          <w:sz w:val="16"/>
        </w:rPr>
        <w:t>Fuente Banco de Guatemala, escenario del 2 de julio 2020</w:t>
      </w:r>
    </w:p>
    <w:p w14:paraId="6DFDB73D" w14:textId="77777777" w:rsidR="00907586" w:rsidRPr="00CB119B" w:rsidRDefault="00907586" w:rsidP="00907586">
      <w:pPr>
        <w:spacing w:after="0" w:line="240" w:lineRule="auto"/>
        <w:jc w:val="both"/>
        <w:rPr>
          <w:rFonts w:ascii="Times New Roman" w:hAnsi="Times New Roman" w:cs="Times New Roman"/>
        </w:rPr>
      </w:pPr>
    </w:p>
    <w:p w14:paraId="396B7E52" w14:textId="234686DE" w:rsidR="00907586" w:rsidRPr="00CB119B" w:rsidRDefault="00907586" w:rsidP="00907586">
      <w:pPr>
        <w:spacing w:after="0" w:line="240" w:lineRule="auto"/>
        <w:jc w:val="both"/>
        <w:rPr>
          <w:rFonts w:ascii="Times New Roman" w:hAnsi="Times New Roman" w:cs="Times New Roman"/>
        </w:rPr>
      </w:pPr>
      <w:r w:rsidRPr="00CB119B">
        <w:rPr>
          <w:rFonts w:ascii="Times New Roman" w:hAnsi="Times New Roman" w:cs="Times New Roman"/>
        </w:rPr>
        <w:t>Este escenario para 2023 refleja que la recaudación tributaria podría ubicarse en Q</w:t>
      </w:r>
      <w:r w:rsidR="00AA6F25">
        <w:rPr>
          <w:rFonts w:ascii="Times New Roman" w:hAnsi="Times New Roman" w:cs="Times New Roman"/>
        </w:rPr>
        <w:t xml:space="preserve">82,012.2 </w:t>
      </w:r>
      <w:r w:rsidRPr="00CB119B">
        <w:rPr>
          <w:rFonts w:ascii="Times New Roman" w:hAnsi="Times New Roman" w:cs="Times New Roman"/>
        </w:rPr>
        <w:t>millones, por encima en Q</w:t>
      </w:r>
      <w:r w:rsidR="00005147">
        <w:rPr>
          <w:rFonts w:ascii="Times New Roman" w:hAnsi="Times New Roman" w:cs="Times New Roman"/>
        </w:rPr>
        <w:t xml:space="preserve">7,644.2 </w:t>
      </w:r>
      <w:r w:rsidRPr="00CB119B">
        <w:rPr>
          <w:rFonts w:ascii="Times New Roman" w:hAnsi="Times New Roman" w:cs="Times New Roman"/>
        </w:rPr>
        <w:t xml:space="preserve">millones con respecto a lo previsto en la estimación de presupuesto multianual.  </w:t>
      </w:r>
      <w:r w:rsidR="00837DDA">
        <w:rPr>
          <w:rFonts w:ascii="Times New Roman" w:hAnsi="Times New Roman" w:cs="Times New Roman"/>
        </w:rPr>
        <w:t xml:space="preserve">Con el uso de este escenario se recalcula la recaudación </w:t>
      </w:r>
      <w:r w:rsidR="00940614">
        <w:rPr>
          <w:rFonts w:ascii="Times New Roman" w:hAnsi="Times New Roman" w:cs="Times New Roman"/>
        </w:rPr>
        <w:t xml:space="preserve">tributaria para el ejercicio 2022 la cual se </w:t>
      </w:r>
      <w:r w:rsidR="00E82325">
        <w:rPr>
          <w:rFonts w:ascii="Times New Roman" w:hAnsi="Times New Roman" w:cs="Times New Roman"/>
        </w:rPr>
        <w:t>sitúa en</w:t>
      </w:r>
      <w:r w:rsidR="000D621F">
        <w:rPr>
          <w:rFonts w:ascii="Times New Roman" w:hAnsi="Times New Roman" w:cs="Times New Roman"/>
        </w:rPr>
        <w:t xml:space="preserve"> Q75,953.3 millones monto superior a lo contemplado en el Proyecto de Presupuesto </w:t>
      </w:r>
      <w:r w:rsidR="00287C9C">
        <w:rPr>
          <w:rFonts w:ascii="Times New Roman" w:hAnsi="Times New Roman" w:cs="Times New Roman"/>
        </w:rPr>
        <w:t>dado el cambio en el escenario macroeconómico, la nueva carga para 2026 utilizando el escenario medio en todos los años es de 11.22%</w:t>
      </w:r>
      <w:r w:rsidR="00A438FA">
        <w:rPr>
          <w:rFonts w:ascii="Times New Roman" w:hAnsi="Times New Roman" w:cs="Times New Roman"/>
        </w:rPr>
        <w:t>.</w:t>
      </w:r>
    </w:p>
    <w:p w14:paraId="6BD9DDA3" w14:textId="77777777" w:rsidR="00907586" w:rsidRPr="00CB119B" w:rsidRDefault="00907586" w:rsidP="00907586">
      <w:pPr>
        <w:spacing w:after="0" w:line="240" w:lineRule="auto"/>
        <w:jc w:val="both"/>
        <w:rPr>
          <w:rFonts w:ascii="Times New Roman" w:hAnsi="Times New Roman" w:cs="Times New Roman"/>
        </w:rPr>
      </w:pPr>
    </w:p>
    <w:p w14:paraId="2018ABDB" w14:textId="77777777" w:rsidR="00907586" w:rsidRPr="00CB119B" w:rsidRDefault="00907586" w:rsidP="00907586">
      <w:pPr>
        <w:spacing w:after="0" w:line="240" w:lineRule="auto"/>
        <w:jc w:val="both"/>
        <w:rPr>
          <w:rFonts w:ascii="Times New Roman" w:hAnsi="Times New Roman" w:cs="Times New Roman"/>
        </w:rPr>
      </w:pPr>
      <w:r w:rsidRPr="00CB119B">
        <w:rPr>
          <w:rFonts w:ascii="Times New Roman" w:hAnsi="Times New Roman" w:cs="Times New Roman"/>
        </w:rPr>
        <w:t>Este escenario no contempla medidas de política fiscal (Reformas tributarias o modificaciones al marco legal vigente), en este ejercicio se adicionan medidas administrativas para la reducción del incumplimiento por parte de la Superintendencia de Administración Tributaria –SAT- que a su vez se convertirán en un aumento en la percepción de riesgo de los contribuyentes.</w:t>
      </w:r>
    </w:p>
    <w:p w14:paraId="6D85AAED" w14:textId="77777777" w:rsidR="00907586" w:rsidRPr="00CB119B" w:rsidRDefault="00907586" w:rsidP="00907586">
      <w:pPr>
        <w:spacing w:after="0" w:line="240" w:lineRule="auto"/>
        <w:jc w:val="both"/>
        <w:rPr>
          <w:rFonts w:ascii="Times New Roman" w:hAnsi="Times New Roman" w:cs="Times New Roman"/>
        </w:rPr>
      </w:pPr>
    </w:p>
    <w:p w14:paraId="3BFB330B" w14:textId="77777777" w:rsidR="00907586" w:rsidRPr="00CB119B" w:rsidRDefault="00907586" w:rsidP="00907586">
      <w:pPr>
        <w:pStyle w:val="Epgrafe"/>
        <w:keepNext/>
        <w:spacing w:after="0"/>
        <w:jc w:val="center"/>
        <w:rPr>
          <w:rFonts w:ascii="Times New Roman" w:hAnsi="Times New Roman" w:cs="Times New Roman"/>
          <w:b/>
          <w:i w:val="0"/>
          <w:color w:val="auto"/>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1"/>
      </w:tblGrid>
      <w:tr w:rsidR="00907586" w:rsidRPr="00CB119B" w14:paraId="30CE0A2C" w14:textId="77777777" w:rsidTr="00E63F4C">
        <w:trPr>
          <w:jc w:val="center"/>
        </w:trPr>
        <w:tc>
          <w:tcPr>
            <w:tcW w:w="8818" w:type="dxa"/>
          </w:tcPr>
          <w:p w14:paraId="2EE20B08" w14:textId="7C39D12B" w:rsidR="00907586" w:rsidRPr="00CB119B" w:rsidRDefault="00907586" w:rsidP="00E63F4C">
            <w:pPr>
              <w:jc w:val="center"/>
              <w:rPr>
                <w:rFonts w:ascii="Times New Roman" w:hAnsi="Times New Roman" w:cs="Times New Roman"/>
              </w:rPr>
            </w:pPr>
            <w:bookmarkStart w:id="1795" w:name="_Toc81573048"/>
            <w:r w:rsidRPr="00CB119B">
              <w:rPr>
                <w:rFonts w:ascii="Times New Roman" w:hAnsi="Times New Roman" w:cs="Times New Roman"/>
                <w:b/>
              </w:rPr>
              <w:t xml:space="preserve">Tabla </w:t>
            </w:r>
            <w:r w:rsidRPr="00CB119B">
              <w:rPr>
                <w:rFonts w:ascii="Times New Roman" w:hAnsi="Times New Roman" w:cs="Times New Roman"/>
                <w:b/>
                <w:i/>
              </w:rPr>
              <w:fldChar w:fldCharType="begin"/>
            </w:r>
            <w:r w:rsidRPr="00CB119B">
              <w:rPr>
                <w:rFonts w:ascii="Times New Roman" w:hAnsi="Times New Roman" w:cs="Times New Roman"/>
                <w:b/>
              </w:rPr>
              <w:instrText xml:space="preserve"> SEQ Tabla \* ARABIC </w:instrText>
            </w:r>
            <w:r w:rsidRPr="00CB119B">
              <w:rPr>
                <w:rFonts w:ascii="Times New Roman" w:hAnsi="Times New Roman" w:cs="Times New Roman"/>
                <w:b/>
                <w:i/>
              </w:rPr>
              <w:fldChar w:fldCharType="separate"/>
            </w:r>
            <w:r w:rsidR="009E18F8">
              <w:rPr>
                <w:rFonts w:ascii="Times New Roman" w:hAnsi="Times New Roman" w:cs="Times New Roman"/>
                <w:b/>
                <w:noProof/>
              </w:rPr>
              <w:t>26</w:t>
            </w:r>
            <w:r w:rsidRPr="00CB119B">
              <w:rPr>
                <w:rFonts w:ascii="Times New Roman" w:hAnsi="Times New Roman" w:cs="Times New Roman"/>
                <w:b/>
                <w:i/>
              </w:rPr>
              <w:fldChar w:fldCharType="end"/>
            </w:r>
            <w:r w:rsidRPr="00CB119B">
              <w:rPr>
                <w:rFonts w:ascii="Times New Roman" w:hAnsi="Times New Roman" w:cs="Times New Roman"/>
                <w:b/>
              </w:rPr>
              <w:t xml:space="preserve"> Proyección de recaudación tributaria</w:t>
            </w:r>
            <w:bookmarkEnd w:id="1795"/>
          </w:p>
        </w:tc>
      </w:tr>
      <w:tr w:rsidR="00907586" w:rsidRPr="00CB119B" w14:paraId="137413E3" w14:textId="77777777" w:rsidTr="00E63F4C">
        <w:trPr>
          <w:jc w:val="center"/>
        </w:trPr>
        <w:tc>
          <w:tcPr>
            <w:tcW w:w="8818" w:type="dxa"/>
          </w:tcPr>
          <w:p w14:paraId="6B6912C6" w14:textId="333A9D79" w:rsidR="00907586" w:rsidRPr="00CB119B" w:rsidRDefault="00907586" w:rsidP="00E63F4C">
            <w:pPr>
              <w:pStyle w:val="Sinespaciado"/>
              <w:jc w:val="center"/>
              <w:rPr>
                <w:rFonts w:ascii="Times New Roman" w:hAnsi="Times New Roman" w:cs="Times New Roman"/>
                <w:sz w:val="18"/>
              </w:rPr>
            </w:pPr>
            <w:r w:rsidRPr="00CB119B">
              <w:rPr>
                <w:rFonts w:ascii="Times New Roman" w:hAnsi="Times New Roman" w:cs="Times New Roman"/>
                <w:sz w:val="18"/>
              </w:rPr>
              <w:t>Escenario Alto</w:t>
            </w:r>
          </w:p>
          <w:p w14:paraId="39021923" w14:textId="7504DD6E" w:rsidR="00907586" w:rsidRPr="00CB119B" w:rsidRDefault="00E82325" w:rsidP="00E63F4C">
            <w:pPr>
              <w:pStyle w:val="Sinespaciado"/>
              <w:jc w:val="center"/>
              <w:rPr>
                <w:rFonts w:ascii="Times New Roman" w:hAnsi="Times New Roman" w:cs="Times New Roman"/>
                <w:sz w:val="18"/>
              </w:rPr>
            </w:pPr>
            <w:r w:rsidRPr="000F6D16">
              <w:rPr>
                <w:rFonts w:ascii="Times New Roman" w:hAnsi="Times New Roman" w:cs="Times New Roman"/>
                <w:noProof/>
                <w:lang w:val="es-ES" w:eastAsia="es-ES"/>
              </w:rPr>
              <w:drawing>
                <wp:anchor distT="0" distB="0" distL="114300" distR="114300" simplePos="0" relativeHeight="251655168" behindDoc="0" locked="0" layoutInCell="1" allowOverlap="1" wp14:anchorId="037FC530" wp14:editId="153880E4">
                  <wp:simplePos x="0" y="0"/>
                  <wp:positionH relativeFrom="column">
                    <wp:posOffset>-68580</wp:posOffset>
                  </wp:positionH>
                  <wp:positionV relativeFrom="paragraph">
                    <wp:posOffset>212725</wp:posOffset>
                  </wp:positionV>
                  <wp:extent cx="5610225" cy="4076700"/>
                  <wp:effectExtent l="0" t="0" r="0" b="0"/>
                  <wp:wrapSquare wrapText="bothSides"/>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10225" cy="4076700"/>
                          </a:xfrm>
                          <a:prstGeom prst="rect">
                            <a:avLst/>
                          </a:prstGeom>
                          <a:noFill/>
                          <a:ln>
                            <a:noFill/>
                          </a:ln>
                        </pic:spPr>
                      </pic:pic>
                    </a:graphicData>
                  </a:graphic>
                </wp:anchor>
              </w:drawing>
            </w:r>
            <w:r w:rsidR="00907586" w:rsidRPr="00CB119B">
              <w:rPr>
                <w:rFonts w:ascii="Times New Roman" w:hAnsi="Times New Roman" w:cs="Times New Roman"/>
                <w:sz w:val="18"/>
              </w:rPr>
              <w:t>2019-2026</w:t>
            </w:r>
          </w:p>
          <w:p w14:paraId="2D90CC02" w14:textId="77777777" w:rsidR="00E82325" w:rsidRPr="00CB119B" w:rsidRDefault="00E82325" w:rsidP="00E82325">
            <w:pPr>
              <w:ind w:firstLine="708"/>
              <w:jc w:val="both"/>
              <w:rPr>
                <w:rFonts w:ascii="Times New Roman" w:hAnsi="Times New Roman" w:cs="Times New Roman"/>
                <w:sz w:val="16"/>
              </w:rPr>
            </w:pPr>
            <w:r w:rsidRPr="00CB119B">
              <w:rPr>
                <w:rFonts w:ascii="Times New Roman" w:hAnsi="Times New Roman" w:cs="Times New Roman"/>
                <w:sz w:val="16"/>
              </w:rPr>
              <w:t xml:space="preserve">Fuente: Dirección de Análisis y Política Fiscal </w:t>
            </w:r>
          </w:p>
          <w:p w14:paraId="208B1A13" w14:textId="40E6E5A6" w:rsidR="00907586" w:rsidRPr="00CB119B" w:rsidRDefault="00907586" w:rsidP="00E63F4C">
            <w:pPr>
              <w:jc w:val="center"/>
              <w:rPr>
                <w:rFonts w:ascii="Times New Roman" w:hAnsi="Times New Roman" w:cs="Times New Roman"/>
              </w:rPr>
            </w:pPr>
          </w:p>
        </w:tc>
      </w:tr>
      <w:tr w:rsidR="00907586" w:rsidRPr="00CB119B" w14:paraId="4020B2F4" w14:textId="77777777" w:rsidTr="00E63F4C">
        <w:trPr>
          <w:jc w:val="center"/>
        </w:trPr>
        <w:tc>
          <w:tcPr>
            <w:tcW w:w="8818" w:type="dxa"/>
          </w:tcPr>
          <w:p w14:paraId="672B9BCB" w14:textId="076F9131" w:rsidR="00907586" w:rsidRPr="00FB2835" w:rsidRDefault="00FB2835" w:rsidP="00FB2835">
            <w:pPr>
              <w:pStyle w:val="Epgrafe"/>
              <w:keepNext/>
              <w:spacing w:after="0"/>
              <w:jc w:val="center"/>
              <w:rPr>
                <w:color w:val="auto"/>
                <w:sz w:val="20"/>
              </w:rPr>
            </w:pPr>
            <w:bookmarkStart w:id="1796" w:name="_Toc81573111"/>
            <w:r w:rsidRPr="00FB2835">
              <w:rPr>
                <w:rFonts w:ascii="Times New Roman" w:hAnsi="Times New Roman" w:cs="Times New Roman"/>
                <w:b/>
                <w:color w:val="auto"/>
                <w:sz w:val="20"/>
              </w:rPr>
              <w:t xml:space="preserve">Gráfico </w:t>
            </w:r>
            <w:r w:rsidRPr="00FB2835">
              <w:rPr>
                <w:rFonts w:ascii="Times New Roman" w:hAnsi="Times New Roman" w:cs="Times New Roman"/>
                <w:b/>
                <w:color w:val="auto"/>
                <w:sz w:val="20"/>
              </w:rPr>
              <w:fldChar w:fldCharType="begin"/>
            </w:r>
            <w:r w:rsidRPr="00FB2835">
              <w:rPr>
                <w:rFonts w:ascii="Times New Roman" w:hAnsi="Times New Roman" w:cs="Times New Roman"/>
                <w:b/>
                <w:color w:val="auto"/>
                <w:sz w:val="20"/>
              </w:rPr>
              <w:instrText xml:space="preserve"> SEQ Gráfico \* ARABIC </w:instrText>
            </w:r>
            <w:r w:rsidRPr="00FB2835">
              <w:rPr>
                <w:rFonts w:ascii="Times New Roman" w:hAnsi="Times New Roman" w:cs="Times New Roman"/>
                <w:b/>
                <w:color w:val="auto"/>
                <w:sz w:val="20"/>
              </w:rPr>
              <w:fldChar w:fldCharType="separate"/>
            </w:r>
            <w:r w:rsidR="00D6529D">
              <w:rPr>
                <w:rFonts w:ascii="Times New Roman" w:hAnsi="Times New Roman" w:cs="Times New Roman"/>
                <w:b/>
                <w:noProof/>
                <w:color w:val="auto"/>
                <w:sz w:val="20"/>
              </w:rPr>
              <w:t>61</w:t>
            </w:r>
            <w:r w:rsidRPr="00FB2835">
              <w:rPr>
                <w:rFonts w:ascii="Times New Roman" w:hAnsi="Times New Roman" w:cs="Times New Roman"/>
                <w:b/>
                <w:color w:val="auto"/>
                <w:sz w:val="20"/>
              </w:rPr>
              <w:fldChar w:fldCharType="end"/>
            </w:r>
            <w:r w:rsidRPr="00FB2835">
              <w:rPr>
                <w:rFonts w:ascii="Times New Roman" w:hAnsi="Times New Roman" w:cs="Times New Roman"/>
                <w:b/>
                <w:color w:val="auto"/>
                <w:sz w:val="20"/>
              </w:rPr>
              <w:t xml:space="preserve">.  </w:t>
            </w:r>
            <w:r w:rsidR="00907586" w:rsidRPr="00FB2835">
              <w:rPr>
                <w:rFonts w:ascii="Times New Roman" w:hAnsi="Times New Roman" w:cs="Times New Roman"/>
                <w:b/>
                <w:i w:val="0"/>
                <w:color w:val="auto"/>
                <w:sz w:val="24"/>
                <w:szCs w:val="22"/>
              </w:rPr>
              <w:t>Carga tributaria</w:t>
            </w:r>
            <w:r w:rsidR="00D6529D">
              <w:rPr>
                <w:rFonts w:ascii="Times New Roman" w:hAnsi="Times New Roman" w:cs="Times New Roman"/>
                <w:b/>
                <w:i w:val="0"/>
                <w:color w:val="auto"/>
                <w:sz w:val="24"/>
                <w:szCs w:val="22"/>
              </w:rPr>
              <w:t xml:space="preserve"> escenario medio</w:t>
            </w:r>
            <w:bookmarkEnd w:id="1796"/>
          </w:p>
          <w:p w14:paraId="0F049AA8" w14:textId="16AEB30A" w:rsidR="00907586" w:rsidRPr="00CB119B" w:rsidRDefault="00907586" w:rsidP="00E63F4C">
            <w:pPr>
              <w:pStyle w:val="Sinespaciado"/>
              <w:jc w:val="center"/>
              <w:rPr>
                <w:rFonts w:ascii="Times New Roman" w:hAnsi="Times New Roman" w:cs="Times New Roman"/>
                <w:sz w:val="18"/>
              </w:rPr>
            </w:pPr>
            <w:r w:rsidRPr="00CB119B">
              <w:rPr>
                <w:rFonts w:ascii="Times New Roman" w:hAnsi="Times New Roman" w:cs="Times New Roman"/>
                <w:sz w:val="18"/>
              </w:rPr>
              <w:t>2019 – 202</w:t>
            </w:r>
            <w:r w:rsidR="00274D76">
              <w:rPr>
                <w:rFonts w:ascii="Times New Roman" w:hAnsi="Times New Roman" w:cs="Times New Roman"/>
                <w:sz w:val="18"/>
              </w:rPr>
              <w:t>6</w:t>
            </w:r>
          </w:p>
          <w:p w14:paraId="3EADE5B0" w14:textId="77777777" w:rsidR="00907586" w:rsidRPr="00CB119B" w:rsidRDefault="00907586" w:rsidP="00E63F4C">
            <w:pPr>
              <w:jc w:val="center"/>
              <w:rPr>
                <w:rFonts w:ascii="Times New Roman" w:hAnsi="Times New Roman" w:cs="Times New Roman"/>
                <w:sz w:val="18"/>
              </w:rPr>
            </w:pPr>
            <w:r w:rsidRPr="00CB119B">
              <w:rPr>
                <w:rFonts w:ascii="Times New Roman" w:hAnsi="Times New Roman" w:cs="Times New Roman"/>
                <w:sz w:val="18"/>
              </w:rPr>
              <w:t>Porcentajes del PIB</w:t>
            </w:r>
          </w:p>
          <w:p w14:paraId="305175CB" w14:textId="77777777" w:rsidR="00907586" w:rsidRPr="00CB119B" w:rsidRDefault="00907586" w:rsidP="00E63F4C">
            <w:pPr>
              <w:jc w:val="center"/>
              <w:rPr>
                <w:rFonts w:ascii="Times New Roman" w:hAnsi="Times New Roman" w:cs="Times New Roman"/>
              </w:rPr>
            </w:pPr>
            <w:r w:rsidRPr="00CB119B">
              <w:rPr>
                <w:rFonts w:ascii="Times New Roman" w:hAnsi="Times New Roman" w:cs="Times New Roman"/>
                <w:noProof/>
                <w:lang w:val="es-ES" w:eastAsia="es-ES"/>
              </w:rPr>
              <w:drawing>
                <wp:inline distT="0" distB="0" distL="0" distR="0" wp14:anchorId="4D11A46D" wp14:editId="33B55623">
                  <wp:extent cx="4235501" cy="2190750"/>
                  <wp:effectExtent l="0" t="0" r="0" b="0"/>
                  <wp:docPr id="111"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r>
    </w:tbl>
    <w:p w14:paraId="417E1C0C" w14:textId="77777777" w:rsidR="00907586" w:rsidRPr="00CB119B" w:rsidRDefault="00907586" w:rsidP="00907586">
      <w:pPr>
        <w:spacing w:after="0"/>
        <w:ind w:firstLine="708"/>
        <w:rPr>
          <w:rFonts w:ascii="Times New Roman" w:hAnsi="Times New Roman" w:cs="Times New Roman"/>
          <w:sz w:val="16"/>
        </w:rPr>
      </w:pPr>
      <w:r w:rsidRPr="00CB119B">
        <w:rPr>
          <w:rFonts w:ascii="Times New Roman" w:hAnsi="Times New Roman" w:cs="Times New Roman"/>
          <w:sz w:val="16"/>
        </w:rPr>
        <w:t xml:space="preserve">Fuente: Dirección de Análisis y Política Fiscal </w:t>
      </w:r>
    </w:p>
    <w:p w14:paraId="725E37D4" w14:textId="77777777" w:rsidR="00907586" w:rsidRPr="00CB119B" w:rsidRDefault="00907586" w:rsidP="00DB67DE">
      <w:pPr>
        <w:spacing w:after="0" w:line="240" w:lineRule="auto"/>
        <w:jc w:val="both"/>
        <w:rPr>
          <w:rFonts w:ascii="Times New Roman" w:hAnsi="Times New Roman" w:cs="Times New Roman"/>
        </w:rPr>
      </w:pPr>
    </w:p>
    <w:p w14:paraId="7C7E0565" w14:textId="77777777" w:rsidR="00DB67DE" w:rsidRPr="00CB119B" w:rsidRDefault="00DB67DE" w:rsidP="00DB67DE">
      <w:pPr>
        <w:spacing w:after="0" w:line="240" w:lineRule="auto"/>
        <w:jc w:val="both"/>
        <w:rPr>
          <w:rFonts w:ascii="Times New Roman" w:hAnsi="Times New Roman" w:cs="Times New Roman"/>
        </w:rPr>
      </w:pPr>
    </w:p>
    <w:p w14:paraId="09A1FFA9" w14:textId="77777777" w:rsidR="00DB67DE" w:rsidRPr="00AB0538" w:rsidRDefault="00DB67DE" w:rsidP="00AB0538">
      <w:pPr>
        <w:pStyle w:val="Sinespaciado"/>
        <w:numPr>
          <w:ilvl w:val="2"/>
          <w:numId w:val="38"/>
        </w:numPr>
        <w:outlineLvl w:val="1"/>
        <w:rPr>
          <w:rFonts w:ascii="Times New Roman" w:hAnsi="Times New Roman" w:cs="Times New Roman"/>
          <w:b/>
          <w:bCs/>
          <w:sz w:val="24"/>
          <w:lang w:val="es-ES"/>
        </w:rPr>
      </w:pPr>
      <w:bookmarkStart w:id="1797" w:name="_Toc81571930"/>
      <w:r w:rsidRPr="00AB0538">
        <w:rPr>
          <w:rFonts w:ascii="Times New Roman" w:hAnsi="Times New Roman" w:cs="Times New Roman"/>
          <w:b/>
          <w:bCs/>
          <w:sz w:val="24"/>
          <w:lang w:val="es-ES"/>
        </w:rPr>
        <w:t>Escenario alto</w:t>
      </w:r>
      <w:bookmarkEnd w:id="1797"/>
    </w:p>
    <w:p w14:paraId="26D9B590" w14:textId="77777777" w:rsidR="00DB67DE" w:rsidRPr="00CB119B" w:rsidRDefault="00DB67DE" w:rsidP="00DB67DE">
      <w:pPr>
        <w:spacing w:after="0" w:line="240" w:lineRule="auto"/>
        <w:rPr>
          <w:rFonts w:ascii="Times New Roman" w:hAnsi="Times New Roman" w:cs="Times New Roman"/>
        </w:rPr>
      </w:pPr>
    </w:p>
    <w:p w14:paraId="09170D83" w14:textId="3B739047" w:rsidR="00DB67DE" w:rsidRPr="00CB119B" w:rsidRDefault="00DB67DE" w:rsidP="00DB67DE">
      <w:pPr>
        <w:spacing w:after="0" w:line="240" w:lineRule="auto"/>
        <w:jc w:val="both"/>
        <w:rPr>
          <w:rFonts w:ascii="Times New Roman" w:hAnsi="Times New Roman" w:cs="Times New Roman"/>
        </w:rPr>
      </w:pPr>
      <w:r w:rsidRPr="00CB119B">
        <w:rPr>
          <w:rFonts w:ascii="Times New Roman" w:hAnsi="Times New Roman" w:cs="Times New Roman"/>
        </w:rPr>
        <w:t>Este escenario considera que la actividad económica tendrá un desempeño mucho más dinámico con respecto a lo que se había previsto para las estimaciones del presupuesto multianual, sustentadas en una mayor inversión privada, un aumento en el consumo y un entorno económico internacional más favorable en términos de precios y de la demanda externa.  De esa cuenta, se prevé que la economía en 2023 podría estar por encima de su potencial (3.5%), es decir un crecimiento económico en torno al 4.7%, además las importaciones podrían crecer 9</w:t>
      </w:r>
      <w:r w:rsidR="00781E56">
        <w:rPr>
          <w:rFonts w:ascii="Times New Roman" w:hAnsi="Times New Roman" w:cs="Times New Roman"/>
        </w:rPr>
        <w:t>.5</w:t>
      </w:r>
      <w:r w:rsidRPr="00CB119B">
        <w:rPr>
          <w:rFonts w:ascii="Times New Roman" w:hAnsi="Times New Roman" w:cs="Times New Roman"/>
        </w:rPr>
        <w:t>%, el tipo de cambio se sigue previendo neutral.</w:t>
      </w:r>
    </w:p>
    <w:p w14:paraId="546E16E8" w14:textId="77777777" w:rsidR="00DB67DE" w:rsidRPr="00CB119B" w:rsidRDefault="00DB67DE" w:rsidP="00DB67DE">
      <w:pPr>
        <w:spacing w:after="0" w:line="240" w:lineRule="auto"/>
        <w:jc w:val="both"/>
        <w:rPr>
          <w:rFonts w:ascii="Times New Roman" w:hAnsi="Times New Roman" w:cs="Times New Roman"/>
        </w:rPr>
      </w:pPr>
    </w:p>
    <w:p w14:paraId="1E71A497" w14:textId="77777777" w:rsidR="00DB67DE" w:rsidRPr="00CB119B" w:rsidRDefault="00DB67DE" w:rsidP="00DB67DE">
      <w:pPr>
        <w:spacing w:after="0" w:line="240" w:lineRule="auto"/>
        <w:jc w:val="both"/>
        <w:rPr>
          <w:rFonts w:ascii="Times New Roman" w:hAnsi="Times New Roman" w:cs="Times New Roman"/>
        </w:rPr>
      </w:pPr>
      <w:r w:rsidRPr="00CB119B">
        <w:rPr>
          <w:rFonts w:ascii="Times New Roman" w:hAnsi="Times New Roman" w:cs="Times New Roman"/>
        </w:rPr>
        <w:t>En el mediano plazo se prevé que estas proyecciones sean crecientes, como se muestra a continuación:</w:t>
      </w:r>
    </w:p>
    <w:p w14:paraId="08C3F453" w14:textId="77777777" w:rsidR="00DB67DE" w:rsidRPr="00CB119B" w:rsidRDefault="00DB67DE" w:rsidP="00DB67DE">
      <w:pPr>
        <w:spacing w:after="0" w:line="240" w:lineRule="auto"/>
        <w:jc w:val="both"/>
        <w:rPr>
          <w:rFonts w:ascii="Times New Roman" w:hAnsi="Times New Roman" w:cs="Times New Roman"/>
        </w:rPr>
      </w:pPr>
    </w:p>
    <w:p w14:paraId="6080C1DB" w14:textId="6983C8F8" w:rsidR="00DB67DE" w:rsidRPr="00CB119B" w:rsidRDefault="00DB67DE" w:rsidP="00DB67DE">
      <w:pPr>
        <w:pStyle w:val="Epgrafe"/>
        <w:keepNext/>
        <w:spacing w:after="0"/>
        <w:jc w:val="center"/>
        <w:rPr>
          <w:rFonts w:ascii="Times New Roman" w:hAnsi="Times New Roman" w:cs="Times New Roman"/>
          <w:b/>
          <w:i w:val="0"/>
          <w:color w:val="auto"/>
          <w:sz w:val="22"/>
        </w:rPr>
      </w:pPr>
      <w:bookmarkStart w:id="1798" w:name="_Toc16160567"/>
      <w:bookmarkStart w:id="1799" w:name="_Toc49939519"/>
      <w:bookmarkStart w:id="1800" w:name="_Toc81573049"/>
      <w:r w:rsidRPr="00CB119B">
        <w:rPr>
          <w:rFonts w:ascii="Times New Roman" w:hAnsi="Times New Roman" w:cs="Times New Roman"/>
          <w:b/>
          <w:i w:val="0"/>
          <w:color w:val="auto"/>
          <w:sz w:val="22"/>
        </w:rPr>
        <w:t xml:space="preserve">Tabla </w:t>
      </w:r>
      <w:r w:rsidRPr="00CB119B">
        <w:rPr>
          <w:rFonts w:ascii="Times New Roman" w:hAnsi="Times New Roman" w:cs="Times New Roman"/>
          <w:b/>
          <w:i w:val="0"/>
          <w:color w:val="auto"/>
          <w:sz w:val="22"/>
        </w:rPr>
        <w:fldChar w:fldCharType="begin"/>
      </w:r>
      <w:r w:rsidRPr="00CB119B">
        <w:rPr>
          <w:rFonts w:ascii="Times New Roman" w:hAnsi="Times New Roman" w:cs="Times New Roman"/>
          <w:b/>
          <w:i w:val="0"/>
          <w:color w:val="auto"/>
          <w:sz w:val="22"/>
        </w:rPr>
        <w:instrText xml:space="preserve"> SEQ Tabla \* ARABIC </w:instrText>
      </w:r>
      <w:r w:rsidRPr="00CB119B">
        <w:rPr>
          <w:rFonts w:ascii="Times New Roman" w:hAnsi="Times New Roman" w:cs="Times New Roman"/>
          <w:b/>
          <w:i w:val="0"/>
          <w:color w:val="auto"/>
          <w:sz w:val="22"/>
        </w:rPr>
        <w:fldChar w:fldCharType="separate"/>
      </w:r>
      <w:r w:rsidR="009E18F8">
        <w:rPr>
          <w:rFonts w:ascii="Times New Roman" w:hAnsi="Times New Roman" w:cs="Times New Roman"/>
          <w:b/>
          <w:i w:val="0"/>
          <w:noProof/>
          <w:color w:val="auto"/>
          <w:sz w:val="22"/>
        </w:rPr>
        <w:t>27</w:t>
      </w:r>
      <w:r w:rsidRPr="00CB119B">
        <w:rPr>
          <w:rFonts w:ascii="Times New Roman" w:hAnsi="Times New Roman" w:cs="Times New Roman"/>
          <w:b/>
          <w:i w:val="0"/>
          <w:color w:val="auto"/>
          <w:sz w:val="22"/>
        </w:rPr>
        <w:fldChar w:fldCharType="end"/>
      </w:r>
      <w:r w:rsidRPr="00CB119B">
        <w:rPr>
          <w:rFonts w:ascii="Times New Roman" w:hAnsi="Times New Roman" w:cs="Times New Roman"/>
          <w:b/>
          <w:i w:val="0"/>
          <w:color w:val="auto"/>
          <w:sz w:val="22"/>
        </w:rPr>
        <w:t xml:space="preserve"> Escenario macroeconómico </w:t>
      </w:r>
      <w:bookmarkEnd w:id="1798"/>
      <w:r w:rsidRPr="00CB119B">
        <w:rPr>
          <w:rFonts w:ascii="Times New Roman" w:hAnsi="Times New Roman" w:cs="Times New Roman"/>
          <w:b/>
          <w:i w:val="0"/>
          <w:color w:val="auto"/>
          <w:sz w:val="22"/>
        </w:rPr>
        <w:t>alto</w:t>
      </w:r>
      <w:bookmarkEnd w:id="1799"/>
      <w:bookmarkEnd w:id="1800"/>
    </w:p>
    <w:p w14:paraId="4699E71E" w14:textId="275472C0" w:rsidR="00DB67DE" w:rsidRPr="00CB119B" w:rsidRDefault="00781E56" w:rsidP="00DB67DE">
      <w:pPr>
        <w:spacing w:after="0"/>
        <w:jc w:val="both"/>
        <w:rPr>
          <w:rFonts w:ascii="Times New Roman" w:hAnsi="Times New Roman" w:cs="Times New Roman"/>
          <w:sz w:val="16"/>
        </w:rPr>
      </w:pPr>
      <w:r w:rsidRPr="00781E56">
        <w:rPr>
          <w:noProof/>
          <w:lang w:val="es-ES" w:eastAsia="es-ES"/>
        </w:rPr>
        <w:drawing>
          <wp:inline distT="0" distB="0" distL="0" distR="0" wp14:anchorId="4AEDC7BD" wp14:editId="4EB6561B">
            <wp:extent cx="5612130" cy="947420"/>
            <wp:effectExtent l="0" t="0" r="7620" b="508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12130" cy="947420"/>
                    </a:xfrm>
                    <a:prstGeom prst="rect">
                      <a:avLst/>
                    </a:prstGeom>
                    <a:noFill/>
                    <a:ln>
                      <a:noFill/>
                    </a:ln>
                  </pic:spPr>
                </pic:pic>
              </a:graphicData>
            </a:graphic>
          </wp:inline>
        </w:drawing>
      </w:r>
    </w:p>
    <w:p w14:paraId="19444DB5" w14:textId="77777777" w:rsidR="00DB67DE" w:rsidRPr="00CB119B" w:rsidRDefault="00DB67DE" w:rsidP="00DB67DE">
      <w:pPr>
        <w:spacing w:after="0"/>
        <w:jc w:val="both"/>
        <w:rPr>
          <w:rFonts w:ascii="Times New Roman" w:hAnsi="Times New Roman" w:cs="Times New Roman"/>
          <w:sz w:val="16"/>
        </w:rPr>
      </w:pPr>
      <w:r w:rsidRPr="00CB119B">
        <w:rPr>
          <w:rFonts w:ascii="Times New Roman" w:hAnsi="Times New Roman" w:cs="Times New Roman"/>
          <w:sz w:val="16"/>
        </w:rPr>
        <w:t>Fuente Banco de Guatemala, escenario del 2 de julio 2020</w:t>
      </w:r>
    </w:p>
    <w:p w14:paraId="6C65CA21" w14:textId="77777777" w:rsidR="00DB67DE" w:rsidRPr="00CB119B" w:rsidRDefault="00DB67DE" w:rsidP="00DB67DE">
      <w:pPr>
        <w:spacing w:after="0" w:line="240" w:lineRule="auto"/>
        <w:jc w:val="both"/>
        <w:rPr>
          <w:rFonts w:ascii="Times New Roman" w:hAnsi="Times New Roman" w:cs="Times New Roman"/>
        </w:rPr>
      </w:pPr>
    </w:p>
    <w:p w14:paraId="23838CDC" w14:textId="77777777" w:rsidR="00ED1904" w:rsidRDefault="00DB67DE" w:rsidP="00DB67DE">
      <w:pPr>
        <w:spacing w:after="0" w:line="240" w:lineRule="auto"/>
        <w:jc w:val="both"/>
        <w:rPr>
          <w:rFonts w:ascii="Times New Roman" w:hAnsi="Times New Roman" w:cs="Times New Roman"/>
        </w:rPr>
      </w:pPr>
      <w:r w:rsidRPr="00CB119B">
        <w:rPr>
          <w:rFonts w:ascii="Times New Roman" w:hAnsi="Times New Roman" w:cs="Times New Roman"/>
        </w:rPr>
        <w:t>Este escenario</w:t>
      </w:r>
      <w:r w:rsidR="00CC4212">
        <w:rPr>
          <w:rFonts w:ascii="Times New Roman" w:hAnsi="Times New Roman" w:cs="Times New Roman"/>
        </w:rPr>
        <w:t xml:space="preserve"> puede considerarse como </w:t>
      </w:r>
      <w:r w:rsidRPr="00CB119B">
        <w:rPr>
          <w:rFonts w:ascii="Times New Roman" w:hAnsi="Times New Roman" w:cs="Times New Roman"/>
        </w:rPr>
        <w:t>optimista, para 2023 refleja que la recaudación tributaria podría ubicarse en Q</w:t>
      </w:r>
      <w:r w:rsidR="00CC4212">
        <w:rPr>
          <w:rFonts w:ascii="Times New Roman" w:hAnsi="Times New Roman" w:cs="Times New Roman"/>
        </w:rPr>
        <w:t>84,</w:t>
      </w:r>
      <w:r w:rsidR="00277593">
        <w:rPr>
          <w:rFonts w:ascii="Times New Roman" w:hAnsi="Times New Roman" w:cs="Times New Roman"/>
        </w:rPr>
        <w:t xml:space="preserve">592.1 </w:t>
      </w:r>
      <w:r w:rsidRPr="00CB119B">
        <w:rPr>
          <w:rFonts w:ascii="Times New Roman" w:hAnsi="Times New Roman" w:cs="Times New Roman"/>
        </w:rPr>
        <w:t>millones, por encima en Q</w:t>
      </w:r>
      <w:r w:rsidR="004E26DB">
        <w:rPr>
          <w:rFonts w:ascii="Times New Roman" w:hAnsi="Times New Roman" w:cs="Times New Roman"/>
        </w:rPr>
        <w:t xml:space="preserve">4,209.2 </w:t>
      </w:r>
      <w:r w:rsidRPr="00CB119B">
        <w:rPr>
          <w:rFonts w:ascii="Times New Roman" w:hAnsi="Times New Roman" w:cs="Times New Roman"/>
        </w:rPr>
        <w:t xml:space="preserve">millones con respecto a lo previsto en la estimación de presupuesto multianual.  </w:t>
      </w:r>
    </w:p>
    <w:p w14:paraId="396646F3" w14:textId="77777777" w:rsidR="00ED1904" w:rsidRDefault="00ED1904" w:rsidP="00DB67DE">
      <w:pPr>
        <w:spacing w:after="0" w:line="240" w:lineRule="auto"/>
        <w:jc w:val="both"/>
        <w:rPr>
          <w:rFonts w:ascii="Times New Roman" w:hAnsi="Times New Roman" w:cs="Times New Roman"/>
        </w:rPr>
      </w:pPr>
    </w:p>
    <w:p w14:paraId="180848BB" w14:textId="5AE678E8" w:rsidR="00DB67DE" w:rsidRPr="00CB119B" w:rsidRDefault="00ED1904" w:rsidP="00DB67DE">
      <w:pPr>
        <w:spacing w:after="0" w:line="240" w:lineRule="auto"/>
        <w:jc w:val="both"/>
        <w:rPr>
          <w:rFonts w:ascii="Times New Roman" w:hAnsi="Times New Roman" w:cs="Times New Roman"/>
        </w:rPr>
      </w:pPr>
      <w:r>
        <w:rPr>
          <w:rFonts w:ascii="Times New Roman" w:hAnsi="Times New Roman" w:cs="Times New Roman"/>
        </w:rPr>
        <w:t xml:space="preserve">Se prevé alcanzar con este escenario </w:t>
      </w:r>
      <w:r w:rsidR="00DB67DE" w:rsidRPr="00CB119B">
        <w:rPr>
          <w:rFonts w:ascii="Times New Roman" w:hAnsi="Times New Roman" w:cs="Times New Roman"/>
        </w:rPr>
        <w:t>en 2026 un</w:t>
      </w:r>
      <w:r>
        <w:rPr>
          <w:rFonts w:ascii="Times New Roman" w:hAnsi="Times New Roman" w:cs="Times New Roman"/>
        </w:rPr>
        <w:t>a carga tributaria de</w:t>
      </w:r>
      <w:r w:rsidR="00DB67DE" w:rsidRPr="00CB119B">
        <w:rPr>
          <w:rFonts w:ascii="Times New Roman" w:hAnsi="Times New Roman" w:cs="Times New Roman"/>
        </w:rPr>
        <w:t xml:space="preserve"> 1</w:t>
      </w:r>
      <w:r>
        <w:rPr>
          <w:rFonts w:ascii="Times New Roman" w:hAnsi="Times New Roman" w:cs="Times New Roman"/>
        </w:rPr>
        <w:t>1.82</w:t>
      </w:r>
      <w:r w:rsidR="00DB67DE" w:rsidRPr="00CB119B">
        <w:rPr>
          <w:rFonts w:ascii="Times New Roman" w:hAnsi="Times New Roman" w:cs="Times New Roman"/>
        </w:rPr>
        <w:t>%, los principales impuestos ISR e IVA, mostrarían una mayor dinámica que el escenario de</w:t>
      </w:r>
      <w:r w:rsidR="00051310">
        <w:rPr>
          <w:rFonts w:ascii="Times New Roman" w:hAnsi="Times New Roman" w:cs="Times New Roman"/>
        </w:rPr>
        <w:t>l proyecto de</w:t>
      </w:r>
      <w:r w:rsidR="00DB67DE" w:rsidRPr="00CB119B">
        <w:rPr>
          <w:rFonts w:ascii="Times New Roman" w:hAnsi="Times New Roman" w:cs="Times New Roman"/>
        </w:rPr>
        <w:t xml:space="preserve"> presupuesto, para el resto de los impuestos se espera un comportamiento apegado a las variables que los determinan, esto previendo una </w:t>
      </w:r>
      <w:r w:rsidR="00051310">
        <w:rPr>
          <w:rFonts w:ascii="Times New Roman" w:hAnsi="Times New Roman" w:cs="Times New Roman"/>
        </w:rPr>
        <w:t xml:space="preserve">mayor </w:t>
      </w:r>
      <w:r w:rsidR="00DB67DE" w:rsidRPr="00CB119B">
        <w:rPr>
          <w:rFonts w:ascii="Times New Roman" w:hAnsi="Times New Roman" w:cs="Times New Roman"/>
        </w:rPr>
        <w:t>recuperación de la economía mundial.</w:t>
      </w:r>
    </w:p>
    <w:p w14:paraId="10DAE16A" w14:textId="77777777" w:rsidR="00DB67DE" w:rsidRPr="00CB119B" w:rsidRDefault="00DB67DE" w:rsidP="00DB67DE">
      <w:pPr>
        <w:spacing w:after="0" w:line="240" w:lineRule="auto"/>
        <w:jc w:val="both"/>
        <w:rPr>
          <w:rFonts w:ascii="Times New Roman" w:hAnsi="Times New Roman" w:cs="Times New Roman"/>
        </w:rPr>
      </w:pPr>
    </w:p>
    <w:p w14:paraId="38064AD1" w14:textId="77777777" w:rsidR="00DB67DE" w:rsidRPr="00CB119B" w:rsidRDefault="00DB67DE" w:rsidP="00DB67DE">
      <w:pPr>
        <w:spacing w:after="0" w:line="240" w:lineRule="auto"/>
        <w:jc w:val="both"/>
        <w:rPr>
          <w:rFonts w:ascii="Times New Roman" w:hAnsi="Times New Roman" w:cs="Times New Roman"/>
        </w:rPr>
      </w:pPr>
      <w:r w:rsidRPr="00CB119B">
        <w:rPr>
          <w:rFonts w:ascii="Times New Roman" w:hAnsi="Times New Roman" w:cs="Times New Roman"/>
        </w:rPr>
        <w:t>Este escenario no contempla medidas de política fiscal (Reformas tributarias o modificaciones al marco legal vigente), en este ejercicio se adicionan medidas administrativas para la reducción del incumplimiento por parte de la Superintendencia de Administración Tributaria –SAT- que a su vez se convertirán en un aumento en la percepción de riesgo de los contribuyentes.</w:t>
      </w:r>
    </w:p>
    <w:p w14:paraId="64710D50" w14:textId="77777777" w:rsidR="00DB67DE" w:rsidRPr="00CB119B" w:rsidRDefault="00DB67DE" w:rsidP="00DB67DE">
      <w:pPr>
        <w:spacing w:after="0" w:line="240" w:lineRule="auto"/>
        <w:jc w:val="both"/>
        <w:rPr>
          <w:rFonts w:ascii="Times New Roman" w:hAnsi="Times New Roman" w:cs="Times New Roman"/>
        </w:rPr>
      </w:pPr>
    </w:p>
    <w:p w14:paraId="6018AAA6" w14:textId="77777777" w:rsidR="00DB67DE" w:rsidRPr="00CB119B" w:rsidRDefault="00DB67DE" w:rsidP="00DB67DE">
      <w:pPr>
        <w:pStyle w:val="Epgrafe"/>
        <w:keepNext/>
        <w:spacing w:after="0"/>
        <w:jc w:val="center"/>
        <w:rPr>
          <w:rFonts w:ascii="Times New Roman" w:hAnsi="Times New Roman" w:cs="Times New Roman"/>
          <w:b/>
          <w:i w:val="0"/>
          <w:color w:val="auto"/>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1"/>
      </w:tblGrid>
      <w:tr w:rsidR="00DB67DE" w:rsidRPr="00CB119B" w14:paraId="13E5BF37" w14:textId="77777777" w:rsidTr="00E63F4C">
        <w:trPr>
          <w:jc w:val="center"/>
        </w:trPr>
        <w:tc>
          <w:tcPr>
            <w:tcW w:w="8818" w:type="dxa"/>
          </w:tcPr>
          <w:p w14:paraId="2D57946C" w14:textId="1455CECB" w:rsidR="00DB67DE" w:rsidRPr="00CB119B" w:rsidRDefault="00DB67DE" w:rsidP="00E63F4C">
            <w:pPr>
              <w:jc w:val="center"/>
              <w:rPr>
                <w:rFonts w:ascii="Times New Roman" w:hAnsi="Times New Roman" w:cs="Times New Roman"/>
              </w:rPr>
            </w:pPr>
            <w:bookmarkStart w:id="1801" w:name="_Toc16160568"/>
            <w:bookmarkStart w:id="1802" w:name="_Toc49939520"/>
            <w:bookmarkStart w:id="1803" w:name="_Toc81573050"/>
            <w:r w:rsidRPr="00CB119B">
              <w:rPr>
                <w:rFonts w:ascii="Times New Roman" w:hAnsi="Times New Roman" w:cs="Times New Roman"/>
                <w:b/>
              </w:rPr>
              <w:t xml:space="preserve">Tabla </w:t>
            </w:r>
            <w:r w:rsidRPr="00CB119B">
              <w:rPr>
                <w:rFonts w:ascii="Times New Roman" w:hAnsi="Times New Roman" w:cs="Times New Roman"/>
                <w:b/>
                <w:i/>
              </w:rPr>
              <w:fldChar w:fldCharType="begin"/>
            </w:r>
            <w:r w:rsidRPr="00CB119B">
              <w:rPr>
                <w:rFonts w:ascii="Times New Roman" w:hAnsi="Times New Roman" w:cs="Times New Roman"/>
                <w:b/>
              </w:rPr>
              <w:instrText xml:space="preserve"> SEQ Tabla \* ARABIC </w:instrText>
            </w:r>
            <w:r w:rsidRPr="00CB119B">
              <w:rPr>
                <w:rFonts w:ascii="Times New Roman" w:hAnsi="Times New Roman" w:cs="Times New Roman"/>
                <w:b/>
                <w:i/>
              </w:rPr>
              <w:fldChar w:fldCharType="separate"/>
            </w:r>
            <w:r w:rsidR="009E18F8">
              <w:rPr>
                <w:rFonts w:ascii="Times New Roman" w:hAnsi="Times New Roman" w:cs="Times New Roman"/>
                <w:b/>
                <w:noProof/>
              </w:rPr>
              <w:t>28</w:t>
            </w:r>
            <w:r w:rsidRPr="00CB119B">
              <w:rPr>
                <w:rFonts w:ascii="Times New Roman" w:hAnsi="Times New Roman" w:cs="Times New Roman"/>
                <w:b/>
                <w:i/>
              </w:rPr>
              <w:fldChar w:fldCharType="end"/>
            </w:r>
            <w:r w:rsidRPr="00CB119B">
              <w:rPr>
                <w:rFonts w:ascii="Times New Roman" w:hAnsi="Times New Roman" w:cs="Times New Roman"/>
                <w:b/>
              </w:rPr>
              <w:t xml:space="preserve"> Proyección de recaudación tributaria</w:t>
            </w:r>
            <w:bookmarkEnd w:id="1801"/>
            <w:bookmarkEnd w:id="1802"/>
            <w:bookmarkEnd w:id="1803"/>
          </w:p>
        </w:tc>
      </w:tr>
      <w:tr w:rsidR="00DB67DE" w:rsidRPr="00CB119B" w14:paraId="7E17BCF1" w14:textId="77777777" w:rsidTr="00E63F4C">
        <w:trPr>
          <w:jc w:val="center"/>
        </w:trPr>
        <w:tc>
          <w:tcPr>
            <w:tcW w:w="8818" w:type="dxa"/>
          </w:tcPr>
          <w:p w14:paraId="6FE55B7F" w14:textId="43337DD9" w:rsidR="00DB67DE" w:rsidRPr="00CB119B" w:rsidRDefault="00DB67DE" w:rsidP="00E63F4C">
            <w:pPr>
              <w:pStyle w:val="Sinespaciado"/>
              <w:jc w:val="center"/>
              <w:rPr>
                <w:rFonts w:ascii="Times New Roman" w:hAnsi="Times New Roman" w:cs="Times New Roman"/>
                <w:sz w:val="18"/>
              </w:rPr>
            </w:pPr>
            <w:r w:rsidRPr="00CB119B">
              <w:rPr>
                <w:rFonts w:ascii="Times New Roman" w:hAnsi="Times New Roman" w:cs="Times New Roman"/>
                <w:sz w:val="18"/>
              </w:rPr>
              <w:t>Escenario Alto</w:t>
            </w:r>
          </w:p>
          <w:p w14:paraId="4CF41205" w14:textId="640CD2A3" w:rsidR="00DB67DE" w:rsidRPr="00CB119B" w:rsidRDefault="00274D76" w:rsidP="00E63F4C">
            <w:pPr>
              <w:pStyle w:val="Sinespaciado"/>
              <w:jc w:val="center"/>
              <w:rPr>
                <w:rFonts w:ascii="Times New Roman" w:hAnsi="Times New Roman" w:cs="Times New Roman"/>
                <w:sz w:val="18"/>
              </w:rPr>
            </w:pPr>
            <w:r w:rsidRPr="00274D76">
              <w:rPr>
                <w:rFonts w:ascii="Times New Roman" w:hAnsi="Times New Roman" w:cs="Times New Roman"/>
                <w:noProof/>
                <w:lang w:val="es-ES" w:eastAsia="es-ES"/>
              </w:rPr>
              <w:drawing>
                <wp:anchor distT="0" distB="0" distL="114300" distR="114300" simplePos="0" relativeHeight="251660288" behindDoc="0" locked="0" layoutInCell="1" allowOverlap="1" wp14:anchorId="351FEE77" wp14:editId="44121809">
                  <wp:simplePos x="0" y="0"/>
                  <wp:positionH relativeFrom="column">
                    <wp:posOffset>-66675</wp:posOffset>
                  </wp:positionH>
                  <wp:positionV relativeFrom="paragraph">
                    <wp:posOffset>222250</wp:posOffset>
                  </wp:positionV>
                  <wp:extent cx="5610225" cy="4076700"/>
                  <wp:effectExtent l="0" t="0" r="0" b="0"/>
                  <wp:wrapSquare wrapText="bothSides"/>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10225" cy="4076700"/>
                          </a:xfrm>
                          <a:prstGeom prst="rect">
                            <a:avLst/>
                          </a:prstGeom>
                          <a:noFill/>
                          <a:ln>
                            <a:noFill/>
                          </a:ln>
                        </pic:spPr>
                      </pic:pic>
                    </a:graphicData>
                  </a:graphic>
                </wp:anchor>
              </w:drawing>
            </w:r>
            <w:r w:rsidR="00DB67DE" w:rsidRPr="00CB119B">
              <w:rPr>
                <w:rFonts w:ascii="Times New Roman" w:hAnsi="Times New Roman" w:cs="Times New Roman"/>
                <w:sz w:val="18"/>
              </w:rPr>
              <w:t>2019-2026</w:t>
            </w:r>
          </w:p>
          <w:p w14:paraId="2DD4D101" w14:textId="77777777" w:rsidR="00274D76" w:rsidRPr="00CB119B" w:rsidRDefault="00274D76" w:rsidP="00274D76">
            <w:pPr>
              <w:ind w:firstLine="708"/>
              <w:jc w:val="both"/>
              <w:rPr>
                <w:rFonts w:ascii="Times New Roman" w:hAnsi="Times New Roman" w:cs="Times New Roman"/>
                <w:sz w:val="16"/>
              </w:rPr>
            </w:pPr>
            <w:r w:rsidRPr="00CB119B">
              <w:rPr>
                <w:rFonts w:ascii="Times New Roman" w:hAnsi="Times New Roman" w:cs="Times New Roman"/>
                <w:sz w:val="16"/>
              </w:rPr>
              <w:t xml:space="preserve">Fuente: Dirección de Análisis y Política Fiscal </w:t>
            </w:r>
          </w:p>
          <w:p w14:paraId="4A641F76" w14:textId="639B9E17" w:rsidR="00DB67DE" w:rsidRPr="00CB119B" w:rsidRDefault="00DB67DE" w:rsidP="00E63F4C">
            <w:pPr>
              <w:jc w:val="center"/>
              <w:rPr>
                <w:rFonts w:ascii="Times New Roman" w:hAnsi="Times New Roman" w:cs="Times New Roman"/>
              </w:rPr>
            </w:pPr>
          </w:p>
        </w:tc>
      </w:tr>
      <w:tr w:rsidR="00DB67DE" w:rsidRPr="00CB119B" w14:paraId="37E3B519" w14:textId="77777777" w:rsidTr="00E63F4C">
        <w:trPr>
          <w:jc w:val="center"/>
        </w:trPr>
        <w:tc>
          <w:tcPr>
            <w:tcW w:w="8818" w:type="dxa"/>
          </w:tcPr>
          <w:p w14:paraId="6FB869E6" w14:textId="239BE3A9" w:rsidR="00DB67DE" w:rsidRPr="00D6529D" w:rsidRDefault="00D6529D" w:rsidP="00D6529D">
            <w:pPr>
              <w:pStyle w:val="Epgrafe"/>
              <w:keepNext/>
              <w:spacing w:after="0"/>
              <w:jc w:val="center"/>
              <w:rPr>
                <w:b/>
                <w:color w:val="auto"/>
                <w:sz w:val="20"/>
              </w:rPr>
            </w:pPr>
            <w:bookmarkStart w:id="1804" w:name="_Toc50016867"/>
            <w:bookmarkStart w:id="1805" w:name="_Toc81573112"/>
            <w:r w:rsidRPr="00D6529D">
              <w:rPr>
                <w:rFonts w:ascii="Times New Roman" w:hAnsi="Times New Roman" w:cs="Times New Roman"/>
                <w:b/>
                <w:color w:val="auto"/>
                <w:sz w:val="20"/>
              </w:rPr>
              <w:t xml:space="preserve">Gráfico </w:t>
            </w:r>
            <w:r w:rsidRPr="00D6529D">
              <w:rPr>
                <w:rFonts w:ascii="Times New Roman" w:hAnsi="Times New Roman" w:cs="Times New Roman"/>
                <w:b/>
                <w:color w:val="auto"/>
                <w:sz w:val="20"/>
              </w:rPr>
              <w:fldChar w:fldCharType="begin"/>
            </w:r>
            <w:r w:rsidRPr="00D6529D">
              <w:rPr>
                <w:rFonts w:ascii="Times New Roman" w:hAnsi="Times New Roman" w:cs="Times New Roman"/>
                <w:b/>
                <w:color w:val="auto"/>
                <w:sz w:val="20"/>
              </w:rPr>
              <w:instrText xml:space="preserve"> SEQ Gráfico \* ARABIC </w:instrText>
            </w:r>
            <w:r w:rsidRPr="00D6529D">
              <w:rPr>
                <w:rFonts w:ascii="Times New Roman" w:hAnsi="Times New Roman" w:cs="Times New Roman"/>
                <w:b/>
                <w:color w:val="auto"/>
                <w:sz w:val="20"/>
              </w:rPr>
              <w:fldChar w:fldCharType="separate"/>
            </w:r>
            <w:r>
              <w:rPr>
                <w:rFonts w:ascii="Times New Roman" w:hAnsi="Times New Roman" w:cs="Times New Roman"/>
                <w:b/>
                <w:noProof/>
                <w:color w:val="auto"/>
                <w:sz w:val="20"/>
              </w:rPr>
              <w:t>62</w:t>
            </w:r>
            <w:r w:rsidRPr="00D6529D">
              <w:rPr>
                <w:rFonts w:ascii="Times New Roman" w:hAnsi="Times New Roman" w:cs="Times New Roman"/>
                <w:b/>
                <w:color w:val="auto"/>
                <w:sz w:val="20"/>
              </w:rPr>
              <w:fldChar w:fldCharType="end"/>
            </w:r>
            <w:r w:rsidRPr="00D6529D">
              <w:rPr>
                <w:rFonts w:ascii="Times New Roman" w:hAnsi="Times New Roman" w:cs="Times New Roman"/>
                <w:b/>
                <w:color w:val="auto"/>
                <w:sz w:val="20"/>
              </w:rPr>
              <w:t xml:space="preserve">.  </w:t>
            </w:r>
            <w:r w:rsidR="00DB67DE" w:rsidRPr="00D6529D">
              <w:rPr>
                <w:rFonts w:ascii="Times New Roman" w:hAnsi="Times New Roman" w:cs="Times New Roman"/>
                <w:b/>
                <w:i w:val="0"/>
                <w:color w:val="auto"/>
                <w:sz w:val="24"/>
                <w:szCs w:val="22"/>
              </w:rPr>
              <w:t>Carga tributaria</w:t>
            </w:r>
            <w:bookmarkEnd w:id="1804"/>
            <w:r w:rsidRPr="00D6529D">
              <w:rPr>
                <w:rFonts w:ascii="Times New Roman" w:hAnsi="Times New Roman" w:cs="Times New Roman"/>
                <w:b/>
                <w:i w:val="0"/>
                <w:color w:val="auto"/>
                <w:sz w:val="24"/>
                <w:szCs w:val="22"/>
              </w:rPr>
              <w:t xml:space="preserve"> escenario alto</w:t>
            </w:r>
            <w:bookmarkEnd w:id="1805"/>
          </w:p>
          <w:p w14:paraId="10C3A29B" w14:textId="63D710B8" w:rsidR="00DB67DE" w:rsidRPr="00CB119B" w:rsidRDefault="00DB67DE" w:rsidP="00E63F4C">
            <w:pPr>
              <w:pStyle w:val="Sinespaciado"/>
              <w:jc w:val="center"/>
              <w:rPr>
                <w:rFonts w:ascii="Times New Roman" w:hAnsi="Times New Roman" w:cs="Times New Roman"/>
                <w:sz w:val="18"/>
              </w:rPr>
            </w:pPr>
            <w:r w:rsidRPr="00CB119B">
              <w:rPr>
                <w:rFonts w:ascii="Times New Roman" w:hAnsi="Times New Roman" w:cs="Times New Roman"/>
                <w:sz w:val="18"/>
              </w:rPr>
              <w:t>2019 – 202</w:t>
            </w:r>
            <w:r w:rsidR="00274D76">
              <w:rPr>
                <w:rFonts w:ascii="Times New Roman" w:hAnsi="Times New Roman" w:cs="Times New Roman"/>
                <w:sz w:val="18"/>
              </w:rPr>
              <w:t>6</w:t>
            </w:r>
          </w:p>
          <w:p w14:paraId="3C41C623" w14:textId="77777777" w:rsidR="00DB67DE" w:rsidRPr="00CB119B" w:rsidRDefault="00DB67DE" w:rsidP="00E63F4C">
            <w:pPr>
              <w:jc w:val="center"/>
              <w:rPr>
                <w:rFonts w:ascii="Times New Roman" w:hAnsi="Times New Roman" w:cs="Times New Roman"/>
                <w:sz w:val="18"/>
              </w:rPr>
            </w:pPr>
            <w:r w:rsidRPr="00CB119B">
              <w:rPr>
                <w:rFonts w:ascii="Times New Roman" w:hAnsi="Times New Roman" w:cs="Times New Roman"/>
                <w:sz w:val="18"/>
              </w:rPr>
              <w:t>Porcentajes del PIB</w:t>
            </w:r>
          </w:p>
          <w:p w14:paraId="425AFE89" w14:textId="77777777" w:rsidR="00DB67DE" w:rsidRPr="00CB119B" w:rsidRDefault="00DB67DE" w:rsidP="00E63F4C">
            <w:pPr>
              <w:jc w:val="center"/>
              <w:rPr>
                <w:rFonts w:ascii="Times New Roman" w:hAnsi="Times New Roman" w:cs="Times New Roman"/>
              </w:rPr>
            </w:pPr>
            <w:r w:rsidRPr="00CB119B">
              <w:rPr>
                <w:rFonts w:ascii="Times New Roman" w:hAnsi="Times New Roman" w:cs="Times New Roman"/>
                <w:noProof/>
                <w:lang w:val="es-ES" w:eastAsia="es-ES"/>
              </w:rPr>
              <w:drawing>
                <wp:inline distT="0" distB="0" distL="0" distR="0" wp14:anchorId="5ABE1720" wp14:editId="2DF74748">
                  <wp:extent cx="4235501" cy="2190750"/>
                  <wp:effectExtent l="0" t="0" r="0" b="0"/>
                  <wp:docPr id="99"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r>
    </w:tbl>
    <w:p w14:paraId="35A74611" w14:textId="77777777" w:rsidR="00DB67DE" w:rsidRPr="00CB119B" w:rsidRDefault="00DB67DE" w:rsidP="00DB67DE">
      <w:pPr>
        <w:spacing w:after="0"/>
        <w:ind w:firstLine="708"/>
        <w:rPr>
          <w:rFonts w:ascii="Times New Roman" w:hAnsi="Times New Roman" w:cs="Times New Roman"/>
          <w:sz w:val="16"/>
        </w:rPr>
      </w:pPr>
      <w:r w:rsidRPr="00CB119B">
        <w:rPr>
          <w:rFonts w:ascii="Times New Roman" w:hAnsi="Times New Roman" w:cs="Times New Roman"/>
          <w:sz w:val="16"/>
        </w:rPr>
        <w:t xml:space="preserve">Fuente: Dirección de Análisis y Política Fiscal </w:t>
      </w:r>
    </w:p>
    <w:p w14:paraId="6D37C6AD" w14:textId="77777777" w:rsidR="00DB67DE" w:rsidRPr="00CB119B" w:rsidRDefault="00DB67DE" w:rsidP="00DB67DE">
      <w:pPr>
        <w:spacing w:after="0" w:line="240" w:lineRule="auto"/>
        <w:jc w:val="both"/>
        <w:rPr>
          <w:rFonts w:ascii="Times New Roman" w:hAnsi="Times New Roman" w:cs="Times New Roman"/>
        </w:rPr>
      </w:pPr>
    </w:p>
    <w:p w14:paraId="0FCDC626" w14:textId="435982C4" w:rsidR="00DB67DE" w:rsidRPr="00CB119B" w:rsidRDefault="00BA2FBE" w:rsidP="00DB67DE">
      <w:pPr>
        <w:spacing w:after="0" w:line="240" w:lineRule="auto"/>
        <w:jc w:val="both"/>
        <w:rPr>
          <w:rFonts w:ascii="Times New Roman" w:hAnsi="Times New Roman" w:cs="Times New Roman"/>
        </w:rPr>
      </w:pPr>
      <w:r>
        <w:rPr>
          <w:rFonts w:ascii="Times New Roman" w:hAnsi="Times New Roman" w:cs="Times New Roman"/>
        </w:rPr>
        <w:t xml:space="preserve">Las cifras consignadas en el proyecto de presupuesto consideran un escenario </w:t>
      </w:r>
      <w:r w:rsidR="00E564FB">
        <w:rPr>
          <w:rFonts w:ascii="Times New Roman" w:hAnsi="Times New Roman" w:cs="Times New Roman"/>
        </w:rPr>
        <w:t xml:space="preserve">macroeconómico </w:t>
      </w:r>
      <w:r w:rsidR="008E7A7D">
        <w:rPr>
          <w:rFonts w:ascii="Times New Roman" w:hAnsi="Times New Roman" w:cs="Times New Roman"/>
        </w:rPr>
        <w:t xml:space="preserve">de </w:t>
      </w:r>
      <w:r w:rsidR="00784CAF">
        <w:rPr>
          <w:rFonts w:ascii="Times New Roman" w:hAnsi="Times New Roman" w:cs="Times New Roman"/>
        </w:rPr>
        <w:t>rango</w:t>
      </w:r>
      <w:r w:rsidR="005C3D8E">
        <w:rPr>
          <w:rFonts w:ascii="Times New Roman" w:hAnsi="Times New Roman" w:cs="Times New Roman"/>
        </w:rPr>
        <w:t xml:space="preserve"> </w:t>
      </w:r>
      <w:r w:rsidR="00D31BE6">
        <w:rPr>
          <w:rFonts w:ascii="Times New Roman" w:hAnsi="Times New Roman" w:cs="Times New Roman"/>
        </w:rPr>
        <w:t>bajo</w:t>
      </w:r>
      <w:r w:rsidR="005C3D8E">
        <w:rPr>
          <w:rFonts w:ascii="Times New Roman" w:hAnsi="Times New Roman" w:cs="Times New Roman"/>
        </w:rPr>
        <w:t xml:space="preserve"> esto teniendo como premisa </w:t>
      </w:r>
      <w:r w:rsidR="00DF23B2">
        <w:rPr>
          <w:rFonts w:ascii="Times New Roman" w:hAnsi="Times New Roman" w:cs="Times New Roman"/>
        </w:rPr>
        <w:t>que la recuperación en 2022 no va a ser tan acelerada</w:t>
      </w:r>
      <w:r w:rsidR="005C3410">
        <w:rPr>
          <w:rFonts w:ascii="Times New Roman" w:hAnsi="Times New Roman" w:cs="Times New Roman"/>
        </w:rPr>
        <w:t xml:space="preserve">, si la economía no responde conforme los escenarios proporcionados por el BANGUAT </w:t>
      </w:r>
      <w:r w:rsidR="00785373">
        <w:rPr>
          <w:rFonts w:ascii="Times New Roman" w:hAnsi="Times New Roman" w:cs="Times New Roman"/>
        </w:rPr>
        <w:t>el resultado puede verse</w:t>
      </w:r>
      <w:r w:rsidR="00F63517">
        <w:rPr>
          <w:rFonts w:ascii="Times New Roman" w:hAnsi="Times New Roman" w:cs="Times New Roman"/>
        </w:rPr>
        <w:t xml:space="preserve"> reflejado</w:t>
      </w:r>
      <w:r w:rsidR="00785373">
        <w:rPr>
          <w:rFonts w:ascii="Times New Roman" w:hAnsi="Times New Roman" w:cs="Times New Roman"/>
        </w:rPr>
        <w:t xml:space="preserve"> en el indicar de carga </w:t>
      </w:r>
      <w:r w:rsidR="00DB67DE" w:rsidRPr="00CB119B">
        <w:rPr>
          <w:rFonts w:ascii="Times New Roman" w:hAnsi="Times New Roman" w:cs="Times New Roman"/>
        </w:rPr>
        <w:t>tributaria,</w:t>
      </w:r>
      <w:r w:rsidR="00C32FC8">
        <w:rPr>
          <w:rFonts w:ascii="Times New Roman" w:hAnsi="Times New Roman" w:cs="Times New Roman"/>
        </w:rPr>
        <w:t xml:space="preserve"> si se asume que los efectos de la pandemia van a aumentar</w:t>
      </w:r>
      <w:r w:rsidR="001D5518">
        <w:rPr>
          <w:rFonts w:ascii="Times New Roman" w:hAnsi="Times New Roman" w:cs="Times New Roman"/>
        </w:rPr>
        <w:t>, si</w:t>
      </w:r>
      <w:r w:rsidR="007609C4">
        <w:rPr>
          <w:rFonts w:ascii="Times New Roman" w:hAnsi="Times New Roman" w:cs="Times New Roman"/>
        </w:rPr>
        <w:t xml:space="preserve"> </w:t>
      </w:r>
      <w:r w:rsidR="004C129D">
        <w:rPr>
          <w:rFonts w:ascii="Times New Roman" w:hAnsi="Times New Roman" w:cs="Times New Roman"/>
        </w:rPr>
        <w:t>aumentan las restricciones a</w:t>
      </w:r>
      <w:r w:rsidR="007609C4">
        <w:rPr>
          <w:rFonts w:ascii="Times New Roman" w:hAnsi="Times New Roman" w:cs="Times New Roman"/>
        </w:rPr>
        <w:t xml:space="preserve"> la movilidad </w:t>
      </w:r>
      <w:r w:rsidR="001D5518">
        <w:rPr>
          <w:rFonts w:ascii="Times New Roman" w:hAnsi="Times New Roman" w:cs="Times New Roman"/>
        </w:rPr>
        <w:t xml:space="preserve">y se restringe </w:t>
      </w:r>
      <w:r w:rsidR="007609C4">
        <w:rPr>
          <w:rFonts w:ascii="Times New Roman" w:hAnsi="Times New Roman" w:cs="Times New Roman"/>
        </w:rPr>
        <w:t>el comercio</w:t>
      </w:r>
      <w:r w:rsidR="001D5518">
        <w:rPr>
          <w:rFonts w:ascii="Times New Roman" w:hAnsi="Times New Roman" w:cs="Times New Roman"/>
        </w:rPr>
        <w:t xml:space="preserve"> exterior los resultados pueden verse afectados</w:t>
      </w:r>
      <w:r w:rsidR="007609C4">
        <w:rPr>
          <w:rFonts w:ascii="Times New Roman" w:hAnsi="Times New Roman" w:cs="Times New Roman"/>
        </w:rPr>
        <w:t xml:space="preserve"> </w:t>
      </w:r>
      <w:r w:rsidR="00341026">
        <w:rPr>
          <w:rFonts w:ascii="Times New Roman" w:hAnsi="Times New Roman" w:cs="Times New Roman"/>
        </w:rPr>
        <w:t>lo que puede</w:t>
      </w:r>
      <w:r w:rsidR="007459D4">
        <w:rPr>
          <w:rFonts w:ascii="Times New Roman" w:hAnsi="Times New Roman" w:cs="Times New Roman"/>
        </w:rPr>
        <w:t xml:space="preserve"> </w:t>
      </w:r>
      <w:r w:rsidR="00341026">
        <w:rPr>
          <w:rFonts w:ascii="Times New Roman" w:hAnsi="Times New Roman" w:cs="Times New Roman"/>
        </w:rPr>
        <w:t xml:space="preserve">repercutir </w:t>
      </w:r>
      <w:r w:rsidR="00EB6411">
        <w:rPr>
          <w:rFonts w:ascii="Times New Roman" w:hAnsi="Times New Roman" w:cs="Times New Roman"/>
        </w:rPr>
        <w:t xml:space="preserve">en el indicador de carga tributaria situándolo en una banda </w:t>
      </w:r>
      <w:r w:rsidR="00F850D6">
        <w:rPr>
          <w:rFonts w:ascii="Times New Roman" w:hAnsi="Times New Roman" w:cs="Times New Roman"/>
        </w:rPr>
        <w:t xml:space="preserve">menor a la propuesta en el proyecto de presupuesto incluso cayendo la carga tributaria en 2026 a </w:t>
      </w:r>
      <w:r w:rsidR="003F017F">
        <w:rPr>
          <w:rFonts w:ascii="Times New Roman" w:hAnsi="Times New Roman" w:cs="Times New Roman"/>
        </w:rPr>
        <w:t>9.</w:t>
      </w:r>
      <w:r w:rsidR="00EB6411">
        <w:rPr>
          <w:rFonts w:ascii="Times New Roman" w:hAnsi="Times New Roman" w:cs="Times New Roman"/>
        </w:rPr>
        <w:t>9</w:t>
      </w:r>
      <w:r w:rsidR="003F017F">
        <w:rPr>
          <w:rFonts w:ascii="Times New Roman" w:hAnsi="Times New Roman" w:cs="Times New Roman"/>
        </w:rPr>
        <w:t>%</w:t>
      </w:r>
      <w:r w:rsidR="00DB67DE" w:rsidRPr="00CB119B">
        <w:rPr>
          <w:rFonts w:ascii="Times New Roman" w:hAnsi="Times New Roman" w:cs="Times New Roman"/>
        </w:rPr>
        <w:t>.</w:t>
      </w:r>
    </w:p>
    <w:p w14:paraId="64375779" w14:textId="77777777" w:rsidR="00DB67DE" w:rsidRPr="00CB119B" w:rsidRDefault="00DB67DE" w:rsidP="00DB67DE">
      <w:pPr>
        <w:spacing w:after="0" w:line="240" w:lineRule="auto"/>
        <w:jc w:val="both"/>
        <w:rPr>
          <w:rFonts w:ascii="Times New Roman" w:hAnsi="Times New Roman" w:cs="Times New Roman"/>
        </w:rPr>
      </w:pPr>
    </w:p>
    <w:p w14:paraId="3A23BB96" w14:textId="77777777" w:rsidR="00DB67DE" w:rsidRPr="00CB119B" w:rsidRDefault="00DB67DE" w:rsidP="00DB67DE">
      <w:pPr>
        <w:spacing w:after="0" w:line="240" w:lineRule="auto"/>
        <w:jc w:val="both"/>
        <w:rPr>
          <w:rFonts w:ascii="Times New Roman" w:hAnsi="Times New Roman" w:cs="Times New Roman"/>
        </w:rPr>
      </w:pPr>
      <w:r w:rsidRPr="00CB119B">
        <w:rPr>
          <w:noProof/>
          <w:lang w:val="es-ES" w:eastAsia="es-ES"/>
        </w:rPr>
        <mc:AlternateContent>
          <mc:Choice Requires="wps">
            <w:drawing>
              <wp:anchor distT="0" distB="0" distL="114300" distR="114300" simplePos="0" relativeHeight="252003840" behindDoc="0" locked="0" layoutInCell="1" allowOverlap="1" wp14:anchorId="4DB0ED5E" wp14:editId="69EB6EE3">
                <wp:simplePos x="0" y="0"/>
                <wp:positionH relativeFrom="column">
                  <wp:posOffset>989965</wp:posOffset>
                </wp:positionH>
                <wp:positionV relativeFrom="paragraph">
                  <wp:posOffset>37465</wp:posOffset>
                </wp:positionV>
                <wp:extent cx="3532505" cy="163830"/>
                <wp:effectExtent l="0" t="0" r="0" b="7620"/>
                <wp:wrapSquare wrapText="bothSides"/>
                <wp:docPr id="53" name="Cuadro de texto 58"/>
                <wp:cNvGraphicFramePr/>
                <a:graphic xmlns:a="http://schemas.openxmlformats.org/drawingml/2006/main">
                  <a:graphicData uri="http://schemas.microsoft.com/office/word/2010/wordprocessingShape">
                    <wps:wsp>
                      <wps:cNvSpPr txBox="1"/>
                      <wps:spPr>
                        <a:xfrm>
                          <a:off x="0" y="0"/>
                          <a:ext cx="3532505" cy="163830"/>
                        </a:xfrm>
                        <a:prstGeom prst="rect">
                          <a:avLst/>
                        </a:prstGeom>
                        <a:solidFill>
                          <a:prstClr val="white"/>
                        </a:solidFill>
                        <a:ln>
                          <a:noFill/>
                        </a:ln>
                      </wps:spPr>
                      <wps:txbx>
                        <w:txbxContent>
                          <w:p w14:paraId="799934EE" w14:textId="354DAA45" w:rsidR="00A36CEB" w:rsidRPr="00D6529D" w:rsidRDefault="00A36CEB" w:rsidP="00D6529D">
                            <w:pPr>
                              <w:pStyle w:val="Epgrafe"/>
                              <w:keepNext/>
                              <w:jc w:val="center"/>
                              <w:rPr>
                                <w:b/>
                                <w:color w:val="auto"/>
                                <w:sz w:val="22"/>
                                <w:szCs w:val="22"/>
                              </w:rPr>
                            </w:pPr>
                            <w:bookmarkStart w:id="1806" w:name="_Toc50016868"/>
                            <w:bookmarkStart w:id="1807" w:name="_Toc81573113"/>
                            <w:r w:rsidRPr="00D6529D">
                              <w:rPr>
                                <w:rFonts w:ascii="Times New Roman" w:hAnsi="Times New Roman" w:cs="Times New Roman"/>
                                <w:b/>
                                <w:color w:val="auto"/>
                                <w:sz w:val="22"/>
                                <w:szCs w:val="22"/>
                              </w:rPr>
                              <w:t xml:space="preserve">Gráfico </w:t>
                            </w:r>
                            <w:r w:rsidRPr="00D6529D">
                              <w:rPr>
                                <w:rFonts w:ascii="Times New Roman" w:hAnsi="Times New Roman" w:cs="Times New Roman"/>
                                <w:b/>
                                <w:color w:val="auto"/>
                                <w:sz w:val="22"/>
                                <w:szCs w:val="22"/>
                              </w:rPr>
                              <w:fldChar w:fldCharType="begin"/>
                            </w:r>
                            <w:r w:rsidRPr="00D6529D">
                              <w:rPr>
                                <w:rFonts w:ascii="Times New Roman" w:hAnsi="Times New Roman" w:cs="Times New Roman"/>
                                <w:b/>
                                <w:color w:val="auto"/>
                                <w:sz w:val="22"/>
                                <w:szCs w:val="22"/>
                              </w:rPr>
                              <w:instrText xml:space="preserve"> SEQ Gráfico \* ARABIC </w:instrText>
                            </w:r>
                            <w:r w:rsidRPr="00D6529D">
                              <w:rPr>
                                <w:rFonts w:ascii="Times New Roman" w:hAnsi="Times New Roman" w:cs="Times New Roman"/>
                                <w:b/>
                                <w:color w:val="auto"/>
                                <w:sz w:val="22"/>
                                <w:szCs w:val="22"/>
                              </w:rPr>
                              <w:fldChar w:fldCharType="separate"/>
                            </w:r>
                            <w:r w:rsidRPr="00D6529D">
                              <w:rPr>
                                <w:rFonts w:ascii="Times New Roman" w:hAnsi="Times New Roman" w:cs="Times New Roman"/>
                                <w:b/>
                                <w:noProof/>
                                <w:color w:val="auto"/>
                                <w:sz w:val="22"/>
                                <w:szCs w:val="22"/>
                              </w:rPr>
                              <w:t>63</w:t>
                            </w:r>
                            <w:r w:rsidRPr="00D6529D">
                              <w:rPr>
                                <w:rFonts w:ascii="Times New Roman" w:hAnsi="Times New Roman" w:cs="Times New Roman"/>
                                <w:b/>
                                <w:color w:val="auto"/>
                                <w:sz w:val="22"/>
                                <w:szCs w:val="22"/>
                              </w:rPr>
                              <w:fldChar w:fldCharType="end"/>
                            </w:r>
                            <w:r w:rsidRPr="00D6529D">
                              <w:rPr>
                                <w:rFonts w:ascii="Times New Roman" w:hAnsi="Times New Roman" w:cs="Times New Roman"/>
                                <w:b/>
                                <w:color w:val="auto"/>
                                <w:sz w:val="22"/>
                                <w:szCs w:val="22"/>
                              </w:rPr>
                              <w:t xml:space="preserve">.  </w:t>
                            </w:r>
                            <w:r w:rsidRPr="00D6529D">
                              <w:rPr>
                                <w:rFonts w:ascii="Times New Roman" w:hAnsi="Times New Roman" w:cs="Times New Roman"/>
                                <w:b/>
                                <w:i w:val="0"/>
                                <w:color w:val="auto"/>
                                <w:sz w:val="22"/>
                                <w:szCs w:val="22"/>
                              </w:rPr>
                              <w:t>Fan chart carga tributaria</w:t>
                            </w:r>
                            <w:bookmarkEnd w:id="1806"/>
                            <w:bookmarkEnd w:id="180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DB0ED5E" id="Cuadro de texto 58" o:spid="_x0000_s1040" type="#_x0000_t202" style="position:absolute;left:0;text-align:left;margin-left:77.95pt;margin-top:2.95pt;width:278.15pt;height:12.9pt;z-index:25200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" stroked="f">
                <v:textbox inset="0,0,0,0">
                  <w:txbxContent>
                    <w:p w14:paraId="799934EE" w14:textId="354DAA45" w:rsidR="00A36CEB" w:rsidRPr="00D6529D" w:rsidRDefault="00A36CEB" w:rsidP="00D6529D">
                      <w:pPr>
                        <w:pStyle w:val="Descripcin"/>
                        <w:keepNext/>
                        <w:jc w:val="center"/>
                        <w:rPr>
                          <w:b/>
                          <w:color w:val="auto"/>
                          <w:sz w:val="22"/>
                          <w:szCs w:val="22"/>
                        </w:rPr>
                      </w:pPr>
                      <w:bookmarkStart w:id="1809" w:name="_Toc50016868"/>
                      <w:bookmarkStart w:id="1810" w:name="_Toc81573113"/>
                      <w:r w:rsidRPr="00D6529D">
                        <w:rPr>
                          <w:rFonts w:ascii="Times New Roman" w:hAnsi="Times New Roman" w:cs="Times New Roman"/>
                          <w:b/>
                          <w:color w:val="auto"/>
                          <w:sz w:val="22"/>
                          <w:szCs w:val="22"/>
                        </w:rPr>
                        <w:t xml:space="preserve">Gráfico </w:t>
                      </w:r>
                      <w:r w:rsidRPr="00D6529D">
                        <w:rPr>
                          <w:rFonts w:ascii="Times New Roman" w:hAnsi="Times New Roman" w:cs="Times New Roman"/>
                          <w:b/>
                          <w:color w:val="auto"/>
                          <w:sz w:val="22"/>
                          <w:szCs w:val="22"/>
                        </w:rPr>
                        <w:fldChar w:fldCharType="begin"/>
                      </w:r>
                      <w:r w:rsidRPr="00D6529D">
                        <w:rPr>
                          <w:rFonts w:ascii="Times New Roman" w:hAnsi="Times New Roman" w:cs="Times New Roman"/>
                          <w:b/>
                          <w:color w:val="auto"/>
                          <w:sz w:val="22"/>
                          <w:szCs w:val="22"/>
                        </w:rPr>
                        <w:instrText xml:space="preserve"> SEQ Gráfico \* ARABIC </w:instrText>
                      </w:r>
                      <w:r w:rsidRPr="00D6529D">
                        <w:rPr>
                          <w:rFonts w:ascii="Times New Roman" w:hAnsi="Times New Roman" w:cs="Times New Roman"/>
                          <w:b/>
                          <w:color w:val="auto"/>
                          <w:sz w:val="22"/>
                          <w:szCs w:val="22"/>
                        </w:rPr>
                        <w:fldChar w:fldCharType="separate"/>
                      </w:r>
                      <w:r w:rsidRPr="00D6529D">
                        <w:rPr>
                          <w:rFonts w:ascii="Times New Roman" w:hAnsi="Times New Roman" w:cs="Times New Roman"/>
                          <w:b/>
                          <w:noProof/>
                          <w:color w:val="auto"/>
                          <w:sz w:val="22"/>
                          <w:szCs w:val="22"/>
                        </w:rPr>
                        <w:t>63</w:t>
                      </w:r>
                      <w:r w:rsidRPr="00D6529D">
                        <w:rPr>
                          <w:rFonts w:ascii="Times New Roman" w:hAnsi="Times New Roman" w:cs="Times New Roman"/>
                          <w:b/>
                          <w:color w:val="auto"/>
                          <w:sz w:val="22"/>
                          <w:szCs w:val="22"/>
                        </w:rPr>
                        <w:fldChar w:fldCharType="end"/>
                      </w:r>
                      <w:r w:rsidRPr="00D6529D">
                        <w:rPr>
                          <w:rFonts w:ascii="Times New Roman" w:hAnsi="Times New Roman" w:cs="Times New Roman"/>
                          <w:b/>
                          <w:color w:val="auto"/>
                          <w:sz w:val="22"/>
                          <w:szCs w:val="22"/>
                        </w:rPr>
                        <w:t xml:space="preserve">.  </w:t>
                      </w:r>
                      <w:r w:rsidRPr="00D6529D">
                        <w:rPr>
                          <w:rFonts w:ascii="Times New Roman" w:hAnsi="Times New Roman" w:cs="Times New Roman"/>
                          <w:b/>
                          <w:i w:val="0"/>
                          <w:color w:val="auto"/>
                          <w:sz w:val="22"/>
                          <w:szCs w:val="22"/>
                        </w:rPr>
                        <w:t>Fan chart carga tributaria</w:t>
                      </w:r>
                      <w:bookmarkEnd w:id="1809"/>
                      <w:bookmarkEnd w:id="1810"/>
                    </w:p>
                  </w:txbxContent>
                </v:textbox>
                <w10:wrap type="square"/>
              </v:shape>
            </w:pict>
          </mc:Fallback>
        </mc:AlternateContent>
      </w:r>
    </w:p>
    <w:p w14:paraId="07E04249" w14:textId="483D94B5" w:rsidR="00DB67DE" w:rsidRPr="00CB119B" w:rsidRDefault="00EA40FE" w:rsidP="00B011BF">
      <w:pPr>
        <w:spacing w:after="0" w:line="240" w:lineRule="auto"/>
        <w:jc w:val="center"/>
        <w:rPr>
          <w:rFonts w:ascii="Times New Roman" w:hAnsi="Times New Roman" w:cs="Times New Roman"/>
        </w:rPr>
      </w:pPr>
      <w:r>
        <w:rPr>
          <w:rFonts w:ascii="Times New Roman" w:hAnsi="Times New Roman" w:cs="Times New Roman"/>
          <w:noProof/>
          <w:lang w:val="es-ES" w:eastAsia="es-ES"/>
        </w:rPr>
        <w:drawing>
          <wp:inline distT="0" distB="0" distL="0" distR="0" wp14:anchorId="7D7ECA41" wp14:editId="2349EA85">
            <wp:extent cx="5041808" cy="3002904"/>
            <wp:effectExtent l="0" t="0" r="6985" b="762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58113" cy="3012615"/>
                    </a:xfrm>
                    <a:prstGeom prst="rect">
                      <a:avLst/>
                    </a:prstGeom>
                    <a:noFill/>
                  </pic:spPr>
                </pic:pic>
              </a:graphicData>
            </a:graphic>
          </wp:inline>
        </w:drawing>
      </w:r>
    </w:p>
    <w:p w14:paraId="74306124" w14:textId="77777777" w:rsidR="00DB67DE" w:rsidRPr="00CB119B" w:rsidRDefault="00DB67DE" w:rsidP="00B011BF">
      <w:pPr>
        <w:spacing w:after="0" w:line="240" w:lineRule="auto"/>
        <w:ind w:firstLine="708"/>
        <w:jc w:val="both"/>
        <w:rPr>
          <w:rFonts w:ascii="Times New Roman" w:hAnsi="Times New Roman" w:cs="Times New Roman"/>
          <w:sz w:val="16"/>
        </w:rPr>
      </w:pPr>
      <w:r w:rsidRPr="00CB119B">
        <w:rPr>
          <w:rFonts w:ascii="Times New Roman" w:hAnsi="Times New Roman" w:cs="Times New Roman"/>
          <w:sz w:val="16"/>
        </w:rPr>
        <w:t xml:space="preserve">Fuente: Dirección de Análisis y Política Fiscal </w:t>
      </w:r>
    </w:p>
    <w:p w14:paraId="7F0B916B" w14:textId="77777777" w:rsidR="00DB67DE" w:rsidRPr="00CB119B" w:rsidRDefault="00DB67DE" w:rsidP="00DB67DE">
      <w:pPr>
        <w:spacing w:after="0" w:line="240" w:lineRule="auto"/>
        <w:jc w:val="both"/>
        <w:rPr>
          <w:rFonts w:ascii="Times New Roman" w:hAnsi="Times New Roman" w:cs="Times New Roman"/>
        </w:rPr>
      </w:pPr>
    </w:p>
    <w:p w14:paraId="79D6B313" w14:textId="24260560" w:rsidR="00DB67DE" w:rsidRPr="00CB119B" w:rsidRDefault="00DB67DE" w:rsidP="00DB67DE">
      <w:pPr>
        <w:spacing w:after="0" w:line="240" w:lineRule="auto"/>
        <w:jc w:val="both"/>
        <w:rPr>
          <w:rFonts w:ascii="Times New Roman" w:hAnsi="Times New Roman" w:cs="Times New Roman"/>
        </w:rPr>
      </w:pPr>
      <w:r w:rsidRPr="00CB119B">
        <w:rPr>
          <w:rFonts w:ascii="Times New Roman" w:hAnsi="Times New Roman" w:cs="Times New Roman"/>
        </w:rPr>
        <w:t xml:space="preserve">De concretarse cualquiera de los </w:t>
      </w:r>
      <w:r w:rsidR="00490CC6">
        <w:rPr>
          <w:rFonts w:ascii="Times New Roman" w:hAnsi="Times New Roman" w:cs="Times New Roman"/>
        </w:rPr>
        <w:t xml:space="preserve">dos propuestos </w:t>
      </w:r>
      <w:r w:rsidRPr="00CB119B">
        <w:rPr>
          <w:rFonts w:ascii="Times New Roman" w:hAnsi="Times New Roman" w:cs="Times New Roman"/>
        </w:rPr>
        <w:t>escenarios los efectos serán inmediatos sobre la ejecución financiera en el cierre del ejercicio fiscal 202</w:t>
      </w:r>
      <w:r w:rsidR="000C1121">
        <w:rPr>
          <w:rFonts w:ascii="Times New Roman" w:hAnsi="Times New Roman" w:cs="Times New Roman"/>
        </w:rPr>
        <w:t>2</w:t>
      </w:r>
      <w:r w:rsidRPr="00CB119B">
        <w:rPr>
          <w:rFonts w:ascii="Times New Roman" w:hAnsi="Times New Roman" w:cs="Times New Roman"/>
        </w:rPr>
        <w:t xml:space="preserve"> y en el mediano plazo, </w:t>
      </w:r>
      <w:r w:rsidR="00E8729B">
        <w:rPr>
          <w:rFonts w:ascii="Times New Roman" w:hAnsi="Times New Roman" w:cs="Times New Roman"/>
        </w:rPr>
        <w:t xml:space="preserve">de considerarse el </w:t>
      </w:r>
      <w:r w:rsidR="0002601D">
        <w:rPr>
          <w:rFonts w:ascii="Times New Roman" w:hAnsi="Times New Roman" w:cs="Times New Roman"/>
        </w:rPr>
        <w:t>esc</w:t>
      </w:r>
      <w:r w:rsidRPr="00CB119B">
        <w:rPr>
          <w:rFonts w:ascii="Times New Roman" w:hAnsi="Times New Roman" w:cs="Times New Roman"/>
        </w:rPr>
        <w:t xml:space="preserve">enario alto </w:t>
      </w:r>
      <w:r w:rsidR="0002601D">
        <w:rPr>
          <w:rFonts w:ascii="Times New Roman" w:hAnsi="Times New Roman" w:cs="Times New Roman"/>
        </w:rPr>
        <w:t xml:space="preserve">se </w:t>
      </w:r>
      <w:r w:rsidRPr="00CB119B">
        <w:rPr>
          <w:rFonts w:ascii="Times New Roman" w:hAnsi="Times New Roman" w:cs="Times New Roman"/>
        </w:rPr>
        <w:t>aumentaría  la ejecución de gasto respecto a lo planteado en presupuesto 2022 al contar con cerca de Q</w:t>
      </w:r>
      <w:r w:rsidR="00390242">
        <w:rPr>
          <w:rFonts w:ascii="Times New Roman" w:hAnsi="Times New Roman" w:cs="Times New Roman"/>
        </w:rPr>
        <w:t xml:space="preserve">3,151.7 </w:t>
      </w:r>
      <w:r w:rsidRPr="00CB119B">
        <w:rPr>
          <w:rFonts w:ascii="Times New Roman" w:hAnsi="Times New Roman" w:cs="Times New Roman"/>
        </w:rPr>
        <w:t xml:space="preserve">millones producto de una mejora en el comportamiento de la economía, con este escenario se pueden asignar más recursos y atender más programas de gobierno en el mediano plazo además de contribuir con una reducción del déficit fiscal lo que generaría un menor endeudamiento público. </w:t>
      </w:r>
    </w:p>
    <w:p w14:paraId="7F9464D2" w14:textId="6BD1090A" w:rsidR="00CB119B" w:rsidRDefault="00CB119B" w:rsidP="000865B9">
      <w:pPr>
        <w:spacing w:after="0" w:line="240" w:lineRule="auto"/>
        <w:jc w:val="both"/>
        <w:rPr>
          <w:rFonts w:ascii="Times New Roman" w:hAnsi="Times New Roman" w:cs="Times New Roman"/>
        </w:rPr>
      </w:pPr>
    </w:p>
    <w:p w14:paraId="4D54C3C9" w14:textId="65E085CC" w:rsidR="00206305" w:rsidRDefault="00206305" w:rsidP="000865B9">
      <w:pPr>
        <w:spacing w:after="0" w:line="240" w:lineRule="auto"/>
        <w:jc w:val="both"/>
        <w:rPr>
          <w:rFonts w:ascii="Times New Roman" w:hAnsi="Times New Roman" w:cs="Times New Roman"/>
        </w:rPr>
      </w:pPr>
    </w:p>
    <w:p w14:paraId="7179E1E3" w14:textId="0DE33E9F" w:rsidR="00206305" w:rsidRDefault="00206305" w:rsidP="000865B9">
      <w:pPr>
        <w:spacing w:after="0" w:line="240" w:lineRule="auto"/>
        <w:jc w:val="both"/>
        <w:rPr>
          <w:rFonts w:ascii="Times New Roman" w:hAnsi="Times New Roman" w:cs="Times New Roman"/>
        </w:rPr>
      </w:pPr>
    </w:p>
    <w:p w14:paraId="61E621D7" w14:textId="2ED29859" w:rsidR="00206305" w:rsidRDefault="00206305" w:rsidP="000865B9">
      <w:pPr>
        <w:spacing w:after="0" w:line="240" w:lineRule="auto"/>
        <w:jc w:val="both"/>
        <w:rPr>
          <w:rFonts w:ascii="Times New Roman" w:hAnsi="Times New Roman" w:cs="Times New Roman"/>
        </w:rPr>
      </w:pPr>
    </w:p>
    <w:p w14:paraId="602B5B0F" w14:textId="4B81D120" w:rsidR="00206305" w:rsidRDefault="00206305" w:rsidP="000865B9">
      <w:pPr>
        <w:spacing w:after="0" w:line="240" w:lineRule="auto"/>
        <w:jc w:val="both"/>
        <w:rPr>
          <w:rFonts w:ascii="Times New Roman" w:hAnsi="Times New Roman" w:cs="Times New Roman"/>
        </w:rPr>
      </w:pPr>
    </w:p>
    <w:p w14:paraId="4E4094C9" w14:textId="022FC637" w:rsidR="00206305" w:rsidRDefault="00206305" w:rsidP="000865B9">
      <w:pPr>
        <w:spacing w:after="0" w:line="240" w:lineRule="auto"/>
        <w:jc w:val="both"/>
        <w:rPr>
          <w:rFonts w:ascii="Times New Roman" w:hAnsi="Times New Roman" w:cs="Times New Roman"/>
        </w:rPr>
      </w:pPr>
    </w:p>
    <w:p w14:paraId="7DD3D749" w14:textId="17475315" w:rsidR="00206305" w:rsidRDefault="00206305" w:rsidP="000865B9">
      <w:pPr>
        <w:spacing w:after="0" w:line="240" w:lineRule="auto"/>
        <w:jc w:val="both"/>
        <w:rPr>
          <w:rFonts w:ascii="Times New Roman" w:hAnsi="Times New Roman" w:cs="Times New Roman"/>
        </w:rPr>
      </w:pPr>
    </w:p>
    <w:p w14:paraId="264B196F" w14:textId="62BC38A9" w:rsidR="00206305" w:rsidRDefault="00206305" w:rsidP="000865B9">
      <w:pPr>
        <w:spacing w:after="0" w:line="240" w:lineRule="auto"/>
        <w:jc w:val="both"/>
        <w:rPr>
          <w:rFonts w:ascii="Times New Roman" w:hAnsi="Times New Roman" w:cs="Times New Roman"/>
        </w:rPr>
      </w:pPr>
    </w:p>
    <w:p w14:paraId="69D69C9C" w14:textId="24EA750A" w:rsidR="00206305" w:rsidRDefault="00206305" w:rsidP="000865B9">
      <w:pPr>
        <w:spacing w:after="0" w:line="240" w:lineRule="auto"/>
        <w:jc w:val="both"/>
        <w:rPr>
          <w:rFonts w:ascii="Times New Roman" w:hAnsi="Times New Roman" w:cs="Times New Roman"/>
        </w:rPr>
      </w:pPr>
    </w:p>
    <w:p w14:paraId="5198B3CF" w14:textId="70C15F55" w:rsidR="00206305" w:rsidRDefault="00206305" w:rsidP="000865B9">
      <w:pPr>
        <w:spacing w:after="0" w:line="240" w:lineRule="auto"/>
        <w:jc w:val="both"/>
        <w:rPr>
          <w:rFonts w:ascii="Times New Roman" w:hAnsi="Times New Roman" w:cs="Times New Roman"/>
        </w:rPr>
      </w:pPr>
    </w:p>
    <w:p w14:paraId="45734015" w14:textId="77134E0C" w:rsidR="00206305" w:rsidRDefault="00206305" w:rsidP="000865B9">
      <w:pPr>
        <w:spacing w:after="0" w:line="240" w:lineRule="auto"/>
        <w:jc w:val="both"/>
        <w:rPr>
          <w:rFonts w:ascii="Times New Roman" w:hAnsi="Times New Roman" w:cs="Times New Roman"/>
        </w:rPr>
      </w:pPr>
    </w:p>
    <w:p w14:paraId="3AA622CA" w14:textId="698E2CCD" w:rsidR="00206305" w:rsidRDefault="00206305" w:rsidP="000865B9">
      <w:pPr>
        <w:spacing w:after="0" w:line="240" w:lineRule="auto"/>
        <w:jc w:val="both"/>
        <w:rPr>
          <w:rFonts w:ascii="Times New Roman" w:hAnsi="Times New Roman" w:cs="Times New Roman"/>
        </w:rPr>
      </w:pPr>
    </w:p>
    <w:p w14:paraId="0E599CDA" w14:textId="20E04A80" w:rsidR="00206305" w:rsidRDefault="00206305" w:rsidP="000865B9">
      <w:pPr>
        <w:spacing w:after="0" w:line="240" w:lineRule="auto"/>
        <w:jc w:val="both"/>
        <w:rPr>
          <w:rFonts w:ascii="Times New Roman" w:hAnsi="Times New Roman" w:cs="Times New Roman"/>
        </w:rPr>
      </w:pPr>
    </w:p>
    <w:p w14:paraId="5796E398" w14:textId="0414950E" w:rsidR="00206305" w:rsidRDefault="00206305" w:rsidP="000865B9">
      <w:pPr>
        <w:spacing w:after="0" w:line="240" w:lineRule="auto"/>
        <w:jc w:val="both"/>
        <w:rPr>
          <w:rFonts w:ascii="Times New Roman" w:hAnsi="Times New Roman" w:cs="Times New Roman"/>
        </w:rPr>
      </w:pPr>
    </w:p>
    <w:p w14:paraId="24A6E984" w14:textId="529F7476" w:rsidR="00206305" w:rsidRDefault="00206305" w:rsidP="000865B9">
      <w:pPr>
        <w:spacing w:after="0" w:line="240" w:lineRule="auto"/>
        <w:jc w:val="both"/>
        <w:rPr>
          <w:rFonts w:ascii="Times New Roman" w:hAnsi="Times New Roman" w:cs="Times New Roman"/>
        </w:rPr>
      </w:pPr>
    </w:p>
    <w:p w14:paraId="4A43C356" w14:textId="61A2A05E" w:rsidR="00206305" w:rsidRDefault="00206305" w:rsidP="000865B9">
      <w:pPr>
        <w:spacing w:after="0" w:line="240" w:lineRule="auto"/>
        <w:jc w:val="both"/>
        <w:rPr>
          <w:rFonts w:ascii="Times New Roman" w:hAnsi="Times New Roman" w:cs="Times New Roman"/>
        </w:rPr>
      </w:pPr>
    </w:p>
    <w:p w14:paraId="36EF32E8" w14:textId="37C73208" w:rsidR="00206305" w:rsidRDefault="00206305" w:rsidP="000865B9">
      <w:pPr>
        <w:spacing w:after="0" w:line="240" w:lineRule="auto"/>
        <w:jc w:val="both"/>
        <w:rPr>
          <w:rFonts w:ascii="Times New Roman" w:hAnsi="Times New Roman" w:cs="Times New Roman"/>
        </w:rPr>
      </w:pPr>
    </w:p>
    <w:p w14:paraId="6FD73133" w14:textId="47845653" w:rsidR="00206305" w:rsidRDefault="00206305" w:rsidP="000865B9">
      <w:pPr>
        <w:spacing w:after="0" w:line="240" w:lineRule="auto"/>
        <w:jc w:val="both"/>
        <w:rPr>
          <w:rFonts w:ascii="Times New Roman" w:hAnsi="Times New Roman" w:cs="Times New Roman"/>
        </w:rPr>
      </w:pPr>
    </w:p>
    <w:p w14:paraId="6FDBF19E" w14:textId="045DF7D7" w:rsidR="00206305" w:rsidRDefault="00206305" w:rsidP="000865B9">
      <w:pPr>
        <w:spacing w:after="0" w:line="240" w:lineRule="auto"/>
        <w:jc w:val="both"/>
        <w:rPr>
          <w:rFonts w:ascii="Times New Roman" w:hAnsi="Times New Roman" w:cs="Times New Roman"/>
        </w:rPr>
      </w:pPr>
    </w:p>
    <w:p w14:paraId="23F9A28A" w14:textId="2AE7F990" w:rsidR="00206305" w:rsidRDefault="00206305" w:rsidP="000865B9">
      <w:pPr>
        <w:spacing w:after="0" w:line="240" w:lineRule="auto"/>
        <w:jc w:val="both"/>
        <w:rPr>
          <w:rFonts w:ascii="Times New Roman" w:hAnsi="Times New Roman" w:cs="Times New Roman"/>
        </w:rPr>
      </w:pPr>
    </w:p>
    <w:p w14:paraId="205DD36B" w14:textId="17EC0871" w:rsidR="00206305" w:rsidRDefault="00206305" w:rsidP="000865B9">
      <w:pPr>
        <w:spacing w:after="0" w:line="240" w:lineRule="auto"/>
        <w:jc w:val="both"/>
        <w:rPr>
          <w:rFonts w:ascii="Times New Roman" w:hAnsi="Times New Roman" w:cs="Times New Roman"/>
        </w:rPr>
      </w:pPr>
    </w:p>
    <w:p w14:paraId="550CA0A1" w14:textId="42476D6B" w:rsidR="00206305" w:rsidRDefault="00206305" w:rsidP="000865B9">
      <w:pPr>
        <w:spacing w:after="0" w:line="240" w:lineRule="auto"/>
        <w:jc w:val="both"/>
        <w:rPr>
          <w:rFonts w:ascii="Times New Roman" w:hAnsi="Times New Roman" w:cs="Times New Roman"/>
        </w:rPr>
      </w:pPr>
    </w:p>
    <w:p w14:paraId="493D6BC0" w14:textId="1202EE15" w:rsidR="00206305" w:rsidRDefault="00206305" w:rsidP="000865B9">
      <w:pPr>
        <w:spacing w:after="0" w:line="240" w:lineRule="auto"/>
        <w:jc w:val="both"/>
        <w:rPr>
          <w:rFonts w:ascii="Times New Roman" w:hAnsi="Times New Roman" w:cs="Times New Roman"/>
        </w:rPr>
      </w:pPr>
    </w:p>
    <w:p w14:paraId="1574460B" w14:textId="49CC9A3E" w:rsidR="00206305" w:rsidRDefault="00206305" w:rsidP="000865B9">
      <w:pPr>
        <w:spacing w:after="0" w:line="240" w:lineRule="auto"/>
        <w:jc w:val="both"/>
        <w:rPr>
          <w:rFonts w:ascii="Times New Roman" w:hAnsi="Times New Roman" w:cs="Times New Roman"/>
        </w:rPr>
      </w:pPr>
    </w:p>
    <w:p w14:paraId="7E772FF3" w14:textId="325C5414" w:rsidR="00206305" w:rsidRDefault="00206305" w:rsidP="000865B9">
      <w:pPr>
        <w:spacing w:after="0" w:line="240" w:lineRule="auto"/>
        <w:jc w:val="both"/>
        <w:rPr>
          <w:rFonts w:ascii="Times New Roman" w:hAnsi="Times New Roman" w:cs="Times New Roman"/>
        </w:rPr>
      </w:pPr>
    </w:p>
    <w:p w14:paraId="1B125132" w14:textId="5F42D344" w:rsidR="00206305" w:rsidRDefault="00206305" w:rsidP="000865B9">
      <w:pPr>
        <w:spacing w:after="0" w:line="240" w:lineRule="auto"/>
        <w:jc w:val="both"/>
        <w:rPr>
          <w:rFonts w:ascii="Times New Roman" w:hAnsi="Times New Roman" w:cs="Times New Roman"/>
        </w:rPr>
      </w:pPr>
    </w:p>
    <w:p w14:paraId="21AFD403" w14:textId="1893B865" w:rsidR="00206305" w:rsidRDefault="00206305" w:rsidP="000865B9">
      <w:pPr>
        <w:spacing w:after="0" w:line="240" w:lineRule="auto"/>
        <w:jc w:val="both"/>
        <w:rPr>
          <w:rFonts w:ascii="Times New Roman" w:hAnsi="Times New Roman" w:cs="Times New Roman"/>
        </w:rPr>
      </w:pPr>
    </w:p>
    <w:p w14:paraId="39FC5ACB" w14:textId="77777777" w:rsidR="00206305" w:rsidRDefault="00206305" w:rsidP="000865B9">
      <w:pPr>
        <w:spacing w:after="0" w:line="240" w:lineRule="auto"/>
        <w:jc w:val="both"/>
        <w:rPr>
          <w:rFonts w:ascii="Times New Roman" w:hAnsi="Times New Roman" w:cs="Times New Roman"/>
        </w:rPr>
      </w:pPr>
    </w:p>
    <w:p w14:paraId="09B3A9B7" w14:textId="6D61E6BF" w:rsidR="00206305" w:rsidRDefault="00206305" w:rsidP="000865B9">
      <w:pPr>
        <w:spacing w:after="0" w:line="240" w:lineRule="auto"/>
        <w:jc w:val="both"/>
        <w:rPr>
          <w:rFonts w:ascii="Times New Roman" w:hAnsi="Times New Roman" w:cs="Times New Roman"/>
        </w:rPr>
      </w:pPr>
    </w:p>
    <w:p w14:paraId="5FDE3202" w14:textId="261D3AFF" w:rsidR="00206305" w:rsidRDefault="00206305" w:rsidP="000865B9">
      <w:pPr>
        <w:spacing w:after="0" w:line="240" w:lineRule="auto"/>
        <w:jc w:val="both"/>
        <w:rPr>
          <w:rFonts w:ascii="Times New Roman" w:hAnsi="Times New Roman" w:cs="Times New Roman"/>
        </w:rPr>
      </w:pPr>
    </w:p>
    <w:p w14:paraId="4A6D1A62" w14:textId="3CA4833B" w:rsidR="00206305" w:rsidRDefault="00206305" w:rsidP="000865B9">
      <w:pPr>
        <w:spacing w:after="0" w:line="240" w:lineRule="auto"/>
        <w:jc w:val="both"/>
        <w:rPr>
          <w:rFonts w:ascii="Times New Roman" w:hAnsi="Times New Roman" w:cs="Times New Roman"/>
        </w:rPr>
      </w:pPr>
    </w:p>
    <w:p w14:paraId="0E4B55E0" w14:textId="74E7BA10" w:rsidR="00206305" w:rsidRDefault="00206305" w:rsidP="000865B9">
      <w:pPr>
        <w:spacing w:after="0" w:line="240" w:lineRule="auto"/>
        <w:jc w:val="both"/>
        <w:rPr>
          <w:rFonts w:ascii="Times New Roman" w:hAnsi="Times New Roman" w:cs="Times New Roman"/>
        </w:rPr>
      </w:pPr>
    </w:p>
    <w:p w14:paraId="47DEC491" w14:textId="77777777" w:rsidR="00206305" w:rsidRPr="00AB1B87" w:rsidRDefault="00206305" w:rsidP="00AB1B87">
      <w:pPr>
        <w:pStyle w:val="Sinespaciado"/>
        <w:numPr>
          <w:ilvl w:val="0"/>
          <w:numId w:val="7"/>
        </w:numPr>
        <w:ind w:left="284" w:hanging="426"/>
        <w:jc w:val="center"/>
        <w:outlineLvl w:val="0"/>
        <w:rPr>
          <w:rFonts w:ascii="Times New Roman" w:hAnsi="Times New Roman" w:cs="Times New Roman"/>
          <w:b/>
          <w:sz w:val="32"/>
        </w:rPr>
      </w:pPr>
      <w:bookmarkStart w:id="1808" w:name="_Toc49939485"/>
      <w:bookmarkStart w:id="1809" w:name="_Toc81571931"/>
      <w:r w:rsidRPr="00AB1B87">
        <w:rPr>
          <w:rFonts w:ascii="Times New Roman" w:hAnsi="Times New Roman" w:cs="Times New Roman"/>
          <w:b/>
          <w:sz w:val="32"/>
        </w:rPr>
        <w:t>Anexos</w:t>
      </w:r>
      <w:bookmarkEnd w:id="1808"/>
      <w:bookmarkEnd w:id="1809"/>
    </w:p>
    <w:p w14:paraId="78D9F936" w14:textId="2F34C9DB" w:rsidR="00206305" w:rsidRDefault="00206305" w:rsidP="000865B9">
      <w:pPr>
        <w:spacing w:after="0" w:line="240" w:lineRule="auto"/>
        <w:jc w:val="both"/>
        <w:rPr>
          <w:rFonts w:ascii="Times New Roman" w:hAnsi="Times New Roman" w:cs="Times New Roman"/>
        </w:rPr>
      </w:pPr>
    </w:p>
    <w:p w14:paraId="1730B220" w14:textId="01A8A853" w:rsidR="00206305" w:rsidRDefault="00206305" w:rsidP="000865B9">
      <w:pPr>
        <w:spacing w:after="0" w:line="240" w:lineRule="auto"/>
        <w:jc w:val="both"/>
        <w:rPr>
          <w:rFonts w:ascii="Times New Roman" w:hAnsi="Times New Roman" w:cs="Times New Roman"/>
        </w:rPr>
      </w:pPr>
    </w:p>
    <w:p w14:paraId="3E4E361E" w14:textId="45DE2972" w:rsidR="00206305" w:rsidRDefault="00206305" w:rsidP="000865B9">
      <w:pPr>
        <w:spacing w:after="0" w:line="240" w:lineRule="auto"/>
        <w:jc w:val="both"/>
        <w:rPr>
          <w:rFonts w:ascii="Times New Roman" w:hAnsi="Times New Roman" w:cs="Times New Roman"/>
        </w:rPr>
      </w:pPr>
    </w:p>
    <w:p w14:paraId="76E8DE5E" w14:textId="5BB41943" w:rsidR="00206305" w:rsidRDefault="00206305" w:rsidP="000865B9">
      <w:pPr>
        <w:spacing w:after="0" w:line="240" w:lineRule="auto"/>
        <w:jc w:val="both"/>
        <w:rPr>
          <w:rFonts w:ascii="Times New Roman" w:hAnsi="Times New Roman" w:cs="Times New Roman"/>
        </w:rPr>
      </w:pPr>
    </w:p>
    <w:p w14:paraId="273A082B" w14:textId="0CBAB440" w:rsidR="00206305" w:rsidRDefault="00206305" w:rsidP="000865B9">
      <w:pPr>
        <w:spacing w:after="0" w:line="240" w:lineRule="auto"/>
        <w:jc w:val="both"/>
        <w:rPr>
          <w:rFonts w:ascii="Times New Roman" w:hAnsi="Times New Roman" w:cs="Times New Roman"/>
        </w:rPr>
      </w:pPr>
    </w:p>
    <w:p w14:paraId="71A1AD73" w14:textId="790D7818" w:rsidR="00206305" w:rsidRDefault="00206305" w:rsidP="000865B9">
      <w:pPr>
        <w:spacing w:after="0" w:line="240" w:lineRule="auto"/>
        <w:jc w:val="both"/>
        <w:rPr>
          <w:rFonts w:ascii="Times New Roman" w:hAnsi="Times New Roman" w:cs="Times New Roman"/>
        </w:rPr>
      </w:pPr>
    </w:p>
    <w:p w14:paraId="14C539EA" w14:textId="61E5826E" w:rsidR="00206305" w:rsidRDefault="00206305" w:rsidP="000865B9">
      <w:pPr>
        <w:spacing w:after="0" w:line="240" w:lineRule="auto"/>
        <w:jc w:val="both"/>
        <w:rPr>
          <w:rFonts w:ascii="Times New Roman" w:hAnsi="Times New Roman" w:cs="Times New Roman"/>
        </w:rPr>
      </w:pPr>
    </w:p>
    <w:p w14:paraId="3CC99352" w14:textId="4BD4CE1E" w:rsidR="00206305" w:rsidRDefault="00206305" w:rsidP="000865B9">
      <w:pPr>
        <w:spacing w:after="0" w:line="240" w:lineRule="auto"/>
        <w:jc w:val="both"/>
        <w:rPr>
          <w:rFonts w:ascii="Times New Roman" w:hAnsi="Times New Roman" w:cs="Times New Roman"/>
        </w:rPr>
      </w:pPr>
    </w:p>
    <w:p w14:paraId="3DF43435" w14:textId="25328173" w:rsidR="00206305" w:rsidRDefault="00206305" w:rsidP="000865B9">
      <w:pPr>
        <w:spacing w:after="0" w:line="240" w:lineRule="auto"/>
        <w:jc w:val="both"/>
        <w:rPr>
          <w:rFonts w:ascii="Times New Roman" w:hAnsi="Times New Roman" w:cs="Times New Roman"/>
        </w:rPr>
      </w:pPr>
    </w:p>
    <w:p w14:paraId="1D9CDF37" w14:textId="74B6934B" w:rsidR="00206305" w:rsidRDefault="00206305" w:rsidP="000865B9">
      <w:pPr>
        <w:spacing w:after="0" w:line="240" w:lineRule="auto"/>
        <w:jc w:val="both"/>
        <w:rPr>
          <w:rFonts w:ascii="Times New Roman" w:hAnsi="Times New Roman" w:cs="Times New Roman"/>
        </w:rPr>
      </w:pPr>
    </w:p>
    <w:p w14:paraId="1B3D9EE8" w14:textId="24DC576B" w:rsidR="00206305" w:rsidRDefault="00206305" w:rsidP="000865B9">
      <w:pPr>
        <w:spacing w:after="0" w:line="240" w:lineRule="auto"/>
        <w:jc w:val="both"/>
        <w:rPr>
          <w:rFonts w:ascii="Times New Roman" w:hAnsi="Times New Roman" w:cs="Times New Roman"/>
        </w:rPr>
      </w:pPr>
    </w:p>
    <w:p w14:paraId="34127A6A" w14:textId="2154A1B4" w:rsidR="00206305" w:rsidRDefault="00206305" w:rsidP="000865B9">
      <w:pPr>
        <w:spacing w:after="0" w:line="240" w:lineRule="auto"/>
        <w:jc w:val="both"/>
        <w:rPr>
          <w:rFonts w:ascii="Times New Roman" w:hAnsi="Times New Roman" w:cs="Times New Roman"/>
        </w:rPr>
      </w:pPr>
    </w:p>
    <w:p w14:paraId="46CC3016" w14:textId="710EAF83" w:rsidR="00206305" w:rsidRDefault="00206305" w:rsidP="000865B9">
      <w:pPr>
        <w:spacing w:after="0" w:line="240" w:lineRule="auto"/>
        <w:jc w:val="both"/>
        <w:rPr>
          <w:rFonts w:ascii="Times New Roman" w:hAnsi="Times New Roman" w:cs="Times New Roman"/>
        </w:rPr>
      </w:pPr>
    </w:p>
    <w:p w14:paraId="5B7039BC" w14:textId="380E7C23" w:rsidR="00206305" w:rsidRDefault="00206305" w:rsidP="000865B9">
      <w:pPr>
        <w:spacing w:after="0" w:line="240" w:lineRule="auto"/>
        <w:jc w:val="both"/>
        <w:rPr>
          <w:rFonts w:ascii="Times New Roman" w:hAnsi="Times New Roman" w:cs="Times New Roman"/>
        </w:rPr>
      </w:pPr>
    </w:p>
    <w:p w14:paraId="1EBD2BC0" w14:textId="5C59F6A8" w:rsidR="00206305" w:rsidRDefault="00206305" w:rsidP="000865B9">
      <w:pPr>
        <w:spacing w:after="0" w:line="240" w:lineRule="auto"/>
        <w:jc w:val="both"/>
        <w:rPr>
          <w:rFonts w:ascii="Times New Roman" w:hAnsi="Times New Roman" w:cs="Times New Roman"/>
        </w:rPr>
      </w:pPr>
    </w:p>
    <w:p w14:paraId="0258743C" w14:textId="43E62A71" w:rsidR="00206305" w:rsidRDefault="00206305" w:rsidP="000865B9">
      <w:pPr>
        <w:spacing w:after="0" w:line="240" w:lineRule="auto"/>
        <w:jc w:val="both"/>
        <w:rPr>
          <w:rFonts w:ascii="Times New Roman" w:hAnsi="Times New Roman" w:cs="Times New Roman"/>
        </w:rPr>
      </w:pPr>
    </w:p>
    <w:p w14:paraId="6FF6FCF3" w14:textId="1D396318" w:rsidR="00206305" w:rsidRDefault="00206305" w:rsidP="000865B9">
      <w:pPr>
        <w:spacing w:after="0" w:line="240" w:lineRule="auto"/>
        <w:jc w:val="both"/>
        <w:rPr>
          <w:rFonts w:ascii="Times New Roman" w:hAnsi="Times New Roman" w:cs="Times New Roman"/>
        </w:rPr>
      </w:pPr>
    </w:p>
    <w:p w14:paraId="3D9B41EC" w14:textId="61AF32E0" w:rsidR="00206305" w:rsidRDefault="00206305" w:rsidP="000865B9">
      <w:pPr>
        <w:spacing w:after="0" w:line="240" w:lineRule="auto"/>
        <w:jc w:val="both"/>
        <w:rPr>
          <w:rFonts w:ascii="Times New Roman" w:hAnsi="Times New Roman" w:cs="Times New Roman"/>
        </w:rPr>
      </w:pPr>
    </w:p>
    <w:p w14:paraId="193FA33A" w14:textId="5AABAFF0" w:rsidR="00783A90" w:rsidRDefault="00783A90" w:rsidP="000865B9">
      <w:pPr>
        <w:spacing w:after="0" w:line="240" w:lineRule="auto"/>
        <w:jc w:val="both"/>
        <w:rPr>
          <w:rFonts w:ascii="Times New Roman" w:hAnsi="Times New Roman" w:cs="Times New Roman"/>
        </w:rPr>
      </w:pPr>
    </w:p>
    <w:p w14:paraId="078968E7" w14:textId="01E23BED" w:rsidR="00783A90" w:rsidRDefault="00783A90" w:rsidP="000865B9">
      <w:pPr>
        <w:spacing w:after="0" w:line="240" w:lineRule="auto"/>
        <w:jc w:val="both"/>
        <w:rPr>
          <w:rFonts w:ascii="Times New Roman" w:hAnsi="Times New Roman" w:cs="Times New Roman"/>
        </w:rPr>
      </w:pPr>
    </w:p>
    <w:p w14:paraId="5F21AEBD" w14:textId="24ADCB8F" w:rsidR="00AB1B87" w:rsidRDefault="00AB1B87" w:rsidP="000865B9">
      <w:pPr>
        <w:spacing w:after="0" w:line="240" w:lineRule="auto"/>
        <w:jc w:val="both"/>
        <w:rPr>
          <w:rFonts w:ascii="Times New Roman" w:hAnsi="Times New Roman" w:cs="Times New Roman"/>
        </w:rPr>
      </w:pPr>
    </w:p>
    <w:p w14:paraId="3A66EFF0" w14:textId="3D2FDF8C" w:rsidR="00AB1B87" w:rsidRDefault="00AB1B87" w:rsidP="000865B9">
      <w:pPr>
        <w:spacing w:after="0" w:line="240" w:lineRule="auto"/>
        <w:jc w:val="both"/>
        <w:rPr>
          <w:rFonts w:ascii="Times New Roman" w:hAnsi="Times New Roman" w:cs="Times New Roman"/>
        </w:rPr>
      </w:pPr>
    </w:p>
    <w:p w14:paraId="709FE2DC" w14:textId="18AFCD17" w:rsidR="00AB1B87" w:rsidRDefault="00AB1B87" w:rsidP="000865B9">
      <w:pPr>
        <w:spacing w:after="0" w:line="240" w:lineRule="auto"/>
        <w:jc w:val="both"/>
        <w:rPr>
          <w:rFonts w:ascii="Times New Roman" w:hAnsi="Times New Roman" w:cs="Times New Roman"/>
        </w:rPr>
      </w:pPr>
    </w:p>
    <w:p w14:paraId="2B5BA640" w14:textId="77777777" w:rsidR="00AB1B87" w:rsidRDefault="00AB1B87" w:rsidP="000865B9">
      <w:pPr>
        <w:spacing w:after="0" w:line="240" w:lineRule="auto"/>
        <w:jc w:val="both"/>
        <w:rPr>
          <w:rFonts w:ascii="Times New Roman" w:hAnsi="Times New Roman" w:cs="Times New Roman"/>
        </w:rPr>
      </w:pPr>
    </w:p>
    <w:p w14:paraId="09C18008" w14:textId="2D9073CE" w:rsidR="00646716" w:rsidRDefault="00646716" w:rsidP="000865B9">
      <w:pPr>
        <w:spacing w:after="0" w:line="240" w:lineRule="auto"/>
        <w:jc w:val="both"/>
        <w:rPr>
          <w:rFonts w:ascii="Times New Roman" w:hAnsi="Times New Roman" w:cs="Times New Roman"/>
        </w:rPr>
      </w:pPr>
    </w:p>
    <w:p w14:paraId="19B771E4" w14:textId="322DCD33" w:rsidR="00646716" w:rsidRDefault="00646716" w:rsidP="000865B9">
      <w:pPr>
        <w:spacing w:after="0" w:line="240" w:lineRule="auto"/>
        <w:jc w:val="both"/>
        <w:rPr>
          <w:rFonts w:ascii="Times New Roman" w:hAnsi="Times New Roman" w:cs="Times New Roman"/>
        </w:rPr>
      </w:pPr>
    </w:p>
    <w:p w14:paraId="2225F6FE" w14:textId="2435ACE1" w:rsidR="00646716" w:rsidRDefault="00646716" w:rsidP="000865B9">
      <w:pPr>
        <w:spacing w:after="0" w:line="240" w:lineRule="auto"/>
        <w:jc w:val="both"/>
        <w:rPr>
          <w:rFonts w:ascii="Times New Roman" w:hAnsi="Times New Roman" w:cs="Times New Roman"/>
        </w:rPr>
      </w:pPr>
    </w:p>
    <w:p w14:paraId="3A35EC89" w14:textId="4AC4B1B6" w:rsidR="00646716" w:rsidRDefault="00646716" w:rsidP="000865B9">
      <w:pPr>
        <w:spacing w:after="0" w:line="240" w:lineRule="auto"/>
        <w:jc w:val="both"/>
        <w:rPr>
          <w:rFonts w:ascii="Times New Roman" w:hAnsi="Times New Roman" w:cs="Times New Roman"/>
        </w:rPr>
      </w:pPr>
    </w:p>
    <w:p w14:paraId="0F12378C" w14:textId="77777777" w:rsidR="00646716" w:rsidRPr="00E92084" w:rsidRDefault="00646716" w:rsidP="001D1FFA">
      <w:pPr>
        <w:pStyle w:val="Prrafodelista"/>
        <w:numPr>
          <w:ilvl w:val="0"/>
          <w:numId w:val="43"/>
        </w:numPr>
        <w:shd w:val="clear" w:color="auto" w:fill="C5E0B3" w:themeFill="accent6" w:themeFillTint="66"/>
        <w:jc w:val="center"/>
        <w:outlineLvl w:val="0"/>
        <w:rPr>
          <w:rFonts w:ascii="Times New Roman" w:hAnsi="Times New Roman" w:cs="Times New Roman"/>
          <w:b/>
          <w:sz w:val="28"/>
        </w:rPr>
      </w:pPr>
      <w:bookmarkStart w:id="1810" w:name="_Toc81571932"/>
      <w:r>
        <w:rPr>
          <w:rFonts w:ascii="Times New Roman" w:hAnsi="Times New Roman" w:cs="Times New Roman"/>
          <w:b/>
          <w:sz w:val="28"/>
        </w:rPr>
        <w:t>Estadísticas de las finanzas públicas conforme a l</w:t>
      </w:r>
      <w:r w:rsidRPr="00E92084">
        <w:rPr>
          <w:rFonts w:ascii="Times New Roman" w:hAnsi="Times New Roman" w:cs="Times New Roman"/>
          <w:b/>
          <w:sz w:val="28"/>
        </w:rPr>
        <w:t>os estándares internacionales</w:t>
      </w:r>
      <w:bookmarkEnd w:id="1810"/>
      <w:r w:rsidRPr="00E92084">
        <w:rPr>
          <w:rFonts w:ascii="Times New Roman" w:hAnsi="Times New Roman" w:cs="Times New Roman"/>
          <w:b/>
          <w:sz w:val="28"/>
        </w:rPr>
        <w:t xml:space="preserve"> </w:t>
      </w:r>
    </w:p>
    <w:p w14:paraId="48FDA3CD" w14:textId="77777777" w:rsidR="00646716" w:rsidRPr="007D1C3D" w:rsidRDefault="00646716" w:rsidP="00646716">
      <w:pPr>
        <w:autoSpaceDE w:val="0"/>
        <w:autoSpaceDN w:val="0"/>
        <w:adjustRightInd w:val="0"/>
        <w:spacing w:after="0" w:line="240" w:lineRule="auto"/>
        <w:jc w:val="both"/>
        <w:rPr>
          <w:rFonts w:ascii="Times New Roman" w:eastAsia="Times New Roman" w:hAnsi="Times New Roman" w:cs="Times New Roman"/>
          <w:noProof/>
          <w:lang w:eastAsia="es-GT"/>
        </w:rPr>
      </w:pPr>
      <w:r w:rsidRPr="007D1C3D">
        <w:rPr>
          <w:rFonts w:ascii="Times New Roman" w:eastAsia="Times New Roman" w:hAnsi="Times New Roman" w:cs="Times New Roman"/>
          <w:noProof/>
          <w:lang w:eastAsia="es-GT"/>
        </w:rPr>
        <w:t>Guatemala paulatinamente se encuentra migrando a la implementación de las normas int</w:t>
      </w:r>
      <w:r>
        <w:rPr>
          <w:rFonts w:ascii="Times New Roman" w:eastAsia="Times New Roman" w:hAnsi="Times New Roman" w:cs="Times New Roman"/>
          <w:noProof/>
          <w:lang w:eastAsia="es-GT"/>
        </w:rPr>
        <w:t>e</w:t>
      </w:r>
      <w:r w:rsidRPr="007D1C3D">
        <w:rPr>
          <w:rFonts w:ascii="Times New Roman" w:eastAsia="Times New Roman" w:hAnsi="Times New Roman" w:cs="Times New Roman"/>
          <w:noProof/>
          <w:lang w:eastAsia="es-GT"/>
        </w:rPr>
        <w:t xml:space="preserve">rnacionales mas recientes, establecidas por el Fondo Monetario Internacional -FMI- en el Manual de Estadísticas de las Finanzas Públicas -MEFP- con su versión de 2014. En este sentido, es importante comprender que el MEFP es un conjunto de directrices que establecen una metodología para compilar y presentar la información de las de Estadísticas de las Finanzas Públicas -EFP-. </w:t>
      </w:r>
    </w:p>
    <w:p w14:paraId="4581BAB3" w14:textId="77777777" w:rsidR="00646716" w:rsidRPr="007D1C3D" w:rsidRDefault="00646716" w:rsidP="00646716">
      <w:pPr>
        <w:autoSpaceDE w:val="0"/>
        <w:autoSpaceDN w:val="0"/>
        <w:adjustRightInd w:val="0"/>
        <w:spacing w:after="0" w:line="240" w:lineRule="auto"/>
        <w:jc w:val="both"/>
        <w:rPr>
          <w:rFonts w:ascii="Times New Roman" w:eastAsia="Times New Roman" w:hAnsi="Times New Roman" w:cs="Times New Roman"/>
          <w:noProof/>
          <w:lang w:eastAsia="es-GT"/>
        </w:rPr>
      </w:pPr>
    </w:p>
    <w:p w14:paraId="1CE44CF5" w14:textId="484470A5" w:rsidR="00646716" w:rsidRPr="007D1C3D" w:rsidRDefault="00646716" w:rsidP="00646716">
      <w:pPr>
        <w:autoSpaceDE w:val="0"/>
        <w:autoSpaceDN w:val="0"/>
        <w:adjustRightInd w:val="0"/>
        <w:spacing w:after="0" w:line="240" w:lineRule="auto"/>
        <w:jc w:val="both"/>
        <w:rPr>
          <w:rFonts w:ascii="Times New Roman" w:eastAsia="Times New Roman" w:hAnsi="Times New Roman" w:cs="Times New Roman"/>
          <w:noProof/>
          <w:lang w:eastAsia="es-GT"/>
        </w:rPr>
      </w:pPr>
      <w:r w:rsidRPr="007D1C3D">
        <w:rPr>
          <w:rFonts w:ascii="Times New Roman" w:eastAsia="Times New Roman" w:hAnsi="Times New Roman" w:cs="Times New Roman"/>
          <w:noProof/>
          <w:lang w:eastAsia="es-GT"/>
        </w:rPr>
        <w:t>Cabe res</w:t>
      </w:r>
      <w:r>
        <w:rPr>
          <w:rFonts w:ascii="Times New Roman" w:eastAsia="Times New Roman" w:hAnsi="Times New Roman" w:cs="Times New Roman"/>
          <w:noProof/>
          <w:lang w:eastAsia="es-GT"/>
        </w:rPr>
        <w:t>a</w:t>
      </w:r>
      <w:r w:rsidRPr="007D1C3D">
        <w:rPr>
          <w:rFonts w:ascii="Times New Roman" w:eastAsia="Times New Roman" w:hAnsi="Times New Roman" w:cs="Times New Roman"/>
          <w:noProof/>
          <w:lang w:eastAsia="es-GT"/>
        </w:rPr>
        <w:t xml:space="preserve">ltar que la información estadística que es generada actualmente tiene </w:t>
      </w:r>
      <w:r>
        <w:rPr>
          <w:rFonts w:ascii="Times New Roman" w:eastAsia="Times New Roman" w:hAnsi="Times New Roman" w:cs="Times New Roman"/>
          <w:noProof/>
          <w:lang w:eastAsia="es-GT"/>
        </w:rPr>
        <w:t>cierta</w:t>
      </w:r>
      <w:r w:rsidRPr="007D1C3D">
        <w:rPr>
          <w:rFonts w:ascii="Times New Roman" w:eastAsia="Times New Roman" w:hAnsi="Times New Roman" w:cs="Times New Roman"/>
          <w:noProof/>
          <w:lang w:eastAsia="es-GT"/>
        </w:rPr>
        <w:t xml:space="preserve"> semejanza con la versión original de 1986 del MEFP</w:t>
      </w:r>
      <w:r>
        <w:rPr>
          <w:rFonts w:ascii="Times New Roman" w:eastAsia="Times New Roman" w:hAnsi="Times New Roman" w:cs="Times New Roman"/>
          <w:noProof/>
          <w:lang w:eastAsia="es-GT"/>
        </w:rPr>
        <w:t>, que es como se han presentado las cifras oficiales de Guatemala.</w:t>
      </w:r>
      <w:r w:rsidRPr="007D1C3D">
        <w:rPr>
          <w:rFonts w:ascii="Times New Roman" w:eastAsia="Times New Roman" w:hAnsi="Times New Roman" w:cs="Times New Roman"/>
          <w:noProof/>
          <w:lang w:eastAsia="es-GT"/>
        </w:rPr>
        <w:t xml:space="preserve"> </w:t>
      </w:r>
      <w:r>
        <w:rPr>
          <w:rFonts w:ascii="Times New Roman" w:eastAsia="Times New Roman" w:hAnsi="Times New Roman" w:cs="Times New Roman"/>
          <w:noProof/>
          <w:lang w:eastAsia="es-GT"/>
        </w:rPr>
        <w:t>E</w:t>
      </w:r>
      <w:r w:rsidRPr="007D1C3D">
        <w:rPr>
          <w:rFonts w:ascii="Times New Roman" w:eastAsia="Times New Roman" w:hAnsi="Times New Roman" w:cs="Times New Roman"/>
          <w:noProof/>
          <w:lang w:eastAsia="es-GT"/>
        </w:rPr>
        <w:t xml:space="preserve">n este apartado, se presenta los avances obtenidos hasta el momento en la implementación de las directrices mas recientes de 2014 y se debe de tener </w:t>
      </w:r>
      <w:r>
        <w:rPr>
          <w:rFonts w:ascii="Times New Roman" w:eastAsia="Times New Roman" w:hAnsi="Times New Roman" w:cs="Times New Roman"/>
          <w:noProof/>
          <w:lang w:eastAsia="es-GT"/>
        </w:rPr>
        <w:t xml:space="preserve">en </w:t>
      </w:r>
      <w:r w:rsidRPr="007D1C3D">
        <w:rPr>
          <w:rFonts w:ascii="Times New Roman" w:eastAsia="Times New Roman" w:hAnsi="Times New Roman" w:cs="Times New Roman"/>
          <w:noProof/>
          <w:lang w:eastAsia="es-GT"/>
        </w:rPr>
        <w:t xml:space="preserve">consideración que dicha metodología aun se encuentra en un proceso de desarrollo </w:t>
      </w:r>
      <w:r>
        <w:rPr>
          <w:rFonts w:ascii="Times New Roman" w:eastAsia="Times New Roman" w:hAnsi="Times New Roman" w:cs="Times New Roman"/>
          <w:noProof/>
          <w:lang w:eastAsia="es-GT"/>
        </w:rPr>
        <w:t xml:space="preserve">y perfeccionamiento </w:t>
      </w:r>
      <w:r w:rsidRPr="007D1C3D">
        <w:rPr>
          <w:rFonts w:ascii="Times New Roman" w:eastAsia="Times New Roman" w:hAnsi="Times New Roman" w:cs="Times New Roman"/>
          <w:noProof/>
          <w:lang w:eastAsia="es-GT"/>
        </w:rPr>
        <w:t>por lo cual, conforme el mismo continue avanzando se estará mejorando la informción asi como ampliando la cobertura de las mismas, es decir, incluir otras entidades que pertenecen al Sector Públi</w:t>
      </w:r>
      <w:r>
        <w:rPr>
          <w:rFonts w:ascii="Times New Roman" w:eastAsia="Times New Roman" w:hAnsi="Times New Roman" w:cs="Times New Roman"/>
          <w:noProof/>
          <w:lang w:eastAsia="es-GT"/>
        </w:rPr>
        <w:t>c</w:t>
      </w:r>
      <w:r w:rsidRPr="007D1C3D">
        <w:rPr>
          <w:rFonts w:ascii="Times New Roman" w:eastAsia="Times New Roman" w:hAnsi="Times New Roman" w:cs="Times New Roman"/>
          <w:noProof/>
          <w:lang w:eastAsia="es-GT"/>
        </w:rPr>
        <w:t xml:space="preserve">o. </w:t>
      </w:r>
    </w:p>
    <w:p w14:paraId="7D690401" w14:textId="77777777" w:rsidR="00646716" w:rsidRPr="007D1C3D" w:rsidRDefault="00646716" w:rsidP="00646716">
      <w:pPr>
        <w:autoSpaceDE w:val="0"/>
        <w:autoSpaceDN w:val="0"/>
        <w:adjustRightInd w:val="0"/>
        <w:spacing w:after="0" w:line="240" w:lineRule="auto"/>
        <w:jc w:val="both"/>
        <w:rPr>
          <w:rFonts w:ascii="Times New Roman" w:eastAsia="Times New Roman" w:hAnsi="Times New Roman" w:cs="Times New Roman"/>
          <w:noProof/>
          <w:lang w:eastAsia="es-GT"/>
        </w:rPr>
      </w:pPr>
    </w:p>
    <w:p w14:paraId="40CB92A0" w14:textId="6676A54E" w:rsidR="00646716" w:rsidRPr="007D1C3D" w:rsidRDefault="00646716" w:rsidP="00646716">
      <w:pPr>
        <w:autoSpaceDE w:val="0"/>
        <w:autoSpaceDN w:val="0"/>
        <w:adjustRightInd w:val="0"/>
        <w:spacing w:after="0" w:line="240" w:lineRule="auto"/>
        <w:jc w:val="both"/>
        <w:rPr>
          <w:rFonts w:ascii="Times New Roman" w:eastAsia="Times New Roman" w:hAnsi="Times New Roman" w:cs="Times New Roman"/>
          <w:color w:val="000000"/>
          <w:lang w:eastAsia="es-GT"/>
        </w:rPr>
      </w:pPr>
      <w:r w:rsidRPr="007D1C3D">
        <w:rPr>
          <w:rFonts w:ascii="Times New Roman" w:eastAsia="Times New Roman" w:hAnsi="Times New Roman" w:cs="Times New Roman"/>
          <w:noProof/>
          <w:lang w:eastAsia="es-GT"/>
        </w:rPr>
        <w:t>L</w:t>
      </w:r>
      <w:r w:rsidRPr="007D1C3D">
        <w:rPr>
          <w:rFonts w:ascii="Times New Roman" w:eastAsia="Times New Roman" w:hAnsi="Times New Roman" w:cs="Times New Roman"/>
          <w:color w:val="000000"/>
          <w:lang w:eastAsia="es-GT"/>
        </w:rPr>
        <w:t>a compilación estadística utiliza la metodología del 2014</w:t>
      </w:r>
      <w:r w:rsidR="00A62D19">
        <w:rPr>
          <w:rFonts w:ascii="Times New Roman" w:eastAsia="Times New Roman" w:hAnsi="Times New Roman" w:cs="Times New Roman"/>
          <w:color w:val="000000"/>
          <w:lang w:eastAsia="es-GT"/>
        </w:rPr>
        <w:t xml:space="preserve"> y</w:t>
      </w:r>
      <w:r w:rsidRPr="007D1C3D">
        <w:rPr>
          <w:rFonts w:ascii="Times New Roman" w:eastAsia="Times New Roman" w:hAnsi="Times New Roman" w:cs="Times New Roman"/>
          <w:color w:val="000000"/>
          <w:lang w:eastAsia="es-GT"/>
        </w:rPr>
        <w:t xml:space="preserve"> presenta importantes mejoras respecto a su versión original de</w:t>
      </w:r>
      <w:r w:rsidR="00A62D19">
        <w:rPr>
          <w:rFonts w:ascii="Times New Roman" w:eastAsia="Times New Roman" w:hAnsi="Times New Roman" w:cs="Times New Roman"/>
          <w:color w:val="000000"/>
          <w:lang w:eastAsia="es-GT"/>
        </w:rPr>
        <w:t xml:space="preserve"> </w:t>
      </w:r>
      <w:r w:rsidRPr="007D1C3D">
        <w:rPr>
          <w:rFonts w:ascii="Times New Roman" w:eastAsia="Times New Roman" w:hAnsi="Times New Roman" w:cs="Times New Roman"/>
          <w:color w:val="000000"/>
          <w:lang w:eastAsia="es-GT"/>
        </w:rPr>
        <w:t>1986. Para empezar, ésta permite tener una mejor integración de las cifras EFP con las demás cuentas macroeconómicas, elaboradas bajo los principios de devengo, específicamente, las estadísticas de balanza de pagos y posición de inversión internacional, las estadísticas monetarias y financieras, y el sistema de cuentas nacionales de Naciones Unidas</w:t>
      </w:r>
      <w:r w:rsidR="00A62D19">
        <w:rPr>
          <w:rFonts w:ascii="Times New Roman" w:eastAsia="Times New Roman" w:hAnsi="Times New Roman" w:cs="Times New Roman"/>
          <w:color w:val="000000"/>
          <w:lang w:eastAsia="es-GT"/>
        </w:rPr>
        <w:t xml:space="preserve">. </w:t>
      </w:r>
      <w:r>
        <w:rPr>
          <w:rFonts w:ascii="Times New Roman" w:eastAsia="Times New Roman" w:hAnsi="Times New Roman" w:cs="Times New Roman"/>
          <w:color w:val="000000"/>
          <w:lang w:eastAsia="es-GT"/>
        </w:rPr>
        <w:t>A</w:t>
      </w:r>
      <w:r w:rsidRPr="007D1C3D">
        <w:rPr>
          <w:rFonts w:ascii="Times New Roman" w:eastAsia="Times New Roman" w:hAnsi="Times New Roman" w:cs="Times New Roman"/>
          <w:color w:val="000000"/>
          <w:lang w:eastAsia="es-GT"/>
        </w:rPr>
        <w:t>demás de permitir la posibilidad de hacer una comparación de las estadísticas nacionales con otros países.</w:t>
      </w:r>
    </w:p>
    <w:p w14:paraId="5CC4CC21" w14:textId="77777777" w:rsidR="00646716" w:rsidRPr="007D1C3D" w:rsidRDefault="00646716" w:rsidP="00646716">
      <w:pPr>
        <w:autoSpaceDE w:val="0"/>
        <w:autoSpaceDN w:val="0"/>
        <w:adjustRightInd w:val="0"/>
        <w:spacing w:after="0" w:line="240" w:lineRule="auto"/>
        <w:jc w:val="both"/>
        <w:rPr>
          <w:rFonts w:ascii="Times New Roman" w:eastAsia="Times New Roman" w:hAnsi="Times New Roman" w:cs="Times New Roman"/>
          <w:noProof/>
          <w:lang w:eastAsia="es-GT"/>
        </w:rPr>
      </w:pPr>
    </w:p>
    <w:p w14:paraId="04D7FD30" w14:textId="2835A60A" w:rsidR="00646716" w:rsidRPr="007D1C3D" w:rsidRDefault="00646716" w:rsidP="00646716">
      <w:pPr>
        <w:autoSpaceDE w:val="0"/>
        <w:autoSpaceDN w:val="0"/>
        <w:adjustRightInd w:val="0"/>
        <w:spacing w:after="120" w:line="256" w:lineRule="auto"/>
        <w:jc w:val="both"/>
        <w:rPr>
          <w:rFonts w:ascii="Times New Roman" w:eastAsia="Calibri" w:hAnsi="Times New Roman" w:cs="Times New Roman"/>
        </w:rPr>
      </w:pPr>
      <w:r w:rsidRPr="007D1C3D">
        <w:rPr>
          <w:rFonts w:ascii="Times New Roman" w:eastAsia="Calibri" w:hAnsi="Times New Roman" w:cs="Times New Roman"/>
        </w:rPr>
        <w:t>Es oportuno indicar que las cifras que se muestran a continuación corresponden a lo que se denomina Gobierno Central</w:t>
      </w:r>
      <w:r>
        <w:rPr>
          <w:rFonts w:ascii="Times New Roman" w:eastAsia="Calibri" w:hAnsi="Times New Roman" w:cs="Times New Roman"/>
        </w:rPr>
        <w:t xml:space="preserve"> Presupuestario y Gobierno General</w:t>
      </w:r>
      <w:r w:rsidRPr="007D1C3D">
        <w:rPr>
          <w:rFonts w:ascii="Times New Roman" w:eastAsia="Calibri" w:hAnsi="Times New Roman" w:cs="Times New Roman"/>
        </w:rPr>
        <w:t xml:space="preserve"> en los estándares internaciones</w:t>
      </w:r>
      <w:r>
        <w:rPr>
          <w:rFonts w:ascii="Times New Roman" w:eastAsia="Calibri" w:hAnsi="Times New Roman" w:cs="Times New Roman"/>
        </w:rPr>
        <w:t xml:space="preserve">. En el caso del primero, se incluyen a </w:t>
      </w:r>
      <w:r w:rsidRPr="007D1C3D">
        <w:rPr>
          <w:rFonts w:ascii="Times New Roman" w:eastAsia="Calibri" w:hAnsi="Times New Roman" w:cs="Times New Roman"/>
        </w:rPr>
        <w:t xml:space="preserve">toda unidad de gobierno que dependan principalmente de un presupuesto principal o general, que en </w:t>
      </w:r>
      <w:r>
        <w:rPr>
          <w:rFonts w:ascii="Times New Roman" w:eastAsia="Calibri" w:hAnsi="Times New Roman" w:cs="Times New Roman"/>
        </w:rPr>
        <w:t xml:space="preserve">el </w:t>
      </w:r>
      <w:r w:rsidRPr="007D1C3D">
        <w:rPr>
          <w:rFonts w:ascii="Times New Roman" w:eastAsia="Calibri" w:hAnsi="Times New Roman" w:cs="Times New Roman"/>
        </w:rPr>
        <w:t>caso de Guatemala se entendería a las entidades que están incluidas en el Presupuesto General de Ingresos y Egresos del Estado (en este caso son la Presidencia de la República, Ministerios de Estado, Secretarías y Otras Depen</w:t>
      </w:r>
      <w:r w:rsidR="00A62D19">
        <w:rPr>
          <w:rFonts w:ascii="Times New Roman" w:eastAsia="Calibri" w:hAnsi="Times New Roman" w:cs="Times New Roman"/>
        </w:rPr>
        <w:t>dencias del Ejecutivo e incluye</w:t>
      </w:r>
      <w:r w:rsidRPr="007D1C3D">
        <w:rPr>
          <w:rFonts w:ascii="Times New Roman" w:eastAsia="Calibri" w:hAnsi="Times New Roman" w:cs="Times New Roman"/>
        </w:rPr>
        <w:t xml:space="preserve"> a la Procuraduría General de la Nación)</w:t>
      </w:r>
      <w:r w:rsidR="00A62D19">
        <w:rPr>
          <w:rFonts w:ascii="Times New Roman" w:eastAsia="Calibri" w:hAnsi="Times New Roman" w:cs="Times New Roman"/>
        </w:rPr>
        <w:t>,</w:t>
      </w:r>
      <w:r>
        <w:rPr>
          <w:rFonts w:ascii="Times New Roman" w:eastAsia="Calibri" w:hAnsi="Times New Roman" w:cs="Times New Roman"/>
        </w:rPr>
        <w:t xml:space="preserve"> mientras que para Gobierno General se adiciona a las entidad</w:t>
      </w:r>
      <w:r w:rsidR="00A62D19">
        <w:rPr>
          <w:rFonts w:ascii="Times New Roman" w:eastAsia="Calibri" w:hAnsi="Times New Roman" w:cs="Times New Roman"/>
        </w:rPr>
        <w:t>es</w:t>
      </w:r>
      <w:r>
        <w:rPr>
          <w:rFonts w:ascii="Times New Roman" w:eastAsia="Calibri" w:hAnsi="Times New Roman" w:cs="Times New Roman"/>
        </w:rPr>
        <w:t xml:space="preserve"> que conforman el Gobierno Central Extrapresupuestario (entidades descentralizadas y autónomas), los Gobierno Locales (municipalidades y mancomunidades) y los Fondos de Seguridad Social (incluye el Instituto Guatemalteco de Seguridad Social, Institución de Previsión Militar y el Plan de Prestaciones del Empleado Municipal) y se presenta con cifras consolidadas, es decir, se elimina las transacciones recíprocas entre las unidades institucionales que la conforman</w:t>
      </w:r>
      <w:r w:rsidRPr="007D1C3D">
        <w:rPr>
          <w:rFonts w:ascii="Times New Roman" w:eastAsia="Calibri" w:hAnsi="Times New Roman" w:cs="Times New Roman"/>
        </w:rPr>
        <w:t>.</w:t>
      </w:r>
    </w:p>
    <w:p w14:paraId="6D18BCD4" w14:textId="77777777" w:rsidR="00646716" w:rsidRPr="00E92084" w:rsidRDefault="00646716" w:rsidP="001D1FFA">
      <w:pPr>
        <w:pStyle w:val="Prrafodelista"/>
        <w:spacing w:after="0" w:line="240" w:lineRule="auto"/>
        <w:jc w:val="both"/>
        <w:rPr>
          <w:rFonts w:ascii="Times New Roman" w:eastAsia="Calibri" w:hAnsi="Times New Roman" w:cs="Times New Roman"/>
          <w:b/>
        </w:rPr>
      </w:pPr>
      <w:r w:rsidRPr="00E92084">
        <w:rPr>
          <w:rFonts w:ascii="Times New Roman" w:eastAsia="Calibri" w:hAnsi="Times New Roman" w:cs="Times New Roman"/>
          <w:b/>
        </w:rPr>
        <w:t xml:space="preserve">Los Ingresos </w:t>
      </w:r>
      <w:r>
        <w:rPr>
          <w:rFonts w:ascii="Times New Roman" w:eastAsia="Calibri" w:hAnsi="Times New Roman" w:cs="Times New Roman"/>
          <w:b/>
        </w:rPr>
        <w:t>del Gobierno Central Presupuestario</w:t>
      </w:r>
    </w:p>
    <w:p w14:paraId="6910F92A" w14:textId="77777777" w:rsidR="00646716" w:rsidRPr="00646716" w:rsidRDefault="00646716" w:rsidP="00646716">
      <w:pPr>
        <w:spacing w:after="0" w:line="256" w:lineRule="auto"/>
        <w:jc w:val="both"/>
        <w:rPr>
          <w:rFonts w:ascii="Times New Roman" w:eastAsia="Calibri" w:hAnsi="Times New Roman" w:cs="Times New Roman"/>
          <w:sz w:val="14"/>
        </w:rPr>
      </w:pPr>
    </w:p>
    <w:p w14:paraId="4B33ACAE" w14:textId="77777777" w:rsidR="00646716" w:rsidRDefault="00646716" w:rsidP="00646716">
      <w:pPr>
        <w:spacing w:after="0" w:line="256" w:lineRule="auto"/>
        <w:jc w:val="both"/>
        <w:rPr>
          <w:rFonts w:ascii="Times New Roman" w:eastAsia="Calibri" w:hAnsi="Times New Roman" w:cs="Times New Roman"/>
        </w:rPr>
      </w:pPr>
      <w:r w:rsidRPr="007D1C3D">
        <w:rPr>
          <w:rFonts w:ascii="Times New Roman" w:eastAsia="Calibri" w:hAnsi="Times New Roman" w:cs="Times New Roman"/>
        </w:rPr>
        <w:t>En los estándares internacionales, se ent</w:t>
      </w:r>
      <w:r>
        <w:rPr>
          <w:rFonts w:ascii="Times New Roman" w:eastAsia="Calibri" w:hAnsi="Times New Roman" w:cs="Times New Roman"/>
        </w:rPr>
        <w:t>enderá</w:t>
      </w:r>
      <w:r w:rsidRPr="007D1C3D">
        <w:rPr>
          <w:rFonts w:ascii="Times New Roman" w:eastAsia="Calibri" w:hAnsi="Times New Roman" w:cs="Times New Roman"/>
        </w:rPr>
        <w:t xml:space="preserve"> como un ingreso a tod</w:t>
      </w:r>
      <w:r>
        <w:rPr>
          <w:rFonts w:ascii="Times New Roman" w:eastAsia="Calibri" w:hAnsi="Times New Roman" w:cs="Times New Roman"/>
        </w:rPr>
        <w:t>a transacción que genere un</w:t>
      </w:r>
      <w:r w:rsidRPr="007D1C3D">
        <w:rPr>
          <w:rFonts w:ascii="Times New Roman" w:eastAsia="Calibri" w:hAnsi="Times New Roman" w:cs="Times New Roman"/>
        </w:rPr>
        <w:t xml:space="preserve"> aumento en el patrimonio neto</w:t>
      </w:r>
      <w:r>
        <w:rPr>
          <w:rFonts w:ascii="Times New Roman" w:eastAsia="Calibri" w:hAnsi="Times New Roman" w:cs="Times New Roman"/>
        </w:rPr>
        <w:t>. Por lo tanto, l</w:t>
      </w:r>
      <w:r w:rsidRPr="007D1C3D">
        <w:rPr>
          <w:rFonts w:ascii="Times New Roman" w:eastAsia="Calibri" w:hAnsi="Times New Roman" w:cs="Times New Roman"/>
        </w:rPr>
        <w:t xml:space="preserve">os ingresos </w:t>
      </w:r>
      <w:r>
        <w:rPr>
          <w:rFonts w:ascii="Times New Roman" w:eastAsia="Calibri" w:hAnsi="Times New Roman" w:cs="Times New Roman"/>
        </w:rPr>
        <w:t xml:space="preserve">totales </w:t>
      </w:r>
      <w:r w:rsidRPr="007D1C3D">
        <w:rPr>
          <w:rFonts w:ascii="Times New Roman" w:eastAsia="Calibri" w:hAnsi="Times New Roman" w:cs="Times New Roman"/>
        </w:rPr>
        <w:t xml:space="preserve">del Gobierno Central Presupuestario </w:t>
      </w:r>
      <w:r>
        <w:rPr>
          <w:rFonts w:ascii="Times New Roman" w:eastAsia="Calibri" w:hAnsi="Times New Roman" w:cs="Times New Roman"/>
        </w:rPr>
        <w:t xml:space="preserve">para el año 2020 son equivalentes al </w:t>
      </w:r>
      <w:r w:rsidRPr="007D1C3D">
        <w:rPr>
          <w:rFonts w:ascii="Times New Roman" w:eastAsia="Calibri" w:hAnsi="Times New Roman" w:cs="Times New Roman"/>
        </w:rPr>
        <w:t xml:space="preserve">11% </w:t>
      </w:r>
      <w:r>
        <w:rPr>
          <w:rFonts w:ascii="Times New Roman" w:eastAsia="Calibri" w:hAnsi="Times New Roman" w:cs="Times New Roman"/>
        </w:rPr>
        <w:t xml:space="preserve">del PIB y esta cifra es mayor a los 10.7% que se observa en la metodología nacional. </w:t>
      </w:r>
    </w:p>
    <w:p w14:paraId="187462AF" w14:textId="77777777" w:rsidR="00646716" w:rsidRDefault="00646716" w:rsidP="00646716">
      <w:pPr>
        <w:spacing w:after="0" w:line="256" w:lineRule="auto"/>
        <w:jc w:val="both"/>
        <w:rPr>
          <w:rFonts w:ascii="Times New Roman" w:eastAsia="Calibri" w:hAnsi="Times New Roman" w:cs="Times New Roman"/>
        </w:rPr>
      </w:pPr>
    </w:p>
    <w:p w14:paraId="43FA9463" w14:textId="273C70B5" w:rsidR="00646716" w:rsidRPr="0092522C" w:rsidRDefault="00646716" w:rsidP="00646716">
      <w:pPr>
        <w:spacing w:after="0" w:line="256" w:lineRule="auto"/>
        <w:jc w:val="both"/>
        <w:rPr>
          <w:rFonts w:ascii="Times New Roman" w:eastAsia="Calibri" w:hAnsi="Times New Roman" w:cs="Times New Roman"/>
        </w:rPr>
      </w:pPr>
      <w:r>
        <w:rPr>
          <w:rFonts w:ascii="Times New Roman" w:eastAsia="Calibri" w:hAnsi="Times New Roman" w:cs="Times New Roman"/>
        </w:rPr>
        <w:t>La principal diferencia entre estas cifras se explica por qué e</w:t>
      </w:r>
      <w:r w:rsidRPr="0092522C">
        <w:rPr>
          <w:rFonts w:ascii="Times New Roman" w:eastAsia="Calibri" w:hAnsi="Times New Roman" w:cs="Times New Roman"/>
        </w:rPr>
        <w:t>n los estándares internacionales</w:t>
      </w:r>
      <w:r>
        <w:rPr>
          <w:rFonts w:ascii="Times New Roman" w:eastAsia="Calibri" w:hAnsi="Times New Roman" w:cs="Times New Roman"/>
        </w:rPr>
        <w:t>,</w:t>
      </w:r>
      <w:r w:rsidRPr="0092522C">
        <w:rPr>
          <w:rFonts w:ascii="Times New Roman" w:eastAsia="Calibri" w:hAnsi="Times New Roman" w:cs="Times New Roman"/>
        </w:rPr>
        <w:t xml:space="preserve"> a los ingresos</w:t>
      </w:r>
      <w:r>
        <w:rPr>
          <w:rFonts w:ascii="Times New Roman" w:eastAsia="Calibri" w:hAnsi="Times New Roman" w:cs="Times New Roman"/>
        </w:rPr>
        <w:t xml:space="preserve"> por impuestos</w:t>
      </w:r>
      <w:r w:rsidRPr="0092522C">
        <w:rPr>
          <w:rFonts w:ascii="Times New Roman" w:eastAsia="Calibri" w:hAnsi="Times New Roman" w:cs="Times New Roman"/>
        </w:rPr>
        <w:t xml:space="preserve"> se les resta </w:t>
      </w:r>
      <w:r>
        <w:rPr>
          <w:rFonts w:ascii="Times New Roman" w:eastAsia="Calibri" w:hAnsi="Times New Roman" w:cs="Times New Roman"/>
        </w:rPr>
        <w:t>el monto de las</w:t>
      </w:r>
      <w:r w:rsidRPr="0092522C">
        <w:rPr>
          <w:rFonts w:ascii="Times New Roman" w:eastAsia="Calibri" w:hAnsi="Times New Roman" w:cs="Times New Roman"/>
        </w:rPr>
        <w:t xml:space="preserve"> devoluciones</w:t>
      </w:r>
      <w:r>
        <w:rPr>
          <w:rFonts w:ascii="Times New Roman" w:eastAsia="Calibri" w:hAnsi="Times New Roman" w:cs="Times New Roman"/>
        </w:rPr>
        <w:t xml:space="preserve"> realizadas mientras que en la metodología nacional estas operaciones se consideran parte del </w:t>
      </w:r>
      <w:r w:rsidRPr="0092522C">
        <w:rPr>
          <w:rFonts w:ascii="Times New Roman" w:eastAsia="Calibri" w:hAnsi="Times New Roman" w:cs="Times New Roman"/>
        </w:rPr>
        <w:t>gasto</w:t>
      </w:r>
      <w:r>
        <w:rPr>
          <w:rFonts w:ascii="Times New Roman" w:eastAsia="Calibri" w:hAnsi="Times New Roman" w:cs="Times New Roman"/>
        </w:rPr>
        <w:t xml:space="preserve"> público. Adicionalmente en el estándar internacional, se incluye en el ingreso el concepto de contribuciones sociales imputadas y las cuales consiste en registrar el</w:t>
      </w:r>
      <w:r w:rsidRPr="0092522C">
        <w:rPr>
          <w:rFonts w:ascii="Times New Roman" w:eastAsia="Calibri" w:hAnsi="Times New Roman" w:cs="Times New Roman"/>
        </w:rPr>
        <w:t xml:space="preserve"> aporte que realiza el Estado para </w:t>
      </w:r>
      <w:r>
        <w:rPr>
          <w:rFonts w:ascii="Times New Roman" w:eastAsia="Calibri" w:hAnsi="Times New Roman" w:cs="Times New Roman"/>
        </w:rPr>
        <w:t>realizar el</w:t>
      </w:r>
      <w:r w:rsidRPr="0092522C">
        <w:rPr>
          <w:rFonts w:ascii="Times New Roman" w:eastAsia="Calibri" w:hAnsi="Times New Roman" w:cs="Times New Roman"/>
        </w:rPr>
        <w:t xml:space="preserve"> pago de indemnizaciones, prestaciones póstumas, pago de vacaciones por retiro, la ayuda para funerales,</w:t>
      </w:r>
      <w:r>
        <w:rPr>
          <w:rFonts w:ascii="Times New Roman" w:eastAsia="Calibri" w:hAnsi="Times New Roman" w:cs="Times New Roman"/>
        </w:rPr>
        <w:t xml:space="preserve"> el complemento necesario para cumplir con </w:t>
      </w:r>
      <w:r w:rsidRPr="0092522C">
        <w:rPr>
          <w:rFonts w:ascii="Times New Roman" w:eastAsia="Calibri" w:hAnsi="Times New Roman" w:cs="Times New Roman"/>
        </w:rPr>
        <w:t>las pensiones y las jubilaciones otorgadas a los empleados.</w:t>
      </w:r>
    </w:p>
    <w:p w14:paraId="7F1B785F" w14:textId="77777777" w:rsidR="00646716" w:rsidRDefault="00646716" w:rsidP="00646716">
      <w:pPr>
        <w:spacing w:after="0" w:line="256" w:lineRule="auto"/>
        <w:jc w:val="both"/>
        <w:rPr>
          <w:rFonts w:ascii="Times New Roman" w:eastAsia="Calibri" w:hAnsi="Times New Roman" w:cs="Times New Roman"/>
        </w:rPr>
      </w:pPr>
    </w:p>
    <w:p w14:paraId="5BE5CF9E" w14:textId="77777777" w:rsidR="00646716" w:rsidRDefault="00646716" w:rsidP="00646716">
      <w:pPr>
        <w:spacing w:after="0" w:line="256" w:lineRule="auto"/>
        <w:jc w:val="both"/>
        <w:rPr>
          <w:rFonts w:ascii="Times New Roman" w:eastAsia="Calibri" w:hAnsi="Times New Roman" w:cs="Times New Roman"/>
        </w:rPr>
      </w:pPr>
      <w:r>
        <w:rPr>
          <w:rFonts w:ascii="Times New Roman" w:eastAsia="Calibri" w:hAnsi="Times New Roman" w:cs="Times New Roman"/>
        </w:rPr>
        <w:t>Otros cambios metodológicos que explican las variaciones entre metodología, es que la extinción de dominio y las ganancias por operaciones cambiarias dejan de formar parte de los ingresos y pasan a formar parte de la categoría de otros flujos económicos. Cabe mencionar que de momento aún no se ha podido implementar esta categoría en las EFP según Estándares Internacionales</w:t>
      </w:r>
      <w:r w:rsidRPr="007D1C3D">
        <w:rPr>
          <w:rFonts w:ascii="Times New Roman" w:eastAsia="Calibri" w:hAnsi="Times New Roman" w:cs="Times New Roman"/>
        </w:rPr>
        <w:t xml:space="preserve">. </w:t>
      </w:r>
    </w:p>
    <w:p w14:paraId="1A5ACB06" w14:textId="77777777" w:rsidR="00646716" w:rsidRDefault="00646716" w:rsidP="00646716">
      <w:pPr>
        <w:spacing w:after="0" w:line="256" w:lineRule="auto"/>
        <w:jc w:val="both"/>
        <w:rPr>
          <w:rFonts w:ascii="Times New Roman" w:eastAsia="Calibri" w:hAnsi="Times New Roman" w:cs="Times New Roman"/>
        </w:rPr>
      </w:pPr>
    </w:p>
    <w:p w14:paraId="282B6ADD" w14:textId="007B2ACC" w:rsidR="00646716" w:rsidRDefault="00646716" w:rsidP="00646716">
      <w:pPr>
        <w:spacing w:after="0" w:line="256" w:lineRule="auto"/>
        <w:jc w:val="both"/>
        <w:rPr>
          <w:rFonts w:ascii="Times New Roman" w:eastAsia="Calibri" w:hAnsi="Times New Roman" w:cs="Times New Roman"/>
        </w:rPr>
      </w:pPr>
      <w:r>
        <w:rPr>
          <w:rFonts w:ascii="Times New Roman" w:eastAsia="Calibri" w:hAnsi="Times New Roman" w:cs="Times New Roman"/>
        </w:rPr>
        <w:t>Los ingresos en los estándares internacion</w:t>
      </w:r>
      <w:r w:rsidR="00B53E61">
        <w:rPr>
          <w:rFonts w:ascii="Times New Roman" w:eastAsia="Calibri" w:hAnsi="Times New Roman" w:cs="Times New Roman"/>
        </w:rPr>
        <w:t>al</w:t>
      </w:r>
      <w:r>
        <w:rPr>
          <w:rFonts w:ascii="Times New Roman" w:eastAsia="Calibri" w:hAnsi="Times New Roman" w:cs="Times New Roman"/>
        </w:rPr>
        <w:t>es se pueden dividir en:</w:t>
      </w:r>
    </w:p>
    <w:p w14:paraId="24AF7747" w14:textId="77777777" w:rsidR="00646716" w:rsidRDefault="00646716" w:rsidP="00646716">
      <w:pPr>
        <w:spacing w:after="0" w:line="256" w:lineRule="auto"/>
        <w:jc w:val="both"/>
        <w:rPr>
          <w:rFonts w:ascii="Times New Roman" w:eastAsia="Calibri" w:hAnsi="Times New Roman" w:cs="Times New Roman"/>
        </w:rPr>
      </w:pPr>
    </w:p>
    <w:p w14:paraId="7A7FB435" w14:textId="4BBD0945" w:rsidR="00646716" w:rsidRDefault="00646716" w:rsidP="00646716">
      <w:pPr>
        <w:pStyle w:val="Sinespaciado"/>
        <w:numPr>
          <w:ilvl w:val="0"/>
          <w:numId w:val="48"/>
        </w:numPr>
        <w:ind w:left="360"/>
        <w:jc w:val="both"/>
        <w:rPr>
          <w:rFonts w:ascii="Times New Roman" w:hAnsi="Times New Roman" w:cs="Times New Roman"/>
        </w:rPr>
      </w:pPr>
      <w:r w:rsidRPr="00D96C79">
        <w:rPr>
          <w:rFonts w:ascii="Times New Roman" w:hAnsi="Times New Roman" w:cs="Times New Roman"/>
          <w:u w:val="single"/>
        </w:rPr>
        <w:t>Los impuestos</w:t>
      </w:r>
      <w:r>
        <w:rPr>
          <w:rFonts w:ascii="Times New Roman" w:hAnsi="Times New Roman" w:cs="Times New Roman"/>
        </w:rPr>
        <w:t>: estos asemejan a los ingresos tributarios en la metodología nacional, sin embargo,  la principal diferencia en los estándares internacionales es que los inte</w:t>
      </w:r>
      <w:r w:rsidR="00B53E61">
        <w:rPr>
          <w:rFonts w:ascii="Times New Roman" w:hAnsi="Times New Roman" w:cs="Times New Roman"/>
        </w:rPr>
        <w:t>re</w:t>
      </w:r>
      <w:r>
        <w:rPr>
          <w:rFonts w:ascii="Times New Roman" w:hAnsi="Times New Roman" w:cs="Times New Roman"/>
        </w:rPr>
        <w:t>s</w:t>
      </w:r>
      <w:r w:rsidR="00B53E61">
        <w:rPr>
          <w:rFonts w:ascii="Times New Roman" w:hAnsi="Times New Roman" w:cs="Times New Roman"/>
        </w:rPr>
        <w:t>es</w:t>
      </w:r>
      <w:r>
        <w:rPr>
          <w:rFonts w:ascii="Times New Roman" w:hAnsi="Times New Roman" w:cs="Times New Roman"/>
        </w:rPr>
        <w:t xml:space="preserve">, moras y multas que se recaudan por concepto de un impuesto, no puede ser considerado como parte del mismo y deben de ser clasificados en una cuenta aparte en la categoría de otros ingresos además, las </w:t>
      </w:r>
      <w:r w:rsidRPr="00E35543">
        <w:rPr>
          <w:rFonts w:ascii="Times New Roman" w:hAnsi="Times New Roman" w:cs="Times New Roman"/>
        </w:rPr>
        <w:t>regalías petroleras e hidrocarburos compartibles</w:t>
      </w:r>
      <w:r>
        <w:rPr>
          <w:rFonts w:ascii="Times New Roman" w:hAnsi="Times New Roman" w:cs="Times New Roman"/>
        </w:rPr>
        <w:t xml:space="preserve"> dejan de ser un impuesto para convertirse en arriendo de recursos naturales dentro de la categoría de otros ingresos. </w:t>
      </w:r>
    </w:p>
    <w:p w14:paraId="10315828" w14:textId="77777777" w:rsidR="00646716" w:rsidRDefault="00646716" w:rsidP="00646716">
      <w:pPr>
        <w:pStyle w:val="Sinespaciado"/>
        <w:ind w:left="360"/>
        <w:jc w:val="both"/>
        <w:rPr>
          <w:rFonts w:ascii="Times New Roman" w:hAnsi="Times New Roman" w:cs="Times New Roman"/>
        </w:rPr>
      </w:pPr>
    </w:p>
    <w:p w14:paraId="500FB698" w14:textId="77777777" w:rsidR="00646716" w:rsidRPr="00D96C79" w:rsidRDefault="00646716" w:rsidP="00646716">
      <w:pPr>
        <w:pStyle w:val="Sinespaciado"/>
        <w:ind w:left="360"/>
        <w:jc w:val="both"/>
        <w:rPr>
          <w:rFonts w:ascii="Times New Roman" w:hAnsi="Times New Roman" w:cs="Times New Roman"/>
        </w:rPr>
      </w:pPr>
      <w:r>
        <w:rPr>
          <w:rFonts w:ascii="Times New Roman" w:hAnsi="Times New Roman" w:cs="Times New Roman"/>
        </w:rPr>
        <w:t xml:space="preserve">Los impuestos a su vez </w:t>
      </w:r>
      <w:r w:rsidRPr="00D96C79">
        <w:rPr>
          <w:rFonts w:ascii="Times New Roman" w:hAnsi="Times New Roman" w:cs="Times New Roman"/>
        </w:rPr>
        <w:t xml:space="preserve">están divididos por la base sobre la que se cobra el impuesto:  </w:t>
      </w:r>
    </w:p>
    <w:p w14:paraId="05DCCAAD" w14:textId="77777777" w:rsidR="00646716" w:rsidRPr="00D96C79" w:rsidRDefault="00646716" w:rsidP="00646716">
      <w:pPr>
        <w:pStyle w:val="Sinespaciado"/>
        <w:jc w:val="both"/>
        <w:rPr>
          <w:rFonts w:ascii="Times New Roman" w:hAnsi="Times New Roman" w:cs="Times New Roman"/>
        </w:rPr>
      </w:pPr>
    </w:p>
    <w:p w14:paraId="02580014" w14:textId="77777777" w:rsidR="00646716" w:rsidRPr="00D96C79" w:rsidRDefault="00646716" w:rsidP="00646716">
      <w:pPr>
        <w:pStyle w:val="Sinespaciado"/>
        <w:numPr>
          <w:ilvl w:val="0"/>
          <w:numId w:val="49"/>
        </w:numPr>
        <w:jc w:val="both"/>
        <w:rPr>
          <w:rFonts w:ascii="Times New Roman" w:hAnsi="Times New Roman" w:cs="Times New Roman"/>
        </w:rPr>
      </w:pPr>
      <w:r w:rsidRPr="00D96C79">
        <w:rPr>
          <w:rFonts w:ascii="Times New Roman" w:hAnsi="Times New Roman" w:cs="Times New Roman"/>
        </w:rPr>
        <w:t>Impuesto sobre el ingreso, las utilidades y las ganancias</w:t>
      </w:r>
    </w:p>
    <w:p w14:paraId="0507BFB5" w14:textId="77777777" w:rsidR="00646716" w:rsidRPr="00D96C79" w:rsidRDefault="00646716" w:rsidP="00646716">
      <w:pPr>
        <w:pStyle w:val="Sinespaciado"/>
        <w:numPr>
          <w:ilvl w:val="0"/>
          <w:numId w:val="49"/>
        </w:numPr>
        <w:jc w:val="both"/>
        <w:rPr>
          <w:rFonts w:ascii="Times New Roman" w:hAnsi="Times New Roman" w:cs="Times New Roman"/>
        </w:rPr>
      </w:pPr>
      <w:r w:rsidRPr="00D96C79">
        <w:rPr>
          <w:rFonts w:ascii="Times New Roman" w:hAnsi="Times New Roman" w:cs="Times New Roman"/>
        </w:rPr>
        <w:t xml:space="preserve">Impuesto sobre la nómina salarial y la fuerza laboral </w:t>
      </w:r>
    </w:p>
    <w:p w14:paraId="15523E54" w14:textId="77777777" w:rsidR="00646716" w:rsidRPr="00D96C79" w:rsidRDefault="00646716" w:rsidP="00646716">
      <w:pPr>
        <w:pStyle w:val="Sinespaciado"/>
        <w:numPr>
          <w:ilvl w:val="0"/>
          <w:numId w:val="49"/>
        </w:numPr>
        <w:jc w:val="both"/>
        <w:rPr>
          <w:rFonts w:ascii="Times New Roman" w:hAnsi="Times New Roman" w:cs="Times New Roman"/>
        </w:rPr>
      </w:pPr>
      <w:r w:rsidRPr="00D96C79">
        <w:rPr>
          <w:rFonts w:ascii="Times New Roman" w:hAnsi="Times New Roman" w:cs="Times New Roman"/>
        </w:rPr>
        <w:t>Impuesto sobre la propiedad</w:t>
      </w:r>
    </w:p>
    <w:p w14:paraId="0F2DD023" w14:textId="77777777" w:rsidR="00646716" w:rsidRPr="00D96C79" w:rsidRDefault="00646716" w:rsidP="00646716">
      <w:pPr>
        <w:pStyle w:val="Sinespaciado"/>
        <w:numPr>
          <w:ilvl w:val="0"/>
          <w:numId w:val="49"/>
        </w:numPr>
        <w:jc w:val="both"/>
        <w:rPr>
          <w:rFonts w:ascii="Times New Roman" w:hAnsi="Times New Roman" w:cs="Times New Roman"/>
        </w:rPr>
      </w:pPr>
      <w:r w:rsidRPr="00D96C79">
        <w:rPr>
          <w:rFonts w:ascii="Times New Roman" w:hAnsi="Times New Roman" w:cs="Times New Roman"/>
        </w:rPr>
        <w:t>Impuesto sobre los bienes y servicios</w:t>
      </w:r>
    </w:p>
    <w:p w14:paraId="6B9678B6" w14:textId="77777777" w:rsidR="00646716" w:rsidRPr="00D96C79" w:rsidRDefault="00646716" w:rsidP="00646716">
      <w:pPr>
        <w:pStyle w:val="Sinespaciado"/>
        <w:numPr>
          <w:ilvl w:val="0"/>
          <w:numId w:val="49"/>
        </w:numPr>
        <w:jc w:val="both"/>
        <w:rPr>
          <w:rFonts w:ascii="Times New Roman" w:hAnsi="Times New Roman" w:cs="Times New Roman"/>
        </w:rPr>
      </w:pPr>
      <w:r w:rsidRPr="00D96C79">
        <w:rPr>
          <w:rFonts w:ascii="Times New Roman" w:hAnsi="Times New Roman" w:cs="Times New Roman"/>
        </w:rPr>
        <w:t xml:space="preserve">Impuesto sobre el comercio y las transacciones internacionales </w:t>
      </w:r>
    </w:p>
    <w:p w14:paraId="06A1C3D6" w14:textId="77777777" w:rsidR="00646716" w:rsidRPr="00D96C79" w:rsidRDefault="00646716" w:rsidP="00646716">
      <w:pPr>
        <w:pStyle w:val="Sinespaciado"/>
        <w:numPr>
          <w:ilvl w:val="0"/>
          <w:numId w:val="49"/>
        </w:numPr>
        <w:jc w:val="both"/>
        <w:rPr>
          <w:rFonts w:ascii="Times New Roman" w:hAnsi="Times New Roman" w:cs="Times New Roman"/>
        </w:rPr>
      </w:pPr>
      <w:r w:rsidRPr="00D96C79">
        <w:rPr>
          <w:rFonts w:ascii="Times New Roman" w:hAnsi="Times New Roman" w:cs="Times New Roman"/>
        </w:rPr>
        <w:t xml:space="preserve">Otros impuestos (demás).  </w:t>
      </w:r>
    </w:p>
    <w:p w14:paraId="06E29F38" w14:textId="77777777" w:rsidR="00646716" w:rsidRDefault="00646716" w:rsidP="00646716">
      <w:pPr>
        <w:pStyle w:val="Sinespaciado"/>
        <w:jc w:val="both"/>
        <w:rPr>
          <w:rFonts w:ascii="Times New Roman" w:hAnsi="Times New Roman" w:cs="Times New Roman"/>
        </w:rPr>
      </w:pPr>
    </w:p>
    <w:p w14:paraId="3F02DCD8" w14:textId="77777777" w:rsidR="00646716" w:rsidRDefault="00646716" w:rsidP="00646716">
      <w:pPr>
        <w:spacing w:line="256" w:lineRule="auto"/>
        <w:jc w:val="both"/>
        <w:rPr>
          <w:rFonts w:ascii="Times New Roman" w:eastAsia="Calibri" w:hAnsi="Times New Roman" w:cs="Times New Roman"/>
        </w:rPr>
      </w:pPr>
      <w:r>
        <w:rPr>
          <w:rFonts w:ascii="Times New Roman" w:eastAsia="Calibri" w:hAnsi="Times New Roman" w:cs="Times New Roman"/>
        </w:rPr>
        <w:t>Los ingresos por impuestos del Gobierno Central Presupuestario, para el año 2020, son del 10.0</w:t>
      </w:r>
      <w:r w:rsidRPr="007D1C3D">
        <w:rPr>
          <w:rFonts w:ascii="Times New Roman" w:eastAsia="Calibri" w:hAnsi="Times New Roman" w:cs="Times New Roman"/>
        </w:rPr>
        <w:t xml:space="preserve">% </w:t>
      </w:r>
      <w:r>
        <w:rPr>
          <w:rFonts w:ascii="Times New Roman" w:eastAsia="Calibri" w:hAnsi="Times New Roman" w:cs="Times New Roman"/>
        </w:rPr>
        <w:t xml:space="preserve">del PIB y </w:t>
      </w:r>
      <w:r w:rsidRPr="007D1C3D">
        <w:rPr>
          <w:rFonts w:ascii="Times New Roman" w:eastAsia="Calibri" w:hAnsi="Times New Roman" w:cs="Times New Roman"/>
        </w:rPr>
        <w:t>entre lo</w:t>
      </w:r>
      <w:r>
        <w:rPr>
          <w:rFonts w:ascii="Times New Roman" w:eastAsia="Calibri" w:hAnsi="Times New Roman" w:cs="Times New Roman"/>
        </w:rPr>
        <w:t>s más importantes se encuentran los i</w:t>
      </w:r>
      <w:r w:rsidRPr="001E29FF">
        <w:rPr>
          <w:rFonts w:ascii="Times New Roman" w:eastAsia="Calibri" w:hAnsi="Times New Roman" w:cs="Times New Roman"/>
        </w:rPr>
        <w:t>mpuestos sobre los bienes y servicios</w:t>
      </w:r>
      <w:r>
        <w:rPr>
          <w:rFonts w:ascii="Times New Roman" w:eastAsia="Calibri" w:hAnsi="Times New Roman" w:cs="Times New Roman"/>
        </w:rPr>
        <w:t xml:space="preserve"> que representan el 5.9% del PIB (en el cual se incluye al impuesto al valor agregado que equivale al 4.7% del PIB) y los impuestos sobre el ingreso, las utilidades y las ganancias son el 3.6% del PIB. </w:t>
      </w:r>
    </w:p>
    <w:p w14:paraId="6BDF1877" w14:textId="77777777" w:rsidR="00646716" w:rsidRDefault="00646716" w:rsidP="00646716">
      <w:pPr>
        <w:pStyle w:val="Sinespaciado"/>
        <w:numPr>
          <w:ilvl w:val="0"/>
          <w:numId w:val="48"/>
        </w:numPr>
        <w:ind w:left="360"/>
        <w:jc w:val="both"/>
        <w:rPr>
          <w:rFonts w:ascii="Times New Roman" w:hAnsi="Times New Roman" w:cs="Times New Roman"/>
        </w:rPr>
      </w:pPr>
      <w:r w:rsidRPr="00E16246">
        <w:rPr>
          <w:rFonts w:ascii="Times New Roman" w:hAnsi="Times New Roman" w:cs="Times New Roman"/>
          <w:u w:val="single"/>
        </w:rPr>
        <w:t>Las contribuciones sociales</w:t>
      </w:r>
      <w:r w:rsidRPr="00E16246">
        <w:rPr>
          <w:rFonts w:ascii="Times New Roman" w:hAnsi="Times New Roman" w:cs="Times New Roman"/>
        </w:rPr>
        <w:t xml:space="preserve"> son los ingresos recibidos por concepto de prestaciones sociales. Las mismas pueden ser imputadas o efectivas</w:t>
      </w:r>
      <w:r>
        <w:rPr>
          <w:rFonts w:ascii="Times New Roman" w:hAnsi="Times New Roman" w:cs="Times New Roman"/>
        </w:rPr>
        <w:t xml:space="preserve"> y </w:t>
      </w:r>
      <w:r w:rsidRPr="00E16246">
        <w:rPr>
          <w:rFonts w:ascii="Times New Roman" w:hAnsi="Times New Roman" w:cs="Times New Roman"/>
        </w:rPr>
        <w:t>se dividen en:</w:t>
      </w:r>
    </w:p>
    <w:p w14:paraId="68BA90CD" w14:textId="77777777" w:rsidR="00646716" w:rsidRDefault="00646716" w:rsidP="00646716">
      <w:pPr>
        <w:pStyle w:val="Sinespaciado"/>
        <w:ind w:left="360"/>
        <w:jc w:val="both"/>
        <w:rPr>
          <w:rFonts w:ascii="Times New Roman" w:hAnsi="Times New Roman" w:cs="Times New Roman"/>
        </w:rPr>
      </w:pPr>
    </w:p>
    <w:p w14:paraId="5852072D" w14:textId="77777777" w:rsidR="00646716" w:rsidRPr="00D96C79" w:rsidRDefault="00646716" w:rsidP="00646716">
      <w:pPr>
        <w:pStyle w:val="Sinespaciado"/>
        <w:numPr>
          <w:ilvl w:val="0"/>
          <w:numId w:val="49"/>
        </w:numPr>
        <w:jc w:val="both"/>
        <w:rPr>
          <w:rFonts w:ascii="Times New Roman" w:hAnsi="Times New Roman" w:cs="Times New Roman"/>
        </w:rPr>
      </w:pPr>
      <w:r>
        <w:rPr>
          <w:rFonts w:ascii="Times New Roman" w:hAnsi="Times New Roman" w:cs="Times New Roman"/>
        </w:rPr>
        <w:t>Contribuciones a la Seguridad Social</w:t>
      </w:r>
    </w:p>
    <w:p w14:paraId="5DEA291B" w14:textId="77777777" w:rsidR="00646716" w:rsidRDefault="00646716" w:rsidP="00646716">
      <w:pPr>
        <w:pStyle w:val="Sinespaciado"/>
        <w:numPr>
          <w:ilvl w:val="0"/>
          <w:numId w:val="49"/>
        </w:numPr>
        <w:jc w:val="both"/>
        <w:rPr>
          <w:rFonts w:ascii="Times New Roman" w:hAnsi="Times New Roman" w:cs="Times New Roman"/>
        </w:rPr>
      </w:pPr>
      <w:r>
        <w:rPr>
          <w:rFonts w:ascii="Times New Roman" w:hAnsi="Times New Roman" w:cs="Times New Roman"/>
        </w:rPr>
        <w:t>Otras Contribuciones Sociales</w:t>
      </w:r>
    </w:p>
    <w:p w14:paraId="7B37CFE4" w14:textId="77777777" w:rsidR="00646716" w:rsidRDefault="00646716" w:rsidP="00646716">
      <w:pPr>
        <w:pStyle w:val="Sinespaciado"/>
        <w:jc w:val="both"/>
        <w:rPr>
          <w:rFonts w:ascii="Times New Roman" w:hAnsi="Times New Roman" w:cs="Times New Roman"/>
        </w:rPr>
      </w:pPr>
    </w:p>
    <w:p w14:paraId="272F4AED" w14:textId="77777777" w:rsidR="00646716" w:rsidRDefault="00646716" w:rsidP="00646716">
      <w:pPr>
        <w:pStyle w:val="Sinespaciado"/>
        <w:jc w:val="both"/>
        <w:rPr>
          <w:rFonts w:ascii="Times New Roman" w:hAnsi="Times New Roman" w:cs="Times New Roman"/>
        </w:rPr>
      </w:pPr>
      <w:r>
        <w:rPr>
          <w:rFonts w:ascii="Times New Roman" w:hAnsi="Times New Roman" w:cs="Times New Roman"/>
        </w:rPr>
        <w:t>Las contribuciones sociales del Gobierno Central Presupuestario representan el 0.8% del PIB en 2020 y es importante mencionar que la totalidad proviene de Otras Contribuciones Sociales que, a su vez, está compuesta por c</w:t>
      </w:r>
      <w:r w:rsidRPr="00887488">
        <w:rPr>
          <w:rFonts w:ascii="Times New Roman" w:hAnsi="Times New Roman" w:cs="Times New Roman"/>
        </w:rPr>
        <w:t>ontribuciones de los empleados</w:t>
      </w:r>
      <w:r>
        <w:rPr>
          <w:rFonts w:ascii="Times New Roman" w:hAnsi="Times New Roman" w:cs="Times New Roman"/>
        </w:rPr>
        <w:t xml:space="preserve"> (0.4% del PIB), c</w:t>
      </w:r>
      <w:r w:rsidRPr="00887488">
        <w:rPr>
          <w:rFonts w:ascii="Times New Roman" w:hAnsi="Times New Roman" w:cs="Times New Roman"/>
        </w:rPr>
        <w:t>ontribuciones de los empleadores</w:t>
      </w:r>
      <w:r>
        <w:rPr>
          <w:rFonts w:ascii="Times New Roman" w:hAnsi="Times New Roman" w:cs="Times New Roman"/>
        </w:rPr>
        <w:t xml:space="preserve"> (0.01% del PIB) y las c</w:t>
      </w:r>
      <w:r w:rsidRPr="00887488">
        <w:rPr>
          <w:rFonts w:ascii="Times New Roman" w:hAnsi="Times New Roman" w:cs="Times New Roman"/>
        </w:rPr>
        <w:t>ontribuciones imputadas</w:t>
      </w:r>
      <w:r>
        <w:rPr>
          <w:rFonts w:ascii="Times New Roman" w:hAnsi="Times New Roman" w:cs="Times New Roman"/>
        </w:rPr>
        <w:t xml:space="preserve"> (0.39% del PIB). Esta última categoría es importante de explicar que se incluye en los estándares internacional ya que busca reflejar de mejor manera la naturaleza económica de las prestaciones otorgadas a los empleados por conceptos de </w:t>
      </w:r>
      <w:r w:rsidRPr="0092522C">
        <w:rPr>
          <w:rFonts w:ascii="Times New Roman" w:eastAsia="Calibri" w:hAnsi="Times New Roman" w:cs="Times New Roman"/>
        </w:rPr>
        <w:t>indemnizaciones, prestaciones póstumas, pago de vacaciones por retiro, la ayuda para funerales,</w:t>
      </w:r>
      <w:r>
        <w:rPr>
          <w:rFonts w:ascii="Times New Roman" w:eastAsia="Calibri" w:hAnsi="Times New Roman" w:cs="Times New Roman"/>
        </w:rPr>
        <w:t xml:space="preserve"> el complemento necesario para cumplir con el pago de</w:t>
      </w:r>
      <w:r w:rsidRPr="0092522C">
        <w:rPr>
          <w:rFonts w:ascii="Times New Roman" w:eastAsia="Calibri" w:hAnsi="Times New Roman" w:cs="Times New Roman"/>
        </w:rPr>
        <w:t xml:space="preserve"> pensiones y jubilaciones</w:t>
      </w:r>
      <w:r>
        <w:rPr>
          <w:rFonts w:ascii="Times New Roman" w:eastAsia="Calibri" w:hAnsi="Times New Roman" w:cs="Times New Roman"/>
        </w:rPr>
        <w:t xml:space="preserve"> que se les</w:t>
      </w:r>
      <w:r w:rsidRPr="0092522C">
        <w:rPr>
          <w:rFonts w:ascii="Times New Roman" w:eastAsia="Calibri" w:hAnsi="Times New Roman" w:cs="Times New Roman"/>
        </w:rPr>
        <w:t xml:space="preserve"> otorga a los empleados</w:t>
      </w:r>
      <w:r>
        <w:rPr>
          <w:rFonts w:ascii="Times New Roman" w:eastAsia="Calibri" w:hAnsi="Times New Roman" w:cs="Times New Roman"/>
        </w:rPr>
        <w:t xml:space="preserve"> públicos y que también forman parte de las Remuneraciones y las </w:t>
      </w:r>
      <w:r w:rsidRPr="00691658">
        <w:rPr>
          <w:rFonts w:ascii="Times New Roman" w:eastAsia="Calibri" w:hAnsi="Times New Roman" w:cs="Times New Roman"/>
        </w:rPr>
        <w:t>Prestaciones sociales relacionadas al empleo</w:t>
      </w:r>
      <w:r>
        <w:rPr>
          <w:rFonts w:ascii="Times New Roman" w:eastAsia="Calibri" w:hAnsi="Times New Roman" w:cs="Times New Roman"/>
        </w:rPr>
        <w:t xml:space="preserve"> que se registran en el gasto.</w:t>
      </w:r>
    </w:p>
    <w:p w14:paraId="5C5A2B8E" w14:textId="77777777" w:rsidR="00646716" w:rsidRPr="00AD6E69" w:rsidRDefault="00646716" w:rsidP="00646716">
      <w:pPr>
        <w:pStyle w:val="Sinespaciado"/>
        <w:jc w:val="both"/>
        <w:rPr>
          <w:rFonts w:ascii="Times New Roman" w:hAnsi="Times New Roman" w:cs="Times New Roman"/>
        </w:rPr>
      </w:pPr>
    </w:p>
    <w:p w14:paraId="0A45CF0A" w14:textId="77777777" w:rsidR="00646716" w:rsidRDefault="00646716" w:rsidP="00646716">
      <w:pPr>
        <w:pStyle w:val="Sinespaciado"/>
        <w:numPr>
          <w:ilvl w:val="0"/>
          <w:numId w:val="48"/>
        </w:numPr>
        <w:ind w:left="360"/>
        <w:jc w:val="both"/>
        <w:rPr>
          <w:rFonts w:ascii="Times New Roman" w:hAnsi="Times New Roman" w:cs="Times New Roman"/>
        </w:rPr>
      </w:pPr>
      <w:r w:rsidRPr="003F17BC">
        <w:rPr>
          <w:rFonts w:ascii="Times New Roman" w:hAnsi="Times New Roman" w:cs="Times New Roman"/>
          <w:u w:val="single"/>
        </w:rPr>
        <w:t>Las donaciones</w:t>
      </w:r>
      <w:r w:rsidRPr="003F17BC">
        <w:rPr>
          <w:rFonts w:ascii="Times New Roman" w:hAnsi="Times New Roman" w:cs="Times New Roman"/>
        </w:rPr>
        <w:t xml:space="preserve"> son transferencias recibidas de otras</w:t>
      </w:r>
      <w:r>
        <w:rPr>
          <w:rFonts w:ascii="Times New Roman" w:hAnsi="Times New Roman" w:cs="Times New Roman"/>
        </w:rPr>
        <w:t xml:space="preserve"> entidades</w:t>
      </w:r>
      <w:r w:rsidRPr="003F17BC">
        <w:rPr>
          <w:rFonts w:ascii="Times New Roman" w:hAnsi="Times New Roman" w:cs="Times New Roman"/>
        </w:rPr>
        <w:t xml:space="preserve">, que no constituyen subsidio o contribución social. </w:t>
      </w:r>
      <w:r>
        <w:rPr>
          <w:rFonts w:ascii="Times New Roman" w:hAnsi="Times New Roman" w:cs="Times New Roman"/>
        </w:rPr>
        <w:t>Estos se dividen en:</w:t>
      </w:r>
    </w:p>
    <w:p w14:paraId="33246E0D" w14:textId="77777777" w:rsidR="00646716" w:rsidRDefault="00646716" w:rsidP="00646716">
      <w:pPr>
        <w:pStyle w:val="Sinespaciado"/>
        <w:ind w:left="360"/>
        <w:jc w:val="both"/>
        <w:rPr>
          <w:rFonts w:ascii="Times New Roman" w:hAnsi="Times New Roman" w:cs="Times New Roman"/>
        </w:rPr>
      </w:pPr>
    </w:p>
    <w:p w14:paraId="179EC423" w14:textId="77777777" w:rsidR="00646716" w:rsidRDefault="00646716" w:rsidP="00646716">
      <w:pPr>
        <w:pStyle w:val="Sinespaciado"/>
        <w:numPr>
          <w:ilvl w:val="0"/>
          <w:numId w:val="49"/>
        </w:numPr>
        <w:jc w:val="both"/>
        <w:rPr>
          <w:rFonts w:ascii="Times New Roman" w:hAnsi="Times New Roman" w:cs="Times New Roman"/>
        </w:rPr>
      </w:pPr>
      <w:r w:rsidRPr="00461A42">
        <w:rPr>
          <w:rFonts w:ascii="Times New Roman" w:hAnsi="Times New Roman" w:cs="Times New Roman"/>
        </w:rPr>
        <w:t>De gobiernos extranjeros</w:t>
      </w:r>
    </w:p>
    <w:p w14:paraId="40D73D45" w14:textId="77777777" w:rsidR="00646716" w:rsidRDefault="00646716" w:rsidP="00646716">
      <w:pPr>
        <w:pStyle w:val="Sinespaciado"/>
        <w:numPr>
          <w:ilvl w:val="0"/>
          <w:numId w:val="49"/>
        </w:numPr>
        <w:jc w:val="both"/>
        <w:rPr>
          <w:rFonts w:ascii="Times New Roman" w:hAnsi="Times New Roman" w:cs="Times New Roman"/>
        </w:rPr>
      </w:pPr>
      <w:r w:rsidRPr="00461A42">
        <w:rPr>
          <w:rFonts w:ascii="Times New Roman" w:hAnsi="Times New Roman" w:cs="Times New Roman"/>
        </w:rPr>
        <w:t>De organismos internacionales</w:t>
      </w:r>
    </w:p>
    <w:p w14:paraId="1C564FA5" w14:textId="77777777" w:rsidR="00646716" w:rsidRDefault="00646716" w:rsidP="00646716">
      <w:pPr>
        <w:pStyle w:val="Sinespaciado"/>
        <w:numPr>
          <w:ilvl w:val="0"/>
          <w:numId w:val="49"/>
        </w:numPr>
        <w:jc w:val="both"/>
        <w:rPr>
          <w:rFonts w:ascii="Times New Roman" w:hAnsi="Times New Roman" w:cs="Times New Roman"/>
        </w:rPr>
      </w:pPr>
      <w:r w:rsidRPr="00105D20">
        <w:rPr>
          <w:rFonts w:ascii="Times New Roman" w:hAnsi="Times New Roman" w:cs="Times New Roman"/>
        </w:rPr>
        <w:t>De otras unidades del gobierno general</w:t>
      </w:r>
    </w:p>
    <w:p w14:paraId="363A1CAC" w14:textId="77777777" w:rsidR="00646716" w:rsidRDefault="00646716" w:rsidP="00646716">
      <w:pPr>
        <w:pStyle w:val="Sinespaciado"/>
        <w:ind w:left="360"/>
        <w:jc w:val="both"/>
        <w:rPr>
          <w:rFonts w:ascii="Times New Roman" w:hAnsi="Times New Roman" w:cs="Times New Roman"/>
        </w:rPr>
      </w:pPr>
    </w:p>
    <w:p w14:paraId="6E6AC102" w14:textId="77777777" w:rsidR="00646716" w:rsidRDefault="00646716" w:rsidP="00646716">
      <w:pPr>
        <w:pStyle w:val="Sinespaciado"/>
        <w:jc w:val="both"/>
        <w:rPr>
          <w:rFonts w:ascii="Times New Roman" w:hAnsi="Times New Roman" w:cs="Times New Roman"/>
        </w:rPr>
      </w:pPr>
      <w:r>
        <w:rPr>
          <w:rFonts w:ascii="Times New Roman" w:hAnsi="Times New Roman" w:cs="Times New Roman"/>
        </w:rPr>
        <w:t>Las donaciones representan para el Gobierno Central el 0.01% del PIB en 2020 y principalmente provienen de organismos internacionales.</w:t>
      </w:r>
    </w:p>
    <w:p w14:paraId="107B515B" w14:textId="77777777" w:rsidR="00646716" w:rsidRDefault="00646716" w:rsidP="00646716">
      <w:pPr>
        <w:pStyle w:val="Sinespaciado"/>
        <w:jc w:val="both"/>
        <w:rPr>
          <w:rFonts w:ascii="Times New Roman" w:hAnsi="Times New Roman" w:cs="Times New Roman"/>
        </w:rPr>
      </w:pPr>
    </w:p>
    <w:p w14:paraId="65ECCBA0" w14:textId="77777777" w:rsidR="00646716" w:rsidRDefault="00646716" w:rsidP="00646716">
      <w:pPr>
        <w:pStyle w:val="Sinespaciado"/>
        <w:numPr>
          <w:ilvl w:val="0"/>
          <w:numId w:val="48"/>
        </w:numPr>
        <w:ind w:left="360"/>
        <w:jc w:val="both"/>
        <w:rPr>
          <w:rFonts w:ascii="Times New Roman" w:hAnsi="Times New Roman" w:cs="Times New Roman"/>
        </w:rPr>
      </w:pPr>
      <w:r w:rsidRPr="00D96C79">
        <w:rPr>
          <w:rFonts w:ascii="Times New Roman" w:hAnsi="Times New Roman" w:cs="Times New Roman"/>
          <w:u w:val="single"/>
        </w:rPr>
        <w:t>Los otros ingresos</w:t>
      </w:r>
      <w:r w:rsidRPr="00D96C79">
        <w:rPr>
          <w:rFonts w:ascii="Times New Roman" w:hAnsi="Times New Roman" w:cs="Times New Roman"/>
        </w:rPr>
        <w:t xml:space="preserve"> </w:t>
      </w:r>
      <w:r>
        <w:rPr>
          <w:rFonts w:ascii="Times New Roman" w:hAnsi="Times New Roman" w:cs="Times New Roman"/>
        </w:rPr>
        <w:t>contemplan las siguientes divisiones:</w:t>
      </w:r>
    </w:p>
    <w:p w14:paraId="484CA279" w14:textId="77777777" w:rsidR="00646716" w:rsidRPr="00D96C79" w:rsidRDefault="00646716" w:rsidP="00646716">
      <w:pPr>
        <w:pStyle w:val="Sinespaciado"/>
        <w:ind w:left="360"/>
        <w:jc w:val="both"/>
        <w:rPr>
          <w:rFonts w:ascii="Times New Roman" w:hAnsi="Times New Roman" w:cs="Times New Roman"/>
        </w:rPr>
      </w:pPr>
      <w:r w:rsidRPr="00D96C79">
        <w:rPr>
          <w:rFonts w:ascii="Times New Roman" w:hAnsi="Times New Roman" w:cs="Times New Roman"/>
        </w:rPr>
        <w:t xml:space="preserve">  </w:t>
      </w:r>
    </w:p>
    <w:p w14:paraId="3F01E4A2" w14:textId="77777777" w:rsidR="00646716" w:rsidRPr="00D61575" w:rsidRDefault="00646716" w:rsidP="00646716">
      <w:pPr>
        <w:pStyle w:val="Sinespaciado"/>
        <w:numPr>
          <w:ilvl w:val="0"/>
          <w:numId w:val="49"/>
        </w:numPr>
        <w:jc w:val="both"/>
        <w:rPr>
          <w:rFonts w:ascii="Times New Roman" w:hAnsi="Times New Roman" w:cs="Times New Roman"/>
        </w:rPr>
      </w:pPr>
      <w:r w:rsidRPr="00D61575">
        <w:rPr>
          <w:rFonts w:ascii="Times New Roman" w:hAnsi="Times New Roman" w:cs="Times New Roman"/>
        </w:rPr>
        <w:t>Renta de la propiedad</w:t>
      </w:r>
    </w:p>
    <w:p w14:paraId="46ACEB2D" w14:textId="77777777" w:rsidR="00646716" w:rsidRPr="00D61575" w:rsidRDefault="00646716" w:rsidP="00646716">
      <w:pPr>
        <w:pStyle w:val="Sinespaciado"/>
        <w:numPr>
          <w:ilvl w:val="0"/>
          <w:numId w:val="49"/>
        </w:numPr>
        <w:jc w:val="both"/>
        <w:rPr>
          <w:rFonts w:ascii="Times New Roman" w:hAnsi="Times New Roman" w:cs="Times New Roman"/>
        </w:rPr>
      </w:pPr>
      <w:r w:rsidRPr="00D61575">
        <w:rPr>
          <w:rFonts w:ascii="Times New Roman" w:hAnsi="Times New Roman" w:cs="Times New Roman"/>
        </w:rPr>
        <w:t>Ventas de bienes y servicios</w:t>
      </w:r>
    </w:p>
    <w:p w14:paraId="72C6EC65" w14:textId="77777777" w:rsidR="00646716" w:rsidRPr="00D61575" w:rsidRDefault="00646716" w:rsidP="00646716">
      <w:pPr>
        <w:pStyle w:val="Sinespaciado"/>
        <w:numPr>
          <w:ilvl w:val="0"/>
          <w:numId w:val="49"/>
        </w:numPr>
        <w:jc w:val="both"/>
        <w:rPr>
          <w:rFonts w:ascii="Times New Roman" w:hAnsi="Times New Roman" w:cs="Times New Roman"/>
        </w:rPr>
      </w:pPr>
      <w:r w:rsidRPr="00D61575">
        <w:rPr>
          <w:rFonts w:ascii="Times New Roman" w:hAnsi="Times New Roman" w:cs="Times New Roman"/>
        </w:rPr>
        <w:t>Multas, sanciones pecuniarias y depósitos en caución transferidos</w:t>
      </w:r>
    </w:p>
    <w:p w14:paraId="5467D0BB" w14:textId="77777777" w:rsidR="00646716" w:rsidRPr="00D61575" w:rsidRDefault="00646716" w:rsidP="00646716">
      <w:pPr>
        <w:pStyle w:val="Sinespaciado"/>
        <w:numPr>
          <w:ilvl w:val="0"/>
          <w:numId w:val="49"/>
        </w:numPr>
        <w:jc w:val="both"/>
        <w:rPr>
          <w:rFonts w:ascii="Times New Roman" w:hAnsi="Times New Roman" w:cs="Times New Roman"/>
        </w:rPr>
      </w:pPr>
      <w:r w:rsidRPr="00D61575">
        <w:rPr>
          <w:rFonts w:ascii="Times New Roman" w:hAnsi="Times New Roman" w:cs="Times New Roman"/>
        </w:rPr>
        <w:t>Transferencias no clasificadas en otra partida</w:t>
      </w:r>
    </w:p>
    <w:p w14:paraId="2DBF8175" w14:textId="77777777" w:rsidR="00646716" w:rsidRPr="00D61575" w:rsidRDefault="00646716" w:rsidP="00646716">
      <w:pPr>
        <w:pStyle w:val="Sinespaciado"/>
        <w:numPr>
          <w:ilvl w:val="0"/>
          <w:numId w:val="49"/>
        </w:numPr>
        <w:jc w:val="both"/>
        <w:rPr>
          <w:rFonts w:ascii="Times New Roman" w:hAnsi="Times New Roman" w:cs="Times New Roman"/>
        </w:rPr>
      </w:pPr>
      <w:r w:rsidRPr="00D61575">
        <w:rPr>
          <w:rFonts w:ascii="Times New Roman" w:hAnsi="Times New Roman" w:cs="Times New Roman"/>
        </w:rPr>
        <w:t>Primas, tasas e indemnizaciones relacionadas con seguros no de vida y sistemas de garantías estandarizadas</w:t>
      </w:r>
    </w:p>
    <w:p w14:paraId="26D63215" w14:textId="77777777" w:rsidR="00646716" w:rsidRPr="007D1C3D" w:rsidRDefault="00646716" w:rsidP="00646716">
      <w:pPr>
        <w:spacing w:after="0" w:line="256" w:lineRule="auto"/>
        <w:jc w:val="both"/>
        <w:rPr>
          <w:rFonts w:ascii="Times New Roman" w:eastAsia="Calibri" w:hAnsi="Times New Roman" w:cs="Times New Roman"/>
        </w:rPr>
      </w:pPr>
    </w:p>
    <w:p w14:paraId="024C1B89" w14:textId="77777777" w:rsidR="00646716" w:rsidRDefault="00646716" w:rsidP="00646716">
      <w:pPr>
        <w:pStyle w:val="Sinespaciado"/>
        <w:jc w:val="both"/>
        <w:rPr>
          <w:rFonts w:ascii="Times New Roman" w:hAnsi="Times New Roman" w:cs="Times New Roman"/>
        </w:rPr>
      </w:pPr>
      <w:r>
        <w:rPr>
          <w:rFonts w:ascii="Times New Roman" w:hAnsi="Times New Roman" w:cs="Times New Roman"/>
        </w:rPr>
        <w:t>L</w:t>
      </w:r>
      <w:r w:rsidRPr="00E5093D">
        <w:rPr>
          <w:rFonts w:ascii="Times New Roman" w:hAnsi="Times New Roman" w:cs="Times New Roman"/>
        </w:rPr>
        <w:t xml:space="preserve">os ingresos </w:t>
      </w:r>
      <w:r>
        <w:rPr>
          <w:rFonts w:ascii="Times New Roman" w:hAnsi="Times New Roman" w:cs="Times New Roman"/>
        </w:rPr>
        <w:t>clasificados</w:t>
      </w:r>
      <w:r w:rsidRPr="00E5093D">
        <w:rPr>
          <w:rFonts w:ascii="Times New Roman" w:hAnsi="Times New Roman" w:cs="Times New Roman"/>
        </w:rPr>
        <w:t xml:space="preserve"> como </w:t>
      </w:r>
      <w:r>
        <w:rPr>
          <w:rFonts w:ascii="Times New Roman" w:hAnsi="Times New Roman" w:cs="Times New Roman"/>
        </w:rPr>
        <w:t>O</w:t>
      </w:r>
      <w:r w:rsidRPr="00E5093D">
        <w:rPr>
          <w:rFonts w:ascii="Times New Roman" w:hAnsi="Times New Roman" w:cs="Times New Roman"/>
        </w:rPr>
        <w:t xml:space="preserve">tros </w:t>
      </w:r>
      <w:r>
        <w:rPr>
          <w:rFonts w:ascii="Times New Roman" w:hAnsi="Times New Roman" w:cs="Times New Roman"/>
        </w:rPr>
        <w:t>I</w:t>
      </w:r>
      <w:r w:rsidRPr="00E5093D">
        <w:rPr>
          <w:rFonts w:ascii="Times New Roman" w:hAnsi="Times New Roman" w:cs="Times New Roman"/>
        </w:rPr>
        <w:t>ngresos son equivalentes al 0.</w:t>
      </w:r>
      <w:r>
        <w:rPr>
          <w:rFonts w:ascii="Times New Roman" w:hAnsi="Times New Roman" w:cs="Times New Roman"/>
        </w:rPr>
        <w:t>26</w:t>
      </w:r>
      <w:r w:rsidRPr="00E5093D">
        <w:rPr>
          <w:rFonts w:ascii="Times New Roman" w:hAnsi="Times New Roman" w:cs="Times New Roman"/>
        </w:rPr>
        <w:t>% del PIB</w:t>
      </w:r>
      <w:r>
        <w:rPr>
          <w:rFonts w:ascii="Times New Roman" w:hAnsi="Times New Roman" w:cs="Times New Roman"/>
        </w:rPr>
        <w:t xml:space="preserve"> para el Gobierno Central Presupuestario y estos provienen de la venta de bienes y servicios (0.1% del PIB), las </w:t>
      </w:r>
      <w:r w:rsidRPr="002256FA">
        <w:rPr>
          <w:rFonts w:ascii="Times New Roman" w:hAnsi="Times New Roman" w:cs="Times New Roman"/>
        </w:rPr>
        <w:t>Multas, sanciones pecuniarias y depósitos en caución transferidos</w:t>
      </w:r>
      <w:r>
        <w:rPr>
          <w:rFonts w:ascii="Times New Roman" w:hAnsi="Times New Roman" w:cs="Times New Roman"/>
        </w:rPr>
        <w:t xml:space="preserve"> (0.08% del PIB), las rentas de la propiedad (0.05% del PIB) y las Transferencias no Clasificadas en otra partida (0.03% del PIB).</w:t>
      </w:r>
    </w:p>
    <w:p w14:paraId="3CC90A52" w14:textId="77777777" w:rsidR="00646716" w:rsidRPr="00E5093D" w:rsidRDefault="00646716" w:rsidP="00646716">
      <w:pPr>
        <w:pStyle w:val="Sinespaciado"/>
        <w:ind w:left="360"/>
        <w:jc w:val="both"/>
        <w:rPr>
          <w:rFonts w:ascii="Times New Roman" w:hAnsi="Times New Roman" w:cs="Times New Roman"/>
        </w:rPr>
      </w:pPr>
    </w:p>
    <w:p w14:paraId="079DC46F" w14:textId="77777777" w:rsidR="00646716" w:rsidRDefault="00646716" w:rsidP="001D1FFA">
      <w:pPr>
        <w:pStyle w:val="Sinespaciado"/>
        <w:ind w:left="720"/>
        <w:jc w:val="both"/>
        <w:rPr>
          <w:rFonts w:ascii="Times New Roman" w:hAnsi="Times New Roman" w:cs="Times New Roman"/>
          <w:b/>
        </w:rPr>
      </w:pPr>
      <w:r w:rsidRPr="005D1E82">
        <w:rPr>
          <w:rFonts w:ascii="Times New Roman" w:hAnsi="Times New Roman" w:cs="Times New Roman"/>
          <w:b/>
        </w:rPr>
        <w:t>El gasto</w:t>
      </w:r>
      <w:r>
        <w:rPr>
          <w:rFonts w:ascii="Times New Roman" w:hAnsi="Times New Roman" w:cs="Times New Roman"/>
          <w:b/>
        </w:rPr>
        <w:t xml:space="preserve"> del Gobierno Central Presupuestario</w:t>
      </w:r>
    </w:p>
    <w:p w14:paraId="4A859C3B" w14:textId="77777777" w:rsidR="00646716" w:rsidRDefault="00646716" w:rsidP="00646716">
      <w:pPr>
        <w:pStyle w:val="Sinespaciado"/>
        <w:jc w:val="both"/>
        <w:outlineLvl w:val="2"/>
        <w:rPr>
          <w:rFonts w:ascii="Times New Roman" w:hAnsi="Times New Roman" w:cs="Times New Roman"/>
          <w:b/>
        </w:rPr>
      </w:pPr>
    </w:p>
    <w:p w14:paraId="02C76F56" w14:textId="77777777" w:rsidR="00646716" w:rsidRDefault="00646716" w:rsidP="00646716">
      <w:pPr>
        <w:pStyle w:val="Sinespaciado"/>
        <w:jc w:val="both"/>
        <w:rPr>
          <w:rFonts w:ascii="Times New Roman" w:hAnsi="Times New Roman" w:cs="Times New Roman"/>
        </w:rPr>
      </w:pPr>
      <w:r w:rsidRPr="00E92084">
        <w:rPr>
          <w:rFonts w:ascii="Times New Roman" w:eastAsia="Calibri" w:hAnsi="Times New Roman" w:cs="Times New Roman"/>
        </w:rPr>
        <w:t>En</w:t>
      </w:r>
      <w:r>
        <w:rPr>
          <w:rFonts w:ascii="Times New Roman" w:eastAsia="Calibri" w:hAnsi="Times New Roman" w:cs="Times New Roman"/>
        </w:rPr>
        <w:t xml:space="preserve"> los</w:t>
      </w:r>
      <w:r w:rsidRPr="00E92084">
        <w:rPr>
          <w:rFonts w:ascii="Times New Roman" w:eastAsia="Calibri" w:hAnsi="Times New Roman" w:cs="Times New Roman"/>
        </w:rPr>
        <w:t xml:space="preserve"> estándares internacionales, se considera como un gasto a toda transacción que genera una disminución en el patrimonio neto</w:t>
      </w:r>
      <w:r>
        <w:rPr>
          <w:rFonts w:ascii="Times New Roman" w:eastAsia="Calibri" w:hAnsi="Times New Roman" w:cs="Times New Roman"/>
        </w:rPr>
        <w:t xml:space="preserve"> y esto plantea una diferencia conceptual importante respecto a la definición nacional, por lo tanto, estas cifras no pueden ser comparables entre sí. </w:t>
      </w:r>
    </w:p>
    <w:p w14:paraId="3806D8EF" w14:textId="77777777" w:rsidR="00646716" w:rsidRDefault="00646716" w:rsidP="00646716">
      <w:pPr>
        <w:pStyle w:val="Sinespaciado"/>
        <w:jc w:val="both"/>
        <w:rPr>
          <w:rFonts w:ascii="Times New Roman" w:hAnsi="Times New Roman" w:cs="Times New Roman"/>
        </w:rPr>
      </w:pPr>
    </w:p>
    <w:p w14:paraId="79BD267C" w14:textId="376D2463" w:rsidR="00646716" w:rsidRDefault="00646716" w:rsidP="00646716">
      <w:pPr>
        <w:jc w:val="both"/>
        <w:rPr>
          <w:rFonts w:ascii="Times New Roman" w:eastAsia="Calibri" w:hAnsi="Times New Roman" w:cs="Times New Roman"/>
        </w:rPr>
      </w:pPr>
      <w:r>
        <w:rPr>
          <w:rFonts w:ascii="Times New Roman" w:eastAsia="Calibri" w:hAnsi="Times New Roman" w:cs="Times New Roman"/>
        </w:rPr>
        <w:t xml:space="preserve">Los gastos totales del Gobierno Central Presupuestario </w:t>
      </w:r>
      <w:r w:rsidRPr="00E92084">
        <w:rPr>
          <w:rFonts w:ascii="Times New Roman" w:eastAsia="Calibri" w:hAnsi="Times New Roman" w:cs="Times New Roman"/>
        </w:rPr>
        <w:t>para el año 20</w:t>
      </w:r>
      <w:r>
        <w:rPr>
          <w:rFonts w:ascii="Times New Roman" w:eastAsia="Calibri" w:hAnsi="Times New Roman" w:cs="Times New Roman"/>
        </w:rPr>
        <w:t>20</w:t>
      </w:r>
      <w:r w:rsidRPr="00E92084">
        <w:rPr>
          <w:rFonts w:ascii="Times New Roman" w:eastAsia="Calibri" w:hAnsi="Times New Roman" w:cs="Times New Roman"/>
        </w:rPr>
        <w:t>, asciende</w:t>
      </w:r>
      <w:r>
        <w:rPr>
          <w:rFonts w:ascii="Times New Roman" w:eastAsia="Calibri" w:hAnsi="Times New Roman" w:cs="Times New Roman"/>
        </w:rPr>
        <w:t>n</w:t>
      </w:r>
      <w:r w:rsidRPr="00E92084">
        <w:rPr>
          <w:rFonts w:ascii="Times New Roman" w:eastAsia="Calibri" w:hAnsi="Times New Roman" w:cs="Times New Roman"/>
        </w:rPr>
        <w:t xml:space="preserve"> a 1</w:t>
      </w:r>
      <w:r>
        <w:rPr>
          <w:rFonts w:ascii="Times New Roman" w:eastAsia="Calibri" w:hAnsi="Times New Roman" w:cs="Times New Roman"/>
        </w:rPr>
        <w:t>4</w:t>
      </w:r>
      <w:r w:rsidRPr="00E92084">
        <w:rPr>
          <w:rFonts w:ascii="Times New Roman" w:eastAsia="Calibri" w:hAnsi="Times New Roman" w:cs="Times New Roman"/>
        </w:rPr>
        <w:t>.</w:t>
      </w:r>
      <w:r>
        <w:rPr>
          <w:rFonts w:ascii="Times New Roman" w:eastAsia="Calibri" w:hAnsi="Times New Roman" w:cs="Times New Roman"/>
        </w:rPr>
        <w:t>9</w:t>
      </w:r>
      <w:r w:rsidRPr="00E92084">
        <w:rPr>
          <w:rFonts w:ascii="Times New Roman" w:eastAsia="Calibri" w:hAnsi="Times New Roman" w:cs="Times New Roman"/>
        </w:rPr>
        <w:t>% del PIB</w:t>
      </w:r>
      <w:r>
        <w:rPr>
          <w:rFonts w:ascii="Times New Roman" w:eastAsia="Calibri" w:hAnsi="Times New Roman" w:cs="Times New Roman"/>
        </w:rPr>
        <w:t xml:space="preserve"> es importante recalcar que el gasto público durante dicho año se vio afectado, por la Pandemia del Covid-19 la cual planteo la necesidad de realizar compra de insumos y la creación de pr</w:t>
      </w:r>
      <w:r w:rsidR="00B53E61">
        <w:rPr>
          <w:rFonts w:ascii="Times New Roman" w:eastAsia="Calibri" w:hAnsi="Times New Roman" w:cs="Times New Roman"/>
        </w:rPr>
        <w:t>ogramas destinados al apoyo de l</w:t>
      </w:r>
      <w:r>
        <w:rPr>
          <w:rFonts w:ascii="Times New Roman" w:eastAsia="Calibri" w:hAnsi="Times New Roman" w:cs="Times New Roman"/>
        </w:rPr>
        <w:t xml:space="preserve">a población, como lo es el Bono Familia y el Fondo para la protección del Empleo. </w:t>
      </w:r>
    </w:p>
    <w:p w14:paraId="687A55D6" w14:textId="77777777" w:rsidR="00646716" w:rsidRPr="00D96C79" w:rsidRDefault="00646716" w:rsidP="00646716">
      <w:pPr>
        <w:pStyle w:val="Sinespaciado"/>
        <w:jc w:val="both"/>
        <w:rPr>
          <w:rFonts w:ascii="Times New Roman" w:hAnsi="Times New Roman" w:cs="Times New Roman"/>
        </w:rPr>
      </w:pPr>
      <w:r>
        <w:rPr>
          <w:rFonts w:ascii="Times New Roman" w:hAnsi="Times New Roman" w:cs="Times New Roman"/>
        </w:rPr>
        <w:t>El Gasto se dividen en</w:t>
      </w:r>
      <w:r w:rsidRPr="00D96C79">
        <w:rPr>
          <w:rFonts w:ascii="Times New Roman" w:hAnsi="Times New Roman" w:cs="Times New Roman"/>
        </w:rPr>
        <w:t xml:space="preserve">:  </w:t>
      </w:r>
    </w:p>
    <w:p w14:paraId="383BD712" w14:textId="77777777" w:rsidR="00646716" w:rsidRPr="00D96C79" w:rsidRDefault="00646716" w:rsidP="00646716">
      <w:pPr>
        <w:pStyle w:val="Sinespaciado"/>
        <w:jc w:val="both"/>
        <w:rPr>
          <w:rFonts w:ascii="Times New Roman" w:hAnsi="Times New Roman" w:cs="Times New Roman"/>
        </w:rPr>
      </w:pPr>
    </w:p>
    <w:p w14:paraId="6AB6AFB1" w14:textId="77777777" w:rsidR="00646716" w:rsidRDefault="00646716" w:rsidP="00646716">
      <w:pPr>
        <w:pStyle w:val="Sinespaciado"/>
        <w:numPr>
          <w:ilvl w:val="0"/>
          <w:numId w:val="50"/>
        </w:numPr>
        <w:ind w:left="360"/>
        <w:jc w:val="both"/>
        <w:rPr>
          <w:rFonts w:ascii="Times New Roman" w:hAnsi="Times New Roman" w:cs="Times New Roman"/>
        </w:rPr>
      </w:pPr>
      <w:r w:rsidRPr="00D96C79">
        <w:rPr>
          <w:rFonts w:ascii="Times New Roman" w:hAnsi="Times New Roman" w:cs="Times New Roman"/>
          <w:u w:val="single"/>
        </w:rPr>
        <w:t>La remuneración a los empleados</w:t>
      </w:r>
      <w:r w:rsidRPr="00D96C79">
        <w:rPr>
          <w:rFonts w:ascii="Times New Roman" w:hAnsi="Times New Roman" w:cs="Times New Roman"/>
        </w:rPr>
        <w:t xml:space="preserve"> incluye la remuneración total, en efectivo o especie, considerada en el período analizado, dada la relación empleador-empleado y excluye los montos relacionados con la formación de capita</w:t>
      </w:r>
      <w:r>
        <w:rPr>
          <w:rFonts w:ascii="Times New Roman" w:hAnsi="Times New Roman" w:cs="Times New Roman"/>
        </w:rPr>
        <w:t xml:space="preserve">l. </w:t>
      </w:r>
    </w:p>
    <w:p w14:paraId="7D7F178D" w14:textId="77777777" w:rsidR="00646716" w:rsidRDefault="00646716" w:rsidP="00646716">
      <w:pPr>
        <w:pStyle w:val="Sinespaciado"/>
        <w:ind w:left="360"/>
        <w:jc w:val="both"/>
        <w:rPr>
          <w:rFonts w:ascii="Times New Roman" w:hAnsi="Times New Roman" w:cs="Times New Roman"/>
        </w:rPr>
      </w:pPr>
    </w:p>
    <w:p w14:paraId="0FB77EE7" w14:textId="77777777" w:rsidR="00646716" w:rsidRPr="00D96C79" w:rsidRDefault="00646716" w:rsidP="00646716">
      <w:pPr>
        <w:pStyle w:val="Sinespaciado"/>
        <w:ind w:left="360"/>
        <w:jc w:val="both"/>
        <w:rPr>
          <w:rFonts w:ascii="Times New Roman" w:hAnsi="Times New Roman" w:cs="Times New Roman"/>
        </w:rPr>
      </w:pPr>
      <w:r>
        <w:rPr>
          <w:rFonts w:ascii="Times New Roman" w:hAnsi="Times New Roman" w:cs="Times New Roman"/>
        </w:rPr>
        <w:t>Las remuneraciones del Gobierno Central Presupuestario equivalen al 5% del PIB, pero se encuentra conformado por sueldos y salarios (4.5% del PIB) y contribuciones sociales de empleadores (0.5% del PIB). Este último contiene un 0.4% del PIB que son las c</w:t>
      </w:r>
      <w:r w:rsidRPr="00FF6922">
        <w:rPr>
          <w:rFonts w:ascii="Times New Roman" w:hAnsi="Times New Roman" w:cs="Times New Roman"/>
        </w:rPr>
        <w:t>ontribuciones sociales imputadas de empleadores</w:t>
      </w:r>
      <w:r>
        <w:rPr>
          <w:rFonts w:ascii="Times New Roman" w:hAnsi="Times New Roman" w:cs="Times New Roman"/>
        </w:rPr>
        <w:t xml:space="preserve"> que se conforma por los aportes que realiza el Estado para pagar </w:t>
      </w:r>
      <w:r w:rsidRPr="008B47F2">
        <w:rPr>
          <w:rFonts w:ascii="Times New Roman" w:eastAsia="Calibri" w:hAnsi="Times New Roman" w:cs="Times New Roman"/>
        </w:rPr>
        <w:t>indemnizaciones, prestaciones póstumas, pago de vacaciones por retiro, la ayuda para funerales, las pensiones y las jubilaciones</w:t>
      </w:r>
      <w:r>
        <w:rPr>
          <w:rFonts w:ascii="Times New Roman" w:eastAsia="Calibri" w:hAnsi="Times New Roman" w:cs="Times New Roman"/>
        </w:rPr>
        <w:t xml:space="preserve"> que forman parte de las prestaciones laborales de los trabajadores</w:t>
      </w:r>
      <w:r>
        <w:rPr>
          <w:rFonts w:ascii="Times New Roman" w:hAnsi="Times New Roman" w:cs="Times New Roman"/>
        </w:rPr>
        <w:t>.</w:t>
      </w:r>
    </w:p>
    <w:p w14:paraId="0D8C0F01" w14:textId="77777777" w:rsidR="00646716" w:rsidRPr="00D96C79" w:rsidRDefault="00646716" w:rsidP="00646716">
      <w:pPr>
        <w:pStyle w:val="Sinespaciado"/>
        <w:jc w:val="both"/>
        <w:rPr>
          <w:rFonts w:ascii="Times New Roman" w:hAnsi="Times New Roman" w:cs="Times New Roman"/>
        </w:rPr>
      </w:pPr>
    </w:p>
    <w:p w14:paraId="51285DD9" w14:textId="77777777" w:rsidR="00646716" w:rsidRDefault="00646716" w:rsidP="00646716">
      <w:pPr>
        <w:pStyle w:val="Sinespaciado"/>
        <w:numPr>
          <w:ilvl w:val="0"/>
          <w:numId w:val="50"/>
        </w:numPr>
        <w:ind w:left="360"/>
        <w:jc w:val="both"/>
        <w:rPr>
          <w:rFonts w:ascii="Times New Roman" w:hAnsi="Times New Roman" w:cs="Times New Roman"/>
        </w:rPr>
      </w:pPr>
      <w:r w:rsidRPr="00D96C79">
        <w:rPr>
          <w:rFonts w:ascii="Times New Roman" w:hAnsi="Times New Roman" w:cs="Times New Roman"/>
          <w:u w:val="single"/>
        </w:rPr>
        <w:t>El uso de bienes y servicios</w:t>
      </w:r>
      <w:r w:rsidRPr="00D96C79">
        <w:rPr>
          <w:rFonts w:ascii="Times New Roman" w:hAnsi="Times New Roman" w:cs="Times New Roman"/>
        </w:rPr>
        <w:t xml:space="preserve"> comprende el valor total de bienes y servicios utilizados para la producción de bienes y servicios de mercado y de no mercado, sin el consumo de capital fijo. En estos se incluye el uso de bienes y servicios en la formación de capital por cuenta propia, y bienes que el gobierno adquiere y distribuye sin transformación alguna.</w:t>
      </w:r>
      <w:r>
        <w:rPr>
          <w:rFonts w:ascii="Times New Roman" w:hAnsi="Times New Roman" w:cs="Times New Roman"/>
        </w:rPr>
        <w:t xml:space="preserve"> Entre las principales diferencias con la metodología nacional se encuentra la no inclusión de equipo militar, sentencias judiciales y las p</w:t>
      </w:r>
      <w:r w:rsidRPr="00823CB9">
        <w:rPr>
          <w:rFonts w:ascii="Times New Roman" w:hAnsi="Times New Roman" w:cs="Times New Roman"/>
        </w:rPr>
        <w:t>rimas y gastos de seguros y fianzas</w:t>
      </w:r>
      <w:r>
        <w:rPr>
          <w:rFonts w:ascii="Times New Roman" w:hAnsi="Times New Roman" w:cs="Times New Roman"/>
        </w:rPr>
        <w:t>.</w:t>
      </w:r>
    </w:p>
    <w:p w14:paraId="14A5286C" w14:textId="77777777" w:rsidR="00646716" w:rsidRDefault="00646716" w:rsidP="00646716">
      <w:pPr>
        <w:pStyle w:val="Sinespaciado"/>
        <w:jc w:val="both"/>
        <w:rPr>
          <w:rFonts w:ascii="Times New Roman" w:hAnsi="Times New Roman" w:cs="Times New Roman"/>
        </w:rPr>
      </w:pPr>
    </w:p>
    <w:p w14:paraId="1F0C81DE" w14:textId="77777777" w:rsidR="00646716" w:rsidRPr="00A53F84" w:rsidRDefault="00646716" w:rsidP="00646716">
      <w:pPr>
        <w:pStyle w:val="Sinespaciado"/>
        <w:ind w:left="360"/>
        <w:jc w:val="both"/>
        <w:rPr>
          <w:rFonts w:ascii="Times New Roman" w:hAnsi="Times New Roman" w:cs="Times New Roman"/>
        </w:rPr>
      </w:pPr>
      <w:r>
        <w:rPr>
          <w:rFonts w:ascii="Times New Roman" w:hAnsi="Times New Roman" w:cs="Times New Roman"/>
        </w:rPr>
        <w:t>El uso de bienes y servicios para el año 2020 en el Gobierno Central Presupuestario equivalen al 1.5% del PIB.</w:t>
      </w:r>
    </w:p>
    <w:p w14:paraId="3DDED1D4" w14:textId="77777777" w:rsidR="00646716" w:rsidRPr="00D96C79" w:rsidRDefault="00646716" w:rsidP="00646716">
      <w:pPr>
        <w:pStyle w:val="Sinespaciado"/>
        <w:jc w:val="both"/>
        <w:rPr>
          <w:rFonts w:ascii="Times New Roman" w:hAnsi="Times New Roman" w:cs="Times New Roman"/>
        </w:rPr>
      </w:pPr>
    </w:p>
    <w:p w14:paraId="282483FD" w14:textId="2CABC17C" w:rsidR="00646716" w:rsidRPr="00D96C79" w:rsidRDefault="00646716" w:rsidP="00646716">
      <w:pPr>
        <w:pStyle w:val="Sinespaciado"/>
        <w:numPr>
          <w:ilvl w:val="0"/>
          <w:numId w:val="50"/>
        </w:numPr>
        <w:ind w:left="360"/>
        <w:jc w:val="both"/>
        <w:rPr>
          <w:rFonts w:ascii="Times New Roman" w:hAnsi="Times New Roman" w:cs="Times New Roman"/>
        </w:rPr>
      </w:pPr>
      <w:r w:rsidRPr="00D96C79">
        <w:rPr>
          <w:rFonts w:ascii="Times New Roman" w:hAnsi="Times New Roman" w:cs="Times New Roman"/>
          <w:u w:val="single"/>
        </w:rPr>
        <w:t>Consumo de capital fijo,</w:t>
      </w:r>
      <w:r w:rsidRPr="00D96C79">
        <w:rPr>
          <w:rFonts w:ascii="Times New Roman" w:hAnsi="Times New Roman" w:cs="Times New Roman"/>
        </w:rPr>
        <w:t xml:space="preserve"> este se define como el consumo o </w:t>
      </w:r>
      <w:r>
        <w:rPr>
          <w:rFonts w:ascii="Times New Roman" w:hAnsi="Times New Roman" w:cs="Times New Roman"/>
        </w:rPr>
        <w:t xml:space="preserve">disminución </w:t>
      </w:r>
      <w:r w:rsidRPr="00D96C79">
        <w:rPr>
          <w:rFonts w:ascii="Times New Roman" w:hAnsi="Times New Roman" w:cs="Times New Roman"/>
        </w:rPr>
        <w:t xml:space="preserve">de activos fijos para la producción de un bien o servicio, el cual causa deterioro, pérdida de valor o daños en el activo. </w:t>
      </w:r>
      <w:r>
        <w:rPr>
          <w:rFonts w:ascii="Times New Roman" w:hAnsi="Times New Roman" w:cs="Times New Roman"/>
        </w:rPr>
        <w:t xml:space="preserve">Cabe resaltar que actualmente aún no se presenta información de esta cuenta y la misma se estará incorporando conforme se progrese </w:t>
      </w:r>
      <w:r w:rsidR="00B53E61">
        <w:rPr>
          <w:rFonts w:ascii="Times New Roman" w:hAnsi="Times New Roman" w:cs="Times New Roman"/>
        </w:rPr>
        <w:t xml:space="preserve">en </w:t>
      </w:r>
      <w:r>
        <w:rPr>
          <w:rFonts w:ascii="Times New Roman" w:hAnsi="Times New Roman" w:cs="Times New Roman"/>
        </w:rPr>
        <w:t>la implementación de los estándares internacionales.</w:t>
      </w:r>
    </w:p>
    <w:p w14:paraId="1BE84FD0" w14:textId="77777777" w:rsidR="00646716" w:rsidRPr="00D96C79" w:rsidRDefault="00646716" w:rsidP="00646716">
      <w:pPr>
        <w:pStyle w:val="Sinespaciado"/>
        <w:jc w:val="both"/>
        <w:rPr>
          <w:rFonts w:ascii="Times New Roman" w:hAnsi="Times New Roman" w:cs="Times New Roman"/>
        </w:rPr>
      </w:pPr>
    </w:p>
    <w:p w14:paraId="3A4A9C4E" w14:textId="4AE31D36" w:rsidR="00646716" w:rsidRDefault="00646716" w:rsidP="00646716">
      <w:pPr>
        <w:pStyle w:val="Sinespaciado"/>
        <w:numPr>
          <w:ilvl w:val="0"/>
          <w:numId w:val="50"/>
        </w:numPr>
        <w:ind w:left="360"/>
        <w:jc w:val="both"/>
        <w:rPr>
          <w:rFonts w:ascii="Times New Roman" w:hAnsi="Times New Roman" w:cs="Times New Roman"/>
        </w:rPr>
      </w:pPr>
      <w:r w:rsidRPr="00D96C79">
        <w:rPr>
          <w:rFonts w:ascii="Times New Roman" w:hAnsi="Times New Roman" w:cs="Times New Roman"/>
          <w:u w:val="single"/>
        </w:rPr>
        <w:t>Los intereses</w:t>
      </w:r>
      <w:r w:rsidRPr="00D96C79">
        <w:rPr>
          <w:rFonts w:ascii="Times New Roman" w:hAnsi="Times New Roman" w:cs="Times New Roman"/>
        </w:rPr>
        <w:t xml:space="preserve"> son el retorno que reciben los propietarios de cierto tipo de activos financieros por poner a disposición otros activos. </w:t>
      </w:r>
      <w:r>
        <w:rPr>
          <w:rFonts w:ascii="Times New Roman" w:hAnsi="Times New Roman" w:cs="Times New Roman"/>
        </w:rPr>
        <w:t xml:space="preserve">En los estándares internacionales los descuentos de deuda no forman parte de la categoría de intereses, estos pasan a formar parte de la sección de transacciones en activos y pasivos. </w:t>
      </w:r>
    </w:p>
    <w:p w14:paraId="3AD2C19D" w14:textId="77777777" w:rsidR="00B53E61" w:rsidRDefault="00B53E61" w:rsidP="00646716">
      <w:pPr>
        <w:pStyle w:val="Sinespaciado"/>
        <w:ind w:left="360"/>
        <w:jc w:val="both"/>
        <w:rPr>
          <w:rFonts w:ascii="Times New Roman" w:hAnsi="Times New Roman" w:cs="Times New Roman"/>
        </w:rPr>
      </w:pPr>
    </w:p>
    <w:p w14:paraId="535743BF" w14:textId="62E13E58" w:rsidR="00646716" w:rsidRPr="00D96C79" w:rsidRDefault="00646716" w:rsidP="00646716">
      <w:pPr>
        <w:pStyle w:val="Sinespaciado"/>
        <w:ind w:left="360"/>
        <w:jc w:val="both"/>
        <w:rPr>
          <w:rFonts w:ascii="Times New Roman" w:hAnsi="Times New Roman" w:cs="Times New Roman"/>
        </w:rPr>
      </w:pPr>
      <w:r>
        <w:rPr>
          <w:rFonts w:ascii="Times New Roman" w:hAnsi="Times New Roman" w:cs="Times New Roman"/>
        </w:rPr>
        <w:t xml:space="preserve">Los intereses del Gobierno Central Presupuestario ascienden al 1.7% del PIB y están conformados por los otorgados a no residentes (0.6% del PIB), a residentes distintos del Gobierno General (0.9% del PIB) y a otras unidades del Gobierno General (0.2% del PIB), estas </w:t>
      </w:r>
      <w:r w:rsidR="00B53E61">
        <w:rPr>
          <w:rFonts w:ascii="Times New Roman" w:hAnsi="Times New Roman" w:cs="Times New Roman"/>
        </w:rPr>
        <w:t>últimas</w:t>
      </w:r>
      <w:r>
        <w:rPr>
          <w:rFonts w:ascii="Times New Roman" w:hAnsi="Times New Roman" w:cs="Times New Roman"/>
        </w:rPr>
        <w:t xml:space="preserve"> consisten en entidades públicas que realizan inversiones por medio de la adquisición de bonos del tesoro.</w:t>
      </w:r>
    </w:p>
    <w:p w14:paraId="55CED193" w14:textId="77777777" w:rsidR="00646716" w:rsidRPr="00D96C79" w:rsidRDefault="00646716" w:rsidP="00646716">
      <w:pPr>
        <w:pStyle w:val="Sinespaciado"/>
        <w:jc w:val="both"/>
        <w:rPr>
          <w:rFonts w:ascii="Times New Roman" w:hAnsi="Times New Roman" w:cs="Times New Roman"/>
        </w:rPr>
      </w:pPr>
    </w:p>
    <w:p w14:paraId="7A4AD069" w14:textId="77777777" w:rsidR="00646716" w:rsidRDefault="00646716" w:rsidP="00646716">
      <w:pPr>
        <w:pStyle w:val="Sinespaciado"/>
        <w:numPr>
          <w:ilvl w:val="0"/>
          <w:numId w:val="50"/>
        </w:numPr>
        <w:ind w:left="360"/>
        <w:jc w:val="both"/>
        <w:rPr>
          <w:rFonts w:ascii="Times New Roman" w:hAnsi="Times New Roman" w:cs="Times New Roman"/>
        </w:rPr>
      </w:pPr>
      <w:r w:rsidRPr="00D96C79">
        <w:rPr>
          <w:rFonts w:ascii="Times New Roman" w:hAnsi="Times New Roman" w:cs="Times New Roman"/>
          <w:u w:val="single"/>
        </w:rPr>
        <w:t>El subsidio</w:t>
      </w:r>
      <w:r w:rsidRPr="002824E9">
        <w:rPr>
          <w:rFonts w:ascii="Times New Roman" w:hAnsi="Times New Roman" w:cs="Times New Roman"/>
        </w:rPr>
        <w:t xml:space="preserve"> </w:t>
      </w:r>
      <w:r w:rsidRPr="00D96C79">
        <w:rPr>
          <w:rFonts w:ascii="Times New Roman" w:hAnsi="Times New Roman" w:cs="Times New Roman"/>
        </w:rPr>
        <w:t>muestra las transferencias sin contrapartida que el gobierno hace a empresas de acuerdo con los niveles de su actividad productiva o según el nivel de bienes o servicios producidos</w:t>
      </w:r>
      <w:r>
        <w:rPr>
          <w:rFonts w:ascii="Times New Roman" w:hAnsi="Times New Roman" w:cs="Times New Roman"/>
        </w:rPr>
        <w:t>. Esta categoría es exclusiva para los estándares internacionales.</w:t>
      </w:r>
    </w:p>
    <w:p w14:paraId="232A4E72" w14:textId="77777777" w:rsidR="00646716" w:rsidRDefault="00646716" w:rsidP="00646716">
      <w:pPr>
        <w:pStyle w:val="Sinespaciado"/>
        <w:jc w:val="both"/>
        <w:rPr>
          <w:rFonts w:ascii="Times New Roman" w:hAnsi="Times New Roman" w:cs="Times New Roman"/>
          <w:u w:val="single"/>
        </w:rPr>
      </w:pPr>
    </w:p>
    <w:p w14:paraId="29104076" w14:textId="77777777" w:rsidR="00646716" w:rsidRPr="0047046C" w:rsidRDefault="00646716" w:rsidP="00646716">
      <w:pPr>
        <w:pStyle w:val="Sinespaciado"/>
        <w:ind w:left="360"/>
        <w:jc w:val="both"/>
        <w:rPr>
          <w:rFonts w:ascii="Times New Roman" w:hAnsi="Times New Roman" w:cs="Times New Roman"/>
        </w:rPr>
      </w:pPr>
      <w:r>
        <w:rPr>
          <w:rFonts w:ascii="Times New Roman" w:hAnsi="Times New Roman" w:cs="Times New Roman"/>
        </w:rPr>
        <w:t>Para el año 2020, los subsidios del Gobierno Central Presupuestario fueron equivalentes al 0.4% del PIB y cabe mencionar que la mayor parte de este gasto se produce por la ejecución del Fondo de Protección al Empleo el cual, desde la perspectiva de su esencia económica, busca apoyar a las empresas privadas para que sus empleados, que hayan sufrido una suspensión laboral, cuenten con un ingreso por los acontecimientos del Covid-19.</w:t>
      </w:r>
    </w:p>
    <w:p w14:paraId="6F85A88F" w14:textId="77777777" w:rsidR="00646716" w:rsidRPr="00D96C79" w:rsidRDefault="00646716" w:rsidP="00646716">
      <w:pPr>
        <w:pStyle w:val="Sinespaciado"/>
        <w:ind w:left="-360" w:firstLine="108"/>
        <w:jc w:val="both"/>
        <w:rPr>
          <w:rFonts w:ascii="Times New Roman" w:hAnsi="Times New Roman" w:cs="Times New Roman"/>
        </w:rPr>
      </w:pPr>
    </w:p>
    <w:p w14:paraId="75A070E7" w14:textId="77777777" w:rsidR="00646716" w:rsidRDefault="00646716" w:rsidP="00646716">
      <w:pPr>
        <w:pStyle w:val="Sinespaciado"/>
        <w:numPr>
          <w:ilvl w:val="0"/>
          <w:numId w:val="50"/>
        </w:numPr>
        <w:ind w:left="360"/>
        <w:jc w:val="both"/>
        <w:rPr>
          <w:rFonts w:ascii="Times New Roman" w:hAnsi="Times New Roman" w:cs="Times New Roman"/>
        </w:rPr>
      </w:pPr>
      <w:r w:rsidRPr="00D96C79">
        <w:rPr>
          <w:rFonts w:ascii="Times New Roman" w:hAnsi="Times New Roman" w:cs="Times New Roman"/>
          <w:u w:val="single"/>
        </w:rPr>
        <w:t xml:space="preserve">Las donaciones </w:t>
      </w:r>
      <w:r w:rsidRPr="00D96C79">
        <w:rPr>
          <w:rFonts w:ascii="Times New Roman" w:hAnsi="Times New Roman" w:cs="Times New Roman"/>
        </w:rPr>
        <w:t>son transferencias que se pagan a otras unidades de gobierno general, a gobiernos extranjeros o a organismos internacionales, que no encajan en la definición de impuesto, subsidio o contribución social.</w:t>
      </w:r>
    </w:p>
    <w:p w14:paraId="271850F8" w14:textId="77777777" w:rsidR="00646716" w:rsidRDefault="00646716" w:rsidP="00646716">
      <w:pPr>
        <w:pStyle w:val="Sinespaciado"/>
        <w:jc w:val="both"/>
        <w:rPr>
          <w:rFonts w:ascii="Times New Roman" w:hAnsi="Times New Roman" w:cs="Times New Roman"/>
        </w:rPr>
      </w:pPr>
    </w:p>
    <w:p w14:paraId="6AE70818" w14:textId="77777777" w:rsidR="00646716" w:rsidRPr="00D96C79" w:rsidRDefault="00646716" w:rsidP="00646716">
      <w:pPr>
        <w:pStyle w:val="Sinespaciado"/>
        <w:ind w:left="360"/>
        <w:jc w:val="both"/>
        <w:rPr>
          <w:rFonts w:ascii="Times New Roman" w:hAnsi="Times New Roman" w:cs="Times New Roman"/>
        </w:rPr>
      </w:pPr>
      <w:r>
        <w:rPr>
          <w:rFonts w:ascii="Times New Roman" w:hAnsi="Times New Roman" w:cs="Times New Roman"/>
        </w:rPr>
        <w:t>Las donaciones realizadas por el Gobierno Central Presupuestario son del 3.3% del PIB y son otorgadas principalmente a entidades públicas que pertenecen al Gobierno General. Esto incluye los aportes que se brindan a la Universidad San Carlos de Guatemala, las Municipalidades, y otras entidades descentralizadas y autónomas.</w:t>
      </w:r>
    </w:p>
    <w:p w14:paraId="3C2E5DEE" w14:textId="77777777" w:rsidR="00646716" w:rsidRPr="00D96C79" w:rsidRDefault="00646716" w:rsidP="00646716">
      <w:pPr>
        <w:pStyle w:val="Sinespaciado"/>
        <w:jc w:val="both"/>
        <w:rPr>
          <w:rFonts w:ascii="Times New Roman" w:hAnsi="Times New Roman" w:cs="Times New Roman"/>
        </w:rPr>
      </w:pPr>
    </w:p>
    <w:p w14:paraId="59D64BCD" w14:textId="77777777" w:rsidR="00646716" w:rsidRDefault="00646716" w:rsidP="00646716">
      <w:pPr>
        <w:pStyle w:val="Sinespaciado"/>
        <w:numPr>
          <w:ilvl w:val="0"/>
          <w:numId w:val="50"/>
        </w:numPr>
        <w:ind w:left="360"/>
        <w:jc w:val="both"/>
        <w:rPr>
          <w:rFonts w:ascii="Times New Roman" w:hAnsi="Times New Roman" w:cs="Times New Roman"/>
        </w:rPr>
      </w:pPr>
      <w:r w:rsidRPr="00D96C79">
        <w:rPr>
          <w:rFonts w:ascii="Times New Roman" w:hAnsi="Times New Roman" w:cs="Times New Roman"/>
          <w:u w:val="single"/>
        </w:rPr>
        <w:t>Las prestaciones sociales</w:t>
      </w:r>
      <w:r w:rsidRPr="00D96C79">
        <w:rPr>
          <w:rFonts w:ascii="Times New Roman" w:hAnsi="Times New Roman" w:cs="Times New Roman"/>
        </w:rPr>
        <w:t xml:space="preserve"> son las transferencias que reciben los hogares</w:t>
      </w:r>
      <w:r>
        <w:rPr>
          <w:rFonts w:ascii="Times New Roman" w:hAnsi="Times New Roman" w:cs="Times New Roman"/>
        </w:rPr>
        <w:t xml:space="preserve"> y los trabajadores de las entidades públicas,</w:t>
      </w:r>
      <w:r w:rsidRPr="00D96C79">
        <w:rPr>
          <w:rFonts w:ascii="Times New Roman" w:hAnsi="Times New Roman" w:cs="Times New Roman"/>
        </w:rPr>
        <w:t xml:space="preserve"> con el fin de atender las necesidades que surgen por los riesgos sociales, como son las enfermedades, el desempleo, la vejez, la vivienda, la educación y circunstancias similares.  </w:t>
      </w:r>
    </w:p>
    <w:p w14:paraId="0D26D73C" w14:textId="77777777" w:rsidR="00646716" w:rsidRDefault="00646716" w:rsidP="00646716">
      <w:pPr>
        <w:pStyle w:val="Sinespaciado"/>
        <w:jc w:val="both"/>
        <w:rPr>
          <w:rFonts w:ascii="Times New Roman" w:hAnsi="Times New Roman" w:cs="Times New Roman"/>
        </w:rPr>
      </w:pPr>
    </w:p>
    <w:p w14:paraId="261BD185" w14:textId="77777777" w:rsidR="00646716" w:rsidRPr="00D96C79" w:rsidRDefault="00646716" w:rsidP="00646716">
      <w:pPr>
        <w:pStyle w:val="Sinespaciado"/>
        <w:ind w:left="360"/>
        <w:jc w:val="both"/>
        <w:rPr>
          <w:rFonts w:ascii="Times New Roman" w:hAnsi="Times New Roman" w:cs="Times New Roman"/>
        </w:rPr>
      </w:pPr>
      <w:r>
        <w:rPr>
          <w:rFonts w:ascii="Times New Roman" w:hAnsi="Times New Roman" w:cs="Times New Roman"/>
        </w:rPr>
        <w:t>El total de prestaciones sociales que otorgó el Gobierno Central Presupuestario en 2020, equivalen a 2.0% del PIB y estas se dividen en las prestaciones de asistencia social (1.2% del PIB) las cuales son transferencias que se le brinda a los hogares para atender necesidades de riesgos sociales (como por ejemplo el Bono familia) y las p</w:t>
      </w:r>
      <w:r w:rsidRPr="00A8076C">
        <w:rPr>
          <w:rFonts w:ascii="Times New Roman" w:hAnsi="Times New Roman" w:cs="Times New Roman"/>
        </w:rPr>
        <w:t>restaciones sociales relacionadas al empleo</w:t>
      </w:r>
      <w:r>
        <w:rPr>
          <w:rFonts w:ascii="Times New Roman" w:hAnsi="Times New Roman" w:cs="Times New Roman"/>
        </w:rPr>
        <w:t xml:space="preserve"> (0.8% del PIB).</w:t>
      </w:r>
    </w:p>
    <w:p w14:paraId="1441A20D" w14:textId="77777777" w:rsidR="00646716" w:rsidRPr="00D96C79" w:rsidRDefault="00646716" w:rsidP="00646716">
      <w:pPr>
        <w:pStyle w:val="Sinespaciado"/>
        <w:jc w:val="both"/>
        <w:rPr>
          <w:rFonts w:ascii="Times New Roman" w:hAnsi="Times New Roman" w:cs="Times New Roman"/>
        </w:rPr>
      </w:pPr>
    </w:p>
    <w:p w14:paraId="34F2922F" w14:textId="77777777" w:rsidR="00646716" w:rsidRDefault="00646716" w:rsidP="00646716">
      <w:pPr>
        <w:pStyle w:val="Sinespaciado"/>
        <w:numPr>
          <w:ilvl w:val="0"/>
          <w:numId w:val="50"/>
        </w:numPr>
        <w:ind w:left="360"/>
        <w:jc w:val="both"/>
        <w:rPr>
          <w:rFonts w:ascii="Times New Roman" w:hAnsi="Times New Roman" w:cs="Times New Roman"/>
        </w:rPr>
      </w:pPr>
      <w:r w:rsidRPr="00D96C79">
        <w:rPr>
          <w:rFonts w:ascii="Times New Roman" w:hAnsi="Times New Roman" w:cs="Times New Roman"/>
          <w:u w:val="single"/>
        </w:rPr>
        <w:t>Otros Gastos,</w:t>
      </w:r>
      <w:r w:rsidRPr="00D96C79">
        <w:rPr>
          <w:rFonts w:ascii="Times New Roman" w:hAnsi="Times New Roman" w:cs="Times New Roman"/>
        </w:rPr>
        <w:t xml:space="preserve"> en este se incluyen los gastos de propiedad diferentes de intereses, como, gasto en arriendo o inversión de recursos naturales o de activos financieros; también considera las transferencias no incluidas en otras partidas, y primas, tasas e indemnizaciones pagaderas por seguros no de vida y sistemas de garantías estandarizadas.  </w:t>
      </w:r>
    </w:p>
    <w:p w14:paraId="58DED729" w14:textId="77777777" w:rsidR="00646716" w:rsidRDefault="00646716" w:rsidP="00646716">
      <w:pPr>
        <w:pStyle w:val="Sinespaciado"/>
        <w:jc w:val="both"/>
        <w:rPr>
          <w:rFonts w:ascii="Times New Roman" w:hAnsi="Times New Roman" w:cs="Times New Roman"/>
        </w:rPr>
      </w:pPr>
    </w:p>
    <w:p w14:paraId="77F121AC" w14:textId="77777777" w:rsidR="00646716" w:rsidRDefault="00646716" w:rsidP="00646716">
      <w:pPr>
        <w:pStyle w:val="Sinespaciado"/>
        <w:ind w:left="360"/>
        <w:jc w:val="both"/>
        <w:rPr>
          <w:rFonts w:ascii="Times New Roman" w:hAnsi="Times New Roman" w:cs="Times New Roman"/>
        </w:rPr>
      </w:pPr>
      <w:r>
        <w:rPr>
          <w:rFonts w:ascii="Times New Roman" w:hAnsi="Times New Roman" w:cs="Times New Roman"/>
        </w:rPr>
        <w:t>Los otros gastos ascienden al 0.9% del PIB y principalmente es producto de las transferencias no clasificadas en otra partida (0.7% del PIB).</w:t>
      </w:r>
    </w:p>
    <w:p w14:paraId="78A5C542" w14:textId="77777777" w:rsidR="00646716" w:rsidRDefault="00646716" w:rsidP="00646716">
      <w:pPr>
        <w:jc w:val="both"/>
        <w:rPr>
          <w:rFonts w:ascii="Times New Roman" w:eastAsia="Calibri" w:hAnsi="Times New Roman" w:cs="Times New Roman"/>
        </w:rPr>
      </w:pPr>
    </w:p>
    <w:p w14:paraId="0A8D65E6" w14:textId="77777777" w:rsidR="00646716" w:rsidRPr="00E92084" w:rsidRDefault="00646716" w:rsidP="001D1FFA">
      <w:pPr>
        <w:pStyle w:val="Sinespaciado"/>
        <w:ind w:left="720"/>
        <w:jc w:val="both"/>
        <w:rPr>
          <w:rFonts w:ascii="Times New Roman" w:hAnsi="Times New Roman" w:cs="Times New Roman"/>
          <w:b/>
        </w:rPr>
      </w:pPr>
      <w:r w:rsidRPr="005D1E82">
        <w:rPr>
          <w:rFonts w:ascii="Times New Roman" w:hAnsi="Times New Roman" w:cs="Times New Roman"/>
          <w:b/>
        </w:rPr>
        <w:t xml:space="preserve">Transacciones en Activos </w:t>
      </w:r>
      <w:r>
        <w:rPr>
          <w:rFonts w:ascii="Times New Roman" w:hAnsi="Times New Roman" w:cs="Times New Roman"/>
          <w:b/>
        </w:rPr>
        <w:t>no Financieros del Gobierno Central Presupuestario</w:t>
      </w:r>
    </w:p>
    <w:p w14:paraId="03C4667E" w14:textId="77777777" w:rsidR="00646716" w:rsidRPr="00646716" w:rsidRDefault="00646716" w:rsidP="00646716">
      <w:pPr>
        <w:spacing w:after="120"/>
        <w:jc w:val="both"/>
        <w:rPr>
          <w:rFonts w:ascii="Times New Roman" w:hAnsi="Times New Roman" w:cs="Times New Roman"/>
          <w:sz w:val="4"/>
        </w:rPr>
      </w:pPr>
    </w:p>
    <w:p w14:paraId="01A1022C" w14:textId="0121ABB1" w:rsidR="00646716" w:rsidRDefault="00646716" w:rsidP="00646716">
      <w:pPr>
        <w:spacing w:after="120"/>
        <w:jc w:val="both"/>
        <w:rPr>
          <w:rFonts w:ascii="Times New Roman" w:hAnsi="Times New Roman" w:cs="Times New Roman"/>
        </w:rPr>
      </w:pPr>
      <w:r w:rsidRPr="00E92084">
        <w:rPr>
          <w:rFonts w:ascii="Times New Roman" w:hAnsi="Times New Roman" w:cs="Times New Roman"/>
        </w:rPr>
        <w:t>Las transacciones en activos y pasivos son todas aque</w:t>
      </w:r>
      <w:r>
        <w:rPr>
          <w:rFonts w:ascii="Times New Roman" w:hAnsi="Times New Roman" w:cs="Times New Roman"/>
        </w:rPr>
        <w:t>ll</w:t>
      </w:r>
      <w:r w:rsidRPr="00E92084">
        <w:rPr>
          <w:rFonts w:ascii="Times New Roman" w:hAnsi="Times New Roman" w:cs="Times New Roman"/>
        </w:rPr>
        <w:t>as que no generan una variación</w:t>
      </w:r>
      <w:r>
        <w:rPr>
          <w:rFonts w:ascii="Times New Roman" w:hAnsi="Times New Roman" w:cs="Times New Roman"/>
        </w:rPr>
        <w:t xml:space="preserve"> en</w:t>
      </w:r>
      <w:r w:rsidRPr="00E92084">
        <w:rPr>
          <w:rFonts w:ascii="Times New Roman" w:hAnsi="Times New Roman" w:cs="Times New Roman"/>
        </w:rPr>
        <w:t xml:space="preserve"> el patrimonio neto</w:t>
      </w:r>
      <w:r>
        <w:rPr>
          <w:rFonts w:ascii="Times New Roman" w:hAnsi="Times New Roman" w:cs="Times New Roman"/>
        </w:rPr>
        <w:t>,</w:t>
      </w:r>
      <w:r w:rsidRPr="00E92084">
        <w:rPr>
          <w:rFonts w:ascii="Times New Roman" w:hAnsi="Times New Roman" w:cs="Times New Roman"/>
        </w:rPr>
        <w:t xml:space="preserve"> </w:t>
      </w:r>
      <w:r>
        <w:rPr>
          <w:rFonts w:ascii="Times New Roman" w:hAnsi="Times New Roman" w:cs="Times New Roman"/>
        </w:rPr>
        <w:t>s</w:t>
      </w:r>
      <w:r w:rsidRPr="0080371C">
        <w:rPr>
          <w:rFonts w:ascii="Times New Roman" w:hAnsi="Times New Roman" w:cs="Times New Roman"/>
        </w:rPr>
        <w:t xml:space="preserve">obre este concepto se </w:t>
      </w:r>
      <w:r>
        <w:rPr>
          <w:rFonts w:ascii="Times New Roman" w:hAnsi="Times New Roman" w:cs="Times New Roman"/>
        </w:rPr>
        <w:t>puede presentar tanto</w:t>
      </w:r>
      <w:r w:rsidRPr="0080371C">
        <w:rPr>
          <w:rFonts w:ascii="Times New Roman" w:hAnsi="Times New Roman" w:cs="Times New Roman"/>
        </w:rPr>
        <w:t xml:space="preserve"> información de saldos </w:t>
      </w:r>
      <w:r>
        <w:rPr>
          <w:rFonts w:ascii="Times New Roman" w:hAnsi="Times New Roman" w:cs="Times New Roman"/>
        </w:rPr>
        <w:t>como</w:t>
      </w:r>
      <w:r w:rsidRPr="0080371C">
        <w:rPr>
          <w:rFonts w:ascii="Times New Roman" w:hAnsi="Times New Roman" w:cs="Times New Roman"/>
        </w:rPr>
        <w:t xml:space="preserve"> flujos</w:t>
      </w:r>
      <w:r>
        <w:rPr>
          <w:rFonts w:ascii="Times New Roman" w:hAnsi="Times New Roman" w:cs="Times New Roman"/>
        </w:rPr>
        <w:t xml:space="preserve"> y a su vez, estos pueden corresponder a lo que se considera como unas transacciones</w:t>
      </w:r>
      <w:r w:rsidRPr="0080371C">
        <w:rPr>
          <w:rFonts w:ascii="Times New Roman" w:hAnsi="Times New Roman" w:cs="Times New Roman"/>
        </w:rPr>
        <w:t xml:space="preserve"> </w:t>
      </w:r>
      <w:r>
        <w:rPr>
          <w:rFonts w:ascii="Times New Roman" w:hAnsi="Times New Roman" w:cs="Times New Roman"/>
        </w:rPr>
        <w:t>o a</w:t>
      </w:r>
      <w:r w:rsidRPr="0080371C">
        <w:rPr>
          <w:rFonts w:ascii="Times New Roman" w:hAnsi="Times New Roman" w:cs="Times New Roman"/>
        </w:rPr>
        <w:t xml:space="preserve"> </w:t>
      </w:r>
      <w:r>
        <w:rPr>
          <w:rFonts w:ascii="Times New Roman" w:hAnsi="Times New Roman" w:cs="Times New Roman"/>
        </w:rPr>
        <w:t xml:space="preserve">la clasificación de </w:t>
      </w:r>
      <w:r w:rsidRPr="0080371C">
        <w:rPr>
          <w:rFonts w:ascii="Times New Roman" w:hAnsi="Times New Roman" w:cs="Times New Roman"/>
        </w:rPr>
        <w:t xml:space="preserve">otros flujos económicos. </w:t>
      </w:r>
      <w:r>
        <w:rPr>
          <w:rFonts w:ascii="Times New Roman" w:hAnsi="Times New Roman" w:cs="Times New Roman"/>
        </w:rPr>
        <w:t>Cabe resaltar que, estos no pueden compararse directamente con la metodología nacional en donde no existe esta clasificación y las transacciones se registran ya sea como un ingreso o un gasto.</w:t>
      </w:r>
    </w:p>
    <w:p w14:paraId="18DCF62D" w14:textId="77777777" w:rsidR="00646716" w:rsidRDefault="00646716" w:rsidP="00646716">
      <w:pPr>
        <w:spacing w:after="120"/>
        <w:jc w:val="both"/>
        <w:rPr>
          <w:rFonts w:ascii="Times New Roman" w:hAnsi="Times New Roman" w:cs="Times New Roman"/>
        </w:rPr>
      </w:pPr>
      <w:r>
        <w:rPr>
          <w:rFonts w:ascii="Times New Roman" w:hAnsi="Times New Roman" w:cs="Times New Roman"/>
        </w:rPr>
        <w:t xml:space="preserve">Las transacciones se dividen en activos no financieros y activos y pasivos financieros, siendo en estos dos últimos donde </w:t>
      </w:r>
      <w:r w:rsidRPr="00E92084">
        <w:rPr>
          <w:rFonts w:ascii="Times New Roman" w:hAnsi="Times New Roman" w:cs="Times New Roman"/>
        </w:rPr>
        <w:t xml:space="preserve">se presenta la información sobre los mecanismos financiamiento para cubrir el endeudamiento o bien para reflejar los préstamos que se otorga ante un resultado superavitario en el </w:t>
      </w:r>
      <w:r>
        <w:rPr>
          <w:rFonts w:ascii="Times New Roman" w:hAnsi="Times New Roman" w:cs="Times New Roman"/>
        </w:rPr>
        <w:t>e</w:t>
      </w:r>
      <w:r w:rsidRPr="00E92084">
        <w:rPr>
          <w:rFonts w:ascii="Times New Roman" w:hAnsi="Times New Roman" w:cs="Times New Roman"/>
        </w:rPr>
        <w:t>stado de operaciones</w:t>
      </w:r>
      <w:r>
        <w:rPr>
          <w:rFonts w:ascii="Times New Roman" w:hAnsi="Times New Roman" w:cs="Times New Roman"/>
        </w:rPr>
        <w:t>. En los activos no Financieros se puede dividir en los producidos y los no producidos.</w:t>
      </w:r>
    </w:p>
    <w:p w14:paraId="6FDCEBEC" w14:textId="77777777" w:rsidR="00646716" w:rsidRPr="00D96C79" w:rsidRDefault="00646716" w:rsidP="00646716">
      <w:pPr>
        <w:pStyle w:val="Sinespaciado"/>
        <w:jc w:val="both"/>
        <w:rPr>
          <w:rFonts w:ascii="Times New Roman" w:hAnsi="Times New Roman" w:cs="Times New Roman"/>
        </w:rPr>
      </w:pPr>
      <w:r>
        <w:rPr>
          <w:rFonts w:ascii="Times New Roman" w:hAnsi="Times New Roman" w:cs="Times New Roman"/>
        </w:rPr>
        <w:t>L</w:t>
      </w:r>
      <w:r w:rsidRPr="00D96C79">
        <w:rPr>
          <w:rFonts w:ascii="Times New Roman" w:hAnsi="Times New Roman" w:cs="Times New Roman"/>
        </w:rPr>
        <w:t xml:space="preserve">os activos </w:t>
      </w:r>
      <w:r>
        <w:rPr>
          <w:rFonts w:ascii="Times New Roman" w:hAnsi="Times New Roman" w:cs="Times New Roman"/>
        </w:rPr>
        <w:t xml:space="preserve">producidos, </w:t>
      </w:r>
      <w:r w:rsidRPr="00D96C79">
        <w:rPr>
          <w:rFonts w:ascii="Times New Roman" w:hAnsi="Times New Roman" w:cs="Times New Roman"/>
        </w:rPr>
        <w:t>abarcan:</w:t>
      </w:r>
    </w:p>
    <w:p w14:paraId="09539E55" w14:textId="77777777" w:rsidR="00646716" w:rsidRPr="00D96C79" w:rsidRDefault="00646716" w:rsidP="00646716">
      <w:pPr>
        <w:pStyle w:val="Sinespaciado"/>
        <w:jc w:val="both"/>
        <w:rPr>
          <w:rFonts w:ascii="Times New Roman" w:hAnsi="Times New Roman" w:cs="Times New Roman"/>
        </w:rPr>
      </w:pPr>
    </w:p>
    <w:p w14:paraId="67EDD9CD" w14:textId="77777777" w:rsidR="00646716" w:rsidRDefault="00646716" w:rsidP="00646716">
      <w:pPr>
        <w:pStyle w:val="Sinespaciado"/>
        <w:numPr>
          <w:ilvl w:val="0"/>
          <w:numId w:val="51"/>
        </w:numPr>
        <w:jc w:val="both"/>
        <w:rPr>
          <w:rFonts w:ascii="Times New Roman" w:hAnsi="Times New Roman" w:cs="Times New Roman"/>
        </w:rPr>
      </w:pPr>
      <w:r w:rsidRPr="00590D03">
        <w:rPr>
          <w:rFonts w:ascii="Times New Roman" w:hAnsi="Times New Roman" w:cs="Times New Roman"/>
          <w:u w:val="single"/>
        </w:rPr>
        <w:t>Activos fijos:</w:t>
      </w:r>
      <w:r w:rsidRPr="00590D03">
        <w:rPr>
          <w:rFonts w:ascii="Times New Roman" w:hAnsi="Times New Roman" w:cs="Times New Roman"/>
        </w:rPr>
        <w:t xml:space="preserve"> son activos producidos utilizados en el proceso productivo por más de un año y se clasifican en edificios y estructuras, maquinaria y equipo, otros activos fijos y sistemas de armamentos.  </w:t>
      </w:r>
    </w:p>
    <w:p w14:paraId="2AC96CC8" w14:textId="77777777" w:rsidR="00646716" w:rsidRDefault="00646716" w:rsidP="00646716">
      <w:pPr>
        <w:pStyle w:val="Sinespaciado"/>
        <w:ind w:left="360"/>
        <w:jc w:val="both"/>
        <w:rPr>
          <w:rFonts w:ascii="Times New Roman" w:hAnsi="Times New Roman" w:cs="Times New Roman"/>
        </w:rPr>
      </w:pPr>
    </w:p>
    <w:p w14:paraId="0C5F104C" w14:textId="77777777" w:rsidR="00646716" w:rsidRPr="00590D03" w:rsidRDefault="00646716" w:rsidP="00646716">
      <w:pPr>
        <w:pStyle w:val="Sinespaciado"/>
        <w:ind w:left="360"/>
        <w:jc w:val="both"/>
        <w:rPr>
          <w:rFonts w:ascii="Times New Roman" w:hAnsi="Times New Roman" w:cs="Times New Roman"/>
        </w:rPr>
      </w:pPr>
      <w:r>
        <w:rPr>
          <w:rFonts w:ascii="Times New Roman" w:hAnsi="Times New Roman" w:cs="Times New Roman"/>
        </w:rPr>
        <w:t>P</w:t>
      </w:r>
      <w:r w:rsidRPr="00590D03">
        <w:rPr>
          <w:rFonts w:ascii="Times New Roman" w:hAnsi="Times New Roman" w:cs="Times New Roman"/>
        </w:rPr>
        <w:t xml:space="preserve">ara el 2020, </w:t>
      </w:r>
      <w:r>
        <w:rPr>
          <w:rFonts w:ascii="Times New Roman" w:hAnsi="Times New Roman" w:cs="Times New Roman"/>
        </w:rPr>
        <w:t xml:space="preserve">Los Activos Fijos equivalen al </w:t>
      </w:r>
      <w:r w:rsidRPr="00590D03">
        <w:rPr>
          <w:rFonts w:ascii="Times New Roman" w:hAnsi="Times New Roman" w:cs="Times New Roman"/>
        </w:rPr>
        <w:t xml:space="preserve">0.5% del PIB </w:t>
      </w:r>
      <w:r>
        <w:rPr>
          <w:rFonts w:ascii="Times New Roman" w:hAnsi="Times New Roman" w:cs="Times New Roman"/>
        </w:rPr>
        <w:t xml:space="preserve">en </w:t>
      </w:r>
      <w:r w:rsidRPr="00590D03">
        <w:rPr>
          <w:rFonts w:ascii="Times New Roman" w:hAnsi="Times New Roman" w:cs="Times New Roman"/>
        </w:rPr>
        <w:t>Gobierno Central Presupuestario</w:t>
      </w:r>
      <w:r>
        <w:rPr>
          <w:rFonts w:ascii="Times New Roman" w:hAnsi="Times New Roman" w:cs="Times New Roman"/>
        </w:rPr>
        <w:t xml:space="preserve"> y representa practicante la totalidad de la inversión bruta en activos no financieros. Este esta conformado por la adquisición de edificios y estructuras (incluye la construcción de carreteras) que equivale el 0.4% del PIB y maquinaria y equipo por 0.1% del PIB.</w:t>
      </w:r>
    </w:p>
    <w:p w14:paraId="3600ECB5" w14:textId="77777777" w:rsidR="00646716" w:rsidRPr="00D96C79" w:rsidRDefault="00646716" w:rsidP="00646716">
      <w:pPr>
        <w:pStyle w:val="Sinespaciado"/>
        <w:jc w:val="both"/>
        <w:rPr>
          <w:rFonts w:ascii="Times New Roman" w:hAnsi="Times New Roman" w:cs="Times New Roman"/>
        </w:rPr>
      </w:pPr>
    </w:p>
    <w:p w14:paraId="5C859EF7" w14:textId="77777777" w:rsidR="00646716" w:rsidRPr="00D02357" w:rsidRDefault="00646716" w:rsidP="00646716">
      <w:pPr>
        <w:pStyle w:val="Sinespaciado"/>
        <w:numPr>
          <w:ilvl w:val="0"/>
          <w:numId w:val="51"/>
        </w:numPr>
        <w:jc w:val="both"/>
        <w:rPr>
          <w:rFonts w:ascii="Times New Roman" w:hAnsi="Times New Roman" w:cs="Times New Roman"/>
        </w:rPr>
      </w:pPr>
      <w:r w:rsidRPr="00D02357">
        <w:rPr>
          <w:rFonts w:ascii="Times New Roman" w:hAnsi="Times New Roman" w:cs="Times New Roman"/>
          <w:u w:val="single"/>
        </w:rPr>
        <w:t>Existencias:</w:t>
      </w:r>
      <w:r w:rsidRPr="00D02357">
        <w:rPr>
          <w:rFonts w:ascii="Times New Roman" w:hAnsi="Times New Roman" w:cs="Times New Roman"/>
        </w:rPr>
        <w:t xml:space="preserve"> </w:t>
      </w:r>
      <w:r>
        <w:rPr>
          <w:rFonts w:ascii="Times New Roman" w:hAnsi="Times New Roman" w:cs="Times New Roman"/>
        </w:rPr>
        <w:t>s</w:t>
      </w:r>
      <w:r w:rsidRPr="00D02357">
        <w:rPr>
          <w:rFonts w:ascii="Times New Roman" w:hAnsi="Times New Roman" w:cs="Times New Roman"/>
        </w:rPr>
        <w:t xml:space="preserve">on bienes y servicios producidos y que se mantienen </w:t>
      </w:r>
      <w:r>
        <w:rPr>
          <w:rFonts w:ascii="Times New Roman" w:hAnsi="Times New Roman" w:cs="Times New Roman"/>
        </w:rPr>
        <w:t>ya sea para</w:t>
      </w:r>
      <w:r w:rsidRPr="00D02357">
        <w:rPr>
          <w:rFonts w:ascii="Times New Roman" w:hAnsi="Times New Roman" w:cs="Times New Roman"/>
        </w:rPr>
        <w:t xml:space="preserve"> ser vendidos, ser utilizados en la producción o ser destinados a otro uso en una</w:t>
      </w:r>
      <w:r>
        <w:rPr>
          <w:rFonts w:ascii="Times New Roman" w:hAnsi="Times New Roman" w:cs="Times New Roman"/>
        </w:rPr>
        <w:t xml:space="preserve"> </w:t>
      </w:r>
      <w:r w:rsidRPr="00D02357">
        <w:rPr>
          <w:rFonts w:ascii="Times New Roman" w:hAnsi="Times New Roman" w:cs="Times New Roman"/>
        </w:rPr>
        <w:t>fecha posterior</w:t>
      </w:r>
      <w:r>
        <w:rPr>
          <w:rFonts w:ascii="Times New Roman" w:hAnsi="Times New Roman" w:cs="Times New Roman"/>
        </w:rPr>
        <w:t xml:space="preserve">. Entre estos se encuentran </w:t>
      </w:r>
      <w:r w:rsidRPr="00FF0C8B">
        <w:rPr>
          <w:rFonts w:ascii="Times New Roman" w:hAnsi="Times New Roman" w:cs="Times New Roman"/>
        </w:rPr>
        <w:t>materiales y suministros</w:t>
      </w:r>
      <w:r>
        <w:rPr>
          <w:rFonts w:ascii="Times New Roman" w:hAnsi="Times New Roman" w:cs="Times New Roman"/>
        </w:rPr>
        <w:t xml:space="preserve">, </w:t>
      </w:r>
      <w:r w:rsidRPr="009A1F59">
        <w:rPr>
          <w:rFonts w:ascii="Times New Roman" w:hAnsi="Times New Roman" w:cs="Times New Roman"/>
        </w:rPr>
        <w:t>trabajos en curso</w:t>
      </w:r>
      <w:r>
        <w:rPr>
          <w:rFonts w:ascii="Times New Roman" w:hAnsi="Times New Roman" w:cs="Times New Roman"/>
        </w:rPr>
        <w:t xml:space="preserve">, </w:t>
      </w:r>
      <w:r w:rsidRPr="009A1F59">
        <w:rPr>
          <w:rFonts w:ascii="Times New Roman" w:hAnsi="Times New Roman" w:cs="Times New Roman"/>
        </w:rPr>
        <w:t>productos terminados</w:t>
      </w:r>
      <w:r>
        <w:rPr>
          <w:rFonts w:ascii="Times New Roman" w:hAnsi="Times New Roman" w:cs="Times New Roman"/>
        </w:rPr>
        <w:t xml:space="preserve">, </w:t>
      </w:r>
      <w:r w:rsidRPr="009A1F59">
        <w:rPr>
          <w:rFonts w:ascii="Times New Roman" w:hAnsi="Times New Roman" w:cs="Times New Roman"/>
        </w:rPr>
        <w:t>bienes para reventa</w:t>
      </w:r>
      <w:r>
        <w:rPr>
          <w:rFonts w:ascii="Times New Roman" w:hAnsi="Times New Roman" w:cs="Times New Roman"/>
        </w:rPr>
        <w:t xml:space="preserve"> y </w:t>
      </w:r>
      <w:r w:rsidRPr="009A1F59">
        <w:rPr>
          <w:rFonts w:ascii="Times New Roman" w:hAnsi="Times New Roman" w:cs="Times New Roman"/>
        </w:rPr>
        <w:t>existencias militares</w:t>
      </w:r>
    </w:p>
    <w:p w14:paraId="0D3040F3" w14:textId="77777777" w:rsidR="00646716" w:rsidRPr="00D96C79" w:rsidRDefault="00646716" w:rsidP="00646716">
      <w:pPr>
        <w:pStyle w:val="Sinespaciado"/>
        <w:jc w:val="both"/>
        <w:rPr>
          <w:rFonts w:ascii="Times New Roman" w:hAnsi="Times New Roman" w:cs="Times New Roman"/>
        </w:rPr>
      </w:pPr>
    </w:p>
    <w:p w14:paraId="0F386E3E" w14:textId="77777777" w:rsidR="00646716" w:rsidRPr="00D96C79" w:rsidRDefault="00646716" w:rsidP="00646716">
      <w:pPr>
        <w:pStyle w:val="Sinespaciado"/>
        <w:numPr>
          <w:ilvl w:val="0"/>
          <w:numId w:val="52"/>
        </w:numPr>
        <w:jc w:val="both"/>
        <w:rPr>
          <w:rFonts w:ascii="Times New Roman" w:hAnsi="Times New Roman" w:cs="Times New Roman"/>
        </w:rPr>
      </w:pPr>
      <w:r w:rsidRPr="00D96C79">
        <w:rPr>
          <w:rFonts w:ascii="Times New Roman" w:hAnsi="Times New Roman" w:cs="Times New Roman"/>
          <w:u w:val="single"/>
        </w:rPr>
        <w:t>Los objetos de valor</w:t>
      </w:r>
      <w:r w:rsidRPr="00D96C79">
        <w:rPr>
          <w:rFonts w:ascii="Times New Roman" w:hAnsi="Times New Roman" w:cs="Times New Roman"/>
        </w:rPr>
        <w:t xml:space="preserve"> son activos producidos que no son utilizados principalmente para producción o consumo, se espera aumente su valor o se mantenga y no se deterioren. Incluye pinturas, esculturas, joyas, oro monetario y otros. Las transferencias de objetos de valor se relacionan con la adquisición o disposición del bien al precio de venta o compra y considerando cualquier costo adicional de la transacción.  </w:t>
      </w:r>
    </w:p>
    <w:p w14:paraId="02E9EA56" w14:textId="77777777" w:rsidR="00646716" w:rsidRPr="00D96C79" w:rsidRDefault="00646716" w:rsidP="00646716">
      <w:pPr>
        <w:pStyle w:val="Sinespaciado"/>
        <w:jc w:val="both"/>
        <w:rPr>
          <w:rFonts w:ascii="Times New Roman" w:hAnsi="Times New Roman" w:cs="Times New Roman"/>
        </w:rPr>
      </w:pPr>
    </w:p>
    <w:p w14:paraId="62CFA65A" w14:textId="77777777" w:rsidR="00646716" w:rsidRPr="00D96C79" w:rsidRDefault="00646716" w:rsidP="00646716">
      <w:pPr>
        <w:pStyle w:val="Sinespaciado"/>
        <w:jc w:val="both"/>
        <w:rPr>
          <w:rFonts w:ascii="Times New Roman" w:hAnsi="Times New Roman" w:cs="Times New Roman"/>
        </w:rPr>
      </w:pPr>
      <w:r>
        <w:rPr>
          <w:rFonts w:ascii="Times New Roman" w:hAnsi="Times New Roman" w:cs="Times New Roman"/>
        </w:rPr>
        <w:t>Los a</w:t>
      </w:r>
      <w:r w:rsidRPr="00D96C79">
        <w:rPr>
          <w:rFonts w:ascii="Times New Roman" w:hAnsi="Times New Roman" w:cs="Times New Roman"/>
        </w:rPr>
        <w:t>ctivos no producidos</w:t>
      </w:r>
      <w:r>
        <w:rPr>
          <w:rFonts w:ascii="Times New Roman" w:hAnsi="Times New Roman" w:cs="Times New Roman"/>
        </w:rPr>
        <w:t xml:space="preserve"> son</w:t>
      </w:r>
      <w:r w:rsidRPr="00D96C79">
        <w:rPr>
          <w:rFonts w:ascii="Times New Roman" w:hAnsi="Times New Roman" w:cs="Times New Roman"/>
        </w:rPr>
        <w:t>:</w:t>
      </w:r>
    </w:p>
    <w:p w14:paraId="532DC4FB" w14:textId="77777777" w:rsidR="00646716" w:rsidRPr="00D96C79" w:rsidRDefault="00646716" w:rsidP="00646716">
      <w:pPr>
        <w:pStyle w:val="Sinespaciado"/>
        <w:jc w:val="both"/>
        <w:rPr>
          <w:rFonts w:ascii="Times New Roman" w:hAnsi="Times New Roman" w:cs="Times New Roman"/>
        </w:rPr>
      </w:pPr>
    </w:p>
    <w:p w14:paraId="1DEAAC73" w14:textId="77777777" w:rsidR="00646716" w:rsidRDefault="00646716" w:rsidP="00646716">
      <w:pPr>
        <w:pStyle w:val="Sinespaciado"/>
        <w:numPr>
          <w:ilvl w:val="0"/>
          <w:numId w:val="52"/>
        </w:numPr>
        <w:jc w:val="both"/>
        <w:rPr>
          <w:rFonts w:ascii="Times New Roman" w:hAnsi="Times New Roman" w:cs="Times New Roman"/>
        </w:rPr>
      </w:pPr>
      <w:r w:rsidRPr="00D96C79">
        <w:rPr>
          <w:rFonts w:ascii="Times New Roman" w:hAnsi="Times New Roman" w:cs="Times New Roman"/>
          <w:u w:val="single"/>
        </w:rPr>
        <w:t>Tierras y terrenos</w:t>
      </w:r>
      <w:r w:rsidRPr="00D96C79">
        <w:rPr>
          <w:rFonts w:ascii="Times New Roman" w:hAnsi="Times New Roman" w:cs="Times New Roman"/>
        </w:rPr>
        <w:t xml:space="preserve"> incluye el suelo sobre el cual se ha adquirido derecho de propiedad y del cual es posible generar beneficios económicos. Para este rubro no se consideran terrenos donde se encuentran construcciones como edificios o carreteras, cultivos o plantaciones de árboles o animales, recursos hídricos del subsuelo y el subsuelo.</w:t>
      </w:r>
    </w:p>
    <w:p w14:paraId="4EE67465" w14:textId="77777777" w:rsidR="00646716" w:rsidRDefault="00646716" w:rsidP="00646716">
      <w:pPr>
        <w:pStyle w:val="Sinespaciado"/>
        <w:ind w:left="360"/>
        <w:jc w:val="both"/>
        <w:rPr>
          <w:rFonts w:ascii="Times New Roman" w:hAnsi="Times New Roman" w:cs="Times New Roman"/>
        </w:rPr>
      </w:pPr>
    </w:p>
    <w:p w14:paraId="7A0C1E81" w14:textId="77777777" w:rsidR="00646716" w:rsidRPr="00D96C79" w:rsidRDefault="00646716" w:rsidP="00646716">
      <w:pPr>
        <w:pStyle w:val="Sinespaciado"/>
        <w:numPr>
          <w:ilvl w:val="0"/>
          <w:numId w:val="52"/>
        </w:numPr>
        <w:jc w:val="both"/>
        <w:rPr>
          <w:rFonts w:ascii="Times New Roman" w:hAnsi="Times New Roman" w:cs="Times New Roman"/>
        </w:rPr>
      </w:pPr>
      <w:r w:rsidRPr="00D96C79">
        <w:rPr>
          <w:rFonts w:ascii="Times New Roman" w:hAnsi="Times New Roman" w:cs="Times New Roman"/>
          <w:u w:val="single"/>
        </w:rPr>
        <w:t>Los recursos minerales y energéticos</w:t>
      </w:r>
      <w:r w:rsidRPr="00D96C79">
        <w:rPr>
          <w:rFonts w:ascii="Times New Roman" w:hAnsi="Times New Roman" w:cs="Times New Roman"/>
        </w:rPr>
        <w:t xml:space="preserve"> reflejan las reservas minerales y energéticas que son explotables económicamente. Las transacciones se dan por traspaso de la propiedad de estos recursos. En el caso del gobierno (presupuestario), no adquiere o dispone de este activo, ya que siempre es el propietario legal y únicamente arrienda su uso; por ello, al encontrar un nuevo yacimiento o mina o recurso, se registra una variación en el volumen (OFE) de este activo.  </w:t>
      </w:r>
    </w:p>
    <w:p w14:paraId="3DFB3692" w14:textId="77777777" w:rsidR="00646716" w:rsidRPr="00D96C79" w:rsidRDefault="00646716" w:rsidP="00646716">
      <w:pPr>
        <w:pStyle w:val="Sinespaciado"/>
        <w:jc w:val="both"/>
        <w:rPr>
          <w:rFonts w:ascii="Times New Roman" w:hAnsi="Times New Roman" w:cs="Times New Roman"/>
        </w:rPr>
      </w:pPr>
    </w:p>
    <w:p w14:paraId="696954AE" w14:textId="77777777" w:rsidR="00646716" w:rsidRPr="00D96C79" w:rsidRDefault="00646716" w:rsidP="00646716">
      <w:pPr>
        <w:pStyle w:val="Sinespaciado"/>
        <w:numPr>
          <w:ilvl w:val="0"/>
          <w:numId w:val="52"/>
        </w:numPr>
        <w:jc w:val="both"/>
        <w:rPr>
          <w:rFonts w:ascii="Times New Roman" w:hAnsi="Times New Roman" w:cs="Times New Roman"/>
        </w:rPr>
      </w:pPr>
      <w:r w:rsidRPr="00D96C79">
        <w:rPr>
          <w:rFonts w:ascii="Times New Roman" w:hAnsi="Times New Roman" w:cs="Times New Roman"/>
          <w:u w:val="single"/>
        </w:rPr>
        <w:t>Otros activos de origen natural</w:t>
      </w:r>
      <w:r w:rsidRPr="00D96C79">
        <w:rPr>
          <w:rFonts w:ascii="Times New Roman" w:hAnsi="Times New Roman" w:cs="Times New Roman"/>
        </w:rPr>
        <w:t xml:space="preserve"> consideran los recursos biológicos no cultivados como animales y plantas cuyo crecimiento o regeneración no se controla, como bosques vírgenes; también incluye recursos hídricos utilizados para la extracción y otros recursos naturales como el espectro electromagnético. Las transacciones de estos activos se dan por la transferencia de la propiedad de estos activos a otras entidades.  </w:t>
      </w:r>
    </w:p>
    <w:p w14:paraId="08E288A8" w14:textId="77777777" w:rsidR="00646716" w:rsidRPr="00D96C79" w:rsidRDefault="00646716" w:rsidP="00646716">
      <w:pPr>
        <w:pStyle w:val="Sinespaciado"/>
        <w:jc w:val="both"/>
        <w:rPr>
          <w:rFonts w:ascii="Times New Roman" w:hAnsi="Times New Roman" w:cs="Times New Roman"/>
        </w:rPr>
      </w:pPr>
    </w:p>
    <w:p w14:paraId="75A148A7" w14:textId="77777777" w:rsidR="00646716" w:rsidRPr="00D96C79" w:rsidRDefault="00646716" w:rsidP="00646716">
      <w:pPr>
        <w:pStyle w:val="Sinespaciado"/>
        <w:numPr>
          <w:ilvl w:val="0"/>
          <w:numId w:val="52"/>
        </w:numPr>
        <w:jc w:val="both"/>
        <w:rPr>
          <w:rFonts w:ascii="Times New Roman" w:hAnsi="Times New Roman" w:cs="Times New Roman"/>
        </w:rPr>
      </w:pPr>
      <w:r w:rsidRPr="00D96C79">
        <w:rPr>
          <w:rFonts w:ascii="Times New Roman" w:hAnsi="Times New Roman" w:cs="Times New Roman"/>
          <w:u w:val="single"/>
        </w:rPr>
        <w:t>Los activos intangibles</w:t>
      </w:r>
      <w:r w:rsidRPr="00D96C79">
        <w:rPr>
          <w:rFonts w:ascii="Times New Roman" w:hAnsi="Times New Roman" w:cs="Times New Roman"/>
        </w:rPr>
        <w:t xml:space="preserve"> no producidos abarcan contratos, arriendos, licencias, fondos de comercio y activos de comercialización.  </w:t>
      </w:r>
    </w:p>
    <w:p w14:paraId="476D34A4" w14:textId="77777777" w:rsidR="00646716" w:rsidRPr="00E92084" w:rsidRDefault="00646716" w:rsidP="00646716">
      <w:pPr>
        <w:spacing w:after="120"/>
        <w:jc w:val="both"/>
        <w:rPr>
          <w:rFonts w:ascii="Times New Roman" w:hAnsi="Times New Roman" w:cs="Times New Roman"/>
        </w:rPr>
      </w:pPr>
    </w:p>
    <w:p w14:paraId="438948BA" w14:textId="77777777" w:rsidR="00646716" w:rsidRDefault="00646716" w:rsidP="001D1FFA">
      <w:pPr>
        <w:pStyle w:val="Sinespaciado"/>
        <w:numPr>
          <w:ilvl w:val="1"/>
          <w:numId w:val="43"/>
        </w:numPr>
        <w:jc w:val="both"/>
        <w:rPr>
          <w:rFonts w:ascii="Times New Roman" w:hAnsi="Times New Roman" w:cs="Times New Roman"/>
          <w:b/>
        </w:rPr>
      </w:pPr>
      <w:r w:rsidRPr="005D1E82">
        <w:rPr>
          <w:rFonts w:ascii="Times New Roman" w:hAnsi="Times New Roman" w:cs="Times New Roman"/>
          <w:b/>
        </w:rPr>
        <w:t>Erogación</w:t>
      </w:r>
      <w:r>
        <w:rPr>
          <w:rFonts w:ascii="Times New Roman" w:hAnsi="Times New Roman" w:cs="Times New Roman"/>
          <w:b/>
        </w:rPr>
        <w:t xml:space="preserve"> del Gobierno Central Presupuestario</w:t>
      </w:r>
    </w:p>
    <w:p w14:paraId="04B7D68C" w14:textId="77777777" w:rsidR="00646716" w:rsidRDefault="00646716" w:rsidP="00646716">
      <w:pPr>
        <w:pStyle w:val="Sinespaciado"/>
        <w:ind w:left="720"/>
        <w:jc w:val="both"/>
        <w:outlineLvl w:val="2"/>
        <w:rPr>
          <w:rFonts w:ascii="Times New Roman" w:hAnsi="Times New Roman" w:cs="Times New Roman"/>
          <w:b/>
        </w:rPr>
      </w:pPr>
    </w:p>
    <w:p w14:paraId="1BAE7D92" w14:textId="77777777" w:rsidR="00646716" w:rsidRPr="00E92084" w:rsidRDefault="00646716" w:rsidP="00646716">
      <w:pPr>
        <w:jc w:val="both"/>
        <w:rPr>
          <w:rFonts w:ascii="Times New Roman" w:hAnsi="Times New Roman" w:cs="Times New Roman"/>
        </w:rPr>
      </w:pPr>
      <w:r w:rsidRPr="00E92084">
        <w:rPr>
          <w:rFonts w:ascii="Times New Roman" w:hAnsi="Times New Roman" w:cs="Times New Roman"/>
        </w:rPr>
        <w:t xml:space="preserve">La erogación en los estándares internacionales se define como la suma de los gastos y la inversión en activos no financieros, cabe resaltar que este concepto tiene mayor parecido </w:t>
      </w:r>
      <w:r>
        <w:rPr>
          <w:rFonts w:ascii="Times New Roman" w:hAnsi="Times New Roman" w:cs="Times New Roman"/>
        </w:rPr>
        <w:t xml:space="preserve">lo que se conoce como </w:t>
      </w:r>
      <w:r w:rsidRPr="00E92084">
        <w:rPr>
          <w:rFonts w:ascii="Times New Roman" w:hAnsi="Times New Roman" w:cs="Times New Roman"/>
        </w:rPr>
        <w:t>gasto</w:t>
      </w:r>
      <w:r>
        <w:rPr>
          <w:rFonts w:ascii="Times New Roman" w:hAnsi="Times New Roman" w:cs="Times New Roman"/>
        </w:rPr>
        <w:t xml:space="preserve"> total</w:t>
      </w:r>
      <w:r w:rsidRPr="00E92084">
        <w:rPr>
          <w:rFonts w:ascii="Times New Roman" w:hAnsi="Times New Roman" w:cs="Times New Roman"/>
        </w:rPr>
        <w:t xml:space="preserve"> que se tenía en la versión del MEFP de 1986</w:t>
      </w:r>
      <w:r>
        <w:rPr>
          <w:rFonts w:ascii="Times New Roman" w:hAnsi="Times New Roman" w:cs="Times New Roman"/>
        </w:rPr>
        <w:t>, por lo tanto, es comparable a lo que se denomina gastos en la metodología nacional,</w:t>
      </w:r>
      <w:r w:rsidRPr="00E92084">
        <w:rPr>
          <w:rFonts w:ascii="Times New Roman" w:hAnsi="Times New Roman" w:cs="Times New Roman"/>
        </w:rPr>
        <w:t xml:space="preserve"> </w:t>
      </w:r>
      <w:r>
        <w:rPr>
          <w:rFonts w:ascii="Times New Roman" w:hAnsi="Times New Roman" w:cs="Times New Roman"/>
        </w:rPr>
        <w:t xml:space="preserve">aunque se debe de resaltar que </w:t>
      </w:r>
      <w:r w:rsidRPr="00E92084">
        <w:rPr>
          <w:rFonts w:ascii="Times New Roman" w:hAnsi="Times New Roman" w:cs="Times New Roman"/>
        </w:rPr>
        <w:t>si poseen diferencias que no</w:t>
      </w:r>
      <w:r>
        <w:rPr>
          <w:rFonts w:ascii="Times New Roman" w:hAnsi="Times New Roman" w:cs="Times New Roman"/>
        </w:rPr>
        <w:t xml:space="preserve"> les</w:t>
      </w:r>
      <w:r w:rsidRPr="00E92084">
        <w:rPr>
          <w:rFonts w:ascii="Times New Roman" w:hAnsi="Times New Roman" w:cs="Times New Roman"/>
        </w:rPr>
        <w:t xml:space="preserve"> permiten ser perfectamente </w:t>
      </w:r>
      <w:r>
        <w:rPr>
          <w:rFonts w:ascii="Times New Roman" w:hAnsi="Times New Roman" w:cs="Times New Roman"/>
        </w:rPr>
        <w:t>comparables</w:t>
      </w:r>
      <w:r w:rsidRPr="00E92084">
        <w:rPr>
          <w:rFonts w:ascii="Times New Roman" w:hAnsi="Times New Roman" w:cs="Times New Roman"/>
        </w:rPr>
        <w:t>.</w:t>
      </w:r>
    </w:p>
    <w:p w14:paraId="1014132C" w14:textId="77777777" w:rsidR="00646716" w:rsidRDefault="00646716" w:rsidP="00646716">
      <w:pPr>
        <w:jc w:val="both"/>
        <w:rPr>
          <w:rFonts w:ascii="Times New Roman" w:hAnsi="Times New Roman" w:cs="Times New Roman"/>
        </w:rPr>
      </w:pPr>
      <w:r>
        <w:rPr>
          <w:rFonts w:ascii="Times New Roman" w:hAnsi="Times New Roman" w:cs="Times New Roman"/>
        </w:rPr>
        <w:t>E</w:t>
      </w:r>
      <w:r w:rsidRPr="00E92084">
        <w:rPr>
          <w:rFonts w:ascii="Times New Roman" w:hAnsi="Times New Roman" w:cs="Times New Roman"/>
        </w:rPr>
        <w:t xml:space="preserve">l </w:t>
      </w:r>
      <w:r>
        <w:rPr>
          <w:rFonts w:ascii="Times New Roman" w:hAnsi="Times New Roman" w:cs="Times New Roman"/>
        </w:rPr>
        <w:t>G</w:t>
      </w:r>
      <w:r w:rsidRPr="00E92084">
        <w:rPr>
          <w:rFonts w:ascii="Times New Roman" w:hAnsi="Times New Roman" w:cs="Times New Roman"/>
        </w:rPr>
        <w:t xml:space="preserve">obierno </w:t>
      </w:r>
      <w:r>
        <w:rPr>
          <w:rFonts w:ascii="Times New Roman" w:hAnsi="Times New Roman" w:cs="Times New Roman"/>
        </w:rPr>
        <w:t>C</w:t>
      </w:r>
      <w:r w:rsidRPr="00E92084">
        <w:rPr>
          <w:rFonts w:ascii="Times New Roman" w:hAnsi="Times New Roman" w:cs="Times New Roman"/>
        </w:rPr>
        <w:t xml:space="preserve">entral </w:t>
      </w:r>
      <w:r>
        <w:rPr>
          <w:rFonts w:ascii="Times New Roman" w:hAnsi="Times New Roman" w:cs="Times New Roman"/>
        </w:rPr>
        <w:t xml:space="preserve">Presupuestario para 2020 tuvo una erogación del </w:t>
      </w:r>
      <w:r w:rsidRPr="00E92084">
        <w:rPr>
          <w:rFonts w:ascii="Times New Roman" w:hAnsi="Times New Roman" w:cs="Times New Roman"/>
        </w:rPr>
        <w:t>1</w:t>
      </w:r>
      <w:r>
        <w:rPr>
          <w:rFonts w:ascii="Times New Roman" w:hAnsi="Times New Roman" w:cs="Times New Roman"/>
        </w:rPr>
        <w:t>5</w:t>
      </w:r>
      <w:r w:rsidRPr="00E92084">
        <w:rPr>
          <w:rFonts w:ascii="Times New Roman" w:hAnsi="Times New Roman" w:cs="Times New Roman"/>
        </w:rPr>
        <w:t>.</w:t>
      </w:r>
      <w:r>
        <w:rPr>
          <w:rFonts w:ascii="Times New Roman" w:hAnsi="Times New Roman" w:cs="Times New Roman"/>
        </w:rPr>
        <w:t>4</w:t>
      </w:r>
      <w:r w:rsidRPr="00E92084">
        <w:rPr>
          <w:rFonts w:ascii="Times New Roman" w:hAnsi="Times New Roman" w:cs="Times New Roman"/>
        </w:rPr>
        <w:t xml:space="preserve">% </w:t>
      </w:r>
      <w:r>
        <w:rPr>
          <w:rFonts w:ascii="Times New Roman" w:hAnsi="Times New Roman" w:cs="Times New Roman"/>
        </w:rPr>
        <w:t>del PIB y esta cifra es menor en 0.2 puntos porcentuales a su equivalente de la metodología nacional que es el gasto público (15.6% del PIB). En buena medida, esta diferencia se explica principalmente por qué en los estándares internacionales, las devoluciones de impuestos dejan de formar parte de los gastos para pasar a disminuir a los ingresos, las inversiones financieras se consideran como parte de los activos financieros y no son parte del gasto, además de la inclusión de las c</w:t>
      </w:r>
      <w:r w:rsidRPr="007E449A">
        <w:rPr>
          <w:rFonts w:ascii="Times New Roman" w:hAnsi="Times New Roman" w:cs="Times New Roman"/>
        </w:rPr>
        <w:t xml:space="preserve">ontribuciones </w:t>
      </w:r>
      <w:r>
        <w:rPr>
          <w:rFonts w:ascii="Times New Roman" w:hAnsi="Times New Roman" w:cs="Times New Roman"/>
        </w:rPr>
        <w:t>s</w:t>
      </w:r>
      <w:r w:rsidRPr="007E449A">
        <w:rPr>
          <w:rFonts w:ascii="Times New Roman" w:hAnsi="Times New Roman" w:cs="Times New Roman"/>
        </w:rPr>
        <w:t xml:space="preserve">ociales </w:t>
      </w:r>
      <w:r>
        <w:rPr>
          <w:rFonts w:ascii="Times New Roman" w:hAnsi="Times New Roman" w:cs="Times New Roman"/>
        </w:rPr>
        <w:t>i</w:t>
      </w:r>
      <w:r w:rsidRPr="007E449A">
        <w:rPr>
          <w:rFonts w:ascii="Times New Roman" w:hAnsi="Times New Roman" w:cs="Times New Roman"/>
        </w:rPr>
        <w:t xml:space="preserve">mputadas de los </w:t>
      </w:r>
      <w:r>
        <w:rPr>
          <w:rFonts w:ascii="Times New Roman" w:hAnsi="Times New Roman" w:cs="Times New Roman"/>
        </w:rPr>
        <w:t>e</w:t>
      </w:r>
      <w:r w:rsidRPr="007E449A">
        <w:rPr>
          <w:rFonts w:ascii="Times New Roman" w:hAnsi="Times New Roman" w:cs="Times New Roman"/>
        </w:rPr>
        <w:t>mpleadores</w:t>
      </w:r>
      <w:r>
        <w:rPr>
          <w:rFonts w:ascii="Times New Roman" w:hAnsi="Times New Roman" w:cs="Times New Roman"/>
        </w:rPr>
        <w:t>.</w:t>
      </w:r>
    </w:p>
    <w:p w14:paraId="6D303D3F" w14:textId="77777777" w:rsidR="00646716" w:rsidRDefault="00646716" w:rsidP="001D1FFA">
      <w:pPr>
        <w:pStyle w:val="Sinespaciado"/>
        <w:numPr>
          <w:ilvl w:val="1"/>
          <w:numId w:val="43"/>
        </w:numPr>
        <w:jc w:val="both"/>
        <w:rPr>
          <w:rFonts w:ascii="Times New Roman" w:hAnsi="Times New Roman" w:cs="Times New Roman"/>
          <w:b/>
        </w:rPr>
      </w:pPr>
      <w:r w:rsidRPr="00144D38">
        <w:rPr>
          <w:rFonts w:ascii="Times New Roman" w:hAnsi="Times New Roman" w:cs="Times New Roman"/>
          <w:b/>
        </w:rPr>
        <w:t>Transacciones en Activos y Pasivos Financieros (Financiamiento)</w:t>
      </w:r>
    </w:p>
    <w:p w14:paraId="6EAA97EA" w14:textId="77777777" w:rsidR="00646716" w:rsidRPr="00144D38" w:rsidRDefault="00646716" w:rsidP="00646716">
      <w:pPr>
        <w:pStyle w:val="Sinespaciado"/>
        <w:ind w:left="720"/>
        <w:jc w:val="both"/>
        <w:outlineLvl w:val="2"/>
        <w:rPr>
          <w:rFonts w:ascii="Times New Roman" w:hAnsi="Times New Roman" w:cs="Times New Roman"/>
          <w:b/>
        </w:rPr>
      </w:pPr>
    </w:p>
    <w:p w14:paraId="2192D9EE" w14:textId="77777777" w:rsidR="00646716" w:rsidRPr="00144D38" w:rsidRDefault="00646716" w:rsidP="00646716">
      <w:pPr>
        <w:jc w:val="both"/>
        <w:rPr>
          <w:rFonts w:ascii="Times New Roman" w:hAnsi="Times New Roman" w:cs="Times New Roman"/>
        </w:rPr>
      </w:pPr>
      <w:r w:rsidRPr="00144D38">
        <w:rPr>
          <w:rFonts w:ascii="Times New Roman" w:hAnsi="Times New Roman" w:cs="Times New Roman"/>
        </w:rPr>
        <w:t xml:space="preserve">Las transacciones en activos y pasivos financieros reflejan los instrumentos utilizados para financiar o invertir </w:t>
      </w:r>
      <w:r>
        <w:rPr>
          <w:rFonts w:ascii="Times New Roman" w:hAnsi="Times New Roman" w:cs="Times New Roman"/>
        </w:rPr>
        <w:t>(dependiendo de</w:t>
      </w:r>
      <w:r w:rsidRPr="00144D38">
        <w:rPr>
          <w:rFonts w:ascii="Times New Roman" w:hAnsi="Times New Roman" w:cs="Times New Roman"/>
        </w:rPr>
        <w:t xml:space="preserve"> la diferencia que existe entre los ingresos y las erogaciones</w:t>
      </w:r>
      <w:r>
        <w:rPr>
          <w:rFonts w:ascii="Times New Roman" w:hAnsi="Times New Roman" w:cs="Times New Roman"/>
        </w:rPr>
        <w:t>)</w:t>
      </w:r>
      <w:r w:rsidRPr="00144D38">
        <w:rPr>
          <w:rFonts w:ascii="Times New Roman" w:hAnsi="Times New Roman" w:cs="Times New Roman"/>
        </w:rPr>
        <w:t>. En caso de tener una diferencia negativa, quiere decir que existe un déficit el cual debe de financiarse por medio del aumento de pasivos financieros o la reducción de activos financieros</w:t>
      </w:r>
      <w:r>
        <w:rPr>
          <w:rFonts w:ascii="Times New Roman" w:hAnsi="Times New Roman" w:cs="Times New Roman"/>
        </w:rPr>
        <w:t>,</w:t>
      </w:r>
      <w:r w:rsidRPr="00144D38">
        <w:rPr>
          <w:rFonts w:ascii="Times New Roman" w:hAnsi="Times New Roman" w:cs="Times New Roman"/>
        </w:rPr>
        <w:t xml:space="preserve"> mientras que una diferencia positiva, permite tener una posición superavitaria que puede utilizarse para otorgar préstamos (aumento de activos) o reducir cuentas de pasivos.</w:t>
      </w:r>
    </w:p>
    <w:p w14:paraId="19BF44EC" w14:textId="77777777" w:rsidR="00646716" w:rsidRPr="009F0D5C" w:rsidRDefault="00646716" w:rsidP="00646716">
      <w:pPr>
        <w:jc w:val="both"/>
        <w:rPr>
          <w:rFonts w:ascii="Times New Roman" w:hAnsi="Times New Roman" w:cs="Times New Roman"/>
        </w:rPr>
      </w:pPr>
      <w:r w:rsidRPr="009F0D5C">
        <w:rPr>
          <w:rFonts w:ascii="Times New Roman" w:hAnsi="Times New Roman" w:cs="Times New Roman"/>
        </w:rPr>
        <w:t>Para el año 2020 los activos financieros del Gobierno Central Presupuestario se incrementaron en 1.3% del PIB. Este valor es explicado principalmente por incremento en la cuenta de Billetes y Monedas y Depósitos (la caja) por el 0.7% del PIB y el otorgamiento de préstamos por 0.6% del PIB.</w:t>
      </w:r>
    </w:p>
    <w:p w14:paraId="59C3D3D2" w14:textId="449A27BE" w:rsidR="00646716" w:rsidRPr="009F0D5C" w:rsidRDefault="00646716" w:rsidP="00646716">
      <w:pPr>
        <w:jc w:val="both"/>
        <w:rPr>
          <w:rFonts w:ascii="Times New Roman" w:hAnsi="Times New Roman" w:cs="Times New Roman"/>
        </w:rPr>
      </w:pPr>
      <w:r w:rsidRPr="009F0D5C">
        <w:rPr>
          <w:rFonts w:ascii="Times New Roman" w:hAnsi="Times New Roman" w:cs="Times New Roman"/>
        </w:rPr>
        <w:t>Por su parte, los pasivos financieros se incrementaron en 5.6% del PIB siendo el mayor incrementó por el uso de títulos de deuda (bonos del tesoro) por 5.3% del PIB, mientras que el endeudamiento por préstamos se incrementó en 0.2% del PIB.</w:t>
      </w:r>
    </w:p>
    <w:p w14:paraId="48A20112" w14:textId="77777777" w:rsidR="00646716" w:rsidRDefault="00646716" w:rsidP="00646716">
      <w:pPr>
        <w:jc w:val="both"/>
        <w:rPr>
          <w:rFonts w:ascii="Times New Roman" w:hAnsi="Times New Roman" w:cs="Times New Roman"/>
        </w:rPr>
      </w:pPr>
      <w:r w:rsidRPr="009F0D5C">
        <w:rPr>
          <w:rFonts w:ascii="Times New Roman" w:hAnsi="Times New Roman" w:cs="Times New Roman"/>
        </w:rPr>
        <w:t>Cabe resaltar que dentro de los estándares internacionales existe un indicador denominado como discrepancias estadísticas, el cual representa la diferencia entre las cuentas de financiamiento y el endeudamiento (ingresos menos erogaciones). Estas discrepancias se producen derivado a diversas razones, entre la que se puede mencionar el momento de registro, la cobertura de las cifras y la metodología para determinar la información en la cuenta de Billetes y Moneda y Depósitos (la cual se obtiene como una variación de entre las cifras de la cuenta de caja según los datos del balance de general a diferencia del resto de transacciones que proviene directamente del registro de flujo) y para el 2020 esta fue del 0.06% del PIB.</w:t>
      </w:r>
    </w:p>
    <w:p w14:paraId="0A0FEAF5" w14:textId="77777777" w:rsidR="00646716" w:rsidRDefault="00646716" w:rsidP="00646716">
      <w:pPr>
        <w:pStyle w:val="Sinespaciado"/>
        <w:jc w:val="center"/>
        <w:rPr>
          <w:rFonts w:ascii="Times New Roman" w:hAnsi="Times New Roman" w:cs="Times New Roman"/>
          <w:b/>
        </w:rPr>
      </w:pPr>
      <w:r w:rsidRPr="00D96C79">
        <w:rPr>
          <w:rFonts w:ascii="Times New Roman" w:hAnsi="Times New Roman" w:cs="Times New Roman"/>
          <w:b/>
        </w:rPr>
        <w:t xml:space="preserve">Diferencia </w:t>
      </w:r>
      <w:r>
        <w:rPr>
          <w:rFonts w:ascii="Times New Roman" w:hAnsi="Times New Roman" w:cs="Times New Roman"/>
          <w:b/>
        </w:rPr>
        <w:t>entre metodología nacional y los estándares internacionales</w:t>
      </w:r>
    </w:p>
    <w:p w14:paraId="1FB55D32" w14:textId="77777777" w:rsidR="00646716" w:rsidRDefault="00646716" w:rsidP="00646716">
      <w:pPr>
        <w:pStyle w:val="Sinespaciado"/>
        <w:jc w:val="center"/>
        <w:rPr>
          <w:rFonts w:ascii="Times New Roman" w:hAnsi="Times New Roman" w:cs="Times New Roman"/>
          <w:b/>
        </w:rPr>
      </w:pPr>
      <w:r>
        <w:rPr>
          <w:rFonts w:ascii="Times New Roman" w:hAnsi="Times New Roman" w:cs="Times New Roman"/>
          <w:b/>
        </w:rPr>
        <w:t>Del Gobierno Central Presupuestario</w:t>
      </w:r>
    </w:p>
    <w:p w14:paraId="0BC516BE" w14:textId="77777777" w:rsidR="00646716" w:rsidRPr="00EF6DEA" w:rsidRDefault="00646716" w:rsidP="00646716">
      <w:pPr>
        <w:pStyle w:val="Sinespaciado"/>
        <w:jc w:val="center"/>
        <w:rPr>
          <w:rFonts w:ascii="Times New Roman" w:hAnsi="Times New Roman" w:cs="Times New Roman"/>
          <w:b/>
          <w:i/>
        </w:rPr>
      </w:pPr>
      <w:r>
        <w:rPr>
          <w:rFonts w:ascii="Times New Roman" w:hAnsi="Times New Roman" w:cs="Times New Roman"/>
          <w:b/>
        </w:rPr>
        <w:t>Porcentajes del PIB</w:t>
      </w:r>
    </w:p>
    <w:p w14:paraId="230626C1" w14:textId="77777777" w:rsidR="00646716" w:rsidRPr="00EF6DEA" w:rsidRDefault="00646716" w:rsidP="00646716">
      <w:pPr>
        <w:pStyle w:val="Sinespaciado"/>
        <w:jc w:val="center"/>
        <w:rPr>
          <w:rFonts w:ascii="Times New Roman" w:hAnsi="Times New Roman" w:cs="Times New Roman"/>
          <w:sz w:val="16"/>
        </w:rPr>
      </w:pPr>
      <w:r w:rsidRPr="00EF6DEA">
        <w:rPr>
          <w:rFonts w:ascii="Times New Roman" w:hAnsi="Times New Roman" w:cs="Times New Roman"/>
        </w:rPr>
        <w:t>Año 20</w:t>
      </w:r>
      <w:r>
        <w:rPr>
          <w:rFonts w:ascii="Times New Roman" w:hAnsi="Times New Roman" w:cs="Times New Roman"/>
        </w:rPr>
        <w:t>20</w:t>
      </w:r>
    </w:p>
    <w:p w14:paraId="3E0988A3" w14:textId="77777777" w:rsidR="00646716" w:rsidRDefault="00646716" w:rsidP="00646716">
      <w:pPr>
        <w:pStyle w:val="Sinespaciado"/>
        <w:ind w:left="1134"/>
        <w:jc w:val="both"/>
        <w:rPr>
          <w:rFonts w:ascii="Times New Roman" w:hAnsi="Times New Roman" w:cs="Times New Roman"/>
          <w:sz w:val="16"/>
        </w:rPr>
      </w:pPr>
    </w:p>
    <w:tbl>
      <w:tblPr>
        <w:tblW w:w="8513" w:type="dxa"/>
        <w:tblCellMar>
          <w:left w:w="70" w:type="dxa"/>
          <w:right w:w="70" w:type="dxa"/>
        </w:tblCellMar>
        <w:tblLook w:val="04A0" w:firstRow="1" w:lastRow="0" w:firstColumn="1" w:lastColumn="0" w:noHBand="0" w:noVBand="1"/>
      </w:tblPr>
      <w:tblGrid>
        <w:gridCol w:w="561"/>
        <w:gridCol w:w="1699"/>
        <w:gridCol w:w="1045"/>
        <w:gridCol w:w="1045"/>
        <w:gridCol w:w="795"/>
        <w:gridCol w:w="3368"/>
      </w:tblGrid>
      <w:tr w:rsidR="00646716" w:rsidRPr="00E90F9A" w14:paraId="2D229D09" w14:textId="77777777" w:rsidTr="00A62D19">
        <w:trPr>
          <w:trHeight w:val="259"/>
        </w:trPr>
        <w:tc>
          <w:tcPr>
            <w:tcW w:w="561" w:type="dxa"/>
            <w:tcBorders>
              <w:top w:val="single" w:sz="8" w:space="0" w:color="FFFFFF"/>
              <w:left w:val="single" w:sz="8" w:space="0" w:color="FFFFFF"/>
              <w:bottom w:val="single" w:sz="8" w:space="0" w:color="FFFFFF"/>
              <w:right w:val="single" w:sz="8" w:space="0" w:color="FFFFFF"/>
            </w:tcBorders>
            <w:shd w:val="clear" w:color="000000" w:fill="44546A"/>
            <w:vAlign w:val="center"/>
            <w:hideMark/>
          </w:tcPr>
          <w:p w14:paraId="0ECBBCD8" w14:textId="77777777" w:rsidR="00646716" w:rsidRPr="00207ABD" w:rsidRDefault="00646716" w:rsidP="00A62D19">
            <w:pPr>
              <w:spacing w:after="0" w:line="240" w:lineRule="auto"/>
              <w:jc w:val="center"/>
              <w:rPr>
                <w:rFonts w:ascii="Times New Roman" w:eastAsia="Times New Roman" w:hAnsi="Times New Roman" w:cs="Times New Roman"/>
                <w:b/>
                <w:bCs/>
                <w:color w:val="FFFFFF"/>
                <w:sz w:val="12"/>
                <w:szCs w:val="12"/>
                <w:lang w:eastAsia="es-GT"/>
              </w:rPr>
            </w:pPr>
            <w:r w:rsidRPr="00207ABD">
              <w:rPr>
                <w:rFonts w:ascii="Times New Roman" w:eastAsia="Times New Roman" w:hAnsi="Times New Roman" w:cs="Times New Roman"/>
                <w:b/>
                <w:bCs/>
                <w:color w:val="FFFFFF"/>
                <w:sz w:val="12"/>
                <w:szCs w:val="12"/>
                <w:lang w:eastAsia="es-GT"/>
              </w:rPr>
              <w:t>Código MEFP</w:t>
            </w:r>
          </w:p>
        </w:tc>
        <w:tc>
          <w:tcPr>
            <w:tcW w:w="1699" w:type="dxa"/>
            <w:tcBorders>
              <w:top w:val="single" w:sz="8" w:space="0" w:color="FFFFFF"/>
              <w:left w:val="nil"/>
              <w:bottom w:val="single" w:sz="8" w:space="0" w:color="FFFFFF"/>
              <w:right w:val="single" w:sz="8" w:space="0" w:color="FFFFFF"/>
            </w:tcBorders>
            <w:shd w:val="clear" w:color="000000" w:fill="44546A"/>
            <w:vAlign w:val="center"/>
            <w:hideMark/>
          </w:tcPr>
          <w:p w14:paraId="391865F6" w14:textId="77777777" w:rsidR="00646716" w:rsidRPr="00207ABD" w:rsidRDefault="00646716" w:rsidP="00A62D19">
            <w:pPr>
              <w:spacing w:after="0" w:line="240" w:lineRule="auto"/>
              <w:jc w:val="center"/>
              <w:rPr>
                <w:rFonts w:ascii="Times New Roman" w:eastAsia="Times New Roman" w:hAnsi="Times New Roman" w:cs="Times New Roman"/>
                <w:b/>
                <w:bCs/>
                <w:color w:val="FFFFFF"/>
                <w:sz w:val="12"/>
                <w:szCs w:val="12"/>
                <w:lang w:eastAsia="es-GT"/>
              </w:rPr>
            </w:pPr>
            <w:r w:rsidRPr="00207ABD">
              <w:rPr>
                <w:rFonts w:ascii="Times New Roman" w:eastAsia="Times New Roman" w:hAnsi="Times New Roman" w:cs="Times New Roman"/>
                <w:b/>
                <w:bCs/>
                <w:color w:val="FFFFFF"/>
                <w:sz w:val="12"/>
                <w:szCs w:val="12"/>
                <w:lang w:eastAsia="es-GT"/>
              </w:rPr>
              <w:t>Descripción</w:t>
            </w:r>
          </w:p>
        </w:tc>
        <w:tc>
          <w:tcPr>
            <w:tcW w:w="1045" w:type="dxa"/>
            <w:tcBorders>
              <w:top w:val="single" w:sz="8" w:space="0" w:color="FFFFFF"/>
              <w:left w:val="nil"/>
              <w:bottom w:val="single" w:sz="8" w:space="0" w:color="FFFFFF"/>
              <w:right w:val="single" w:sz="8" w:space="0" w:color="FFFFFF"/>
            </w:tcBorders>
            <w:shd w:val="clear" w:color="000000" w:fill="44546A"/>
            <w:vAlign w:val="center"/>
            <w:hideMark/>
          </w:tcPr>
          <w:p w14:paraId="780C70BF" w14:textId="77777777" w:rsidR="00646716" w:rsidRPr="00207ABD" w:rsidRDefault="00646716" w:rsidP="00A62D19">
            <w:pPr>
              <w:spacing w:after="0" w:line="240" w:lineRule="auto"/>
              <w:jc w:val="center"/>
              <w:rPr>
                <w:rFonts w:ascii="Times New Roman" w:eastAsia="Times New Roman" w:hAnsi="Times New Roman" w:cs="Times New Roman"/>
                <w:b/>
                <w:bCs/>
                <w:color w:val="FFFFFF"/>
                <w:sz w:val="12"/>
                <w:szCs w:val="12"/>
                <w:lang w:eastAsia="es-GT"/>
              </w:rPr>
            </w:pPr>
            <w:r w:rsidRPr="00207ABD">
              <w:rPr>
                <w:rFonts w:ascii="Times New Roman" w:eastAsia="Times New Roman" w:hAnsi="Times New Roman" w:cs="Times New Roman"/>
                <w:b/>
                <w:bCs/>
                <w:color w:val="FFFFFF"/>
                <w:sz w:val="12"/>
                <w:szCs w:val="12"/>
                <w:lang w:eastAsia="es-GT"/>
              </w:rPr>
              <w:t>Metodología MFP2014</w:t>
            </w:r>
          </w:p>
        </w:tc>
        <w:tc>
          <w:tcPr>
            <w:tcW w:w="1045" w:type="dxa"/>
            <w:tcBorders>
              <w:top w:val="single" w:sz="8" w:space="0" w:color="FFFFFF"/>
              <w:left w:val="nil"/>
              <w:bottom w:val="single" w:sz="8" w:space="0" w:color="FFFFFF"/>
              <w:right w:val="single" w:sz="8" w:space="0" w:color="FFFFFF"/>
            </w:tcBorders>
            <w:shd w:val="clear" w:color="000000" w:fill="44546A"/>
            <w:vAlign w:val="center"/>
            <w:hideMark/>
          </w:tcPr>
          <w:p w14:paraId="104E3C30" w14:textId="77777777" w:rsidR="00646716" w:rsidRPr="00207ABD" w:rsidRDefault="00646716" w:rsidP="00A62D19">
            <w:pPr>
              <w:spacing w:after="0" w:line="240" w:lineRule="auto"/>
              <w:jc w:val="center"/>
              <w:rPr>
                <w:rFonts w:ascii="Times New Roman" w:eastAsia="Times New Roman" w:hAnsi="Times New Roman" w:cs="Times New Roman"/>
                <w:b/>
                <w:bCs/>
                <w:color w:val="FFFFFF"/>
                <w:sz w:val="12"/>
                <w:szCs w:val="12"/>
                <w:lang w:eastAsia="es-GT"/>
              </w:rPr>
            </w:pPr>
            <w:r w:rsidRPr="00207ABD">
              <w:rPr>
                <w:rFonts w:ascii="Times New Roman" w:eastAsia="Times New Roman" w:hAnsi="Times New Roman" w:cs="Times New Roman"/>
                <w:b/>
                <w:bCs/>
                <w:color w:val="FFFFFF"/>
                <w:sz w:val="12"/>
                <w:szCs w:val="12"/>
                <w:lang w:eastAsia="es-GT"/>
              </w:rPr>
              <w:t>Metodología nacional</w:t>
            </w:r>
          </w:p>
        </w:tc>
        <w:tc>
          <w:tcPr>
            <w:tcW w:w="795" w:type="dxa"/>
            <w:tcBorders>
              <w:top w:val="single" w:sz="8" w:space="0" w:color="FFFFFF"/>
              <w:left w:val="nil"/>
              <w:bottom w:val="single" w:sz="8" w:space="0" w:color="FFFFFF"/>
              <w:right w:val="single" w:sz="8" w:space="0" w:color="FFFFFF"/>
            </w:tcBorders>
            <w:shd w:val="clear" w:color="000000" w:fill="44546A"/>
            <w:vAlign w:val="center"/>
            <w:hideMark/>
          </w:tcPr>
          <w:p w14:paraId="2467A706" w14:textId="77777777" w:rsidR="00646716" w:rsidRPr="00207ABD" w:rsidRDefault="00646716" w:rsidP="00A62D19">
            <w:pPr>
              <w:spacing w:after="0" w:line="240" w:lineRule="auto"/>
              <w:jc w:val="center"/>
              <w:rPr>
                <w:rFonts w:ascii="Times New Roman" w:eastAsia="Times New Roman" w:hAnsi="Times New Roman" w:cs="Times New Roman"/>
                <w:b/>
                <w:bCs/>
                <w:color w:val="FFFFFF"/>
                <w:sz w:val="12"/>
                <w:szCs w:val="12"/>
                <w:lang w:eastAsia="es-GT"/>
              </w:rPr>
            </w:pPr>
            <w:r w:rsidRPr="00207ABD">
              <w:rPr>
                <w:rFonts w:ascii="Times New Roman" w:eastAsia="Times New Roman" w:hAnsi="Times New Roman" w:cs="Times New Roman"/>
                <w:b/>
                <w:bCs/>
                <w:color w:val="FFFFFF"/>
                <w:sz w:val="12"/>
                <w:szCs w:val="12"/>
                <w:lang w:eastAsia="es-GT"/>
              </w:rPr>
              <w:t>Diferencia</w:t>
            </w:r>
          </w:p>
        </w:tc>
        <w:tc>
          <w:tcPr>
            <w:tcW w:w="3366" w:type="dxa"/>
            <w:tcBorders>
              <w:top w:val="single" w:sz="8" w:space="0" w:color="FFFFFF"/>
              <w:left w:val="nil"/>
              <w:bottom w:val="single" w:sz="8" w:space="0" w:color="FFFFFF"/>
              <w:right w:val="single" w:sz="8" w:space="0" w:color="FFFFFF"/>
            </w:tcBorders>
            <w:shd w:val="clear" w:color="000000" w:fill="44546A"/>
            <w:vAlign w:val="center"/>
            <w:hideMark/>
          </w:tcPr>
          <w:p w14:paraId="377F63C0" w14:textId="77777777" w:rsidR="00646716" w:rsidRPr="00207ABD" w:rsidRDefault="00646716" w:rsidP="00A62D19">
            <w:pPr>
              <w:spacing w:after="0" w:line="240" w:lineRule="auto"/>
              <w:jc w:val="center"/>
              <w:rPr>
                <w:rFonts w:ascii="Times New Roman" w:eastAsia="Times New Roman" w:hAnsi="Times New Roman" w:cs="Times New Roman"/>
                <w:b/>
                <w:bCs/>
                <w:color w:val="FFFFFF"/>
                <w:sz w:val="12"/>
                <w:szCs w:val="12"/>
                <w:lang w:eastAsia="es-GT"/>
              </w:rPr>
            </w:pPr>
            <w:r w:rsidRPr="00207ABD">
              <w:rPr>
                <w:rFonts w:ascii="Times New Roman" w:eastAsia="Times New Roman" w:hAnsi="Times New Roman" w:cs="Times New Roman"/>
                <w:b/>
                <w:bCs/>
                <w:color w:val="FFFFFF"/>
                <w:sz w:val="12"/>
                <w:szCs w:val="12"/>
                <w:lang w:eastAsia="es-GT"/>
              </w:rPr>
              <w:t>Explicación de diferencia</w:t>
            </w:r>
          </w:p>
        </w:tc>
      </w:tr>
      <w:tr w:rsidR="00646716" w:rsidRPr="00207ABD" w14:paraId="287AD708" w14:textId="77777777" w:rsidTr="00A62D19">
        <w:trPr>
          <w:trHeight w:val="177"/>
        </w:trPr>
        <w:tc>
          <w:tcPr>
            <w:tcW w:w="8513" w:type="dxa"/>
            <w:gridSpan w:val="6"/>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3EF2568" w14:textId="77777777" w:rsidR="00646716" w:rsidRPr="00207ABD" w:rsidRDefault="00646716" w:rsidP="00A62D19">
            <w:pPr>
              <w:spacing w:after="0" w:line="240" w:lineRule="auto"/>
              <w:jc w:val="center"/>
              <w:rPr>
                <w:rFonts w:ascii="Times New Roman" w:eastAsia="Times New Roman" w:hAnsi="Times New Roman" w:cs="Times New Roman"/>
                <w:b/>
                <w:bCs/>
                <w:color w:val="000000"/>
                <w:sz w:val="12"/>
                <w:szCs w:val="12"/>
                <w:lang w:eastAsia="es-GT"/>
              </w:rPr>
            </w:pPr>
            <w:bookmarkStart w:id="1811" w:name="RANGE!B4:G37"/>
            <w:r w:rsidRPr="00207ABD">
              <w:rPr>
                <w:rFonts w:ascii="Times New Roman" w:eastAsia="Times New Roman" w:hAnsi="Times New Roman" w:cs="Times New Roman"/>
                <w:b/>
                <w:bCs/>
                <w:color w:val="000000"/>
                <w:sz w:val="12"/>
                <w:szCs w:val="12"/>
                <w:lang w:eastAsia="es-GT"/>
              </w:rPr>
              <w:t>Transacciones que afectan el patrimonio neto</w:t>
            </w:r>
            <w:bookmarkEnd w:id="1811"/>
          </w:p>
        </w:tc>
      </w:tr>
      <w:tr w:rsidR="00646716" w:rsidRPr="00E90F9A" w14:paraId="55FF355E" w14:textId="77777777" w:rsidTr="00A62D19">
        <w:trPr>
          <w:trHeight w:val="169"/>
        </w:trPr>
        <w:tc>
          <w:tcPr>
            <w:tcW w:w="561" w:type="dxa"/>
            <w:vMerge w:val="restart"/>
            <w:tcBorders>
              <w:top w:val="nil"/>
              <w:left w:val="single" w:sz="8" w:space="0" w:color="FFFFFF"/>
              <w:bottom w:val="single" w:sz="8" w:space="0" w:color="FFFFFF"/>
              <w:right w:val="single" w:sz="8" w:space="0" w:color="FFFFFF"/>
            </w:tcBorders>
            <w:shd w:val="clear" w:color="000000" w:fill="8496B0"/>
            <w:noWrap/>
            <w:vAlign w:val="center"/>
            <w:hideMark/>
          </w:tcPr>
          <w:p w14:paraId="0B9815FE" w14:textId="77777777" w:rsidR="00646716" w:rsidRPr="00207ABD" w:rsidRDefault="00646716" w:rsidP="00A62D19">
            <w:pPr>
              <w:spacing w:after="0" w:line="240" w:lineRule="auto"/>
              <w:jc w:val="center"/>
              <w:rPr>
                <w:rFonts w:ascii="Times New Roman" w:eastAsia="Times New Roman" w:hAnsi="Times New Roman" w:cs="Times New Roman"/>
                <w:b/>
                <w:bCs/>
                <w:i/>
                <w:iCs/>
                <w:color w:val="FFFFFF"/>
                <w:sz w:val="12"/>
                <w:szCs w:val="12"/>
                <w:lang w:eastAsia="es-GT"/>
              </w:rPr>
            </w:pPr>
            <w:r w:rsidRPr="00207ABD">
              <w:rPr>
                <w:rFonts w:ascii="Times New Roman" w:eastAsia="Times New Roman" w:hAnsi="Times New Roman" w:cs="Times New Roman"/>
                <w:b/>
                <w:bCs/>
                <w:i/>
                <w:iCs/>
                <w:color w:val="FFFFFF"/>
                <w:sz w:val="12"/>
                <w:szCs w:val="12"/>
                <w:lang w:eastAsia="es-GT"/>
              </w:rPr>
              <w:t>1</w:t>
            </w:r>
          </w:p>
        </w:tc>
        <w:tc>
          <w:tcPr>
            <w:tcW w:w="1699" w:type="dxa"/>
            <w:vMerge w:val="restart"/>
            <w:tcBorders>
              <w:top w:val="nil"/>
              <w:left w:val="single" w:sz="8" w:space="0" w:color="FFFFFF"/>
              <w:bottom w:val="single" w:sz="8" w:space="0" w:color="FFFFFF"/>
              <w:right w:val="single" w:sz="8" w:space="0" w:color="FFFFFF"/>
            </w:tcBorders>
            <w:shd w:val="clear" w:color="000000" w:fill="D9E2F3"/>
            <w:vAlign w:val="center"/>
            <w:hideMark/>
          </w:tcPr>
          <w:p w14:paraId="64905AB5" w14:textId="77777777" w:rsidR="00646716" w:rsidRPr="00207ABD" w:rsidRDefault="00646716" w:rsidP="00A62D19">
            <w:pPr>
              <w:spacing w:after="0" w:line="240" w:lineRule="auto"/>
              <w:rPr>
                <w:rFonts w:ascii="Times New Roman" w:eastAsia="Times New Roman" w:hAnsi="Times New Roman" w:cs="Times New Roman"/>
                <w:b/>
                <w:bCs/>
                <w:i/>
                <w:iCs/>
                <w:color w:val="000000"/>
                <w:sz w:val="12"/>
                <w:szCs w:val="12"/>
                <w:lang w:eastAsia="es-GT"/>
              </w:rPr>
            </w:pPr>
            <w:r w:rsidRPr="00207ABD">
              <w:rPr>
                <w:rFonts w:ascii="Times New Roman" w:eastAsia="Times New Roman" w:hAnsi="Times New Roman" w:cs="Times New Roman"/>
                <w:b/>
                <w:bCs/>
                <w:i/>
                <w:iCs/>
                <w:color w:val="000000"/>
                <w:sz w:val="12"/>
                <w:szCs w:val="12"/>
                <w:lang w:eastAsia="es-GT"/>
              </w:rPr>
              <w:t>Ingreso</w:t>
            </w:r>
          </w:p>
        </w:tc>
        <w:tc>
          <w:tcPr>
            <w:tcW w:w="1045" w:type="dxa"/>
            <w:vMerge w:val="restart"/>
            <w:tcBorders>
              <w:top w:val="nil"/>
              <w:left w:val="single" w:sz="8" w:space="0" w:color="FFFFFF"/>
              <w:bottom w:val="single" w:sz="8" w:space="0" w:color="FFFFFF"/>
              <w:right w:val="single" w:sz="8" w:space="0" w:color="FFFFFF"/>
            </w:tcBorders>
            <w:shd w:val="clear" w:color="000000" w:fill="D9E2F3"/>
            <w:vAlign w:val="center"/>
            <w:hideMark/>
          </w:tcPr>
          <w:p w14:paraId="10F4BCC1" w14:textId="77777777" w:rsidR="00646716" w:rsidRPr="00207ABD" w:rsidRDefault="00646716" w:rsidP="00A62D19">
            <w:pPr>
              <w:spacing w:after="0" w:line="240" w:lineRule="auto"/>
              <w:jc w:val="center"/>
              <w:rPr>
                <w:rFonts w:ascii="Times New Roman" w:eastAsia="Times New Roman" w:hAnsi="Times New Roman" w:cs="Times New Roman"/>
                <w:b/>
                <w:bCs/>
                <w:color w:val="000000"/>
                <w:sz w:val="12"/>
                <w:szCs w:val="12"/>
                <w:lang w:eastAsia="es-GT"/>
              </w:rPr>
            </w:pPr>
            <w:r w:rsidRPr="00207ABD">
              <w:rPr>
                <w:rFonts w:ascii="Times New Roman" w:eastAsia="Times New Roman" w:hAnsi="Times New Roman" w:cs="Times New Roman"/>
                <w:b/>
                <w:bCs/>
                <w:color w:val="000000"/>
                <w:sz w:val="12"/>
                <w:szCs w:val="12"/>
                <w:lang w:eastAsia="es-GT"/>
              </w:rPr>
              <w:t>11</w:t>
            </w:r>
          </w:p>
        </w:tc>
        <w:tc>
          <w:tcPr>
            <w:tcW w:w="1045" w:type="dxa"/>
            <w:vMerge w:val="restart"/>
            <w:tcBorders>
              <w:top w:val="nil"/>
              <w:left w:val="single" w:sz="8" w:space="0" w:color="FFFFFF"/>
              <w:bottom w:val="single" w:sz="8" w:space="0" w:color="FFFFFF"/>
              <w:right w:val="single" w:sz="8" w:space="0" w:color="FFFFFF"/>
            </w:tcBorders>
            <w:shd w:val="clear" w:color="000000" w:fill="D9E2F3"/>
            <w:vAlign w:val="center"/>
            <w:hideMark/>
          </w:tcPr>
          <w:p w14:paraId="17F9FA47" w14:textId="77777777" w:rsidR="00646716" w:rsidRPr="00207ABD" w:rsidRDefault="00646716" w:rsidP="00A62D19">
            <w:pPr>
              <w:spacing w:after="0" w:line="240" w:lineRule="auto"/>
              <w:jc w:val="center"/>
              <w:rPr>
                <w:rFonts w:ascii="Times New Roman" w:eastAsia="Times New Roman" w:hAnsi="Times New Roman" w:cs="Times New Roman"/>
                <w:b/>
                <w:bCs/>
                <w:color w:val="000000"/>
                <w:sz w:val="12"/>
                <w:szCs w:val="12"/>
                <w:lang w:eastAsia="es-GT"/>
              </w:rPr>
            </w:pPr>
            <w:r w:rsidRPr="00207ABD">
              <w:rPr>
                <w:rFonts w:ascii="Times New Roman" w:eastAsia="Times New Roman" w:hAnsi="Times New Roman" w:cs="Times New Roman"/>
                <w:b/>
                <w:bCs/>
                <w:color w:val="000000"/>
                <w:sz w:val="12"/>
                <w:szCs w:val="12"/>
                <w:lang w:eastAsia="es-GT"/>
              </w:rPr>
              <w:t>10.7</w:t>
            </w:r>
          </w:p>
        </w:tc>
        <w:tc>
          <w:tcPr>
            <w:tcW w:w="795" w:type="dxa"/>
            <w:vMerge w:val="restart"/>
            <w:tcBorders>
              <w:top w:val="nil"/>
              <w:left w:val="single" w:sz="8" w:space="0" w:color="FFFFFF"/>
              <w:bottom w:val="single" w:sz="8" w:space="0" w:color="FFFFFF"/>
              <w:right w:val="single" w:sz="8" w:space="0" w:color="FFFFFF"/>
            </w:tcBorders>
            <w:shd w:val="clear" w:color="000000" w:fill="D9E2F3"/>
            <w:vAlign w:val="center"/>
            <w:hideMark/>
          </w:tcPr>
          <w:p w14:paraId="6C03382D" w14:textId="77777777" w:rsidR="00646716" w:rsidRPr="00207ABD" w:rsidRDefault="00646716" w:rsidP="00A62D19">
            <w:pPr>
              <w:spacing w:after="0" w:line="240" w:lineRule="auto"/>
              <w:jc w:val="center"/>
              <w:rPr>
                <w:rFonts w:ascii="Times New Roman" w:eastAsia="Times New Roman" w:hAnsi="Times New Roman" w:cs="Times New Roman"/>
                <w:b/>
                <w:bCs/>
                <w:color w:val="000000"/>
                <w:sz w:val="12"/>
                <w:szCs w:val="12"/>
                <w:lang w:eastAsia="es-GT"/>
              </w:rPr>
            </w:pPr>
            <w:r w:rsidRPr="00207ABD">
              <w:rPr>
                <w:rFonts w:ascii="Times New Roman" w:eastAsia="Times New Roman" w:hAnsi="Times New Roman" w:cs="Times New Roman"/>
                <w:b/>
                <w:bCs/>
                <w:color w:val="000000"/>
                <w:sz w:val="12"/>
                <w:szCs w:val="12"/>
                <w:lang w:eastAsia="es-GT"/>
              </w:rPr>
              <w:t>0.</w:t>
            </w:r>
            <w:r>
              <w:rPr>
                <w:rFonts w:ascii="Times New Roman" w:eastAsia="Times New Roman" w:hAnsi="Times New Roman" w:cs="Times New Roman"/>
                <w:b/>
                <w:bCs/>
                <w:color w:val="000000"/>
                <w:sz w:val="12"/>
                <w:szCs w:val="12"/>
                <w:lang w:eastAsia="es-GT"/>
              </w:rPr>
              <w:t>3</w:t>
            </w:r>
          </w:p>
        </w:tc>
        <w:tc>
          <w:tcPr>
            <w:tcW w:w="3366" w:type="dxa"/>
            <w:tcBorders>
              <w:top w:val="nil"/>
              <w:left w:val="nil"/>
              <w:bottom w:val="nil"/>
              <w:right w:val="single" w:sz="8" w:space="0" w:color="FFFFFF"/>
            </w:tcBorders>
            <w:shd w:val="clear" w:color="000000" w:fill="D9E2F3"/>
            <w:vAlign w:val="center"/>
            <w:hideMark/>
          </w:tcPr>
          <w:p w14:paraId="528F1400"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Devoluciones</w:t>
            </w:r>
          </w:p>
        </w:tc>
      </w:tr>
      <w:tr w:rsidR="00646716" w:rsidRPr="00E90F9A" w14:paraId="1465B34F" w14:textId="77777777" w:rsidTr="00A62D19">
        <w:trPr>
          <w:trHeight w:val="207"/>
        </w:trPr>
        <w:tc>
          <w:tcPr>
            <w:tcW w:w="561" w:type="dxa"/>
            <w:vMerge/>
            <w:tcBorders>
              <w:top w:val="nil"/>
              <w:left w:val="single" w:sz="8" w:space="0" w:color="FFFFFF"/>
              <w:bottom w:val="single" w:sz="8" w:space="0" w:color="FFFFFF"/>
              <w:right w:val="single" w:sz="8" w:space="0" w:color="FFFFFF"/>
            </w:tcBorders>
            <w:vAlign w:val="center"/>
            <w:hideMark/>
          </w:tcPr>
          <w:p w14:paraId="3AAF2A2B" w14:textId="77777777" w:rsidR="00646716" w:rsidRPr="00207ABD" w:rsidRDefault="00646716" w:rsidP="00A62D19">
            <w:pPr>
              <w:spacing w:after="0" w:line="240" w:lineRule="auto"/>
              <w:rPr>
                <w:rFonts w:ascii="Times New Roman" w:eastAsia="Times New Roman" w:hAnsi="Times New Roman" w:cs="Times New Roman"/>
                <w:b/>
                <w:bCs/>
                <w:i/>
                <w:iCs/>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6CF19759" w14:textId="77777777" w:rsidR="00646716" w:rsidRPr="00207ABD" w:rsidRDefault="00646716" w:rsidP="00A62D19">
            <w:pPr>
              <w:spacing w:after="0" w:line="240" w:lineRule="auto"/>
              <w:rPr>
                <w:rFonts w:ascii="Times New Roman" w:eastAsia="Times New Roman" w:hAnsi="Times New Roman" w:cs="Times New Roman"/>
                <w:b/>
                <w:bCs/>
                <w:i/>
                <w:iCs/>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0B482879" w14:textId="77777777" w:rsidR="00646716" w:rsidRPr="00207ABD"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6A45563D" w14:textId="77777777" w:rsidR="00646716" w:rsidRPr="00207ABD"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010A496A" w14:textId="77777777" w:rsidR="00646716" w:rsidRPr="00207ABD"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3366" w:type="dxa"/>
            <w:tcBorders>
              <w:top w:val="nil"/>
              <w:left w:val="nil"/>
              <w:bottom w:val="nil"/>
              <w:right w:val="single" w:sz="8" w:space="0" w:color="FFFFFF"/>
            </w:tcBorders>
            <w:shd w:val="clear" w:color="000000" w:fill="D9E2F3"/>
            <w:vAlign w:val="center"/>
            <w:hideMark/>
          </w:tcPr>
          <w:p w14:paraId="02AF2687"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Ingresos de capital (</w:t>
            </w:r>
            <w:r w:rsidRPr="00BF1931">
              <w:rPr>
                <w:rFonts w:ascii="Times New Roman" w:eastAsia="Times New Roman" w:hAnsi="Times New Roman" w:cs="Times New Roman"/>
                <w:i/>
                <w:iCs/>
                <w:color w:val="000000"/>
                <w:sz w:val="10"/>
                <w:szCs w:val="10"/>
                <w:lang w:eastAsia="es-GT"/>
              </w:rPr>
              <w:t>exceptuando</w:t>
            </w:r>
            <w:r w:rsidRPr="00207ABD">
              <w:rPr>
                <w:rFonts w:ascii="Times New Roman" w:eastAsia="Times New Roman" w:hAnsi="Times New Roman" w:cs="Times New Roman"/>
                <w:i/>
                <w:iCs/>
                <w:color w:val="000000"/>
                <w:sz w:val="10"/>
                <w:szCs w:val="10"/>
                <w:lang w:eastAsia="es-GT"/>
              </w:rPr>
              <w:t xml:space="preserve"> transferencias de capital de la Administración Central)</w:t>
            </w:r>
          </w:p>
        </w:tc>
      </w:tr>
      <w:tr w:rsidR="00646716" w:rsidRPr="00E90F9A" w14:paraId="23166D1B" w14:textId="77777777" w:rsidTr="00A62D19">
        <w:trPr>
          <w:trHeight w:val="169"/>
        </w:trPr>
        <w:tc>
          <w:tcPr>
            <w:tcW w:w="561" w:type="dxa"/>
            <w:vMerge/>
            <w:tcBorders>
              <w:top w:val="nil"/>
              <w:left w:val="single" w:sz="8" w:space="0" w:color="FFFFFF"/>
              <w:bottom w:val="single" w:sz="8" w:space="0" w:color="FFFFFF"/>
              <w:right w:val="single" w:sz="8" w:space="0" w:color="FFFFFF"/>
            </w:tcBorders>
            <w:vAlign w:val="center"/>
            <w:hideMark/>
          </w:tcPr>
          <w:p w14:paraId="1C9C8766" w14:textId="77777777" w:rsidR="00646716" w:rsidRPr="00207ABD" w:rsidRDefault="00646716" w:rsidP="00A62D19">
            <w:pPr>
              <w:spacing w:after="0" w:line="240" w:lineRule="auto"/>
              <w:rPr>
                <w:rFonts w:ascii="Times New Roman" w:eastAsia="Times New Roman" w:hAnsi="Times New Roman" w:cs="Times New Roman"/>
                <w:b/>
                <w:bCs/>
                <w:i/>
                <w:iCs/>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3C0306E5" w14:textId="77777777" w:rsidR="00646716" w:rsidRPr="00207ABD" w:rsidRDefault="00646716" w:rsidP="00A62D19">
            <w:pPr>
              <w:spacing w:after="0" w:line="240" w:lineRule="auto"/>
              <w:rPr>
                <w:rFonts w:ascii="Times New Roman" w:eastAsia="Times New Roman" w:hAnsi="Times New Roman" w:cs="Times New Roman"/>
                <w:b/>
                <w:bCs/>
                <w:i/>
                <w:iCs/>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5B2C4F2D" w14:textId="77777777" w:rsidR="00646716" w:rsidRPr="00207ABD"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4DE65A8C" w14:textId="77777777" w:rsidR="00646716" w:rsidRPr="00207ABD"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192C879A" w14:textId="77777777" w:rsidR="00646716" w:rsidRPr="00207ABD"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3366" w:type="dxa"/>
            <w:tcBorders>
              <w:top w:val="nil"/>
              <w:left w:val="nil"/>
              <w:bottom w:val="nil"/>
              <w:right w:val="single" w:sz="8" w:space="0" w:color="FFFFFF"/>
            </w:tcBorders>
            <w:shd w:val="clear" w:color="000000" w:fill="D9E2F3"/>
            <w:vAlign w:val="center"/>
            <w:hideMark/>
          </w:tcPr>
          <w:p w14:paraId="5C5AD125"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Diferencias por fluctuaciones cambiarias</w:t>
            </w:r>
          </w:p>
        </w:tc>
      </w:tr>
      <w:tr w:rsidR="00646716" w:rsidRPr="00E90F9A" w14:paraId="4214F7C9" w14:textId="77777777" w:rsidTr="00A62D19">
        <w:trPr>
          <w:trHeight w:val="169"/>
        </w:trPr>
        <w:tc>
          <w:tcPr>
            <w:tcW w:w="561" w:type="dxa"/>
            <w:vMerge/>
            <w:tcBorders>
              <w:top w:val="nil"/>
              <w:left w:val="single" w:sz="8" w:space="0" w:color="FFFFFF"/>
              <w:bottom w:val="single" w:sz="8" w:space="0" w:color="FFFFFF"/>
              <w:right w:val="single" w:sz="8" w:space="0" w:color="FFFFFF"/>
            </w:tcBorders>
            <w:vAlign w:val="center"/>
            <w:hideMark/>
          </w:tcPr>
          <w:p w14:paraId="2E647788" w14:textId="77777777" w:rsidR="00646716" w:rsidRPr="00207ABD" w:rsidRDefault="00646716" w:rsidP="00A62D19">
            <w:pPr>
              <w:spacing w:after="0" w:line="240" w:lineRule="auto"/>
              <w:rPr>
                <w:rFonts w:ascii="Times New Roman" w:eastAsia="Times New Roman" w:hAnsi="Times New Roman" w:cs="Times New Roman"/>
                <w:b/>
                <w:bCs/>
                <w:i/>
                <w:iCs/>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5F4A6443" w14:textId="77777777" w:rsidR="00646716" w:rsidRPr="00207ABD" w:rsidRDefault="00646716" w:rsidP="00A62D19">
            <w:pPr>
              <w:spacing w:after="0" w:line="240" w:lineRule="auto"/>
              <w:rPr>
                <w:rFonts w:ascii="Times New Roman" w:eastAsia="Times New Roman" w:hAnsi="Times New Roman" w:cs="Times New Roman"/>
                <w:b/>
                <w:bCs/>
                <w:i/>
                <w:iCs/>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43F53F99" w14:textId="77777777" w:rsidR="00646716" w:rsidRPr="00207ABD"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3295A195" w14:textId="77777777" w:rsidR="00646716" w:rsidRPr="00207ABD"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3164922B" w14:textId="77777777" w:rsidR="00646716" w:rsidRPr="00207ABD"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3366" w:type="dxa"/>
            <w:tcBorders>
              <w:top w:val="nil"/>
              <w:left w:val="nil"/>
              <w:bottom w:val="nil"/>
              <w:right w:val="single" w:sz="8" w:space="0" w:color="FFFFFF"/>
            </w:tcBorders>
            <w:shd w:val="clear" w:color="000000" w:fill="D9E2F3"/>
            <w:vAlign w:val="center"/>
            <w:hideMark/>
          </w:tcPr>
          <w:p w14:paraId="7A484892"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xml:space="preserve">(-) Recursos provenientes de </w:t>
            </w:r>
            <w:r w:rsidRPr="00BF1931">
              <w:rPr>
                <w:rFonts w:ascii="Times New Roman" w:eastAsia="Times New Roman" w:hAnsi="Times New Roman" w:cs="Times New Roman"/>
                <w:i/>
                <w:iCs/>
                <w:color w:val="000000"/>
                <w:sz w:val="10"/>
                <w:szCs w:val="10"/>
                <w:lang w:eastAsia="es-GT"/>
              </w:rPr>
              <w:t>la extinción</w:t>
            </w:r>
            <w:r w:rsidRPr="00207ABD">
              <w:rPr>
                <w:rFonts w:ascii="Times New Roman" w:eastAsia="Times New Roman" w:hAnsi="Times New Roman" w:cs="Times New Roman"/>
                <w:i/>
                <w:iCs/>
                <w:color w:val="000000"/>
                <w:sz w:val="10"/>
                <w:szCs w:val="10"/>
                <w:lang w:eastAsia="es-GT"/>
              </w:rPr>
              <w:t xml:space="preserve"> de dominio</w:t>
            </w:r>
          </w:p>
        </w:tc>
      </w:tr>
      <w:tr w:rsidR="00646716" w:rsidRPr="00E90F9A" w14:paraId="66FBE8CF" w14:textId="77777777" w:rsidTr="00A62D19">
        <w:trPr>
          <w:trHeight w:val="177"/>
        </w:trPr>
        <w:tc>
          <w:tcPr>
            <w:tcW w:w="561" w:type="dxa"/>
            <w:vMerge/>
            <w:tcBorders>
              <w:top w:val="nil"/>
              <w:left w:val="single" w:sz="8" w:space="0" w:color="FFFFFF"/>
              <w:bottom w:val="single" w:sz="8" w:space="0" w:color="FFFFFF"/>
              <w:right w:val="single" w:sz="8" w:space="0" w:color="FFFFFF"/>
            </w:tcBorders>
            <w:vAlign w:val="center"/>
            <w:hideMark/>
          </w:tcPr>
          <w:p w14:paraId="39729F7B" w14:textId="77777777" w:rsidR="00646716" w:rsidRPr="00207ABD" w:rsidRDefault="00646716" w:rsidP="00A62D19">
            <w:pPr>
              <w:spacing w:after="0" w:line="240" w:lineRule="auto"/>
              <w:rPr>
                <w:rFonts w:ascii="Times New Roman" w:eastAsia="Times New Roman" w:hAnsi="Times New Roman" w:cs="Times New Roman"/>
                <w:b/>
                <w:bCs/>
                <w:i/>
                <w:iCs/>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7D5CF3C4" w14:textId="77777777" w:rsidR="00646716" w:rsidRPr="00207ABD" w:rsidRDefault="00646716" w:rsidP="00A62D19">
            <w:pPr>
              <w:spacing w:after="0" w:line="240" w:lineRule="auto"/>
              <w:rPr>
                <w:rFonts w:ascii="Times New Roman" w:eastAsia="Times New Roman" w:hAnsi="Times New Roman" w:cs="Times New Roman"/>
                <w:b/>
                <w:bCs/>
                <w:i/>
                <w:iCs/>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7200AE58" w14:textId="77777777" w:rsidR="00646716" w:rsidRPr="00207ABD"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1F2D67D2" w14:textId="77777777" w:rsidR="00646716" w:rsidRPr="00207ABD"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2BF4B4E3" w14:textId="77777777" w:rsidR="00646716" w:rsidRPr="00207ABD"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3366" w:type="dxa"/>
            <w:tcBorders>
              <w:top w:val="nil"/>
              <w:left w:val="nil"/>
              <w:bottom w:val="single" w:sz="8" w:space="0" w:color="FFFFFF"/>
              <w:right w:val="single" w:sz="8" w:space="0" w:color="FFFFFF"/>
            </w:tcBorders>
            <w:shd w:val="clear" w:color="000000" w:fill="D9E2F3"/>
            <w:vAlign w:val="center"/>
            <w:hideMark/>
          </w:tcPr>
          <w:p w14:paraId="65CC3AE2"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Contribuciones Sociales Imputadas</w:t>
            </w:r>
          </w:p>
        </w:tc>
      </w:tr>
      <w:tr w:rsidR="00646716" w:rsidRPr="00E90F9A" w14:paraId="5EA9293C" w14:textId="77777777" w:rsidTr="00A62D19">
        <w:trPr>
          <w:trHeight w:val="169"/>
        </w:trPr>
        <w:tc>
          <w:tcPr>
            <w:tcW w:w="561" w:type="dxa"/>
            <w:vMerge w:val="restart"/>
            <w:tcBorders>
              <w:top w:val="nil"/>
              <w:left w:val="single" w:sz="8" w:space="0" w:color="FFFFFF"/>
              <w:bottom w:val="single" w:sz="8" w:space="0" w:color="FFFFFF"/>
              <w:right w:val="single" w:sz="8" w:space="0" w:color="FFFFFF"/>
            </w:tcBorders>
            <w:shd w:val="clear" w:color="000000" w:fill="8496B0"/>
            <w:noWrap/>
            <w:vAlign w:val="center"/>
            <w:hideMark/>
          </w:tcPr>
          <w:p w14:paraId="691F3EF0" w14:textId="77777777" w:rsidR="00646716" w:rsidRPr="00207ABD" w:rsidRDefault="00646716" w:rsidP="00A62D19">
            <w:pPr>
              <w:spacing w:after="0" w:line="240" w:lineRule="auto"/>
              <w:jc w:val="center"/>
              <w:rPr>
                <w:rFonts w:ascii="Times New Roman" w:eastAsia="Times New Roman" w:hAnsi="Times New Roman" w:cs="Times New Roman"/>
                <w:color w:val="FFFFFF"/>
                <w:sz w:val="12"/>
                <w:szCs w:val="12"/>
                <w:lang w:eastAsia="es-GT"/>
              </w:rPr>
            </w:pPr>
            <w:r w:rsidRPr="00207ABD">
              <w:rPr>
                <w:rFonts w:ascii="Times New Roman" w:eastAsia="Times New Roman" w:hAnsi="Times New Roman" w:cs="Times New Roman"/>
                <w:color w:val="FFFFFF"/>
                <w:sz w:val="12"/>
                <w:szCs w:val="12"/>
                <w:lang w:eastAsia="es-GT"/>
              </w:rPr>
              <w:t>11</w:t>
            </w:r>
          </w:p>
        </w:tc>
        <w:tc>
          <w:tcPr>
            <w:tcW w:w="1699" w:type="dxa"/>
            <w:vMerge w:val="restart"/>
            <w:tcBorders>
              <w:top w:val="nil"/>
              <w:left w:val="single" w:sz="8" w:space="0" w:color="FFFFFF"/>
              <w:bottom w:val="single" w:sz="8" w:space="0" w:color="FFFFFF"/>
              <w:right w:val="single" w:sz="8" w:space="0" w:color="FFFFFF"/>
            </w:tcBorders>
            <w:shd w:val="clear" w:color="000000" w:fill="B4C6E7"/>
            <w:vAlign w:val="center"/>
            <w:hideMark/>
          </w:tcPr>
          <w:p w14:paraId="6EBE730C"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Impuestos</w:t>
            </w:r>
          </w:p>
        </w:tc>
        <w:tc>
          <w:tcPr>
            <w:tcW w:w="1045" w:type="dxa"/>
            <w:vMerge w:val="restart"/>
            <w:tcBorders>
              <w:top w:val="nil"/>
              <w:left w:val="single" w:sz="8" w:space="0" w:color="FFFFFF"/>
              <w:bottom w:val="single" w:sz="8" w:space="0" w:color="FFFFFF"/>
              <w:right w:val="single" w:sz="8" w:space="0" w:color="FFFFFF"/>
            </w:tcBorders>
            <w:shd w:val="clear" w:color="000000" w:fill="B4C6E7"/>
            <w:vAlign w:val="center"/>
            <w:hideMark/>
          </w:tcPr>
          <w:p w14:paraId="1B5088D9"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10.0</w:t>
            </w:r>
          </w:p>
        </w:tc>
        <w:tc>
          <w:tcPr>
            <w:tcW w:w="1045" w:type="dxa"/>
            <w:vMerge w:val="restart"/>
            <w:tcBorders>
              <w:top w:val="nil"/>
              <w:left w:val="single" w:sz="8" w:space="0" w:color="FFFFFF"/>
              <w:bottom w:val="single" w:sz="8" w:space="0" w:color="FFFFFF"/>
              <w:right w:val="single" w:sz="8" w:space="0" w:color="FFFFFF"/>
            </w:tcBorders>
            <w:shd w:val="clear" w:color="000000" w:fill="B4C6E7"/>
            <w:vAlign w:val="center"/>
            <w:hideMark/>
          </w:tcPr>
          <w:p w14:paraId="7B9EBF7A"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10.1</w:t>
            </w:r>
          </w:p>
        </w:tc>
        <w:tc>
          <w:tcPr>
            <w:tcW w:w="795" w:type="dxa"/>
            <w:vMerge w:val="restart"/>
            <w:tcBorders>
              <w:top w:val="nil"/>
              <w:left w:val="single" w:sz="8" w:space="0" w:color="FFFFFF"/>
              <w:bottom w:val="single" w:sz="8" w:space="0" w:color="FFFFFF"/>
              <w:right w:val="single" w:sz="8" w:space="0" w:color="FFFFFF"/>
            </w:tcBorders>
            <w:shd w:val="clear" w:color="000000" w:fill="B4C6E7"/>
            <w:vAlign w:val="center"/>
            <w:hideMark/>
          </w:tcPr>
          <w:p w14:paraId="14249293"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-0.1</w:t>
            </w:r>
          </w:p>
        </w:tc>
        <w:tc>
          <w:tcPr>
            <w:tcW w:w="3366" w:type="dxa"/>
            <w:tcBorders>
              <w:top w:val="nil"/>
              <w:left w:val="nil"/>
              <w:bottom w:val="nil"/>
              <w:right w:val="single" w:sz="8" w:space="0" w:color="FFFFFF"/>
            </w:tcBorders>
            <w:shd w:val="clear" w:color="000000" w:fill="B4C6E7"/>
            <w:vAlign w:val="center"/>
            <w:hideMark/>
          </w:tcPr>
          <w:p w14:paraId="5A17D091"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Devoluciones</w:t>
            </w:r>
          </w:p>
        </w:tc>
      </w:tr>
      <w:tr w:rsidR="00646716" w:rsidRPr="00E90F9A" w14:paraId="2083307C" w14:textId="77777777" w:rsidTr="00A62D19">
        <w:trPr>
          <w:trHeight w:val="169"/>
        </w:trPr>
        <w:tc>
          <w:tcPr>
            <w:tcW w:w="561" w:type="dxa"/>
            <w:vMerge/>
            <w:tcBorders>
              <w:top w:val="nil"/>
              <w:left w:val="single" w:sz="8" w:space="0" w:color="FFFFFF"/>
              <w:bottom w:val="single" w:sz="8" w:space="0" w:color="FFFFFF"/>
              <w:right w:val="single" w:sz="8" w:space="0" w:color="FFFFFF"/>
            </w:tcBorders>
            <w:vAlign w:val="center"/>
            <w:hideMark/>
          </w:tcPr>
          <w:p w14:paraId="1A9FC57B" w14:textId="77777777" w:rsidR="00646716" w:rsidRPr="00207ABD" w:rsidRDefault="00646716" w:rsidP="00A62D19">
            <w:pPr>
              <w:spacing w:after="0" w:line="240" w:lineRule="auto"/>
              <w:rPr>
                <w:rFonts w:ascii="Times New Roman" w:eastAsia="Times New Roman" w:hAnsi="Times New Roman" w:cs="Times New Roman"/>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7E67BB9F"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6C95CEF3"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4A313AC9"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5DA90A42"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3366" w:type="dxa"/>
            <w:tcBorders>
              <w:top w:val="nil"/>
              <w:left w:val="nil"/>
              <w:bottom w:val="nil"/>
              <w:right w:val="single" w:sz="8" w:space="0" w:color="FFFFFF"/>
            </w:tcBorders>
            <w:shd w:val="clear" w:color="000000" w:fill="B4C6E7"/>
            <w:vAlign w:val="center"/>
            <w:hideMark/>
          </w:tcPr>
          <w:p w14:paraId="38FB6CA1"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Regalías</w:t>
            </w:r>
          </w:p>
        </w:tc>
      </w:tr>
      <w:tr w:rsidR="00646716" w:rsidRPr="00E90F9A" w14:paraId="41B0DE4B" w14:textId="77777777" w:rsidTr="00A62D19">
        <w:trPr>
          <w:trHeight w:val="169"/>
        </w:trPr>
        <w:tc>
          <w:tcPr>
            <w:tcW w:w="561" w:type="dxa"/>
            <w:vMerge/>
            <w:tcBorders>
              <w:top w:val="nil"/>
              <w:left w:val="single" w:sz="8" w:space="0" w:color="FFFFFF"/>
              <w:bottom w:val="single" w:sz="8" w:space="0" w:color="FFFFFF"/>
              <w:right w:val="single" w:sz="8" w:space="0" w:color="FFFFFF"/>
            </w:tcBorders>
            <w:vAlign w:val="center"/>
            <w:hideMark/>
          </w:tcPr>
          <w:p w14:paraId="63E7D046" w14:textId="77777777" w:rsidR="00646716" w:rsidRPr="00207ABD" w:rsidRDefault="00646716" w:rsidP="00A62D19">
            <w:pPr>
              <w:spacing w:after="0" w:line="240" w:lineRule="auto"/>
              <w:rPr>
                <w:rFonts w:ascii="Times New Roman" w:eastAsia="Times New Roman" w:hAnsi="Times New Roman" w:cs="Times New Roman"/>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4F2DF55B"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312A7B6D"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45CDD67F"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04AA8E12"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3366" w:type="dxa"/>
            <w:tcBorders>
              <w:top w:val="nil"/>
              <w:left w:val="nil"/>
              <w:bottom w:val="nil"/>
              <w:right w:val="single" w:sz="8" w:space="0" w:color="FFFFFF"/>
            </w:tcBorders>
            <w:shd w:val="clear" w:color="000000" w:fill="B4C6E7"/>
            <w:vAlign w:val="center"/>
            <w:hideMark/>
          </w:tcPr>
          <w:p w14:paraId="1E190A67"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Intereses, Multas y Mora</w:t>
            </w:r>
          </w:p>
        </w:tc>
      </w:tr>
      <w:tr w:rsidR="00646716" w:rsidRPr="00E90F9A" w14:paraId="4F74FC1F" w14:textId="77777777" w:rsidTr="00A62D19">
        <w:trPr>
          <w:trHeight w:val="177"/>
        </w:trPr>
        <w:tc>
          <w:tcPr>
            <w:tcW w:w="561" w:type="dxa"/>
            <w:vMerge/>
            <w:tcBorders>
              <w:top w:val="nil"/>
              <w:left w:val="single" w:sz="8" w:space="0" w:color="FFFFFF"/>
              <w:bottom w:val="single" w:sz="8" w:space="0" w:color="FFFFFF"/>
              <w:right w:val="single" w:sz="8" w:space="0" w:color="FFFFFF"/>
            </w:tcBorders>
            <w:vAlign w:val="center"/>
            <w:hideMark/>
          </w:tcPr>
          <w:p w14:paraId="394CCB06" w14:textId="77777777" w:rsidR="00646716" w:rsidRPr="00207ABD" w:rsidRDefault="00646716" w:rsidP="00A62D19">
            <w:pPr>
              <w:spacing w:after="0" w:line="240" w:lineRule="auto"/>
              <w:rPr>
                <w:rFonts w:ascii="Times New Roman" w:eastAsia="Times New Roman" w:hAnsi="Times New Roman" w:cs="Times New Roman"/>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52156E9C"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1B4130D0"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2EFA62BF"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56AB024A"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3366" w:type="dxa"/>
            <w:tcBorders>
              <w:top w:val="nil"/>
              <w:left w:val="nil"/>
              <w:bottom w:val="single" w:sz="8" w:space="0" w:color="FFFFFF"/>
              <w:right w:val="single" w:sz="8" w:space="0" w:color="FFFFFF"/>
            </w:tcBorders>
            <w:shd w:val="clear" w:color="000000" w:fill="B4C6E7"/>
            <w:vAlign w:val="center"/>
            <w:hideMark/>
          </w:tcPr>
          <w:p w14:paraId="7983C6F7"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Tasas consideradas como impuestos</w:t>
            </w:r>
          </w:p>
        </w:tc>
      </w:tr>
      <w:tr w:rsidR="00646716" w:rsidRPr="00E90F9A" w14:paraId="0F1964B6" w14:textId="77777777" w:rsidTr="00A62D19">
        <w:trPr>
          <w:trHeight w:val="177"/>
        </w:trPr>
        <w:tc>
          <w:tcPr>
            <w:tcW w:w="561" w:type="dxa"/>
            <w:tcBorders>
              <w:top w:val="nil"/>
              <w:left w:val="single" w:sz="8" w:space="0" w:color="FFFFFF"/>
              <w:bottom w:val="single" w:sz="8" w:space="0" w:color="FFFFFF"/>
              <w:right w:val="single" w:sz="8" w:space="0" w:color="FFFFFF"/>
            </w:tcBorders>
            <w:shd w:val="clear" w:color="000000" w:fill="8496B0"/>
            <w:noWrap/>
            <w:vAlign w:val="center"/>
            <w:hideMark/>
          </w:tcPr>
          <w:p w14:paraId="55F91DFB" w14:textId="77777777" w:rsidR="00646716" w:rsidRPr="00207ABD" w:rsidRDefault="00646716" w:rsidP="00A62D19">
            <w:pPr>
              <w:spacing w:after="0" w:line="240" w:lineRule="auto"/>
              <w:jc w:val="center"/>
              <w:rPr>
                <w:rFonts w:ascii="Times New Roman" w:eastAsia="Times New Roman" w:hAnsi="Times New Roman" w:cs="Times New Roman"/>
                <w:color w:val="FFFFFF"/>
                <w:sz w:val="12"/>
                <w:szCs w:val="12"/>
                <w:lang w:eastAsia="es-GT"/>
              </w:rPr>
            </w:pPr>
            <w:r w:rsidRPr="00207ABD">
              <w:rPr>
                <w:rFonts w:ascii="Times New Roman" w:eastAsia="Times New Roman" w:hAnsi="Times New Roman" w:cs="Times New Roman"/>
                <w:color w:val="FFFFFF"/>
                <w:sz w:val="12"/>
                <w:szCs w:val="12"/>
                <w:lang w:eastAsia="es-GT"/>
              </w:rPr>
              <w:t>12</w:t>
            </w:r>
          </w:p>
        </w:tc>
        <w:tc>
          <w:tcPr>
            <w:tcW w:w="1699" w:type="dxa"/>
            <w:tcBorders>
              <w:top w:val="nil"/>
              <w:left w:val="nil"/>
              <w:bottom w:val="single" w:sz="8" w:space="0" w:color="FFFFFF"/>
              <w:right w:val="single" w:sz="8" w:space="0" w:color="FFFFFF"/>
            </w:tcBorders>
            <w:shd w:val="clear" w:color="000000" w:fill="D9E2F3"/>
            <w:vAlign w:val="center"/>
            <w:hideMark/>
          </w:tcPr>
          <w:p w14:paraId="51001587"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 xml:space="preserve">Contribuciones sociales </w:t>
            </w:r>
          </w:p>
        </w:tc>
        <w:tc>
          <w:tcPr>
            <w:tcW w:w="1045" w:type="dxa"/>
            <w:tcBorders>
              <w:top w:val="nil"/>
              <w:left w:val="nil"/>
              <w:bottom w:val="single" w:sz="8" w:space="0" w:color="FFFFFF"/>
              <w:right w:val="single" w:sz="8" w:space="0" w:color="FFFFFF"/>
            </w:tcBorders>
            <w:shd w:val="clear" w:color="000000" w:fill="D9E2F3"/>
            <w:vAlign w:val="center"/>
            <w:hideMark/>
          </w:tcPr>
          <w:p w14:paraId="0B46B2BD"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0.8</w:t>
            </w:r>
          </w:p>
        </w:tc>
        <w:tc>
          <w:tcPr>
            <w:tcW w:w="1045" w:type="dxa"/>
            <w:tcBorders>
              <w:top w:val="nil"/>
              <w:left w:val="nil"/>
              <w:bottom w:val="single" w:sz="8" w:space="0" w:color="FFFFFF"/>
              <w:right w:val="single" w:sz="8" w:space="0" w:color="FFFFFF"/>
            </w:tcBorders>
            <w:shd w:val="clear" w:color="000000" w:fill="D9E2F3"/>
            <w:vAlign w:val="center"/>
            <w:hideMark/>
          </w:tcPr>
          <w:p w14:paraId="3243B635"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0.4</w:t>
            </w:r>
          </w:p>
        </w:tc>
        <w:tc>
          <w:tcPr>
            <w:tcW w:w="795" w:type="dxa"/>
            <w:tcBorders>
              <w:top w:val="nil"/>
              <w:left w:val="nil"/>
              <w:bottom w:val="single" w:sz="8" w:space="0" w:color="FFFFFF"/>
              <w:right w:val="single" w:sz="8" w:space="0" w:color="FFFFFF"/>
            </w:tcBorders>
            <w:shd w:val="clear" w:color="000000" w:fill="D9E2F3"/>
            <w:vAlign w:val="center"/>
            <w:hideMark/>
          </w:tcPr>
          <w:p w14:paraId="6AB1D5E9"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0.4</w:t>
            </w:r>
          </w:p>
        </w:tc>
        <w:tc>
          <w:tcPr>
            <w:tcW w:w="3366" w:type="dxa"/>
            <w:tcBorders>
              <w:top w:val="nil"/>
              <w:left w:val="nil"/>
              <w:bottom w:val="single" w:sz="8" w:space="0" w:color="FFFFFF"/>
              <w:right w:val="single" w:sz="8" w:space="0" w:color="FFFFFF"/>
            </w:tcBorders>
            <w:shd w:val="clear" w:color="000000" w:fill="D9E2F3"/>
            <w:vAlign w:val="center"/>
            <w:hideMark/>
          </w:tcPr>
          <w:p w14:paraId="43683080" w14:textId="77777777" w:rsidR="00646716" w:rsidRPr="00207ABD" w:rsidRDefault="00646716" w:rsidP="00A62D19">
            <w:pPr>
              <w:spacing w:after="0" w:line="240" w:lineRule="auto"/>
              <w:rPr>
                <w:rFonts w:ascii="Times" w:eastAsia="Times New Roman" w:hAnsi="Times" w:cs="Times"/>
                <w:i/>
                <w:iCs/>
                <w:color w:val="000000"/>
                <w:sz w:val="10"/>
                <w:szCs w:val="10"/>
                <w:lang w:eastAsia="es-GT"/>
              </w:rPr>
            </w:pPr>
            <w:r w:rsidRPr="00207ABD">
              <w:rPr>
                <w:rFonts w:ascii="Times" w:eastAsia="Times New Roman" w:hAnsi="Times" w:cs="Times"/>
                <w:i/>
                <w:iCs/>
                <w:color w:val="000000"/>
                <w:sz w:val="10"/>
                <w:szCs w:val="10"/>
                <w:lang w:eastAsia="es-GT"/>
              </w:rPr>
              <w:t>(+) Contribuciones Sociales Imputadas</w:t>
            </w:r>
          </w:p>
        </w:tc>
      </w:tr>
      <w:tr w:rsidR="00646716" w:rsidRPr="00E90F9A" w14:paraId="29E55595" w14:textId="77777777" w:rsidTr="00A62D19">
        <w:trPr>
          <w:trHeight w:val="177"/>
        </w:trPr>
        <w:tc>
          <w:tcPr>
            <w:tcW w:w="561" w:type="dxa"/>
            <w:tcBorders>
              <w:top w:val="nil"/>
              <w:left w:val="single" w:sz="8" w:space="0" w:color="FFFFFF"/>
              <w:bottom w:val="single" w:sz="8" w:space="0" w:color="FFFFFF"/>
              <w:right w:val="single" w:sz="8" w:space="0" w:color="FFFFFF"/>
            </w:tcBorders>
            <w:shd w:val="clear" w:color="000000" w:fill="8496B0"/>
            <w:noWrap/>
            <w:vAlign w:val="center"/>
            <w:hideMark/>
          </w:tcPr>
          <w:p w14:paraId="5C395529" w14:textId="77777777" w:rsidR="00646716" w:rsidRPr="00207ABD" w:rsidRDefault="00646716" w:rsidP="00A62D19">
            <w:pPr>
              <w:spacing w:after="0" w:line="240" w:lineRule="auto"/>
              <w:jc w:val="center"/>
              <w:rPr>
                <w:rFonts w:ascii="Times New Roman" w:eastAsia="Times New Roman" w:hAnsi="Times New Roman" w:cs="Times New Roman"/>
                <w:color w:val="FFFFFF"/>
                <w:sz w:val="12"/>
                <w:szCs w:val="12"/>
                <w:lang w:eastAsia="es-GT"/>
              </w:rPr>
            </w:pPr>
            <w:r w:rsidRPr="00207ABD">
              <w:rPr>
                <w:rFonts w:ascii="Times New Roman" w:eastAsia="Times New Roman" w:hAnsi="Times New Roman" w:cs="Times New Roman"/>
                <w:color w:val="FFFFFF"/>
                <w:sz w:val="12"/>
                <w:szCs w:val="12"/>
                <w:lang w:eastAsia="es-GT"/>
              </w:rPr>
              <w:t>13</w:t>
            </w:r>
          </w:p>
        </w:tc>
        <w:tc>
          <w:tcPr>
            <w:tcW w:w="1699" w:type="dxa"/>
            <w:tcBorders>
              <w:top w:val="nil"/>
              <w:left w:val="nil"/>
              <w:bottom w:val="single" w:sz="8" w:space="0" w:color="FFFFFF"/>
              <w:right w:val="single" w:sz="8" w:space="0" w:color="FFFFFF"/>
            </w:tcBorders>
            <w:shd w:val="clear" w:color="000000" w:fill="B4C6E7"/>
            <w:vAlign w:val="center"/>
            <w:hideMark/>
          </w:tcPr>
          <w:p w14:paraId="1E84E4D5"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Donaciones</w:t>
            </w:r>
          </w:p>
        </w:tc>
        <w:tc>
          <w:tcPr>
            <w:tcW w:w="1045" w:type="dxa"/>
            <w:tcBorders>
              <w:top w:val="nil"/>
              <w:left w:val="nil"/>
              <w:bottom w:val="single" w:sz="8" w:space="0" w:color="FFFFFF"/>
              <w:right w:val="single" w:sz="8" w:space="0" w:color="FFFFFF"/>
            </w:tcBorders>
            <w:shd w:val="clear" w:color="000000" w:fill="B4C6E7"/>
            <w:vAlign w:val="center"/>
            <w:hideMark/>
          </w:tcPr>
          <w:p w14:paraId="6B4B782C"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0.0</w:t>
            </w:r>
          </w:p>
        </w:tc>
        <w:tc>
          <w:tcPr>
            <w:tcW w:w="1045" w:type="dxa"/>
            <w:tcBorders>
              <w:top w:val="nil"/>
              <w:left w:val="nil"/>
              <w:bottom w:val="single" w:sz="8" w:space="0" w:color="FFFFFF"/>
              <w:right w:val="single" w:sz="8" w:space="0" w:color="FFFFFF"/>
            </w:tcBorders>
            <w:shd w:val="clear" w:color="000000" w:fill="B4C6E7"/>
            <w:vAlign w:val="center"/>
            <w:hideMark/>
          </w:tcPr>
          <w:p w14:paraId="494E240C"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0.0</w:t>
            </w:r>
          </w:p>
        </w:tc>
        <w:tc>
          <w:tcPr>
            <w:tcW w:w="795" w:type="dxa"/>
            <w:tcBorders>
              <w:top w:val="nil"/>
              <w:left w:val="nil"/>
              <w:bottom w:val="single" w:sz="8" w:space="0" w:color="FFFFFF"/>
              <w:right w:val="single" w:sz="8" w:space="0" w:color="FFFFFF"/>
            </w:tcBorders>
            <w:shd w:val="clear" w:color="000000" w:fill="B4C6E7"/>
            <w:vAlign w:val="center"/>
            <w:hideMark/>
          </w:tcPr>
          <w:p w14:paraId="55C9C822"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0.0</w:t>
            </w:r>
          </w:p>
        </w:tc>
        <w:tc>
          <w:tcPr>
            <w:tcW w:w="3366" w:type="dxa"/>
            <w:tcBorders>
              <w:top w:val="nil"/>
              <w:left w:val="nil"/>
              <w:bottom w:val="single" w:sz="8" w:space="0" w:color="FFFFFF"/>
              <w:right w:val="single" w:sz="8" w:space="0" w:color="FFFFFF"/>
            </w:tcBorders>
            <w:shd w:val="clear" w:color="000000" w:fill="B4C6E7"/>
            <w:vAlign w:val="center"/>
            <w:hideMark/>
          </w:tcPr>
          <w:p w14:paraId="390FB025"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Transferencias corrientes y de capital, Recibidas de Entidades Públicas</w:t>
            </w:r>
          </w:p>
        </w:tc>
      </w:tr>
      <w:tr w:rsidR="00646716" w:rsidRPr="00E90F9A" w14:paraId="67501814" w14:textId="77777777" w:rsidTr="00A62D19">
        <w:trPr>
          <w:trHeight w:val="169"/>
        </w:trPr>
        <w:tc>
          <w:tcPr>
            <w:tcW w:w="561" w:type="dxa"/>
            <w:vMerge w:val="restart"/>
            <w:tcBorders>
              <w:top w:val="nil"/>
              <w:left w:val="single" w:sz="8" w:space="0" w:color="FFFFFF"/>
              <w:bottom w:val="single" w:sz="8" w:space="0" w:color="FFFFFF"/>
              <w:right w:val="single" w:sz="8" w:space="0" w:color="FFFFFF"/>
            </w:tcBorders>
            <w:shd w:val="clear" w:color="000000" w:fill="8496B0"/>
            <w:noWrap/>
            <w:vAlign w:val="center"/>
            <w:hideMark/>
          </w:tcPr>
          <w:p w14:paraId="5E10FC4F" w14:textId="77777777" w:rsidR="00646716" w:rsidRPr="00207ABD" w:rsidRDefault="00646716" w:rsidP="00A62D19">
            <w:pPr>
              <w:spacing w:after="0" w:line="240" w:lineRule="auto"/>
              <w:jc w:val="center"/>
              <w:rPr>
                <w:rFonts w:ascii="Times New Roman" w:eastAsia="Times New Roman" w:hAnsi="Times New Roman" w:cs="Times New Roman"/>
                <w:color w:val="FFFFFF"/>
                <w:sz w:val="12"/>
                <w:szCs w:val="12"/>
                <w:lang w:eastAsia="es-GT"/>
              </w:rPr>
            </w:pPr>
            <w:r w:rsidRPr="00207ABD">
              <w:rPr>
                <w:rFonts w:ascii="Times New Roman" w:eastAsia="Times New Roman" w:hAnsi="Times New Roman" w:cs="Times New Roman"/>
                <w:color w:val="FFFFFF"/>
                <w:sz w:val="12"/>
                <w:szCs w:val="12"/>
                <w:lang w:eastAsia="es-GT"/>
              </w:rPr>
              <w:t>14</w:t>
            </w:r>
          </w:p>
        </w:tc>
        <w:tc>
          <w:tcPr>
            <w:tcW w:w="1699" w:type="dxa"/>
            <w:vMerge w:val="restart"/>
            <w:tcBorders>
              <w:top w:val="nil"/>
              <w:left w:val="single" w:sz="8" w:space="0" w:color="FFFFFF"/>
              <w:bottom w:val="single" w:sz="8" w:space="0" w:color="FFFFFF"/>
              <w:right w:val="single" w:sz="8" w:space="0" w:color="FFFFFF"/>
            </w:tcBorders>
            <w:shd w:val="clear" w:color="000000" w:fill="D9E2F3"/>
            <w:vAlign w:val="center"/>
            <w:hideMark/>
          </w:tcPr>
          <w:p w14:paraId="4CAC51F8"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Otros ingresos</w:t>
            </w:r>
          </w:p>
        </w:tc>
        <w:tc>
          <w:tcPr>
            <w:tcW w:w="1045" w:type="dxa"/>
            <w:vMerge w:val="restart"/>
            <w:tcBorders>
              <w:top w:val="nil"/>
              <w:left w:val="single" w:sz="8" w:space="0" w:color="FFFFFF"/>
              <w:bottom w:val="single" w:sz="8" w:space="0" w:color="FFFFFF"/>
              <w:right w:val="single" w:sz="8" w:space="0" w:color="FFFFFF"/>
            </w:tcBorders>
            <w:shd w:val="clear" w:color="000000" w:fill="D9E2F3"/>
            <w:vAlign w:val="center"/>
            <w:hideMark/>
          </w:tcPr>
          <w:p w14:paraId="09D166D2"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0.</w:t>
            </w:r>
            <w:r>
              <w:rPr>
                <w:rFonts w:ascii="Times New Roman" w:eastAsia="Times New Roman" w:hAnsi="Times New Roman" w:cs="Times New Roman"/>
                <w:color w:val="000000"/>
                <w:sz w:val="12"/>
                <w:szCs w:val="12"/>
                <w:lang w:eastAsia="es-GT"/>
              </w:rPr>
              <w:t>3</w:t>
            </w:r>
          </w:p>
        </w:tc>
        <w:tc>
          <w:tcPr>
            <w:tcW w:w="1045" w:type="dxa"/>
            <w:vMerge w:val="restart"/>
            <w:tcBorders>
              <w:top w:val="nil"/>
              <w:left w:val="single" w:sz="8" w:space="0" w:color="FFFFFF"/>
              <w:bottom w:val="single" w:sz="8" w:space="0" w:color="FFFFFF"/>
              <w:right w:val="single" w:sz="8" w:space="0" w:color="FFFFFF"/>
            </w:tcBorders>
            <w:shd w:val="clear" w:color="000000" w:fill="D9E2F3"/>
            <w:vAlign w:val="center"/>
            <w:hideMark/>
          </w:tcPr>
          <w:p w14:paraId="416243F5"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0.2</w:t>
            </w:r>
          </w:p>
        </w:tc>
        <w:tc>
          <w:tcPr>
            <w:tcW w:w="795" w:type="dxa"/>
            <w:vMerge w:val="restart"/>
            <w:tcBorders>
              <w:top w:val="nil"/>
              <w:left w:val="single" w:sz="8" w:space="0" w:color="FFFFFF"/>
              <w:bottom w:val="single" w:sz="8" w:space="0" w:color="FFFFFF"/>
              <w:right w:val="single" w:sz="8" w:space="0" w:color="FFFFFF"/>
            </w:tcBorders>
            <w:shd w:val="clear" w:color="000000" w:fill="D9E2F3"/>
            <w:vAlign w:val="center"/>
            <w:hideMark/>
          </w:tcPr>
          <w:p w14:paraId="71D5D449"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0</w:t>
            </w:r>
            <w:r>
              <w:rPr>
                <w:rFonts w:ascii="Times New Roman" w:eastAsia="Times New Roman" w:hAnsi="Times New Roman" w:cs="Times New Roman"/>
                <w:color w:val="000000"/>
                <w:sz w:val="12"/>
                <w:szCs w:val="12"/>
                <w:lang w:eastAsia="es-GT"/>
              </w:rPr>
              <w:t>.1</w:t>
            </w:r>
          </w:p>
        </w:tc>
        <w:tc>
          <w:tcPr>
            <w:tcW w:w="3366" w:type="dxa"/>
            <w:tcBorders>
              <w:top w:val="nil"/>
              <w:left w:val="nil"/>
              <w:bottom w:val="nil"/>
              <w:right w:val="single" w:sz="8" w:space="0" w:color="FFFFFF"/>
            </w:tcBorders>
            <w:shd w:val="clear" w:color="000000" w:fill="D9E2F3"/>
            <w:vAlign w:val="center"/>
            <w:hideMark/>
          </w:tcPr>
          <w:p w14:paraId="333DDCE5"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Regalías</w:t>
            </w:r>
          </w:p>
        </w:tc>
      </w:tr>
      <w:tr w:rsidR="00646716" w:rsidRPr="00E90F9A" w14:paraId="6658086E" w14:textId="77777777" w:rsidTr="00A62D19">
        <w:trPr>
          <w:trHeight w:val="169"/>
        </w:trPr>
        <w:tc>
          <w:tcPr>
            <w:tcW w:w="561" w:type="dxa"/>
            <w:vMerge/>
            <w:tcBorders>
              <w:top w:val="nil"/>
              <w:left w:val="single" w:sz="8" w:space="0" w:color="FFFFFF"/>
              <w:bottom w:val="single" w:sz="8" w:space="0" w:color="FFFFFF"/>
              <w:right w:val="single" w:sz="8" w:space="0" w:color="FFFFFF"/>
            </w:tcBorders>
            <w:vAlign w:val="center"/>
            <w:hideMark/>
          </w:tcPr>
          <w:p w14:paraId="06B89DC5" w14:textId="77777777" w:rsidR="00646716" w:rsidRPr="00207ABD" w:rsidRDefault="00646716" w:rsidP="00A62D19">
            <w:pPr>
              <w:spacing w:after="0" w:line="240" w:lineRule="auto"/>
              <w:rPr>
                <w:rFonts w:ascii="Times New Roman" w:eastAsia="Times New Roman" w:hAnsi="Times New Roman" w:cs="Times New Roman"/>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7389549F"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76805198"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33C71B8C"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78788FEA"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3366" w:type="dxa"/>
            <w:tcBorders>
              <w:top w:val="nil"/>
              <w:left w:val="nil"/>
              <w:bottom w:val="nil"/>
              <w:right w:val="single" w:sz="8" w:space="0" w:color="FFFFFF"/>
            </w:tcBorders>
            <w:shd w:val="clear" w:color="000000" w:fill="D9E2F3"/>
            <w:vAlign w:val="center"/>
            <w:hideMark/>
          </w:tcPr>
          <w:p w14:paraId="4435FDD7"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Intereses, Multas y Mora</w:t>
            </w:r>
          </w:p>
        </w:tc>
      </w:tr>
      <w:tr w:rsidR="00646716" w:rsidRPr="00E90F9A" w14:paraId="679E076A" w14:textId="77777777" w:rsidTr="00A62D19">
        <w:trPr>
          <w:trHeight w:val="169"/>
        </w:trPr>
        <w:tc>
          <w:tcPr>
            <w:tcW w:w="561" w:type="dxa"/>
            <w:vMerge/>
            <w:tcBorders>
              <w:top w:val="nil"/>
              <w:left w:val="single" w:sz="8" w:space="0" w:color="FFFFFF"/>
              <w:bottom w:val="single" w:sz="8" w:space="0" w:color="FFFFFF"/>
              <w:right w:val="single" w:sz="8" w:space="0" w:color="FFFFFF"/>
            </w:tcBorders>
            <w:vAlign w:val="center"/>
            <w:hideMark/>
          </w:tcPr>
          <w:p w14:paraId="5A48504E" w14:textId="77777777" w:rsidR="00646716" w:rsidRPr="00207ABD" w:rsidRDefault="00646716" w:rsidP="00A62D19">
            <w:pPr>
              <w:spacing w:after="0" w:line="240" w:lineRule="auto"/>
              <w:rPr>
                <w:rFonts w:ascii="Times New Roman" w:eastAsia="Times New Roman" w:hAnsi="Times New Roman" w:cs="Times New Roman"/>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233DB334"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111096D4"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4476FAB0"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237C0A35"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3366" w:type="dxa"/>
            <w:tcBorders>
              <w:top w:val="nil"/>
              <w:left w:val="nil"/>
              <w:bottom w:val="nil"/>
              <w:right w:val="single" w:sz="8" w:space="0" w:color="FFFFFF"/>
            </w:tcBorders>
            <w:shd w:val="clear" w:color="000000" w:fill="D9E2F3"/>
            <w:vAlign w:val="center"/>
            <w:hideMark/>
          </w:tcPr>
          <w:p w14:paraId="68A045AE"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Tasas consideradas como impuestos</w:t>
            </w:r>
          </w:p>
        </w:tc>
      </w:tr>
      <w:tr w:rsidR="00646716" w:rsidRPr="00E90F9A" w14:paraId="60BFC710" w14:textId="77777777" w:rsidTr="00A62D19">
        <w:trPr>
          <w:trHeight w:val="169"/>
        </w:trPr>
        <w:tc>
          <w:tcPr>
            <w:tcW w:w="561" w:type="dxa"/>
            <w:vMerge/>
            <w:tcBorders>
              <w:top w:val="nil"/>
              <w:left w:val="single" w:sz="8" w:space="0" w:color="FFFFFF"/>
              <w:bottom w:val="single" w:sz="8" w:space="0" w:color="FFFFFF"/>
              <w:right w:val="single" w:sz="8" w:space="0" w:color="FFFFFF"/>
            </w:tcBorders>
            <w:vAlign w:val="center"/>
            <w:hideMark/>
          </w:tcPr>
          <w:p w14:paraId="348F5A3B" w14:textId="77777777" w:rsidR="00646716" w:rsidRPr="00207ABD" w:rsidRDefault="00646716" w:rsidP="00A62D19">
            <w:pPr>
              <w:spacing w:after="0" w:line="240" w:lineRule="auto"/>
              <w:rPr>
                <w:rFonts w:ascii="Times New Roman" w:eastAsia="Times New Roman" w:hAnsi="Times New Roman" w:cs="Times New Roman"/>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7A855269"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67B78333"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06311B84"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24F93E38"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3366" w:type="dxa"/>
            <w:tcBorders>
              <w:top w:val="nil"/>
              <w:left w:val="nil"/>
              <w:bottom w:val="nil"/>
              <w:right w:val="single" w:sz="8" w:space="0" w:color="FFFFFF"/>
            </w:tcBorders>
            <w:shd w:val="clear" w:color="000000" w:fill="D9E2F3"/>
            <w:vAlign w:val="center"/>
            <w:hideMark/>
          </w:tcPr>
          <w:p w14:paraId="08D4A4B7"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Diferencias por fluctuaciones cambiarias</w:t>
            </w:r>
          </w:p>
        </w:tc>
      </w:tr>
      <w:tr w:rsidR="00646716" w:rsidRPr="00E90F9A" w14:paraId="6E4FCAE4" w14:textId="77777777" w:rsidTr="00A62D19">
        <w:trPr>
          <w:trHeight w:val="169"/>
        </w:trPr>
        <w:tc>
          <w:tcPr>
            <w:tcW w:w="561" w:type="dxa"/>
            <w:vMerge/>
            <w:tcBorders>
              <w:top w:val="nil"/>
              <w:left w:val="single" w:sz="8" w:space="0" w:color="FFFFFF"/>
              <w:bottom w:val="single" w:sz="8" w:space="0" w:color="FFFFFF"/>
              <w:right w:val="single" w:sz="8" w:space="0" w:color="FFFFFF"/>
            </w:tcBorders>
            <w:vAlign w:val="center"/>
            <w:hideMark/>
          </w:tcPr>
          <w:p w14:paraId="38448EB3" w14:textId="77777777" w:rsidR="00646716" w:rsidRPr="00207ABD" w:rsidRDefault="00646716" w:rsidP="00A62D19">
            <w:pPr>
              <w:spacing w:after="0" w:line="240" w:lineRule="auto"/>
              <w:rPr>
                <w:rFonts w:ascii="Times New Roman" w:eastAsia="Times New Roman" w:hAnsi="Times New Roman" w:cs="Times New Roman"/>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3923335B"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16760B18"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499453D0"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5A601FF6"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3366" w:type="dxa"/>
            <w:tcBorders>
              <w:top w:val="nil"/>
              <w:left w:val="nil"/>
              <w:bottom w:val="nil"/>
              <w:right w:val="single" w:sz="8" w:space="0" w:color="FFFFFF"/>
            </w:tcBorders>
            <w:shd w:val="clear" w:color="000000" w:fill="D9E2F3"/>
            <w:vAlign w:val="center"/>
            <w:hideMark/>
          </w:tcPr>
          <w:p w14:paraId="34B7128F"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Transferencias corrientes de Entidades Públicas</w:t>
            </w:r>
          </w:p>
        </w:tc>
      </w:tr>
      <w:tr w:rsidR="00646716" w:rsidRPr="00E90F9A" w14:paraId="5E6419F0" w14:textId="77777777" w:rsidTr="00A62D19">
        <w:trPr>
          <w:trHeight w:val="177"/>
        </w:trPr>
        <w:tc>
          <w:tcPr>
            <w:tcW w:w="561" w:type="dxa"/>
            <w:vMerge/>
            <w:tcBorders>
              <w:top w:val="nil"/>
              <w:left w:val="single" w:sz="8" w:space="0" w:color="FFFFFF"/>
              <w:bottom w:val="single" w:sz="8" w:space="0" w:color="FFFFFF"/>
              <w:right w:val="single" w:sz="8" w:space="0" w:color="FFFFFF"/>
            </w:tcBorders>
            <w:vAlign w:val="center"/>
            <w:hideMark/>
          </w:tcPr>
          <w:p w14:paraId="06278FF5" w14:textId="77777777" w:rsidR="00646716" w:rsidRPr="00207ABD" w:rsidRDefault="00646716" w:rsidP="00A62D19">
            <w:pPr>
              <w:spacing w:after="0" w:line="240" w:lineRule="auto"/>
              <w:rPr>
                <w:rFonts w:ascii="Times New Roman" w:eastAsia="Times New Roman" w:hAnsi="Times New Roman" w:cs="Times New Roman"/>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36CA58AF"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0BB911A3"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55E64872"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7E761A06"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3366" w:type="dxa"/>
            <w:tcBorders>
              <w:top w:val="nil"/>
              <w:left w:val="nil"/>
              <w:bottom w:val="single" w:sz="8" w:space="0" w:color="FFFFFF"/>
              <w:right w:val="single" w:sz="8" w:space="0" w:color="FFFFFF"/>
            </w:tcBorders>
            <w:shd w:val="clear" w:color="000000" w:fill="D9E2F3"/>
            <w:vAlign w:val="center"/>
            <w:hideMark/>
          </w:tcPr>
          <w:p w14:paraId="13D14581"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Recursos provenientes de la  extinción de dominio</w:t>
            </w:r>
          </w:p>
        </w:tc>
      </w:tr>
      <w:tr w:rsidR="00646716" w:rsidRPr="00E90F9A" w14:paraId="5D3BEBD1" w14:textId="77777777" w:rsidTr="00A62D19">
        <w:trPr>
          <w:trHeight w:val="198"/>
        </w:trPr>
        <w:tc>
          <w:tcPr>
            <w:tcW w:w="561" w:type="dxa"/>
            <w:tcBorders>
              <w:top w:val="nil"/>
              <w:left w:val="single" w:sz="8" w:space="0" w:color="FFFFFF"/>
              <w:bottom w:val="single" w:sz="8" w:space="0" w:color="FFFFFF"/>
              <w:right w:val="single" w:sz="8" w:space="0" w:color="FFFFFF"/>
            </w:tcBorders>
            <w:shd w:val="clear" w:color="000000" w:fill="8496B0"/>
            <w:noWrap/>
            <w:vAlign w:val="center"/>
            <w:hideMark/>
          </w:tcPr>
          <w:p w14:paraId="4143EF3E" w14:textId="77777777" w:rsidR="00646716" w:rsidRPr="00207ABD" w:rsidRDefault="00646716" w:rsidP="00A62D19">
            <w:pPr>
              <w:spacing w:after="0" w:line="240" w:lineRule="auto"/>
              <w:jc w:val="center"/>
              <w:rPr>
                <w:rFonts w:ascii="Times New Roman" w:eastAsia="Times New Roman" w:hAnsi="Times New Roman" w:cs="Times New Roman"/>
                <w:color w:val="FFFFFF"/>
                <w:sz w:val="12"/>
                <w:szCs w:val="12"/>
                <w:lang w:eastAsia="es-GT"/>
              </w:rPr>
            </w:pPr>
            <w:r w:rsidRPr="00207ABD">
              <w:rPr>
                <w:rFonts w:ascii="Times New Roman" w:eastAsia="Times New Roman" w:hAnsi="Times New Roman" w:cs="Times New Roman"/>
                <w:color w:val="FFFFFF"/>
                <w:sz w:val="12"/>
                <w:szCs w:val="12"/>
                <w:lang w:eastAsia="es-GT"/>
              </w:rPr>
              <w:t>N/A</w:t>
            </w:r>
          </w:p>
        </w:tc>
        <w:tc>
          <w:tcPr>
            <w:tcW w:w="1699" w:type="dxa"/>
            <w:tcBorders>
              <w:top w:val="nil"/>
              <w:left w:val="nil"/>
              <w:bottom w:val="single" w:sz="8" w:space="0" w:color="FFFFFF"/>
              <w:right w:val="single" w:sz="8" w:space="0" w:color="FFFFFF"/>
            </w:tcBorders>
            <w:shd w:val="clear" w:color="000000" w:fill="B4C6E7"/>
            <w:vAlign w:val="center"/>
            <w:hideMark/>
          </w:tcPr>
          <w:p w14:paraId="663DFC4E"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Ingresos de capital 1/</w:t>
            </w:r>
          </w:p>
        </w:tc>
        <w:tc>
          <w:tcPr>
            <w:tcW w:w="1045" w:type="dxa"/>
            <w:tcBorders>
              <w:top w:val="nil"/>
              <w:left w:val="nil"/>
              <w:bottom w:val="single" w:sz="8" w:space="0" w:color="FFFFFF"/>
              <w:right w:val="single" w:sz="8" w:space="0" w:color="FFFFFF"/>
            </w:tcBorders>
            <w:shd w:val="clear" w:color="000000" w:fill="B4C6E7"/>
            <w:vAlign w:val="center"/>
            <w:hideMark/>
          </w:tcPr>
          <w:p w14:paraId="730533EB" w14:textId="77777777" w:rsidR="00646716" w:rsidRPr="00207ABD" w:rsidRDefault="00646716" w:rsidP="00A62D19">
            <w:pPr>
              <w:spacing w:after="0" w:line="240" w:lineRule="auto"/>
              <w:jc w:val="right"/>
              <w:rPr>
                <w:rFonts w:ascii="Calibri" w:eastAsia="Times New Roman" w:hAnsi="Calibri" w:cs="Calibri"/>
                <w:color w:val="000000"/>
                <w:sz w:val="12"/>
                <w:szCs w:val="12"/>
                <w:lang w:eastAsia="es-GT"/>
              </w:rPr>
            </w:pPr>
          </w:p>
        </w:tc>
        <w:tc>
          <w:tcPr>
            <w:tcW w:w="1045" w:type="dxa"/>
            <w:tcBorders>
              <w:top w:val="nil"/>
              <w:left w:val="nil"/>
              <w:bottom w:val="single" w:sz="8" w:space="0" w:color="FFFFFF"/>
              <w:right w:val="single" w:sz="8" w:space="0" w:color="FFFFFF"/>
            </w:tcBorders>
            <w:shd w:val="clear" w:color="000000" w:fill="B4C6E7"/>
            <w:vAlign w:val="center"/>
            <w:hideMark/>
          </w:tcPr>
          <w:p w14:paraId="29A5BAAE"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0.0</w:t>
            </w:r>
          </w:p>
        </w:tc>
        <w:tc>
          <w:tcPr>
            <w:tcW w:w="795" w:type="dxa"/>
            <w:tcBorders>
              <w:top w:val="nil"/>
              <w:left w:val="nil"/>
              <w:bottom w:val="single" w:sz="8" w:space="0" w:color="FFFFFF"/>
              <w:right w:val="single" w:sz="8" w:space="0" w:color="FFFFFF"/>
            </w:tcBorders>
            <w:shd w:val="clear" w:color="000000" w:fill="B4C6E7"/>
            <w:vAlign w:val="center"/>
            <w:hideMark/>
          </w:tcPr>
          <w:p w14:paraId="55F765DF"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0.0</w:t>
            </w:r>
          </w:p>
        </w:tc>
        <w:tc>
          <w:tcPr>
            <w:tcW w:w="3366" w:type="dxa"/>
            <w:tcBorders>
              <w:top w:val="nil"/>
              <w:left w:val="nil"/>
              <w:bottom w:val="single" w:sz="8" w:space="0" w:color="FFFFFF"/>
              <w:right w:val="single" w:sz="8" w:space="0" w:color="FFFFFF"/>
            </w:tcBorders>
            <w:shd w:val="clear" w:color="000000" w:fill="B4C6E7"/>
            <w:vAlign w:val="center"/>
            <w:hideMark/>
          </w:tcPr>
          <w:p w14:paraId="0F0C12DA"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Ingresos de capital</w:t>
            </w:r>
          </w:p>
        </w:tc>
      </w:tr>
      <w:tr w:rsidR="00646716" w:rsidRPr="00E90F9A" w14:paraId="2F39B649" w14:textId="77777777" w:rsidTr="00A62D19">
        <w:trPr>
          <w:trHeight w:val="169"/>
        </w:trPr>
        <w:tc>
          <w:tcPr>
            <w:tcW w:w="561" w:type="dxa"/>
            <w:vMerge w:val="restart"/>
            <w:tcBorders>
              <w:top w:val="nil"/>
              <w:left w:val="single" w:sz="8" w:space="0" w:color="FFFFFF"/>
              <w:bottom w:val="single" w:sz="8" w:space="0" w:color="FFFFFF"/>
              <w:right w:val="single" w:sz="8" w:space="0" w:color="FFFFFF"/>
            </w:tcBorders>
            <w:shd w:val="clear" w:color="000000" w:fill="8496B0"/>
            <w:noWrap/>
            <w:vAlign w:val="center"/>
            <w:hideMark/>
          </w:tcPr>
          <w:p w14:paraId="5ED29AB9" w14:textId="77777777" w:rsidR="00646716" w:rsidRPr="00207ABD" w:rsidRDefault="00646716" w:rsidP="00A62D19">
            <w:pPr>
              <w:spacing w:after="0" w:line="240" w:lineRule="auto"/>
              <w:jc w:val="center"/>
              <w:rPr>
                <w:rFonts w:ascii="Times New Roman" w:eastAsia="Times New Roman" w:hAnsi="Times New Roman" w:cs="Times New Roman"/>
                <w:i/>
                <w:iCs/>
                <w:color w:val="FFFFFF"/>
                <w:sz w:val="12"/>
                <w:szCs w:val="12"/>
                <w:lang w:eastAsia="es-GT"/>
              </w:rPr>
            </w:pPr>
            <w:r w:rsidRPr="00207ABD">
              <w:rPr>
                <w:rFonts w:ascii="Times New Roman" w:eastAsia="Times New Roman" w:hAnsi="Times New Roman" w:cs="Times New Roman"/>
                <w:i/>
                <w:iCs/>
                <w:color w:val="FFFFFF"/>
                <w:sz w:val="12"/>
                <w:szCs w:val="12"/>
                <w:lang w:eastAsia="es-GT"/>
              </w:rPr>
              <w:t>2</w:t>
            </w:r>
          </w:p>
        </w:tc>
        <w:tc>
          <w:tcPr>
            <w:tcW w:w="1699" w:type="dxa"/>
            <w:vMerge w:val="restart"/>
            <w:tcBorders>
              <w:top w:val="nil"/>
              <w:left w:val="single" w:sz="8" w:space="0" w:color="FFFFFF"/>
              <w:bottom w:val="single" w:sz="8" w:space="0" w:color="FFFFFF"/>
              <w:right w:val="single" w:sz="8" w:space="0" w:color="FFFFFF"/>
            </w:tcBorders>
            <w:shd w:val="clear" w:color="000000" w:fill="D9E2F3"/>
            <w:vAlign w:val="center"/>
            <w:hideMark/>
          </w:tcPr>
          <w:p w14:paraId="50869754" w14:textId="77777777" w:rsidR="00646716" w:rsidRPr="00207ABD" w:rsidRDefault="00646716" w:rsidP="00A62D19">
            <w:pPr>
              <w:spacing w:after="0" w:line="240" w:lineRule="auto"/>
              <w:rPr>
                <w:rFonts w:ascii="Times New Roman" w:eastAsia="Times New Roman" w:hAnsi="Times New Roman" w:cs="Times New Roman"/>
                <w:b/>
                <w:bCs/>
                <w:i/>
                <w:iCs/>
                <w:color w:val="000000"/>
                <w:sz w:val="12"/>
                <w:szCs w:val="12"/>
                <w:lang w:eastAsia="es-GT"/>
              </w:rPr>
            </w:pPr>
            <w:r w:rsidRPr="00207ABD">
              <w:rPr>
                <w:rFonts w:ascii="Times New Roman" w:eastAsia="Times New Roman" w:hAnsi="Times New Roman" w:cs="Times New Roman"/>
                <w:b/>
                <w:bCs/>
                <w:i/>
                <w:iCs/>
                <w:color w:val="000000"/>
                <w:sz w:val="12"/>
                <w:szCs w:val="12"/>
                <w:lang w:eastAsia="es-GT"/>
              </w:rPr>
              <w:t>Gasto</w:t>
            </w:r>
          </w:p>
        </w:tc>
        <w:tc>
          <w:tcPr>
            <w:tcW w:w="1045" w:type="dxa"/>
            <w:vMerge w:val="restart"/>
            <w:tcBorders>
              <w:top w:val="nil"/>
              <w:left w:val="single" w:sz="8" w:space="0" w:color="FFFFFF"/>
              <w:bottom w:val="single" w:sz="8" w:space="0" w:color="FFFFFF"/>
              <w:right w:val="single" w:sz="8" w:space="0" w:color="FFFFFF"/>
            </w:tcBorders>
            <w:shd w:val="clear" w:color="000000" w:fill="D9E2F3"/>
            <w:vAlign w:val="center"/>
            <w:hideMark/>
          </w:tcPr>
          <w:p w14:paraId="56684F7A" w14:textId="77777777" w:rsidR="00646716" w:rsidRPr="00207ABD" w:rsidRDefault="00646716" w:rsidP="00A62D19">
            <w:pPr>
              <w:spacing w:after="0" w:line="240" w:lineRule="auto"/>
              <w:jc w:val="center"/>
              <w:rPr>
                <w:rFonts w:ascii="Times New Roman" w:eastAsia="Times New Roman" w:hAnsi="Times New Roman" w:cs="Times New Roman"/>
                <w:b/>
                <w:bCs/>
                <w:color w:val="000000"/>
                <w:sz w:val="12"/>
                <w:szCs w:val="12"/>
                <w:lang w:eastAsia="es-GT"/>
              </w:rPr>
            </w:pPr>
            <w:r w:rsidRPr="00207ABD">
              <w:rPr>
                <w:rFonts w:ascii="Times New Roman" w:eastAsia="Times New Roman" w:hAnsi="Times New Roman" w:cs="Times New Roman"/>
                <w:b/>
                <w:bCs/>
                <w:color w:val="000000"/>
                <w:sz w:val="12"/>
                <w:szCs w:val="12"/>
                <w:lang w:eastAsia="es-GT"/>
              </w:rPr>
              <w:t>14.9</w:t>
            </w:r>
          </w:p>
        </w:tc>
        <w:tc>
          <w:tcPr>
            <w:tcW w:w="1045" w:type="dxa"/>
            <w:vMerge w:val="restart"/>
            <w:tcBorders>
              <w:top w:val="nil"/>
              <w:left w:val="single" w:sz="8" w:space="0" w:color="FFFFFF"/>
              <w:bottom w:val="single" w:sz="8" w:space="0" w:color="FFFFFF"/>
              <w:right w:val="single" w:sz="8" w:space="0" w:color="FFFFFF"/>
            </w:tcBorders>
            <w:shd w:val="clear" w:color="000000" w:fill="D9E2F3"/>
            <w:vAlign w:val="center"/>
            <w:hideMark/>
          </w:tcPr>
          <w:p w14:paraId="7ABDCC9D" w14:textId="77777777" w:rsidR="00646716" w:rsidRPr="00207ABD" w:rsidRDefault="00646716" w:rsidP="00A62D19">
            <w:pPr>
              <w:spacing w:after="0" w:line="240" w:lineRule="auto"/>
              <w:jc w:val="center"/>
              <w:rPr>
                <w:rFonts w:ascii="Times New Roman" w:eastAsia="Times New Roman" w:hAnsi="Times New Roman" w:cs="Times New Roman"/>
                <w:b/>
                <w:bCs/>
                <w:color w:val="000000"/>
                <w:sz w:val="12"/>
                <w:szCs w:val="12"/>
                <w:lang w:eastAsia="es-GT"/>
              </w:rPr>
            </w:pPr>
            <w:r w:rsidRPr="00207ABD">
              <w:rPr>
                <w:rFonts w:ascii="Times New Roman" w:eastAsia="Times New Roman" w:hAnsi="Times New Roman" w:cs="Times New Roman"/>
                <w:b/>
                <w:bCs/>
                <w:color w:val="000000"/>
                <w:sz w:val="12"/>
                <w:szCs w:val="12"/>
                <w:lang w:eastAsia="es-GT"/>
              </w:rPr>
              <w:t>15.6</w:t>
            </w:r>
          </w:p>
        </w:tc>
        <w:tc>
          <w:tcPr>
            <w:tcW w:w="795" w:type="dxa"/>
            <w:vMerge w:val="restart"/>
            <w:tcBorders>
              <w:top w:val="nil"/>
              <w:left w:val="single" w:sz="8" w:space="0" w:color="FFFFFF"/>
              <w:bottom w:val="single" w:sz="8" w:space="0" w:color="FFFFFF"/>
              <w:right w:val="single" w:sz="8" w:space="0" w:color="FFFFFF"/>
            </w:tcBorders>
            <w:shd w:val="clear" w:color="000000" w:fill="D9E2F3"/>
            <w:vAlign w:val="center"/>
            <w:hideMark/>
          </w:tcPr>
          <w:p w14:paraId="5E5FA64F" w14:textId="77777777" w:rsidR="00646716" w:rsidRPr="00207ABD" w:rsidRDefault="00646716" w:rsidP="00A62D19">
            <w:pPr>
              <w:spacing w:after="0" w:line="240" w:lineRule="auto"/>
              <w:jc w:val="center"/>
              <w:rPr>
                <w:rFonts w:ascii="Times New Roman" w:eastAsia="Times New Roman" w:hAnsi="Times New Roman" w:cs="Times New Roman"/>
                <w:b/>
                <w:bCs/>
                <w:color w:val="000000"/>
                <w:sz w:val="12"/>
                <w:szCs w:val="12"/>
                <w:lang w:eastAsia="es-GT"/>
              </w:rPr>
            </w:pPr>
            <w:r w:rsidRPr="00207ABD">
              <w:rPr>
                <w:rFonts w:ascii="Times New Roman" w:eastAsia="Times New Roman" w:hAnsi="Times New Roman" w:cs="Times New Roman"/>
                <w:b/>
                <w:bCs/>
                <w:color w:val="000000"/>
                <w:sz w:val="12"/>
                <w:szCs w:val="12"/>
                <w:lang w:eastAsia="es-GT"/>
              </w:rPr>
              <w:t>-0.7</w:t>
            </w:r>
          </w:p>
        </w:tc>
        <w:tc>
          <w:tcPr>
            <w:tcW w:w="3366" w:type="dxa"/>
            <w:tcBorders>
              <w:top w:val="nil"/>
              <w:left w:val="nil"/>
              <w:bottom w:val="nil"/>
              <w:right w:val="single" w:sz="8" w:space="0" w:color="FFFFFF"/>
            </w:tcBorders>
            <w:shd w:val="clear" w:color="000000" w:fill="D9E2F3"/>
            <w:vAlign w:val="center"/>
            <w:hideMark/>
          </w:tcPr>
          <w:p w14:paraId="167C0788"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Equipo militar y de Seguridad</w:t>
            </w:r>
          </w:p>
        </w:tc>
      </w:tr>
      <w:tr w:rsidR="00646716" w:rsidRPr="00E90F9A" w14:paraId="55541D5E" w14:textId="77777777" w:rsidTr="00A62D19">
        <w:trPr>
          <w:trHeight w:val="169"/>
        </w:trPr>
        <w:tc>
          <w:tcPr>
            <w:tcW w:w="561" w:type="dxa"/>
            <w:vMerge/>
            <w:tcBorders>
              <w:top w:val="nil"/>
              <w:left w:val="single" w:sz="8" w:space="0" w:color="FFFFFF"/>
              <w:bottom w:val="single" w:sz="8" w:space="0" w:color="FFFFFF"/>
              <w:right w:val="single" w:sz="8" w:space="0" w:color="FFFFFF"/>
            </w:tcBorders>
            <w:vAlign w:val="center"/>
            <w:hideMark/>
          </w:tcPr>
          <w:p w14:paraId="5412EC1B" w14:textId="77777777" w:rsidR="00646716" w:rsidRPr="00207ABD" w:rsidRDefault="00646716" w:rsidP="00A62D19">
            <w:pPr>
              <w:spacing w:after="0" w:line="240" w:lineRule="auto"/>
              <w:rPr>
                <w:rFonts w:ascii="Times New Roman" w:eastAsia="Times New Roman" w:hAnsi="Times New Roman" w:cs="Times New Roman"/>
                <w:i/>
                <w:iCs/>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74F89CA0" w14:textId="77777777" w:rsidR="00646716" w:rsidRPr="00207ABD" w:rsidRDefault="00646716" w:rsidP="00A62D19">
            <w:pPr>
              <w:spacing w:after="0" w:line="240" w:lineRule="auto"/>
              <w:rPr>
                <w:rFonts w:ascii="Times New Roman" w:eastAsia="Times New Roman" w:hAnsi="Times New Roman" w:cs="Times New Roman"/>
                <w:b/>
                <w:bCs/>
                <w:i/>
                <w:iCs/>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009D97A5" w14:textId="77777777" w:rsidR="00646716" w:rsidRPr="00207ABD"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38CF4F9C" w14:textId="77777777" w:rsidR="00646716" w:rsidRPr="00207ABD"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042DF622" w14:textId="77777777" w:rsidR="00646716" w:rsidRPr="00207ABD"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3366" w:type="dxa"/>
            <w:tcBorders>
              <w:top w:val="nil"/>
              <w:left w:val="nil"/>
              <w:bottom w:val="nil"/>
              <w:right w:val="single" w:sz="8" w:space="0" w:color="FFFFFF"/>
            </w:tcBorders>
            <w:shd w:val="clear" w:color="000000" w:fill="D9E2F3"/>
            <w:vAlign w:val="center"/>
            <w:hideMark/>
          </w:tcPr>
          <w:p w14:paraId="724828DA"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Devoluciones</w:t>
            </w:r>
          </w:p>
        </w:tc>
      </w:tr>
      <w:tr w:rsidR="00646716" w:rsidRPr="00E90F9A" w14:paraId="25C90789" w14:textId="77777777" w:rsidTr="00A62D19">
        <w:trPr>
          <w:trHeight w:val="169"/>
        </w:trPr>
        <w:tc>
          <w:tcPr>
            <w:tcW w:w="561" w:type="dxa"/>
            <w:vMerge/>
            <w:tcBorders>
              <w:top w:val="nil"/>
              <w:left w:val="single" w:sz="8" w:space="0" w:color="FFFFFF"/>
              <w:bottom w:val="single" w:sz="8" w:space="0" w:color="FFFFFF"/>
              <w:right w:val="single" w:sz="8" w:space="0" w:color="FFFFFF"/>
            </w:tcBorders>
            <w:vAlign w:val="center"/>
            <w:hideMark/>
          </w:tcPr>
          <w:p w14:paraId="16F787D3" w14:textId="77777777" w:rsidR="00646716" w:rsidRPr="00207ABD" w:rsidRDefault="00646716" w:rsidP="00A62D19">
            <w:pPr>
              <w:spacing w:after="0" w:line="240" w:lineRule="auto"/>
              <w:rPr>
                <w:rFonts w:ascii="Times New Roman" w:eastAsia="Times New Roman" w:hAnsi="Times New Roman" w:cs="Times New Roman"/>
                <w:i/>
                <w:iCs/>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312279FA" w14:textId="77777777" w:rsidR="00646716" w:rsidRPr="00207ABD" w:rsidRDefault="00646716" w:rsidP="00A62D19">
            <w:pPr>
              <w:spacing w:after="0" w:line="240" w:lineRule="auto"/>
              <w:rPr>
                <w:rFonts w:ascii="Times New Roman" w:eastAsia="Times New Roman" w:hAnsi="Times New Roman" w:cs="Times New Roman"/>
                <w:b/>
                <w:bCs/>
                <w:i/>
                <w:iCs/>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12AE3ADF" w14:textId="77777777" w:rsidR="00646716" w:rsidRPr="00207ABD"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411548B1" w14:textId="77777777" w:rsidR="00646716" w:rsidRPr="00207ABD"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6892734F" w14:textId="77777777" w:rsidR="00646716" w:rsidRPr="00207ABD"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3366" w:type="dxa"/>
            <w:tcBorders>
              <w:top w:val="nil"/>
              <w:left w:val="nil"/>
              <w:bottom w:val="nil"/>
              <w:right w:val="single" w:sz="8" w:space="0" w:color="FFFFFF"/>
            </w:tcBorders>
            <w:shd w:val="clear" w:color="000000" w:fill="D9E2F3"/>
            <w:vAlign w:val="center"/>
            <w:hideMark/>
          </w:tcPr>
          <w:p w14:paraId="555E82B4"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Descuentos de deuda</w:t>
            </w:r>
          </w:p>
        </w:tc>
      </w:tr>
      <w:tr w:rsidR="00646716" w:rsidRPr="00E90F9A" w14:paraId="465C222A" w14:textId="77777777" w:rsidTr="00A62D19">
        <w:trPr>
          <w:trHeight w:val="169"/>
        </w:trPr>
        <w:tc>
          <w:tcPr>
            <w:tcW w:w="561" w:type="dxa"/>
            <w:vMerge/>
            <w:tcBorders>
              <w:top w:val="nil"/>
              <w:left w:val="single" w:sz="8" w:space="0" w:color="FFFFFF"/>
              <w:bottom w:val="single" w:sz="8" w:space="0" w:color="FFFFFF"/>
              <w:right w:val="single" w:sz="8" w:space="0" w:color="FFFFFF"/>
            </w:tcBorders>
            <w:vAlign w:val="center"/>
            <w:hideMark/>
          </w:tcPr>
          <w:p w14:paraId="2C32EBF0" w14:textId="77777777" w:rsidR="00646716" w:rsidRPr="00207ABD" w:rsidRDefault="00646716" w:rsidP="00A62D19">
            <w:pPr>
              <w:spacing w:after="0" w:line="240" w:lineRule="auto"/>
              <w:rPr>
                <w:rFonts w:ascii="Times New Roman" w:eastAsia="Times New Roman" w:hAnsi="Times New Roman" w:cs="Times New Roman"/>
                <w:i/>
                <w:iCs/>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38920F82" w14:textId="77777777" w:rsidR="00646716" w:rsidRPr="00207ABD" w:rsidRDefault="00646716" w:rsidP="00A62D19">
            <w:pPr>
              <w:spacing w:after="0" w:line="240" w:lineRule="auto"/>
              <w:rPr>
                <w:rFonts w:ascii="Times New Roman" w:eastAsia="Times New Roman" w:hAnsi="Times New Roman" w:cs="Times New Roman"/>
                <w:b/>
                <w:bCs/>
                <w:i/>
                <w:iCs/>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5669C657" w14:textId="77777777" w:rsidR="00646716" w:rsidRPr="00207ABD"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32EAE8D3" w14:textId="77777777" w:rsidR="00646716" w:rsidRPr="00207ABD"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78F2ABBC" w14:textId="77777777" w:rsidR="00646716" w:rsidRPr="00207ABD"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3366" w:type="dxa"/>
            <w:tcBorders>
              <w:top w:val="nil"/>
              <w:left w:val="nil"/>
              <w:bottom w:val="nil"/>
              <w:right w:val="single" w:sz="8" w:space="0" w:color="FFFFFF"/>
            </w:tcBorders>
            <w:shd w:val="clear" w:color="000000" w:fill="D9E2F3"/>
            <w:vAlign w:val="center"/>
            <w:hideMark/>
          </w:tcPr>
          <w:p w14:paraId="10B33746"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Contribuciones Sociales Imputadas de los Empleadores</w:t>
            </w:r>
          </w:p>
        </w:tc>
      </w:tr>
      <w:tr w:rsidR="00646716" w:rsidRPr="00E90F9A" w14:paraId="15B4EF95" w14:textId="77777777" w:rsidTr="00A62D19">
        <w:trPr>
          <w:trHeight w:val="177"/>
        </w:trPr>
        <w:tc>
          <w:tcPr>
            <w:tcW w:w="561" w:type="dxa"/>
            <w:vMerge/>
            <w:tcBorders>
              <w:top w:val="nil"/>
              <w:left w:val="single" w:sz="8" w:space="0" w:color="FFFFFF"/>
              <w:bottom w:val="single" w:sz="8" w:space="0" w:color="FFFFFF"/>
              <w:right w:val="single" w:sz="8" w:space="0" w:color="FFFFFF"/>
            </w:tcBorders>
            <w:vAlign w:val="center"/>
            <w:hideMark/>
          </w:tcPr>
          <w:p w14:paraId="579785C4" w14:textId="77777777" w:rsidR="00646716" w:rsidRPr="00207ABD" w:rsidRDefault="00646716" w:rsidP="00A62D19">
            <w:pPr>
              <w:spacing w:after="0" w:line="240" w:lineRule="auto"/>
              <w:rPr>
                <w:rFonts w:ascii="Times New Roman" w:eastAsia="Times New Roman" w:hAnsi="Times New Roman" w:cs="Times New Roman"/>
                <w:i/>
                <w:iCs/>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6AF3883E" w14:textId="77777777" w:rsidR="00646716" w:rsidRPr="00207ABD" w:rsidRDefault="00646716" w:rsidP="00A62D19">
            <w:pPr>
              <w:spacing w:after="0" w:line="240" w:lineRule="auto"/>
              <w:rPr>
                <w:rFonts w:ascii="Times New Roman" w:eastAsia="Times New Roman" w:hAnsi="Times New Roman" w:cs="Times New Roman"/>
                <w:b/>
                <w:bCs/>
                <w:i/>
                <w:iCs/>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1BBE9CC6" w14:textId="77777777" w:rsidR="00646716" w:rsidRPr="00207ABD"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7A912148" w14:textId="77777777" w:rsidR="00646716" w:rsidRPr="00207ABD"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2CB6C0B1" w14:textId="77777777" w:rsidR="00646716" w:rsidRPr="00207ABD"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3366" w:type="dxa"/>
            <w:tcBorders>
              <w:top w:val="nil"/>
              <w:left w:val="nil"/>
              <w:bottom w:val="nil"/>
              <w:right w:val="single" w:sz="8" w:space="0" w:color="FFFFFF"/>
            </w:tcBorders>
            <w:shd w:val="clear" w:color="000000" w:fill="D9E2F3"/>
            <w:vAlign w:val="center"/>
            <w:hideMark/>
          </w:tcPr>
          <w:p w14:paraId="7A0B11C0"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Inversión Real Directa y Financiera</w:t>
            </w:r>
          </w:p>
        </w:tc>
      </w:tr>
      <w:tr w:rsidR="00646716" w:rsidRPr="00E90F9A" w14:paraId="4B298231" w14:textId="77777777" w:rsidTr="00A62D19">
        <w:trPr>
          <w:trHeight w:val="169"/>
        </w:trPr>
        <w:tc>
          <w:tcPr>
            <w:tcW w:w="561" w:type="dxa"/>
            <w:vMerge w:val="restart"/>
            <w:tcBorders>
              <w:top w:val="nil"/>
              <w:left w:val="single" w:sz="8" w:space="0" w:color="FFFFFF"/>
              <w:bottom w:val="single" w:sz="8" w:space="0" w:color="FFFFFF"/>
              <w:right w:val="single" w:sz="8" w:space="0" w:color="FFFFFF"/>
            </w:tcBorders>
            <w:shd w:val="clear" w:color="000000" w:fill="8496B0"/>
            <w:noWrap/>
            <w:vAlign w:val="center"/>
            <w:hideMark/>
          </w:tcPr>
          <w:p w14:paraId="5957F248" w14:textId="77777777" w:rsidR="00646716" w:rsidRPr="00207ABD" w:rsidRDefault="00646716" w:rsidP="00A62D19">
            <w:pPr>
              <w:spacing w:after="0" w:line="240" w:lineRule="auto"/>
              <w:jc w:val="center"/>
              <w:rPr>
                <w:rFonts w:ascii="Times New Roman" w:eastAsia="Times New Roman" w:hAnsi="Times New Roman" w:cs="Times New Roman"/>
                <w:color w:val="FFFFFF"/>
                <w:sz w:val="12"/>
                <w:szCs w:val="12"/>
                <w:lang w:eastAsia="es-GT"/>
              </w:rPr>
            </w:pPr>
            <w:r w:rsidRPr="00207ABD">
              <w:rPr>
                <w:rFonts w:ascii="Times New Roman" w:eastAsia="Times New Roman" w:hAnsi="Times New Roman" w:cs="Times New Roman"/>
                <w:color w:val="FFFFFF"/>
                <w:sz w:val="12"/>
                <w:szCs w:val="12"/>
                <w:lang w:eastAsia="es-GT"/>
              </w:rPr>
              <w:t>21</w:t>
            </w:r>
          </w:p>
        </w:tc>
        <w:tc>
          <w:tcPr>
            <w:tcW w:w="1699" w:type="dxa"/>
            <w:vMerge w:val="restart"/>
            <w:tcBorders>
              <w:top w:val="nil"/>
              <w:left w:val="single" w:sz="8" w:space="0" w:color="FFFFFF"/>
              <w:bottom w:val="single" w:sz="8" w:space="0" w:color="FFFFFF"/>
              <w:right w:val="single" w:sz="8" w:space="0" w:color="FFFFFF"/>
            </w:tcBorders>
            <w:shd w:val="clear" w:color="000000" w:fill="B4C6E7"/>
            <w:vAlign w:val="center"/>
            <w:hideMark/>
          </w:tcPr>
          <w:p w14:paraId="1DF6951E"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 xml:space="preserve">Remuneración a los empleados </w:t>
            </w:r>
          </w:p>
        </w:tc>
        <w:tc>
          <w:tcPr>
            <w:tcW w:w="1045" w:type="dxa"/>
            <w:vMerge w:val="restart"/>
            <w:tcBorders>
              <w:top w:val="nil"/>
              <w:left w:val="single" w:sz="8" w:space="0" w:color="FFFFFF"/>
              <w:bottom w:val="single" w:sz="8" w:space="0" w:color="FFFFFF"/>
              <w:right w:val="single" w:sz="8" w:space="0" w:color="FFFFFF"/>
            </w:tcBorders>
            <w:shd w:val="clear" w:color="000000" w:fill="B4C6E7"/>
            <w:vAlign w:val="center"/>
            <w:hideMark/>
          </w:tcPr>
          <w:p w14:paraId="17C35506"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5.0</w:t>
            </w:r>
          </w:p>
        </w:tc>
        <w:tc>
          <w:tcPr>
            <w:tcW w:w="1045" w:type="dxa"/>
            <w:vMerge w:val="restart"/>
            <w:tcBorders>
              <w:top w:val="nil"/>
              <w:left w:val="single" w:sz="8" w:space="0" w:color="FFFFFF"/>
              <w:bottom w:val="single" w:sz="8" w:space="0" w:color="FFFFFF"/>
              <w:right w:val="single" w:sz="8" w:space="0" w:color="FFFFFF"/>
            </w:tcBorders>
            <w:shd w:val="clear" w:color="000000" w:fill="B4C6E7"/>
            <w:vAlign w:val="center"/>
            <w:hideMark/>
          </w:tcPr>
          <w:p w14:paraId="3BA198B4"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4.6</w:t>
            </w:r>
          </w:p>
        </w:tc>
        <w:tc>
          <w:tcPr>
            <w:tcW w:w="795" w:type="dxa"/>
            <w:vMerge w:val="restart"/>
            <w:tcBorders>
              <w:top w:val="nil"/>
              <w:left w:val="single" w:sz="8" w:space="0" w:color="FFFFFF"/>
              <w:bottom w:val="single" w:sz="8" w:space="0" w:color="FFFFFF"/>
              <w:right w:val="single" w:sz="8" w:space="0" w:color="FFFFFF"/>
            </w:tcBorders>
            <w:shd w:val="clear" w:color="000000" w:fill="B4C6E7"/>
            <w:vAlign w:val="center"/>
            <w:hideMark/>
          </w:tcPr>
          <w:p w14:paraId="416BFCD8"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0.4</w:t>
            </w:r>
          </w:p>
        </w:tc>
        <w:tc>
          <w:tcPr>
            <w:tcW w:w="3366" w:type="dxa"/>
            <w:tcBorders>
              <w:top w:val="nil"/>
              <w:left w:val="nil"/>
              <w:bottom w:val="nil"/>
              <w:right w:val="single" w:sz="8" w:space="0" w:color="FFFFFF"/>
            </w:tcBorders>
            <w:shd w:val="clear" w:color="000000" w:fill="B4C6E7"/>
            <w:vAlign w:val="center"/>
            <w:hideMark/>
          </w:tcPr>
          <w:p w14:paraId="66CFC0EF"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Indemnizaciones</w:t>
            </w:r>
          </w:p>
        </w:tc>
      </w:tr>
      <w:tr w:rsidR="00646716" w:rsidRPr="00E90F9A" w14:paraId="6C7A7D34" w14:textId="77777777" w:rsidTr="00A62D19">
        <w:trPr>
          <w:trHeight w:val="169"/>
        </w:trPr>
        <w:tc>
          <w:tcPr>
            <w:tcW w:w="561" w:type="dxa"/>
            <w:vMerge/>
            <w:tcBorders>
              <w:top w:val="nil"/>
              <w:left w:val="single" w:sz="8" w:space="0" w:color="FFFFFF"/>
              <w:bottom w:val="single" w:sz="8" w:space="0" w:color="FFFFFF"/>
              <w:right w:val="single" w:sz="8" w:space="0" w:color="FFFFFF"/>
            </w:tcBorders>
            <w:vAlign w:val="center"/>
            <w:hideMark/>
          </w:tcPr>
          <w:p w14:paraId="127464D3" w14:textId="77777777" w:rsidR="00646716" w:rsidRPr="00207ABD" w:rsidRDefault="00646716" w:rsidP="00A62D19">
            <w:pPr>
              <w:spacing w:after="0" w:line="240" w:lineRule="auto"/>
              <w:rPr>
                <w:rFonts w:ascii="Times New Roman" w:eastAsia="Times New Roman" w:hAnsi="Times New Roman" w:cs="Times New Roman"/>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164CB006"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17098098"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6296F35A"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54029D02"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3366" w:type="dxa"/>
            <w:tcBorders>
              <w:top w:val="nil"/>
              <w:left w:val="nil"/>
              <w:bottom w:val="nil"/>
              <w:right w:val="single" w:sz="8" w:space="0" w:color="FFFFFF"/>
            </w:tcBorders>
            <w:shd w:val="clear" w:color="000000" w:fill="B4C6E7"/>
            <w:vAlign w:val="center"/>
            <w:hideMark/>
          </w:tcPr>
          <w:p w14:paraId="034E435A"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Vacaciones pagados por retiro</w:t>
            </w:r>
          </w:p>
        </w:tc>
      </w:tr>
      <w:tr w:rsidR="00646716" w:rsidRPr="00E90F9A" w14:paraId="7377A768" w14:textId="77777777" w:rsidTr="00A62D19">
        <w:trPr>
          <w:trHeight w:val="177"/>
        </w:trPr>
        <w:tc>
          <w:tcPr>
            <w:tcW w:w="561" w:type="dxa"/>
            <w:vMerge/>
            <w:tcBorders>
              <w:top w:val="nil"/>
              <w:left w:val="single" w:sz="8" w:space="0" w:color="FFFFFF"/>
              <w:bottom w:val="single" w:sz="8" w:space="0" w:color="FFFFFF"/>
              <w:right w:val="single" w:sz="8" w:space="0" w:color="FFFFFF"/>
            </w:tcBorders>
            <w:vAlign w:val="center"/>
            <w:hideMark/>
          </w:tcPr>
          <w:p w14:paraId="322225DC" w14:textId="77777777" w:rsidR="00646716" w:rsidRPr="00207ABD" w:rsidRDefault="00646716" w:rsidP="00A62D19">
            <w:pPr>
              <w:spacing w:after="0" w:line="240" w:lineRule="auto"/>
              <w:rPr>
                <w:rFonts w:ascii="Times New Roman" w:eastAsia="Times New Roman" w:hAnsi="Times New Roman" w:cs="Times New Roman"/>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63133DF7"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743D0CC9"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652075FA"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295AD482"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3366" w:type="dxa"/>
            <w:tcBorders>
              <w:top w:val="nil"/>
              <w:left w:val="nil"/>
              <w:bottom w:val="single" w:sz="8" w:space="0" w:color="FFFFFF"/>
              <w:right w:val="single" w:sz="8" w:space="0" w:color="FFFFFF"/>
            </w:tcBorders>
            <w:shd w:val="clear" w:color="000000" w:fill="B4C6E7"/>
            <w:vAlign w:val="center"/>
            <w:hideMark/>
          </w:tcPr>
          <w:p w14:paraId="1C974D28"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Contribuciones Sociales Imputadas de los Empleadores</w:t>
            </w:r>
          </w:p>
        </w:tc>
      </w:tr>
      <w:tr w:rsidR="00646716" w:rsidRPr="00E90F9A" w14:paraId="131AB84A" w14:textId="77777777" w:rsidTr="00A62D19">
        <w:trPr>
          <w:trHeight w:val="169"/>
        </w:trPr>
        <w:tc>
          <w:tcPr>
            <w:tcW w:w="561" w:type="dxa"/>
            <w:vMerge w:val="restart"/>
            <w:tcBorders>
              <w:top w:val="nil"/>
              <w:left w:val="single" w:sz="8" w:space="0" w:color="FFFFFF"/>
              <w:bottom w:val="single" w:sz="8" w:space="0" w:color="FFFFFF"/>
              <w:right w:val="single" w:sz="8" w:space="0" w:color="FFFFFF"/>
            </w:tcBorders>
            <w:shd w:val="clear" w:color="000000" w:fill="8496B0"/>
            <w:noWrap/>
            <w:vAlign w:val="center"/>
            <w:hideMark/>
          </w:tcPr>
          <w:p w14:paraId="505E439B" w14:textId="77777777" w:rsidR="00646716" w:rsidRPr="00207ABD" w:rsidRDefault="00646716" w:rsidP="00A62D19">
            <w:pPr>
              <w:spacing w:after="0" w:line="240" w:lineRule="auto"/>
              <w:jc w:val="center"/>
              <w:rPr>
                <w:rFonts w:ascii="Times New Roman" w:eastAsia="Times New Roman" w:hAnsi="Times New Roman" w:cs="Times New Roman"/>
                <w:color w:val="FFFFFF"/>
                <w:sz w:val="12"/>
                <w:szCs w:val="12"/>
                <w:lang w:eastAsia="es-GT"/>
              </w:rPr>
            </w:pPr>
            <w:r w:rsidRPr="00207ABD">
              <w:rPr>
                <w:rFonts w:ascii="Times New Roman" w:eastAsia="Times New Roman" w:hAnsi="Times New Roman" w:cs="Times New Roman"/>
                <w:color w:val="FFFFFF"/>
                <w:sz w:val="12"/>
                <w:szCs w:val="12"/>
                <w:lang w:eastAsia="es-GT"/>
              </w:rPr>
              <w:t>22</w:t>
            </w:r>
          </w:p>
        </w:tc>
        <w:tc>
          <w:tcPr>
            <w:tcW w:w="1699" w:type="dxa"/>
            <w:vMerge w:val="restart"/>
            <w:tcBorders>
              <w:top w:val="nil"/>
              <w:left w:val="single" w:sz="8" w:space="0" w:color="FFFFFF"/>
              <w:bottom w:val="single" w:sz="8" w:space="0" w:color="FFFFFF"/>
              <w:right w:val="single" w:sz="8" w:space="0" w:color="FFFFFF"/>
            </w:tcBorders>
            <w:shd w:val="clear" w:color="000000" w:fill="D9E2F3"/>
            <w:vAlign w:val="center"/>
            <w:hideMark/>
          </w:tcPr>
          <w:p w14:paraId="4B5470D8"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Uso de bienes y servicios</w:t>
            </w:r>
          </w:p>
        </w:tc>
        <w:tc>
          <w:tcPr>
            <w:tcW w:w="1045" w:type="dxa"/>
            <w:vMerge w:val="restart"/>
            <w:tcBorders>
              <w:top w:val="nil"/>
              <w:left w:val="single" w:sz="8" w:space="0" w:color="FFFFFF"/>
              <w:bottom w:val="single" w:sz="8" w:space="0" w:color="FFFFFF"/>
              <w:right w:val="single" w:sz="8" w:space="0" w:color="FFFFFF"/>
            </w:tcBorders>
            <w:shd w:val="clear" w:color="000000" w:fill="D9E2F3"/>
            <w:vAlign w:val="center"/>
            <w:hideMark/>
          </w:tcPr>
          <w:p w14:paraId="0179D8A7"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1.5</w:t>
            </w:r>
          </w:p>
        </w:tc>
        <w:tc>
          <w:tcPr>
            <w:tcW w:w="1045" w:type="dxa"/>
            <w:vMerge w:val="restart"/>
            <w:tcBorders>
              <w:top w:val="nil"/>
              <w:left w:val="single" w:sz="8" w:space="0" w:color="FFFFFF"/>
              <w:bottom w:val="single" w:sz="8" w:space="0" w:color="FFFFFF"/>
              <w:right w:val="single" w:sz="8" w:space="0" w:color="FFFFFF"/>
            </w:tcBorders>
            <w:shd w:val="clear" w:color="000000" w:fill="D9E2F3"/>
            <w:vAlign w:val="center"/>
            <w:hideMark/>
          </w:tcPr>
          <w:p w14:paraId="3A792B67"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1.7</w:t>
            </w:r>
          </w:p>
        </w:tc>
        <w:tc>
          <w:tcPr>
            <w:tcW w:w="795" w:type="dxa"/>
            <w:vMerge w:val="restart"/>
            <w:tcBorders>
              <w:top w:val="nil"/>
              <w:left w:val="single" w:sz="8" w:space="0" w:color="FFFFFF"/>
              <w:bottom w:val="single" w:sz="8" w:space="0" w:color="FFFFFF"/>
              <w:right w:val="single" w:sz="8" w:space="0" w:color="FFFFFF"/>
            </w:tcBorders>
            <w:shd w:val="clear" w:color="000000" w:fill="D9E2F3"/>
            <w:vAlign w:val="center"/>
            <w:hideMark/>
          </w:tcPr>
          <w:p w14:paraId="5582D2C1"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-0.2</w:t>
            </w:r>
          </w:p>
        </w:tc>
        <w:tc>
          <w:tcPr>
            <w:tcW w:w="3366" w:type="dxa"/>
            <w:tcBorders>
              <w:top w:val="nil"/>
              <w:left w:val="nil"/>
              <w:bottom w:val="nil"/>
              <w:right w:val="single" w:sz="8" w:space="0" w:color="FFFFFF"/>
            </w:tcBorders>
            <w:shd w:val="clear" w:color="000000" w:fill="D9E2F3"/>
            <w:vAlign w:val="center"/>
            <w:hideMark/>
          </w:tcPr>
          <w:p w14:paraId="16DC0E3B"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Primas y gastos de seguros y fianzas</w:t>
            </w:r>
          </w:p>
        </w:tc>
      </w:tr>
      <w:tr w:rsidR="00646716" w:rsidRPr="00E90F9A" w14:paraId="5B3845B8" w14:textId="77777777" w:rsidTr="00A62D19">
        <w:trPr>
          <w:trHeight w:val="169"/>
        </w:trPr>
        <w:tc>
          <w:tcPr>
            <w:tcW w:w="561" w:type="dxa"/>
            <w:vMerge/>
            <w:tcBorders>
              <w:top w:val="nil"/>
              <w:left w:val="single" w:sz="8" w:space="0" w:color="FFFFFF"/>
              <w:bottom w:val="single" w:sz="8" w:space="0" w:color="FFFFFF"/>
              <w:right w:val="single" w:sz="8" w:space="0" w:color="FFFFFF"/>
            </w:tcBorders>
            <w:vAlign w:val="center"/>
            <w:hideMark/>
          </w:tcPr>
          <w:p w14:paraId="031CB3F9" w14:textId="77777777" w:rsidR="00646716" w:rsidRPr="00207ABD" w:rsidRDefault="00646716" w:rsidP="00A62D19">
            <w:pPr>
              <w:spacing w:after="0" w:line="240" w:lineRule="auto"/>
              <w:rPr>
                <w:rFonts w:ascii="Times New Roman" w:eastAsia="Times New Roman" w:hAnsi="Times New Roman" w:cs="Times New Roman"/>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7F30F6B3"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1475276B"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6D75FE1F"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62A2EBB0"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3366" w:type="dxa"/>
            <w:tcBorders>
              <w:top w:val="nil"/>
              <w:left w:val="nil"/>
              <w:bottom w:val="nil"/>
              <w:right w:val="single" w:sz="8" w:space="0" w:color="FFFFFF"/>
            </w:tcBorders>
            <w:shd w:val="clear" w:color="000000" w:fill="D9E2F3"/>
            <w:vAlign w:val="center"/>
            <w:hideMark/>
          </w:tcPr>
          <w:p w14:paraId="1F38A5AB"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Equipo militar y de Seguridad</w:t>
            </w:r>
          </w:p>
        </w:tc>
      </w:tr>
      <w:tr w:rsidR="00646716" w:rsidRPr="00E90F9A" w14:paraId="42B0FA96" w14:textId="77777777" w:rsidTr="00A62D19">
        <w:trPr>
          <w:trHeight w:val="169"/>
        </w:trPr>
        <w:tc>
          <w:tcPr>
            <w:tcW w:w="561" w:type="dxa"/>
            <w:vMerge/>
            <w:tcBorders>
              <w:top w:val="nil"/>
              <w:left w:val="single" w:sz="8" w:space="0" w:color="FFFFFF"/>
              <w:bottom w:val="single" w:sz="8" w:space="0" w:color="FFFFFF"/>
              <w:right w:val="single" w:sz="8" w:space="0" w:color="FFFFFF"/>
            </w:tcBorders>
            <w:vAlign w:val="center"/>
            <w:hideMark/>
          </w:tcPr>
          <w:p w14:paraId="18D79151" w14:textId="77777777" w:rsidR="00646716" w:rsidRPr="00207ABD" w:rsidRDefault="00646716" w:rsidP="00A62D19">
            <w:pPr>
              <w:spacing w:after="0" w:line="240" w:lineRule="auto"/>
              <w:rPr>
                <w:rFonts w:ascii="Times New Roman" w:eastAsia="Times New Roman" w:hAnsi="Times New Roman" w:cs="Times New Roman"/>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20EE925D"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7B71CDA0"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57EA7D24"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59CFBE65"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3366" w:type="dxa"/>
            <w:tcBorders>
              <w:top w:val="nil"/>
              <w:left w:val="nil"/>
              <w:bottom w:val="nil"/>
              <w:right w:val="single" w:sz="8" w:space="0" w:color="FFFFFF"/>
            </w:tcBorders>
            <w:shd w:val="clear" w:color="000000" w:fill="D9E2F3"/>
            <w:vAlign w:val="center"/>
            <w:hideMark/>
          </w:tcPr>
          <w:p w14:paraId="11C80D40"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Arrendamiento de Tierra y Terrenos</w:t>
            </w:r>
          </w:p>
        </w:tc>
      </w:tr>
      <w:tr w:rsidR="00646716" w:rsidRPr="00E90F9A" w14:paraId="5423790B" w14:textId="77777777" w:rsidTr="00A62D19">
        <w:trPr>
          <w:trHeight w:val="169"/>
        </w:trPr>
        <w:tc>
          <w:tcPr>
            <w:tcW w:w="561" w:type="dxa"/>
            <w:vMerge/>
            <w:tcBorders>
              <w:top w:val="nil"/>
              <w:left w:val="single" w:sz="8" w:space="0" w:color="FFFFFF"/>
              <w:bottom w:val="single" w:sz="8" w:space="0" w:color="FFFFFF"/>
              <w:right w:val="single" w:sz="8" w:space="0" w:color="FFFFFF"/>
            </w:tcBorders>
            <w:vAlign w:val="center"/>
            <w:hideMark/>
          </w:tcPr>
          <w:p w14:paraId="1A8A1806" w14:textId="77777777" w:rsidR="00646716" w:rsidRPr="00207ABD" w:rsidRDefault="00646716" w:rsidP="00A62D19">
            <w:pPr>
              <w:spacing w:after="0" w:line="240" w:lineRule="auto"/>
              <w:rPr>
                <w:rFonts w:ascii="Times New Roman" w:eastAsia="Times New Roman" w:hAnsi="Times New Roman" w:cs="Times New Roman"/>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3EC85541"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267B657F"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66F18C88"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5BA91D9D"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3366" w:type="dxa"/>
            <w:tcBorders>
              <w:top w:val="nil"/>
              <w:left w:val="nil"/>
              <w:bottom w:val="nil"/>
              <w:right w:val="single" w:sz="8" w:space="0" w:color="FFFFFF"/>
            </w:tcBorders>
            <w:shd w:val="clear" w:color="000000" w:fill="D9E2F3"/>
            <w:vAlign w:val="center"/>
            <w:hideMark/>
          </w:tcPr>
          <w:p w14:paraId="01E1F292"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Derechos sobre Bienes Intangibles</w:t>
            </w:r>
          </w:p>
        </w:tc>
      </w:tr>
      <w:tr w:rsidR="00646716" w:rsidRPr="00E90F9A" w14:paraId="0CAF0E7F" w14:textId="77777777" w:rsidTr="00A62D19">
        <w:trPr>
          <w:trHeight w:val="169"/>
        </w:trPr>
        <w:tc>
          <w:tcPr>
            <w:tcW w:w="561" w:type="dxa"/>
            <w:vMerge/>
            <w:tcBorders>
              <w:top w:val="nil"/>
              <w:left w:val="single" w:sz="8" w:space="0" w:color="FFFFFF"/>
              <w:bottom w:val="single" w:sz="8" w:space="0" w:color="FFFFFF"/>
              <w:right w:val="single" w:sz="8" w:space="0" w:color="FFFFFF"/>
            </w:tcBorders>
            <w:vAlign w:val="center"/>
            <w:hideMark/>
          </w:tcPr>
          <w:p w14:paraId="6FE78911" w14:textId="77777777" w:rsidR="00646716" w:rsidRPr="00207ABD" w:rsidRDefault="00646716" w:rsidP="00A62D19">
            <w:pPr>
              <w:spacing w:after="0" w:line="240" w:lineRule="auto"/>
              <w:rPr>
                <w:rFonts w:ascii="Times New Roman" w:eastAsia="Times New Roman" w:hAnsi="Times New Roman" w:cs="Times New Roman"/>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20823B80"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3F316DC0"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664C26D4"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127A892E"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3366" w:type="dxa"/>
            <w:tcBorders>
              <w:top w:val="nil"/>
              <w:left w:val="nil"/>
              <w:bottom w:val="nil"/>
              <w:right w:val="single" w:sz="8" w:space="0" w:color="FFFFFF"/>
            </w:tcBorders>
            <w:shd w:val="clear" w:color="000000" w:fill="D9E2F3"/>
            <w:vAlign w:val="center"/>
            <w:hideMark/>
          </w:tcPr>
          <w:p w14:paraId="01ED6E59"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Gastos por Emergencias y Calamidades</w:t>
            </w:r>
          </w:p>
        </w:tc>
      </w:tr>
      <w:tr w:rsidR="00646716" w:rsidRPr="00E90F9A" w14:paraId="3482B5EC" w14:textId="77777777" w:rsidTr="00A62D19">
        <w:trPr>
          <w:trHeight w:val="169"/>
        </w:trPr>
        <w:tc>
          <w:tcPr>
            <w:tcW w:w="561" w:type="dxa"/>
            <w:vMerge/>
            <w:tcBorders>
              <w:top w:val="nil"/>
              <w:left w:val="single" w:sz="8" w:space="0" w:color="FFFFFF"/>
              <w:bottom w:val="single" w:sz="8" w:space="0" w:color="FFFFFF"/>
              <w:right w:val="single" w:sz="8" w:space="0" w:color="FFFFFF"/>
            </w:tcBorders>
            <w:vAlign w:val="center"/>
            <w:hideMark/>
          </w:tcPr>
          <w:p w14:paraId="32CBE087" w14:textId="77777777" w:rsidR="00646716" w:rsidRPr="00207ABD" w:rsidRDefault="00646716" w:rsidP="00A62D19">
            <w:pPr>
              <w:spacing w:after="0" w:line="240" w:lineRule="auto"/>
              <w:rPr>
                <w:rFonts w:ascii="Times New Roman" w:eastAsia="Times New Roman" w:hAnsi="Times New Roman" w:cs="Times New Roman"/>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527162F7"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62EE76B5"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714CDF28"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2D1A06D5"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3366" w:type="dxa"/>
            <w:tcBorders>
              <w:top w:val="nil"/>
              <w:left w:val="nil"/>
              <w:bottom w:val="nil"/>
              <w:right w:val="single" w:sz="8" w:space="0" w:color="FFFFFF"/>
            </w:tcBorders>
            <w:shd w:val="clear" w:color="000000" w:fill="D9E2F3"/>
            <w:vAlign w:val="center"/>
            <w:hideMark/>
          </w:tcPr>
          <w:p w14:paraId="5A84D240"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Sentencias Judiciales</w:t>
            </w:r>
          </w:p>
        </w:tc>
      </w:tr>
      <w:tr w:rsidR="00646716" w:rsidRPr="00E90F9A" w14:paraId="7FAC0398" w14:textId="77777777" w:rsidTr="00A62D19">
        <w:trPr>
          <w:trHeight w:val="177"/>
        </w:trPr>
        <w:tc>
          <w:tcPr>
            <w:tcW w:w="561" w:type="dxa"/>
            <w:vMerge/>
            <w:tcBorders>
              <w:top w:val="nil"/>
              <w:left w:val="single" w:sz="8" w:space="0" w:color="FFFFFF"/>
              <w:bottom w:val="single" w:sz="8" w:space="0" w:color="FFFFFF"/>
              <w:right w:val="single" w:sz="8" w:space="0" w:color="FFFFFF"/>
            </w:tcBorders>
            <w:vAlign w:val="center"/>
            <w:hideMark/>
          </w:tcPr>
          <w:p w14:paraId="1589DBF4" w14:textId="77777777" w:rsidR="00646716" w:rsidRPr="00207ABD" w:rsidRDefault="00646716" w:rsidP="00A62D19">
            <w:pPr>
              <w:spacing w:after="0" w:line="240" w:lineRule="auto"/>
              <w:rPr>
                <w:rFonts w:ascii="Times New Roman" w:eastAsia="Times New Roman" w:hAnsi="Times New Roman" w:cs="Times New Roman"/>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64C7E27A"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63483D0F"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655B4103"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78DA04C0"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3366" w:type="dxa"/>
            <w:tcBorders>
              <w:top w:val="nil"/>
              <w:left w:val="nil"/>
              <w:bottom w:val="single" w:sz="8" w:space="0" w:color="FFFFFF"/>
              <w:right w:val="single" w:sz="8" w:space="0" w:color="FFFFFF"/>
            </w:tcBorders>
            <w:shd w:val="clear" w:color="000000" w:fill="D9E2F3"/>
            <w:vAlign w:val="center"/>
            <w:hideMark/>
          </w:tcPr>
          <w:p w14:paraId="5EF532D5"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Gastos no previstos (para funcionamiento)</w:t>
            </w:r>
          </w:p>
        </w:tc>
      </w:tr>
      <w:tr w:rsidR="00646716" w:rsidRPr="00E90F9A" w14:paraId="3597BFCA" w14:textId="77777777" w:rsidTr="00A62D19">
        <w:trPr>
          <w:trHeight w:val="177"/>
        </w:trPr>
        <w:tc>
          <w:tcPr>
            <w:tcW w:w="561" w:type="dxa"/>
            <w:tcBorders>
              <w:top w:val="nil"/>
              <w:left w:val="single" w:sz="8" w:space="0" w:color="FFFFFF"/>
              <w:bottom w:val="single" w:sz="8" w:space="0" w:color="FFFFFF"/>
              <w:right w:val="single" w:sz="8" w:space="0" w:color="FFFFFF"/>
            </w:tcBorders>
            <w:shd w:val="clear" w:color="000000" w:fill="8496B0"/>
            <w:noWrap/>
            <w:vAlign w:val="center"/>
            <w:hideMark/>
          </w:tcPr>
          <w:p w14:paraId="0512E5D8" w14:textId="77777777" w:rsidR="00646716" w:rsidRPr="00207ABD" w:rsidRDefault="00646716" w:rsidP="00A62D19">
            <w:pPr>
              <w:spacing w:after="0" w:line="240" w:lineRule="auto"/>
              <w:jc w:val="center"/>
              <w:rPr>
                <w:rFonts w:ascii="Times New Roman" w:eastAsia="Times New Roman" w:hAnsi="Times New Roman" w:cs="Times New Roman"/>
                <w:color w:val="FFFFFF"/>
                <w:sz w:val="12"/>
                <w:szCs w:val="12"/>
                <w:lang w:eastAsia="es-GT"/>
              </w:rPr>
            </w:pPr>
            <w:r w:rsidRPr="00207ABD">
              <w:rPr>
                <w:rFonts w:ascii="Times New Roman" w:eastAsia="Times New Roman" w:hAnsi="Times New Roman" w:cs="Times New Roman"/>
                <w:color w:val="FFFFFF"/>
                <w:sz w:val="12"/>
                <w:szCs w:val="12"/>
                <w:lang w:eastAsia="es-GT"/>
              </w:rPr>
              <w:t>24</w:t>
            </w:r>
          </w:p>
        </w:tc>
        <w:tc>
          <w:tcPr>
            <w:tcW w:w="1699" w:type="dxa"/>
            <w:tcBorders>
              <w:top w:val="nil"/>
              <w:left w:val="nil"/>
              <w:bottom w:val="single" w:sz="8" w:space="0" w:color="FFFFFF"/>
              <w:right w:val="single" w:sz="8" w:space="0" w:color="FFFFFF"/>
            </w:tcBorders>
            <w:shd w:val="clear" w:color="000000" w:fill="B4C6E7"/>
            <w:vAlign w:val="center"/>
            <w:hideMark/>
          </w:tcPr>
          <w:p w14:paraId="41083A41"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Intereses</w:t>
            </w:r>
          </w:p>
        </w:tc>
        <w:tc>
          <w:tcPr>
            <w:tcW w:w="1045" w:type="dxa"/>
            <w:tcBorders>
              <w:top w:val="nil"/>
              <w:left w:val="nil"/>
              <w:bottom w:val="single" w:sz="8" w:space="0" w:color="FFFFFF"/>
              <w:right w:val="single" w:sz="8" w:space="0" w:color="FFFFFF"/>
            </w:tcBorders>
            <w:shd w:val="clear" w:color="000000" w:fill="B4C6E7"/>
            <w:vAlign w:val="center"/>
            <w:hideMark/>
          </w:tcPr>
          <w:p w14:paraId="73AF9E96"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1.7</w:t>
            </w:r>
          </w:p>
        </w:tc>
        <w:tc>
          <w:tcPr>
            <w:tcW w:w="1045" w:type="dxa"/>
            <w:tcBorders>
              <w:top w:val="nil"/>
              <w:left w:val="nil"/>
              <w:bottom w:val="single" w:sz="8" w:space="0" w:color="FFFFFF"/>
              <w:right w:val="single" w:sz="8" w:space="0" w:color="FFFFFF"/>
            </w:tcBorders>
            <w:shd w:val="clear" w:color="000000" w:fill="B4C6E7"/>
            <w:vAlign w:val="center"/>
            <w:hideMark/>
          </w:tcPr>
          <w:p w14:paraId="3363CB91"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1.7</w:t>
            </w:r>
          </w:p>
        </w:tc>
        <w:tc>
          <w:tcPr>
            <w:tcW w:w="795" w:type="dxa"/>
            <w:tcBorders>
              <w:top w:val="nil"/>
              <w:left w:val="nil"/>
              <w:bottom w:val="single" w:sz="8" w:space="0" w:color="FFFFFF"/>
              <w:right w:val="single" w:sz="8" w:space="0" w:color="FFFFFF"/>
            </w:tcBorders>
            <w:shd w:val="clear" w:color="000000" w:fill="B4C6E7"/>
            <w:vAlign w:val="center"/>
            <w:hideMark/>
          </w:tcPr>
          <w:p w14:paraId="168542E2"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0.0</w:t>
            </w:r>
          </w:p>
        </w:tc>
        <w:tc>
          <w:tcPr>
            <w:tcW w:w="3366" w:type="dxa"/>
            <w:tcBorders>
              <w:top w:val="nil"/>
              <w:left w:val="nil"/>
              <w:bottom w:val="single" w:sz="8" w:space="0" w:color="FFFFFF"/>
              <w:right w:val="single" w:sz="8" w:space="0" w:color="FFFFFF"/>
            </w:tcBorders>
            <w:shd w:val="clear" w:color="000000" w:fill="B4C6E7"/>
            <w:vAlign w:val="center"/>
            <w:hideMark/>
          </w:tcPr>
          <w:p w14:paraId="11639D57"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Descuentos de deuda</w:t>
            </w:r>
          </w:p>
        </w:tc>
      </w:tr>
      <w:tr w:rsidR="00646716" w:rsidRPr="00E90F9A" w14:paraId="5BDF2A96" w14:textId="77777777" w:rsidTr="00A62D19">
        <w:trPr>
          <w:trHeight w:val="177"/>
        </w:trPr>
        <w:tc>
          <w:tcPr>
            <w:tcW w:w="561" w:type="dxa"/>
            <w:tcBorders>
              <w:top w:val="nil"/>
              <w:left w:val="single" w:sz="8" w:space="0" w:color="FFFFFF"/>
              <w:bottom w:val="single" w:sz="8" w:space="0" w:color="FFFFFF"/>
              <w:right w:val="single" w:sz="8" w:space="0" w:color="FFFFFF"/>
            </w:tcBorders>
            <w:shd w:val="clear" w:color="000000" w:fill="8496B0"/>
            <w:noWrap/>
            <w:vAlign w:val="center"/>
            <w:hideMark/>
          </w:tcPr>
          <w:p w14:paraId="19A5702B" w14:textId="77777777" w:rsidR="00646716" w:rsidRPr="00207ABD" w:rsidRDefault="00646716" w:rsidP="00A62D19">
            <w:pPr>
              <w:spacing w:after="0" w:line="240" w:lineRule="auto"/>
              <w:jc w:val="center"/>
              <w:rPr>
                <w:rFonts w:ascii="Times New Roman" w:eastAsia="Times New Roman" w:hAnsi="Times New Roman" w:cs="Times New Roman"/>
                <w:color w:val="FFFFFF"/>
                <w:sz w:val="12"/>
                <w:szCs w:val="12"/>
                <w:lang w:eastAsia="es-GT"/>
              </w:rPr>
            </w:pPr>
            <w:r w:rsidRPr="00207ABD">
              <w:rPr>
                <w:rFonts w:ascii="Times New Roman" w:eastAsia="Times New Roman" w:hAnsi="Times New Roman" w:cs="Times New Roman"/>
                <w:color w:val="FFFFFF"/>
                <w:sz w:val="12"/>
                <w:szCs w:val="12"/>
                <w:lang w:eastAsia="es-GT"/>
              </w:rPr>
              <w:t>25</w:t>
            </w:r>
          </w:p>
        </w:tc>
        <w:tc>
          <w:tcPr>
            <w:tcW w:w="1699" w:type="dxa"/>
            <w:tcBorders>
              <w:top w:val="nil"/>
              <w:left w:val="nil"/>
              <w:bottom w:val="single" w:sz="8" w:space="0" w:color="FFFFFF"/>
              <w:right w:val="single" w:sz="8" w:space="0" w:color="FFFFFF"/>
            </w:tcBorders>
            <w:shd w:val="clear" w:color="000000" w:fill="D9E2F3"/>
            <w:vAlign w:val="center"/>
            <w:hideMark/>
          </w:tcPr>
          <w:p w14:paraId="7ACCD58B"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Subsidios</w:t>
            </w:r>
          </w:p>
        </w:tc>
        <w:tc>
          <w:tcPr>
            <w:tcW w:w="1045" w:type="dxa"/>
            <w:tcBorders>
              <w:top w:val="nil"/>
              <w:left w:val="nil"/>
              <w:bottom w:val="single" w:sz="8" w:space="0" w:color="FFFFFF"/>
              <w:right w:val="single" w:sz="8" w:space="0" w:color="FFFFFF"/>
            </w:tcBorders>
            <w:shd w:val="clear" w:color="000000" w:fill="D9E2F3"/>
            <w:vAlign w:val="center"/>
            <w:hideMark/>
          </w:tcPr>
          <w:p w14:paraId="1F2930FB"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0.4</w:t>
            </w:r>
          </w:p>
        </w:tc>
        <w:tc>
          <w:tcPr>
            <w:tcW w:w="1045" w:type="dxa"/>
            <w:tcBorders>
              <w:top w:val="nil"/>
              <w:left w:val="nil"/>
              <w:bottom w:val="single" w:sz="8" w:space="0" w:color="FFFFFF"/>
              <w:right w:val="single" w:sz="8" w:space="0" w:color="FFFFFF"/>
            </w:tcBorders>
            <w:shd w:val="clear" w:color="000000" w:fill="D9E2F3"/>
            <w:vAlign w:val="center"/>
            <w:hideMark/>
          </w:tcPr>
          <w:p w14:paraId="0A48CDDA"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p>
        </w:tc>
        <w:tc>
          <w:tcPr>
            <w:tcW w:w="795" w:type="dxa"/>
            <w:tcBorders>
              <w:top w:val="nil"/>
              <w:left w:val="nil"/>
              <w:bottom w:val="single" w:sz="8" w:space="0" w:color="FFFFFF"/>
              <w:right w:val="single" w:sz="8" w:space="0" w:color="FFFFFF"/>
            </w:tcBorders>
            <w:shd w:val="clear" w:color="000000" w:fill="D9E2F3"/>
            <w:vAlign w:val="center"/>
            <w:hideMark/>
          </w:tcPr>
          <w:p w14:paraId="260DCE4F"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0.4</w:t>
            </w:r>
          </w:p>
        </w:tc>
        <w:tc>
          <w:tcPr>
            <w:tcW w:w="3366" w:type="dxa"/>
            <w:tcBorders>
              <w:top w:val="nil"/>
              <w:left w:val="nil"/>
              <w:bottom w:val="single" w:sz="8" w:space="0" w:color="FFFFFF"/>
              <w:right w:val="single" w:sz="8" w:space="0" w:color="FFFFFF"/>
            </w:tcBorders>
            <w:shd w:val="clear" w:color="000000" w:fill="D9E2F3"/>
            <w:vAlign w:val="center"/>
            <w:hideMark/>
          </w:tcPr>
          <w:p w14:paraId="7AB06352"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xml:space="preserve">(+) Transferencias corrientes y de capital a algunas </w:t>
            </w:r>
            <w:r w:rsidRPr="00BF1931">
              <w:rPr>
                <w:rFonts w:ascii="Times New Roman" w:eastAsia="Times New Roman" w:hAnsi="Times New Roman" w:cs="Times New Roman"/>
                <w:i/>
                <w:iCs/>
                <w:color w:val="000000"/>
                <w:sz w:val="10"/>
                <w:szCs w:val="10"/>
                <w:lang w:eastAsia="es-GT"/>
              </w:rPr>
              <w:t>Entidades Públicas empresariales según MEFP</w:t>
            </w:r>
          </w:p>
        </w:tc>
      </w:tr>
      <w:tr w:rsidR="00646716" w:rsidRPr="00E90F9A" w14:paraId="4D4C3C83" w14:textId="77777777" w:rsidTr="00A62D19">
        <w:trPr>
          <w:trHeight w:val="169"/>
        </w:trPr>
        <w:tc>
          <w:tcPr>
            <w:tcW w:w="561" w:type="dxa"/>
            <w:vMerge w:val="restart"/>
            <w:tcBorders>
              <w:top w:val="nil"/>
              <w:left w:val="single" w:sz="8" w:space="0" w:color="FFFFFF"/>
              <w:bottom w:val="single" w:sz="8" w:space="0" w:color="FFFFFF"/>
              <w:right w:val="single" w:sz="8" w:space="0" w:color="FFFFFF"/>
            </w:tcBorders>
            <w:shd w:val="clear" w:color="000000" w:fill="8496B0"/>
            <w:noWrap/>
            <w:vAlign w:val="center"/>
            <w:hideMark/>
          </w:tcPr>
          <w:p w14:paraId="1B71A89E" w14:textId="77777777" w:rsidR="00646716" w:rsidRPr="00207ABD" w:rsidRDefault="00646716" w:rsidP="00A62D19">
            <w:pPr>
              <w:spacing w:after="0" w:line="240" w:lineRule="auto"/>
              <w:jc w:val="center"/>
              <w:rPr>
                <w:rFonts w:ascii="Times New Roman" w:eastAsia="Times New Roman" w:hAnsi="Times New Roman" w:cs="Times New Roman"/>
                <w:color w:val="FFFFFF"/>
                <w:sz w:val="12"/>
                <w:szCs w:val="12"/>
                <w:lang w:eastAsia="es-GT"/>
              </w:rPr>
            </w:pPr>
            <w:r w:rsidRPr="00207ABD">
              <w:rPr>
                <w:rFonts w:ascii="Times New Roman" w:eastAsia="Times New Roman" w:hAnsi="Times New Roman" w:cs="Times New Roman"/>
                <w:color w:val="FFFFFF"/>
                <w:sz w:val="12"/>
                <w:szCs w:val="12"/>
                <w:lang w:eastAsia="es-GT"/>
              </w:rPr>
              <w:t>26</w:t>
            </w:r>
          </w:p>
        </w:tc>
        <w:tc>
          <w:tcPr>
            <w:tcW w:w="1699" w:type="dxa"/>
            <w:vMerge w:val="restart"/>
            <w:tcBorders>
              <w:top w:val="nil"/>
              <w:left w:val="single" w:sz="8" w:space="0" w:color="FFFFFF"/>
              <w:bottom w:val="single" w:sz="8" w:space="0" w:color="FFFFFF"/>
              <w:right w:val="single" w:sz="8" w:space="0" w:color="FFFFFF"/>
            </w:tcBorders>
            <w:shd w:val="clear" w:color="000000" w:fill="B4C6E7"/>
            <w:vAlign w:val="center"/>
            <w:hideMark/>
          </w:tcPr>
          <w:p w14:paraId="725E6CFE"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Donaciones</w:t>
            </w:r>
          </w:p>
        </w:tc>
        <w:tc>
          <w:tcPr>
            <w:tcW w:w="1045" w:type="dxa"/>
            <w:vMerge w:val="restart"/>
            <w:tcBorders>
              <w:top w:val="nil"/>
              <w:left w:val="single" w:sz="8" w:space="0" w:color="FFFFFF"/>
              <w:bottom w:val="single" w:sz="8" w:space="0" w:color="FFFFFF"/>
              <w:right w:val="single" w:sz="8" w:space="0" w:color="FFFFFF"/>
            </w:tcBorders>
            <w:shd w:val="clear" w:color="000000" w:fill="B4C6E7"/>
            <w:vAlign w:val="center"/>
            <w:hideMark/>
          </w:tcPr>
          <w:p w14:paraId="2B8843EF"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3.4</w:t>
            </w:r>
          </w:p>
        </w:tc>
        <w:tc>
          <w:tcPr>
            <w:tcW w:w="1045" w:type="dxa"/>
            <w:vMerge w:val="restart"/>
            <w:tcBorders>
              <w:top w:val="nil"/>
              <w:left w:val="single" w:sz="8" w:space="0" w:color="FFFFFF"/>
              <w:bottom w:val="single" w:sz="8" w:space="0" w:color="FFFFFF"/>
              <w:right w:val="single" w:sz="8" w:space="0" w:color="FFFFFF"/>
            </w:tcBorders>
            <w:shd w:val="clear" w:color="000000" w:fill="B4C6E7"/>
            <w:vAlign w:val="center"/>
            <w:hideMark/>
          </w:tcPr>
          <w:p w14:paraId="25A304D0" w14:textId="77777777" w:rsidR="00646716" w:rsidRPr="00207ABD" w:rsidRDefault="00646716" w:rsidP="00A62D19">
            <w:pPr>
              <w:spacing w:after="0" w:line="240" w:lineRule="auto"/>
              <w:jc w:val="right"/>
              <w:rPr>
                <w:rFonts w:ascii="Calibri" w:eastAsia="Times New Roman" w:hAnsi="Calibri" w:cs="Calibri"/>
                <w:color w:val="000000"/>
                <w:sz w:val="12"/>
                <w:szCs w:val="12"/>
                <w:lang w:eastAsia="es-GT"/>
              </w:rPr>
            </w:pPr>
          </w:p>
        </w:tc>
        <w:tc>
          <w:tcPr>
            <w:tcW w:w="795" w:type="dxa"/>
            <w:vMerge w:val="restart"/>
            <w:tcBorders>
              <w:top w:val="nil"/>
              <w:left w:val="single" w:sz="8" w:space="0" w:color="FFFFFF"/>
              <w:bottom w:val="single" w:sz="8" w:space="0" w:color="FFFFFF"/>
              <w:right w:val="single" w:sz="8" w:space="0" w:color="FFFFFF"/>
            </w:tcBorders>
            <w:shd w:val="clear" w:color="000000" w:fill="B4C6E7"/>
            <w:vAlign w:val="center"/>
            <w:hideMark/>
          </w:tcPr>
          <w:p w14:paraId="79FC62FF"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3.4</w:t>
            </w:r>
          </w:p>
        </w:tc>
        <w:tc>
          <w:tcPr>
            <w:tcW w:w="3366" w:type="dxa"/>
            <w:tcBorders>
              <w:top w:val="nil"/>
              <w:left w:val="nil"/>
              <w:bottom w:val="nil"/>
              <w:right w:val="single" w:sz="8" w:space="0" w:color="FFFFFF"/>
            </w:tcBorders>
            <w:shd w:val="clear" w:color="000000" w:fill="B4C6E7"/>
            <w:vAlign w:val="center"/>
            <w:hideMark/>
          </w:tcPr>
          <w:p w14:paraId="626EBCC2"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Transferencias corrientes y de capital al Resto del Sector Público</w:t>
            </w:r>
          </w:p>
        </w:tc>
      </w:tr>
      <w:tr w:rsidR="00646716" w:rsidRPr="00E90F9A" w14:paraId="3802F1F3" w14:textId="77777777" w:rsidTr="00A62D19">
        <w:trPr>
          <w:trHeight w:val="169"/>
        </w:trPr>
        <w:tc>
          <w:tcPr>
            <w:tcW w:w="561" w:type="dxa"/>
            <w:vMerge/>
            <w:tcBorders>
              <w:top w:val="nil"/>
              <w:left w:val="single" w:sz="8" w:space="0" w:color="FFFFFF"/>
              <w:bottom w:val="single" w:sz="8" w:space="0" w:color="FFFFFF"/>
              <w:right w:val="single" w:sz="8" w:space="0" w:color="FFFFFF"/>
            </w:tcBorders>
            <w:vAlign w:val="center"/>
            <w:hideMark/>
          </w:tcPr>
          <w:p w14:paraId="00BA45DC" w14:textId="77777777" w:rsidR="00646716" w:rsidRPr="00207ABD" w:rsidRDefault="00646716" w:rsidP="00A62D19">
            <w:pPr>
              <w:spacing w:after="0" w:line="240" w:lineRule="auto"/>
              <w:rPr>
                <w:rFonts w:ascii="Times New Roman" w:eastAsia="Times New Roman" w:hAnsi="Times New Roman" w:cs="Times New Roman"/>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0516BB5A"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541E288A"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240607FD" w14:textId="77777777" w:rsidR="00646716" w:rsidRPr="00207ABD" w:rsidRDefault="00646716" w:rsidP="00A62D19">
            <w:pPr>
              <w:spacing w:after="0" w:line="240" w:lineRule="auto"/>
              <w:rPr>
                <w:rFonts w:ascii="Calibri" w:eastAsia="Times New Roman" w:hAnsi="Calibri" w:cs="Calibri"/>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166D44F0"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3366" w:type="dxa"/>
            <w:tcBorders>
              <w:top w:val="nil"/>
              <w:left w:val="nil"/>
              <w:bottom w:val="nil"/>
              <w:right w:val="single" w:sz="8" w:space="0" w:color="FFFFFF"/>
            </w:tcBorders>
            <w:shd w:val="clear" w:color="000000" w:fill="B4C6E7"/>
            <w:vAlign w:val="center"/>
            <w:hideMark/>
          </w:tcPr>
          <w:p w14:paraId="78FA5E5C"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w:t>
            </w:r>
            <w:r w:rsidRPr="00BF1931">
              <w:rPr>
                <w:rFonts w:ascii="Times New Roman" w:eastAsia="Times New Roman" w:hAnsi="Times New Roman" w:cs="Times New Roman"/>
                <w:i/>
                <w:iCs/>
                <w:color w:val="000000"/>
                <w:sz w:val="10"/>
                <w:szCs w:val="10"/>
                <w:lang w:eastAsia="es-GT"/>
              </w:rPr>
              <w:t xml:space="preserve"> </w:t>
            </w:r>
            <w:r w:rsidRPr="00207ABD">
              <w:rPr>
                <w:rFonts w:ascii="Times New Roman" w:eastAsia="Times New Roman" w:hAnsi="Times New Roman" w:cs="Times New Roman"/>
                <w:i/>
                <w:iCs/>
                <w:color w:val="000000"/>
                <w:sz w:val="10"/>
                <w:szCs w:val="10"/>
                <w:lang w:eastAsia="es-GT"/>
              </w:rPr>
              <w:t xml:space="preserve">Transferencias corrientes y de capital a algunas </w:t>
            </w:r>
            <w:r w:rsidRPr="00BF1931">
              <w:rPr>
                <w:rFonts w:ascii="Times New Roman" w:eastAsia="Times New Roman" w:hAnsi="Times New Roman" w:cs="Times New Roman"/>
                <w:i/>
                <w:iCs/>
                <w:color w:val="000000"/>
                <w:sz w:val="10"/>
                <w:szCs w:val="10"/>
                <w:lang w:eastAsia="es-GT"/>
              </w:rPr>
              <w:t>Entidades Públicas empresariales según MEFP</w:t>
            </w:r>
          </w:p>
        </w:tc>
      </w:tr>
      <w:tr w:rsidR="00646716" w:rsidRPr="00E90F9A" w14:paraId="572FA674" w14:textId="77777777" w:rsidTr="00A62D19">
        <w:trPr>
          <w:trHeight w:val="169"/>
        </w:trPr>
        <w:tc>
          <w:tcPr>
            <w:tcW w:w="561" w:type="dxa"/>
            <w:vMerge/>
            <w:tcBorders>
              <w:top w:val="nil"/>
              <w:left w:val="single" w:sz="8" w:space="0" w:color="FFFFFF"/>
              <w:bottom w:val="single" w:sz="8" w:space="0" w:color="FFFFFF"/>
              <w:right w:val="single" w:sz="8" w:space="0" w:color="FFFFFF"/>
            </w:tcBorders>
            <w:vAlign w:val="center"/>
            <w:hideMark/>
          </w:tcPr>
          <w:p w14:paraId="6408BAF0" w14:textId="77777777" w:rsidR="00646716" w:rsidRPr="00207ABD" w:rsidRDefault="00646716" w:rsidP="00A62D19">
            <w:pPr>
              <w:spacing w:after="0" w:line="240" w:lineRule="auto"/>
              <w:rPr>
                <w:rFonts w:ascii="Times New Roman" w:eastAsia="Times New Roman" w:hAnsi="Times New Roman" w:cs="Times New Roman"/>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3DF863DA"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7D1B73CA"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2136052B" w14:textId="77777777" w:rsidR="00646716" w:rsidRPr="00207ABD" w:rsidRDefault="00646716" w:rsidP="00A62D19">
            <w:pPr>
              <w:spacing w:after="0" w:line="240" w:lineRule="auto"/>
              <w:rPr>
                <w:rFonts w:ascii="Calibri" w:eastAsia="Times New Roman" w:hAnsi="Calibri" w:cs="Calibri"/>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307114F8"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3366" w:type="dxa"/>
            <w:tcBorders>
              <w:top w:val="nil"/>
              <w:left w:val="nil"/>
              <w:bottom w:val="nil"/>
              <w:right w:val="single" w:sz="8" w:space="0" w:color="FFFFFF"/>
            </w:tcBorders>
            <w:shd w:val="clear" w:color="000000" w:fill="B4C6E7"/>
            <w:vAlign w:val="center"/>
            <w:hideMark/>
          </w:tcPr>
          <w:p w14:paraId="7D3E3978"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Gastos por Emergencias y Calamidades</w:t>
            </w:r>
          </w:p>
        </w:tc>
      </w:tr>
      <w:tr w:rsidR="00646716" w:rsidRPr="00E90F9A" w14:paraId="52567B1C" w14:textId="77777777" w:rsidTr="00A62D19">
        <w:trPr>
          <w:trHeight w:val="177"/>
        </w:trPr>
        <w:tc>
          <w:tcPr>
            <w:tcW w:w="561" w:type="dxa"/>
            <w:vMerge/>
            <w:tcBorders>
              <w:top w:val="nil"/>
              <w:left w:val="single" w:sz="8" w:space="0" w:color="FFFFFF"/>
              <w:bottom w:val="single" w:sz="8" w:space="0" w:color="FFFFFF"/>
              <w:right w:val="single" w:sz="8" w:space="0" w:color="FFFFFF"/>
            </w:tcBorders>
            <w:vAlign w:val="center"/>
            <w:hideMark/>
          </w:tcPr>
          <w:p w14:paraId="5A11A5B4" w14:textId="77777777" w:rsidR="00646716" w:rsidRPr="00207ABD" w:rsidRDefault="00646716" w:rsidP="00A62D19">
            <w:pPr>
              <w:spacing w:after="0" w:line="240" w:lineRule="auto"/>
              <w:rPr>
                <w:rFonts w:ascii="Times New Roman" w:eastAsia="Times New Roman" w:hAnsi="Times New Roman" w:cs="Times New Roman"/>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720EC401"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3B823D7E"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0E7DF09B" w14:textId="77777777" w:rsidR="00646716" w:rsidRPr="00207ABD" w:rsidRDefault="00646716" w:rsidP="00A62D19">
            <w:pPr>
              <w:spacing w:after="0" w:line="240" w:lineRule="auto"/>
              <w:rPr>
                <w:rFonts w:ascii="Calibri" w:eastAsia="Times New Roman" w:hAnsi="Calibri" w:cs="Calibri"/>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10841805"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3366" w:type="dxa"/>
            <w:tcBorders>
              <w:top w:val="nil"/>
              <w:left w:val="nil"/>
              <w:bottom w:val="single" w:sz="8" w:space="0" w:color="FFFFFF"/>
              <w:right w:val="single" w:sz="8" w:space="0" w:color="FFFFFF"/>
            </w:tcBorders>
            <w:shd w:val="clear" w:color="000000" w:fill="B4C6E7"/>
            <w:vAlign w:val="center"/>
            <w:hideMark/>
          </w:tcPr>
          <w:p w14:paraId="369A23A6"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Transferencias al Sector Externo</w:t>
            </w:r>
          </w:p>
        </w:tc>
      </w:tr>
      <w:tr w:rsidR="00646716" w:rsidRPr="00E90F9A" w14:paraId="4696B75D" w14:textId="77777777" w:rsidTr="00A62D19">
        <w:trPr>
          <w:trHeight w:val="215"/>
        </w:trPr>
        <w:tc>
          <w:tcPr>
            <w:tcW w:w="561" w:type="dxa"/>
            <w:tcBorders>
              <w:top w:val="nil"/>
              <w:left w:val="single" w:sz="8" w:space="0" w:color="FFFFFF"/>
              <w:bottom w:val="single" w:sz="8" w:space="0" w:color="FFFFFF"/>
              <w:right w:val="single" w:sz="8" w:space="0" w:color="FFFFFF"/>
            </w:tcBorders>
            <w:shd w:val="clear" w:color="000000" w:fill="8496B0"/>
            <w:noWrap/>
            <w:vAlign w:val="center"/>
            <w:hideMark/>
          </w:tcPr>
          <w:p w14:paraId="5ABDB8E9" w14:textId="77777777" w:rsidR="00646716" w:rsidRPr="00207ABD" w:rsidRDefault="00646716" w:rsidP="00A62D19">
            <w:pPr>
              <w:spacing w:after="0" w:line="240" w:lineRule="auto"/>
              <w:jc w:val="center"/>
              <w:rPr>
                <w:rFonts w:ascii="Times New Roman" w:eastAsia="Times New Roman" w:hAnsi="Times New Roman" w:cs="Times New Roman"/>
                <w:color w:val="FFFFFF"/>
                <w:sz w:val="12"/>
                <w:szCs w:val="12"/>
                <w:lang w:eastAsia="es-GT"/>
              </w:rPr>
            </w:pPr>
            <w:r w:rsidRPr="00207ABD">
              <w:rPr>
                <w:rFonts w:ascii="Times New Roman" w:eastAsia="Times New Roman" w:hAnsi="Times New Roman" w:cs="Times New Roman"/>
                <w:color w:val="FFFFFF"/>
                <w:sz w:val="12"/>
                <w:szCs w:val="12"/>
                <w:lang w:eastAsia="es-GT"/>
              </w:rPr>
              <w:t>N/A</w:t>
            </w:r>
          </w:p>
        </w:tc>
        <w:tc>
          <w:tcPr>
            <w:tcW w:w="1699" w:type="dxa"/>
            <w:tcBorders>
              <w:top w:val="nil"/>
              <w:left w:val="nil"/>
              <w:bottom w:val="single" w:sz="8" w:space="0" w:color="FFFFFF"/>
              <w:right w:val="single" w:sz="8" w:space="0" w:color="FFFFFF"/>
            </w:tcBorders>
            <w:shd w:val="clear" w:color="000000" w:fill="D9E2F3"/>
            <w:vAlign w:val="center"/>
            <w:hideMark/>
          </w:tcPr>
          <w:p w14:paraId="3B6BB762"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Transferencias corrientes y de capital a entidades Públicas 1/</w:t>
            </w:r>
          </w:p>
        </w:tc>
        <w:tc>
          <w:tcPr>
            <w:tcW w:w="1045" w:type="dxa"/>
            <w:tcBorders>
              <w:top w:val="nil"/>
              <w:left w:val="nil"/>
              <w:bottom w:val="single" w:sz="8" w:space="0" w:color="FFFFFF"/>
              <w:right w:val="single" w:sz="8" w:space="0" w:color="FFFFFF"/>
            </w:tcBorders>
            <w:shd w:val="clear" w:color="000000" w:fill="D9E2F3"/>
            <w:vAlign w:val="center"/>
            <w:hideMark/>
          </w:tcPr>
          <w:p w14:paraId="2E67044B"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0.0</w:t>
            </w:r>
          </w:p>
        </w:tc>
        <w:tc>
          <w:tcPr>
            <w:tcW w:w="1045" w:type="dxa"/>
            <w:tcBorders>
              <w:top w:val="nil"/>
              <w:left w:val="nil"/>
              <w:bottom w:val="single" w:sz="8" w:space="0" w:color="FFFFFF"/>
              <w:right w:val="single" w:sz="8" w:space="0" w:color="FFFFFF"/>
            </w:tcBorders>
            <w:shd w:val="clear" w:color="000000" w:fill="D9E2F3"/>
            <w:vAlign w:val="center"/>
            <w:hideMark/>
          </w:tcPr>
          <w:p w14:paraId="411C74FB"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1.8</w:t>
            </w:r>
          </w:p>
        </w:tc>
        <w:tc>
          <w:tcPr>
            <w:tcW w:w="795" w:type="dxa"/>
            <w:tcBorders>
              <w:top w:val="nil"/>
              <w:left w:val="nil"/>
              <w:bottom w:val="single" w:sz="8" w:space="0" w:color="FFFFFF"/>
              <w:right w:val="single" w:sz="8" w:space="0" w:color="FFFFFF"/>
            </w:tcBorders>
            <w:shd w:val="clear" w:color="000000" w:fill="D9E2F3"/>
            <w:vAlign w:val="center"/>
            <w:hideMark/>
          </w:tcPr>
          <w:p w14:paraId="7BC0A2D0"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-1.8</w:t>
            </w:r>
          </w:p>
        </w:tc>
        <w:tc>
          <w:tcPr>
            <w:tcW w:w="3366" w:type="dxa"/>
            <w:tcBorders>
              <w:top w:val="nil"/>
              <w:left w:val="nil"/>
              <w:bottom w:val="single" w:sz="8" w:space="0" w:color="FFFFFF"/>
              <w:right w:val="single" w:sz="8" w:space="0" w:color="FFFFFF"/>
            </w:tcBorders>
            <w:shd w:val="clear" w:color="000000" w:fill="D9E2F3"/>
            <w:vAlign w:val="center"/>
            <w:hideMark/>
          </w:tcPr>
          <w:p w14:paraId="2832F967"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w:t>
            </w:r>
          </w:p>
        </w:tc>
      </w:tr>
      <w:tr w:rsidR="00646716" w:rsidRPr="00E90F9A" w14:paraId="626201F8" w14:textId="77777777" w:rsidTr="00A62D19">
        <w:trPr>
          <w:trHeight w:val="169"/>
        </w:trPr>
        <w:tc>
          <w:tcPr>
            <w:tcW w:w="561" w:type="dxa"/>
            <w:vMerge w:val="restart"/>
            <w:tcBorders>
              <w:top w:val="nil"/>
              <w:left w:val="single" w:sz="8" w:space="0" w:color="FFFFFF"/>
              <w:bottom w:val="single" w:sz="8" w:space="0" w:color="FFFFFF"/>
              <w:right w:val="single" w:sz="8" w:space="0" w:color="FFFFFF"/>
            </w:tcBorders>
            <w:shd w:val="clear" w:color="000000" w:fill="8496B0"/>
            <w:noWrap/>
            <w:vAlign w:val="center"/>
            <w:hideMark/>
          </w:tcPr>
          <w:p w14:paraId="1F05478C" w14:textId="77777777" w:rsidR="00646716" w:rsidRPr="00207ABD" w:rsidRDefault="00646716" w:rsidP="00A62D19">
            <w:pPr>
              <w:spacing w:after="0" w:line="240" w:lineRule="auto"/>
              <w:jc w:val="center"/>
              <w:rPr>
                <w:rFonts w:ascii="Times New Roman" w:eastAsia="Times New Roman" w:hAnsi="Times New Roman" w:cs="Times New Roman"/>
                <w:color w:val="FFFFFF"/>
                <w:sz w:val="12"/>
                <w:szCs w:val="12"/>
                <w:lang w:eastAsia="es-GT"/>
              </w:rPr>
            </w:pPr>
            <w:r w:rsidRPr="00207ABD">
              <w:rPr>
                <w:rFonts w:ascii="Times New Roman" w:eastAsia="Times New Roman" w:hAnsi="Times New Roman" w:cs="Times New Roman"/>
                <w:color w:val="FFFFFF"/>
                <w:sz w:val="12"/>
                <w:szCs w:val="12"/>
                <w:lang w:eastAsia="es-GT"/>
              </w:rPr>
              <w:t>27</w:t>
            </w:r>
          </w:p>
        </w:tc>
        <w:tc>
          <w:tcPr>
            <w:tcW w:w="1699" w:type="dxa"/>
            <w:vMerge w:val="restart"/>
            <w:tcBorders>
              <w:top w:val="nil"/>
              <w:left w:val="single" w:sz="8" w:space="0" w:color="FFFFFF"/>
              <w:bottom w:val="single" w:sz="8" w:space="0" w:color="FFFFFF"/>
              <w:right w:val="single" w:sz="8" w:space="0" w:color="FFFFFF"/>
            </w:tcBorders>
            <w:shd w:val="clear" w:color="000000" w:fill="B4C6E7"/>
            <w:vAlign w:val="center"/>
            <w:hideMark/>
          </w:tcPr>
          <w:p w14:paraId="28969AC1"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Prestaciones sociales</w:t>
            </w:r>
          </w:p>
        </w:tc>
        <w:tc>
          <w:tcPr>
            <w:tcW w:w="1045" w:type="dxa"/>
            <w:vMerge w:val="restart"/>
            <w:tcBorders>
              <w:top w:val="nil"/>
              <w:left w:val="single" w:sz="8" w:space="0" w:color="FFFFFF"/>
              <w:bottom w:val="single" w:sz="8" w:space="0" w:color="FFFFFF"/>
              <w:right w:val="single" w:sz="8" w:space="0" w:color="FFFFFF"/>
            </w:tcBorders>
            <w:shd w:val="clear" w:color="000000" w:fill="B4C6E7"/>
            <w:vAlign w:val="center"/>
            <w:hideMark/>
          </w:tcPr>
          <w:p w14:paraId="34BBB03C"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2.0</w:t>
            </w:r>
          </w:p>
        </w:tc>
        <w:tc>
          <w:tcPr>
            <w:tcW w:w="1045" w:type="dxa"/>
            <w:vMerge w:val="restart"/>
            <w:tcBorders>
              <w:top w:val="nil"/>
              <w:left w:val="single" w:sz="8" w:space="0" w:color="FFFFFF"/>
              <w:bottom w:val="single" w:sz="8" w:space="0" w:color="FFFFFF"/>
              <w:right w:val="single" w:sz="8" w:space="0" w:color="FFFFFF"/>
            </w:tcBorders>
            <w:shd w:val="clear" w:color="000000" w:fill="B4C6E7"/>
            <w:vAlign w:val="center"/>
            <w:hideMark/>
          </w:tcPr>
          <w:p w14:paraId="1F64CAA3"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0.9</w:t>
            </w:r>
          </w:p>
        </w:tc>
        <w:tc>
          <w:tcPr>
            <w:tcW w:w="795" w:type="dxa"/>
            <w:vMerge w:val="restart"/>
            <w:tcBorders>
              <w:top w:val="nil"/>
              <w:left w:val="single" w:sz="8" w:space="0" w:color="FFFFFF"/>
              <w:bottom w:val="single" w:sz="8" w:space="0" w:color="FFFFFF"/>
              <w:right w:val="single" w:sz="8" w:space="0" w:color="FFFFFF"/>
            </w:tcBorders>
            <w:shd w:val="clear" w:color="000000" w:fill="B4C6E7"/>
            <w:vAlign w:val="center"/>
            <w:hideMark/>
          </w:tcPr>
          <w:p w14:paraId="78BE84B6"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1.1</w:t>
            </w:r>
          </w:p>
        </w:tc>
        <w:tc>
          <w:tcPr>
            <w:tcW w:w="3366" w:type="dxa"/>
            <w:tcBorders>
              <w:top w:val="nil"/>
              <w:left w:val="nil"/>
              <w:bottom w:val="nil"/>
              <w:right w:val="single" w:sz="8" w:space="0" w:color="FFFFFF"/>
            </w:tcBorders>
            <w:shd w:val="clear" w:color="000000" w:fill="B4C6E7"/>
            <w:vAlign w:val="center"/>
            <w:hideMark/>
          </w:tcPr>
          <w:p w14:paraId="3FF62E7B"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Indemnizaciones</w:t>
            </w:r>
          </w:p>
        </w:tc>
      </w:tr>
      <w:tr w:rsidR="00646716" w:rsidRPr="00E90F9A" w14:paraId="4D9CE4C0" w14:textId="77777777" w:rsidTr="00A62D19">
        <w:trPr>
          <w:trHeight w:val="169"/>
        </w:trPr>
        <w:tc>
          <w:tcPr>
            <w:tcW w:w="561" w:type="dxa"/>
            <w:vMerge/>
            <w:tcBorders>
              <w:top w:val="nil"/>
              <w:left w:val="single" w:sz="8" w:space="0" w:color="FFFFFF"/>
              <w:bottom w:val="single" w:sz="8" w:space="0" w:color="FFFFFF"/>
              <w:right w:val="single" w:sz="8" w:space="0" w:color="FFFFFF"/>
            </w:tcBorders>
            <w:shd w:val="clear" w:color="000000" w:fill="8496B0"/>
            <w:noWrap/>
            <w:vAlign w:val="center"/>
          </w:tcPr>
          <w:p w14:paraId="64F26667" w14:textId="77777777" w:rsidR="00646716" w:rsidRPr="00207ABD" w:rsidRDefault="00646716" w:rsidP="00A62D19">
            <w:pPr>
              <w:spacing w:after="0" w:line="240" w:lineRule="auto"/>
              <w:jc w:val="center"/>
              <w:rPr>
                <w:rFonts w:ascii="Times New Roman" w:eastAsia="Times New Roman" w:hAnsi="Times New Roman" w:cs="Times New Roman"/>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shd w:val="clear" w:color="000000" w:fill="B4C6E7"/>
            <w:vAlign w:val="center"/>
          </w:tcPr>
          <w:p w14:paraId="424F590E"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shd w:val="clear" w:color="000000" w:fill="B4C6E7"/>
            <w:vAlign w:val="center"/>
          </w:tcPr>
          <w:p w14:paraId="79184D8B"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shd w:val="clear" w:color="000000" w:fill="B4C6E7"/>
            <w:vAlign w:val="center"/>
          </w:tcPr>
          <w:p w14:paraId="3463B712"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shd w:val="clear" w:color="000000" w:fill="B4C6E7"/>
            <w:vAlign w:val="center"/>
          </w:tcPr>
          <w:p w14:paraId="707304D4"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p>
        </w:tc>
        <w:tc>
          <w:tcPr>
            <w:tcW w:w="3366" w:type="dxa"/>
            <w:tcBorders>
              <w:top w:val="nil"/>
              <w:left w:val="nil"/>
              <w:bottom w:val="nil"/>
              <w:right w:val="single" w:sz="8" w:space="0" w:color="FFFFFF"/>
            </w:tcBorders>
            <w:shd w:val="clear" w:color="000000" w:fill="B4C6E7"/>
            <w:vAlign w:val="center"/>
          </w:tcPr>
          <w:p w14:paraId="078D2A50" w14:textId="77777777" w:rsidR="00646716" w:rsidRPr="00BF1931" w:rsidRDefault="00646716" w:rsidP="00A62D19">
            <w:pPr>
              <w:spacing w:after="0" w:line="240" w:lineRule="auto"/>
              <w:rPr>
                <w:rFonts w:ascii="Times New Roman" w:eastAsia="Times New Roman" w:hAnsi="Times New Roman" w:cs="Times New Roman"/>
                <w:i/>
                <w:iCs/>
                <w:color w:val="000000"/>
                <w:sz w:val="10"/>
                <w:szCs w:val="10"/>
                <w:lang w:eastAsia="es-GT"/>
              </w:rPr>
            </w:pPr>
            <w:r w:rsidRPr="00BF1931">
              <w:rPr>
                <w:rFonts w:ascii="Times New Roman" w:eastAsia="Times New Roman" w:hAnsi="Times New Roman" w:cs="Times New Roman"/>
                <w:i/>
                <w:iCs/>
                <w:color w:val="000000"/>
                <w:sz w:val="10"/>
                <w:szCs w:val="10"/>
                <w:lang w:eastAsia="es-GT"/>
              </w:rPr>
              <w:t>(+) Pensiones</w:t>
            </w:r>
          </w:p>
        </w:tc>
      </w:tr>
      <w:tr w:rsidR="00646716" w:rsidRPr="00E90F9A" w14:paraId="00AAC8C5" w14:textId="77777777" w:rsidTr="00A62D19">
        <w:trPr>
          <w:trHeight w:val="169"/>
        </w:trPr>
        <w:tc>
          <w:tcPr>
            <w:tcW w:w="561" w:type="dxa"/>
            <w:vMerge/>
            <w:tcBorders>
              <w:top w:val="nil"/>
              <w:left w:val="single" w:sz="8" w:space="0" w:color="FFFFFF"/>
              <w:bottom w:val="single" w:sz="8" w:space="0" w:color="FFFFFF"/>
              <w:right w:val="single" w:sz="8" w:space="0" w:color="FFFFFF"/>
            </w:tcBorders>
            <w:vAlign w:val="center"/>
            <w:hideMark/>
          </w:tcPr>
          <w:p w14:paraId="1700819A" w14:textId="77777777" w:rsidR="00646716" w:rsidRPr="00207ABD" w:rsidRDefault="00646716" w:rsidP="00A62D19">
            <w:pPr>
              <w:spacing w:after="0" w:line="240" w:lineRule="auto"/>
              <w:rPr>
                <w:rFonts w:ascii="Times New Roman" w:eastAsia="Times New Roman" w:hAnsi="Times New Roman" w:cs="Times New Roman"/>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0978C159"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789E22FC"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65B10B77"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5411C00D"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3366" w:type="dxa"/>
            <w:tcBorders>
              <w:top w:val="nil"/>
              <w:left w:val="nil"/>
              <w:bottom w:val="nil"/>
              <w:right w:val="single" w:sz="8" w:space="0" w:color="FFFFFF"/>
            </w:tcBorders>
            <w:shd w:val="clear" w:color="000000" w:fill="B4C6E7"/>
            <w:vAlign w:val="center"/>
            <w:hideMark/>
          </w:tcPr>
          <w:p w14:paraId="48019B2C"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Vacaciones pagadas por retiro</w:t>
            </w:r>
          </w:p>
        </w:tc>
      </w:tr>
      <w:tr w:rsidR="00646716" w:rsidRPr="00E90F9A" w14:paraId="014E576A" w14:textId="77777777" w:rsidTr="00A62D19">
        <w:trPr>
          <w:trHeight w:val="169"/>
        </w:trPr>
        <w:tc>
          <w:tcPr>
            <w:tcW w:w="561" w:type="dxa"/>
            <w:vMerge/>
            <w:tcBorders>
              <w:top w:val="nil"/>
              <w:left w:val="single" w:sz="8" w:space="0" w:color="FFFFFF"/>
              <w:bottom w:val="single" w:sz="8" w:space="0" w:color="FFFFFF"/>
              <w:right w:val="single" w:sz="8" w:space="0" w:color="FFFFFF"/>
            </w:tcBorders>
            <w:vAlign w:val="center"/>
            <w:hideMark/>
          </w:tcPr>
          <w:p w14:paraId="32E4E29E" w14:textId="77777777" w:rsidR="00646716" w:rsidRPr="00207ABD" w:rsidRDefault="00646716" w:rsidP="00A62D19">
            <w:pPr>
              <w:spacing w:after="0" w:line="240" w:lineRule="auto"/>
              <w:rPr>
                <w:rFonts w:ascii="Times New Roman" w:eastAsia="Times New Roman" w:hAnsi="Times New Roman" w:cs="Times New Roman"/>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11D691F5"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6FAA18B7"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6B830938"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1D059EC2"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3366" w:type="dxa"/>
            <w:tcBorders>
              <w:top w:val="nil"/>
              <w:left w:val="nil"/>
              <w:bottom w:val="nil"/>
              <w:right w:val="single" w:sz="8" w:space="0" w:color="FFFFFF"/>
            </w:tcBorders>
            <w:shd w:val="clear" w:color="000000" w:fill="B4C6E7"/>
            <w:vAlign w:val="center"/>
            <w:hideMark/>
          </w:tcPr>
          <w:p w14:paraId="7BA8443A"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Ayuda a Funerales</w:t>
            </w:r>
          </w:p>
        </w:tc>
      </w:tr>
      <w:tr w:rsidR="00646716" w:rsidRPr="00E90F9A" w14:paraId="342DF78C" w14:textId="77777777" w:rsidTr="00A62D19">
        <w:trPr>
          <w:trHeight w:val="177"/>
        </w:trPr>
        <w:tc>
          <w:tcPr>
            <w:tcW w:w="561" w:type="dxa"/>
            <w:vMerge/>
            <w:tcBorders>
              <w:top w:val="nil"/>
              <w:left w:val="single" w:sz="8" w:space="0" w:color="FFFFFF"/>
              <w:bottom w:val="single" w:sz="8" w:space="0" w:color="FFFFFF"/>
              <w:right w:val="single" w:sz="8" w:space="0" w:color="FFFFFF"/>
            </w:tcBorders>
            <w:vAlign w:val="center"/>
            <w:hideMark/>
          </w:tcPr>
          <w:p w14:paraId="357C382D" w14:textId="77777777" w:rsidR="00646716" w:rsidRPr="00207ABD" w:rsidRDefault="00646716" w:rsidP="00A62D19">
            <w:pPr>
              <w:spacing w:after="0" w:line="240" w:lineRule="auto"/>
              <w:rPr>
                <w:rFonts w:ascii="Times New Roman" w:eastAsia="Times New Roman" w:hAnsi="Times New Roman" w:cs="Times New Roman"/>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7983F8CD"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56ECCFB3"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55E8F059"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64597CDE"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3366" w:type="dxa"/>
            <w:tcBorders>
              <w:top w:val="nil"/>
              <w:left w:val="nil"/>
              <w:bottom w:val="single" w:sz="8" w:space="0" w:color="FFFFFF"/>
              <w:right w:val="single" w:sz="8" w:space="0" w:color="FFFFFF"/>
            </w:tcBorders>
            <w:shd w:val="clear" w:color="000000" w:fill="B4C6E7"/>
            <w:vAlign w:val="center"/>
            <w:hideMark/>
          </w:tcPr>
          <w:p w14:paraId="58183820"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Prestaciones Póstumas</w:t>
            </w:r>
          </w:p>
        </w:tc>
      </w:tr>
      <w:tr w:rsidR="00646716" w:rsidRPr="00E90F9A" w14:paraId="7397543D" w14:textId="77777777" w:rsidTr="00A62D19">
        <w:trPr>
          <w:trHeight w:val="169"/>
        </w:trPr>
        <w:tc>
          <w:tcPr>
            <w:tcW w:w="561" w:type="dxa"/>
            <w:vMerge w:val="restart"/>
            <w:tcBorders>
              <w:top w:val="nil"/>
              <w:left w:val="single" w:sz="8" w:space="0" w:color="FFFFFF"/>
              <w:bottom w:val="single" w:sz="8" w:space="0" w:color="FFFFFF"/>
              <w:right w:val="single" w:sz="8" w:space="0" w:color="FFFFFF"/>
            </w:tcBorders>
            <w:shd w:val="clear" w:color="000000" w:fill="8496B0"/>
            <w:noWrap/>
            <w:vAlign w:val="center"/>
            <w:hideMark/>
          </w:tcPr>
          <w:p w14:paraId="627E7A1E" w14:textId="77777777" w:rsidR="00646716" w:rsidRPr="00207ABD" w:rsidRDefault="00646716" w:rsidP="00A62D19">
            <w:pPr>
              <w:spacing w:after="0" w:line="240" w:lineRule="auto"/>
              <w:jc w:val="center"/>
              <w:rPr>
                <w:rFonts w:ascii="Times New Roman" w:eastAsia="Times New Roman" w:hAnsi="Times New Roman" w:cs="Times New Roman"/>
                <w:color w:val="FFFFFF"/>
                <w:sz w:val="12"/>
                <w:szCs w:val="12"/>
                <w:lang w:eastAsia="es-GT"/>
              </w:rPr>
            </w:pPr>
            <w:r w:rsidRPr="00207ABD">
              <w:rPr>
                <w:rFonts w:ascii="Times New Roman" w:eastAsia="Times New Roman" w:hAnsi="Times New Roman" w:cs="Times New Roman"/>
                <w:color w:val="FFFFFF"/>
                <w:sz w:val="12"/>
                <w:szCs w:val="12"/>
                <w:lang w:eastAsia="es-GT"/>
              </w:rPr>
              <w:t>28</w:t>
            </w:r>
          </w:p>
        </w:tc>
        <w:tc>
          <w:tcPr>
            <w:tcW w:w="1699" w:type="dxa"/>
            <w:vMerge w:val="restart"/>
            <w:tcBorders>
              <w:top w:val="nil"/>
              <w:left w:val="single" w:sz="8" w:space="0" w:color="FFFFFF"/>
              <w:bottom w:val="single" w:sz="8" w:space="0" w:color="FFFFFF"/>
              <w:right w:val="single" w:sz="8" w:space="0" w:color="FFFFFF"/>
            </w:tcBorders>
            <w:shd w:val="clear" w:color="000000" w:fill="D9E2F3"/>
            <w:vAlign w:val="center"/>
            <w:hideMark/>
          </w:tcPr>
          <w:p w14:paraId="291FBCF2"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Otros gastos 2/</w:t>
            </w:r>
          </w:p>
        </w:tc>
        <w:tc>
          <w:tcPr>
            <w:tcW w:w="1045" w:type="dxa"/>
            <w:vMerge w:val="restart"/>
            <w:tcBorders>
              <w:top w:val="nil"/>
              <w:left w:val="single" w:sz="8" w:space="0" w:color="FFFFFF"/>
              <w:bottom w:val="single" w:sz="8" w:space="0" w:color="FFFFFF"/>
              <w:right w:val="single" w:sz="8" w:space="0" w:color="FFFFFF"/>
            </w:tcBorders>
            <w:shd w:val="clear" w:color="000000" w:fill="D9E2F3"/>
            <w:vAlign w:val="center"/>
            <w:hideMark/>
          </w:tcPr>
          <w:p w14:paraId="41A066E8"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1.5</w:t>
            </w:r>
          </w:p>
        </w:tc>
        <w:tc>
          <w:tcPr>
            <w:tcW w:w="1045" w:type="dxa"/>
            <w:vMerge w:val="restart"/>
            <w:tcBorders>
              <w:top w:val="nil"/>
              <w:left w:val="single" w:sz="8" w:space="0" w:color="FFFFFF"/>
              <w:bottom w:val="single" w:sz="8" w:space="0" w:color="FFFFFF"/>
              <w:right w:val="single" w:sz="8" w:space="0" w:color="FFFFFF"/>
            </w:tcBorders>
            <w:shd w:val="clear" w:color="000000" w:fill="D9E2F3"/>
            <w:vAlign w:val="center"/>
            <w:hideMark/>
          </w:tcPr>
          <w:p w14:paraId="4198A7B3"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4.9</w:t>
            </w:r>
          </w:p>
        </w:tc>
        <w:tc>
          <w:tcPr>
            <w:tcW w:w="795" w:type="dxa"/>
            <w:vMerge w:val="restart"/>
            <w:tcBorders>
              <w:top w:val="nil"/>
              <w:left w:val="single" w:sz="8" w:space="0" w:color="FFFFFF"/>
              <w:bottom w:val="single" w:sz="8" w:space="0" w:color="FFFFFF"/>
              <w:right w:val="single" w:sz="8" w:space="0" w:color="FFFFFF"/>
            </w:tcBorders>
            <w:shd w:val="clear" w:color="000000" w:fill="D9E2F3"/>
            <w:vAlign w:val="center"/>
            <w:hideMark/>
          </w:tcPr>
          <w:p w14:paraId="18665A91" w14:textId="77777777" w:rsidR="00646716" w:rsidRPr="00207ABD"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207ABD">
              <w:rPr>
                <w:rFonts w:ascii="Times New Roman" w:eastAsia="Times New Roman" w:hAnsi="Times New Roman" w:cs="Times New Roman"/>
                <w:color w:val="000000"/>
                <w:sz w:val="12"/>
                <w:szCs w:val="12"/>
                <w:lang w:eastAsia="es-GT"/>
              </w:rPr>
              <w:t>-3.4</w:t>
            </w:r>
          </w:p>
        </w:tc>
        <w:tc>
          <w:tcPr>
            <w:tcW w:w="3366" w:type="dxa"/>
            <w:tcBorders>
              <w:top w:val="nil"/>
              <w:left w:val="nil"/>
              <w:bottom w:val="nil"/>
              <w:right w:val="single" w:sz="8" w:space="0" w:color="FFFFFF"/>
            </w:tcBorders>
            <w:shd w:val="clear" w:color="000000" w:fill="D9E2F3"/>
            <w:vAlign w:val="center"/>
            <w:hideMark/>
          </w:tcPr>
          <w:p w14:paraId="29AD2CAB"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Inversión Real Directa y Financiera</w:t>
            </w:r>
          </w:p>
        </w:tc>
      </w:tr>
      <w:tr w:rsidR="00646716" w:rsidRPr="00E90F9A" w14:paraId="0235CD45" w14:textId="77777777" w:rsidTr="00A62D19">
        <w:trPr>
          <w:trHeight w:val="169"/>
        </w:trPr>
        <w:tc>
          <w:tcPr>
            <w:tcW w:w="561" w:type="dxa"/>
            <w:vMerge/>
            <w:tcBorders>
              <w:top w:val="nil"/>
              <w:left w:val="single" w:sz="8" w:space="0" w:color="FFFFFF"/>
              <w:bottom w:val="single" w:sz="8" w:space="0" w:color="FFFFFF"/>
              <w:right w:val="single" w:sz="8" w:space="0" w:color="FFFFFF"/>
            </w:tcBorders>
            <w:vAlign w:val="center"/>
            <w:hideMark/>
          </w:tcPr>
          <w:p w14:paraId="0F87AA3D" w14:textId="77777777" w:rsidR="00646716" w:rsidRPr="00207ABD" w:rsidRDefault="00646716" w:rsidP="00A62D19">
            <w:pPr>
              <w:spacing w:after="0" w:line="240" w:lineRule="auto"/>
              <w:rPr>
                <w:rFonts w:ascii="Times New Roman" w:eastAsia="Times New Roman" w:hAnsi="Times New Roman" w:cs="Times New Roman"/>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629AA639"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61E7BE28"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1277027D"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7AA735D8"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3366" w:type="dxa"/>
            <w:tcBorders>
              <w:top w:val="nil"/>
              <w:left w:val="nil"/>
              <w:bottom w:val="nil"/>
              <w:right w:val="single" w:sz="8" w:space="0" w:color="FFFFFF"/>
            </w:tcBorders>
            <w:shd w:val="clear" w:color="000000" w:fill="D9E2F3"/>
            <w:vAlign w:val="center"/>
            <w:hideMark/>
          </w:tcPr>
          <w:p w14:paraId="7BC9A7C3"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Arrendamiento de Tierra y Terrenos</w:t>
            </w:r>
          </w:p>
        </w:tc>
      </w:tr>
      <w:tr w:rsidR="00646716" w:rsidRPr="00E90F9A" w14:paraId="2BDB5F03" w14:textId="77777777" w:rsidTr="00A62D19">
        <w:trPr>
          <w:trHeight w:val="169"/>
        </w:trPr>
        <w:tc>
          <w:tcPr>
            <w:tcW w:w="561" w:type="dxa"/>
            <w:vMerge/>
            <w:tcBorders>
              <w:top w:val="nil"/>
              <w:left w:val="single" w:sz="8" w:space="0" w:color="FFFFFF"/>
              <w:bottom w:val="single" w:sz="8" w:space="0" w:color="FFFFFF"/>
              <w:right w:val="single" w:sz="8" w:space="0" w:color="FFFFFF"/>
            </w:tcBorders>
            <w:vAlign w:val="center"/>
            <w:hideMark/>
          </w:tcPr>
          <w:p w14:paraId="6510730E" w14:textId="77777777" w:rsidR="00646716" w:rsidRPr="00207ABD" w:rsidRDefault="00646716" w:rsidP="00A62D19">
            <w:pPr>
              <w:spacing w:after="0" w:line="240" w:lineRule="auto"/>
              <w:rPr>
                <w:rFonts w:ascii="Times New Roman" w:eastAsia="Times New Roman" w:hAnsi="Times New Roman" w:cs="Times New Roman"/>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431AD99F"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781B8B11"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53B2F101"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12D48783"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3366" w:type="dxa"/>
            <w:tcBorders>
              <w:top w:val="nil"/>
              <w:left w:val="nil"/>
              <w:bottom w:val="nil"/>
              <w:right w:val="single" w:sz="8" w:space="0" w:color="FFFFFF"/>
            </w:tcBorders>
            <w:shd w:val="clear" w:color="000000" w:fill="D9E2F3"/>
            <w:vAlign w:val="center"/>
            <w:hideMark/>
          </w:tcPr>
          <w:p w14:paraId="7E5F5F63"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Derechos sobre Bienes Intangibles</w:t>
            </w:r>
          </w:p>
        </w:tc>
      </w:tr>
      <w:tr w:rsidR="00646716" w:rsidRPr="00E90F9A" w14:paraId="778BBF0B" w14:textId="77777777" w:rsidTr="00A62D19">
        <w:trPr>
          <w:trHeight w:val="169"/>
        </w:trPr>
        <w:tc>
          <w:tcPr>
            <w:tcW w:w="561" w:type="dxa"/>
            <w:vMerge/>
            <w:tcBorders>
              <w:top w:val="nil"/>
              <w:left w:val="single" w:sz="8" w:space="0" w:color="FFFFFF"/>
              <w:bottom w:val="single" w:sz="8" w:space="0" w:color="FFFFFF"/>
              <w:right w:val="single" w:sz="8" w:space="0" w:color="FFFFFF"/>
            </w:tcBorders>
            <w:vAlign w:val="center"/>
            <w:hideMark/>
          </w:tcPr>
          <w:p w14:paraId="19D8CE48" w14:textId="77777777" w:rsidR="00646716" w:rsidRPr="00207ABD" w:rsidRDefault="00646716" w:rsidP="00A62D19">
            <w:pPr>
              <w:spacing w:after="0" w:line="240" w:lineRule="auto"/>
              <w:rPr>
                <w:rFonts w:ascii="Times New Roman" w:eastAsia="Times New Roman" w:hAnsi="Times New Roman" w:cs="Times New Roman"/>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2D6E71FB"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01176B27"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7A7656C9"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28EC4FE3"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3366" w:type="dxa"/>
            <w:tcBorders>
              <w:top w:val="nil"/>
              <w:left w:val="nil"/>
              <w:bottom w:val="nil"/>
              <w:right w:val="single" w:sz="8" w:space="0" w:color="FFFFFF"/>
            </w:tcBorders>
            <w:shd w:val="clear" w:color="000000" w:fill="D9E2F3"/>
            <w:vAlign w:val="center"/>
            <w:hideMark/>
          </w:tcPr>
          <w:p w14:paraId="0CC18804"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Otras Transferencias corrientes y capital</w:t>
            </w:r>
          </w:p>
        </w:tc>
      </w:tr>
      <w:tr w:rsidR="00646716" w:rsidRPr="00E90F9A" w14:paraId="37E5EA75" w14:textId="77777777" w:rsidTr="00A62D19">
        <w:trPr>
          <w:trHeight w:val="169"/>
        </w:trPr>
        <w:tc>
          <w:tcPr>
            <w:tcW w:w="561" w:type="dxa"/>
            <w:vMerge/>
            <w:tcBorders>
              <w:top w:val="nil"/>
              <w:left w:val="single" w:sz="8" w:space="0" w:color="FFFFFF"/>
              <w:bottom w:val="single" w:sz="8" w:space="0" w:color="FFFFFF"/>
              <w:right w:val="single" w:sz="8" w:space="0" w:color="FFFFFF"/>
            </w:tcBorders>
            <w:vAlign w:val="center"/>
            <w:hideMark/>
          </w:tcPr>
          <w:p w14:paraId="472CEEAC" w14:textId="77777777" w:rsidR="00646716" w:rsidRPr="00207ABD" w:rsidRDefault="00646716" w:rsidP="00A62D19">
            <w:pPr>
              <w:spacing w:after="0" w:line="240" w:lineRule="auto"/>
              <w:rPr>
                <w:rFonts w:ascii="Times New Roman" w:eastAsia="Times New Roman" w:hAnsi="Times New Roman" w:cs="Times New Roman"/>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21CD290F"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56ACDF7E"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4106C3B5"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3B8ED5EA"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3366" w:type="dxa"/>
            <w:tcBorders>
              <w:top w:val="nil"/>
              <w:left w:val="nil"/>
              <w:bottom w:val="nil"/>
              <w:right w:val="single" w:sz="8" w:space="0" w:color="FFFFFF"/>
            </w:tcBorders>
            <w:shd w:val="clear" w:color="000000" w:fill="D9E2F3"/>
            <w:vAlign w:val="center"/>
            <w:hideMark/>
          </w:tcPr>
          <w:p w14:paraId="71B13FB5"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Impuestos y Tasas</w:t>
            </w:r>
          </w:p>
        </w:tc>
      </w:tr>
      <w:tr w:rsidR="00646716" w:rsidRPr="00E90F9A" w14:paraId="413224A6" w14:textId="77777777" w:rsidTr="00A62D19">
        <w:trPr>
          <w:trHeight w:val="169"/>
        </w:trPr>
        <w:tc>
          <w:tcPr>
            <w:tcW w:w="561" w:type="dxa"/>
            <w:vMerge/>
            <w:tcBorders>
              <w:top w:val="nil"/>
              <w:left w:val="single" w:sz="8" w:space="0" w:color="FFFFFF"/>
              <w:bottom w:val="single" w:sz="8" w:space="0" w:color="FFFFFF"/>
              <w:right w:val="single" w:sz="8" w:space="0" w:color="FFFFFF"/>
            </w:tcBorders>
            <w:vAlign w:val="center"/>
            <w:hideMark/>
          </w:tcPr>
          <w:p w14:paraId="0A604CF8" w14:textId="77777777" w:rsidR="00646716" w:rsidRPr="00207ABD" w:rsidRDefault="00646716" w:rsidP="00A62D19">
            <w:pPr>
              <w:spacing w:after="0" w:line="240" w:lineRule="auto"/>
              <w:rPr>
                <w:rFonts w:ascii="Times New Roman" w:eastAsia="Times New Roman" w:hAnsi="Times New Roman" w:cs="Times New Roman"/>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2B757DFE"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556F4014"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27FA320F"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445F276A"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3366" w:type="dxa"/>
            <w:tcBorders>
              <w:top w:val="nil"/>
              <w:left w:val="nil"/>
              <w:bottom w:val="nil"/>
              <w:right w:val="single" w:sz="8" w:space="0" w:color="FFFFFF"/>
            </w:tcBorders>
            <w:shd w:val="clear" w:color="000000" w:fill="D9E2F3"/>
            <w:vAlign w:val="center"/>
            <w:hideMark/>
          </w:tcPr>
          <w:p w14:paraId="1177EFAB"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Devoluciones</w:t>
            </w:r>
          </w:p>
        </w:tc>
      </w:tr>
      <w:tr w:rsidR="00646716" w:rsidRPr="00E90F9A" w14:paraId="492568D9" w14:textId="77777777" w:rsidTr="00A62D19">
        <w:trPr>
          <w:trHeight w:val="169"/>
        </w:trPr>
        <w:tc>
          <w:tcPr>
            <w:tcW w:w="561" w:type="dxa"/>
            <w:vMerge/>
            <w:tcBorders>
              <w:top w:val="nil"/>
              <w:left w:val="single" w:sz="8" w:space="0" w:color="FFFFFF"/>
              <w:bottom w:val="single" w:sz="8" w:space="0" w:color="FFFFFF"/>
              <w:right w:val="single" w:sz="8" w:space="0" w:color="FFFFFF"/>
            </w:tcBorders>
            <w:vAlign w:val="center"/>
            <w:hideMark/>
          </w:tcPr>
          <w:p w14:paraId="3BB4D09E" w14:textId="77777777" w:rsidR="00646716" w:rsidRPr="00207ABD" w:rsidRDefault="00646716" w:rsidP="00A62D19">
            <w:pPr>
              <w:spacing w:after="0" w:line="240" w:lineRule="auto"/>
              <w:rPr>
                <w:rFonts w:ascii="Times New Roman" w:eastAsia="Times New Roman" w:hAnsi="Times New Roman" w:cs="Times New Roman"/>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22B40ED9"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70AA5F50"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53178103"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47BD4128"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3366" w:type="dxa"/>
            <w:tcBorders>
              <w:top w:val="nil"/>
              <w:left w:val="nil"/>
              <w:bottom w:val="nil"/>
              <w:right w:val="single" w:sz="8" w:space="0" w:color="FFFFFF"/>
            </w:tcBorders>
            <w:shd w:val="clear" w:color="000000" w:fill="D9E2F3"/>
            <w:vAlign w:val="center"/>
            <w:hideMark/>
          </w:tcPr>
          <w:p w14:paraId="4279790B"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Sentencias Judiciales</w:t>
            </w:r>
          </w:p>
        </w:tc>
      </w:tr>
      <w:tr w:rsidR="00646716" w:rsidRPr="00E90F9A" w14:paraId="3044B944" w14:textId="77777777" w:rsidTr="00A62D19">
        <w:trPr>
          <w:trHeight w:val="169"/>
        </w:trPr>
        <w:tc>
          <w:tcPr>
            <w:tcW w:w="561" w:type="dxa"/>
            <w:vMerge/>
            <w:tcBorders>
              <w:top w:val="nil"/>
              <w:left w:val="single" w:sz="8" w:space="0" w:color="FFFFFF"/>
              <w:bottom w:val="single" w:sz="8" w:space="0" w:color="FFFFFF"/>
              <w:right w:val="single" w:sz="8" w:space="0" w:color="FFFFFF"/>
            </w:tcBorders>
            <w:vAlign w:val="center"/>
            <w:hideMark/>
          </w:tcPr>
          <w:p w14:paraId="3B341C1B" w14:textId="77777777" w:rsidR="00646716" w:rsidRPr="00207ABD" w:rsidRDefault="00646716" w:rsidP="00A62D19">
            <w:pPr>
              <w:spacing w:after="0" w:line="240" w:lineRule="auto"/>
              <w:rPr>
                <w:rFonts w:ascii="Times New Roman" w:eastAsia="Times New Roman" w:hAnsi="Times New Roman" w:cs="Times New Roman"/>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59271864"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4BDF9356"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5B24305E"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16607618"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3366" w:type="dxa"/>
            <w:tcBorders>
              <w:top w:val="nil"/>
              <w:left w:val="nil"/>
              <w:bottom w:val="nil"/>
              <w:right w:val="single" w:sz="8" w:space="0" w:color="FFFFFF"/>
            </w:tcBorders>
            <w:shd w:val="clear" w:color="000000" w:fill="D9E2F3"/>
            <w:vAlign w:val="center"/>
            <w:hideMark/>
          </w:tcPr>
          <w:p w14:paraId="0D9F386F"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Gastos no previstos (totales)</w:t>
            </w:r>
          </w:p>
        </w:tc>
      </w:tr>
      <w:tr w:rsidR="00646716" w:rsidRPr="00E90F9A" w14:paraId="1915EB68" w14:textId="77777777" w:rsidTr="00A62D19">
        <w:trPr>
          <w:trHeight w:val="169"/>
        </w:trPr>
        <w:tc>
          <w:tcPr>
            <w:tcW w:w="561" w:type="dxa"/>
            <w:vMerge/>
            <w:tcBorders>
              <w:top w:val="nil"/>
              <w:left w:val="single" w:sz="8" w:space="0" w:color="FFFFFF"/>
              <w:bottom w:val="single" w:sz="8" w:space="0" w:color="FFFFFF"/>
              <w:right w:val="single" w:sz="8" w:space="0" w:color="FFFFFF"/>
            </w:tcBorders>
            <w:vAlign w:val="center"/>
            <w:hideMark/>
          </w:tcPr>
          <w:p w14:paraId="57842F5B" w14:textId="77777777" w:rsidR="00646716" w:rsidRPr="00207ABD" w:rsidRDefault="00646716" w:rsidP="00A62D19">
            <w:pPr>
              <w:spacing w:after="0" w:line="240" w:lineRule="auto"/>
              <w:rPr>
                <w:rFonts w:ascii="Times New Roman" w:eastAsia="Times New Roman" w:hAnsi="Times New Roman" w:cs="Times New Roman"/>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0519A51B"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43DFB7A1"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78946584"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70076479"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3366" w:type="dxa"/>
            <w:tcBorders>
              <w:top w:val="nil"/>
              <w:left w:val="nil"/>
              <w:bottom w:val="nil"/>
              <w:right w:val="single" w:sz="8" w:space="0" w:color="FFFFFF"/>
            </w:tcBorders>
            <w:shd w:val="clear" w:color="000000" w:fill="D9E2F3"/>
            <w:vAlign w:val="center"/>
            <w:hideMark/>
          </w:tcPr>
          <w:p w14:paraId="66A668F8"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Ayuda a Funerales</w:t>
            </w:r>
          </w:p>
        </w:tc>
      </w:tr>
      <w:tr w:rsidR="00646716" w:rsidRPr="00E90F9A" w14:paraId="0D813416" w14:textId="77777777" w:rsidTr="00A62D19">
        <w:trPr>
          <w:trHeight w:val="177"/>
        </w:trPr>
        <w:tc>
          <w:tcPr>
            <w:tcW w:w="561" w:type="dxa"/>
            <w:vMerge/>
            <w:tcBorders>
              <w:top w:val="nil"/>
              <w:left w:val="single" w:sz="8" w:space="0" w:color="FFFFFF"/>
              <w:bottom w:val="single" w:sz="8" w:space="0" w:color="FFFFFF"/>
              <w:right w:val="single" w:sz="8" w:space="0" w:color="FFFFFF"/>
            </w:tcBorders>
            <w:vAlign w:val="center"/>
            <w:hideMark/>
          </w:tcPr>
          <w:p w14:paraId="78F4AB2D" w14:textId="77777777" w:rsidR="00646716" w:rsidRPr="00207ABD" w:rsidRDefault="00646716" w:rsidP="00A62D19">
            <w:pPr>
              <w:spacing w:after="0" w:line="240" w:lineRule="auto"/>
              <w:rPr>
                <w:rFonts w:ascii="Times New Roman" w:eastAsia="Times New Roman" w:hAnsi="Times New Roman" w:cs="Times New Roman"/>
                <w:color w:val="FFFFFF"/>
                <w:sz w:val="12"/>
                <w:szCs w:val="12"/>
                <w:lang w:eastAsia="es-GT"/>
              </w:rPr>
            </w:pPr>
          </w:p>
        </w:tc>
        <w:tc>
          <w:tcPr>
            <w:tcW w:w="1699" w:type="dxa"/>
            <w:vMerge/>
            <w:tcBorders>
              <w:top w:val="nil"/>
              <w:left w:val="single" w:sz="8" w:space="0" w:color="FFFFFF"/>
              <w:bottom w:val="single" w:sz="8" w:space="0" w:color="FFFFFF"/>
              <w:right w:val="single" w:sz="8" w:space="0" w:color="FFFFFF"/>
            </w:tcBorders>
            <w:vAlign w:val="center"/>
            <w:hideMark/>
          </w:tcPr>
          <w:p w14:paraId="5D57D89A"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0E1D8482"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45" w:type="dxa"/>
            <w:vMerge/>
            <w:tcBorders>
              <w:top w:val="nil"/>
              <w:left w:val="single" w:sz="8" w:space="0" w:color="FFFFFF"/>
              <w:bottom w:val="single" w:sz="8" w:space="0" w:color="FFFFFF"/>
              <w:right w:val="single" w:sz="8" w:space="0" w:color="FFFFFF"/>
            </w:tcBorders>
            <w:vAlign w:val="center"/>
            <w:hideMark/>
          </w:tcPr>
          <w:p w14:paraId="1D712CAC"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795" w:type="dxa"/>
            <w:vMerge/>
            <w:tcBorders>
              <w:top w:val="nil"/>
              <w:left w:val="single" w:sz="8" w:space="0" w:color="FFFFFF"/>
              <w:bottom w:val="single" w:sz="8" w:space="0" w:color="FFFFFF"/>
              <w:right w:val="single" w:sz="8" w:space="0" w:color="FFFFFF"/>
            </w:tcBorders>
            <w:vAlign w:val="center"/>
            <w:hideMark/>
          </w:tcPr>
          <w:p w14:paraId="19CB73DD" w14:textId="77777777" w:rsidR="00646716" w:rsidRPr="00207ABD"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3366" w:type="dxa"/>
            <w:tcBorders>
              <w:top w:val="nil"/>
              <w:left w:val="nil"/>
              <w:bottom w:val="single" w:sz="8" w:space="0" w:color="FFFFFF"/>
              <w:right w:val="single" w:sz="8" w:space="0" w:color="FFFFFF"/>
            </w:tcBorders>
            <w:shd w:val="clear" w:color="000000" w:fill="D9E2F3"/>
            <w:vAlign w:val="center"/>
            <w:hideMark/>
          </w:tcPr>
          <w:p w14:paraId="2D28B3A9"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Prestaciones Póstumas</w:t>
            </w:r>
          </w:p>
        </w:tc>
      </w:tr>
      <w:tr w:rsidR="00646716" w:rsidRPr="00E90F9A" w14:paraId="7888A08E" w14:textId="77777777" w:rsidTr="00A62D19">
        <w:trPr>
          <w:trHeight w:val="169"/>
        </w:trPr>
        <w:tc>
          <w:tcPr>
            <w:tcW w:w="561" w:type="dxa"/>
            <w:tcBorders>
              <w:top w:val="nil"/>
              <w:left w:val="single" w:sz="8" w:space="0" w:color="FFFFFF"/>
              <w:bottom w:val="nil"/>
              <w:right w:val="single" w:sz="8" w:space="0" w:color="FFFFFF"/>
            </w:tcBorders>
            <w:shd w:val="clear" w:color="000000" w:fill="8496B0"/>
            <w:noWrap/>
            <w:vAlign w:val="center"/>
            <w:hideMark/>
          </w:tcPr>
          <w:p w14:paraId="30B7F3BB" w14:textId="77777777" w:rsidR="00646716" w:rsidRPr="00207ABD" w:rsidRDefault="00646716" w:rsidP="00A62D19">
            <w:pPr>
              <w:spacing w:after="0" w:line="240" w:lineRule="auto"/>
              <w:jc w:val="center"/>
              <w:rPr>
                <w:rFonts w:ascii="Times New Roman" w:eastAsia="Times New Roman" w:hAnsi="Times New Roman" w:cs="Times New Roman"/>
                <w:b/>
                <w:bCs/>
                <w:color w:val="FFFFFF"/>
                <w:sz w:val="12"/>
                <w:szCs w:val="12"/>
                <w:lang w:eastAsia="es-GT"/>
              </w:rPr>
            </w:pPr>
            <w:r w:rsidRPr="00207ABD">
              <w:rPr>
                <w:rFonts w:ascii="Times New Roman" w:eastAsia="Times New Roman" w:hAnsi="Times New Roman" w:cs="Times New Roman"/>
                <w:b/>
                <w:bCs/>
                <w:color w:val="FFFFFF"/>
                <w:sz w:val="12"/>
                <w:szCs w:val="12"/>
                <w:lang w:eastAsia="es-GT"/>
              </w:rPr>
              <w:t>NOB</w:t>
            </w:r>
          </w:p>
        </w:tc>
        <w:tc>
          <w:tcPr>
            <w:tcW w:w="1699" w:type="dxa"/>
            <w:tcBorders>
              <w:top w:val="nil"/>
              <w:left w:val="nil"/>
              <w:bottom w:val="nil"/>
              <w:right w:val="single" w:sz="8" w:space="0" w:color="FFFFFF"/>
            </w:tcBorders>
            <w:shd w:val="clear" w:color="000000" w:fill="B4C6E7"/>
            <w:vAlign w:val="center"/>
            <w:hideMark/>
          </w:tcPr>
          <w:p w14:paraId="1C0E0834" w14:textId="77777777" w:rsidR="00646716" w:rsidRPr="00207ABD" w:rsidRDefault="00646716" w:rsidP="00A62D19">
            <w:pPr>
              <w:spacing w:after="0" w:line="240" w:lineRule="auto"/>
              <w:rPr>
                <w:rFonts w:ascii="Times New Roman" w:eastAsia="Times New Roman" w:hAnsi="Times New Roman" w:cs="Times New Roman"/>
                <w:b/>
                <w:bCs/>
                <w:color w:val="000000"/>
                <w:sz w:val="12"/>
                <w:szCs w:val="12"/>
                <w:lang w:eastAsia="es-GT"/>
              </w:rPr>
            </w:pPr>
            <w:r w:rsidRPr="00207ABD">
              <w:rPr>
                <w:rFonts w:ascii="Times New Roman" w:eastAsia="Times New Roman" w:hAnsi="Times New Roman" w:cs="Times New Roman"/>
                <w:b/>
                <w:bCs/>
                <w:color w:val="000000"/>
                <w:sz w:val="12"/>
                <w:szCs w:val="12"/>
                <w:lang w:eastAsia="es-GT"/>
              </w:rPr>
              <w:t>Resultado Operativo Neto (1-2)</w:t>
            </w:r>
          </w:p>
        </w:tc>
        <w:tc>
          <w:tcPr>
            <w:tcW w:w="1045" w:type="dxa"/>
            <w:tcBorders>
              <w:top w:val="nil"/>
              <w:left w:val="nil"/>
              <w:bottom w:val="nil"/>
              <w:right w:val="single" w:sz="8" w:space="0" w:color="FFFFFF"/>
            </w:tcBorders>
            <w:shd w:val="clear" w:color="000000" w:fill="B4C6E7"/>
            <w:vAlign w:val="center"/>
            <w:hideMark/>
          </w:tcPr>
          <w:p w14:paraId="615D805D" w14:textId="77777777" w:rsidR="00646716" w:rsidRPr="00207ABD" w:rsidRDefault="00646716" w:rsidP="00A62D19">
            <w:pPr>
              <w:spacing w:after="0" w:line="240" w:lineRule="auto"/>
              <w:jc w:val="center"/>
              <w:rPr>
                <w:rFonts w:ascii="Times New Roman" w:eastAsia="Times New Roman" w:hAnsi="Times New Roman" w:cs="Times New Roman"/>
                <w:b/>
                <w:bCs/>
                <w:color w:val="000000"/>
                <w:sz w:val="12"/>
                <w:szCs w:val="12"/>
                <w:lang w:eastAsia="es-GT"/>
              </w:rPr>
            </w:pPr>
            <w:r w:rsidRPr="00207ABD">
              <w:rPr>
                <w:rFonts w:ascii="Times New Roman" w:eastAsia="Times New Roman" w:hAnsi="Times New Roman" w:cs="Times New Roman"/>
                <w:b/>
                <w:bCs/>
                <w:color w:val="000000"/>
                <w:sz w:val="12"/>
                <w:szCs w:val="12"/>
                <w:lang w:eastAsia="es-GT"/>
              </w:rPr>
              <w:t>-3.9</w:t>
            </w:r>
          </w:p>
        </w:tc>
        <w:tc>
          <w:tcPr>
            <w:tcW w:w="1045" w:type="dxa"/>
            <w:tcBorders>
              <w:top w:val="nil"/>
              <w:left w:val="nil"/>
              <w:bottom w:val="nil"/>
              <w:right w:val="single" w:sz="8" w:space="0" w:color="FFFFFF"/>
            </w:tcBorders>
            <w:shd w:val="clear" w:color="000000" w:fill="B4C6E7"/>
            <w:vAlign w:val="center"/>
            <w:hideMark/>
          </w:tcPr>
          <w:p w14:paraId="5B1268F1" w14:textId="77777777" w:rsidR="00646716" w:rsidRPr="00207ABD" w:rsidRDefault="00646716" w:rsidP="00A62D19">
            <w:pPr>
              <w:spacing w:after="0" w:line="240" w:lineRule="auto"/>
              <w:jc w:val="center"/>
              <w:rPr>
                <w:rFonts w:ascii="Times New Roman" w:eastAsia="Times New Roman" w:hAnsi="Times New Roman" w:cs="Times New Roman"/>
                <w:b/>
                <w:bCs/>
                <w:color w:val="000000"/>
                <w:sz w:val="12"/>
                <w:szCs w:val="12"/>
                <w:lang w:eastAsia="es-GT"/>
              </w:rPr>
            </w:pPr>
            <w:r w:rsidRPr="00207ABD">
              <w:rPr>
                <w:rFonts w:ascii="Times New Roman" w:eastAsia="Times New Roman" w:hAnsi="Times New Roman" w:cs="Times New Roman"/>
                <w:b/>
                <w:bCs/>
                <w:color w:val="000000"/>
                <w:sz w:val="12"/>
                <w:szCs w:val="12"/>
                <w:lang w:eastAsia="es-GT"/>
              </w:rPr>
              <w:t>-4.9</w:t>
            </w:r>
          </w:p>
        </w:tc>
        <w:tc>
          <w:tcPr>
            <w:tcW w:w="795" w:type="dxa"/>
            <w:tcBorders>
              <w:top w:val="nil"/>
              <w:left w:val="nil"/>
              <w:bottom w:val="nil"/>
              <w:right w:val="single" w:sz="8" w:space="0" w:color="FFFFFF"/>
            </w:tcBorders>
            <w:shd w:val="clear" w:color="000000" w:fill="B4C6E7"/>
            <w:vAlign w:val="center"/>
            <w:hideMark/>
          </w:tcPr>
          <w:p w14:paraId="6C50DABC" w14:textId="77777777" w:rsidR="00646716" w:rsidRPr="00207ABD" w:rsidRDefault="00646716" w:rsidP="00A62D19">
            <w:pPr>
              <w:spacing w:after="0" w:line="240" w:lineRule="auto"/>
              <w:jc w:val="center"/>
              <w:rPr>
                <w:rFonts w:ascii="Times New Roman" w:eastAsia="Times New Roman" w:hAnsi="Times New Roman" w:cs="Times New Roman"/>
                <w:b/>
                <w:bCs/>
                <w:color w:val="000000"/>
                <w:sz w:val="12"/>
                <w:szCs w:val="12"/>
                <w:lang w:eastAsia="es-GT"/>
              </w:rPr>
            </w:pPr>
            <w:r w:rsidRPr="00207ABD">
              <w:rPr>
                <w:rFonts w:ascii="Times New Roman" w:eastAsia="Times New Roman" w:hAnsi="Times New Roman" w:cs="Times New Roman"/>
                <w:b/>
                <w:bCs/>
                <w:color w:val="000000"/>
                <w:sz w:val="12"/>
                <w:szCs w:val="12"/>
                <w:lang w:eastAsia="es-GT"/>
              </w:rPr>
              <w:t>1.0</w:t>
            </w:r>
          </w:p>
        </w:tc>
        <w:tc>
          <w:tcPr>
            <w:tcW w:w="3366" w:type="dxa"/>
            <w:tcBorders>
              <w:top w:val="nil"/>
              <w:left w:val="nil"/>
              <w:bottom w:val="nil"/>
              <w:right w:val="single" w:sz="8" w:space="0" w:color="FFFFFF"/>
            </w:tcBorders>
            <w:shd w:val="clear" w:color="000000" w:fill="B4C6E7"/>
            <w:vAlign w:val="center"/>
            <w:hideMark/>
          </w:tcPr>
          <w:p w14:paraId="74E461CB" w14:textId="77777777" w:rsidR="00646716" w:rsidRPr="00207ABD" w:rsidRDefault="00646716" w:rsidP="00A62D19">
            <w:pPr>
              <w:spacing w:after="0" w:line="240" w:lineRule="auto"/>
              <w:rPr>
                <w:rFonts w:ascii="Times New Roman" w:eastAsia="Times New Roman" w:hAnsi="Times New Roman" w:cs="Times New Roman"/>
                <w:i/>
                <w:iCs/>
                <w:color w:val="000000"/>
                <w:sz w:val="10"/>
                <w:szCs w:val="10"/>
                <w:lang w:eastAsia="es-GT"/>
              </w:rPr>
            </w:pPr>
            <w:r w:rsidRPr="00207ABD">
              <w:rPr>
                <w:rFonts w:ascii="Times New Roman" w:eastAsia="Times New Roman" w:hAnsi="Times New Roman" w:cs="Times New Roman"/>
                <w:i/>
                <w:iCs/>
                <w:color w:val="000000"/>
                <w:sz w:val="10"/>
                <w:szCs w:val="10"/>
                <w:lang w:eastAsia="es-GT"/>
              </w:rPr>
              <w:t> </w:t>
            </w:r>
          </w:p>
        </w:tc>
      </w:tr>
    </w:tbl>
    <w:p w14:paraId="2C845283" w14:textId="77777777" w:rsidR="00646716" w:rsidRPr="00EF6DEA" w:rsidRDefault="00646716" w:rsidP="00646716">
      <w:pPr>
        <w:pStyle w:val="Sinespaciado"/>
        <w:ind w:left="1134"/>
        <w:jc w:val="both"/>
        <w:rPr>
          <w:rFonts w:ascii="Times New Roman" w:hAnsi="Times New Roman" w:cs="Times New Roman"/>
          <w:sz w:val="16"/>
        </w:rPr>
      </w:pPr>
    </w:p>
    <w:p w14:paraId="6B5E26DB" w14:textId="77777777" w:rsidR="00646716" w:rsidRDefault="00646716" w:rsidP="00646716">
      <w:pPr>
        <w:pStyle w:val="Sinespaciado"/>
        <w:jc w:val="both"/>
        <w:rPr>
          <w:rFonts w:ascii="Times New Roman" w:hAnsi="Times New Roman" w:cs="Times New Roman"/>
          <w:sz w:val="16"/>
        </w:rPr>
      </w:pPr>
    </w:p>
    <w:tbl>
      <w:tblPr>
        <w:tblW w:w="8791" w:type="dxa"/>
        <w:tblCellMar>
          <w:left w:w="70" w:type="dxa"/>
          <w:right w:w="70" w:type="dxa"/>
        </w:tblCellMar>
        <w:tblLook w:val="04A0" w:firstRow="1" w:lastRow="0" w:firstColumn="1" w:lastColumn="0" w:noHBand="0" w:noVBand="1"/>
      </w:tblPr>
      <w:tblGrid>
        <w:gridCol w:w="580"/>
        <w:gridCol w:w="1755"/>
        <w:gridCol w:w="1079"/>
        <w:gridCol w:w="1079"/>
        <w:gridCol w:w="822"/>
        <w:gridCol w:w="3476"/>
      </w:tblGrid>
      <w:tr w:rsidR="00646716" w:rsidRPr="00E90F9A" w14:paraId="0B825F06" w14:textId="77777777" w:rsidTr="00A62D19">
        <w:trPr>
          <w:trHeight w:val="334"/>
        </w:trPr>
        <w:tc>
          <w:tcPr>
            <w:tcW w:w="580" w:type="dxa"/>
            <w:tcBorders>
              <w:top w:val="single" w:sz="8" w:space="0" w:color="FFFFFF"/>
              <w:left w:val="single" w:sz="8" w:space="0" w:color="FFFFFF"/>
              <w:bottom w:val="single" w:sz="8" w:space="0" w:color="FFFFFF"/>
              <w:right w:val="single" w:sz="8" w:space="0" w:color="FFFFFF"/>
            </w:tcBorders>
            <w:shd w:val="clear" w:color="000000" w:fill="44546A"/>
            <w:vAlign w:val="center"/>
            <w:hideMark/>
          </w:tcPr>
          <w:p w14:paraId="16059367" w14:textId="77777777" w:rsidR="00646716" w:rsidRPr="00E90F9A" w:rsidRDefault="00646716" w:rsidP="00A62D19">
            <w:pPr>
              <w:spacing w:after="0" w:line="240" w:lineRule="auto"/>
              <w:jc w:val="center"/>
              <w:rPr>
                <w:rFonts w:ascii="Times New Roman" w:eastAsia="Times New Roman" w:hAnsi="Times New Roman" w:cs="Times New Roman"/>
                <w:b/>
                <w:bCs/>
                <w:color w:val="FFFFFF"/>
                <w:sz w:val="14"/>
                <w:szCs w:val="14"/>
                <w:lang w:eastAsia="es-GT"/>
              </w:rPr>
            </w:pPr>
            <w:r w:rsidRPr="00E90F9A">
              <w:rPr>
                <w:rFonts w:ascii="Times New Roman" w:eastAsia="Times New Roman" w:hAnsi="Times New Roman" w:cs="Times New Roman"/>
                <w:b/>
                <w:bCs/>
                <w:color w:val="FFFFFF"/>
                <w:sz w:val="14"/>
                <w:szCs w:val="14"/>
                <w:lang w:eastAsia="es-GT"/>
              </w:rPr>
              <w:t>Código MEFP</w:t>
            </w:r>
          </w:p>
        </w:tc>
        <w:tc>
          <w:tcPr>
            <w:tcW w:w="1755" w:type="dxa"/>
            <w:tcBorders>
              <w:top w:val="single" w:sz="8" w:space="0" w:color="FFFFFF"/>
              <w:left w:val="nil"/>
              <w:bottom w:val="single" w:sz="8" w:space="0" w:color="FFFFFF"/>
              <w:right w:val="single" w:sz="8" w:space="0" w:color="FFFFFF"/>
            </w:tcBorders>
            <w:shd w:val="clear" w:color="000000" w:fill="44546A"/>
            <w:vAlign w:val="center"/>
            <w:hideMark/>
          </w:tcPr>
          <w:p w14:paraId="6EF482FF" w14:textId="77777777" w:rsidR="00646716" w:rsidRPr="00E90F9A" w:rsidRDefault="00646716" w:rsidP="00A62D19">
            <w:pPr>
              <w:spacing w:after="0" w:line="240" w:lineRule="auto"/>
              <w:jc w:val="center"/>
              <w:rPr>
                <w:rFonts w:ascii="Times New Roman" w:eastAsia="Times New Roman" w:hAnsi="Times New Roman" w:cs="Times New Roman"/>
                <w:b/>
                <w:bCs/>
                <w:color w:val="FFFFFF"/>
                <w:sz w:val="14"/>
                <w:szCs w:val="14"/>
                <w:lang w:eastAsia="es-GT"/>
              </w:rPr>
            </w:pPr>
            <w:r w:rsidRPr="00E90F9A">
              <w:rPr>
                <w:rFonts w:ascii="Times New Roman" w:eastAsia="Times New Roman" w:hAnsi="Times New Roman" w:cs="Times New Roman"/>
                <w:b/>
                <w:bCs/>
                <w:color w:val="FFFFFF"/>
                <w:sz w:val="14"/>
                <w:szCs w:val="14"/>
                <w:lang w:eastAsia="es-GT"/>
              </w:rPr>
              <w:t>Descripción</w:t>
            </w:r>
          </w:p>
        </w:tc>
        <w:tc>
          <w:tcPr>
            <w:tcW w:w="1079" w:type="dxa"/>
            <w:tcBorders>
              <w:top w:val="single" w:sz="8" w:space="0" w:color="FFFFFF"/>
              <w:left w:val="nil"/>
              <w:bottom w:val="single" w:sz="8" w:space="0" w:color="FFFFFF"/>
              <w:right w:val="single" w:sz="8" w:space="0" w:color="FFFFFF"/>
            </w:tcBorders>
            <w:shd w:val="clear" w:color="000000" w:fill="44546A"/>
            <w:vAlign w:val="center"/>
            <w:hideMark/>
          </w:tcPr>
          <w:p w14:paraId="355273C3" w14:textId="77777777" w:rsidR="00646716" w:rsidRPr="00E90F9A" w:rsidRDefault="00646716" w:rsidP="00A62D19">
            <w:pPr>
              <w:spacing w:after="0" w:line="240" w:lineRule="auto"/>
              <w:jc w:val="center"/>
              <w:rPr>
                <w:rFonts w:ascii="Times New Roman" w:eastAsia="Times New Roman" w:hAnsi="Times New Roman" w:cs="Times New Roman"/>
                <w:b/>
                <w:bCs/>
                <w:color w:val="FFFFFF"/>
                <w:sz w:val="14"/>
                <w:szCs w:val="14"/>
                <w:lang w:eastAsia="es-GT"/>
              </w:rPr>
            </w:pPr>
            <w:r w:rsidRPr="00E90F9A">
              <w:rPr>
                <w:rFonts w:ascii="Times New Roman" w:eastAsia="Times New Roman" w:hAnsi="Times New Roman" w:cs="Times New Roman"/>
                <w:b/>
                <w:bCs/>
                <w:color w:val="FFFFFF"/>
                <w:sz w:val="14"/>
                <w:szCs w:val="14"/>
                <w:lang w:eastAsia="es-GT"/>
              </w:rPr>
              <w:t>Metodología MFP2014</w:t>
            </w:r>
          </w:p>
        </w:tc>
        <w:tc>
          <w:tcPr>
            <w:tcW w:w="1079" w:type="dxa"/>
            <w:tcBorders>
              <w:top w:val="single" w:sz="8" w:space="0" w:color="FFFFFF"/>
              <w:left w:val="nil"/>
              <w:bottom w:val="single" w:sz="8" w:space="0" w:color="FFFFFF"/>
              <w:right w:val="single" w:sz="8" w:space="0" w:color="FFFFFF"/>
            </w:tcBorders>
            <w:shd w:val="clear" w:color="000000" w:fill="44546A"/>
            <w:vAlign w:val="center"/>
            <w:hideMark/>
          </w:tcPr>
          <w:p w14:paraId="372FD4E2" w14:textId="77777777" w:rsidR="00646716" w:rsidRPr="00E90F9A" w:rsidRDefault="00646716" w:rsidP="00A62D19">
            <w:pPr>
              <w:spacing w:after="0" w:line="240" w:lineRule="auto"/>
              <w:jc w:val="center"/>
              <w:rPr>
                <w:rFonts w:ascii="Times New Roman" w:eastAsia="Times New Roman" w:hAnsi="Times New Roman" w:cs="Times New Roman"/>
                <w:b/>
                <w:bCs/>
                <w:color w:val="FFFFFF"/>
                <w:sz w:val="14"/>
                <w:szCs w:val="14"/>
                <w:lang w:eastAsia="es-GT"/>
              </w:rPr>
            </w:pPr>
            <w:r w:rsidRPr="00E90F9A">
              <w:rPr>
                <w:rFonts w:ascii="Times New Roman" w:eastAsia="Times New Roman" w:hAnsi="Times New Roman" w:cs="Times New Roman"/>
                <w:b/>
                <w:bCs/>
                <w:color w:val="FFFFFF"/>
                <w:sz w:val="14"/>
                <w:szCs w:val="14"/>
                <w:lang w:eastAsia="es-GT"/>
              </w:rPr>
              <w:t>Metodología nacional</w:t>
            </w:r>
          </w:p>
        </w:tc>
        <w:tc>
          <w:tcPr>
            <w:tcW w:w="822" w:type="dxa"/>
            <w:tcBorders>
              <w:top w:val="single" w:sz="8" w:space="0" w:color="FFFFFF"/>
              <w:left w:val="nil"/>
              <w:bottom w:val="single" w:sz="8" w:space="0" w:color="FFFFFF"/>
              <w:right w:val="single" w:sz="8" w:space="0" w:color="FFFFFF"/>
            </w:tcBorders>
            <w:shd w:val="clear" w:color="000000" w:fill="44546A"/>
            <w:vAlign w:val="center"/>
            <w:hideMark/>
          </w:tcPr>
          <w:p w14:paraId="4106C229" w14:textId="77777777" w:rsidR="00646716" w:rsidRPr="00E90F9A" w:rsidRDefault="00646716" w:rsidP="00A62D19">
            <w:pPr>
              <w:spacing w:after="0" w:line="240" w:lineRule="auto"/>
              <w:jc w:val="center"/>
              <w:rPr>
                <w:rFonts w:ascii="Times New Roman" w:eastAsia="Times New Roman" w:hAnsi="Times New Roman" w:cs="Times New Roman"/>
                <w:b/>
                <w:bCs/>
                <w:color w:val="FFFFFF"/>
                <w:sz w:val="14"/>
                <w:szCs w:val="14"/>
                <w:lang w:eastAsia="es-GT"/>
              </w:rPr>
            </w:pPr>
            <w:r w:rsidRPr="00E90F9A">
              <w:rPr>
                <w:rFonts w:ascii="Times New Roman" w:eastAsia="Times New Roman" w:hAnsi="Times New Roman" w:cs="Times New Roman"/>
                <w:b/>
                <w:bCs/>
                <w:color w:val="FFFFFF"/>
                <w:sz w:val="14"/>
                <w:szCs w:val="14"/>
                <w:lang w:eastAsia="es-GT"/>
              </w:rPr>
              <w:t>Diferencia</w:t>
            </w:r>
          </w:p>
        </w:tc>
        <w:tc>
          <w:tcPr>
            <w:tcW w:w="3473" w:type="dxa"/>
            <w:tcBorders>
              <w:top w:val="single" w:sz="8" w:space="0" w:color="FFFFFF"/>
              <w:left w:val="nil"/>
              <w:bottom w:val="single" w:sz="8" w:space="0" w:color="FFFFFF"/>
              <w:right w:val="single" w:sz="8" w:space="0" w:color="FFFFFF"/>
            </w:tcBorders>
            <w:shd w:val="clear" w:color="000000" w:fill="44546A"/>
            <w:vAlign w:val="center"/>
            <w:hideMark/>
          </w:tcPr>
          <w:p w14:paraId="3B53737D" w14:textId="77777777" w:rsidR="00646716" w:rsidRPr="00E90F9A" w:rsidRDefault="00646716" w:rsidP="00A62D19">
            <w:pPr>
              <w:spacing w:after="0" w:line="240" w:lineRule="auto"/>
              <w:jc w:val="center"/>
              <w:rPr>
                <w:rFonts w:ascii="Times New Roman" w:eastAsia="Times New Roman" w:hAnsi="Times New Roman" w:cs="Times New Roman"/>
                <w:b/>
                <w:bCs/>
                <w:color w:val="FFFFFF"/>
                <w:sz w:val="14"/>
                <w:szCs w:val="14"/>
                <w:lang w:eastAsia="es-GT"/>
              </w:rPr>
            </w:pPr>
            <w:r w:rsidRPr="00E90F9A">
              <w:rPr>
                <w:rFonts w:ascii="Times New Roman" w:eastAsia="Times New Roman" w:hAnsi="Times New Roman" w:cs="Times New Roman"/>
                <w:b/>
                <w:bCs/>
                <w:color w:val="FFFFFF"/>
                <w:sz w:val="14"/>
                <w:szCs w:val="14"/>
                <w:lang w:eastAsia="es-GT"/>
              </w:rPr>
              <w:t>Explicación de diferencia</w:t>
            </w:r>
          </w:p>
        </w:tc>
      </w:tr>
      <w:tr w:rsidR="00646716" w:rsidRPr="00E90F9A" w14:paraId="21378915" w14:textId="77777777" w:rsidTr="00A62D19">
        <w:trPr>
          <w:trHeight w:val="229"/>
        </w:trPr>
        <w:tc>
          <w:tcPr>
            <w:tcW w:w="8791" w:type="dxa"/>
            <w:gridSpan w:val="6"/>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3843024" w14:textId="77777777" w:rsidR="00646716" w:rsidRPr="00E90F9A" w:rsidRDefault="00646716" w:rsidP="00A62D19">
            <w:pPr>
              <w:spacing w:after="0" w:line="240" w:lineRule="auto"/>
              <w:jc w:val="center"/>
              <w:rPr>
                <w:rFonts w:ascii="Times New Roman" w:eastAsia="Times New Roman" w:hAnsi="Times New Roman" w:cs="Times New Roman"/>
                <w:b/>
                <w:bCs/>
                <w:color w:val="000000"/>
                <w:sz w:val="16"/>
                <w:szCs w:val="16"/>
                <w:lang w:eastAsia="es-GT"/>
              </w:rPr>
            </w:pPr>
            <w:r w:rsidRPr="00E90F9A">
              <w:rPr>
                <w:rFonts w:ascii="Times New Roman" w:eastAsia="Times New Roman" w:hAnsi="Times New Roman" w:cs="Times New Roman"/>
                <w:b/>
                <w:bCs/>
                <w:color w:val="000000"/>
                <w:sz w:val="16"/>
                <w:szCs w:val="16"/>
                <w:lang w:eastAsia="es-GT"/>
              </w:rPr>
              <w:t>Transacciones en activos no financieros 3/</w:t>
            </w:r>
          </w:p>
        </w:tc>
      </w:tr>
      <w:tr w:rsidR="00646716" w:rsidRPr="00E90F9A" w14:paraId="4912CD63" w14:textId="77777777" w:rsidTr="00A62D19">
        <w:trPr>
          <w:trHeight w:val="258"/>
        </w:trPr>
        <w:tc>
          <w:tcPr>
            <w:tcW w:w="580" w:type="dxa"/>
            <w:tcBorders>
              <w:top w:val="nil"/>
              <w:left w:val="single" w:sz="8" w:space="0" w:color="FFFFFF"/>
              <w:bottom w:val="single" w:sz="8" w:space="0" w:color="FFFFFF"/>
              <w:right w:val="single" w:sz="8" w:space="0" w:color="FFFFFF"/>
            </w:tcBorders>
            <w:shd w:val="clear" w:color="000000" w:fill="8496B0"/>
            <w:noWrap/>
            <w:vAlign w:val="center"/>
            <w:hideMark/>
          </w:tcPr>
          <w:p w14:paraId="6A92A05A" w14:textId="77777777" w:rsidR="00646716" w:rsidRPr="00E90F9A" w:rsidRDefault="00646716" w:rsidP="00A62D19">
            <w:pPr>
              <w:spacing w:after="0" w:line="240" w:lineRule="auto"/>
              <w:jc w:val="center"/>
              <w:rPr>
                <w:rFonts w:ascii="Times New Roman" w:eastAsia="Times New Roman" w:hAnsi="Times New Roman" w:cs="Times New Roman"/>
                <w:b/>
                <w:bCs/>
                <w:i/>
                <w:iCs/>
                <w:color w:val="FFFFFF"/>
                <w:sz w:val="12"/>
                <w:szCs w:val="12"/>
                <w:lang w:eastAsia="es-GT"/>
              </w:rPr>
            </w:pPr>
            <w:r w:rsidRPr="00E90F9A">
              <w:rPr>
                <w:rFonts w:ascii="Times New Roman" w:eastAsia="Times New Roman" w:hAnsi="Times New Roman" w:cs="Times New Roman"/>
                <w:b/>
                <w:bCs/>
                <w:i/>
                <w:iCs/>
                <w:color w:val="FFFFFF"/>
                <w:sz w:val="12"/>
                <w:szCs w:val="12"/>
                <w:lang w:eastAsia="es-GT"/>
              </w:rPr>
              <w:t>31</w:t>
            </w:r>
          </w:p>
        </w:tc>
        <w:tc>
          <w:tcPr>
            <w:tcW w:w="1755" w:type="dxa"/>
            <w:tcBorders>
              <w:top w:val="nil"/>
              <w:left w:val="nil"/>
              <w:bottom w:val="single" w:sz="8" w:space="0" w:color="FFFFFF"/>
              <w:right w:val="single" w:sz="8" w:space="0" w:color="FFFFFF"/>
            </w:tcBorders>
            <w:shd w:val="clear" w:color="000000" w:fill="D9E2F3"/>
            <w:vAlign w:val="center"/>
            <w:hideMark/>
          </w:tcPr>
          <w:p w14:paraId="161E7F9B" w14:textId="77777777" w:rsidR="00646716" w:rsidRPr="00E90F9A" w:rsidRDefault="00646716" w:rsidP="00A62D19">
            <w:pPr>
              <w:spacing w:after="0" w:line="240" w:lineRule="auto"/>
              <w:rPr>
                <w:rFonts w:ascii="Times New Roman" w:eastAsia="Times New Roman" w:hAnsi="Times New Roman" w:cs="Times New Roman"/>
                <w:b/>
                <w:bCs/>
                <w:i/>
                <w:iCs/>
                <w:color w:val="000000"/>
                <w:sz w:val="12"/>
                <w:szCs w:val="12"/>
                <w:lang w:eastAsia="es-GT"/>
              </w:rPr>
            </w:pPr>
            <w:r w:rsidRPr="00E90F9A">
              <w:rPr>
                <w:rFonts w:ascii="Times New Roman" w:eastAsia="Times New Roman" w:hAnsi="Times New Roman" w:cs="Times New Roman"/>
                <w:b/>
                <w:bCs/>
                <w:i/>
                <w:iCs/>
                <w:color w:val="000000"/>
                <w:sz w:val="12"/>
                <w:szCs w:val="12"/>
                <w:lang w:eastAsia="es-GT"/>
              </w:rPr>
              <w:t>Activos no financieros</w:t>
            </w:r>
          </w:p>
        </w:tc>
        <w:tc>
          <w:tcPr>
            <w:tcW w:w="1079" w:type="dxa"/>
            <w:tcBorders>
              <w:top w:val="nil"/>
              <w:left w:val="nil"/>
              <w:bottom w:val="single" w:sz="8" w:space="0" w:color="FFFFFF"/>
              <w:right w:val="single" w:sz="8" w:space="0" w:color="FFFFFF"/>
            </w:tcBorders>
            <w:shd w:val="clear" w:color="000000" w:fill="D9E2F3"/>
            <w:vAlign w:val="center"/>
            <w:hideMark/>
          </w:tcPr>
          <w:p w14:paraId="2B1207CB" w14:textId="77777777" w:rsidR="00646716" w:rsidRPr="00E90F9A" w:rsidRDefault="00646716" w:rsidP="00A62D19">
            <w:pPr>
              <w:spacing w:after="0" w:line="240" w:lineRule="auto"/>
              <w:jc w:val="center"/>
              <w:rPr>
                <w:rFonts w:ascii="Times New Roman" w:eastAsia="Times New Roman" w:hAnsi="Times New Roman" w:cs="Times New Roman"/>
                <w:b/>
                <w:bCs/>
                <w:color w:val="000000"/>
                <w:sz w:val="12"/>
                <w:szCs w:val="12"/>
                <w:lang w:eastAsia="es-GT"/>
              </w:rPr>
            </w:pPr>
            <w:r w:rsidRPr="00E90F9A">
              <w:rPr>
                <w:rFonts w:ascii="Times New Roman" w:eastAsia="Times New Roman" w:hAnsi="Times New Roman" w:cs="Times New Roman"/>
                <w:b/>
                <w:bCs/>
                <w:color w:val="000000"/>
                <w:sz w:val="12"/>
                <w:szCs w:val="12"/>
                <w:lang w:eastAsia="es-GT"/>
              </w:rPr>
              <w:t>0.5</w:t>
            </w:r>
          </w:p>
        </w:tc>
        <w:tc>
          <w:tcPr>
            <w:tcW w:w="1079" w:type="dxa"/>
            <w:tcBorders>
              <w:top w:val="nil"/>
              <w:left w:val="nil"/>
              <w:bottom w:val="single" w:sz="8" w:space="0" w:color="FFFFFF"/>
              <w:right w:val="single" w:sz="8" w:space="0" w:color="FFFFFF"/>
            </w:tcBorders>
            <w:shd w:val="clear" w:color="000000" w:fill="D9E2F3"/>
            <w:vAlign w:val="center"/>
            <w:hideMark/>
          </w:tcPr>
          <w:p w14:paraId="6DC1D035" w14:textId="77777777" w:rsidR="00646716" w:rsidRPr="00E90F9A" w:rsidRDefault="00646716" w:rsidP="00A62D19">
            <w:pPr>
              <w:spacing w:after="0" w:line="240" w:lineRule="auto"/>
              <w:rPr>
                <w:rFonts w:ascii="Calibri" w:eastAsia="Times New Roman" w:hAnsi="Calibri" w:cs="Calibri"/>
                <w:color w:val="000000"/>
                <w:lang w:eastAsia="es-GT"/>
              </w:rPr>
            </w:pPr>
            <w:r w:rsidRPr="00E90F9A">
              <w:rPr>
                <w:rFonts w:ascii="Calibri" w:eastAsia="Times New Roman" w:hAnsi="Calibri" w:cs="Calibri"/>
                <w:color w:val="000000"/>
                <w:lang w:eastAsia="es-GT"/>
              </w:rPr>
              <w:t> </w:t>
            </w:r>
          </w:p>
        </w:tc>
        <w:tc>
          <w:tcPr>
            <w:tcW w:w="822" w:type="dxa"/>
            <w:tcBorders>
              <w:top w:val="nil"/>
              <w:left w:val="nil"/>
              <w:bottom w:val="single" w:sz="8" w:space="0" w:color="FFFFFF"/>
              <w:right w:val="single" w:sz="8" w:space="0" w:color="FFFFFF"/>
            </w:tcBorders>
            <w:shd w:val="clear" w:color="000000" w:fill="D9E2F3"/>
            <w:vAlign w:val="center"/>
            <w:hideMark/>
          </w:tcPr>
          <w:p w14:paraId="3F5D7CD0" w14:textId="77777777" w:rsidR="00646716" w:rsidRPr="00E90F9A" w:rsidRDefault="00646716" w:rsidP="00A62D19">
            <w:pPr>
              <w:spacing w:after="0" w:line="240" w:lineRule="auto"/>
              <w:jc w:val="center"/>
              <w:rPr>
                <w:rFonts w:ascii="Calibri" w:eastAsia="Times New Roman" w:hAnsi="Calibri" w:cs="Calibri"/>
                <w:color w:val="000000"/>
                <w:sz w:val="12"/>
                <w:szCs w:val="12"/>
                <w:lang w:eastAsia="es-GT"/>
              </w:rPr>
            </w:pPr>
            <w:r w:rsidRPr="00E90F9A">
              <w:rPr>
                <w:rFonts w:ascii="Calibri" w:eastAsia="Times New Roman" w:hAnsi="Calibri" w:cs="Calibri"/>
                <w:color w:val="000000"/>
                <w:sz w:val="12"/>
                <w:szCs w:val="12"/>
                <w:lang w:eastAsia="es-GT"/>
              </w:rPr>
              <w:t>0.5</w:t>
            </w:r>
          </w:p>
        </w:tc>
        <w:tc>
          <w:tcPr>
            <w:tcW w:w="3473" w:type="dxa"/>
            <w:tcBorders>
              <w:top w:val="nil"/>
              <w:left w:val="nil"/>
              <w:bottom w:val="single" w:sz="8" w:space="0" w:color="FFFFFF"/>
              <w:right w:val="single" w:sz="8" w:space="0" w:color="FFFFFF"/>
            </w:tcBorders>
            <w:shd w:val="clear" w:color="000000" w:fill="D9E2F3"/>
            <w:noWrap/>
            <w:vAlign w:val="center"/>
            <w:hideMark/>
          </w:tcPr>
          <w:p w14:paraId="0089FF46" w14:textId="77777777" w:rsidR="00646716" w:rsidRPr="00E90F9A" w:rsidRDefault="00646716" w:rsidP="00A62D19">
            <w:pPr>
              <w:spacing w:after="0" w:line="240" w:lineRule="auto"/>
              <w:rPr>
                <w:rFonts w:ascii="Times New Roman" w:eastAsia="Times New Roman" w:hAnsi="Times New Roman" w:cs="Times New Roman"/>
                <w:b/>
                <w:bCs/>
                <w:i/>
                <w:iCs/>
                <w:color w:val="000000"/>
                <w:sz w:val="10"/>
                <w:szCs w:val="10"/>
                <w:lang w:eastAsia="es-GT"/>
              </w:rPr>
            </w:pPr>
            <w:r w:rsidRPr="00E90F9A">
              <w:rPr>
                <w:rFonts w:ascii="Times New Roman" w:eastAsia="Times New Roman" w:hAnsi="Times New Roman" w:cs="Times New Roman"/>
                <w:b/>
                <w:bCs/>
                <w:i/>
                <w:iCs/>
                <w:color w:val="000000"/>
                <w:sz w:val="10"/>
                <w:szCs w:val="10"/>
                <w:lang w:eastAsia="es-GT"/>
              </w:rPr>
              <w:t> </w:t>
            </w:r>
          </w:p>
        </w:tc>
      </w:tr>
      <w:tr w:rsidR="00646716" w:rsidRPr="00E90F9A" w14:paraId="0D4B372F" w14:textId="77777777" w:rsidTr="00A62D19">
        <w:trPr>
          <w:trHeight w:val="219"/>
        </w:trPr>
        <w:tc>
          <w:tcPr>
            <w:tcW w:w="580" w:type="dxa"/>
            <w:vMerge w:val="restart"/>
            <w:tcBorders>
              <w:top w:val="nil"/>
              <w:left w:val="single" w:sz="8" w:space="0" w:color="FFFFFF"/>
              <w:bottom w:val="single" w:sz="8" w:space="0" w:color="FFFFFF"/>
              <w:right w:val="single" w:sz="8" w:space="0" w:color="FFFFFF"/>
            </w:tcBorders>
            <w:shd w:val="clear" w:color="000000" w:fill="8496B0"/>
            <w:noWrap/>
            <w:vAlign w:val="center"/>
            <w:hideMark/>
          </w:tcPr>
          <w:p w14:paraId="715E2834" w14:textId="77777777" w:rsidR="00646716" w:rsidRPr="00E90F9A" w:rsidRDefault="00646716" w:rsidP="00A62D19">
            <w:pPr>
              <w:spacing w:after="0" w:line="240" w:lineRule="auto"/>
              <w:jc w:val="center"/>
              <w:rPr>
                <w:rFonts w:ascii="Times New Roman" w:eastAsia="Times New Roman" w:hAnsi="Times New Roman" w:cs="Times New Roman"/>
                <w:b/>
                <w:bCs/>
                <w:i/>
                <w:iCs/>
                <w:color w:val="FFFFFF"/>
                <w:sz w:val="12"/>
                <w:szCs w:val="12"/>
                <w:lang w:eastAsia="es-GT"/>
              </w:rPr>
            </w:pPr>
            <w:r w:rsidRPr="00E90F9A">
              <w:rPr>
                <w:rFonts w:ascii="Times New Roman" w:eastAsia="Times New Roman" w:hAnsi="Times New Roman" w:cs="Times New Roman"/>
                <w:b/>
                <w:bCs/>
                <w:i/>
                <w:iCs/>
                <w:color w:val="FFFFFF"/>
                <w:sz w:val="12"/>
                <w:szCs w:val="12"/>
                <w:lang w:eastAsia="es-GT"/>
              </w:rPr>
              <w:t>311</w:t>
            </w:r>
          </w:p>
        </w:tc>
        <w:tc>
          <w:tcPr>
            <w:tcW w:w="1755" w:type="dxa"/>
            <w:vMerge w:val="restart"/>
            <w:tcBorders>
              <w:top w:val="nil"/>
              <w:left w:val="single" w:sz="8" w:space="0" w:color="FFFFFF"/>
              <w:bottom w:val="single" w:sz="8" w:space="0" w:color="FFFFFF"/>
              <w:right w:val="single" w:sz="8" w:space="0" w:color="FFFFFF"/>
            </w:tcBorders>
            <w:shd w:val="clear" w:color="000000" w:fill="B4C6E7"/>
            <w:vAlign w:val="center"/>
            <w:hideMark/>
          </w:tcPr>
          <w:p w14:paraId="44394502" w14:textId="77777777" w:rsidR="00646716" w:rsidRPr="00E90F9A" w:rsidRDefault="00646716" w:rsidP="00A62D19">
            <w:pPr>
              <w:spacing w:after="0" w:line="240" w:lineRule="auto"/>
              <w:rPr>
                <w:rFonts w:ascii="Times New Roman" w:eastAsia="Times New Roman" w:hAnsi="Times New Roman" w:cs="Times New Roman"/>
                <w:i/>
                <w:iCs/>
                <w:color w:val="000000"/>
                <w:sz w:val="12"/>
                <w:szCs w:val="12"/>
                <w:lang w:eastAsia="es-GT"/>
              </w:rPr>
            </w:pPr>
            <w:r w:rsidRPr="00E90F9A">
              <w:rPr>
                <w:rFonts w:ascii="Times New Roman" w:eastAsia="Times New Roman" w:hAnsi="Times New Roman" w:cs="Times New Roman"/>
                <w:i/>
                <w:iCs/>
                <w:color w:val="000000"/>
                <w:sz w:val="12"/>
                <w:szCs w:val="12"/>
                <w:lang w:eastAsia="es-GT"/>
              </w:rPr>
              <w:t>Activos fijos</w:t>
            </w:r>
          </w:p>
        </w:tc>
        <w:tc>
          <w:tcPr>
            <w:tcW w:w="1079" w:type="dxa"/>
            <w:vMerge w:val="restart"/>
            <w:tcBorders>
              <w:top w:val="nil"/>
              <w:left w:val="single" w:sz="8" w:space="0" w:color="FFFFFF"/>
              <w:bottom w:val="single" w:sz="8" w:space="0" w:color="FFFFFF"/>
              <w:right w:val="single" w:sz="8" w:space="0" w:color="FFFFFF"/>
            </w:tcBorders>
            <w:shd w:val="clear" w:color="000000" w:fill="B4C6E7"/>
            <w:vAlign w:val="center"/>
            <w:hideMark/>
          </w:tcPr>
          <w:p w14:paraId="641929C7" w14:textId="77777777" w:rsidR="00646716" w:rsidRPr="00E90F9A"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E90F9A">
              <w:rPr>
                <w:rFonts w:ascii="Times New Roman" w:eastAsia="Times New Roman" w:hAnsi="Times New Roman" w:cs="Times New Roman"/>
                <w:color w:val="000000"/>
                <w:sz w:val="12"/>
                <w:szCs w:val="12"/>
                <w:lang w:eastAsia="es-GT"/>
              </w:rPr>
              <w:t>0.5</w:t>
            </w:r>
          </w:p>
        </w:tc>
        <w:tc>
          <w:tcPr>
            <w:tcW w:w="1079" w:type="dxa"/>
            <w:vMerge w:val="restart"/>
            <w:tcBorders>
              <w:top w:val="nil"/>
              <w:left w:val="single" w:sz="8" w:space="0" w:color="FFFFFF"/>
              <w:bottom w:val="single" w:sz="8" w:space="0" w:color="FFFFFF"/>
              <w:right w:val="single" w:sz="8" w:space="0" w:color="FFFFFF"/>
            </w:tcBorders>
            <w:shd w:val="clear" w:color="000000" w:fill="B4C6E7"/>
            <w:vAlign w:val="center"/>
            <w:hideMark/>
          </w:tcPr>
          <w:p w14:paraId="34649F25" w14:textId="77777777" w:rsidR="00646716" w:rsidRPr="00E90F9A" w:rsidRDefault="00646716" w:rsidP="00A62D19">
            <w:pPr>
              <w:spacing w:after="0" w:line="240" w:lineRule="auto"/>
              <w:rPr>
                <w:rFonts w:ascii="Calibri" w:eastAsia="Times New Roman" w:hAnsi="Calibri" w:cs="Calibri"/>
                <w:color w:val="000000"/>
                <w:lang w:eastAsia="es-GT"/>
              </w:rPr>
            </w:pPr>
            <w:r w:rsidRPr="00E90F9A">
              <w:rPr>
                <w:rFonts w:ascii="Calibri" w:eastAsia="Times New Roman" w:hAnsi="Calibri" w:cs="Calibri"/>
                <w:color w:val="000000"/>
                <w:lang w:eastAsia="es-GT"/>
              </w:rPr>
              <w:t> </w:t>
            </w:r>
          </w:p>
        </w:tc>
        <w:tc>
          <w:tcPr>
            <w:tcW w:w="822" w:type="dxa"/>
            <w:vMerge w:val="restart"/>
            <w:tcBorders>
              <w:top w:val="nil"/>
              <w:left w:val="single" w:sz="8" w:space="0" w:color="FFFFFF"/>
              <w:bottom w:val="single" w:sz="8" w:space="0" w:color="FFFFFF"/>
              <w:right w:val="single" w:sz="8" w:space="0" w:color="FFFFFF"/>
            </w:tcBorders>
            <w:shd w:val="clear" w:color="000000" w:fill="B4C6E7"/>
            <w:vAlign w:val="center"/>
            <w:hideMark/>
          </w:tcPr>
          <w:p w14:paraId="133A1ED8" w14:textId="77777777" w:rsidR="00646716" w:rsidRPr="00E90F9A" w:rsidRDefault="00646716" w:rsidP="00A62D19">
            <w:pPr>
              <w:spacing w:after="0" w:line="240" w:lineRule="auto"/>
              <w:jc w:val="center"/>
              <w:rPr>
                <w:rFonts w:ascii="Calibri" w:eastAsia="Times New Roman" w:hAnsi="Calibri" w:cs="Calibri"/>
                <w:color w:val="000000"/>
                <w:sz w:val="12"/>
                <w:szCs w:val="12"/>
                <w:lang w:eastAsia="es-GT"/>
              </w:rPr>
            </w:pPr>
            <w:r w:rsidRPr="00E90F9A">
              <w:rPr>
                <w:rFonts w:ascii="Calibri" w:eastAsia="Times New Roman" w:hAnsi="Calibri" w:cs="Calibri"/>
                <w:color w:val="000000"/>
                <w:sz w:val="12"/>
                <w:szCs w:val="12"/>
                <w:lang w:eastAsia="es-GT"/>
              </w:rPr>
              <w:t>0.5</w:t>
            </w:r>
          </w:p>
        </w:tc>
        <w:tc>
          <w:tcPr>
            <w:tcW w:w="3473" w:type="dxa"/>
            <w:tcBorders>
              <w:top w:val="nil"/>
              <w:left w:val="nil"/>
              <w:bottom w:val="nil"/>
              <w:right w:val="single" w:sz="8" w:space="0" w:color="FFFFFF"/>
            </w:tcBorders>
            <w:shd w:val="clear" w:color="000000" w:fill="B4C6E7"/>
            <w:vAlign w:val="center"/>
            <w:hideMark/>
          </w:tcPr>
          <w:p w14:paraId="37BDF420" w14:textId="77777777" w:rsidR="00646716" w:rsidRPr="00E90F9A" w:rsidRDefault="00646716" w:rsidP="00A62D19">
            <w:pPr>
              <w:spacing w:after="0" w:line="240" w:lineRule="auto"/>
              <w:rPr>
                <w:rFonts w:ascii="Times New Roman" w:eastAsia="Times New Roman" w:hAnsi="Times New Roman" w:cs="Times New Roman"/>
                <w:i/>
                <w:iCs/>
                <w:color w:val="000000"/>
                <w:sz w:val="10"/>
                <w:szCs w:val="10"/>
                <w:lang w:eastAsia="es-GT"/>
              </w:rPr>
            </w:pPr>
            <w:r w:rsidRPr="00E90F9A">
              <w:rPr>
                <w:rFonts w:ascii="Times New Roman" w:eastAsia="Times New Roman" w:hAnsi="Times New Roman" w:cs="Times New Roman"/>
                <w:i/>
                <w:iCs/>
                <w:color w:val="000000"/>
                <w:sz w:val="10"/>
                <w:szCs w:val="10"/>
                <w:lang w:eastAsia="es-GT"/>
              </w:rPr>
              <w:t>(+) Inversión Real Directa y Financiera</w:t>
            </w:r>
          </w:p>
        </w:tc>
      </w:tr>
      <w:tr w:rsidR="00646716" w:rsidRPr="00E90F9A" w14:paraId="6C581BEE" w14:textId="77777777" w:rsidTr="00A62D19">
        <w:trPr>
          <w:trHeight w:val="219"/>
        </w:trPr>
        <w:tc>
          <w:tcPr>
            <w:tcW w:w="580" w:type="dxa"/>
            <w:vMerge/>
            <w:tcBorders>
              <w:top w:val="nil"/>
              <w:left w:val="single" w:sz="8" w:space="0" w:color="FFFFFF"/>
              <w:bottom w:val="single" w:sz="8" w:space="0" w:color="FFFFFF"/>
              <w:right w:val="single" w:sz="8" w:space="0" w:color="FFFFFF"/>
            </w:tcBorders>
            <w:vAlign w:val="center"/>
            <w:hideMark/>
          </w:tcPr>
          <w:p w14:paraId="1990CB76" w14:textId="77777777" w:rsidR="00646716" w:rsidRPr="00E90F9A" w:rsidRDefault="00646716" w:rsidP="00A62D19">
            <w:pPr>
              <w:spacing w:after="0" w:line="240" w:lineRule="auto"/>
              <w:rPr>
                <w:rFonts w:ascii="Times New Roman" w:eastAsia="Times New Roman" w:hAnsi="Times New Roman" w:cs="Times New Roman"/>
                <w:b/>
                <w:bCs/>
                <w:i/>
                <w:iCs/>
                <w:color w:val="FFFFFF"/>
                <w:sz w:val="12"/>
                <w:szCs w:val="12"/>
                <w:lang w:eastAsia="es-GT"/>
              </w:rPr>
            </w:pPr>
          </w:p>
        </w:tc>
        <w:tc>
          <w:tcPr>
            <w:tcW w:w="1755" w:type="dxa"/>
            <w:vMerge/>
            <w:tcBorders>
              <w:top w:val="nil"/>
              <w:left w:val="single" w:sz="8" w:space="0" w:color="FFFFFF"/>
              <w:bottom w:val="single" w:sz="8" w:space="0" w:color="FFFFFF"/>
              <w:right w:val="single" w:sz="8" w:space="0" w:color="FFFFFF"/>
            </w:tcBorders>
            <w:vAlign w:val="center"/>
            <w:hideMark/>
          </w:tcPr>
          <w:p w14:paraId="62DA28FC" w14:textId="77777777" w:rsidR="00646716" w:rsidRPr="00E90F9A" w:rsidRDefault="00646716" w:rsidP="00A62D19">
            <w:pPr>
              <w:spacing w:after="0" w:line="240" w:lineRule="auto"/>
              <w:rPr>
                <w:rFonts w:ascii="Times New Roman" w:eastAsia="Times New Roman" w:hAnsi="Times New Roman" w:cs="Times New Roman"/>
                <w:i/>
                <w:iCs/>
                <w:color w:val="000000"/>
                <w:sz w:val="12"/>
                <w:szCs w:val="12"/>
                <w:lang w:eastAsia="es-GT"/>
              </w:rPr>
            </w:pPr>
          </w:p>
        </w:tc>
        <w:tc>
          <w:tcPr>
            <w:tcW w:w="1079" w:type="dxa"/>
            <w:vMerge/>
            <w:tcBorders>
              <w:top w:val="nil"/>
              <w:left w:val="single" w:sz="8" w:space="0" w:color="FFFFFF"/>
              <w:bottom w:val="single" w:sz="8" w:space="0" w:color="FFFFFF"/>
              <w:right w:val="single" w:sz="8" w:space="0" w:color="FFFFFF"/>
            </w:tcBorders>
            <w:vAlign w:val="center"/>
            <w:hideMark/>
          </w:tcPr>
          <w:p w14:paraId="66633173" w14:textId="77777777" w:rsidR="00646716" w:rsidRPr="00E90F9A"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79" w:type="dxa"/>
            <w:vMerge/>
            <w:tcBorders>
              <w:top w:val="nil"/>
              <w:left w:val="single" w:sz="8" w:space="0" w:color="FFFFFF"/>
              <w:bottom w:val="single" w:sz="8" w:space="0" w:color="FFFFFF"/>
              <w:right w:val="single" w:sz="8" w:space="0" w:color="FFFFFF"/>
            </w:tcBorders>
            <w:vAlign w:val="center"/>
            <w:hideMark/>
          </w:tcPr>
          <w:p w14:paraId="066CE3D2" w14:textId="77777777" w:rsidR="00646716" w:rsidRPr="00E90F9A" w:rsidRDefault="00646716" w:rsidP="00A62D19">
            <w:pPr>
              <w:spacing w:after="0" w:line="240" w:lineRule="auto"/>
              <w:rPr>
                <w:rFonts w:ascii="Calibri" w:eastAsia="Times New Roman" w:hAnsi="Calibri" w:cs="Calibri"/>
                <w:color w:val="000000"/>
                <w:lang w:eastAsia="es-GT"/>
              </w:rPr>
            </w:pPr>
          </w:p>
        </w:tc>
        <w:tc>
          <w:tcPr>
            <w:tcW w:w="822" w:type="dxa"/>
            <w:vMerge/>
            <w:tcBorders>
              <w:top w:val="nil"/>
              <w:left w:val="single" w:sz="8" w:space="0" w:color="FFFFFF"/>
              <w:bottom w:val="single" w:sz="8" w:space="0" w:color="FFFFFF"/>
              <w:right w:val="single" w:sz="8" w:space="0" w:color="FFFFFF"/>
            </w:tcBorders>
            <w:vAlign w:val="center"/>
            <w:hideMark/>
          </w:tcPr>
          <w:p w14:paraId="1A6C9701" w14:textId="77777777" w:rsidR="00646716" w:rsidRPr="00E90F9A" w:rsidRDefault="00646716" w:rsidP="00A62D19">
            <w:pPr>
              <w:spacing w:after="0" w:line="240" w:lineRule="auto"/>
              <w:rPr>
                <w:rFonts w:ascii="Calibri" w:eastAsia="Times New Roman" w:hAnsi="Calibri" w:cs="Calibri"/>
                <w:color w:val="000000"/>
                <w:sz w:val="12"/>
                <w:szCs w:val="12"/>
                <w:lang w:eastAsia="es-GT"/>
              </w:rPr>
            </w:pPr>
          </w:p>
        </w:tc>
        <w:tc>
          <w:tcPr>
            <w:tcW w:w="3473" w:type="dxa"/>
            <w:tcBorders>
              <w:top w:val="nil"/>
              <w:left w:val="nil"/>
              <w:bottom w:val="nil"/>
              <w:right w:val="single" w:sz="8" w:space="0" w:color="FFFFFF"/>
            </w:tcBorders>
            <w:shd w:val="clear" w:color="000000" w:fill="B4C6E7"/>
            <w:vAlign w:val="center"/>
            <w:hideMark/>
          </w:tcPr>
          <w:p w14:paraId="52E9BF2E" w14:textId="77777777" w:rsidR="00646716" w:rsidRPr="00E90F9A" w:rsidRDefault="00646716" w:rsidP="00A62D19">
            <w:pPr>
              <w:spacing w:after="0" w:line="240" w:lineRule="auto"/>
              <w:rPr>
                <w:rFonts w:ascii="Times New Roman" w:eastAsia="Times New Roman" w:hAnsi="Times New Roman" w:cs="Times New Roman"/>
                <w:i/>
                <w:iCs/>
                <w:color w:val="000000"/>
                <w:sz w:val="10"/>
                <w:szCs w:val="10"/>
                <w:lang w:eastAsia="es-GT"/>
              </w:rPr>
            </w:pPr>
            <w:r w:rsidRPr="00E90F9A">
              <w:rPr>
                <w:rFonts w:ascii="Times New Roman" w:eastAsia="Times New Roman" w:hAnsi="Times New Roman" w:cs="Times New Roman"/>
                <w:i/>
                <w:iCs/>
                <w:color w:val="000000"/>
                <w:sz w:val="10"/>
                <w:szCs w:val="10"/>
                <w:lang w:eastAsia="es-GT"/>
              </w:rPr>
              <w:t>(+) Equipo militar y de Seguridad</w:t>
            </w:r>
          </w:p>
        </w:tc>
      </w:tr>
      <w:tr w:rsidR="00646716" w:rsidRPr="00E90F9A" w14:paraId="1C6CAB0E" w14:textId="77777777" w:rsidTr="00A62D19">
        <w:trPr>
          <w:trHeight w:val="219"/>
        </w:trPr>
        <w:tc>
          <w:tcPr>
            <w:tcW w:w="580" w:type="dxa"/>
            <w:vMerge/>
            <w:tcBorders>
              <w:top w:val="nil"/>
              <w:left w:val="single" w:sz="8" w:space="0" w:color="FFFFFF"/>
              <w:bottom w:val="single" w:sz="8" w:space="0" w:color="FFFFFF"/>
              <w:right w:val="single" w:sz="8" w:space="0" w:color="FFFFFF"/>
            </w:tcBorders>
            <w:vAlign w:val="center"/>
            <w:hideMark/>
          </w:tcPr>
          <w:p w14:paraId="0B345999" w14:textId="77777777" w:rsidR="00646716" w:rsidRPr="00E90F9A" w:rsidRDefault="00646716" w:rsidP="00A62D19">
            <w:pPr>
              <w:spacing w:after="0" w:line="240" w:lineRule="auto"/>
              <w:rPr>
                <w:rFonts w:ascii="Times New Roman" w:eastAsia="Times New Roman" w:hAnsi="Times New Roman" w:cs="Times New Roman"/>
                <w:b/>
                <w:bCs/>
                <w:i/>
                <w:iCs/>
                <w:color w:val="FFFFFF"/>
                <w:sz w:val="12"/>
                <w:szCs w:val="12"/>
                <w:lang w:eastAsia="es-GT"/>
              </w:rPr>
            </w:pPr>
          </w:p>
        </w:tc>
        <w:tc>
          <w:tcPr>
            <w:tcW w:w="1755" w:type="dxa"/>
            <w:vMerge/>
            <w:tcBorders>
              <w:top w:val="nil"/>
              <w:left w:val="single" w:sz="8" w:space="0" w:color="FFFFFF"/>
              <w:bottom w:val="single" w:sz="8" w:space="0" w:color="FFFFFF"/>
              <w:right w:val="single" w:sz="8" w:space="0" w:color="FFFFFF"/>
            </w:tcBorders>
            <w:vAlign w:val="center"/>
            <w:hideMark/>
          </w:tcPr>
          <w:p w14:paraId="725DF7DA" w14:textId="77777777" w:rsidR="00646716" w:rsidRPr="00E90F9A" w:rsidRDefault="00646716" w:rsidP="00A62D19">
            <w:pPr>
              <w:spacing w:after="0" w:line="240" w:lineRule="auto"/>
              <w:rPr>
                <w:rFonts w:ascii="Times New Roman" w:eastAsia="Times New Roman" w:hAnsi="Times New Roman" w:cs="Times New Roman"/>
                <w:i/>
                <w:iCs/>
                <w:color w:val="000000"/>
                <w:sz w:val="12"/>
                <w:szCs w:val="12"/>
                <w:lang w:eastAsia="es-GT"/>
              </w:rPr>
            </w:pPr>
          </w:p>
        </w:tc>
        <w:tc>
          <w:tcPr>
            <w:tcW w:w="1079" w:type="dxa"/>
            <w:vMerge/>
            <w:tcBorders>
              <w:top w:val="nil"/>
              <w:left w:val="single" w:sz="8" w:space="0" w:color="FFFFFF"/>
              <w:bottom w:val="single" w:sz="8" w:space="0" w:color="FFFFFF"/>
              <w:right w:val="single" w:sz="8" w:space="0" w:color="FFFFFF"/>
            </w:tcBorders>
            <w:vAlign w:val="center"/>
            <w:hideMark/>
          </w:tcPr>
          <w:p w14:paraId="19FA6C05" w14:textId="77777777" w:rsidR="00646716" w:rsidRPr="00E90F9A"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79" w:type="dxa"/>
            <w:vMerge/>
            <w:tcBorders>
              <w:top w:val="nil"/>
              <w:left w:val="single" w:sz="8" w:space="0" w:color="FFFFFF"/>
              <w:bottom w:val="single" w:sz="8" w:space="0" w:color="FFFFFF"/>
              <w:right w:val="single" w:sz="8" w:space="0" w:color="FFFFFF"/>
            </w:tcBorders>
            <w:vAlign w:val="center"/>
            <w:hideMark/>
          </w:tcPr>
          <w:p w14:paraId="370EBF2E" w14:textId="77777777" w:rsidR="00646716" w:rsidRPr="00E90F9A" w:rsidRDefault="00646716" w:rsidP="00A62D19">
            <w:pPr>
              <w:spacing w:after="0" w:line="240" w:lineRule="auto"/>
              <w:rPr>
                <w:rFonts w:ascii="Calibri" w:eastAsia="Times New Roman" w:hAnsi="Calibri" w:cs="Calibri"/>
                <w:color w:val="000000"/>
                <w:lang w:eastAsia="es-GT"/>
              </w:rPr>
            </w:pPr>
          </w:p>
        </w:tc>
        <w:tc>
          <w:tcPr>
            <w:tcW w:w="822" w:type="dxa"/>
            <w:vMerge/>
            <w:tcBorders>
              <w:top w:val="nil"/>
              <w:left w:val="single" w:sz="8" w:space="0" w:color="FFFFFF"/>
              <w:bottom w:val="single" w:sz="8" w:space="0" w:color="FFFFFF"/>
              <w:right w:val="single" w:sz="8" w:space="0" w:color="FFFFFF"/>
            </w:tcBorders>
            <w:vAlign w:val="center"/>
            <w:hideMark/>
          </w:tcPr>
          <w:p w14:paraId="4BC90680" w14:textId="77777777" w:rsidR="00646716" w:rsidRPr="00E90F9A" w:rsidRDefault="00646716" w:rsidP="00A62D19">
            <w:pPr>
              <w:spacing w:after="0" w:line="240" w:lineRule="auto"/>
              <w:rPr>
                <w:rFonts w:ascii="Calibri" w:eastAsia="Times New Roman" w:hAnsi="Calibri" w:cs="Calibri"/>
                <w:color w:val="000000"/>
                <w:sz w:val="12"/>
                <w:szCs w:val="12"/>
                <w:lang w:eastAsia="es-GT"/>
              </w:rPr>
            </w:pPr>
          </w:p>
        </w:tc>
        <w:tc>
          <w:tcPr>
            <w:tcW w:w="3473" w:type="dxa"/>
            <w:tcBorders>
              <w:top w:val="nil"/>
              <w:left w:val="nil"/>
              <w:bottom w:val="nil"/>
              <w:right w:val="single" w:sz="8" w:space="0" w:color="FFFFFF"/>
            </w:tcBorders>
            <w:shd w:val="clear" w:color="000000" w:fill="B4C6E7"/>
            <w:vAlign w:val="center"/>
            <w:hideMark/>
          </w:tcPr>
          <w:p w14:paraId="7A0B3E94" w14:textId="77777777" w:rsidR="00646716" w:rsidRPr="00E90F9A" w:rsidRDefault="00646716" w:rsidP="00A62D19">
            <w:pPr>
              <w:spacing w:after="0" w:line="240" w:lineRule="auto"/>
              <w:rPr>
                <w:rFonts w:ascii="Times New Roman" w:eastAsia="Times New Roman" w:hAnsi="Times New Roman" w:cs="Times New Roman"/>
                <w:i/>
                <w:iCs/>
                <w:color w:val="000000"/>
                <w:sz w:val="10"/>
                <w:szCs w:val="10"/>
                <w:lang w:eastAsia="es-GT"/>
              </w:rPr>
            </w:pPr>
            <w:r w:rsidRPr="00E90F9A">
              <w:rPr>
                <w:rFonts w:ascii="Times New Roman" w:eastAsia="Times New Roman" w:hAnsi="Times New Roman" w:cs="Times New Roman"/>
                <w:i/>
                <w:iCs/>
                <w:color w:val="000000"/>
                <w:sz w:val="10"/>
                <w:szCs w:val="10"/>
                <w:lang w:eastAsia="es-GT"/>
              </w:rPr>
              <w:t>(-) Tierras y Terrenos</w:t>
            </w:r>
          </w:p>
        </w:tc>
      </w:tr>
      <w:tr w:rsidR="00646716" w:rsidRPr="00E90F9A" w14:paraId="0A1B16E7" w14:textId="77777777" w:rsidTr="00A62D19">
        <w:trPr>
          <w:trHeight w:val="219"/>
        </w:trPr>
        <w:tc>
          <w:tcPr>
            <w:tcW w:w="580" w:type="dxa"/>
            <w:vMerge/>
            <w:tcBorders>
              <w:top w:val="nil"/>
              <w:left w:val="single" w:sz="8" w:space="0" w:color="FFFFFF"/>
              <w:bottom w:val="single" w:sz="8" w:space="0" w:color="FFFFFF"/>
              <w:right w:val="single" w:sz="8" w:space="0" w:color="FFFFFF"/>
            </w:tcBorders>
            <w:vAlign w:val="center"/>
            <w:hideMark/>
          </w:tcPr>
          <w:p w14:paraId="0FEAF229" w14:textId="77777777" w:rsidR="00646716" w:rsidRPr="00E90F9A" w:rsidRDefault="00646716" w:rsidP="00A62D19">
            <w:pPr>
              <w:spacing w:after="0" w:line="240" w:lineRule="auto"/>
              <w:rPr>
                <w:rFonts w:ascii="Times New Roman" w:eastAsia="Times New Roman" w:hAnsi="Times New Roman" w:cs="Times New Roman"/>
                <w:b/>
                <w:bCs/>
                <w:i/>
                <w:iCs/>
                <w:color w:val="FFFFFF"/>
                <w:sz w:val="12"/>
                <w:szCs w:val="12"/>
                <w:lang w:eastAsia="es-GT"/>
              </w:rPr>
            </w:pPr>
          </w:p>
        </w:tc>
        <w:tc>
          <w:tcPr>
            <w:tcW w:w="1755" w:type="dxa"/>
            <w:vMerge/>
            <w:tcBorders>
              <w:top w:val="nil"/>
              <w:left w:val="single" w:sz="8" w:space="0" w:color="FFFFFF"/>
              <w:bottom w:val="single" w:sz="8" w:space="0" w:color="FFFFFF"/>
              <w:right w:val="single" w:sz="8" w:space="0" w:color="FFFFFF"/>
            </w:tcBorders>
            <w:vAlign w:val="center"/>
            <w:hideMark/>
          </w:tcPr>
          <w:p w14:paraId="4358B99B" w14:textId="77777777" w:rsidR="00646716" w:rsidRPr="00E90F9A" w:rsidRDefault="00646716" w:rsidP="00A62D19">
            <w:pPr>
              <w:spacing w:after="0" w:line="240" w:lineRule="auto"/>
              <w:rPr>
                <w:rFonts w:ascii="Times New Roman" w:eastAsia="Times New Roman" w:hAnsi="Times New Roman" w:cs="Times New Roman"/>
                <w:i/>
                <w:iCs/>
                <w:color w:val="000000"/>
                <w:sz w:val="12"/>
                <w:szCs w:val="12"/>
                <w:lang w:eastAsia="es-GT"/>
              </w:rPr>
            </w:pPr>
          </w:p>
        </w:tc>
        <w:tc>
          <w:tcPr>
            <w:tcW w:w="1079" w:type="dxa"/>
            <w:vMerge/>
            <w:tcBorders>
              <w:top w:val="nil"/>
              <w:left w:val="single" w:sz="8" w:space="0" w:color="FFFFFF"/>
              <w:bottom w:val="single" w:sz="8" w:space="0" w:color="FFFFFF"/>
              <w:right w:val="single" w:sz="8" w:space="0" w:color="FFFFFF"/>
            </w:tcBorders>
            <w:vAlign w:val="center"/>
            <w:hideMark/>
          </w:tcPr>
          <w:p w14:paraId="3DD53751" w14:textId="77777777" w:rsidR="00646716" w:rsidRPr="00E90F9A"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79" w:type="dxa"/>
            <w:vMerge/>
            <w:tcBorders>
              <w:top w:val="nil"/>
              <w:left w:val="single" w:sz="8" w:space="0" w:color="FFFFFF"/>
              <w:bottom w:val="single" w:sz="8" w:space="0" w:color="FFFFFF"/>
              <w:right w:val="single" w:sz="8" w:space="0" w:color="FFFFFF"/>
            </w:tcBorders>
            <w:vAlign w:val="center"/>
            <w:hideMark/>
          </w:tcPr>
          <w:p w14:paraId="37B7E742" w14:textId="77777777" w:rsidR="00646716" w:rsidRPr="00E90F9A" w:rsidRDefault="00646716" w:rsidP="00A62D19">
            <w:pPr>
              <w:spacing w:after="0" w:line="240" w:lineRule="auto"/>
              <w:rPr>
                <w:rFonts w:ascii="Calibri" w:eastAsia="Times New Roman" w:hAnsi="Calibri" w:cs="Calibri"/>
                <w:color w:val="000000"/>
                <w:lang w:eastAsia="es-GT"/>
              </w:rPr>
            </w:pPr>
          </w:p>
        </w:tc>
        <w:tc>
          <w:tcPr>
            <w:tcW w:w="822" w:type="dxa"/>
            <w:vMerge/>
            <w:tcBorders>
              <w:top w:val="nil"/>
              <w:left w:val="single" w:sz="8" w:space="0" w:color="FFFFFF"/>
              <w:bottom w:val="single" w:sz="8" w:space="0" w:color="FFFFFF"/>
              <w:right w:val="single" w:sz="8" w:space="0" w:color="FFFFFF"/>
            </w:tcBorders>
            <w:vAlign w:val="center"/>
            <w:hideMark/>
          </w:tcPr>
          <w:p w14:paraId="252F97BC" w14:textId="77777777" w:rsidR="00646716" w:rsidRPr="00E90F9A" w:rsidRDefault="00646716" w:rsidP="00A62D19">
            <w:pPr>
              <w:spacing w:after="0" w:line="240" w:lineRule="auto"/>
              <w:rPr>
                <w:rFonts w:ascii="Calibri" w:eastAsia="Times New Roman" w:hAnsi="Calibri" w:cs="Calibri"/>
                <w:color w:val="000000"/>
                <w:sz w:val="12"/>
                <w:szCs w:val="12"/>
                <w:lang w:eastAsia="es-GT"/>
              </w:rPr>
            </w:pPr>
          </w:p>
        </w:tc>
        <w:tc>
          <w:tcPr>
            <w:tcW w:w="3473" w:type="dxa"/>
            <w:tcBorders>
              <w:top w:val="nil"/>
              <w:left w:val="nil"/>
              <w:bottom w:val="nil"/>
              <w:right w:val="single" w:sz="8" w:space="0" w:color="FFFFFF"/>
            </w:tcBorders>
            <w:shd w:val="clear" w:color="000000" w:fill="B4C6E7"/>
            <w:vAlign w:val="center"/>
            <w:hideMark/>
          </w:tcPr>
          <w:p w14:paraId="2DDCC916" w14:textId="77777777" w:rsidR="00646716" w:rsidRPr="00E90F9A" w:rsidRDefault="00646716" w:rsidP="00A62D19">
            <w:pPr>
              <w:spacing w:after="0" w:line="240" w:lineRule="auto"/>
              <w:rPr>
                <w:rFonts w:ascii="Times New Roman" w:eastAsia="Times New Roman" w:hAnsi="Times New Roman" w:cs="Times New Roman"/>
                <w:i/>
                <w:iCs/>
                <w:color w:val="000000"/>
                <w:sz w:val="10"/>
                <w:szCs w:val="10"/>
                <w:lang w:eastAsia="es-GT"/>
              </w:rPr>
            </w:pPr>
            <w:r w:rsidRPr="00E90F9A">
              <w:rPr>
                <w:rFonts w:ascii="Times New Roman" w:eastAsia="Times New Roman" w:hAnsi="Times New Roman" w:cs="Times New Roman"/>
                <w:i/>
                <w:iCs/>
                <w:color w:val="000000"/>
                <w:sz w:val="10"/>
                <w:szCs w:val="10"/>
                <w:lang w:eastAsia="es-GT"/>
              </w:rPr>
              <w:t>(-) Libros y objetos coleccionables</w:t>
            </w:r>
          </w:p>
        </w:tc>
      </w:tr>
      <w:tr w:rsidR="00646716" w:rsidRPr="00E90F9A" w14:paraId="1998BE56" w14:textId="77777777" w:rsidTr="00A62D19">
        <w:trPr>
          <w:trHeight w:val="219"/>
        </w:trPr>
        <w:tc>
          <w:tcPr>
            <w:tcW w:w="580" w:type="dxa"/>
            <w:vMerge/>
            <w:tcBorders>
              <w:top w:val="nil"/>
              <w:left w:val="single" w:sz="8" w:space="0" w:color="FFFFFF"/>
              <w:bottom w:val="single" w:sz="8" w:space="0" w:color="FFFFFF"/>
              <w:right w:val="single" w:sz="8" w:space="0" w:color="FFFFFF"/>
            </w:tcBorders>
            <w:vAlign w:val="center"/>
            <w:hideMark/>
          </w:tcPr>
          <w:p w14:paraId="4C4A6173" w14:textId="77777777" w:rsidR="00646716" w:rsidRPr="00E90F9A" w:rsidRDefault="00646716" w:rsidP="00A62D19">
            <w:pPr>
              <w:spacing w:after="0" w:line="240" w:lineRule="auto"/>
              <w:rPr>
                <w:rFonts w:ascii="Times New Roman" w:eastAsia="Times New Roman" w:hAnsi="Times New Roman" w:cs="Times New Roman"/>
                <w:b/>
                <w:bCs/>
                <w:i/>
                <w:iCs/>
                <w:color w:val="FFFFFF"/>
                <w:sz w:val="12"/>
                <w:szCs w:val="12"/>
                <w:lang w:eastAsia="es-GT"/>
              </w:rPr>
            </w:pPr>
          </w:p>
        </w:tc>
        <w:tc>
          <w:tcPr>
            <w:tcW w:w="1755" w:type="dxa"/>
            <w:vMerge/>
            <w:tcBorders>
              <w:top w:val="nil"/>
              <w:left w:val="single" w:sz="8" w:space="0" w:color="FFFFFF"/>
              <w:bottom w:val="single" w:sz="8" w:space="0" w:color="FFFFFF"/>
              <w:right w:val="single" w:sz="8" w:space="0" w:color="FFFFFF"/>
            </w:tcBorders>
            <w:vAlign w:val="center"/>
            <w:hideMark/>
          </w:tcPr>
          <w:p w14:paraId="5C896832" w14:textId="77777777" w:rsidR="00646716" w:rsidRPr="00E90F9A" w:rsidRDefault="00646716" w:rsidP="00A62D19">
            <w:pPr>
              <w:spacing w:after="0" w:line="240" w:lineRule="auto"/>
              <w:rPr>
                <w:rFonts w:ascii="Times New Roman" w:eastAsia="Times New Roman" w:hAnsi="Times New Roman" w:cs="Times New Roman"/>
                <w:i/>
                <w:iCs/>
                <w:color w:val="000000"/>
                <w:sz w:val="12"/>
                <w:szCs w:val="12"/>
                <w:lang w:eastAsia="es-GT"/>
              </w:rPr>
            </w:pPr>
          </w:p>
        </w:tc>
        <w:tc>
          <w:tcPr>
            <w:tcW w:w="1079" w:type="dxa"/>
            <w:vMerge/>
            <w:tcBorders>
              <w:top w:val="nil"/>
              <w:left w:val="single" w:sz="8" w:space="0" w:color="FFFFFF"/>
              <w:bottom w:val="single" w:sz="8" w:space="0" w:color="FFFFFF"/>
              <w:right w:val="single" w:sz="8" w:space="0" w:color="FFFFFF"/>
            </w:tcBorders>
            <w:vAlign w:val="center"/>
            <w:hideMark/>
          </w:tcPr>
          <w:p w14:paraId="1E6F23D4" w14:textId="77777777" w:rsidR="00646716" w:rsidRPr="00E90F9A"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79" w:type="dxa"/>
            <w:vMerge/>
            <w:tcBorders>
              <w:top w:val="nil"/>
              <w:left w:val="single" w:sz="8" w:space="0" w:color="FFFFFF"/>
              <w:bottom w:val="single" w:sz="8" w:space="0" w:color="FFFFFF"/>
              <w:right w:val="single" w:sz="8" w:space="0" w:color="FFFFFF"/>
            </w:tcBorders>
            <w:vAlign w:val="center"/>
            <w:hideMark/>
          </w:tcPr>
          <w:p w14:paraId="28BE3171" w14:textId="77777777" w:rsidR="00646716" w:rsidRPr="00E90F9A" w:rsidRDefault="00646716" w:rsidP="00A62D19">
            <w:pPr>
              <w:spacing w:after="0" w:line="240" w:lineRule="auto"/>
              <w:rPr>
                <w:rFonts w:ascii="Calibri" w:eastAsia="Times New Roman" w:hAnsi="Calibri" w:cs="Calibri"/>
                <w:color w:val="000000"/>
                <w:lang w:eastAsia="es-GT"/>
              </w:rPr>
            </w:pPr>
          </w:p>
        </w:tc>
        <w:tc>
          <w:tcPr>
            <w:tcW w:w="822" w:type="dxa"/>
            <w:vMerge/>
            <w:tcBorders>
              <w:top w:val="nil"/>
              <w:left w:val="single" w:sz="8" w:space="0" w:color="FFFFFF"/>
              <w:bottom w:val="single" w:sz="8" w:space="0" w:color="FFFFFF"/>
              <w:right w:val="single" w:sz="8" w:space="0" w:color="FFFFFF"/>
            </w:tcBorders>
            <w:vAlign w:val="center"/>
            <w:hideMark/>
          </w:tcPr>
          <w:p w14:paraId="237B8316" w14:textId="77777777" w:rsidR="00646716" w:rsidRPr="00E90F9A" w:rsidRDefault="00646716" w:rsidP="00A62D19">
            <w:pPr>
              <w:spacing w:after="0" w:line="240" w:lineRule="auto"/>
              <w:rPr>
                <w:rFonts w:ascii="Calibri" w:eastAsia="Times New Roman" w:hAnsi="Calibri" w:cs="Calibri"/>
                <w:color w:val="000000"/>
                <w:sz w:val="12"/>
                <w:szCs w:val="12"/>
                <w:lang w:eastAsia="es-GT"/>
              </w:rPr>
            </w:pPr>
          </w:p>
        </w:tc>
        <w:tc>
          <w:tcPr>
            <w:tcW w:w="3473" w:type="dxa"/>
            <w:tcBorders>
              <w:top w:val="nil"/>
              <w:left w:val="nil"/>
              <w:bottom w:val="nil"/>
              <w:right w:val="single" w:sz="8" w:space="0" w:color="FFFFFF"/>
            </w:tcBorders>
            <w:shd w:val="clear" w:color="000000" w:fill="B4C6E7"/>
            <w:vAlign w:val="center"/>
            <w:hideMark/>
          </w:tcPr>
          <w:p w14:paraId="54609DF6" w14:textId="77777777" w:rsidR="00646716" w:rsidRPr="00E90F9A" w:rsidRDefault="00646716" w:rsidP="00A62D19">
            <w:pPr>
              <w:spacing w:after="0" w:line="240" w:lineRule="auto"/>
              <w:rPr>
                <w:rFonts w:ascii="Times New Roman" w:eastAsia="Times New Roman" w:hAnsi="Times New Roman" w:cs="Times New Roman"/>
                <w:i/>
                <w:iCs/>
                <w:color w:val="000000"/>
                <w:sz w:val="10"/>
                <w:szCs w:val="10"/>
                <w:lang w:eastAsia="es-GT"/>
              </w:rPr>
            </w:pPr>
            <w:r w:rsidRPr="00E90F9A">
              <w:rPr>
                <w:rFonts w:ascii="Times New Roman" w:eastAsia="Times New Roman" w:hAnsi="Times New Roman" w:cs="Times New Roman"/>
                <w:i/>
                <w:iCs/>
                <w:color w:val="000000"/>
                <w:sz w:val="10"/>
                <w:szCs w:val="10"/>
                <w:lang w:eastAsia="es-GT"/>
              </w:rPr>
              <w:t>(-) Obras de arte</w:t>
            </w:r>
          </w:p>
        </w:tc>
      </w:tr>
      <w:tr w:rsidR="00646716" w:rsidRPr="00E90F9A" w14:paraId="59C3498C" w14:textId="77777777" w:rsidTr="00A62D19">
        <w:trPr>
          <w:trHeight w:val="229"/>
        </w:trPr>
        <w:tc>
          <w:tcPr>
            <w:tcW w:w="580" w:type="dxa"/>
            <w:vMerge/>
            <w:tcBorders>
              <w:top w:val="nil"/>
              <w:left w:val="single" w:sz="8" w:space="0" w:color="FFFFFF"/>
              <w:bottom w:val="single" w:sz="8" w:space="0" w:color="FFFFFF"/>
              <w:right w:val="single" w:sz="8" w:space="0" w:color="FFFFFF"/>
            </w:tcBorders>
            <w:vAlign w:val="center"/>
            <w:hideMark/>
          </w:tcPr>
          <w:p w14:paraId="13CAA629" w14:textId="77777777" w:rsidR="00646716" w:rsidRPr="00E90F9A" w:rsidRDefault="00646716" w:rsidP="00A62D19">
            <w:pPr>
              <w:spacing w:after="0" w:line="240" w:lineRule="auto"/>
              <w:rPr>
                <w:rFonts w:ascii="Times New Roman" w:eastAsia="Times New Roman" w:hAnsi="Times New Roman" w:cs="Times New Roman"/>
                <w:b/>
                <w:bCs/>
                <w:i/>
                <w:iCs/>
                <w:color w:val="FFFFFF"/>
                <w:sz w:val="12"/>
                <w:szCs w:val="12"/>
                <w:lang w:eastAsia="es-GT"/>
              </w:rPr>
            </w:pPr>
          </w:p>
        </w:tc>
        <w:tc>
          <w:tcPr>
            <w:tcW w:w="1755" w:type="dxa"/>
            <w:vMerge/>
            <w:tcBorders>
              <w:top w:val="nil"/>
              <w:left w:val="single" w:sz="8" w:space="0" w:color="FFFFFF"/>
              <w:bottom w:val="single" w:sz="8" w:space="0" w:color="FFFFFF"/>
              <w:right w:val="single" w:sz="8" w:space="0" w:color="FFFFFF"/>
            </w:tcBorders>
            <w:vAlign w:val="center"/>
            <w:hideMark/>
          </w:tcPr>
          <w:p w14:paraId="60554038" w14:textId="77777777" w:rsidR="00646716" w:rsidRPr="00E90F9A" w:rsidRDefault="00646716" w:rsidP="00A62D19">
            <w:pPr>
              <w:spacing w:after="0" w:line="240" w:lineRule="auto"/>
              <w:rPr>
                <w:rFonts w:ascii="Times New Roman" w:eastAsia="Times New Roman" w:hAnsi="Times New Roman" w:cs="Times New Roman"/>
                <w:i/>
                <w:iCs/>
                <w:color w:val="000000"/>
                <w:sz w:val="12"/>
                <w:szCs w:val="12"/>
                <w:lang w:eastAsia="es-GT"/>
              </w:rPr>
            </w:pPr>
          </w:p>
        </w:tc>
        <w:tc>
          <w:tcPr>
            <w:tcW w:w="1079" w:type="dxa"/>
            <w:vMerge/>
            <w:tcBorders>
              <w:top w:val="nil"/>
              <w:left w:val="single" w:sz="8" w:space="0" w:color="FFFFFF"/>
              <w:bottom w:val="single" w:sz="8" w:space="0" w:color="FFFFFF"/>
              <w:right w:val="single" w:sz="8" w:space="0" w:color="FFFFFF"/>
            </w:tcBorders>
            <w:vAlign w:val="center"/>
            <w:hideMark/>
          </w:tcPr>
          <w:p w14:paraId="418D8F91" w14:textId="77777777" w:rsidR="00646716" w:rsidRPr="00E90F9A"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79" w:type="dxa"/>
            <w:vMerge/>
            <w:tcBorders>
              <w:top w:val="nil"/>
              <w:left w:val="single" w:sz="8" w:space="0" w:color="FFFFFF"/>
              <w:bottom w:val="single" w:sz="8" w:space="0" w:color="FFFFFF"/>
              <w:right w:val="single" w:sz="8" w:space="0" w:color="FFFFFF"/>
            </w:tcBorders>
            <w:vAlign w:val="center"/>
            <w:hideMark/>
          </w:tcPr>
          <w:p w14:paraId="6EC984BD" w14:textId="77777777" w:rsidR="00646716" w:rsidRPr="00E90F9A" w:rsidRDefault="00646716" w:rsidP="00A62D19">
            <w:pPr>
              <w:spacing w:after="0" w:line="240" w:lineRule="auto"/>
              <w:rPr>
                <w:rFonts w:ascii="Calibri" w:eastAsia="Times New Roman" w:hAnsi="Calibri" w:cs="Calibri"/>
                <w:color w:val="000000"/>
                <w:lang w:eastAsia="es-GT"/>
              </w:rPr>
            </w:pPr>
          </w:p>
        </w:tc>
        <w:tc>
          <w:tcPr>
            <w:tcW w:w="822" w:type="dxa"/>
            <w:vMerge/>
            <w:tcBorders>
              <w:top w:val="nil"/>
              <w:left w:val="single" w:sz="8" w:space="0" w:color="FFFFFF"/>
              <w:bottom w:val="single" w:sz="8" w:space="0" w:color="FFFFFF"/>
              <w:right w:val="single" w:sz="8" w:space="0" w:color="FFFFFF"/>
            </w:tcBorders>
            <w:vAlign w:val="center"/>
            <w:hideMark/>
          </w:tcPr>
          <w:p w14:paraId="43F64969" w14:textId="77777777" w:rsidR="00646716" w:rsidRPr="00E90F9A" w:rsidRDefault="00646716" w:rsidP="00A62D19">
            <w:pPr>
              <w:spacing w:after="0" w:line="240" w:lineRule="auto"/>
              <w:rPr>
                <w:rFonts w:ascii="Calibri" w:eastAsia="Times New Roman" w:hAnsi="Calibri" w:cs="Calibri"/>
                <w:color w:val="000000"/>
                <w:sz w:val="12"/>
                <w:szCs w:val="12"/>
                <w:lang w:eastAsia="es-GT"/>
              </w:rPr>
            </w:pPr>
          </w:p>
        </w:tc>
        <w:tc>
          <w:tcPr>
            <w:tcW w:w="3473" w:type="dxa"/>
            <w:tcBorders>
              <w:top w:val="nil"/>
              <w:left w:val="nil"/>
              <w:bottom w:val="single" w:sz="8" w:space="0" w:color="FFFFFF"/>
              <w:right w:val="single" w:sz="8" w:space="0" w:color="FFFFFF"/>
            </w:tcBorders>
            <w:shd w:val="clear" w:color="000000" w:fill="B4C6E7"/>
            <w:vAlign w:val="center"/>
            <w:hideMark/>
          </w:tcPr>
          <w:p w14:paraId="5A6B19A2" w14:textId="77777777" w:rsidR="00646716" w:rsidRPr="00E90F9A" w:rsidRDefault="00646716" w:rsidP="00A62D19">
            <w:pPr>
              <w:spacing w:after="0" w:line="240" w:lineRule="auto"/>
              <w:rPr>
                <w:rFonts w:ascii="Times New Roman" w:eastAsia="Times New Roman" w:hAnsi="Times New Roman" w:cs="Times New Roman"/>
                <w:i/>
                <w:iCs/>
                <w:color w:val="000000"/>
                <w:sz w:val="10"/>
                <w:szCs w:val="10"/>
                <w:lang w:eastAsia="es-GT"/>
              </w:rPr>
            </w:pPr>
            <w:r w:rsidRPr="00E90F9A">
              <w:rPr>
                <w:rFonts w:ascii="Times New Roman" w:eastAsia="Times New Roman" w:hAnsi="Times New Roman" w:cs="Times New Roman"/>
                <w:i/>
                <w:iCs/>
                <w:color w:val="000000"/>
                <w:sz w:val="10"/>
                <w:szCs w:val="10"/>
                <w:lang w:eastAsia="es-GT"/>
              </w:rPr>
              <w:t>(-) Gastos no previstos (inversión)</w:t>
            </w:r>
          </w:p>
        </w:tc>
      </w:tr>
      <w:tr w:rsidR="00646716" w:rsidRPr="00E90F9A" w14:paraId="5942146B" w14:textId="77777777" w:rsidTr="00A62D19">
        <w:trPr>
          <w:trHeight w:val="219"/>
        </w:trPr>
        <w:tc>
          <w:tcPr>
            <w:tcW w:w="580" w:type="dxa"/>
            <w:vMerge w:val="restart"/>
            <w:tcBorders>
              <w:top w:val="nil"/>
              <w:left w:val="single" w:sz="8" w:space="0" w:color="FFFFFF"/>
              <w:bottom w:val="single" w:sz="8" w:space="0" w:color="FFFFFF"/>
              <w:right w:val="single" w:sz="8" w:space="0" w:color="FFFFFF"/>
            </w:tcBorders>
            <w:shd w:val="clear" w:color="000000" w:fill="8496B0"/>
            <w:noWrap/>
            <w:vAlign w:val="center"/>
            <w:hideMark/>
          </w:tcPr>
          <w:p w14:paraId="33E956B4" w14:textId="77777777" w:rsidR="00646716" w:rsidRPr="00E90F9A" w:rsidRDefault="00646716" w:rsidP="00A62D19">
            <w:pPr>
              <w:spacing w:after="0" w:line="240" w:lineRule="auto"/>
              <w:jc w:val="center"/>
              <w:rPr>
                <w:rFonts w:ascii="Times New Roman" w:eastAsia="Times New Roman" w:hAnsi="Times New Roman" w:cs="Times New Roman"/>
                <w:b/>
                <w:bCs/>
                <w:i/>
                <w:iCs/>
                <w:color w:val="FFFFFF"/>
                <w:sz w:val="12"/>
                <w:szCs w:val="12"/>
                <w:lang w:eastAsia="es-GT"/>
              </w:rPr>
            </w:pPr>
            <w:r w:rsidRPr="00E90F9A">
              <w:rPr>
                <w:rFonts w:ascii="Times New Roman" w:eastAsia="Times New Roman" w:hAnsi="Times New Roman" w:cs="Times New Roman"/>
                <w:b/>
                <w:bCs/>
                <w:i/>
                <w:iCs/>
                <w:color w:val="FFFFFF"/>
                <w:sz w:val="12"/>
                <w:szCs w:val="12"/>
                <w:lang w:eastAsia="es-GT"/>
              </w:rPr>
              <w:t>313</w:t>
            </w:r>
          </w:p>
        </w:tc>
        <w:tc>
          <w:tcPr>
            <w:tcW w:w="1755" w:type="dxa"/>
            <w:vMerge w:val="restart"/>
            <w:tcBorders>
              <w:top w:val="nil"/>
              <w:left w:val="single" w:sz="8" w:space="0" w:color="FFFFFF"/>
              <w:bottom w:val="single" w:sz="8" w:space="0" w:color="FFFFFF"/>
              <w:right w:val="single" w:sz="8" w:space="0" w:color="FFFFFF"/>
            </w:tcBorders>
            <w:shd w:val="clear" w:color="000000" w:fill="D9E2F3"/>
            <w:vAlign w:val="center"/>
            <w:hideMark/>
          </w:tcPr>
          <w:p w14:paraId="19AFFEE0" w14:textId="77777777" w:rsidR="00646716" w:rsidRPr="00E90F9A" w:rsidRDefault="00646716" w:rsidP="00A62D19">
            <w:pPr>
              <w:spacing w:after="0" w:line="240" w:lineRule="auto"/>
              <w:rPr>
                <w:rFonts w:ascii="Times New Roman" w:eastAsia="Times New Roman" w:hAnsi="Times New Roman" w:cs="Times New Roman"/>
                <w:i/>
                <w:iCs/>
                <w:color w:val="000000"/>
                <w:sz w:val="12"/>
                <w:szCs w:val="12"/>
                <w:lang w:eastAsia="es-GT"/>
              </w:rPr>
            </w:pPr>
            <w:r w:rsidRPr="00E90F9A">
              <w:rPr>
                <w:rFonts w:ascii="Times New Roman" w:eastAsia="Times New Roman" w:hAnsi="Times New Roman" w:cs="Times New Roman"/>
                <w:i/>
                <w:iCs/>
                <w:color w:val="000000"/>
                <w:sz w:val="12"/>
                <w:szCs w:val="12"/>
                <w:lang w:eastAsia="es-GT"/>
              </w:rPr>
              <w:t>Objetos de valor</w:t>
            </w:r>
          </w:p>
        </w:tc>
        <w:tc>
          <w:tcPr>
            <w:tcW w:w="1079" w:type="dxa"/>
            <w:vMerge w:val="restart"/>
            <w:tcBorders>
              <w:top w:val="nil"/>
              <w:left w:val="single" w:sz="8" w:space="0" w:color="FFFFFF"/>
              <w:bottom w:val="single" w:sz="8" w:space="0" w:color="FFFFFF"/>
              <w:right w:val="single" w:sz="8" w:space="0" w:color="FFFFFF"/>
            </w:tcBorders>
            <w:shd w:val="clear" w:color="000000" w:fill="D9E2F3"/>
            <w:vAlign w:val="center"/>
            <w:hideMark/>
          </w:tcPr>
          <w:p w14:paraId="0FD195CB" w14:textId="77777777" w:rsidR="00646716" w:rsidRPr="00E90F9A"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E90F9A">
              <w:rPr>
                <w:rFonts w:ascii="Times New Roman" w:eastAsia="Times New Roman" w:hAnsi="Times New Roman" w:cs="Times New Roman"/>
                <w:color w:val="000000"/>
                <w:sz w:val="12"/>
                <w:szCs w:val="12"/>
                <w:lang w:eastAsia="es-GT"/>
              </w:rPr>
              <w:t>0.0</w:t>
            </w:r>
          </w:p>
        </w:tc>
        <w:tc>
          <w:tcPr>
            <w:tcW w:w="1079" w:type="dxa"/>
            <w:vMerge w:val="restart"/>
            <w:tcBorders>
              <w:top w:val="nil"/>
              <w:left w:val="single" w:sz="8" w:space="0" w:color="FFFFFF"/>
              <w:bottom w:val="single" w:sz="8" w:space="0" w:color="FFFFFF"/>
              <w:right w:val="single" w:sz="8" w:space="0" w:color="FFFFFF"/>
            </w:tcBorders>
            <w:shd w:val="clear" w:color="000000" w:fill="D9E2F3"/>
            <w:vAlign w:val="center"/>
            <w:hideMark/>
          </w:tcPr>
          <w:p w14:paraId="766C4BFC" w14:textId="77777777" w:rsidR="00646716" w:rsidRPr="00E90F9A" w:rsidRDefault="00646716" w:rsidP="00A62D19">
            <w:pPr>
              <w:spacing w:after="0" w:line="240" w:lineRule="auto"/>
              <w:rPr>
                <w:rFonts w:ascii="Calibri" w:eastAsia="Times New Roman" w:hAnsi="Calibri" w:cs="Calibri"/>
                <w:color w:val="000000"/>
                <w:lang w:eastAsia="es-GT"/>
              </w:rPr>
            </w:pPr>
            <w:r w:rsidRPr="00E90F9A">
              <w:rPr>
                <w:rFonts w:ascii="Calibri" w:eastAsia="Times New Roman" w:hAnsi="Calibri" w:cs="Calibri"/>
                <w:color w:val="000000"/>
                <w:lang w:eastAsia="es-GT"/>
              </w:rPr>
              <w:t> </w:t>
            </w:r>
          </w:p>
        </w:tc>
        <w:tc>
          <w:tcPr>
            <w:tcW w:w="822" w:type="dxa"/>
            <w:vMerge w:val="restart"/>
            <w:tcBorders>
              <w:top w:val="nil"/>
              <w:left w:val="single" w:sz="8" w:space="0" w:color="FFFFFF"/>
              <w:bottom w:val="single" w:sz="8" w:space="0" w:color="FFFFFF"/>
              <w:right w:val="single" w:sz="8" w:space="0" w:color="FFFFFF"/>
            </w:tcBorders>
            <w:shd w:val="clear" w:color="000000" w:fill="D9E2F3"/>
            <w:vAlign w:val="center"/>
            <w:hideMark/>
          </w:tcPr>
          <w:p w14:paraId="33ABE813" w14:textId="77777777" w:rsidR="00646716" w:rsidRPr="00E90F9A" w:rsidRDefault="00646716" w:rsidP="00A62D19">
            <w:pPr>
              <w:spacing w:after="0" w:line="240" w:lineRule="auto"/>
              <w:jc w:val="center"/>
              <w:rPr>
                <w:rFonts w:ascii="Calibri" w:eastAsia="Times New Roman" w:hAnsi="Calibri" w:cs="Calibri"/>
                <w:color w:val="000000"/>
                <w:sz w:val="12"/>
                <w:szCs w:val="12"/>
                <w:lang w:eastAsia="es-GT"/>
              </w:rPr>
            </w:pPr>
            <w:r w:rsidRPr="00E90F9A">
              <w:rPr>
                <w:rFonts w:ascii="Calibri" w:eastAsia="Times New Roman" w:hAnsi="Calibri" w:cs="Calibri"/>
                <w:color w:val="000000"/>
                <w:sz w:val="12"/>
                <w:szCs w:val="12"/>
                <w:lang w:eastAsia="es-GT"/>
              </w:rPr>
              <w:t>0.0</w:t>
            </w:r>
          </w:p>
        </w:tc>
        <w:tc>
          <w:tcPr>
            <w:tcW w:w="3473" w:type="dxa"/>
            <w:tcBorders>
              <w:top w:val="nil"/>
              <w:left w:val="nil"/>
              <w:bottom w:val="nil"/>
              <w:right w:val="single" w:sz="8" w:space="0" w:color="FFFFFF"/>
            </w:tcBorders>
            <w:shd w:val="clear" w:color="000000" w:fill="D9E2F3"/>
            <w:vAlign w:val="center"/>
            <w:hideMark/>
          </w:tcPr>
          <w:p w14:paraId="64F2FF89" w14:textId="77777777" w:rsidR="00646716" w:rsidRPr="00E90F9A" w:rsidRDefault="00646716" w:rsidP="00A62D19">
            <w:pPr>
              <w:spacing w:after="0" w:line="240" w:lineRule="auto"/>
              <w:rPr>
                <w:rFonts w:ascii="Times New Roman" w:eastAsia="Times New Roman" w:hAnsi="Times New Roman" w:cs="Times New Roman"/>
                <w:i/>
                <w:iCs/>
                <w:color w:val="000000"/>
                <w:sz w:val="10"/>
                <w:szCs w:val="10"/>
                <w:lang w:eastAsia="es-GT"/>
              </w:rPr>
            </w:pPr>
            <w:r w:rsidRPr="00E90F9A">
              <w:rPr>
                <w:rFonts w:ascii="Times New Roman" w:eastAsia="Times New Roman" w:hAnsi="Times New Roman" w:cs="Times New Roman"/>
                <w:i/>
                <w:iCs/>
                <w:color w:val="000000"/>
                <w:sz w:val="10"/>
                <w:szCs w:val="10"/>
                <w:lang w:eastAsia="es-GT"/>
              </w:rPr>
              <w:t>(+) Libros y objetos coleccionables</w:t>
            </w:r>
          </w:p>
        </w:tc>
      </w:tr>
      <w:tr w:rsidR="00646716" w:rsidRPr="00E90F9A" w14:paraId="103F0CC3" w14:textId="77777777" w:rsidTr="00A62D19">
        <w:trPr>
          <w:trHeight w:val="229"/>
        </w:trPr>
        <w:tc>
          <w:tcPr>
            <w:tcW w:w="580" w:type="dxa"/>
            <w:vMerge/>
            <w:tcBorders>
              <w:top w:val="nil"/>
              <w:left w:val="single" w:sz="8" w:space="0" w:color="FFFFFF"/>
              <w:bottom w:val="single" w:sz="8" w:space="0" w:color="FFFFFF"/>
              <w:right w:val="single" w:sz="8" w:space="0" w:color="FFFFFF"/>
            </w:tcBorders>
            <w:vAlign w:val="center"/>
            <w:hideMark/>
          </w:tcPr>
          <w:p w14:paraId="57162B0E" w14:textId="77777777" w:rsidR="00646716" w:rsidRPr="00E90F9A" w:rsidRDefault="00646716" w:rsidP="00A62D19">
            <w:pPr>
              <w:spacing w:after="0" w:line="240" w:lineRule="auto"/>
              <w:rPr>
                <w:rFonts w:ascii="Times New Roman" w:eastAsia="Times New Roman" w:hAnsi="Times New Roman" w:cs="Times New Roman"/>
                <w:b/>
                <w:bCs/>
                <w:i/>
                <w:iCs/>
                <w:color w:val="FFFFFF"/>
                <w:sz w:val="12"/>
                <w:szCs w:val="12"/>
                <w:lang w:eastAsia="es-GT"/>
              </w:rPr>
            </w:pPr>
          </w:p>
        </w:tc>
        <w:tc>
          <w:tcPr>
            <w:tcW w:w="1755" w:type="dxa"/>
            <w:vMerge/>
            <w:tcBorders>
              <w:top w:val="nil"/>
              <w:left w:val="single" w:sz="8" w:space="0" w:color="FFFFFF"/>
              <w:bottom w:val="single" w:sz="8" w:space="0" w:color="FFFFFF"/>
              <w:right w:val="single" w:sz="8" w:space="0" w:color="FFFFFF"/>
            </w:tcBorders>
            <w:vAlign w:val="center"/>
            <w:hideMark/>
          </w:tcPr>
          <w:p w14:paraId="087E9E4B" w14:textId="77777777" w:rsidR="00646716" w:rsidRPr="00E90F9A" w:rsidRDefault="00646716" w:rsidP="00A62D19">
            <w:pPr>
              <w:spacing w:after="0" w:line="240" w:lineRule="auto"/>
              <w:rPr>
                <w:rFonts w:ascii="Times New Roman" w:eastAsia="Times New Roman" w:hAnsi="Times New Roman" w:cs="Times New Roman"/>
                <w:i/>
                <w:iCs/>
                <w:color w:val="000000"/>
                <w:sz w:val="12"/>
                <w:szCs w:val="12"/>
                <w:lang w:eastAsia="es-GT"/>
              </w:rPr>
            </w:pPr>
          </w:p>
        </w:tc>
        <w:tc>
          <w:tcPr>
            <w:tcW w:w="1079" w:type="dxa"/>
            <w:vMerge/>
            <w:tcBorders>
              <w:top w:val="nil"/>
              <w:left w:val="single" w:sz="8" w:space="0" w:color="FFFFFF"/>
              <w:bottom w:val="single" w:sz="8" w:space="0" w:color="FFFFFF"/>
              <w:right w:val="single" w:sz="8" w:space="0" w:color="FFFFFF"/>
            </w:tcBorders>
            <w:vAlign w:val="center"/>
            <w:hideMark/>
          </w:tcPr>
          <w:p w14:paraId="7C8B4D6D" w14:textId="77777777" w:rsidR="00646716" w:rsidRPr="00E90F9A" w:rsidRDefault="00646716" w:rsidP="00A62D19">
            <w:pPr>
              <w:spacing w:after="0" w:line="240" w:lineRule="auto"/>
              <w:rPr>
                <w:rFonts w:ascii="Times New Roman" w:eastAsia="Times New Roman" w:hAnsi="Times New Roman" w:cs="Times New Roman"/>
                <w:color w:val="000000"/>
                <w:sz w:val="12"/>
                <w:szCs w:val="12"/>
                <w:lang w:eastAsia="es-GT"/>
              </w:rPr>
            </w:pPr>
          </w:p>
        </w:tc>
        <w:tc>
          <w:tcPr>
            <w:tcW w:w="1079" w:type="dxa"/>
            <w:vMerge/>
            <w:tcBorders>
              <w:top w:val="nil"/>
              <w:left w:val="single" w:sz="8" w:space="0" w:color="FFFFFF"/>
              <w:bottom w:val="single" w:sz="8" w:space="0" w:color="FFFFFF"/>
              <w:right w:val="single" w:sz="8" w:space="0" w:color="FFFFFF"/>
            </w:tcBorders>
            <w:vAlign w:val="center"/>
            <w:hideMark/>
          </w:tcPr>
          <w:p w14:paraId="072658EB" w14:textId="77777777" w:rsidR="00646716" w:rsidRPr="00E90F9A" w:rsidRDefault="00646716" w:rsidP="00A62D19">
            <w:pPr>
              <w:spacing w:after="0" w:line="240" w:lineRule="auto"/>
              <w:rPr>
                <w:rFonts w:ascii="Calibri" w:eastAsia="Times New Roman" w:hAnsi="Calibri" w:cs="Calibri"/>
                <w:color w:val="000000"/>
                <w:lang w:eastAsia="es-GT"/>
              </w:rPr>
            </w:pPr>
          </w:p>
        </w:tc>
        <w:tc>
          <w:tcPr>
            <w:tcW w:w="822" w:type="dxa"/>
            <w:vMerge/>
            <w:tcBorders>
              <w:top w:val="nil"/>
              <w:left w:val="single" w:sz="8" w:space="0" w:color="FFFFFF"/>
              <w:bottom w:val="single" w:sz="8" w:space="0" w:color="FFFFFF"/>
              <w:right w:val="single" w:sz="8" w:space="0" w:color="FFFFFF"/>
            </w:tcBorders>
            <w:vAlign w:val="center"/>
            <w:hideMark/>
          </w:tcPr>
          <w:p w14:paraId="652DEED5" w14:textId="77777777" w:rsidR="00646716" w:rsidRPr="00E90F9A" w:rsidRDefault="00646716" w:rsidP="00A62D19">
            <w:pPr>
              <w:spacing w:after="0" w:line="240" w:lineRule="auto"/>
              <w:rPr>
                <w:rFonts w:ascii="Calibri" w:eastAsia="Times New Roman" w:hAnsi="Calibri" w:cs="Calibri"/>
                <w:color w:val="000000"/>
                <w:sz w:val="12"/>
                <w:szCs w:val="12"/>
                <w:lang w:eastAsia="es-GT"/>
              </w:rPr>
            </w:pPr>
          </w:p>
        </w:tc>
        <w:tc>
          <w:tcPr>
            <w:tcW w:w="3473" w:type="dxa"/>
            <w:tcBorders>
              <w:top w:val="nil"/>
              <w:left w:val="nil"/>
              <w:bottom w:val="single" w:sz="8" w:space="0" w:color="FFFFFF"/>
              <w:right w:val="single" w:sz="8" w:space="0" w:color="FFFFFF"/>
            </w:tcBorders>
            <w:shd w:val="clear" w:color="000000" w:fill="D9E2F3"/>
            <w:vAlign w:val="center"/>
            <w:hideMark/>
          </w:tcPr>
          <w:p w14:paraId="2E305BD0" w14:textId="77777777" w:rsidR="00646716" w:rsidRPr="00E90F9A" w:rsidRDefault="00646716" w:rsidP="00A62D19">
            <w:pPr>
              <w:spacing w:after="0" w:line="240" w:lineRule="auto"/>
              <w:rPr>
                <w:rFonts w:ascii="Times New Roman" w:eastAsia="Times New Roman" w:hAnsi="Times New Roman" w:cs="Times New Roman"/>
                <w:i/>
                <w:iCs/>
                <w:color w:val="000000"/>
                <w:sz w:val="10"/>
                <w:szCs w:val="10"/>
                <w:lang w:eastAsia="es-GT"/>
              </w:rPr>
            </w:pPr>
            <w:r w:rsidRPr="00E90F9A">
              <w:rPr>
                <w:rFonts w:ascii="Times New Roman" w:eastAsia="Times New Roman" w:hAnsi="Times New Roman" w:cs="Times New Roman"/>
                <w:i/>
                <w:iCs/>
                <w:color w:val="000000"/>
                <w:sz w:val="10"/>
                <w:szCs w:val="10"/>
                <w:lang w:eastAsia="es-GT"/>
              </w:rPr>
              <w:t>(+) Obras de arte</w:t>
            </w:r>
          </w:p>
        </w:tc>
      </w:tr>
      <w:tr w:rsidR="00646716" w:rsidRPr="00E90F9A" w14:paraId="77425D1A" w14:textId="77777777" w:rsidTr="00A62D19">
        <w:trPr>
          <w:trHeight w:val="258"/>
        </w:trPr>
        <w:tc>
          <w:tcPr>
            <w:tcW w:w="580" w:type="dxa"/>
            <w:tcBorders>
              <w:top w:val="nil"/>
              <w:left w:val="single" w:sz="8" w:space="0" w:color="FFFFFF"/>
              <w:bottom w:val="single" w:sz="8" w:space="0" w:color="FFFFFF"/>
              <w:right w:val="single" w:sz="8" w:space="0" w:color="FFFFFF"/>
            </w:tcBorders>
            <w:shd w:val="clear" w:color="000000" w:fill="8496B0"/>
            <w:noWrap/>
            <w:vAlign w:val="center"/>
            <w:hideMark/>
          </w:tcPr>
          <w:p w14:paraId="5DD95248" w14:textId="77777777" w:rsidR="00646716" w:rsidRPr="00E90F9A" w:rsidRDefault="00646716" w:rsidP="00A62D19">
            <w:pPr>
              <w:spacing w:after="0" w:line="240" w:lineRule="auto"/>
              <w:jc w:val="center"/>
              <w:rPr>
                <w:rFonts w:ascii="Times New Roman" w:eastAsia="Times New Roman" w:hAnsi="Times New Roman" w:cs="Times New Roman"/>
                <w:b/>
                <w:bCs/>
                <w:i/>
                <w:iCs/>
                <w:color w:val="FFFFFF"/>
                <w:sz w:val="12"/>
                <w:szCs w:val="12"/>
                <w:lang w:eastAsia="es-GT"/>
              </w:rPr>
            </w:pPr>
            <w:r w:rsidRPr="00E90F9A">
              <w:rPr>
                <w:rFonts w:ascii="Times New Roman" w:eastAsia="Times New Roman" w:hAnsi="Times New Roman" w:cs="Times New Roman"/>
                <w:b/>
                <w:bCs/>
                <w:i/>
                <w:iCs/>
                <w:color w:val="FFFFFF"/>
                <w:sz w:val="12"/>
                <w:szCs w:val="12"/>
                <w:lang w:eastAsia="es-GT"/>
              </w:rPr>
              <w:t>314</w:t>
            </w:r>
          </w:p>
        </w:tc>
        <w:tc>
          <w:tcPr>
            <w:tcW w:w="1755" w:type="dxa"/>
            <w:tcBorders>
              <w:top w:val="nil"/>
              <w:left w:val="nil"/>
              <w:bottom w:val="single" w:sz="8" w:space="0" w:color="FFFFFF"/>
              <w:right w:val="single" w:sz="8" w:space="0" w:color="FFFFFF"/>
            </w:tcBorders>
            <w:shd w:val="clear" w:color="000000" w:fill="B4C6E7"/>
            <w:vAlign w:val="center"/>
            <w:hideMark/>
          </w:tcPr>
          <w:p w14:paraId="75366BE5" w14:textId="77777777" w:rsidR="00646716" w:rsidRPr="00E90F9A" w:rsidRDefault="00646716" w:rsidP="00A62D19">
            <w:pPr>
              <w:spacing w:after="0" w:line="240" w:lineRule="auto"/>
              <w:rPr>
                <w:rFonts w:ascii="Times New Roman" w:eastAsia="Times New Roman" w:hAnsi="Times New Roman" w:cs="Times New Roman"/>
                <w:i/>
                <w:iCs/>
                <w:color w:val="000000"/>
                <w:sz w:val="12"/>
                <w:szCs w:val="12"/>
                <w:lang w:eastAsia="es-GT"/>
              </w:rPr>
            </w:pPr>
            <w:r w:rsidRPr="00E90F9A">
              <w:rPr>
                <w:rFonts w:ascii="Times New Roman" w:eastAsia="Times New Roman" w:hAnsi="Times New Roman" w:cs="Times New Roman"/>
                <w:i/>
                <w:iCs/>
                <w:color w:val="000000"/>
                <w:sz w:val="12"/>
                <w:szCs w:val="12"/>
                <w:lang w:eastAsia="es-GT"/>
              </w:rPr>
              <w:t>Activos no producidos</w:t>
            </w:r>
          </w:p>
        </w:tc>
        <w:tc>
          <w:tcPr>
            <w:tcW w:w="1079" w:type="dxa"/>
            <w:tcBorders>
              <w:top w:val="nil"/>
              <w:left w:val="nil"/>
              <w:bottom w:val="single" w:sz="8" w:space="0" w:color="FFFFFF"/>
              <w:right w:val="single" w:sz="8" w:space="0" w:color="FFFFFF"/>
            </w:tcBorders>
            <w:shd w:val="clear" w:color="000000" w:fill="B4C6E7"/>
            <w:vAlign w:val="center"/>
            <w:hideMark/>
          </w:tcPr>
          <w:p w14:paraId="43D624EE" w14:textId="77777777" w:rsidR="00646716" w:rsidRPr="00E90F9A" w:rsidRDefault="00646716" w:rsidP="00A62D19">
            <w:pPr>
              <w:spacing w:after="0" w:line="240" w:lineRule="auto"/>
              <w:jc w:val="center"/>
              <w:rPr>
                <w:rFonts w:ascii="Times New Roman" w:eastAsia="Times New Roman" w:hAnsi="Times New Roman" w:cs="Times New Roman"/>
                <w:color w:val="000000"/>
                <w:sz w:val="12"/>
                <w:szCs w:val="12"/>
                <w:lang w:eastAsia="es-GT"/>
              </w:rPr>
            </w:pPr>
            <w:r w:rsidRPr="00E90F9A">
              <w:rPr>
                <w:rFonts w:ascii="Times New Roman" w:eastAsia="Times New Roman" w:hAnsi="Times New Roman" w:cs="Times New Roman"/>
                <w:color w:val="000000"/>
                <w:sz w:val="12"/>
                <w:szCs w:val="12"/>
                <w:lang w:eastAsia="es-GT"/>
              </w:rPr>
              <w:t>0.0</w:t>
            </w:r>
          </w:p>
        </w:tc>
        <w:tc>
          <w:tcPr>
            <w:tcW w:w="1079" w:type="dxa"/>
            <w:tcBorders>
              <w:top w:val="nil"/>
              <w:left w:val="nil"/>
              <w:bottom w:val="single" w:sz="8" w:space="0" w:color="FFFFFF"/>
              <w:right w:val="single" w:sz="8" w:space="0" w:color="FFFFFF"/>
            </w:tcBorders>
            <w:shd w:val="clear" w:color="000000" w:fill="B4C6E7"/>
            <w:vAlign w:val="center"/>
            <w:hideMark/>
          </w:tcPr>
          <w:p w14:paraId="0953984E" w14:textId="77777777" w:rsidR="00646716" w:rsidRPr="00E90F9A" w:rsidRDefault="00646716" w:rsidP="00A62D19">
            <w:pPr>
              <w:spacing w:after="0" w:line="240" w:lineRule="auto"/>
              <w:rPr>
                <w:rFonts w:ascii="Calibri" w:eastAsia="Times New Roman" w:hAnsi="Calibri" w:cs="Calibri"/>
                <w:color w:val="000000"/>
                <w:lang w:eastAsia="es-GT"/>
              </w:rPr>
            </w:pPr>
            <w:r w:rsidRPr="00E90F9A">
              <w:rPr>
                <w:rFonts w:ascii="Calibri" w:eastAsia="Times New Roman" w:hAnsi="Calibri" w:cs="Calibri"/>
                <w:color w:val="000000"/>
                <w:lang w:eastAsia="es-GT"/>
              </w:rPr>
              <w:t> </w:t>
            </w:r>
          </w:p>
        </w:tc>
        <w:tc>
          <w:tcPr>
            <w:tcW w:w="822" w:type="dxa"/>
            <w:tcBorders>
              <w:top w:val="nil"/>
              <w:left w:val="nil"/>
              <w:bottom w:val="single" w:sz="8" w:space="0" w:color="FFFFFF"/>
              <w:right w:val="single" w:sz="8" w:space="0" w:color="FFFFFF"/>
            </w:tcBorders>
            <w:shd w:val="clear" w:color="000000" w:fill="B4C6E7"/>
            <w:vAlign w:val="center"/>
            <w:hideMark/>
          </w:tcPr>
          <w:p w14:paraId="670693A4" w14:textId="77777777" w:rsidR="00646716" w:rsidRPr="00E90F9A" w:rsidRDefault="00646716" w:rsidP="00A62D19">
            <w:pPr>
              <w:spacing w:after="0" w:line="240" w:lineRule="auto"/>
              <w:jc w:val="center"/>
              <w:rPr>
                <w:rFonts w:ascii="Calibri" w:eastAsia="Times New Roman" w:hAnsi="Calibri" w:cs="Calibri"/>
                <w:color w:val="000000"/>
                <w:sz w:val="12"/>
                <w:szCs w:val="12"/>
                <w:lang w:eastAsia="es-GT"/>
              </w:rPr>
            </w:pPr>
            <w:r w:rsidRPr="00E90F9A">
              <w:rPr>
                <w:rFonts w:ascii="Calibri" w:eastAsia="Times New Roman" w:hAnsi="Calibri" w:cs="Calibri"/>
                <w:color w:val="000000"/>
                <w:sz w:val="12"/>
                <w:szCs w:val="12"/>
                <w:lang w:eastAsia="es-GT"/>
              </w:rPr>
              <w:t>0.0</w:t>
            </w:r>
          </w:p>
        </w:tc>
        <w:tc>
          <w:tcPr>
            <w:tcW w:w="3473" w:type="dxa"/>
            <w:tcBorders>
              <w:top w:val="nil"/>
              <w:left w:val="nil"/>
              <w:bottom w:val="single" w:sz="8" w:space="0" w:color="FFFFFF"/>
              <w:right w:val="single" w:sz="8" w:space="0" w:color="FFFFFF"/>
            </w:tcBorders>
            <w:shd w:val="clear" w:color="000000" w:fill="B4C6E7"/>
            <w:vAlign w:val="center"/>
            <w:hideMark/>
          </w:tcPr>
          <w:p w14:paraId="025AFA56" w14:textId="77777777" w:rsidR="00646716" w:rsidRPr="00E90F9A" w:rsidRDefault="00646716" w:rsidP="00A62D19">
            <w:pPr>
              <w:spacing w:after="0" w:line="240" w:lineRule="auto"/>
              <w:rPr>
                <w:rFonts w:ascii="Times New Roman" w:eastAsia="Times New Roman" w:hAnsi="Times New Roman" w:cs="Times New Roman"/>
                <w:i/>
                <w:iCs/>
                <w:color w:val="000000"/>
                <w:sz w:val="10"/>
                <w:szCs w:val="10"/>
                <w:lang w:eastAsia="es-GT"/>
              </w:rPr>
            </w:pPr>
            <w:r w:rsidRPr="00E90F9A">
              <w:rPr>
                <w:rFonts w:ascii="Times New Roman" w:eastAsia="Times New Roman" w:hAnsi="Times New Roman" w:cs="Times New Roman"/>
                <w:i/>
                <w:iCs/>
                <w:color w:val="000000"/>
                <w:sz w:val="10"/>
                <w:szCs w:val="10"/>
                <w:lang w:eastAsia="es-GT"/>
              </w:rPr>
              <w:t>(+) Tierras y Terrenos</w:t>
            </w:r>
          </w:p>
        </w:tc>
      </w:tr>
      <w:tr w:rsidR="00646716" w:rsidRPr="00E90F9A" w14:paraId="56FFFCDD" w14:textId="77777777" w:rsidTr="00A62D19">
        <w:trPr>
          <w:trHeight w:val="258"/>
        </w:trPr>
        <w:tc>
          <w:tcPr>
            <w:tcW w:w="580" w:type="dxa"/>
            <w:tcBorders>
              <w:top w:val="nil"/>
              <w:left w:val="single" w:sz="8" w:space="0" w:color="FFFFFF"/>
              <w:bottom w:val="single" w:sz="8" w:space="0" w:color="FFFFFF"/>
              <w:right w:val="single" w:sz="8" w:space="0" w:color="FFFFFF"/>
            </w:tcBorders>
            <w:shd w:val="clear" w:color="000000" w:fill="8496B0"/>
            <w:noWrap/>
            <w:vAlign w:val="center"/>
            <w:hideMark/>
          </w:tcPr>
          <w:p w14:paraId="47FAA090" w14:textId="77777777" w:rsidR="00646716" w:rsidRPr="00E90F9A" w:rsidRDefault="00646716" w:rsidP="00A62D19">
            <w:pPr>
              <w:spacing w:after="0" w:line="240" w:lineRule="auto"/>
              <w:jc w:val="center"/>
              <w:rPr>
                <w:rFonts w:ascii="Times New Roman" w:eastAsia="Times New Roman" w:hAnsi="Times New Roman" w:cs="Times New Roman"/>
                <w:b/>
                <w:bCs/>
                <w:i/>
                <w:iCs/>
                <w:color w:val="FFFFFF"/>
                <w:sz w:val="12"/>
                <w:szCs w:val="12"/>
                <w:lang w:eastAsia="es-GT"/>
              </w:rPr>
            </w:pPr>
            <w:r w:rsidRPr="00E90F9A">
              <w:rPr>
                <w:rFonts w:ascii="Times New Roman" w:eastAsia="Times New Roman" w:hAnsi="Times New Roman" w:cs="Times New Roman"/>
                <w:b/>
                <w:bCs/>
                <w:i/>
                <w:iCs/>
                <w:color w:val="FFFFFF"/>
                <w:sz w:val="12"/>
                <w:szCs w:val="12"/>
                <w:lang w:eastAsia="es-GT"/>
              </w:rPr>
              <w:t>2M</w:t>
            </w:r>
          </w:p>
        </w:tc>
        <w:tc>
          <w:tcPr>
            <w:tcW w:w="1755" w:type="dxa"/>
            <w:tcBorders>
              <w:top w:val="nil"/>
              <w:left w:val="nil"/>
              <w:bottom w:val="single" w:sz="8" w:space="0" w:color="FFFFFF"/>
              <w:right w:val="single" w:sz="8" w:space="0" w:color="FFFFFF"/>
            </w:tcBorders>
            <w:shd w:val="clear" w:color="000000" w:fill="D9E2F3"/>
            <w:vAlign w:val="center"/>
            <w:hideMark/>
          </w:tcPr>
          <w:p w14:paraId="74EE974A" w14:textId="77777777" w:rsidR="00646716" w:rsidRPr="00E90F9A" w:rsidRDefault="00646716" w:rsidP="00A62D19">
            <w:pPr>
              <w:spacing w:after="0" w:line="240" w:lineRule="auto"/>
              <w:rPr>
                <w:rFonts w:ascii="Times New Roman" w:eastAsia="Times New Roman" w:hAnsi="Times New Roman" w:cs="Times New Roman"/>
                <w:b/>
                <w:bCs/>
                <w:i/>
                <w:iCs/>
                <w:color w:val="000000"/>
                <w:sz w:val="12"/>
                <w:szCs w:val="12"/>
                <w:lang w:eastAsia="es-GT"/>
              </w:rPr>
            </w:pPr>
            <w:r w:rsidRPr="00E90F9A">
              <w:rPr>
                <w:rFonts w:ascii="Times New Roman" w:eastAsia="Times New Roman" w:hAnsi="Times New Roman" w:cs="Times New Roman"/>
                <w:b/>
                <w:bCs/>
                <w:i/>
                <w:iCs/>
                <w:color w:val="000000"/>
                <w:sz w:val="12"/>
                <w:szCs w:val="12"/>
                <w:lang w:eastAsia="es-GT"/>
              </w:rPr>
              <w:t>Erogación (2+31)</w:t>
            </w:r>
          </w:p>
        </w:tc>
        <w:tc>
          <w:tcPr>
            <w:tcW w:w="1079" w:type="dxa"/>
            <w:tcBorders>
              <w:top w:val="nil"/>
              <w:left w:val="nil"/>
              <w:bottom w:val="single" w:sz="8" w:space="0" w:color="FFFFFF"/>
              <w:right w:val="single" w:sz="8" w:space="0" w:color="FFFFFF"/>
            </w:tcBorders>
            <w:shd w:val="clear" w:color="000000" w:fill="D9E2F3"/>
            <w:vAlign w:val="center"/>
            <w:hideMark/>
          </w:tcPr>
          <w:p w14:paraId="002EF011" w14:textId="77777777" w:rsidR="00646716" w:rsidRPr="00E90F9A" w:rsidRDefault="00646716" w:rsidP="00A62D19">
            <w:pPr>
              <w:spacing w:after="0" w:line="240" w:lineRule="auto"/>
              <w:jc w:val="center"/>
              <w:rPr>
                <w:rFonts w:ascii="Times New Roman" w:eastAsia="Times New Roman" w:hAnsi="Times New Roman" w:cs="Times New Roman"/>
                <w:b/>
                <w:bCs/>
                <w:color w:val="000000"/>
                <w:sz w:val="12"/>
                <w:szCs w:val="12"/>
                <w:lang w:eastAsia="es-GT"/>
              </w:rPr>
            </w:pPr>
            <w:r w:rsidRPr="00E90F9A">
              <w:rPr>
                <w:rFonts w:ascii="Times New Roman" w:eastAsia="Times New Roman" w:hAnsi="Times New Roman" w:cs="Times New Roman"/>
                <w:b/>
                <w:bCs/>
                <w:color w:val="000000"/>
                <w:sz w:val="12"/>
                <w:szCs w:val="12"/>
                <w:lang w:eastAsia="es-GT"/>
              </w:rPr>
              <w:t>15.4</w:t>
            </w:r>
          </w:p>
        </w:tc>
        <w:tc>
          <w:tcPr>
            <w:tcW w:w="1079" w:type="dxa"/>
            <w:tcBorders>
              <w:top w:val="nil"/>
              <w:left w:val="nil"/>
              <w:bottom w:val="single" w:sz="8" w:space="0" w:color="FFFFFF"/>
              <w:right w:val="single" w:sz="8" w:space="0" w:color="FFFFFF"/>
            </w:tcBorders>
            <w:shd w:val="clear" w:color="000000" w:fill="D9E2F3"/>
            <w:vAlign w:val="center"/>
            <w:hideMark/>
          </w:tcPr>
          <w:p w14:paraId="23BC6B28" w14:textId="77777777" w:rsidR="00646716" w:rsidRPr="00E90F9A" w:rsidRDefault="00646716" w:rsidP="00A62D19">
            <w:pPr>
              <w:spacing w:after="0" w:line="240" w:lineRule="auto"/>
              <w:rPr>
                <w:rFonts w:ascii="Calibri" w:eastAsia="Times New Roman" w:hAnsi="Calibri" w:cs="Calibri"/>
                <w:color w:val="000000"/>
                <w:lang w:eastAsia="es-GT"/>
              </w:rPr>
            </w:pPr>
            <w:r w:rsidRPr="00E90F9A">
              <w:rPr>
                <w:rFonts w:ascii="Calibri" w:eastAsia="Times New Roman" w:hAnsi="Calibri" w:cs="Calibri"/>
                <w:color w:val="000000"/>
                <w:lang w:eastAsia="es-GT"/>
              </w:rPr>
              <w:t> </w:t>
            </w:r>
          </w:p>
        </w:tc>
        <w:tc>
          <w:tcPr>
            <w:tcW w:w="822" w:type="dxa"/>
            <w:tcBorders>
              <w:top w:val="nil"/>
              <w:left w:val="nil"/>
              <w:bottom w:val="single" w:sz="8" w:space="0" w:color="FFFFFF"/>
              <w:right w:val="single" w:sz="8" w:space="0" w:color="FFFFFF"/>
            </w:tcBorders>
            <w:shd w:val="clear" w:color="000000" w:fill="D9E2F3"/>
            <w:vAlign w:val="center"/>
            <w:hideMark/>
          </w:tcPr>
          <w:p w14:paraId="0E67B31B" w14:textId="77777777" w:rsidR="00646716" w:rsidRPr="00E90F9A" w:rsidRDefault="00646716" w:rsidP="00A62D19">
            <w:pPr>
              <w:spacing w:after="0" w:line="240" w:lineRule="auto"/>
              <w:jc w:val="center"/>
              <w:rPr>
                <w:rFonts w:ascii="Calibri" w:eastAsia="Times New Roman" w:hAnsi="Calibri" w:cs="Calibri"/>
                <w:color w:val="000000"/>
                <w:sz w:val="12"/>
                <w:szCs w:val="12"/>
                <w:lang w:eastAsia="es-GT"/>
              </w:rPr>
            </w:pPr>
            <w:r w:rsidRPr="00E90F9A">
              <w:rPr>
                <w:rFonts w:ascii="Calibri" w:eastAsia="Times New Roman" w:hAnsi="Calibri" w:cs="Calibri"/>
                <w:color w:val="000000"/>
                <w:sz w:val="12"/>
                <w:szCs w:val="12"/>
                <w:lang w:eastAsia="es-GT"/>
              </w:rPr>
              <w:t>15.4</w:t>
            </w:r>
          </w:p>
        </w:tc>
        <w:tc>
          <w:tcPr>
            <w:tcW w:w="3473" w:type="dxa"/>
            <w:tcBorders>
              <w:top w:val="nil"/>
              <w:left w:val="nil"/>
              <w:bottom w:val="single" w:sz="8" w:space="0" w:color="FFFFFF"/>
              <w:right w:val="single" w:sz="8" w:space="0" w:color="FFFFFF"/>
            </w:tcBorders>
            <w:shd w:val="clear" w:color="000000" w:fill="D9E2F3"/>
            <w:vAlign w:val="center"/>
            <w:hideMark/>
          </w:tcPr>
          <w:p w14:paraId="3B4EBEF1" w14:textId="77777777" w:rsidR="00646716" w:rsidRPr="00E90F9A" w:rsidRDefault="00646716" w:rsidP="00A62D19">
            <w:pPr>
              <w:spacing w:after="0" w:line="240" w:lineRule="auto"/>
              <w:rPr>
                <w:rFonts w:ascii="Times New Roman" w:eastAsia="Times New Roman" w:hAnsi="Times New Roman" w:cs="Times New Roman"/>
                <w:b/>
                <w:bCs/>
                <w:i/>
                <w:iCs/>
                <w:color w:val="000000"/>
                <w:sz w:val="10"/>
                <w:szCs w:val="10"/>
                <w:lang w:eastAsia="es-GT"/>
              </w:rPr>
            </w:pPr>
            <w:r w:rsidRPr="00E90F9A">
              <w:rPr>
                <w:rFonts w:ascii="Times New Roman" w:eastAsia="Times New Roman" w:hAnsi="Times New Roman" w:cs="Times New Roman"/>
                <w:b/>
                <w:bCs/>
                <w:i/>
                <w:iCs/>
                <w:color w:val="000000"/>
                <w:sz w:val="10"/>
                <w:szCs w:val="10"/>
                <w:lang w:eastAsia="es-GT"/>
              </w:rPr>
              <w:t> </w:t>
            </w:r>
          </w:p>
        </w:tc>
      </w:tr>
      <w:tr w:rsidR="00646716" w:rsidRPr="00E90F9A" w14:paraId="24B41826" w14:textId="77777777" w:rsidTr="00A62D19">
        <w:trPr>
          <w:trHeight w:val="219"/>
        </w:trPr>
        <w:tc>
          <w:tcPr>
            <w:tcW w:w="580" w:type="dxa"/>
            <w:vMerge w:val="restart"/>
            <w:tcBorders>
              <w:top w:val="nil"/>
              <w:left w:val="single" w:sz="8" w:space="0" w:color="FFFFFF"/>
              <w:bottom w:val="single" w:sz="8" w:space="0" w:color="FFFFFF"/>
              <w:right w:val="single" w:sz="8" w:space="0" w:color="FFFFFF"/>
            </w:tcBorders>
            <w:shd w:val="clear" w:color="000000" w:fill="8496B0"/>
            <w:noWrap/>
            <w:vAlign w:val="center"/>
            <w:hideMark/>
          </w:tcPr>
          <w:p w14:paraId="359497E8" w14:textId="77777777" w:rsidR="00646716" w:rsidRPr="00E90F9A" w:rsidRDefault="00646716" w:rsidP="00A62D19">
            <w:pPr>
              <w:spacing w:after="0" w:line="240" w:lineRule="auto"/>
              <w:jc w:val="center"/>
              <w:rPr>
                <w:rFonts w:ascii="Times New Roman" w:eastAsia="Times New Roman" w:hAnsi="Times New Roman" w:cs="Times New Roman"/>
                <w:b/>
                <w:bCs/>
                <w:i/>
                <w:iCs/>
                <w:color w:val="FFFFFF"/>
                <w:sz w:val="12"/>
                <w:szCs w:val="12"/>
                <w:lang w:eastAsia="es-GT"/>
              </w:rPr>
            </w:pPr>
            <w:r w:rsidRPr="00E90F9A">
              <w:rPr>
                <w:rFonts w:ascii="Times New Roman" w:eastAsia="Times New Roman" w:hAnsi="Times New Roman" w:cs="Times New Roman"/>
                <w:b/>
                <w:bCs/>
                <w:i/>
                <w:iCs/>
                <w:color w:val="FFFFFF"/>
                <w:sz w:val="12"/>
                <w:szCs w:val="12"/>
                <w:lang w:eastAsia="es-GT"/>
              </w:rPr>
              <w:t>NLB</w:t>
            </w:r>
          </w:p>
        </w:tc>
        <w:tc>
          <w:tcPr>
            <w:tcW w:w="1755" w:type="dxa"/>
            <w:vMerge w:val="restart"/>
            <w:tcBorders>
              <w:top w:val="nil"/>
              <w:left w:val="single" w:sz="8" w:space="0" w:color="FFFFFF"/>
              <w:bottom w:val="single" w:sz="8" w:space="0" w:color="FFFFFF"/>
              <w:right w:val="single" w:sz="8" w:space="0" w:color="FFFFFF"/>
            </w:tcBorders>
            <w:shd w:val="clear" w:color="000000" w:fill="B4C6E7"/>
            <w:vAlign w:val="center"/>
            <w:hideMark/>
          </w:tcPr>
          <w:p w14:paraId="20946F28" w14:textId="77777777" w:rsidR="00646716" w:rsidRPr="00E90F9A" w:rsidRDefault="00646716" w:rsidP="00A62D19">
            <w:pPr>
              <w:spacing w:after="0" w:line="240" w:lineRule="auto"/>
              <w:rPr>
                <w:rFonts w:ascii="Times New Roman" w:eastAsia="Times New Roman" w:hAnsi="Times New Roman" w:cs="Times New Roman"/>
                <w:b/>
                <w:bCs/>
                <w:i/>
                <w:iCs/>
                <w:color w:val="000000"/>
                <w:sz w:val="12"/>
                <w:szCs w:val="12"/>
                <w:lang w:eastAsia="es-GT"/>
              </w:rPr>
            </w:pPr>
            <w:r w:rsidRPr="00E90F9A">
              <w:rPr>
                <w:rFonts w:ascii="Times New Roman" w:eastAsia="Times New Roman" w:hAnsi="Times New Roman" w:cs="Times New Roman"/>
                <w:b/>
                <w:bCs/>
                <w:i/>
                <w:iCs/>
                <w:color w:val="000000"/>
                <w:sz w:val="12"/>
                <w:szCs w:val="12"/>
                <w:lang w:eastAsia="es-GT"/>
              </w:rPr>
              <w:t>Préstamo neto (+) / endeudamiento neto (-) (1-2-31) o (1-2M)</w:t>
            </w:r>
          </w:p>
        </w:tc>
        <w:tc>
          <w:tcPr>
            <w:tcW w:w="1079" w:type="dxa"/>
            <w:vMerge w:val="restart"/>
            <w:tcBorders>
              <w:top w:val="nil"/>
              <w:left w:val="single" w:sz="8" w:space="0" w:color="FFFFFF"/>
              <w:bottom w:val="single" w:sz="8" w:space="0" w:color="FFFFFF"/>
              <w:right w:val="single" w:sz="8" w:space="0" w:color="FFFFFF"/>
            </w:tcBorders>
            <w:shd w:val="clear" w:color="000000" w:fill="B4C6E7"/>
            <w:vAlign w:val="center"/>
            <w:hideMark/>
          </w:tcPr>
          <w:p w14:paraId="79791D21" w14:textId="77777777" w:rsidR="00646716" w:rsidRPr="00E90F9A" w:rsidRDefault="00646716" w:rsidP="00A62D19">
            <w:pPr>
              <w:spacing w:after="0" w:line="240" w:lineRule="auto"/>
              <w:jc w:val="center"/>
              <w:rPr>
                <w:rFonts w:ascii="Times New Roman" w:eastAsia="Times New Roman" w:hAnsi="Times New Roman" w:cs="Times New Roman"/>
                <w:b/>
                <w:bCs/>
                <w:color w:val="000000"/>
                <w:sz w:val="12"/>
                <w:szCs w:val="12"/>
                <w:lang w:eastAsia="es-GT"/>
              </w:rPr>
            </w:pPr>
            <w:r w:rsidRPr="00E90F9A">
              <w:rPr>
                <w:rFonts w:ascii="Times New Roman" w:eastAsia="Times New Roman" w:hAnsi="Times New Roman" w:cs="Times New Roman"/>
                <w:b/>
                <w:bCs/>
                <w:color w:val="000000"/>
                <w:sz w:val="12"/>
                <w:szCs w:val="12"/>
                <w:lang w:eastAsia="es-GT"/>
              </w:rPr>
              <w:t>-4.4</w:t>
            </w:r>
          </w:p>
        </w:tc>
        <w:tc>
          <w:tcPr>
            <w:tcW w:w="1079" w:type="dxa"/>
            <w:vMerge w:val="restart"/>
            <w:tcBorders>
              <w:top w:val="nil"/>
              <w:left w:val="single" w:sz="8" w:space="0" w:color="FFFFFF"/>
              <w:bottom w:val="single" w:sz="8" w:space="0" w:color="FFFFFF"/>
              <w:right w:val="single" w:sz="8" w:space="0" w:color="FFFFFF"/>
            </w:tcBorders>
            <w:shd w:val="clear" w:color="000000" w:fill="B4C6E7"/>
            <w:vAlign w:val="center"/>
            <w:hideMark/>
          </w:tcPr>
          <w:p w14:paraId="365F85C2" w14:textId="77777777" w:rsidR="00646716" w:rsidRPr="00E90F9A" w:rsidRDefault="00646716" w:rsidP="00A62D19">
            <w:pPr>
              <w:spacing w:after="0" w:line="240" w:lineRule="auto"/>
              <w:jc w:val="center"/>
              <w:rPr>
                <w:rFonts w:ascii="Times New Roman" w:eastAsia="Times New Roman" w:hAnsi="Times New Roman" w:cs="Times New Roman"/>
                <w:b/>
                <w:bCs/>
                <w:color w:val="000000"/>
                <w:sz w:val="12"/>
                <w:szCs w:val="12"/>
                <w:lang w:eastAsia="es-GT"/>
              </w:rPr>
            </w:pPr>
            <w:r w:rsidRPr="00E90F9A">
              <w:rPr>
                <w:rFonts w:ascii="Times New Roman" w:eastAsia="Times New Roman" w:hAnsi="Times New Roman" w:cs="Times New Roman"/>
                <w:b/>
                <w:bCs/>
                <w:color w:val="000000"/>
                <w:sz w:val="12"/>
                <w:szCs w:val="12"/>
                <w:lang w:eastAsia="es-GT"/>
              </w:rPr>
              <w:t>-4.9</w:t>
            </w:r>
          </w:p>
        </w:tc>
        <w:tc>
          <w:tcPr>
            <w:tcW w:w="822" w:type="dxa"/>
            <w:vMerge w:val="restart"/>
            <w:tcBorders>
              <w:top w:val="nil"/>
              <w:left w:val="single" w:sz="8" w:space="0" w:color="FFFFFF"/>
              <w:bottom w:val="single" w:sz="8" w:space="0" w:color="FFFFFF"/>
              <w:right w:val="single" w:sz="8" w:space="0" w:color="FFFFFF"/>
            </w:tcBorders>
            <w:shd w:val="clear" w:color="000000" w:fill="B4C6E7"/>
            <w:vAlign w:val="center"/>
            <w:hideMark/>
          </w:tcPr>
          <w:p w14:paraId="099B263E" w14:textId="77777777" w:rsidR="00646716" w:rsidRPr="00E90F9A" w:rsidRDefault="00646716" w:rsidP="00A62D19">
            <w:pPr>
              <w:spacing w:after="0" w:line="240" w:lineRule="auto"/>
              <w:jc w:val="center"/>
              <w:rPr>
                <w:rFonts w:ascii="Times New Roman" w:eastAsia="Times New Roman" w:hAnsi="Times New Roman" w:cs="Times New Roman"/>
                <w:b/>
                <w:bCs/>
                <w:color w:val="000000"/>
                <w:sz w:val="12"/>
                <w:szCs w:val="12"/>
                <w:lang w:eastAsia="es-GT"/>
              </w:rPr>
            </w:pPr>
            <w:r w:rsidRPr="00E90F9A">
              <w:rPr>
                <w:rFonts w:ascii="Times New Roman" w:eastAsia="Times New Roman" w:hAnsi="Times New Roman" w:cs="Times New Roman"/>
                <w:b/>
                <w:bCs/>
                <w:color w:val="000000"/>
                <w:sz w:val="12"/>
                <w:szCs w:val="12"/>
                <w:lang w:eastAsia="es-GT"/>
              </w:rPr>
              <w:t>0.6</w:t>
            </w:r>
          </w:p>
        </w:tc>
        <w:tc>
          <w:tcPr>
            <w:tcW w:w="3473" w:type="dxa"/>
            <w:tcBorders>
              <w:top w:val="nil"/>
              <w:left w:val="nil"/>
              <w:bottom w:val="nil"/>
              <w:right w:val="single" w:sz="8" w:space="0" w:color="FFFFFF"/>
            </w:tcBorders>
            <w:shd w:val="clear" w:color="000000" w:fill="B4C6E7"/>
            <w:noWrap/>
            <w:vAlign w:val="center"/>
            <w:hideMark/>
          </w:tcPr>
          <w:p w14:paraId="2016C5EF" w14:textId="77777777" w:rsidR="00646716" w:rsidRPr="00E90F9A" w:rsidRDefault="00646716" w:rsidP="00A62D19">
            <w:pPr>
              <w:spacing w:after="0" w:line="240" w:lineRule="auto"/>
              <w:rPr>
                <w:rFonts w:ascii="Times New Roman" w:eastAsia="Times New Roman" w:hAnsi="Times New Roman" w:cs="Times New Roman"/>
                <w:b/>
                <w:bCs/>
                <w:i/>
                <w:iCs/>
                <w:color w:val="000000"/>
                <w:sz w:val="10"/>
                <w:szCs w:val="10"/>
                <w:lang w:eastAsia="es-GT"/>
              </w:rPr>
            </w:pPr>
            <w:r w:rsidRPr="00E90F9A">
              <w:rPr>
                <w:rFonts w:ascii="Times New Roman" w:eastAsia="Times New Roman" w:hAnsi="Times New Roman" w:cs="Times New Roman"/>
                <w:b/>
                <w:bCs/>
                <w:i/>
                <w:iCs/>
                <w:color w:val="000000"/>
                <w:sz w:val="10"/>
                <w:szCs w:val="10"/>
                <w:lang w:eastAsia="es-GT"/>
              </w:rPr>
              <w:t>En los ingresos</w:t>
            </w:r>
          </w:p>
        </w:tc>
      </w:tr>
      <w:tr w:rsidR="00646716" w:rsidRPr="00E90F9A" w14:paraId="0F1C5ACE" w14:textId="77777777" w:rsidTr="00A62D19">
        <w:trPr>
          <w:trHeight w:val="219"/>
        </w:trPr>
        <w:tc>
          <w:tcPr>
            <w:tcW w:w="580" w:type="dxa"/>
            <w:vMerge/>
            <w:tcBorders>
              <w:top w:val="nil"/>
              <w:left w:val="single" w:sz="8" w:space="0" w:color="FFFFFF"/>
              <w:bottom w:val="single" w:sz="8" w:space="0" w:color="FFFFFF"/>
              <w:right w:val="single" w:sz="8" w:space="0" w:color="FFFFFF"/>
            </w:tcBorders>
            <w:vAlign w:val="center"/>
            <w:hideMark/>
          </w:tcPr>
          <w:p w14:paraId="2C0F37BB" w14:textId="77777777" w:rsidR="00646716" w:rsidRPr="00E90F9A" w:rsidRDefault="00646716" w:rsidP="00A62D19">
            <w:pPr>
              <w:spacing w:after="0" w:line="240" w:lineRule="auto"/>
              <w:rPr>
                <w:rFonts w:ascii="Times New Roman" w:eastAsia="Times New Roman" w:hAnsi="Times New Roman" w:cs="Times New Roman"/>
                <w:b/>
                <w:bCs/>
                <w:i/>
                <w:iCs/>
                <w:color w:val="FFFFFF"/>
                <w:sz w:val="12"/>
                <w:szCs w:val="12"/>
                <w:lang w:eastAsia="es-GT"/>
              </w:rPr>
            </w:pPr>
          </w:p>
        </w:tc>
        <w:tc>
          <w:tcPr>
            <w:tcW w:w="1755" w:type="dxa"/>
            <w:vMerge/>
            <w:tcBorders>
              <w:top w:val="nil"/>
              <w:left w:val="single" w:sz="8" w:space="0" w:color="FFFFFF"/>
              <w:bottom w:val="single" w:sz="8" w:space="0" w:color="FFFFFF"/>
              <w:right w:val="single" w:sz="8" w:space="0" w:color="FFFFFF"/>
            </w:tcBorders>
            <w:vAlign w:val="center"/>
            <w:hideMark/>
          </w:tcPr>
          <w:p w14:paraId="5ED9D72D" w14:textId="77777777" w:rsidR="00646716" w:rsidRPr="00E90F9A" w:rsidRDefault="00646716" w:rsidP="00A62D19">
            <w:pPr>
              <w:spacing w:after="0" w:line="240" w:lineRule="auto"/>
              <w:rPr>
                <w:rFonts w:ascii="Times New Roman" w:eastAsia="Times New Roman" w:hAnsi="Times New Roman" w:cs="Times New Roman"/>
                <w:b/>
                <w:bCs/>
                <w:i/>
                <w:iCs/>
                <w:color w:val="000000"/>
                <w:sz w:val="12"/>
                <w:szCs w:val="12"/>
                <w:lang w:eastAsia="es-GT"/>
              </w:rPr>
            </w:pPr>
          </w:p>
        </w:tc>
        <w:tc>
          <w:tcPr>
            <w:tcW w:w="1079" w:type="dxa"/>
            <w:vMerge/>
            <w:tcBorders>
              <w:top w:val="nil"/>
              <w:left w:val="single" w:sz="8" w:space="0" w:color="FFFFFF"/>
              <w:bottom w:val="single" w:sz="8" w:space="0" w:color="FFFFFF"/>
              <w:right w:val="single" w:sz="8" w:space="0" w:color="FFFFFF"/>
            </w:tcBorders>
            <w:vAlign w:val="center"/>
            <w:hideMark/>
          </w:tcPr>
          <w:p w14:paraId="6620B5CF" w14:textId="77777777" w:rsidR="00646716" w:rsidRPr="00E90F9A"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1079" w:type="dxa"/>
            <w:vMerge/>
            <w:tcBorders>
              <w:top w:val="nil"/>
              <w:left w:val="single" w:sz="8" w:space="0" w:color="FFFFFF"/>
              <w:bottom w:val="single" w:sz="8" w:space="0" w:color="FFFFFF"/>
              <w:right w:val="single" w:sz="8" w:space="0" w:color="FFFFFF"/>
            </w:tcBorders>
            <w:vAlign w:val="center"/>
            <w:hideMark/>
          </w:tcPr>
          <w:p w14:paraId="0FEBA596" w14:textId="77777777" w:rsidR="00646716" w:rsidRPr="00E90F9A"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822" w:type="dxa"/>
            <w:vMerge/>
            <w:tcBorders>
              <w:top w:val="nil"/>
              <w:left w:val="single" w:sz="8" w:space="0" w:color="FFFFFF"/>
              <w:bottom w:val="single" w:sz="8" w:space="0" w:color="FFFFFF"/>
              <w:right w:val="single" w:sz="8" w:space="0" w:color="FFFFFF"/>
            </w:tcBorders>
            <w:vAlign w:val="center"/>
            <w:hideMark/>
          </w:tcPr>
          <w:p w14:paraId="5E3C27BC" w14:textId="77777777" w:rsidR="00646716" w:rsidRPr="00E90F9A"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3473" w:type="dxa"/>
            <w:tcBorders>
              <w:top w:val="nil"/>
              <w:left w:val="nil"/>
              <w:bottom w:val="nil"/>
              <w:right w:val="single" w:sz="8" w:space="0" w:color="FFFFFF"/>
            </w:tcBorders>
            <w:shd w:val="clear" w:color="000000" w:fill="B4C6E7"/>
            <w:noWrap/>
            <w:vAlign w:val="center"/>
            <w:hideMark/>
          </w:tcPr>
          <w:p w14:paraId="44CD32A2" w14:textId="77777777" w:rsidR="00646716" w:rsidRPr="00E90F9A" w:rsidRDefault="00646716" w:rsidP="00A62D19">
            <w:pPr>
              <w:spacing w:after="0" w:line="240" w:lineRule="auto"/>
              <w:rPr>
                <w:rFonts w:ascii="Times New Roman" w:eastAsia="Times New Roman" w:hAnsi="Times New Roman" w:cs="Times New Roman"/>
                <w:i/>
                <w:iCs/>
                <w:color w:val="000000"/>
                <w:sz w:val="10"/>
                <w:szCs w:val="10"/>
                <w:lang w:eastAsia="es-GT"/>
              </w:rPr>
            </w:pPr>
            <w:r w:rsidRPr="00E90F9A">
              <w:rPr>
                <w:rFonts w:ascii="Times New Roman" w:eastAsia="Times New Roman" w:hAnsi="Times New Roman" w:cs="Times New Roman"/>
                <w:i/>
                <w:iCs/>
                <w:color w:val="000000"/>
                <w:sz w:val="10"/>
                <w:szCs w:val="10"/>
                <w:lang w:eastAsia="es-GT"/>
              </w:rPr>
              <w:t>(-) Diferencias por fluctuaciones cambiarias</w:t>
            </w:r>
          </w:p>
        </w:tc>
      </w:tr>
      <w:tr w:rsidR="00646716" w:rsidRPr="00E90F9A" w14:paraId="0DF92765" w14:textId="77777777" w:rsidTr="00A62D19">
        <w:trPr>
          <w:trHeight w:val="219"/>
        </w:trPr>
        <w:tc>
          <w:tcPr>
            <w:tcW w:w="580" w:type="dxa"/>
            <w:vMerge/>
            <w:tcBorders>
              <w:top w:val="nil"/>
              <w:left w:val="single" w:sz="8" w:space="0" w:color="FFFFFF"/>
              <w:bottom w:val="single" w:sz="8" w:space="0" w:color="FFFFFF"/>
              <w:right w:val="single" w:sz="8" w:space="0" w:color="FFFFFF"/>
            </w:tcBorders>
            <w:vAlign w:val="center"/>
            <w:hideMark/>
          </w:tcPr>
          <w:p w14:paraId="4DD43E2B" w14:textId="77777777" w:rsidR="00646716" w:rsidRPr="00E90F9A" w:rsidRDefault="00646716" w:rsidP="00A62D19">
            <w:pPr>
              <w:spacing w:after="0" w:line="240" w:lineRule="auto"/>
              <w:rPr>
                <w:rFonts w:ascii="Times New Roman" w:eastAsia="Times New Roman" w:hAnsi="Times New Roman" w:cs="Times New Roman"/>
                <w:b/>
                <w:bCs/>
                <w:i/>
                <w:iCs/>
                <w:color w:val="FFFFFF"/>
                <w:sz w:val="12"/>
                <w:szCs w:val="12"/>
                <w:lang w:eastAsia="es-GT"/>
              </w:rPr>
            </w:pPr>
          </w:p>
        </w:tc>
        <w:tc>
          <w:tcPr>
            <w:tcW w:w="1755" w:type="dxa"/>
            <w:vMerge/>
            <w:tcBorders>
              <w:top w:val="nil"/>
              <w:left w:val="single" w:sz="8" w:space="0" w:color="FFFFFF"/>
              <w:bottom w:val="single" w:sz="8" w:space="0" w:color="FFFFFF"/>
              <w:right w:val="single" w:sz="8" w:space="0" w:color="FFFFFF"/>
            </w:tcBorders>
            <w:vAlign w:val="center"/>
            <w:hideMark/>
          </w:tcPr>
          <w:p w14:paraId="6261CD56" w14:textId="77777777" w:rsidR="00646716" w:rsidRPr="00E90F9A" w:rsidRDefault="00646716" w:rsidP="00A62D19">
            <w:pPr>
              <w:spacing w:after="0" w:line="240" w:lineRule="auto"/>
              <w:rPr>
                <w:rFonts w:ascii="Times New Roman" w:eastAsia="Times New Roman" w:hAnsi="Times New Roman" w:cs="Times New Roman"/>
                <w:b/>
                <w:bCs/>
                <w:i/>
                <w:iCs/>
                <w:color w:val="000000"/>
                <w:sz w:val="12"/>
                <w:szCs w:val="12"/>
                <w:lang w:eastAsia="es-GT"/>
              </w:rPr>
            </w:pPr>
          </w:p>
        </w:tc>
        <w:tc>
          <w:tcPr>
            <w:tcW w:w="1079" w:type="dxa"/>
            <w:vMerge/>
            <w:tcBorders>
              <w:top w:val="nil"/>
              <w:left w:val="single" w:sz="8" w:space="0" w:color="FFFFFF"/>
              <w:bottom w:val="single" w:sz="8" w:space="0" w:color="FFFFFF"/>
              <w:right w:val="single" w:sz="8" w:space="0" w:color="FFFFFF"/>
            </w:tcBorders>
            <w:vAlign w:val="center"/>
            <w:hideMark/>
          </w:tcPr>
          <w:p w14:paraId="5D0F54A7" w14:textId="77777777" w:rsidR="00646716" w:rsidRPr="00E90F9A"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1079" w:type="dxa"/>
            <w:vMerge/>
            <w:tcBorders>
              <w:top w:val="nil"/>
              <w:left w:val="single" w:sz="8" w:space="0" w:color="FFFFFF"/>
              <w:bottom w:val="single" w:sz="8" w:space="0" w:color="FFFFFF"/>
              <w:right w:val="single" w:sz="8" w:space="0" w:color="FFFFFF"/>
            </w:tcBorders>
            <w:vAlign w:val="center"/>
            <w:hideMark/>
          </w:tcPr>
          <w:p w14:paraId="302F6089" w14:textId="77777777" w:rsidR="00646716" w:rsidRPr="00E90F9A"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822" w:type="dxa"/>
            <w:vMerge/>
            <w:tcBorders>
              <w:top w:val="nil"/>
              <w:left w:val="single" w:sz="8" w:space="0" w:color="FFFFFF"/>
              <w:bottom w:val="single" w:sz="8" w:space="0" w:color="FFFFFF"/>
              <w:right w:val="single" w:sz="8" w:space="0" w:color="FFFFFF"/>
            </w:tcBorders>
            <w:vAlign w:val="center"/>
            <w:hideMark/>
          </w:tcPr>
          <w:p w14:paraId="249747C1" w14:textId="77777777" w:rsidR="00646716" w:rsidRPr="00E90F9A"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3473" w:type="dxa"/>
            <w:tcBorders>
              <w:top w:val="nil"/>
              <w:left w:val="nil"/>
              <w:bottom w:val="nil"/>
              <w:right w:val="single" w:sz="8" w:space="0" w:color="FFFFFF"/>
            </w:tcBorders>
            <w:shd w:val="clear" w:color="000000" w:fill="B4C6E7"/>
            <w:noWrap/>
            <w:vAlign w:val="center"/>
            <w:hideMark/>
          </w:tcPr>
          <w:p w14:paraId="5AA884BD" w14:textId="77777777" w:rsidR="00646716" w:rsidRPr="00E90F9A" w:rsidRDefault="00646716" w:rsidP="00A62D19">
            <w:pPr>
              <w:spacing w:after="0" w:line="240" w:lineRule="auto"/>
              <w:rPr>
                <w:rFonts w:ascii="Times New Roman" w:eastAsia="Times New Roman" w:hAnsi="Times New Roman" w:cs="Times New Roman"/>
                <w:i/>
                <w:iCs/>
                <w:color w:val="000000"/>
                <w:sz w:val="10"/>
                <w:szCs w:val="10"/>
                <w:lang w:eastAsia="es-GT"/>
              </w:rPr>
            </w:pPr>
            <w:r w:rsidRPr="00E90F9A">
              <w:rPr>
                <w:rFonts w:ascii="Times New Roman" w:eastAsia="Times New Roman" w:hAnsi="Times New Roman" w:cs="Times New Roman"/>
                <w:i/>
                <w:iCs/>
                <w:color w:val="000000"/>
                <w:sz w:val="10"/>
                <w:szCs w:val="10"/>
                <w:lang w:eastAsia="es-GT"/>
              </w:rPr>
              <w:t>(-) Ingresos de capital</w:t>
            </w:r>
          </w:p>
        </w:tc>
      </w:tr>
      <w:tr w:rsidR="00646716" w:rsidRPr="00E90F9A" w14:paraId="1A0F3C93" w14:textId="77777777" w:rsidTr="00A62D19">
        <w:trPr>
          <w:trHeight w:val="219"/>
        </w:trPr>
        <w:tc>
          <w:tcPr>
            <w:tcW w:w="580" w:type="dxa"/>
            <w:vMerge/>
            <w:tcBorders>
              <w:top w:val="nil"/>
              <w:left w:val="single" w:sz="8" w:space="0" w:color="FFFFFF"/>
              <w:bottom w:val="single" w:sz="8" w:space="0" w:color="FFFFFF"/>
              <w:right w:val="single" w:sz="8" w:space="0" w:color="FFFFFF"/>
            </w:tcBorders>
            <w:vAlign w:val="center"/>
            <w:hideMark/>
          </w:tcPr>
          <w:p w14:paraId="2A691447" w14:textId="77777777" w:rsidR="00646716" w:rsidRPr="00E90F9A" w:rsidRDefault="00646716" w:rsidP="00A62D19">
            <w:pPr>
              <w:spacing w:after="0" w:line="240" w:lineRule="auto"/>
              <w:rPr>
                <w:rFonts w:ascii="Times New Roman" w:eastAsia="Times New Roman" w:hAnsi="Times New Roman" w:cs="Times New Roman"/>
                <w:b/>
                <w:bCs/>
                <w:i/>
                <w:iCs/>
                <w:color w:val="FFFFFF"/>
                <w:sz w:val="12"/>
                <w:szCs w:val="12"/>
                <w:lang w:eastAsia="es-GT"/>
              </w:rPr>
            </w:pPr>
          </w:p>
        </w:tc>
        <w:tc>
          <w:tcPr>
            <w:tcW w:w="1755" w:type="dxa"/>
            <w:vMerge/>
            <w:tcBorders>
              <w:top w:val="nil"/>
              <w:left w:val="single" w:sz="8" w:space="0" w:color="FFFFFF"/>
              <w:bottom w:val="single" w:sz="8" w:space="0" w:color="FFFFFF"/>
              <w:right w:val="single" w:sz="8" w:space="0" w:color="FFFFFF"/>
            </w:tcBorders>
            <w:vAlign w:val="center"/>
            <w:hideMark/>
          </w:tcPr>
          <w:p w14:paraId="1C3B9F51" w14:textId="77777777" w:rsidR="00646716" w:rsidRPr="00E90F9A" w:rsidRDefault="00646716" w:rsidP="00A62D19">
            <w:pPr>
              <w:spacing w:after="0" w:line="240" w:lineRule="auto"/>
              <w:rPr>
                <w:rFonts w:ascii="Times New Roman" w:eastAsia="Times New Roman" w:hAnsi="Times New Roman" w:cs="Times New Roman"/>
                <w:b/>
                <w:bCs/>
                <w:i/>
                <w:iCs/>
                <w:color w:val="000000"/>
                <w:sz w:val="12"/>
                <w:szCs w:val="12"/>
                <w:lang w:eastAsia="es-GT"/>
              </w:rPr>
            </w:pPr>
          </w:p>
        </w:tc>
        <w:tc>
          <w:tcPr>
            <w:tcW w:w="1079" w:type="dxa"/>
            <w:vMerge/>
            <w:tcBorders>
              <w:top w:val="nil"/>
              <w:left w:val="single" w:sz="8" w:space="0" w:color="FFFFFF"/>
              <w:bottom w:val="single" w:sz="8" w:space="0" w:color="FFFFFF"/>
              <w:right w:val="single" w:sz="8" w:space="0" w:color="FFFFFF"/>
            </w:tcBorders>
            <w:vAlign w:val="center"/>
            <w:hideMark/>
          </w:tcPr>
          <w:p w14:paraId="365BB0C1" w14:textId="77777777" w:rsidR="00646716" w:rsidRPr="00E90F9A"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1079" w:type="dxa"/>
            <w:vMerge/>
            <w:tcBorders>
              <w:top w:val="nil"/>
              <w:left w:val="single" w:sz="8" w:space="0" w:color="FFFFFF"/>
              <w:bottom w:val="single" w:sz="8" w:space="0" w:color="FFFFFF"/>
              <w:right w:val="single" w:sz="8" w:space="0" w:color="FFFFFF"/>
            </w:tcBorders>
            <w:vAlign w:val="center"/>
            <w:hideMark/>
          </w:tcPr>
          <w:p w14:paraId="7698BD24" w14:textId="77777777" w:rsidR="00646716" w:rsidRPr="00E90F9A"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822" w:type="dxa"/>
            <w:vMerge/>
            <w:tcBorders>
              <w:top w:val="nil"/>
              <w:left w:val="single" w:sz="8" w:space="0" w:color="FFFFFF"/>
              <w:bottom w:val="single" w:sz="8" w:space="0" w:color="FFFFFF"/>
              <w:right w:val="single" w:sz="8" w:space="0" w:color="FFFFFF"/>
            </w:tcBorders>
            <w:vAlign w:val="center"/>
            <w:hideMark/>
          </w:tcPr>
          <w:p w14:paraId="5C9D16E5" w14:textId="77777777" w:rsidR="00646716" w:rsidRPr="00E90F9A"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3473" w:type="dxa"/>
            <w:tcBorders>
              <w:top w:val="nil"/>
              <w:left w:val="nil"/>
              <w:bottom w:val="nil"/>
              <w:right w:val="single" w:sz="8" w:space="0" w:color="FFFFFF"/>
            </w:tcBorders>
            <w:shd w:val="clear" w:color="000000" w:fill="B4C6E7"/>
            <w:noWrap/>
            <w:vAlign w:val="center"/>
            <w:hideMark/>
          </w:tcPr>
          <w:p w14:paraId="1184431C" w14:textId="77777777" w:rsidR="00646716" w:rsidRPr="00E90F9A" w:rsidRDefault="00646716" w:rsidP="00A62D19">
            <w:pPr>
              <w:spacing w:after="0" w:line="240" w:lineRule="auto"/>
              <w:rPr>
                <w:rFonts w:ascii="Times New Roman" w:eastAsia="Times New Roman" w:hAnsi="Times New Roman" w:cs="Times New Roman"/>
                <w:b/>
                <w:bCs/>
                <w:i/>
                <w:iCs/>
                <w:color w:val="000000"/>
                <w:sz w:val="10"/>
                <w:szCs w:val="10"/>
                <w:lang w:eastAsia="es-GT"/>
              </w:rPr>
            </w:pPr>
            <w:r w:rsidRPr="00E90F9A">
              <w:rPr>
                <w:rFonts w:ascii="Times New Roman" w:eastAsia="Times New Roman" w:hAnsi="Times New Roman" w:cs="Times New Roman"/>
                <w:b/>
                <w:bCs/>
                <w:i/>
                <w:iCs/>
                <w:color w:val="000000"/>
                <w:sz w:val="10"/>
                <w:szCs w:val="10"/>
                <w:lang w:eastAsia="es-GT"/>
              </w:rPr>
              <w:t>En el gasto</w:t>
            </w:r>
          </w:p>
        </w:tc>
      </w:tr>
      <w:tr w:rsidR="00646716" w:rsidRPr="00E90F9A" w14:paraId="5095400E" w14:textId="77777777" w:rsidTr="00A62D19">
        <w:trPr>
          <w:trHeight w:val="219"/>
        </w:trPr>
        <w:tc>
          <w:tcPr>
            <w:tcW w:w="580" w:type="dxa"/>
            <w:vMerge/>
            <w:tcBorders>
              <w:top w:val="nil"/>
              <w:left w:val="single" w:sz="8" w:space="0" w:color="FFFFFF"/>
              <w:bottom w:val="single" w:sz="8" w:space="0" w:color="FFFFFF"/>
              <w:right w:val="single" w:sz="8" w:space="0" w:color="FFFFFF"/>
            </w:tcBorders>
            <w:vAlign w:val="center"/>
            <w:hideMark/>
          </w:tcPr>
          <w:p w14:paraId="55939E1B" w14:textId="77777777" w:rsidR="00646716" w:rsidRPr="00E90F9A" w:rsidRDefault="00646716" w:rsidP="00A62D19">
            <w:pPr>
              <w:spacing w:after="0" w:line="240" w:lineRule="auto"/>
              <w:rPr>
                <w:rFonts w:ascii="Times New Roman" w:eastAsia="Times New Roman" w:hAnsi="Times New Roman" w:cs="Times New Roman"/>
                <w:b/>
                <w:bCs/>
                <w:i/>
                <w:iCs/>
                <w:color w:val="FFFFFF"/>
                <w:sz w:val="12"/>
                <w:szCs w:val="12"/>
                <w:lang w:eastAsia="es-GT"/>
              </w:rPr>
            </w:pPr>
          </w:p>
        </w:tc>
        <w:tc>
          <w:tcPr>
            <w:tcW w:w="1755" w:type="dxa"/>
            <w:vMerge/>
            <w:tcBorders>
              <w:top w:val="nil"/>
              <w:left w:val="single" w:sz="8" w:space="0" w:color="FFFFFF"/>
              <w:bottom w:val="single" w:sz="8" w:space="0" w:color="FFFFFF"/>
              <w:right w:val="single" w:sz="8" w:space="0" w:color="FFFFFF"/>
            </w:tcBorders>
            <w:vAlign w:val="center"/>
            <w:hideMark/>
          </w:tcPr>
          <w:p w14:paraId="1B254F52" w14:textId="77777777" w:rsidR="00646716" w:rsidRPr="00E90F9A" w:rsidRDefault="00646716" w:rsidP="00A62D19">
            <w:pPr>
              <w:spacing w:after="0" w:line="240" w:lineRule="auto"/>
              <w:rPr>
                <w:rFonts w:ascii="Times New Roman" w:eastAsia="Times New Roman" w:hAnsi="Times New Roman" w:cs="Times New Roman"/>
                <w:b/>
                <w:bCs/>
                <w:i/>
                <w:iCs/>
                <w:color w:val="000000"/>
                <w:sz w:val="12"/>
                <w:szCs w:val="12"/>
                <w:lang w:eastAsia="es-GT"/>
              </w:rPr>
            </w:pPr>
          </w:p>
        </w:tc>
        <w:tc>
          <w:tcPr>
            <w:tcW w:w="1079" w:type="dxa"/>
            <w:vMerge/>
            <w:tcBorders>
              <w:top w:val="nil"/>
              <w:left w:val="single" w:sz="8" w:space="0" w:color="FFFFFF"/>
              <w:bottom w:val="single" w:sz="8" w:space="0" w:color="FFFFFF"/>
              <w:right w:val="single" w:sz="8" w:space="0" w:color="FFFFFF"/>
            </w:tcBorders>
            <w:vAlign w:val="center"/>
            <w:hideMark/>
          </w:tcPr>
          <w:p w14:paraId="0160CAA5" w14:textId="77777777" w:rsidR="00646716" w:rsidRPr="00E90F9A"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1079" w:type="dxa"/>
            <w:vMerge/>
            <w:tcBorders>
              <w:top w:val="nil"/>
              <w:left w:val="single" w:sz="8" w:space="0" w:color="FFFFFF"/>
              <w:bottom w:val="single" w:sz="8" w:space="0" w:color="FFFFFF"/>
              <w:right w:val="single" w:sz="8" w:space="0" w:color="FFFFFF"/>
            </w:tcBorders>
            <w:vAlign w:val="center"/>
            <w:hideMark/>
          </w:tcPr>
          <w:p w14:paraId="794AC4D9" w14:textId="77777777" w:rsidR="00646716" w:rsidRPr="00E90F9A"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822" w:type="dxa"/>
            <w:vMerge/>
            <w:tcBorders>
              <w:top w:val="nil"/>
              <w:left w:val="single" w:sz="8" w:space="0" w:color="FFFFFF"/>
              <w:bottom w:val="single" w:sz="8" w:space="0" w:color="FFFFFF"/>
              <w:right w:val="single" w:sz="8" w:space="0" w:color="FFFFFF"/>
            </w:tcBorders>
            <w:vAlign w:val="center"/>
            <w:hideMark/>
          </w:tcPr>
          <w:p w14:paraId="446EBFC7" w14:textId="77777777" w:rsidR="00646716" w:rsidRPr="00E90F9A"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3473" w:type="dxa"/>
            <w:tcBorders>
              <w:top w:val="nil"/>
              <w:left w:val="nil"/>
              <w:bottom w:val="nil"/>
              <w:right w:val="single" w:sz="8" w:space="0" w:color="FFFFFF"/>
            </w:tcBorders>
            <w:shd w:val="clear" w:color="000000" w:fill="B4C6E7"/>
            <w:noWrap/>
            <w:vAlign w:val="center"/>
            <w:hideMark/>
          </w:tcPr>
          <w:p w14:paraId="67C01FEA" w14:textId="77777777" w:rsidR="00646716" w:rsidRPr="00E90F9A" w:rsidRDefault="00646716" w:rsidP="00A62D19">
            <w:pPr>
              <w:spacing w:after="0" w:line="240" w:lineRule="auto"/>
              <w:rPr>
                <w:rFonts w:ascii="Times New Roman" w:eastAsia="Times New Roman" w:hAnsi="Times New Roman" w:cs="Times New Roman"/>
                <w:i/>
                <w:iCs/>
                <w:color w:val="000000"/>
                <w:sz w:val="10"/>
                <w:szCs w:val="10"/>
                <w:lang w:eastAsia="es-GT"/>
              </w:rPr>
            </w:pPr>
            <w:r w:rsidRPr="00E90F9A">
              <w:rPr>
                <w:rFonts w:ascii="Times New Roman" w:eastAsia="Times New Roman" w:hAnsi="Times New Roman" w:cs="Times New Roman"/>
                <w:i/>
                <w:iCs/>
                <w:color w:val="000000"/>
                <w:sz w:val="10"/>
                <w:szCs w:val="10"/>
                <w:lang w:eastAsia="es-GT"/>
              </w:rPr>
              <w:t>(-) Inversiones financieras</w:t>
            </w:r>
          </w:p>
        </w:tc>
      </w:tr>
      <w:tr w:rsidR="00646716" w:rsidRPr="00E90F9A" w14:paraId="6CB40B85" w14:textId="77777777" w:rsidTr="00A62D19">
        <w:trPr>
          <w:trHeight w:val="229"/>
        </w:trPr>
        <w:tc>
          <w:tcPr>
            <w:tcW w:w="580" w:type="dxa"/>
            <w:vMerge/>
            <w:tcBorders>
              <w:top w:val="nil"/>
              <w:left w:val="single" w:sz="8" w:space="0" w:color="FFFFFF"/>
              <w:bottom w:val="single" w:sz="8" w:space="0" w:color="FFFFFF"/>
              <w:right w:val="single" w:sz="8" w:space="0" w:color="FFFFFF"/>
            </w:tcBorders>
            <w:vAlign w:val="center"/>
            <w:hideMark/>
          </w:tcPr>
          <w:p w14:paraId="08C73015" w14:textId="77777777" w:rsidR="00646716" w:rsidRPr="00E90F9A" w:rsidRDefault="00646716" w:rsidP="00A62D19">
            <w:pPr>
              <w:spacing w:after="0" w:line="240" w:lineRule="auto"/>
              <w:rPr>
                <w:rFonts w:ascii="Times New Roman" w:eastAsia="Times New Roman" w:hAnsi="Times New Roman" w:cs="Times New Roman"/>
                <w:b/>
                <w:bCs/>
                <w:i/>
                <w:iCs/>
                <w:color w:val="FFFFFF"/>
                <w:sz w:val="12"/>
                <w:szCs w:val="12"/>
                <w:lang w:eastAsia="es-GT"/>
              </w:rPr>
            </w:pPr>
          </w:p>
        </w:tc>
        <w:tc>
          <w:tcPr>
            <w:tcW w:w="1755" w:type="dxa"/>
            <w:vMerge/>
            <w:tcBorders>
              <w:top w:val="nil"/>
              <w:left w:val="single" w:sz="8" w:space="0" w:color="FFFFFF"/>
              <w:bottom w:val="single" w:sz="8" w:space="0" w:color="FFFFFF"/>
              <w:right w:val="single" w:sz="8" w:space="0" w:color="FFFFFF"/>
            </w:tcBorders>
            <w:vAlign w:val="center"/>
            <w:hideMark/>
          </w:tcPr>
          <w:p w14:paraId="5C8C44AF" w14:textId="77777777" w:rsidR="00646716" w:rsidRPr="00E90F9A" w:rsidRDefault="00646716" w:rsidP="00A62D19">
            <w:pPr>
              <w:spacing w:after="0" w:line="240" w:lineRule="auto"/>
              <w:rPr>
                <w:rFonts w:ascii="Times New Roman" w:eastAsia="Times New Roman" w:hAnsi="Times New Roman" w:cs="Times New Roman"/>
                <w:b/>
                <w:bCs/>
                <w:i/>
                <w:iCs/>
                <w:color w:val="000000"/>
                <w:sz w:val="12"/>
                <w:szCs w:val="12"/>
                <w:lang w:eastAsia="es-GT"/>
              </w:rPr>
            </w:pPr>
          </w:p>
        </w:tc>
        <w:tc>
          <w:tcPr>
            <w:tcW w:w="1079" w:type="dxa"/>
            <w:vMerge/>
            <w:tcBorders>
              <w:top w:val="nil"/>
              <w:left w:val="single" w:sz="8" w:space="0" w:color="FFFFFF"/>
              <w:bottom w:val="single" w:sz="8" w:space="0" w:color="FFFFFF"/>
              <w:right w:val="single" w:sz="8" w:space="0" w:color="FFFFFF"/>
            </w:tcBorders>
            <w:vAlign w:val="center"/>
            <w:hideMark/>
          </w:tcPr>
          <w:p w14:paraId="0C33CA1D" w14:textId="77777777" w:rsidR="00646716" w:rsidRPr="00E90F9A"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1079" w:type="dxa"/>
            <w:vMerge/>
            <w:tcBorders>
              <w:top w:val="nil"/>
              <w:left w:val="single" w:sz="8" w:space="0" w:color="FFFFFF"/>
              <w:bottom w:val="single" w:sz="8" w:space="0" w:color="FFFFFF"/>
              <w:right w:val="single" w:sz="8" w:space="0" w:color="FFFFFF"/>
            </w:tcBorders>
            <w:vAlign w:val="center"/>
            <w:hideMark/>
          </w:tcPr>
          <w:p w14:paraId="39DD7A86" w14:textId="77777777" w:rsidR="00646716" w:rsidRPr="00E90F9A"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822" w:type="dxa"/>
            <w:vMerge/>
            <w:tcBorders>
              <w:top w:val="nil"/>
              <w:left w:val="single" w:sz="8" w:space="0" w:color="FFFFFF"/>
              <w:bottom w:val="single" w:sz="8" w:space="0" w:color="FFFFFF"/>
              <w:right w:val="single" w:sz="8" w:space="0" w:color="FFFFFF"/>
            </w:tcBorders>
            <w:vAlign w:val="center"/>
            <w:hideMark/>
          </w:tcPr>
          <w:p w14:paraId="00B2452B" w14:textId="77777777" w:rsidR="00646716" w:rsidRPr="00E90F9A" w:rsidRDefault="00646716" w:rsidP="00A62D19">
            <w:pPr>
              <w:spacing w:after="0" w:line="240" w:lineRule="auto"/>
              <w:rPr>
                <w:rFonts w:ascii="Times New Roman" w:eastAsia="Times New Roman" w:hAnsi="Times New Roman" w:cs="Times New Roman"/>
                <w:b/>
                <w:bCs/>
                <w:color w:val="000000"/>
                <w:sz w:val="12"/>
                <w:szCs w:val="12"/>
                <w:lang w:eastAsia="es-GT"/>
              </w:rPr>
            </w:pPr>
          </w:p>
        </w:tc>
        <w:tc>
          <w:tcPr>
            <w:tcW w:w="3473" w:type="dxa"/>
            <w:tcBorders>
              <w:top w:val="nil"/>
              <w:left w:val="nil"/>
              <w:bottom w:val="single" w:sz="8" w:space="0" w:color="FFFFFF"/>
              <w:right w:val="single" w:sz="8" w:space="0" w:color="FFFFFF"/>
            </w:tcBorders>
            <w:shd w:val="clear" w:color="000000" w:fill="B4C6E7"/>
            <w:noWrap/>
            <w:vAlign w:val="center"/>
            <w:hideMark/>
          </w:tcPr>
          <w:p w14:paraId="521437F8" w14:textId="77777777" w:rsidR="00646716" w:rsidRPr="00E90F9A" w:rsidRDefault="00646716" w:rsidP="00A62D19">
            <w:pPr>
              <w:spacing w:after="0" w:line="240" w:lineRule="auto"/>
              <w:rPr>
                <w:rFonts w:ascii="Times New Roman" w:eastAsia="Times New Roman" w:hAnsi="Times New Roman" w:cs="Times New Roman"/>
                <w:i/>
                <w:iCs/>
                <w:color w:val="000000"/>
                <w:sz w:val="10"/>
                <w:szCs w:val="10"/>
                <w:lang w:eastAsia="es-GT"/>
              </w:rPr>
            </w:pPr>
            <w:r w:rsidRPr="00E90F9A">
              <w:rPr>
                <w:rFonts w:ascii="Times New Roman" w:eastAsia="Times New Roman" w:hAnsi="Times New Roman" w:cs="Times New Roman"/>
                <w:i/>
                <w:iCs/>
                <w:color w:val="000000"/>
                <w:sz w:val="10"/>
                <w:szCs w:val="10"/>
                <w:lang w:eastAsia="es-GT"/>
              </w:rPr>
              <w:t>(-) Descuentos de deuda</w:t>
            </w:r>
          </w:p>
        </w:tc>
      </w:tr>
    </w:tbl>
    <w:p w14:paraId="522ADE3C" w14:textId="77777777" w:rsidR="00646716" w:rsidRDefault="00646716" w:rsidP="00646716">
      <w:pPr>
        <w:pStyle w:val="Sinespaciado"/>
        <w:jc w:val="both"/>
        <w:rPr>
          <w:rFonts w:ascii="Times New Roman" w:hAnsi="Times New Roman" w:cs="Times New Roman"/>
          <w:sz w:val="16"/>
        </w:rPr>
      </w:pPr>
    </w:p>
    <w:p w14:paraId="519C7372" w14:textId="77777777" w:rsidR="00646716" w:rsidRPr="00D96C79" w:rsidRDefault="00646716" w:rsidP="00646716">
      <w:pPr>
        <w:spacing w:after="0"/>
        <w:jc w:val="both"/>
        <w:rPr>
          <w:rFonts w:ascii="Times New Roman" w:hAnsi="Times New Roman" w:cs="Times New Roman"/>
          <w:b/>
          <w:sz w:val="20"/>
        </w:rPr>
      </w:pPr>
      <w:r w:rsidRPr="00D96C79">
        <w:rPr>
          <w:rFonts w:ascii="Times New Roman" w:hAnsi="Times New Roman" w:cs="Times New Roman"/>
          <w:b/>
          <w:sz w:val="20"/>
        </w:rPr>
        <w:t>Notas:</w:t>
      </w:r>
    </w:p>
    <w:p w14:paraId="7A05B979" w14:textId="77777777" w:rsidR="00646716" w:rsidRPr="00D96C79" w:rsidRDefault="00646716" w:rsidP="00646716">
      <w:pPr>
        <w:spacing w:after="0"/>
        <w:ind w:left="142" w:hanging="142"/>
        <w:rPr>
          <w:rFonts w:ascii="Times New Roman" w:hAnsi="Times New Roman" w:cs="Times New Roman"/>
          <w:i/>
          <w:sz w:val="14"/>
        </w:rPr>
      </w:pPr>
      <w:r w:rsidRPr="00D96C79">
        <w:rPr>
          <w:rFonts w:ascii="Times New Roman" w:hAnsi="Times New Roman" w:cs="Times New Roman"/>
          <w:i/>
          <w:sz w:val="14"/>
        </w:rPr>
        <w:t>1/ Dicha cuenta no aplica para la metodología MEFP2014 dado que solamente existe en las cuentas de la metodología nacional.</w:t>
      </w:r>
    </w:p>
    <w:p w14:paraId="48A947B9" w14:textId="77777777" w:rsidR="00646716" w:rsidRPr="00D96C79" w:rsidRDefault="00646716" w:rsidP="00646716">
      <w:pPr>
        <w:spacing w:after="0"/>
        <w:ind w:left="142" w:hanging="142"/>
        <w:rPr>
          <w:rFonts w:ascii="Times New Roman" w:hAnsi="Times New Roman" w:cs="Times New Roman"/>
          <w:i/>
          <w:sz w:val="14"/>
        </w:rPr>
      </w:pPr>
      <w:r w:rsidRPr="00D96C79">
        <w:rPr>
          <w:rFonts w:ascii="Times New Roman" w:hAnsi="Times New Roman" w:cs="Times New Roman"/>
          <w:i/>
          <w:sz w:val="14"/>
        </w:rPr>
        <w:t>2/ La cifra correspondiente al monto en la metodología nacional, contempla a todo gasto en la situación financiero que no haya sido incluido ninguna otra cuenta.</w:t>
      </w:r>
    </w:p>
    <w:p w14:paraId="21316C49" w14:textId="77777777" w:rsidR="00646716" w:rsidRPr="0089149D" w:rsidRDefault="00646716" w:rsidP="00646716">
      <w:pPr>
        <w:spacing w:after="0"/>
        <w:ind w:left="142" w:hanging="142"/>
        <w:rPr>
          <w:rFonts w:ascii="Times New Roman" w:hAnsi="Times New Roman" w:cs="Times New Roman"/>
          <w:i/>
          <w:sz w:val="14"/>
        </w:rPr>
      </w:pPr>
      <w:r w:rsidRPr="00D96C79">
        <w:rPr>
          <w:rFonts w:ascii="Times New Roman" w:hAnsi="Times New Roman" w:cs="Times New Roman"/>
          <w:i/>
          <w:sz w:val="14"/>
        </w:rPr>
        <w:t>3/ En la metodología nacional no existe las cuentas de transacciones en activos no financieros por lo tanto no se cuenta con un punto de comparación con la metodología MEFP2014</w:t>
      </w:r>
    </w:p>
    <w:p w14:paraId="0013EB77" w14:textId="77777777" w:rsidR="00646716" w:rsidRPr="00EF6DEA" w:rsidRDefault="00646716" w:rsidP="00646716">
      <w:pPr>
        <w:pStyle w:val="Sinespaciado"/>
        <w:ind w:left="1134"/>
        <w:jc w:val="both"/>
        <w:rPr>
          <w:rFonts w:ascii="Times New Roman" w:hAnsi="Times New Roman" w:cs="Times New Roman"/>
          <w:sz w:val="16"/>
        </w:rPr>
      </w:pPr>
    </w:p>
    <w:p w14:paraId="173CD786" w14:textId="77777777" w:rsidR="00646716" w:rsidRDefault="00646716" w:rsidP="001D1FFA">
      <w:pPr>
        <w:pStyle w:val="Prrafodelista"/>
        <w:spacing w:after="0" w:line="240" w:lineRule="auto"/>
        <w:jc w:val="both"/>
        <w:rPr>
          <w:rFonts w:ascii="Times New Roman" w:eastAsia="Calibri" w:hAnsi="Times New Roman" w:cs="Times New Roman"/>
          <w:b/>
        </w:rPr>
      </w:pPr>
      <w:r>
        <w:rPr>
          <w:rFonts w:ascii="Times New Roman" w:eastAsia="Calibri" w:hAnsi="Times New Roman" w:cs="Times New Roman"/>
          <w:b/>
        </w:rPr>
        <w:t>El Gobierno General en las EFP</w:t>
      </w:r>
    </w:p>
    <w:p w14:paraId="1424F85D" w14:textId="77777777" w:rsidR="00646716" w:rsidRDefault="00646716" w:rsidP="00646716">
      <w:pPr>
        <w:spacing w:after="0" w:line="256" w:lineRule="auto"/>
        <w:jc w:val="both"/>
        <w:rPr>
          <w:rFonts w:ascii="Times New Roman" w:eastAsia="Calibri" w:hAnsi="Times New Roman" w:cs="Times New Roman"/>
        </w:rPr>
      </w:pPr>
    </w:p>
    <w:p w14:paraId="6958D042" w14:textId="77777777" w:rsidR="00646716" w:rsidRDefault="00646716" w:rsidP="00646716">
      <w:pPr>
        <w:spacing w:after="0" w:line="256" w:lineRule="auto"/>
        <w:jc w:val="both"/>
        <w:rPr>
          <w:rFonts w:ascii="Times New Roman" w:eastAsia="Calibri" w:hAnsi="Times New Roman" w:cs="Times New Roman"/>
        </w:rPr>
      </w:pPr>
      <w:r>
        <w:rPr>
          <w:rFonts w:ascii="Times New Roman" w:eastAsia="Calibri" w:hAnsi="Times New Roman" w:cs="Times New Roman"/>
        </w:rPr>
        <w:t>Es importante comprender Gobierno Central Presupuestario es solamente una parte del Sector Púbico y que, dentro de este último término, existen diversas subdivisiones. En términos generales, el Sector Público se divide en dos grandes grupos, el primero de ellos son las Sociedades Pública (un grupo de</w:t>
      </w:r>
      <w:r w:rsidRPr="00BC71BA">
        <w:rPr>
          <w:rFonts w:ascii="Times New Roman" w:eastAsia="Calibri" w:hAnsi="Times New Roman" w:cs="Times New Roman"/>
        </w:rPr>
        <w:t xml:space="preserve"> entidades que están bajo el control directo o indirecto del gobierno y que pueden generar utilidades o ganancias financieras</w:t>
      </w:r>
      <w:r>
        <w:rPr>
          <w:rFonts w:ascii="Times New Roman" w:eastAsia="Calibri" w:hAnsi="Times New Roman" w:cs="Times New Roman"/>
        </w:rPr>
        <w:t>) y el segundo son las entidades que pertenecen al Gobierno General.</w:t>
      </w:r>
    </w:p>
    <w:p w14:paraId="0F3A5EC5" w14:textId="77777777" w:rsidR="00646716" w:rsidRDefault="00646716" w:rsidP="00646716">
      <w:pPr>
        <w:spacing w:after="0" w:line="256" w:lineRule="auto"/>
        <w:jc w:val="both"/>
        <w:rPr>
          <w:rFonts w:ascii="Times New Roman" w:eastAsia="Calibri" w:hAnsi="Times New Roman" w:cs="Times New Roman"/>
        </w:rPr>
      </w:pPr>
    </w:p>
    <w:p w14:paraId="4D527752" w14:textId="77777777" w:rsidR="00646716" w:rsidRDefault="00646716" w:rsidP="00646716">
      <w:pPr>
        <w:spacing w:after="0" w:line="256" w:lineRule="auto"/>
        <w:jc w:val="both"/>
        <w:rPr>
          <w:rFonts w:ascii="Times New Roman" w:eastAsia="Calibri" w:hAnsi="Times New Roman" w:cs="Times New Roman"/>
        </w:rPr>
      </w:pPr>
      <w:r>
        <w:rPr>
          <w:rFonts w:ascii="Times New Roman" w:eastAsia="Calibri" w:hAnsi="Times New Roman" w:cs="Times New Roman"/>
        </w:rPr>
        <w:t>El Gobierno General, según</w:t>
      </w:r>
      <w:r w:rsidRPr="00A6177F">
        <w:rPr>
          <w:rFonts w:ascii="Times New Roman" w:eastAsia="Calibri" w:hAnsi="Times New Roman" w:cs="Times New Roman"/>
        </w:rPr>
        <w:t xml:space="preserve"> </w:t>
      </w:r>
      <w:r>
        <w:rPr>
          <w:rFonts w:ascii="Times New Roman" w:eastAsia="Calibri" w:hAnsi="Times New Roman" w:cs="Times New Roman"/>
        </w:rPr>
        <w:t xml:space="preserve">el Manual de Estadísticas de las Finanzas Públicas 2014, está conformado por las entidades </w:t>
      </w:r>
      <w:r w:rsidRPr="00626CC6">
        <w:rPr>
          <w:rFonts w:ascii="Times New Roman" w:eastAsia="Calibri" w:hAnsi="Times New Roman" w:cs="Times New Roman"/>
        </w:rPr>
        <w:t>que tiene</w:t>
      </w:r>
      <w:r>
        <w:rPr>
          <w:rFonts w:ascii="Times New Roman" w:eastAsia="Calibri" w:hAnsi="Times New Roman" w:cs="Times New Roman"/>
        </w:rPr>
        <w:t>n</w:t>
      </w:r>
      <w:r w:rsidRPr="00626CC6">
        <w:rPr>
          <w:rFonts w:ascii="Times New Roman" w:eastAsia="Calibri" w:hAnsi="Times New Roman" w:cs="Times New Roman"/>
        </w:rPr>
        <w:t xml:space="preserve"> como finalidad el llevar a cabo una función de gobierno</w:t>
      </w:r>
      <w:r>
        <w:rPr>
          <w:rFonts w:ascii="Times New Roman" w:eastAsia="Calibri" w:hAnsi="Times New Roman" w:cs="Times New Roman"/>
        </w:rPr>
        <w:t xml:space="preserve"> y el mismo cuenta con tres subdivisiones, estas son:</w:t>
      </w:r>
    </w:p>
    <w:p w14:paraId="6FB850C4" w14:textId="77777777" w:rsidR="00646716" w:rsidRDefault="00646716" w:rsidP="00646716">
      <w:pPr>
        <w:spacing w:after="0" w:line="256" w:lineRule="auto"/>
        <w:jc w:val="both"/>
        <w:rPr>
          <w:rFonts w:ascii="Times New Roman" w:eastAsia="Calibri" w:hAnsi="Times New Roman" w:cs="Times New Roman"/>
        </w:rPr>
      </w:pPr>
    </w:p>
    <w:p w14:paraId="0CFF5017" w14:textId="77777777" w:rsidR="00646716" w:rsidRPr="00626CC6" w:rsidRDefault="00646716" w:rsidP="00646716">
      <w:pPr>
        <w:pStyle w:val="Prrafodelista"/>
        <w:numPr>
          <w:ilvl w:val="0"/>
          <w:numId w:val="53"/>
        </w:numPr>
        <w:spacing w:after="0" w:line="264" w:lineRule="auto"/>
        <w:ind w:left="360"/>
        <w:jc w:val="both"/>
        <w:rPr>
          <w:rFonts w:ascii="Times New Roman" w:hAnsi="Times New Roman" w:cs="Times New Roman"/>
          <w:b/>
        </w:rPr>
      </w:pPr>
      <w:r w:rsidRPr="00626CC6">
        <w:rPr>
          <w:rFonts w:ascii="Times New Roman" w:hAnsi="Times New Roman" w:cs="Times New Roman"/>
          <w:b/>
        </w:rPr>
        <w:t>El Gobierno Central:</w:t>
      </w:r>
      <w:r w:rsidRPr="00626CC6">
        <w:rPr>
          <w:rFonts w:ascii="Times New Roman" w:hAnsi="Times New Roman" w:cs="Times New Roman"/>
          <w:bCs/>
        </w:rPr>
        <w:t xml:space="preserve"> Se constituye por dos subtipos, las entidades del Gobierno Central Presupuestario y el Gobierno Central Extrapresupuestario.</w:t>
      </w:r>
    </w:p>
    <w:p w14:paraId="39B03096" w14:textId="77777777" w:rsidR="00646716" w:rsidRPr="00626CC6" w:rsidRDefault="00646716" w:rsidP="00646716">
      <w:pPr>
        <w:pStyle w:val="Prrafodelista"/>
        <w:ind w:left="-1158"/>
        <w:jc w:val="both"/>
        <w:rPr>
          <w:rFonts w:ascii="Times New Roman" w:hAnsi="Times New Roman" w:cs="Times New Roman"/>
          <w:b/>
        </w:rPr>
      </w:pPr>
    </w:p>
    <w:p w14:paraId="3744C71B" w14:textId="77777777" w:rsidR="00646716" w:rsidRPr="00626CC6" w:rsidRDefault="00646716" w:rsidP="00646716">
      <w:pPr>
        <w:pStyle w:val="Prrafodelista"/>
        <w:numPr>
          <w:ilvl w:val="0"/>
          <w:numId w:val="54"/>
        </w:numPr>
        <w:spacing w:after="0" w:line="264" w:lineRule="auto"/>
        <w:ind w:left="708"/>
        <w:jc w:val="both"/>
        <w:rPr>
          <w:rFonts w:ascii="Times New Roman" w:hAnsi="Times New Roman" w:cs="Times New Roman"/>
          <w:b/>
        </w:rPr>
      </w:pPr>
      <w:r w:rsidRPr="00626CC6">
        <w:rPr>
          <w:rFonts w:ascii="Times New Roman" w:hAnsi="Times New Roman" w:cs="Times New Roman"/>
          <w:b/>
        </w:rPr>
        <w:t xml:space="preserve">Gobierno Central Presupuestario: </w:t>
      </w:r>
      <w:r w:rsidRPr="00626CC6">
        <w:rPr>
          <w:rFonts w:ascii="Times New Roman" w:hAnsi="Times New Roman" w:cs="Times New Roman"/>
          <w:bCs/>
        </w:rPr>
        <w:t>Son todas las entidades que tengan una dependencia de un presupuesto principal o general, en el caso de Guatemala, estas son las que forman parte de Presupuesto General de Ingresos y Egresos del Estado (estas son Presidencia de la República, Ministerios de Estado, Secretarias y Otras Dependencias del Ejecutivo, la Procuraduría General de la Nación, entidades virtuales como el Servicio de la Deuda Pública y las Obligaciones del Estado a Cargo del Tesoro).</w:t>
      </w:r>
    </w:p>
    <w:p w14:paraId="64971DC4" w14:textId="77777777" w:rsidR="00646716" w:rsidRPr="00626CC6" w:rsidRDefault="00646716" w:rsidP="00646716">
      <w:pPr>
        <w:pStyle w:val="Prrafodelista"/>
        <w:ind w:left="-320"/>
        <w:jc w:val="both"/>
        <w:rPr>
          <w:rFonts w:ascii="Times New Roman" w:hAnsi="Times New Roman" w:cs="Times New Roman"/>
          <w:b/>
        </w:rPr>
      </w:pPr>
    </w:p>
    <w:p w14:paraId="145DC292" w14:textId="77777777" w:rsidR="00646716" w:rsidRPr="00626CC6" w:rsidRDefault="00646716" w:rsidP="00646716">
      <w:pPr>
        <w:pStyle w:val="Prrafodelista"/>
        <w:numPr>
          <w:ilvl w:val="0"/>
          <w:numId w:val="54"/>
        </w:numPr>
        <w:spacing w:after="0" w:line="264" w:lineRule="auto"/>
        <w:ind w:left="708"/>
        <w:jc w:val="both"/>
        <w:rPr>
          <w:rFonts w:ascii="Times New Roman" w:hAnsi="Times New Roman" w:cs="Times New Roman"/>
          <w:b/>
        </w:rPr>
      </w:pPr>
      <w:r w:rsidRPr="00626CC6">
        <w:rPr>
          <w:rFonts w:ascii="Times New Roman" w:hAnsi="Times New Roman" w:cs="Times New Roman"/>
          <w:b/>
        </w:rPr>
        <w:t xml:space="preserve">Gobierno Central Extrapresupuestario: </w:t>
      </w:r>
      <w:r w:rsidRPr="00626CC6">
        <w:rPr>
          <w:rFonts w:ascii="Times New Roman" w:hAnsi="Times New Roman" w:cs="Times New Roman"/>
          <w:bCs/>
        </w:rPr>
        <w:t>Son entidades que no dependen de un presupuesto principal o general y en el caso de Guatemala, son principalmente las entidades descentralizadas y autónomas como, por ejemplo, la Universidad de San Carlos de Guatemala.</w:t>
      </w:r>
    </w:p>
    <w:p w14:paraId="6BFE10C3" w14:textId="77777777" w:rsidR="00646716" w:rsidRPr="00626CC6" w:rsidRDefault="00646716" w:rsidP="00646716">
      <w:pPr>
        <w:pStyle w:val="Prrafodelista"/>
        <w:ind w:left="0"/>
        <w:rPr>
          <w:rFonts w:ascii="Times New Roman" w:hAnsi="Times New Roman" w:cs="Times New Roman"/>
          <w:b/>
        </w:rPr>
      </w:pPr>
    </w:p>
    <w:p w14:paraId="0CD5EBC0" w14:textId="77777777" w:rsidR="00646716" w:rsidRPr="00626CC6" w:rsidRDefault="00646716" w:rsidP="00646716">
      <w:pPr>
        <w:pStyle w:val="Prrafodelista"/>
        <w:numPr>
          <w:ilvl w:val="0"/>
          <w:numId w:val="53"/>
        </w:numPr>
        <w:spacing w:after="0" w:line="264" w:lineRule="auto"/>
        <w:ind w:left="360"/>
        <w:jc w:val="both"/>
        <w:rPr>
          <w:rFonts w:ascii="Times New Roman" w:hAnsi="Times New Roman" w:cs="Times New Roman"/>
          <w:b/>
        </w:rPr>
      </w:pPr>
      <w:r w:rsidRPr="00626CC6">
        <w:rPr>
          <w:rFonts w:ascii="Times New Roman" w:hAnsi="Times New Roman" w:cs="Times New Roman"/>
          <w:b/>
        </w:rPr>
        <w:t xml:space="preserve">Gobiernos Locales: </w:t>
      </w:r>
      <w:r w:rsidRPr="00626CC6">
        <w:rPr>
          <w:rFonts w:ascii="Times New Roman" w:hAnsi="Times New Roman" w:cs="Times New Roman"/>
          <w:bCs/>
        </w:rPr>
        <w:t>Comprende a las entidades cuya protestad fiscal, legislativa y ejecutiva se extiende sobre áreas geográficas específicas y delimitadas, en el caso de Guatemala, se conforma por las municipalidades y las mancomunidades.</w:t>
      </w:r>
    </w:p>
    <w:p w14:paraId="05C1CF3D" w14:textId="77777777" w:rsidR="00646716" w:rsidRPr="00626CC6" w:rsidRDefault="00646716" w:rsidP="00646716">
      <w:pPr>
        <w:jc w:val="both"/>
        <w:rPr>
          <w:rFonts w:ascii="Times New Roman" w:hAnsi="Times New Roman" w:cs="Times New Roman"/>
          <w:b/>
        </w:rPr>
      </w:pPr>
    </w:p>
    <w:p w14:paraId="77380A42" w14:textId="77777777" w:rsidR="00646716" w:rsidRPr="00626CC6" w:rsidRDefault="00646716" w:rsidP="00646716">
      <w:pPr>
        <w:pStyle w:val="Prrafodelista"/>
        <w:numPr>
          <w:ilvl w:val="0"/>
          <w:numId w:val="53"/>
        </w:numPr>
        <w:spacing w:after="0" w:line="264" w:lineRule="auto"/>
        <w:ind w:left="360"/>
        <w:jc w:val="both"/>
        <w:rPr>
          <w:rFonts w:ascii="Times New Roman" w:hAnsi="Times New Roman" w:cs="Times New Roman"/>
          <w:b/>
        </w:rPr>
      </w:pPr>
      <w:r w:rsidRPr="00626CC6">
        <w:rPr>
          <w:rFonts w:ascii="Times New Roman" w:hAnsi="Times New Roman" w:cs="Times New Roman"/>
          <w:b/>
        </w:rPr>
        <w:t>Fondos de Seguridad Social:</w:t>
      </w:r>
      <w:r w:rsidRPr="00626CC6">
        <w:rPr>
          <w:rFonts w:ascii="Times New Roman" w:hAnsi="Times New Roman" w:cs="Times New Roman"/>
          <w:bCs/>
        </w:rPr>
        <w:t xml:space="preserve"> Son entidades dedicadas a realizar operaciones de sistemas de seguridad social, es decir, que busquen cubrir a la comunidad ante riesgos sociales. En Guatemala este grupo institucional se conforma por el Instituto Guatemalteco de Seguridad Social, el Instituto de Previsión Militar y el Plan de Prestaciones del Empleado Municipal.</w:t>
      </w:r>
    </w:p>
    <w:p w14:paraId="3BEE8189" w14:textId="77777777" w:rsidR="00646716" w:rsidRPr="00626CC6" w:rsidRDefault="00646716" w:rsidP="00646716">
      <w:pPr>
        <w:spacing w:after="0" w:line="256" w:lineRule="auto"/>
        <w:jc w:val="both"/>
        <w:rPr>
          <w:rFonts w:ascii="Times New Roman" w:eastAsia="Calibri" w:hAnsi="Times New Roman" w:cs="Times New Roman"/>
        </w:rPr>
      </w:pPr>
    </w:p>
    <w:p w14:paraId="47EC2C7A" w14:textId="77777777" w:rsidR="00646716" w:rsidRPr="00CB2810" w:rsidRDefault="00646716" w:rsidP="00646716">
      <w:pPr>
        <w:jc w:val="center"/>
        <w:rPr>
          <w:bCs/>
        </w:rPr>
      </w:pPr>
      <w:r w:rsidRPr="00CB2810">
        <w:rPr>
          <w:b/>
        </w:rPr>
        <w:t>Sectorización del Sector Público según MEFP2014</w:t>
      </w:r>
    </w:p>
    <w:p w14:paraId="4A7317A4" w14:textId="77777777" w:rsidR="00646716" w:rsidRPr="007D1C3D" w:rsidRDefault="00646716" w:rsidP="00646716">
      <w:pPr>
        <w:spacing w:after="240"/>
        <w:rPr>
          <w:rFonts w:ascii="Times New Roman" w:hAnsi="Times New Roman" w:cs="Times New Roman"/>
        </w:rPr>
      </w:pPr>
      <w:r>
        <w:rPr>
          <w:noProof/>
          <w:lang w:val="es-ES" w:eastAsia="es-ES"/>
        </w:rPr>
        <w:drawing>
          <wp:inline distT="0" distB="0" distL="0" distR="0" wp14:anchorId="35BBD2E2" wp14:editId="53D8CD07">
            <wp:extent cx="5612130" cy="2647284"/>
            <wp:effectExtent l="0" t="0" r="26670" b="0"/>
            <wp:docPr id="124" name="Diagrama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000-00000400000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r w:rsidRPr="009173B7">
        <w:rPr>
          <w:rFonts w:ascii="Times New Roman" w:hAnsi="Times New Roman" w:cs="Times New Roman"/>
          <w:sz w:val="16"/>
        </w:rPr>
        <w:t xml:space="preserve"> </w:t>
      </w:r>
      <w:r w:rsidRPr="007D1C3D">
        <w:rPr>
          <w:rFonts w:ascii="Times New Roman" w:hAnsi="Times New Roman" w:cs="Times New Roman"/>
          <w:sz w:val="16"/>
        </w:rPr>
        <w:t xml:space="preserve">Fuente: </w:t>
      </w:r>
      <w:r>
        <w:rPr>
          <w:rFonts w:ascii="Times New Roman" w:hAnsi="Times New Roman" w:cs="Times New Roman"/>
          <w:sz w:val="16"/>
        </w:rPr>
        <w:t>Manual de Estadísticas de las Finanzas Públicas 2014.</w:t>
      </w:r>
    </w:p>
    <w:p w14:paraId="3C5EC7D1" w14:textId="77777777" w:rsidR="00646716" w:rsidRPr="00E92084" w:rsidRDefault="00646716" w:rsidP="001D1FFA">
      <w:pPr>
        <w:pStyle w:val="Prrafodelista"/>
        <w:spacing w:after="0" w:line="240" w:lineRule="auto"/>
        <w:jc w:val="both"/>
        <w:rPr>
          <w:rFonts w:ascii="Times New Roman" w:eastAsia="Calibri" w:hAnsi="Times New Roman" w:cs="Times New Roman"/>
          <w:b/>
        </w:rPr>
      </w:pPr>
      <w:r w:rsidRPr="00E92084">
        <w:rPr>
          <w:rFonts w:ascii="Times New Roman" w:eastAsia="Calibri" w:hAnsi="Times New Roman" w:cs="Times New Roman"/>
          <w:b/>
        </w:rPr>
        <w:t xml:space="preserve">Los Ingresos </w:t>
      </w:r>
      <w:r>
        <w:rPr>
          <w:rFonts w:ascii="Times New Roman" w:eastAsia="Calibri" w:hAnsi="Times New Roman" w:cs="Times New Roman"/>
          <w:b/>
        </w:rPr>
        <w:t>del Gobierno General</w:t>
      </w:r>
    </w:p>
    <w:p w14:paraId="1B248395" w14:textId="77777777" w:rsidR="00646716" w:rsidRDefault="00646716" w:rsidP="00646716">
      <w:pPr>
        <w:spacing w:after="0" w:line="256" w:lineRule="auto"/>
        <w:jc w:val="both"/>
        <w:rPr>
          <w:rFonts w:ascii="Times New Roman" w:eastAsia="Calibri" w:hAnsi="Times New Roman" w:cs="Times New Roman"/>
        </w:rPr>
      </w:pPr>
    </w:p>
    <w:p w14:paraId="62D898C2" w14:textId="77777777" w:rsidR="00646716" w:rsidRDefault="00646716" w:rsidP="00646716">
      <w:pPr>
        <w:spacing w:after="0" w:line="256" w:lineRule="auto"/>
        <w:jc w:val="both"/>
        <w:rPr>
          <w:rFonts w:ascii="Times New Roman" w:eastAsia="Calibri" w:hAnsi="Times New Roman" w:cs="Times New Roman"/>
        </w:rPr>
      </w:pPr>
      <w:r>
        <w:rPr>
          <w:rFonts w:ascii="Times New Roman" w:eastAsia="Calibri" w:hAnsi="Times New Roman" w:cs="Times New Roman"/>
        </w:rPr>
        <w:t xml:space="preserve">Cuando se incluye a las entidades que conforman al Gobierno Central Extrapresupuestario, los Fondos de Seguridad Social y los Gobiernos Locales en conjunto con el Gobierno Central Presupuestario, los ingresos totales se incrementan en 3.4 puntos porcentuales del PIB, pasando a ser el equivalente al 14.4% del PIB. </w:t>
      </w:r>
    </w:p>
    <w:p w14:paraId="2A693C12" w14:textId="77777777" w:rsidR="00646716" w:rsidRDefault="00646716" w:rsidP="00646716">
      <w:pPr>
        <w:spacing w:after="0" w:line="256" w:lineRule="auto"/>
        <w:jc w:val="both"/>
        <w:rPr>
          <w:rFonts w:ascii="Times New Roman" w:eastAsia="Calibri" w:hAnsi="Times New Roman" w:cs="Times New Roman"/>
        </w:rPr>
      </w:pPr>
    </w:p>
    <w:p w14:paraId="2232401A" w14:textId="77777777" w:rsidR="00646716" w:rsidRDefault="00646716" w:rsidP="00646716">
      <w:pPr>
        <w:spacing w:after="0" w:line="256" w:lineRule="auto"/>
        <w:jc w:val="both"/>
        <w:rPr>
          <w:rFonts w:ascii="Times New Roman" w:eastAsia="Calibri" w:hAnsi="Times New Roman" w:cs="Times New Roman"/>
        </w:rPr>
      </w:pPr>
      <w:r>
        <w:rPr>
          <w:rFonts w:ascii="Times New Roman" w:eastAsia="Calibri" w:hAnsi="Times New Roman" w:cs="Times New Roman"/>
        </w:rPr>
        <w:t>En lo referente a los ingresos por impuestos, estos ascienden al 10.5% del PIB, siendo un aumento de 0.5 puntos porcentuales principalmente por la inclusión de los Gobierno Locales, quienes tienen a su cargo la recaudación del IUSI y algunas tasas que en el estándar internacional son consideradas como impuestos.</w:t>
      </w:r>
    </w:p>
    <w:p w14:paraId="66CC803C" w14:textId="77777777" w:rsidR="003D4D29" w:rsidRPr="003D4D29" w:rsidRDefault="00646716" w:rsidP="003D4D29">
      <w:pPr>
        <w:rPr>
          <w:rFonts w:ascii="Times New Roman" w:hAnsi="Times New Roman" w:cs="Times New Roman"/>
          <w:b/>
          <w:iCs/>
          <w:sz w:val="16"/>
          <w:szCs w:val="12"/>
        </w:rPr>
      </w:pPr>
      <w:r>
        <w:rPr>
          <w:rFonts w:ascii="Times New Roman" w:eastAsia="Calibri" w:hAnsi="Times New Roman" w:cs="Times New Roman"/>
          <w:noProof/>
          <w:lang w:val="es-ES" w:eastAsia="es-ES"/>
        </w:rPr>
        <w:drawing>
          <wp:inline distT="0" distB="0" distL="0" distR="0" wp14:anchorId="6EADBC12" wp14:editId="3F3E5B30">
            <wp:extent cx="5486400" cy="2631830"/>
            <wp:effectExtent l="0" t="0" r="0" b="0"/>
            <wp:docPr id="1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rsidRPr="00B91F72">
        <w:rPr>
          <w:rFonts w:ascii="Times New Roman" w:hAnsi="Times New Roman" w:cs="Times New Roman"/>
          <w:sz w:val="16"/>
        </w:rPr>
        <w:t xml:space="preserve"> </w:t>
      </w:r>
      <w:r w:rsidR="003D4D29" w:rsidRPr="003D4D29">
        <w:rPr>
          <w:rFonts w:ascii="Times New Roman" w:hAnsi="Times New Roman" w:cs="Times New Roman"/>
          <w:b/>
          <w:iCs/>
          <w:sz w:val="16"/>
          <w:szCs w:val="12"/>
        </w:rPr>
        <w:t>Fuente: Ministerio de Finanzas Públicas</w:t>
      </w:r>
    </w:p>
    <w:p w14:paraId="1EDC8976" w14:textId="77777777" w:rsidR="00646716" w:rsidRDefault="00646716" w:rsidP="00646716">
      <w:pPr>
        <w:pStyle w:val="Sinespaciado"/>
        <w:jc w:val="both"/>
        <w:rPr>
          <w:rFonts w:ascii="Times New Roman" w:eastAsia="Calibri" w:hAnsi="Times New Roman" w:cs="Times New Roman"/>
        </w:rPr>
      </w:pPr>
      <w:r>
        <w:rPr>
          <w:rFonts w:ascii="Times New Roman" w:hAnsi="Times New Roman" w:cs="Times New Roman"/>
        </w:rPr>
        <w:t xml:space="preserve">En lo referente a las contribuciones sociales, a nivel de Gobierno General estas ascienden a 2.8% del PIB y este aumento se debe principalmente a la inclusión de los Fondos de Seguridad Social, que </w:t>
      </w:r>
      <w:r>
        <w:rPr>
          <w:rFonts w:ascii="Times New Roman" w:eastAsia="Calibri" w:hAnsi="Times New Roman" w:cs="Times New Roman"/>
        </w:rPr>
        <w:t xml:space="preserve">solamente por el concepto de contribuciones a la seguridad social, aportan el 1.8% del PIB. </w:t>
      </w:r>
    </w:p>
    <w:p w14:paraId="0D923BE0" w14:textId="77777777" w:rsidR="00646716" w:rsidRDefault="00646716" w:rsidP="00646716">
      <w:pPr>
        <w:pStyle w:val="Sinespaciado"/>
        <w:jc w:val="both"/>
        <w:rPr>
          <w:rFonts w:ascii="Times New Roman" w:eastAsia="Calibri" w:hAnsi="Times New Roman" w:cs="Times New Roman"/>
        </w:rPr>
      </w:pPr>
    </w:p>
    <w:p w14:paraId="4602A354" w14:textId="77777777" w:rsidR="003D4D29" w:rsidRPr="003D4D29" w:rsidRDefault="00646716" w:rsidP="003D4D29">
      <w:pPr>
        <w:rPr>
          <w:rFonts w:ascii="Times New Roman" w:hAnsi="Times New Roman" w:cs="Times New Roman"/>
          <w:b/>
          <w:iCs/>
          <w:sz w:val="16"/>
          <w:szCs w:val="12"/>
        </w:rPr>
      </w:pPr>
      <w:r>
        <w:rPr>
          <w:rFonts w:ascii="Times New Roman" w:eastAsia="Calibri" w:hAnsi="Times New Roman" w:cs="Times New Roman"/>
          <w:noProof/>
          <w:lang w:val="es-ES" w:eastAsia="es-ES"/>
        </w:rPr>
        <w:drawing>
          <wp:inline distT="0" distB="0" distL="0" distR="0" wp14:anchorId="30F6ADE6" wp14:editId="563D16FB">
            <wp:extent cx="5577840" cy="2508738"/>
            <wp:effectExtent l="0" t="0" r="3810" b="6350"/>
            <wp:docPr id="59"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r w:rsidRPr="007B1E10">
        <w:rPr>
          <w:rFonts w:ascii="Times New Roman" w:hAnsi="Times New Roman" w:cs="Times New Roman"/>
          <w:sz w:val="16"/>
        </w:rPr>
        <w:t xml:space="preserve"> </w:t>
      </w:r>
      <w:r w:rsidR="003D4D29" w:rsidRPr="003D4D29">
        <w:rPr>
          <w:rFonts w:ascii="Times New Roman" w:hAnsi="Times New Roman" w:cs="Times New Roman"/>
          <w:b/>
          <w:iCs/>
          <w:sz w:val="16"/>
          <w:szCs w:val="12"/>
        </w:rPr>
        <w:t>Fuente: Ministerio de Finanzas Públicas</w:t>
      </w:r>
    </w:p>
    <w:p w14:paraId="7EA6BF01" w14:textId="77777777" w:rsidR="00646716" w:rsidRPr="00E5093D" w:rsidRDefault="00646716" w:rsidP="00646716">
      <w:pPr>
        <w:pStyle w:val="Sinespaciado"/>
        <w:jc w:val="both"/>
        <w:rPr>
          <w:rFonts w:ascii="Times New Roman" w:hAnsi="Times New Roman" w:cs="Times New Roman"/>
        </w:rPr>
      </w:pPr>
      <w:r>
        <w:rPr>
          <w:rFonts w:ascii="Times New Roman" w:hAnsi="Times New Roman" w:cs="Times New Roman"/>
        </w:rPr>
        <w:t>En la categoría de otros ingresos, estos equivalen al 1.1% del PIB a nivel del Gobierno General.</w:t>
      </w:r>
      <w:r w:rsidRPr="00E5093D">
        <w:rPr>
          <w:rFonts w:ascii="Times New Roman" w:hAnsi="Times New Roman" w:cs="Times New Roman"/>
        </w:rPr>
        <w:t xml:space="preserve"> </w:t>
      </w:r>
      <w:r>
        <w:rPr>
          <w:rFonts w:ascii="Times New Roman" w:hAnsi="Times New Roman" w:cs="Times New Roman"/>
        </w:rPr>
        <w:t>E</w:t>
      </w:r>
      <w:r w:rsidRPr="00E5093D">
        <w:rPr>
          <w:rFonts w:ascii="Times New Roman" w:hAnsi="Times New Roman" w:cs="Times New Roman"/>
        </w:rPr>
        <w:t>ntre est</w:t>
      </w:r>
      <w:r>
        <w:rPr>
          <w:rFonts w:ascii="Times New Roman" w:hAnsi="Times New Roman" w:cs="Times New Roman"/>
        </w:rPr>
        <w:t>a categoría</w:t>
      </w:r>
      <w:r w:rsidRPr="00E5093D">
        <w:rPr>
          <w:rFonts w:ascii="Times New Roman" w:hAnsi="Times New Roman" w:cs="Times New Roman"/>
        </w:rPr>
        <w:t>, la venta de bienes y servicios son los más sobresalientes</w:t>
      </w:r>
      <w:r>
        <w:rPr>
          <w:rFonts w:ascii="Times New Roman" w:hAnsi="Times New Roman" w:cs="Times New Roman"/>
        </w:rPr>
        <w:t xml:space="preserve"> </w:t>
      </w:r>
      <w:r w:rsidRPr="00E5093D">
        <w:rPr>
          <w:rFonts w:ascii="Times New Roman" w:hAnsi="Times New Roman" w:cs="Times New Roman"/>
        </w:rPr>
        <w:t>siendo el 0.</w:t>
      </w:r>
      <w:r>
        <w:rPr>
          <w:rFonts w:ascii="Times New Roman" w:hAnsi="Times New Roman" w:cs="Times New Roman"/>
        </w:rPr>
        <w:t>5</w:t>
      </w:r>
      <w:r w:rsidRPr="00E5093D">
        <w:rPr>
          <w:rFonts w:ascii="Times New Roman" w:hAnsi="Times New Roman" w:cs="Times New Roman"/>
        </w:rPr>
        <w:t xml:space="preserve">% del PIB, seguidos </w:t>
      </w:r>
      <w:r>
        <w:rPr>
          <w:rFonts w:ascii="Times New Roman" w:hAnsi="Times New Roman" w:cs="Times New Roman"/>
        </w:rPr>
        <w:t xml:space="preserve">de las rentas de la propiedad </w:t>
      </w:r>
      <w:r w:rsidRPr="00E5093D">
        <w:rPr>
          <w:rFonts w:ascii="Times New Roman" w:hAnsi="Times New Roman" w:cs="Times New Roman"/>
        </w:rPr>
        <w:t xml:space="preserve">(intereses, dividendos y arriendo de activos públicos naturales) </w:t>
      </w:r>
      <w:r>
        <w:rPr>
          <w:rFonts w:ascii="Times New Roman" w:hAnsi="Times New Roman" w:cs="Times New Roman"/>
        </w:rPr>
        <w:t xml:space="preserve">con el 0.4% del PIB. luego se encuentran las </w:t>
      </w:r>
      <w:r w:rsidRPr="00E5093D">
        <w:rPr>
          <w:rFonts w:ascii="Times New Roman" w:hAnsi="Times New Roman" w:cs="Times New Roman"/>
        </w:rPr>
        <w:t xml:space="preserve">multas, sanciones pecuniarias y depósitos de caución con el </w:t>
      </w:r>
      <w:r>
        <w:rPr>
          <w:rFonts w:ascii="Times New Roman" w:hAnsi="Times New Roman" w:cs="Times New Roman"/>
        </w:rPr>
        <w:t>0.1</w:t>
      </w:r>
      <w:r w:rsidRPr="00E5093D">
        <w:rPr>
          <w:rFonts w:ascii="Times New Roman" w:hAnsi="Times New Roman" w:cs="Times New Roman"/>
        </w:rPr>
        <w:t>% del PIB</w:t>
      </w:r>
      <w:r>
        <w:rPr>
          <w:rFonts w:ascii="Times New Roman" w:hAnsi="Times New Roman" w:cs="Times New Roman"/>
        </w:rPr>
        <w:t xml:space="preserve"> y por ultimo las transferencias no clasificadas en otra parte con el 0.1% del PIB.</w:t>
      </w:r>
    </w:p>
    <w:p w14:paraId="5DFA97E0" w14:textId="77777777" w:rsidR="00646716" w:rsidRDefault="00646716" w:rsidP="00646716">
      <w:pPr>
        <w:pStyle w:val="Sinespaciado"/>
        <w:jc w:val="both"/>
        <w:rPr>
          <w:rFonts w:ascii="Times New Roman" w:eastAsia="Calibri" w:hAnsi="Times New Roman" w:cs="Times New Roman"/>
        </w:rPr>
      </w:pPr>
    </w:p>
    <w:p w14:paraId="51494C39" w14:textId="7FC1BE99" w:rsidR="003D4D29" w:rsidRDefault="00646716" w:rsidP="00360DA3">
      <w:pPr>
        <w:spacing w:after="0" w:line="240" w:lineRule="auto"/>
        <w:rPr>
          <w:rFonts w:ascii="Times New Roman" w:hAnsi="Times New Roman" w:cs="Times New Roman"/>
          <w:b/>
          <w:iCs/>
          <w:sz w:val="16"/>
          <w:szCs w:val="12"/>
        </w:rPr>
      </w:pPr>
      <w:r>
        <w:rPr>
          <w:rFonts w:ascii="Times New Roman" w:eastAsia="Calibri" w:hAnsi="Times New Roman" w:cs="Times New Roman"/>
          <w:noProof/>
          <w:lang w:val="es-ES" w:eastAsia="es-ES"/>
        </w:rPr>
        <w:drawing>
          <wp:inline distT="0" distB="0" distL="0" distR="0" wp14:anchorId="224C26CA" wp14:editId="00A76D29">
            <wp:extent cx="5594350" cy="2218859"/>
            <wp:effectExtent l="0" t="0" r="6350" b="0"/>
            <wp:docPr id="60"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r w:rsidRPr="00660BDD">
        <w:rPr>
          <w:rFonts w:ascii="Times New Roman" w:hAnsi="Times New Roman" w:cs="Times New Roman"/>
          <w:sz w:val="16"/>
        </w:rPr>
        <w:t xml:space="preserve"> </w:t>
      </w:r>
      <w:r w:rsidR="003D4D29" w:rsidRPr="00360DA3">
        <w:rPr>
          <w:rFonts w:ascii="Times New Roman" w:hAnsi="Times New Roman" w:cs="Times New Roman"/>
          <w:iCs/>
          <w:sz w:val="16"/>
          <w:szCs w:val="12"/>
        </w:rPr>
        <w:t>Fuente: Ministerio de Finanzas Públicas</w:t>
      </w:r>
    </w:p>
    <w:p w14:paraId="46BA00AC" w14:textId="77777777" w:rsidR="00360DA3" w:rsidRPr="00360DA3" w:rsidRDefault="00360DA3" w:rsidP="00360DA3">
      <w:pPr>
        <w:spacing w:after="0" w:line="240" w:lineRule="auto"/>
        <w:rPr>
          <w:rFonts w:ascii="Times New Roman" w:hAnsi="Times New Roman" w:cs="Times New Roman"/>
          <w:b/>
          <w:iCs/>
          <w:sz w:val="20"/>
          <w:szCs w:val="12"/>
        </w:rPr>
      </w:pPr>
    </w:p>
    <w:p w14:paraId="55D85D94" w14:textId="77777777" w:rsidR="00646716" w:rsidRDefault="00646716" w:rsidP="00360DA3">
      <w:pPr>
        <w:pStyle w:val="Sinespaciado"/>
        <w:ind w:left="360"/>
        <w:jc w:val="center"/>
        <w:rPr>
          <w:rFonts w:ascii="Times New Roman" w:hAnsi="Times New Roman" w:cs="Times New Roman"/>
          <w:b/>
        </w:rPr>
      </w:pPr>
      <w:r w:rsidRPr="005D1E82">
        <w:rPr>
          <w:rFonts w:ascii="Times New Roman" w:hAnsi="Times New Roman" w:cs="Times New Roman"/>
          <w:b/>
        </w:rPr>
        <w:t>El gasto</w:t>
      </w:r>
      <w:r>
        <w:rPr>
          <w:rFonts w:ascii="Times New Roman" w:hAnsi="Times New Roman" w:cs="Times New Roman"/>
          <w:b/>
        </w:rPr>
        <w:t xml:space="preserve"> del Gobierno Central Presupuestario</w:t>
      </w:r>
    </w:p>
    <w:p w14:paraId="688ADE17" w14:textId="77777777" w:rsidR="00646716" w:rsidRDefault="00646716" w:rsidP="00360DA3">
      <w:pPr>
        <w:spacing w:after="0" w:line="240" w:lineRule="auto"/>
        <w:jc w:val="both"/>
        <w:rPr>
          <w:rFonts w:ascii="Times New Roman" w:eastAsia="Calibri" w:hAnsi="Times New Roman" w:cs="Times New Roman"/>
        </w:rPr>
      </w:pPr>
    </w:p>
    <w:p w14:paraId="327704B4" w14:textId="77777777" w:rsidR="00646716" w:rsidRDefault="00646716" w:rsidP="00646716">
      <w:pPr>
        <w:jc w:val="both"/>
        <w:rPr>
          <w:rFonts w:ascii="Times New Roman" w:eastAsia="Calibri" w:hAnsi="Times New Roman" w:cs="Times New Roman"/>
        </w:rPr>
      </w:pPr>
      <w:r>
        <w:rPr>
          <w:rFonts w:ascii="Times New Roman" w:eastAsia="Calibri" w:hAnsi="Times New Roman" w:cs="Times New Roman"/>
        </w:rPr>
        <w:t>El gasto total del Gobierno General asciende al 16.1% del PIB para 2020 y este es un incremento de 1.2 puntos porcentuales respecto a lo observado a nivel de Gobierno Central Presupuestario. Entre los gastos más sobresalientes se encuentran los destinados al pago de remuneraciones a los empleados, el cual equivale al 7.6% del PIB y siendo un aumento de 2.6 puntos porcentuales respecto al Gobierno Central Presupuestario. Es importante recalcar que esta categoría se subdivide en dos; los sueldos y salarios que representan el 6.7% del PIB (para el Gobierno General) y las Contribuciones sociales de empleadores que equivale al 0.9% (en esta última se incluye las contribuciones sociales imputadas de empleadores por 0.5% del PIB).</w:t>
      </w:r>
    </w:p>
    <w:p w14:paraId="0433BAFA" w14:textId="77777777" w:rsidR="003D4D29" w:rsidRPr="003D4D29" w:rsidRDefault="00646716" w:rsidP="003D4D29">
      <w:pPr>
        <w:rPr>
          <w:rFonts w:ascii="Times New Roman" w:hAnsi="Times New Roman" w:cs="Times New Roman"/>
          <w:b/>
          <w:iCs/>
          <w:sz w:val="16"/>
          <w:szCs w:val="12"/>
        </w:rPr>
      </w:pPr>
      <w:r>
        <w:rPr>
          <w:noProof/>
          <w:lang w:val="es-ES" w:eastAsia="es-ES"/>
        </w:rPr>
        <w:drawing>
          <wp:inline distT="0" distB="0" distL="0" distR="0" wp14:anchorId="5E1244D3" wp14:editId="3213666F">
            <wp:extent cx="5783580" cy="2704833"/>
            <wp:effectExtent l="0" t="0" r="7620" b="635"/>
            <wp:docPr id="63"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r w:rsidRPr="004C197A">
        <w:rPr>
          <w:rFonts w:cs="Times New Roman"/>
          <w:sz w:val="16"/>
        </w:rPr>
        <w:t xml:space="preserve"> </w:t>
      </w:r>
      <w:r w:rsidR="003D4D29" w:rsidRPr="00B011BF">
        <w:rPr>
          <w:rFonts w:ascii="Times New Roman" w:hAnsi="Times New Roman" w:cs="Times New Roman"/>
          <w:iCs/>
          <w:sz w:val="16"/>
          <w:szCs w:val="12"/>
        </w:rPr>
        <w:t>Fuente: Ministerio de Finanzas Públicas</w:t>
      </w:r>
    </w:p>
    <w:p w14:paraId="5945CB20" w14:textId="77777777" w:rsidR="00646716" w:rsidRDefault="00646716" w:rsidP="00360DA3">
      <w:pPr>
        <w:spacing w:line="240" w:lineRule="auto"/>
        <w:jc w:val="both"/>
        <w:rPr>
          <w:rFonts w:ascii="Times New Roman" w:hAnsi="Times New Roman" w:cs="Times New Roman"/>
        </w:rPr>
      </w:pPr>
      <w:r>
        <w:rPr>
          <w:rFonts w:ascii="Times New Roman" w:hAnsi="Times New Roman" w:cs="Times New Roman"/>
        </w:rPr>
        <w:t>Es oportuno comentar sobre el caso de las donaciones para el Gobierno Central Presupuestario que equivalen al 3.4% del PIB, pero a nivel del Gobierno General, estas disminuyan al 0%. Esto se debe a que el proceso de consolidación implica la eliminación de transacciones recíprocas y en su mayoría, estas son transferencias que se realizan desde el Gobierno Central Presupuestario al resto de entidades públicas para financiar su gasto.</w:t>
      </w:r>
    </w:p>
    <w:p w14:paraId="658E68A8" w14:textId="77777777" w:rsidR="00646716" w:rsidRPr="00E92084" w:rsidRDefault="00646716" w:rsidP="001D1FFA">
      <w:pPr>
        <w:pStyle w:val="Sinespaciado"/>
        <w:ind w:left="720"/>
        <w:jc w:val="both"/>
        <w:rPr>
          <w:rFonts w:ascii="Times New Roman" w:hAnsi="Times New Roman" w:cs="Times New Roman"/>
          <w:b/>
        </w:rPr>
      </w:pPr>
      <w:r w:rsidRPr="005D1E82">
        <w:rPr>
          <w:rFonts w:ascii="Times New Roman" w:hAnsi="Times New Roman" w:cs="Times New Roman"/>
          <w:b/>
        </w:rPr>
        <w:t xml:space="preserve">Transacciones en Activos </w:t>
      </w:r>
      <w:r>
        <w:rPr>
          <w:rFonts w:ascii="Times New Roman" w:hAnsi="Times New Roman" w:cs="Times New Roman"/>
          <w:b/>
        </w:rPr>
        <w:t>no Financieros del Gobierno General</w:t>
      </w:r>
    </w:p>
    <w:p w14:paraId="0C889F7E" w14:textId="77777777" w:rsidR="00B53E61" w:rsidRPr="00B53E61" w:rsidRDefault="00B53E61" w:rsidP="00646716">
      <w:pPr>
        <w:rPr>
          <w:rFonts w:ascii="Times New Roman" w:hAnsi="Times New Roman" w:cs="Times New Roman"/>
          <w:sz w:val="4"/>
        </w:rPr>
      </w:pPr>
    </w:p>
    <w:p w14:paraId="19FD7330" w14:textId="18A4FCF2" w:rsidR="00646716" w:rsidRDefault="00646716" w:rsidP="00360DA3">
      <w:pPr>
        <w:spacing w:line="240" w:lineRule="auto"/>
        <w:rPr>
          <w:rFonts w:ascii="Times New Roman" w:hAnsi="Times New Roman" w:cs="Times New Roman"/>
        </w:rPr>
      </w:pPr>
      <w:r>
        <w:rPr>
          <w:rFonts w:ascii="Times New Roman" w:hAnsi="Times New Roman" w:cs="Times New Roman"/>
        </w:rPr>
        <w:t>La inversión en activos no financieros aumenta al 1.9% a nivel del Gobierno General. Este aumento se debe principalmente por la inclusión de los Gobierno Locales los cuales aportan un 1.3% del PIB con su inversión bruta por la adquisición de edificios y estructuras, esto es un aumento de 1.4 puntos porcentuales respecto a lo observado en el Gobierno Central Presupuestario.</w:t>
      </w:r>
    </w:p>
    <w:p w14:paraId="3F626A41" w14:textId="77777777" w:rsidR="003D4D29" w:rsidRPr="003D4D29" w:rsidRDefault="00646716" w:rsidP="003D4D29">
      <w:pPr>
        <w:rPr>
          <w:rFonts w:ascii="Times New Roman" w:hAnsi="Times New Roman" w:cs="Times New Roman"/>
          <w:b/>
          <w:iCs/>
          <w:sz w:val="16"/>
          <w:szCs w:val="12"/>
        </w:rPr>
      </w:pPr>
      <w:r>
        <w:rPr>
          <w:noProof/>
          <w:lang w:val="es-ES" w:eastAsia="es-ES"/>
        </w:rPr>
        <w:drawing>
          <wp:inline distT="0" distB="0" distL="0" distR="0" wp14:anchorId="28F32BD3" wp14:editId="530AD7B7">
            <wp:extent cx="5462905" cy="1656151"/>
            <wp:effectExtent l="0" t="0" r="4445" b="1270"/>
            <wp:docPr id="91"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r w:rsidRPr="0023475E">
        <w:rPr>
          <w:rFonts w:cs="Times New Roman"/>
          <w:sz w:val="16"/>
        </w:rPr>
        <w:t xml:space="preserve"> </w:t>
      </w:r>
      <w:r w:rsidR="003D4D29" w:rsidRPr="00B011BF">
        <w:rPr>
          <w:rFonts w:ascii="Times New Roman" w:hAnsi="Times New Roman" w:cs="Times New Roman"/>
          <w:iCs/>
          <w:sz w:val="16"/>
          <w:szCs w:val="12"/>
        </w:rPr>
        <w:t>Fuente: Ministerio de Finanzas Públicas</w:t>
      </w:r>
    </w:p>
    <w:p w14:paraId="398F5184" w14:textId="3D93079F" w:rsidR="00646716" w:rsidRDefault="00646716" w:rsidP="003D4D29">
      <w:pPr>
        <w:rPr>
          <w:rFonts w:ascii="Times New Roman" w:hAnsi="Times New Roman" w:cs="Times New Roman"/>
          <w:b/>
        </w:rPr>
      </w:pPr>
      <w:r w:rsidRPr="005D1E82">
        <w:rPr>
          <w:rFonts w:ascii="Times New Roman" w:hAnsi="Times New Roman" w:cs="Times New Roman"/>
          <w:b/>
        </w:rPr>
        <w:t>Erogación</w:t>
      </w:r>
      <w:r>
        <w:rPr>
          <w:rFonts w:ascii="Times New Roman" w:hAnsi="Times New Roman" w:cs="Times New Roman"/>
          <w:b/>
        </w:rPr>
        <w:t xml:space="preserve"> del Gobierno General</w:t>
      </w:r>
    </w:p>
    <w:p w14:paraId="01042804" w14:textId="77777777" w:rsidR="00B53E61" w:rsidRPr="00B53E61" w:rsidRDefault="00B53E61" w:rsidP="00646716">
      <w:pPr>
        <w:jc w:val="both"/>
        <w:rPr>
          <w:rFonts w:ascii="Times New Roman" w:hAnsi="Times New Roman" w:cs="Times New Roman"/>
          <w:sz w:val="2"/>
        </w:rPr>
      </w:pPr>
    </w:p>
    <w:p w14:paraId="3AB89084" w14:textId="4AC19F2C" w:rsidR="00646716" w:rsidRDefault="00646716" w:rsidP="00646716">
      <w:pPr>
        <w:jc w:val="both"/>
        <w:rPr>
          <w:rFonts w:ascii="Times New Roman" w:hAnsi="Times New Roman" w:cs="Times New Roman"/>
        </w:rPr>
      </w:pPr>
      <w:r>
        <w:rPr>
          <w:rFonts w:ascii="Times New Roman" w:hAnsi="Times New Roman" w:cs="Times New Roman"/>
        </w:rPr>
        <w:t>La erogación total realizada por el Gobierno General para el 2020, es equivalente al 18% del PIB y es</w:t>
      </w:r>
      <w:r w:rsidRPr="00E92084">
        <w:rPr>
          <w:rFonts w:ascii="Times New Roman" w:hAnsi="Times New Roman" w:cs="Times New Roman"/>
        </w:rPr>
        <w:t xml:space="preserve"> oportuno mencionar que las erogaciones </w:t>
      </w:r>
      <w:r>
        <w:rPr>
          <w:rFonts w:ascii="Times New Roman" w:hAnsi="Times New Roman" w:cs="Times New Roman"/>
        </w:rPr>
        <w:t>destinadas a la protección social fueron las más altas y las cuales equivalen al 4.1% del PIB mientras que a nivel del Gobierno Central Presupuestario las más altas son las destinadas a educación, siendo del 3.3% del PIB.</w:t>
      </w:r>
    </w:p>
    <w:p w14:paraId="284FF913" w14:textId="77777777" w:rsidR="003D4D29" w:rsidRPr="003D4D29" w:rsidRDefault="00646716" w:rsidP="003D4D29">
      <w:pPr>
        <w:rPr>
          <w:rFonts w:ascii="Times New Roman" w:hAnsi="Times New Roman" w:cs="Times New Roman"/>
          <w:b/>
          <w:iCs/>
          <w:sz w:val="16"/>
          <w:szCs w:val="12"/>
        </w:rPr>
      </w:pPr>
      <w:r>
        <w:rPr>
          <w:noProof/>
          <w:lang w:val="es-ES" w:eastAsia="es-ES"/>
        </w:rPr>
        <w:drawing>
          <wp:inline distT="0" distB="0" distL="0" distR="0" wp14:anchorId="56AC0F7B" wp14:editId="34A90BBB">
            <wp:extent cx="5698490" cy="2717623"/>
            <wp:effectExtent l="0" t="0" r="16510" b="6985"/>
            <wp:docPr id="9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r w:rsidRPr="0023475E">
        <w:rPr>
          <w:rFonts w:cs="Times New Roman"/>
          <w:sz w:val="16"/>
        </w:rPr>
        <w:t xml:space="preserve"> </w:t>
      </w:r>
      <w:r w:rsidRPr="005D1E82">
        <w:rPr>
          <w:rFonts w:cs="Times New Roman"/>
          <w:sz w:val="16"/>
        </w:rPr>
        <w:t xml:space="preserve"> </w:t>
      </w:r>
      <w:r w:rsidR="003D4D29" w:rsidRPr="00716A19">
        <w:rPr>
          <w:rFonts w:ascii="Times New Roman" w:hAnsi="Times New Roman" w:cs="Times New Roman"/>
          <w:iCs/>
          <w:sz w:val="16"/>
          <w:szCs w:val="12"/>
        </w:rPr>
        <w:t>Fuente: Ministerio de Finanzas Públicas</w:t>
      </w:r>
    </w:p>
    <w:p w14:paraId="1C0D9FF2" w14:textId="77777777" w:rsidR="00646716" w:rsidRPr="00144D38" w:rsidRDefault="00646716" w:rsidP="001D1FFA">
      <w:pPr>
        <w:pStyle w:val="Sinespaciado"/>
        <w:ind w:left="720"/>
        <w:jc w:val="both"/>
        <w:rPr>
          <w:rFonts w:ascii="Times New Roman" w:hAnsi="Times New Roman" w:cs="Times New Roman"/>
          <w:b/>
        </w:rPr>
      </w:pPr>
      <w:r w:rsidRPr="00144D38">
        <w:rPr>
          <w:rFonts w:ascii="Times New Roman" w:hAnsi="Times New Roman" w:cs="Times New Roman"/>
          <w:b/>
        </w:rPr>
        <w:t>Estado de operaciones del Gobierno Central Presupuestario</w:t>
      </w:r>
      <w:r>
        <w:rPr>
          <w:rFonts w:ascii="Times New Roman" w:hAnsi="Times New Roman" w:cs="Times New Roman"/>
          <w:b/>
        </w:rPr>
        <w:t xml:space="preserve"> y el gobierno General</w:t>
      </w:r>
    </w:p>
    <w:p w14:paraId="51BDC567" w14:textId="77777777" w:rsidR="00646716" w:rsidRDefault="00646716" w:rsidP="00646716">
      <w:pPr>
        <w:spacing w:after="0"/>
        <w:jc w:val="both"/>
        <w:rPr>
          <w:rFonts w:ascii="Times New Roman" w:hAnsi="Times New Roman" w:cs="Times New Roman"/>
        </w:rPr>
      </w:pPr>
    </w:p>
    <w:p w14:paraId="784AECFC" w14:textId="77777777" w:rsidR="00646716" w:rsidRDefault="00646716" w:rsidP="00646716">
      <w:pPr>
        <w:spacing w:after="0"/>
        <w:jc w:val="both"/>
        <w:rPr>
          <w:rFonts w:ascii="Times New Roman" w:hAnsi="Times New Roman" w:cs="Times New Roman"/>
        </w:rPr>
      </w:pPr>
      <w:r w:rsidRPr="00144D38">
        <w:rPr>
          <w:rFonts w:ascii="Times New Roman" w:hAnsi="Times New Roman" w:cs="Times New Roman"/>
        </w:rPr>
        <w:t>En los estándares internacionales, el estado de operaciones se divide en dos partidas analíticas de resultado, el primero de ellas es la diferencia entre los ingresos y gastos que se denomina resultado operativo y es un indicador de sostenibilidad de las operaciones</w:t>
      </w:r>
      <w:r>
        <w:rPr>
          <w:rFonts w:ascii="Times New Roman" w:hAnsi="Times New Roman" w:cs="Times New Roman"/>
        </w:rPr>
        <w:t>,</w:t>
      </w:r>
      <w:r w:rsidRPr="00144D38">
        <w:rPr>
          <w:rFonts w:ascii="Times New Roman" w:hAnsi="Times New Roman" w:cs="Times New Roman"/>
        </w:rPr>
        <w:t xml:space="preserve"> mientras que  el segundo es el endeudamiento o </w:t>
      </w:r>
      <w:r w:rsidRPr="00716A19">
        <w:rPr>
          <w:rFonts w:ascii="Times New Roman" w:hAnsi="Times New Roman" w:cs="Times New Roman"/>
        </w:rPr>
        <w:t>préstamo neto que es la diferencia entre los ingresos y las erogaciones (incluye los gastos y la inversión realizada en activos no financieros), este puede considerarse como un indicador del grado en que el gobierno está colocando recursos financieros a disposición de otros sectores en la economía.</w:t>
      </w:r>
    </w:p>
    <w:p w14:paraId="6D728751" w14:textId="77777777" w:rsidR="00646716" w:rsidRDefault="00646716" w:rsidP="00646716">
      <w:pPr>
        <w:spacing w:after="0"/>
        <w:jc w:val="both"/>
        <w:rPr>
          <w:rFonts w:ascii="Times New Roman" w:hAnsi="Times New Roman" w:cs="Times New Roman"/>
        </w:rPr>
      </w:pPr>
    </w:p>
    <w:p w14:paraId="5DBE0D5C" w14:textId="77777777" w:rsidR="00646716" w:rsidRDefault="00646716" w:rsidP="00646716">
      <w:pPr>
        <w:spacing w:after="240"/>
        <w:jc w:val="both"/>
        <w:rPr>
          <w:rFonts w:ascii="Times New Roman" w:hAnsi="Times New Roman" w:cs="Times New Roman"/>
        </w:rPr>
      </w:pPr>
      <w:r w:rsidRPr="007D5390">
        <w:rPr>
          <w:rFonts w:ascii="Times New Roman" w:hAnsi="Times New Roman" w:cs="Times New Roman"/>
        </w:rPr>
        <w:t xml:space="preserve">El resultado operativo bruto para el Gobierno Central Presupuestario en 2020 es negativo en 3.9% del PIB y para el Gobierno General, este es de igual manera negativo, pero por 1.7% del PIB. La razón por la cual a nivel de Gobierno General el resultado operativo bruto tiene una mejora se debe al Gobierno Central Extrapresupuestario, los Gobiernos Locales y los Fondos de Seguridad Social quienes tuvieron un resultado positivo por 0.2%, 1.5% y 0.5% del PIB respectivamente.  </w:t>
      </w:r>
    </w:p>
    <w:p w14:paraId="5F1361A7" w14:textId="71C55FA4" w:rsidR="00646716" w:rsidRDefault="00646716" w:rsidP="00646716">
      <w:pPr>
        <w:spacing w:after="240"/>
        <w:jc w:val="both"/>
        <w:rPr>
          <w:rFonts w:ascii="Times New Roman" w:hAnsi="Times New Roman" w:cs="Times New Roman"/>
        </w:rPr>
      </w:pPr>
      <w:r w:rsidRPr="007D5390">
        <w:rPr>
          <w:rFonts w:ascii="Times New Roman" w:hAnsi="Times New Roman" w:cs="Times New Roman"/>
        </w:rPr>
        <w:t xml:space="preserve">En cuanto al nivel del </w:t>
      </w:r>
      <w:r>
        <w:rPr>
          <w:rFonts w:ascii="Times New Roman" w:hAnsi="Times New Roman" w:cs="Times New Roman"/>
        </w:rPr>
        <w:t>e</w:t>
      </w:r>
      <w:r w:rsidRPr="007D5390">
        <w:rPr>
          <w:rFonts w:ascii="Times New Roman" w:hAnsi="Times New Roman" w:cs="Times New Roman"/>
        </w:rPr>
        <w:t xml:space="preserve">ndeudamiento neto (déficit fiscal), este fue por 4.4% del PIB para el Gobierno Central Presupuestario y del 3.6% </w:t>
      </w:r>
      <w:r w:rsidR="0058042D">
        <w:rPr>
          <w:rFonts w:ascii="Times New Roman" w:hAnsi="Times New Roman" w:cs="Times New Roman"/>
        </w:rPr>
        <w:t xml:space="preserve">del PIB </w:t>
      </w:r>
      <w:r w:rsidRPr="007D5390">
        <w:rPr>
          <w:rFonts w:ascii="Times New Roman" w:hAnsi="Times New Roman" w:cs="Times New Roman"/>
        </w:rPr>
        <w:t>para el gobierno General.</w:t>
      </w:r>
    </w:p>
    <w:p w14:paraId="6FF03C9B" w14:textId="77777777" w:rsidR="00646716" w:rsidRDefault="00646716" w:rsidP="00646716">
      <w:pPr>
        <w:pStyle w:val="Sinespaciado"/>
        <w:jc w:val="center"/>
        <w:rPr>
          <w:rFonts w:ascii="Times New Roman" w:hAnsi="Times New Roman" w:cs="Times New Roman"/>
          <w:b/>
        </w:rPr>
      </w:pPr>
      <w:r>
        <w:rPr>
          <w:rFonts w:ascii="Times New Roman" w:hAnsi="Times New Roman" w:cs="Times New Roman"/>
          <w:b/>
        </w:rPr>
        <w:t>Estado de Operaciones del Gobierno Central Presupuestario y el Gobierno General</w:t>
      </w:r>
    </w:p>
    <w:p w14:paraId="6E51EF81" w14:textId="77777777" w:rsidR="00646716" w:rsidRDefault="00646716" w:rsidP="00646716">
      <w:pPr>
        <w:pStyle w:val="Sinespaciado"/>
        <w:jc w:val="center"/>
        <w:rPr>
          <w:rFonts w:ascii="Times New Roman" w:hAnsi="Times New Roman" w:cs="Times New Roman"/>
        </w:rPr>
      </w:pPr>
      <w:r>
        <w:rPr>
          <w:rFonts w:ascii="Times New Roman" w:hAnsi="Times New Roman" w:cs="Times New Roman"/>
        </w:rPr>
        <w:t>Para el añ</w:t>
      </w:r>
      <w:r w:rsidRPr="00EF6DEA">
        <w:rPr>
          <w:rFonts w:ascii="Times New Roman" w:hAnsi="Times New Roman" w:cs="Times New Roman"/>
        </w:rPr>
        <w:t>o 20</w:t>
      </w:r>
      <w:r>
        <w:rPr>
          <w:rFonts w:ascii="Times New Roman" w:hAnsi="Times New Roman" w:cs="Times New Roman"/>
        </w:rPr>
        <w:t>20</w:t>
      </w:r>
    </w:p>
    <w:p w14:paraId="585E28F7" w14:textId="77777777" w:rsidR="00646716" w:rsidRPr="00EF6DEA" w:rsidRDefault="00646716" w:rsidP="00646716">
      <w:pPr>
        <w:pStyle w:val="Sinespaciado"/>
        <w:jc w:val="center"/>
        <w:rPr>
          <w:rFonts w:ascii="Times New Roman" w:hAnsi="Times New Roman" w:cs="Times New Roman"/>
          <w:sz w:val="16"/>
        </w:rPr>
      </w:pPr>
    </w:p>
    <w:tbl>
      <w:tblPr>
        <w:tblW w:w="8483" w:type="dxa"/>
        <w:tblLayout w:type="fixed"/>
        <w:tblCellMar>
          <w:left w:w="70" w:type="dxa"/>
          <w:right w:w="70" w:type="dxa"/>
        </w:tblCellMar>
        <w:tblLook w:val="04A0" w:firstRow="1" w:lastRow="0" w:firstColumn="1" w:lastColumn="0" w:noHBand="0" w:noVBand="1"/>
      </w:tblPr>
      <w:tblGrid>
        <w:gridCol w:w="757"/>
        <w:gridCol w:w="2837"/>
        <w:gridCol w:w="1438"/>
        <w:gridCol w:w="1006"/>
        <w:gridCol w:w="1437"/>
        <w:gridCol w:w="1008"/>
      </w:tblGrid>
      <w:tr w:rsidR="00646716" w:rsidRPr="000B4D85" w14:paraId="49ED82FD" w14:textId="77777777" w:rsidTr="005F3EC1">
        <w:trPr>
          <w:trHeight w:val="251"/>
        </w:trPr>
        <w:tc>
          <w:tcPr>
            <w:tcW w:w="757" w:type="dxa"/>
            <w:tcBorders>
              <w:top w:val="nil"/>
              <w:left w:val="nil"/>
              <w:bottom w:val="nil"/>
              <w:right w:val="nil"/>
            </w:tcBorders>
            <w:shd w:val="clear" w:color="auto" w:fill="auto"/>
            <w:noWrap/>
            <w:hideMark/>
          </w:tcPr>
          <w:p w14:paraId="2F56645F" w14:textId="77777777" w:rsidR="00646716" w:rsidRPr="000B4D85" w:rsidRDefault="00646716" w:rsidP="00A62D19">
            <w:pPr>
              <w:spacing w:after="0" w:line="240" w:lineRule="auto"/>
              <w:rPr>
                <w:rFonts w:ascii="Times New Roman" w:eastAsia="Times New Roman" w:hAnsi="Times New Roman" w:cs="Times New Roman"/>
                <w:sz w:val="24"/>
                <w:szCs w:val="24"/>
                <w:lang w:eastAsia="es-GT"/>
              </w:rPr>
            </w:pPr>
          </w:p>
        </w:tc>
        <w:tc>
          <w:tcPr>
            <w:tcW w:w="2837" w:type="dxa"/>
            <w:tcBorders>
              <w:top w:val="nil"/>
              <w:left w:val="nil"/>
              <w:bottom w:val="nil"/>
              <w:right w:val="nil"/>
            </w:tcBorders>
            <w:shd w:val="clear" w:color="auto" w:fill="auto"/>
            <w:hideMark/>
          </w:tcPr>
          <w:p w14:paraId="205565C8" w14:textId="77777777" w:rsidR="00646716" w:rsidRPr="000B4D85" w:rsidRDefault="00646716" w:rsidP="00A62D19">
            <w:pPr>
              <w:spacing w:after="0" w:line="240" w:lineRule="auto"/>
              <w:jc w:val="center"/>
              <w:rPr>
                <w:rFonts w:ascii="Times New Roman" w:eastAsia="Times New Roman" w:hAnsi="Times New Roman" w:cs="Times New Roman"/>
                <w:sz w:val="20"/>
                <w:szCs w:val="20"/>
                <w:lang w:eastAsia="es-GT"/>
              </w:rPr>
            </w:pPr>
          </w:p>
        </w:tc>
        <w:tc>
          <w:tcPr>
            <w:tcW w:w="2444" w:type="dxa"/>
            <w:gridSpan w:val="2"/>
            <w:tcBorders>
              <w:top w:val="single" w:sz="8" w:space="0" w:color="auto"/>
              <w:left w:val="single" w:sz="8" w:space="0" w:color="auto"/>
              <w:bottom w:val="nil"/>
              <w:right w:val="single" w:sz="8" w:space="0" w:color="000000"/>
            </w:tcBorders>
            <w:shd w:val="clear" w:color="000000" w:fill="D9D9D9"/>
            <w:vAlign w:val="center"/>
            <w:hideMark/>
          </w:tcPr>
          <w:p w14:paraId="072E7843"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En millones de Quetzales</w:t>
            </w:r>
          </w:p>
        </w:tc>
        <w:tc>
          <w:tcPr>
            <w:tcW w:w="2444" w:type="dxa"/>
            <w:gridSpan w:val="2"/>
            <w:tcBorders>
              <w:top w:val="single" w:sz="8" w:space="0" w:color="auto"/>
              <w:left w:val="nil"/>
              <w:bottom w:val="nil"/>
              <w:right w:val="single" w:sz="8" w:space="0" w:color="000000"/>
            </w:tcBorders>
            <w:shd w:val="clear" w:color="000000" w:fill="D9D9D9"/>
            <w:vAlign w:val="center"/>
            <w:hideMark/>
          </w:tcPr>
          <w:p w14:paraId="1CC84436"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Como porcentajes del PIB</w:t>
            </w:r>
          </w:p>
        </w:tc>
      </w:tr>
      <w:tr w:rsidR="00646716" w:rsidRPr="000B4D85" w14:paraId="57D32260" w14:textId="77777777" w:rsidTr="005F3EC1">
        <w:trPr>
          <w:trHeight w:val="492"/>
        </w:trPr>
        <w:tc>
          <w:tcPr>
            <w:tcW w:w="757" w:type="dxa"/>
            <w:tcBorders>
              <w:top w:val="single" w:sz="8" w:space="0" w:color="auto"/>
              <w:left w:val="single" w:sz="8" w:space="0" w:color="auto"/>
              <w:bottom w:val="single" w:sz="8" w:space="0" w:color="auto"/>
              <w:right w:val="nil"/>
            </w:tcBorders>
            <w:shd w:val="clear" w:color="000000" w:fill="44546A"/>
            <w:vAlign w:val="center"/>
            <w:hideMark/>
          </w:tcPr>
          <w:p w14:paraId="37C706AB" w14:textId="77777777" w:rsidR="00646716" w:rsidRPr="000B4D85" w:rsidRDefault="00646716" w:rsidP="00A62D19">
            <w:pPr>
              <w:spacing w:after="0" w:line="240" w:lineRule="auto"/>
              <w:jc w:val="center"/>
              <w:rPr>
                <w:rFonts w:ascii="Times" w:eastAsia="Times New Roman" w:hAnsi="Times" w:cs="Times"/>
                <w:b/>
                <w:bCs/>
                <w:color w:val="FFFFFF"/>
                <w:sz w:val="18"/>
                <w:szCs w:val="18"/>
                <w:lang w:eastAsia="es-GT"/>
              </w:rPr>
            </w:pPr>
          </w:p>
        </w:tc>
        <w:tc>
          <w:tcPr>
            <w:tcW w:w="2837" w:type="dxa"/>
            <w:tcBorders>
              <w:top w:val="single" w:sz="8" w:space="0" w:color="auto"/>
              <w:left w:val="nil"/>
              <w:bottom w:val="single" w:sz="8" w:space="0" w:color="auto"/>
              <w:right w:val="single" w:sz="8" w:space="0" w:color="auto"/>
            </w:tcBorders>
            <w:shd w:val="clear" w:color="000000" w:fill="44546A"/>
            <w:vAlign w:val="center"/>
            <w:hideMark/>
          </w:tcPr>
          <w:p w14:paraId="69579108" w14:textId="77777777" w:rsidR="00646716" w:rsidRPr="000B4D85" w:rsidRDefault="00646716" w:rsidP="00A62D19">
            <w:pPr>
              <w:spacing w:after="0" w:line="240" w:lineRule="auto"/>
              <w:jc w:val="center"/>
              <w:rPr>
                <w:rFonts w:ascii="Times" w:eastAsia="Times New Roman" w:hAnsi="Times" w:cs="Times"/>
                <w:b/>
                <w:bCs/>
                <w:color w:val="FFFFFF"/>
                <w:sz w:val="18"/>
                <w:szCs w:val="18"/>
                <w:lang w:eastAsia="es-GT"/>
              </w:rPr>
            </w:pPr>
            <w:r w:rsidRPr="000B4D85">
              <w:rPr>
                <w:rFonts w:ascii="Times" w:eastAsia="Times New Roman" w:hAnsi="Times" w:cs="Times"/>
                <w:b/>
                <w:bCs/>
                <w:color w:val="FFFFFF"/>
                <w:sz w:val="18"/>
                <w:szCs w:val="18"/>
                <w:lang w:eastAsia="es-GT"/>
              </w:rPr>
              <w:t>Descripción</w:t>
            </w:r>
          </w:p>
        </w:tc>
        <w:tc>
          <w:tcPr>
            <w:tcW w:w="1438" w:type="dxa"/>
            <w:tcBorders>
              <w:top w:val="single" w:sz="8" w:space="0" w:color="auto"/>
              <w:left w:val="nil"/>
              <w:bottom w:val="single" w:sz="8" w:space="0" w:color="auto"/>
              <w:right w:val="nil"/>
            </w:tcBorders>
            <w:shd w:val="clear" w:color="000000" w:fill="44546A"/>
            <w:vAlign w:val="center"/>
            <w:hideMark/>
          </w:tcPr>
          <w:p w14:paraId="5F63C19C" w14:textId="77777777" w:rsidR="00646716" w:rsidRPr="000B4D85" w:rsidRDefault="00646716" w:rsidP="00A62D19">
            <w:pPr>
              <w:spacing w:after="0" w:line="240" w:lineRule="auto"/>
              <w:jc w:val="center"/>
              <w:rPr>
                <w:rFonts w:ascii="Times" w:eastAsia="Times New Roman" w:hAnsi="Times" w:cs="Times"/>
                <w:b/>
                <w:bCs/>
                <w:color w:val="FFFFFF"/>
                <w:sz w:val="18"/>
                <w:szCs w:val="18"/>
                <w:lang w:eastAsia="es-GT"/>
              </w:rPr>
            </w:pPr>
            <w:r w:rsidRPr="000B4D85">
              <w:rPr>
                <w:rFonts w:ascii="Times" w:eastAsia="Times New Roman" w:hAnsi="Times" w:cs="Times"/>
                <w:b/>
                <w:bCs/>
                <w:color w:val="FFFFFF"/>
                <w:sz w:val="18"/>
                <w:szCs w:val="18"/>
                <w:lang w:eastAsia="es-GT"/>
              </w:rPr>
              <w:t>Gobierno Central Presupuestario</w:t>
            </w:r>
          </w:p>
        </w:tc>
        <w:tc>
          <w:tcPr>
            <w:tcW w:w="1006" w:type="dxa"/>
            <w:tcBorders>
              <w:top w:val="single" w:sz="8" w:space="0" w:color="auto"/>
              <w:left w:val="nil"/>
              <w:bottom w:val="single" w:sz="8" w:space="0" w:color="auto"/>
              <w:right w:val="single" w:sz="8" w:space="0" w:color="auto"/>
            </w:tcBorders>
            <w:shd w:val="clear" w:color="000000" w:fill="44546A"/>
            <w:vAlign w:val="center"/>
            <w:hideMark/>
          </w:tcPr>
          <w:p w14:paraId="1107787C" w14:textId="77777777" w:rsidR="00646716" w:rsidRPr="000B4D85" w:rsidRDefault="00646716" w:rsidP="00A62D19">
            <w:pPr>
              <w:spacing w:after="0" w:line="240" w:lineRule="auto"/>
              <w:jc w:val="center"/>
              <w:rPr>
                <w:rFonts w:ascii="Times" w:eastAsia="Times New Roman" w:hAnsi="Times" w:cs="Times"/>
                <w:b/>
                <w:bCs/>
                <w:color w:val="FFFFFF"/>
                <w:sz w:val="18"/>
                <w:szCs w:val="18"/>
                <w:lang w:eastAsia="es-GT"/>
              </w:rPr>
            </w:pPr>
            <w:r w:rsidRPr="000B4D85">
              <w:rPr>
                <w:rFonts w:ascii="Times" w:eastAsia="Times New Roman" w:hAnsi="Times" w:cs="Times"/>
                <w:b/>
                <w:bCs/>
                <w:color w:val="FFFFFF"/>
                <w:sz w:val="18"/>
                <w:szCs w:val="18"/>
                <w:lang w:eastAsia="es-GT"/>
              </w:rPr>
              <w:t>Gobierno General</w:t>
            </w:r>
          </w:p>
        </w:tc>
        <w:tc>
          <w:tcPr>
            <w:tcW w:w="1437" w:type="dxa"/>
            <w:tcBorders>
              <w:top w:val="single" w:sz="8" w:space="0" w:color="auto"/>
              <w:left w:val="nil"/>
              <w:bottom w:val="single" w:sz="8" w:space="0" w:color="auto"/>
              <w:right w:val="nil"/>
            </w:tcBorders>
            <w:shd w:val="clear" w:color="000000" w:fill="44546A"/>
            <w:vAlign w:val="center"/>
            <w:hideMark/>
          </w:tcPr>
          <w:p w14:paraId="66A5D55B" w14:textId="77777777" w:rsidR="00646716" w:rsidRPr="000B4D85" w:rsidRDefault="00646716" w:rsidP="00A62D19">
            <w:pPr>
              <w:spacing w:after="0" w:line="240" w:lineRule="auto"/>
              <w:jc w:val="center"/>
              <w:rPr>
                <w:rFonts w:ascii="Times" w:eastAsia="Times New Roman" w:hAnsi="Times" w:cs="Times"/>
                <w:b/>
                <w:bCs/>
                <w:color w:val="FFFFFF"/>
                <w:sz w:val="18"/>
                <w:szCs w:val="18"/>
                <w:lang w:eastAsia="es-GT"/>
              </w:rPr>
            </w:pPr>
            <w:r w:rsidRPr="000B4D85">
              <w:rPr>
                <w:rFonts w:ascii="Times" w:eastAsia="Times New Roman" w:hAnsi="Times" w:cs="Times"/>
                <w:b/>
                <w:bCs/>
                <w:color w:val="FFFFFF"/>
                <w:sz w:val="18"/>
                <w:szCs w:val="18"/>
                <w:lang w:eastAsia="es-GT"/>
              </w:rPr>
              <w:t>Gobierno Central Presupuestario</w:t>
            </w:r>
          </w:p>
        </w:tc>
        <w:tc>
          <w:tcPr>
            <w:tcW w:w="1007" w:type="dxa"/>
            <w:tcBorders>
              <w:top w:val="single" w:sz="8" w:space="0" w:color="auto"/>
              <w:left w:val="nil"/>
              <w:bottom w:val="single" w:sz="8" w:space="0" w:color="auto"/>
              <w:right w:val="single" w:sz="8" w:space="0" w:color="auto"/>
            </w:tcBorders>
            <w:shd w:val="clear" w:color="000000" w:fill="44546A"/>
            <w:vAlign w:val="center"/>
            <w:hideMark/>
          </w:tcPr>
          <w:p w14:paraId="02F6F9A0" w14:textId="77777777" w:rsidR="00646716" w:rsidRPr="000B4D85" w:rsidRDefault="00646716" w:rsidP="00A62D19">
            <w:pPr>
              <w:spacing w:after="0" w:line="240" w:lineRule="auto"/>
              <w:jc w:val="center"/>
              <w:rPr>
                <w:rFonts w:ascii="Times" w:eastAsia="Times New Roman" w:hAnsi="Times" w:cs="Times"/>
                <w:b/>
                <w:bCs/>
                <w:color w:val="FFFFFF"/>
                <w:sz w:val="18"/>
                <w:szCs w:val="18"/>
                <w:lang w:eastAsia="es-GT"/>
              </w:rPr>
            </w:pPr>
            <w:r w:rsidRPr="000B4D85">
              <w:rPr>
                <w:rFonts w:ascii="Times" w:eastAsia="Times New Roman" w:hAnsi="Times" w:cs="Times"/>
                <w:b/>
                <w:bCs/>
                <w:color w:val="FFFFFF"/>
                <w:sz w:val="18"/>
                <w:szCs w:val="18"/>
                <w:lang w:eastAsia="es-GT"/>
              </w:rPr>
              <w:t>Gobierno General</w:t>
            </w:r>
          </w:p>
        </w:tc>
      </w:tr>
      <w:tr w:rsidR="00646716" w:rsidRPr="000B4D85" w14:paraId="1E62CB2A" w14:textId="77777777" w:rsidTr="005F3EC1">
        <w:trPr>
          <w:trHeight w:val="239"/>
        </w:trPr>
        <w:tc>
          <w:tcPr>
            <w:tcW w:w="757" w:type="dxa"/>
            <w:tcBorders>
              <w:top w:val="nil"/>
              <w:left w:val="single" w:sz="8" w:space="0" w:color="auto"/>
              <w:bottom w:val="nil"/>
              <w:right w:val="nil"/>
            </w:tcBorders>
            <w:shd w:val="clear" w:color="auto" w:fill="auto"/>
            <w:noWrap/>
            <w:vAlign w:val="center"/>
            <w:hideMark/>
          </w:tcPr>
          <w:p w14:paraId="59DAA002"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1</w:t>
            </w:r>
          </w:p>
        </w:tc>
        <w:tc>
          <w:tcPr>
            <w:tcW w:w="2837" w:type="dxa"/>
            <w:tcBorders>
              <w:top w:val="nil"/>
              <w:left w:val="nil"/>
              <w:bottom w:val="nil"/>
              <w:right w:val="single" w:sz="8" w:space="0" w:color="auto"/>
            </w:tcBorders>
            <w:shd w:val="clear" w:color="auto" w:fill="auto"/>
            <w:hideMark/>
          </w:tcPr>
          <w:p w14:paraId="3339431F" w14:textId="77777777" w:rsidR="00646716" w:rsidRPr="000B4D85" w:rsidRDefault="00646716" w:rsidP="00A62D19">
            <w:pPr>
              <w:spacing w:after="0" w:line="240" w:lineRule="auto"/>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INGRESO</w:t>
            </w:r>
          </w:p>
        </w:tc>
        <w:tc>
          <w:tcPr>
            <w:tcW w:w="1438" w:type="dxa"/>
            <w:tcBorders>
              <w:top w:val="nil"/>
              <w:left w:val="nil"/>
              <w:bottom w:val="nil"/>
              <w:right w:val="nil"/>
            </w:tcBorders>
            <w:shd w:val="clear" w:color="auto" w:fill="auto"/>
            <w:vAlign w:val="center"/>
            <w:hideMark/>
          </w:tcPr>
          <w:p w14:paraId="36D0C04C"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66,261.6</w:t>
            </w:r>
          </w:p>
        </w:tc>
        <w:tc>
          <w:tcPr>
            <w:tcW w:w="1006" w:type="dxa"/>
            <w:tcBorders>
              <w:top w:val="nil"/>
              <w:left w:val="nil"/>
              <w:bottom w:val="nil"/>
              <w:right w:val="single" w:sz="8" w:space="0" w:color="auto"/>
            </w:tcBorders>
            <w:shd w:val="clear" w:color="auto" w:fill="auto"/>
            <w:vAlign w:val="center"/>
            <w:hideMark/>
          </w:tcPr>
          <w:p w14:paraId="016DFAC1"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86,246.8</w:t>
            </w:r>
          </w:p>
        </w:tc>
        <w:tc>
          <w:tcPr>
            <w:tcW w:w="1437" w:type="dxa"/>
            <w:tcBorders>
              <w:top w:val="nil"/>
              <w:left w:val="nil"/>
              <w:bottom w:val="nil"/>
              <w:right w:val="nil"/>
            </w:tcBorders>
            <w:shd w:val="clear" w:color="auto" w:fill="auto"/>
            <w:noWrap/>
            <w:vAlign w:val="center"/>
            <w:hideMark/>
          </w:tcPr>
          <w:p w14:paraId="73397B1A"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11.1</w:t>
            </w:r>
          </w:p>
        </w:tc>
        <w:tc>
          <w:tcPr>
            <w:tcW w:w="1007" w:type="dxa"/>
            <w:tcBorders>
              <w:top w:val="nil"/>
              <w:left w:val="nil"/>
              <w:bottom w:val="nil"/>
              <w:right w:val="single" w:sz="8" w:space="0" w:color="auto"/>
            </w:tcBorders>
            <w:shd w:val="clear" w:color="auto" w:fill="auto"/>
            <w:noWrap/>
            <w:vAlign w:val="center"/>
            <w:hideMark/>
          </w:tcPr>
          <w:p w14:paraId="7F348F1A"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14.4</w:t>
            </w:r>
          </w:p>
        </w:tc>
      </w:tr>
      <w:tr w:rsidR="00646716" w:rsidRPr="000B4D85" w14:paraId="75F65704" w14:textId="77777777" w:rsidTr="005F3EC1">
        <w:trPr>
          <w:trHeight w:val="239"/>
        </w:trPr>
        <w:tc>
          <w:tcPr>
            <w:tcW w:w="757" w:type="dxa"/>
            <w:tcBorders>
              <w:top w:val="nil"/>
              <w:left w:val="single" w:sz="8" w:space="0" w:color="auto"/>
              <w:bottom w:val="nil"/>
              <w:right w:val="nil"/>
            </w:tcBorders>
            <w:shd w:val="clear" w:color="auto" w:fill="auto"/>
            <w:noWrap/>
            <w:vAlign w:val="center"/>
            <w:hideMark/>
          </w:tcPr>
          <w:p w14:paraId="4F18C154"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11</w:t>
            </w:r>
          </w:p>
        </w:tc>
        <w:tc>
          <w:tcPr>
            <w:tcW w:w="2837" w:type="dxa"/>
            <w:tcBorders>
              <w:top w:val="nil"/>
              <w:left w:val="nil"/>
              <w:bottom w:val="nil"/>
              <w:right w:val="single" w:sz="8" w:space="0" w:color="auto"/>
            </w:tcBorders>
            <w:shd w:val="clear" w:color="auto" w:fill="auto"/>
            <w:hideMark/>
          </w:tcPr>
          <w:p w14:paraId="03BDA0C4" w14:textId="77777777" w:rsidR="00646716" w:rsidRPr="000B4D85" w:rsidRDefault="00646716" w:rsidP="00A62D19">
            <w:pPr>
              <w:spacing w:after="0" w:line="240" w:lineRule="auto"/>
              <w:ind w:left="178"/>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Impuestos</w:t>
            </w:r>
          </w:p>
        </w:tc>
        <w:tc>
          <w:tcPr>
            <w:tcW w:w="1438" w:type="dxa"/>
            <w:tcBorders>
              <w:top w:val="nil"/>
              <w:left w:val="nil"/>
              <w:bottom w:val="nil"/>
              <w:right w:val="nil"/>
            </w:tcBorders>
            <w:shd w:val="clear" w:color="auto" w:fill="auto"/>
            <w:vAlign w:val="center"/>
            <w:hideMark/>
          </w:tcPr>
          <w:p w14:paraId="1CCD2C3D"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59,742.3</w:t>
            </w:r>
          </w:p>
        </w:tc>
        <w:tc>
          <w:tcPr>
            <w:tcW w:w="1006" w:type="dxa"/>
            <w:tcBorders>
              <w:top w:val="nil"/>
              <w:left w:val="nil"/>
              <w:bottom w:val="nil"/>
              <w:right w:val="single" w:sz="8" w:space="0" w:color="auto"/>
            </w:tcBorders>
            <w:shd w:val="clear" w:color="auto" w:fill="auto"/>
            <w:vAlign w:val="center"/>
            <w:hideMark/>
          </w:tcPr>
          <w:p w14:paraId="0626DA02"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62,734.0</w:t>
            </w:r>
          </w:p>
        </w:tc>
        <w:tc>
          <w:tcPr>
            <w:tcW w:w="1437" w:type="dxa"/>
            <w:tcBorders>
              <w:top w:val="nil"/>
              <w:left w:val="nil"/>
              <w:bottom w:val="nil"/>
              <w:right w:val="nil"/>
            </w:tcBorders>
            <w:shd w:val="clear" w:color="auto" w:fill="auto"/>
            <w:noWrap/>
            <w:vAlign w:val="center"/>
            <w:hideMark/>
          </w:tcPr>
          <w:p w14:paraId="1B863AE6"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10.0</w:t>
            </w:r>
          </w:p>
        </w:tc>
        <w:tc>
          <w:tcPr>
            <w:tcW w:w="1007" w:type="dxa"/>
            <w:tcBorders>
              <w:top w:val="nil"/>
              <w:left w:val="nil"/>
              <w:bottom w:val="nil"/>
              <w:right w:val="single" w:sz="8" w:space="0" w:color="auto"/>
            </w:tcBorders>
            <w:shd w:val="clear" w:color="auto" w:fill="auto"/>
            <w:noWrap/>
            <w:vAlign w:val="center"/>
            <w:hideMark/>
          </w:tcPr>
          <w:p w14:paraId="078E3790"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10.5</w:t>
            </w:r>
          </w:p>
        </w:tc>
      </w:tr>
      <w:tr w:rsidR="00646716" w:rsidRPr="000B4D85" w14:paraId="6F485F49" w14:textId="77777777" w:rsidTr="005F3EC1">
        <w:trPr>
          <w:trHeight w:val="239"/>
        </w:trPr>
        <w:tc>
          <w:tcPr>
            <w:tcW w:w="757" w:type="dxa"/>
            <w:tcBorders>
              <w:top w:val="nil"/>
              <w:left w:val="single" w:sz="8" w:space="0" w:color="auto"/>
              <w:bottom w:val="nil"/>
              <w:right w:val="nil"/>
            </w:tcBorders>
            <w:shd w:val="clear" w:color="auto" w:fill="auto"/>
            <w:noWrap/>
            <w:vAlign w:val="center"/>
            <w:hideMark/>
          </w:tcPr>
          <w:p w14:paraId="06752E24"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12</w:t>
            </w:r>
          </w:p>
        </w:tc>
        <w:tc>
          <w:tcPr>
            <w:tcW w:w="2837" w:type="dxa"/>
            <w:tcBorders>
              <w:top w:val="nil"/>
              <w:left w:val="nil"/>
              <w:bottom w:val="nil"/>
              <w:right w:val="single" w:sz="8" w:space="0" w:color="auto"/>
            </w:tcBorders>
            <w:shd w:val="clear" w:color="auto" w:fill="auto"/>
            <w:hideMark/>
          </w:tcPr>
          <w:p w14:paraId="5877CDF4" w14:textId="77777777" w:rsidR="00646716" w:rsidRPr="000B4D85" w:rsidRDefault="00646716" w:rsidP="00A62D19">
            <w:pPr>
              <w:spacing w:after="0" w:line="240" w:lineRule="auto"/>
              <w:ind w:left="178"/>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Contribuciones sociales</w:t>
            </w:r>
          </w:p>
        </w:tc>
        <w:tc>
          <w:tcPr>
            <w:tcW w:w="1438" w:type="dxa"/>
            <w:tcBorders>
              <w:top w:val="nil"/>
              <w:left w:val="nil"/>
              <w:bottom w:val="nil"/>
              <w:right w:val="nil"/>
            </w:tcBorders>
            <w:shd w:val="clear" w:color="auto" w:fill="auto"/>
            <w:vAlign w:val="center"/>
            <w:hideMark/>
          </w:tcPr>
          <w:p w14:paraId="0724F04C"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4,878.9</w:t>
            </w:r>
          </w:p>
        </w:tc>
        <w:tc>
          <w:tcPr>
            <w:tcW w:w="1006" w:type="dxa"/>
            <w:tcBorders>
              <w:top w:val="nil"/>
              <w:left w:val="nil"/>
              <w:bottom w:val="nil"/>
              <w:right w:val="single" w:sz="8" w:space="0" w:color="auto"/>
            </w:tcBorders>
            <w:shd w:val="clear" w:color="auto" w:fill="auto"/>
            <w:vAlign w:val="center"/>
            <w:hideMark/>
          </w:tcPr>
          <w:p w14:paraId="2F23413E"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16,696.5</w:t>
            </w:r>
          </w:p>
        </w:tc>
        <w:tc>
          <w:tcPr>
            <w:tcW w:w="1437" w:type="dxa"/>
            <w:tcBorders>
              <w:top w:val="nil"/>
              <w:left w:val="nil"/>
              <w:bottom w:val="nil"/>
              <w:right w:val="nil"/>
            </w:tcBorders>
            <w:shd w:val="clear" w:color="auto" w:fill="auto"/>
            <w:noWrap/>
            <w:vAlign w:val="center"/>
            <w:hideMark/>
          </w:tcPr>
          <w:p w14:paraId="768AB2C0"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0.8</w:t>
            </w:r>
          </w:p>
        </w:tc>
        <w:tc>
          <w:tcPr>
            <w:tcW w:w="1007" w:type="dxa"/>
            <w:tcBorders>
              <w:top w:val="nil"/>
              <w:left w:val="nil"/>
              <w:bottom w:val="nil"/>
              <w:right w:val="single" w:sz="8" w:space="0" w:color="auto"/>
            </w:tcBorders>
            <w:shd w:val="clear" w:color="auto" w:fill="auto"/>
            <w:noWrap/>
            <w:vAlign w:val="center"/>
            <w:hideMark/>
          </w:tcPr>
          <w:p w14:paraId="41F857AD"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2.8</w:t>
            </w:r>
          </w:p>
        </w:tc>
      </w:tr>
      <w:tr w:rsidR="00646716" w:rsidRPr="000B4D85" w14:paraId="07DC691F" w14:textId="77777777" w:rsidTr="005F3EC1">
        <w:trPr>
          <w:trHeight w:val="239"/>
        </w:trPr>
        <w:tc>
          <w:tcPr>
            <w:tcW w:w="757" w:type="dxa"/>
            <w:tcBorders>
              <w:top w:val="nil"/>
              <w:left w:val="single" w:sz="8" w:space="0" w:color="auto"/>
              <w:bottom w:val="nil"/>
              <w:right w:val="nil"/>
            </w:tcBorders>
            <w:shd w:val="clear" w:color="auto" w:fill="auto"/>
            <w:noWrap/>
            <w:vAlign w:val="center"/>
            <w:hideMark/>
          </w:tcPr>
          <w:p w14:paraId="467C72BF"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13</w:t>
            </w:r>
          </w:p>
        </w:tc>
        <w:tc>
          <w:tcPr>
            <w:tcW w:w="2837" w:type="dxa"/>
            <w:tcBorders>
              <w:top w:val="nil"/>
              <w:left w:val="nil"/>
              <w:bottom w:val="nil"/>
              <w:right w:val="single" w:sz="8" w:space="0" w:color="auto"/>
            </w:tcBorders>
            <w:shd w:val="clear" w:color="auto" w:fill="auto"/>
            <w:hideMark/>
          </w:tcPr>
          <w:p w14:paraId="2F4AF3B6" w14:textId="77777777" w:rsidR="00646716" w:rsidRPr="000B4D85" w:rsidRDefault="00646716" w:rsidP="00A62D19">
            <w:pPr>
              <w:spacing w:after="0" w:line="240" w:lineRule="auto"/>
              <w:ind w:left="178"/>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Donaciones</w:t>
            </w:r>
          </w:p>
        </w:tc>
        <w:tc>
          <w:tcPr>
            <w:tcW w:w="1438" w:type="dxa"/>
            <w:tcBorders>
              <w:top w:val="nil"/>
              <w:left w:val="nil"/>
              <w:bottom w:val="nil"/>
              <w:right w:val="nil"/>
            </w:tcBorders>
            <w:shd w:val="clear" w:color="auto" w:fill="auto"/>
            <w:vAlign w:val="center"/>
            <w:hideMark/>
          </w:tcPr>
          <w:p w14:paraId="69745D4A"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68.3</w:t>
            </w:r>
          </w:p>
        </w:tc>
        <w:tc>
          <w:tcPr>
            <w:tcW w:w="1006" w:type="dxa"/>
            <w:tcBorders>
              <w:top w:val="nil"/>
              <w:left w:val="nil"/>
              <w:bottom w:val="nil"/>
              <w:right w:val="single" w:sz="8" w:space="0" w:color="auto"/>
            </w:tcBorders>
            <w:shd w:val="clear" w:color="auto" w:fill="auto"/>
            <w:vAlign w:val="center"/>
            <w:hideMark/>
          </w:tcPr>
          <w:p w14:paraId="302BC75C"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114.1</w:t>
            </w:r>
          </w:p>
        </w:tc>
        <w:tc>
          <w:tcPr>
            <w:tcW w:w="1437" w:type="dxa"/>
            <w:tcBorders>
              <w:top w:val="nil"/>
              <w:left w:val="nil"/>
              <w:bottom w:val="nil"/>
              <w:right w:val="nil"/>
            </w:tcBorders>
            <w:shd w:val="clear" w:color="auto" w:fill="auto"/>
            <w:noWrap/>
            <w:vAlign w:val="center"/>
            <w:hideMark/>
          </w:tcPr>
          <w:p w14:paraId="1A8BE858"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0.0</w:t>
            </w:r>
          </w:p>
        </w:tc>
        <w:tc>
          <w:tcPr>
            <w:tcW w:w="1007" w:type="dxa"/>
            <w:tcBorders>
              <w:top w:val="nil"/>
              <w:left w:val="nil"/>
              <w:bottom w:val="nil"/>
              <w:right w:val="single" w:sz="8" w:space="0" w:color="auto"/>
            </w:tcBorders>
            <w:shd w:val="clear" w:color="auto" w:fill="auto"/>
            <w:noWrap/>
            <w:vAlign w:val="center"/>
            <w:hideMark/>
          </w:tcPr>
          <w:p w14:paraId="045D3C3B"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0.0</w:t>
            </w:r>
          </w:p>
        </w:tc>
      </w:tr>
      <w:tr w:rsidR="00646716" w:rsidRPr="000B4D85" w14:paraId="033659D6" w14:textId="77777777" w:rsidTr="005F3EC1">
        <w:trPr>
          <w:trHeight w:val="239"/>
        </w:trPr>
        <w:tc>
          <w:tcPr>
            <w:tcW w:w="757" w:type="dxa"/>
            <w:tcBorders>
              <w:top w:val="nil"/>
              <w:left w:val="single" w:sz="8" w:space="0" w:color="auto"/>
              <w:bottom w:val="nil"/>
              <w:right w:val="nil"/>
            </w:tcBorders>
            <w:shd w:val="clear" w:color="auto" w:fill="auto"/>
            <w:noWrap/>
            <w:vAlign w:val="center"/>
            <w:hideMark/>
          </w:tcPr>
          <w:p w14:paraId="2DB97AE4"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14</w:t>
            </w:r>
          </w:p>
        </w:tc>
        <w:tc>
          <w:tcPr>
            <w:tcW w:w="2837" w:type="dxa"/>
            <w:tcBorders>
              <w:top w:val="nil"/>
              <w:left w:val="nil"/>
              <w:bottom w:val="nil"/>
              <w:right w:val="single" w:sz="8" w:space="0" w:color="auto"/>
            </w:tcBorders>
            <w:shd w:val="clear" w:color="auto" w:fill="auto"/>
            <w:hideMark/>
          </w:tcPr>
          <w:p w14:paraId="3FAC523F" w14:textId="77777777" w:rsidR="00646716" w:rsidRPr="000B4D85" w:rsidRDefault="00646716" w:rsidP="00A62D19">
            <w:pPr>
              <w:spacing w:after="0" w:line="240" w:lineRule="auto"/>
              <w:ind w:left="178"/>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Otros ingresos</w:t>
            </w:r>
          </w:p>
        </w:tc>
        <w:tc>
          <w:tcPr>
            <w:tcW w:w="1438" w:type="dxa"/>
            <w:tcBorders>
              <w:top w:val="nil"/>
              <w:left w:val="nil"/>
              <w:bottom w:val="nil"/>
              <w:right w:val="nil"/>
            </w:tcBorders>
            <w:shd w:val="clear" w:color="auto" w:fill="auto"/>
            <w:vAlign w:val="center"/>
            <w:hideMark/>
          </w:tcPr>
          <w:p w14:paraId="50DC176C"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1,572.0</w:t>
            </w:r>
          </w:p>
        </w:tc>
        <w:tc>
          <w:tcPr>
            <w:tcW w:w="1006" w:type="dxa"/>
            <w:tcBorders>
              <w:top w:val="nil"/>
              <w:left w:val="nil"/>
              <w:bottom w:val="nil"/>
              <w:right w:val="single" w:sz="8" w:space="0" w:color="auto"/>
            </w:tcBorders>
            <w:shd w:val="clear" w:color="auto" w:fill="auto"/>
            <w:vAlign w:val="center"/>
            <w:hideMark/>
          </w:tcPr>
          <w:p w14:paraId="267B7097"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6,702.3</w:t>
            </w:r>
          </w:p>
        </w:tc>
        <w:tc>
          <w:tcPr>
            <w:tcW w:w="1437" w:type="dxa"/>
            <w:tcBorders>
              <w:top w:val="nil"/>
              <w:left w:val="nil"/>
              <w:bottom w:val="nil"/>
              <w:right w:val="nil"/>
            </w:tcBorders>
            <w:shd w:val="clear" w:color="auto" w:fill="auto"/>
            <w:noWrap/>
            <w:vAlign w:val="center"/>
            <w:hideMark/>
          </w:tcPr>
          <w:p w14:paraId="689B08FA"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0.3</w:t>
            </w:r>
          </w:p>
        </w:tc>
        <w:tc>
          <w:tcPr>
            <w:tcW w:w="1007" w:type="dxa"/>
            <w:tcBorders>
              <w:top w:val="nil"/>
              <w:left w:val="nil"/>
              <w:bottom w:val="nil"/>
              <w:right w:val="single" w:sz="8" w:space="0" w:color="auto"/>
            </w:tcBorders>
            <w:shd w:val="clear" w:color="auto" w:fill="auto"/>
            <w:noWrap/>
            <w:vAlign w:val="center"/>
            <w:hideMark/>
          </w:tcPr>
          <w:p w14:paraId="1EB43A89"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1.1</w:t>
            </w:r>
          </w:p>
        </w:tc>
      </w:tr>
      <w:tr w:rsidR="00646716" w:rsidRPr="000B4D85" w14:paraId="4AE6B5F0" w14:textId="77777777" w:rsidTr="005F3EC1">
        <w:trPr>
          <w:trHeight w:val="239"/>
        </w:trPr>
        <w:tc>
          <w:tcPr>
            <w:tcW w:w="757" w:type="dxa"/>
            <w:tcBorders>
              <w:top w:val="nil"/>
              <w:left w:val="single" w:sz="8" w:space="0" w:color="auto"/>
              <w:bottom w:val="nil"/>
              <w:right w:val="nil"/>
            </w:tcBorders>
            <w:shd w:val="clear" w:color="auto" w:fill="auto"/>
            <w:noWrap/>
            <w:vAlign w:val="center"/>
            <w:hideMark/>
          </w:tcPr>
          <w:p w14:paraId="572125D5"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2</w:t>
            </w:r>
          </w:p>
        </w:tc>
        <w:tc>
          <w:tcPr>
            <w:tcW w:w="2837" w:type="dxa"/>
            <w:tcBorders>
              <w:top w:val="nil"/>
              <w:left w:val="nil"/>
              <w:bottom w:val="nil"/>
              <w:right w:val="single" w:sz="8" w:space="0" w:color="auto"/>
            </w:tcBorders>
            <w:shd w:val="clear" w:color="auto" w:fill="auto"/>
            <w:hideMark/>
          </w:tcPr>
          <w:p w14:paraId="2DB533F9" w14:textId="77777777" w:rsidR="00646716" w:rsidRPr="000B4D85" w:rsidRDefault="00646716" w:rsidP="00A62D19">
            <w:pPr>
              <w:spacing w:after="0" w:line="240" w:lineRule="auto"/>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GASTO</w:t>
            </w:r>
          </w:p>
        </w:tc>
        <w:tc>
          <w:tcPr>
            <w:tcW w:w="1438" w:type="dxa"/>
            <w:tcBorders>
              <w:top w:val="nil"/>
              <w:left w:val="nil"/>
              <w:bottom w:val="nil"/>
              <w:right w:val="nil"/>
            </w:tcBorders>
            <w:shd w:val="clear" w:color="auto" w:fill="auto"/>
            <w:vAlign w:val="center"/>
            <w:hideMark/>
          </w:tcPr>
          <w:p w14:paraId="1B97AEE7"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89,474.4</w:t>
            </w:r>
          </w:p>
        </w:tc>
        <w:tc>
          <w:tcPr>
            <w:tcW w:w="1006" w:type="dxa"/>
            <w:tcBorders>
              <w:top w:val="nil"/>
              <w:left w:val="nil"/>
              <w:bottom w:val="nil"/>
              <w:right w:val="single" w:sz="8" w:space="0" w:color="auto"/>
            </w:tcBorders>
            <w:shd w:val="clear" w:color="auto" w:fill="auto"/>
            <w:vAlign w:val="center"/>
            <w:hideMark/>
          </w:tcPr>
          <w:p w14:paraId="251D866C"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96,231.0</w:t>
            </w:r>
          </w:p>
        </w:tc>
        <w:tc>
          <w:tcPr>
            <w:tcW w:w="1437" w:type="dxa"/>
            <w:tcBorders>
              <w:top w:val="nil"/>
              <w:left w:val="nil"/>
              <w:bottom w:val="nil"/>
              <w:right w:val="nil"/>
            </w:tcBorders>
            <w:shd w:val="clear" w:color="auto" w:fill="auto"/>
            <w:noWrap/>
            <w:vAlign w:val="center"/>
            <w:hideMark/>
          </w:tcPr>
          <w:p w14:paraId="78BAA10B"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14.9</w:t>
            </w:r>
          </w:p>
        </w:tc>
        <w:tc>
          <w:tcPr>
            <w:tcW w:w="1007" w:type="dxa"/>
            <w:tcBorders>
              <w:top w:val="nil"/>
              <w:left w:val="nil"/>
              <w:bottom w:val="nil"/>
              <w:right w:val="single" w:sz="8" w:space="0" w:color="auto"/>
            </w:tcBorders>
            <w:shd w:val="clear" w:color="auto" w:fill="auto"/>
            <w:noWrap/>
            <w:vAlign w:val="center"/>
            <w:hideMark/>
          </w:tcPr>
          <w:p w14:paraId="2AC10B99"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16.1</w:t>
            </w:r>
          </w:p>
        </w:tc>
      </w:tr>
      <w:tr w:rsidR="00646716" w:rsidRPr="000B4D85" w14:paraId="36A12D2F" w14:textId="77777777" w:rsidTr="005F3EC1">
        <w:trPr>
          <w:trHeight w:val="239"/>
        </w:trPr>
        <w:tc>
          <w:tcPr>
            <w:tcW w:w="757" w:type="dxa"/>
            <w:tcBorders>
              <w:top w:val="nil"/>
              <w:left w:val="single" w:sz="8" w:space="0" w:color="auto"/>
              <w:bottom w:val="nil"/>
              <w:right w:val="nil"/>
            </w:tcBorders>
            <w:shd w:val="clear" w:color="auto" w:fill="auto"/>
            <w:noWrap/>
            <w:vAlign w:val="center"/>
            <w:hideMark/>
          </w:tcPr>
          <w:p w14:paraId="0FDE8B5C"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21</w:t>
            </w:r>
          </w:p>
        </w:tc>
        <w:tc>
          <w:tcPr>
            <w:tcW w:w="2837" w:type="dxa"/>
            <w:tcBorders>
              <w:top w:val="nil"/>
              <w:left w:val="nil"/>
              <w:bottom w:val="nil"/>
              <w:right w:val="single" w:sz="8" w:space="0" w:color="auto"/>
            </w:tcBorders>
            <w:shd w:val="clear" w:color="auto" w:fill="auto"/>
            <w:hideMark/>
          </w:tcPr>
          <w:p w14:paraId="679513B9" w14:textId="77777777" w:rsidR="00646716" w:rsidRPr="000B4D85" w:rsidRDefault="00646716" w:rsidP="00A62D19">
            <w:pPr>
              <w:spacing w:after="0" w:line="240" w:lineRule="auto"/>
              <w:ind w:left="178"/>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Remuneración a los empleados</w:t>
            </w:r>
          </w:p>
        </w:tc>
        <w:tc>
          <w:tcPr>
            <w:tcW w:w="1438" w:type="dxa"/>
            <w:tcBorders>
              <w:top w:val="nil"/>
              <w:left w:val="nil"/>
              <w:bottom w:val="nil"/>
              <w:right w:val="nil"/>
            </w:tcBorders>
            <w:shd w:val="clear" w:color="auto" w:fill="auto"/>
            <w:vAlign w:val="center"/>
            <w:hideMark/>
          </w:tcPr>
          <w:p w14:paraId="5D228F19"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29,835.7</w:t>
            </w:r>
          </w:p>
        </w:tc>
        <w:tc>
          <w:tcPr>
            <w:tcW w:w="1006" w:type="dxa"/>
            <w:tcBorders>
              <w:top w:val="nil"/>
              <w:left w:val="nil"/>
              <w:bottom w:val="nil"/>
              <w:right w:val="single" w:sz="8" w:space="0" w:color="auto"/>
            </w:tcBorders>
            <w:shd w:val="clear" w:color="auto" w:fill="auto"/>
            <w:vAlign w:val="center"/>
            <w:hideMark/>
          </w:tcPr>
          <w:p w14:paraId="11D8ABB2"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45,772.6</w:t>
            </w:r>
          </w:p>
        </w:tc>
        <w:tc>
          <w:tcPr>
            <w:tcW w:w="1437" w:type="dxa"/>
            <w:tcBorders>
              <w:top w:val="nil"/>
              <w:left w:val="nil"/>
              <w:bottom w:val="nil"/>
              <w:right w:val="nil"/>
            </w:tcBorders>
            <w:shd w:val="clear" w:color="auto" w:fill="auto"/>
            <w:noWrap/>
            <w:vAlign w:val="center"/>
            <w:hideMark/>
          </w:tcPr>
          <w:p w14:paraId="403F7793"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5.0</w:t>
            </w:r>
          </w:p>
        </w:tc>
        <w:tc>
          <w:tcPr>
            <w:tcW w:w="1007" w:type="dxa"/>
            <w:tcBorders>
              <w:top w:val="nil"/>
              <w:left w:val="nil"/>
              <w:bottom w:val="nil"/>
              <w:right w:val="single" w:sz="8" w:space="0" w:color="auto"/>
            </w:tcBorders>
            <w:shd w:val="clear" w:color="auto" w:fill="auto"/>
            <w:noWrap/>
            <w:vAlign w:val="center"/>
            <w:hideMark/>
          </w:tcPr>
          <w:p w14:paraId="5DDB06CF"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7.6</w:t>
            </w:r>
          </w:p>
        </w:tc>
      </w:tr>
      <w:tr w:rsidR="00646716" w:rsidRPr="000B4D85" w14:paraId="70711D62" w14:textId="77777777" w:rsidTr="005F3EC1">
        <w:trPr>
          <w:trHeight w:val="239"/>
        </w:trPr>
        <w:tc>
          <w:tcPr>
            <w:tcW w:w="757" w:type="dxa"/>
            <w:tcBorders>
              <w:top w:val="nil"/>
              <w:left w:val="single" w:sz="8" w:space="0" w:color="auto"/>
              <w:bottom w:val="nil"/>
              <w:right w:val="nil"/>
            </w:tcBorders>
            <w:shd w:val="clear" w:color="auto" w:fill="auto"/>
            <w:noWrap/>
            <w:vAlign w:val="center"/>
            <w:hideMark/>
          </w:tcPr>
          <w:p w14:paraId="604F32D2"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22</w:t>
            </w:r>
          </w:p>
        </w:tc>
        <w:tc>
          <w:tcPr>
            <w:tcW w:w="2837" w:type="dxa"/>
            <w:tcBorders>
              <w:top w:val="nil"/>
              <w:left w:val="nil"/>
              <w:bottom w:val="nil"/>
              <w:right w:val="single" w:sz="8" w:space="0" w:color="auto"/>
            </w:tcBorders>
            <w:shd w:val="clear" w:color="auto" w:fill="auto"/>
            <w:hideMark/>
          </w:tcPr>
          <w:p w14:paraId="595D9ED2" w14:textId="77777777" w:rsidR="00646716" w:rsidRPr="000B4D85" w:rsidRDefault="00646716" w:rsidP="00A62D19">
            <w:pPr>
              <w:spacing w:after="0" w:line="240" w:lineRule="auto"/>
              <w:ind w:left="178"/>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Uso de bienes y servicios</w:t>
            </w:r>
          </w:p>
        </w:tc>
        <w:tc>
          <w:tcPr>
            <w:tcW w:w="1438" w:type="dxa"/>
            <w:tcBorders>
              <w:top w:val="nil"/>
              <w:left w:val="nil"/>
              <w:bottom w:val="nil"/>
              <w:right w:val="nil"/>
            </w:tcBorders>
            <w:shd w:val="clear" w:color="auto" w:fill="auto"/>
            <w:vAlign w:val="center"/>
            <w:hideMark/>
          </w:tcPr>
          <w:p w14:paraId="77A2B3C7"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9,121.5</w:t>
            </w:r>
          </w:p>
        </w:tc>
        <w:tc>
          <w:tcPr>
            <w:tcW w:w="1006" w:type="dxa"/>
            <w:tcBorders>
              <w:top w:val="nil"/>
              <w:left w:val="nil"/>
              <w:bottom w:val="nil"/>
              <w:right w:val="single" w:sz="8" w:space="0" w:color="auto"/>
            </w:tcBorders>
            <w:shd w:val="clear" w:color="auto" w:fill="auto"/>
            <w:vAlign w:val="center"/>
            <w:hideMark/>
          </w:tcPr>
          <w:p w14:paraId="37D7E329"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15,026.1</w:t>
            </w:r>
          </w:p>
        </w:tc>
        <w:tc>
          <w:tcPr>
            <w:tcW w:w="1437" w:type="dxa"/>
            <w:tcBorders>
              <w:top w:val="nil"/>
              <w:left w:val="nil"/>
              <w:bottom w:val="nil"/>
              <w:right w:val="nil"/>
            </w:tcBorders>
            <w:shd w:val="clear" w:color="auto" w:fill="auto"/>
            <w:noWrap/>
            <w:vAlign w:val="center"/>
            <w:hideMark/>
          </w:tcPr>
          <w:p w14:paraId="70327E1F"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1.5</w:t>
            </w:r>
          </w:p>
        </w:tc>
        <w:tc>
          <w:tcPr>
            <w:tcW w:w="1007" w:type="dxa"/>
            <w:tcBorders>
              <w:top w:val="nil"/>
              <w:left w:val="nil"/>
              <w:bottom w:val="nil"/>
              <w:right w:val="single" w:sz="8" w:space="0" w:color="auto"/>
            </w:tcBorders>
            <w:shd w:val="clear" w:color="auto" w:fill="auto"/>
            <w:noWrap/>
            <w:vAlign w:val="center"/>
            <w:hideMark/>
          </w:tcPr>
          <w:p w14:paraId="5C1D707C"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2.5</w:t>
            </w:r>
          </w:p>
        </w:tc>
      </w:tr>
      <w:tr w:rsidR="00646716" w:rsidRPr="000B4D85" w14:paraId="026B66CA" w14:textId="77777777" w:rsidTr="005F3EC1">
        <w:trPr>
          <w:trHeight w:val="239"/>
        </w:trPr>
        <w:tc>
          <w:tcPr>
            <w:tcW w:w="757" w:type="dxa"/>
            <w:tcBorders>
              <w:top w:val="nil"/>
              <w:left w:val="single" w:sz="8" w:space="0" w:color="auto"/>
              <w:bottom w:val="nil"/>
              <w:right w:val="nil"/>
            </w:tcBorders>
            <w:shd w:val="clear" w:color="auto" w:fill="auto"/>
            <w:noWrap/>
            <w:vAlign w:val="center"/>
            <w:hideMark/>
          </w:tcPr>
          <w:p w14:paraId="3E813EB9"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24</w:t>
            </w:r>
          </w:p>
        </w:tc>
        <w:tc>
          <w:tcPr>
            <w:tcW w:w="2837" w:type="dxa"/>
            <w:tcBorders>
              <w:top w:val="nil"/>
              <w:left w:val="nil"/>
              <w:bottom w:val="nil"/>
              <w:right w:val="single" w:sz="8" w:space="0" w:color="auto"/>
            </w:tcBorders>
            <w:shd w:val="clear" w:color="auto" w:fill="auto"/>
            <w:hideMark/>
          </w:tcPr>
          <w:p w14:paraId="7F501E70" w14:textId="77777777" w:rsidR="00646716" w:rsidRPr="000B4D85" w:rsidRDefault="00646716" w:rsidP="00A62D19">
            <w:pPr>
              <w:spacing w:after="0" w:line="240" w:lineRule="auto"/>
              <w:ind w:left="178"/>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Intereses</w:t>
            </w:r>
          </w:p>
        </w:tc>
        <w:tc>
          <w:tcPr>
            <w:tcW w:w="1438" w:type="dxa"/>
            <w:tcBorders>
              <w:top w:val="nil"/>
              <w:left w:val="nil"/>
              <w:bottom w:val="nil"/>
              <w:right w:val="nil"/>
            </w:tcBorders>
            <w:shd w:val="clear" w:color="auto" w:fill="auto"/>
            <w:vAlign w:val="center"/>
            <w:hideMark/>
          </w:tcPr>
          <w:p w14:paraId="3FACA9B8"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10,176.9</w:t>
            </w:r>
          </w:p>
        </w:tc>
        <w:tc>
          <w:tcPr>
            <w:tcW w:w="1006" w:type="dxa"/>
            <w:tcBorders>
              <w:top w:val="nil"/>
              <w:left w:val="nil"/>
              <w:bottom w:val="nil"/>
              <w:right w:val="single" w:sz="8" w:space="0" w:color="auto"/>
            </w:tcBorders>
            <w:shd w:val="clear" w:color="auto" w:fill="auto"/>
            <w:vAlign w:val="center"/>
            <w:hideMark/>
          </w:tcPr>
          <w:p w14:paraId="5DF7DB92"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9,104.3</w:t>
            </w:r>
          </w:p>
        </w:tc>
        <w:tc>
          <w:tcPr>
            <w:tcW w:w="1437" w:type="dxa"/>
            <w:tcBorders>
              <w:top w:val="nil"/>
              <w:left w:val="nil"/>
              <w:bottom w:val="nil"/>
              <w:right w:val="nil"/>
            </w:tcBorders>
            <w:shd w:val="clear" w:color="auto" w:fill="auto"/>
            <w:noWrap/>
            <w:vAlign w:val="center"/>
            <w:hideMark/>
          </w:tcPr>
          <w:p w14:paraId="08AF672E"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1.7</w:t>
            </w:r>
          </w:p>
        </w:tc>
        <w:tc>
          <w:tcPr>
            <w:tcW w:w="1007" w:type="dxa"/>
            <w:tcBorders>
              <w:top w:val="nil"/>
              <w:left w:val="nil"/>
              <w:bottom w:val="nil"/>
              <w:right w:val="single" w:sz="8" w:space="0" w:color="auto"/>
            </w:tcBorders>
            <w:shd w:val="clear" w:color="auto" w:fill="auto"/>
            <w:noWrap/>
            <w:vAlign w:val="center"/>
            <w:hideMark/>
          </w:tcPr>
          <w:p w14:paraId="4C15FBD8"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1.5</w:t>
            </w:r>
          </w:p>
        </w:tc>
      </w:tr>
      <w:tr w:rsidR="00646716" w:rsidRPr="000B4D85" w14:paraId="6C366B39" w14:textId="77777777" w:rsidTr="005F3EC1">
        <w:trPr>
          <w:trHeight w:val="239"/>
        </w:trPr>
        <w:tc>
          <w:tcPr>
            <w:tcW w:w="757" w:type="dxa"/>
            <w:tcBorders>
              <w:top w:val="nil"/>
              <w:left w:val="single" w:sz="8" w:space="0" w:color="auto"/>
              <w:bottom w:val="nil"/>
              <w:right w:val="nil"/>
            </w:tcBorders>
            <w:shd w:val="clear" w:color="auto" w:fill="auto"/>
            <w:noWrap/>
            <w:vAlign w:val="center"/>
            <w:hideMark/>
          </w:tcPr>
          <w:p w14:paraId="6D52F446"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25</w:t>
            </w:r>
          </w:p>
        </w:tc>
        <w:tc>
          <w:tcPr>
            <w:tcW w:w="2837" w:type="dxa"/>
            <w:tcBorders>
              <w:top w:val="nil"/>
              <w:left w:val="nil"/>
              <w:bottom w:val="nil"/>
              <w:right w:val="single" w:sz="8" w:space="0" w:color="auto"/>
            </w:tcBorders>
            <w:shd w:val="clear" w:color="auto" w:fill="auto"/>
            <w:hideMark/>
          </w:tcPr>
          <w:p w14:paraId="227217AC" w14:textId="77777777" w:rsidR="00646716" w:rsidRPr="000B4D85" w:rsidRDefault="00646716" w:rsidP="00A62D19">
            <w:pPr>
              <w:spacing w:after="0" w:line="240" w:lineRule="auto"/>
              <w:ind w:left="178"/>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Subsidios</w:t>
            </w:r>
          </w:p>
        </w:tc>
        <w:tc>
          <w:tcPr>
            <w:tcW w:w="1438" w:type="dxa"/>
            <w:tcBorders>
              <w:top w:val="nil"/>
              <w:left w:val="nil"/>
              <w:bottom w:val="nil"/>
              <w:right w:val="nil"/>
            </w:tcBorders>
            <w:shd w:val="clear" w:color="auto" w:fill="auto"/>
            <w:vAlign w:val="center"/>
            <w:hideMark/>
          </w:tcPr>
          <w:p w14:paraId="0E02DDCE"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2,672.0</w:t>
            </w:r>
          </w:p>
        </w:tc>
        <w:tc>
          <w:tcPr>
            <w:tcW w:w="1006" w:type="dxa"/>
            <w:tcBorders>
              <w:top w:val="nil"/>
              <w:left w:val="nil"/>
              <w:bottom w:val="nil"/>
              <w:right w:val="single" w:sz="8" w:space="0" w:color="auto"/>
            </w:tcBorders>
            <w:shd w:val="clear" w:color="auto" w:fill="auto"/>
            <w:vAlign w:val="center"/>
            <w:hideMark/>
          </w:tcPr>
          <w:p w14:paraId="1F03E3C8"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2,772.7</w:t>
            </w:r>
          </w:p>
        </w:tc>
        <w:tc>
          <w:tcPr>
            <w:tcW w:w="1437" w:type="dxa"/>
            <w:tcBorders>
              <w:top w:val="nil"/>
              <w:left w:val="nil"/>
              <w:bottom w:val="nil"/>
              <w:right w:val="nil"/>
            </w:tcBorders>
            <w:shd w:val="clear" w:color="auto" w:fill="auto"/>
            <w:noWrap/>
            <w:vAlign w:val="center"/>
            <w:hideMark/>
          </w:tcPr>
          <w:p w14:paraId="73462F1E"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0.4</w:t>
            </w:r>
          </w:p>
        </w:tc>
        <w:tc>
          <w:tcPr>
            <w:tcW w:w="1007" w:type="dxa"/>
            <w:tcBorders>
              <w:top w:val="nil"/>
              <w:left w:val="nil"/>
              <w:bottom w:val="nil"/>
              <w:right w:val="single" w:sz="8" w:space="0" w:color="auto"/>
            </w:tcBorders>
            <w:shd w:val="clear" w:color="auto" w:fill="auto"/>
            <w:noWrap/>
            <w:vAlign w:val="center"/>
            <w:hideMark/>
          </w:tcPr>
          <w:p w14:paraId="668A8C54"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0.5</w:t>
            </w:r>
          </w:p>
        </w:tc>
      </w:tr>
      <w:tr w:rsidR="00646716" w:rsidRPr="000B4D85" w14:paraId="211C2F60" w14:textId="77777777" w:rsidTr="005F3EC1">
        <w:trPr>
          <w:trHeight w:val="239"/>
        </w:trPr>
        <w:tc>
          <w:tcPr>
            <w:tcW w:w="757" w:type="dxa"/>
            <w:tcBorders>
              <w:top w:val="nil"/>
              <w:left w:val="single" w:sz="8" w:space="0" w:color="auto"/>
              <w:bottom w:val="nil"/>
              <w:right w:val="nil"/>
            </w:tcBorders>
            <w:shd w:val="clear" w:color="auto" w:fill="auto"/>
            <w:noWrap/>
            <w:vAlign w:val="center"/>
            <w:hideMark/>
          </w:tcPr>
          <w:p w14:paraId="7EBC5B72"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26</w:t>
            </w:r>
          </w:p>
        </w:tc>
        <w:tc>
          <w:tcPr>
            <w:tcW w:w="2837" w:type="dxa"/>
            <w:tcBorders>
              <w:top w:val="nil"/>
              <w:left w:val="nil"/>
              <w:bottom w:val="nil"/>
              <w:right w:val="single" w:sz="8" w:space="0" w:color="auto"/>
            </w:tcBorders>
            <w:shd w:val="clear" w:color="auto" w:fill="auto"/>
            <w:hideMark/>
          </w:tcPr>
          <w:p w14:paraId="1B0D1A6E" w14:textId="77777777" w:rsidR="00646716" w:rsidRPr="000B4D85" w:rsidRDefault="00646716" w:rsidP="00A62D19">
            <w:pPr>
              <w:spacing w:after="0" w:line="240" w:lineRule="auto"/>
              <w:ind w:left="178"/>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Donaciones</w:t>
            </w:r>
          </w:p>
        </w:tc>
        <w:tc>
          <w:tcPr>
            <w:tcW w:w="1438" w:type="dxa"/>
            <w:tcBorders>
              <w:top w:val="nil"/>
              <w:left w:val="nil"/>
              <w:bottom w:val="nil"/>
              <w:right w:val="nil"/>
            </w:tcBorders>
            <w:shd w:val="clear" w:color="auto" w:fill="auto"/>
            <w:vAlign w:val="center"/>
            <w:hideMark/>
          </w:tcPr>
          <w:p w14:paraId="60BBA4BB"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20,133.6</w:t>
            </w:r>
          </w:p>
        </w:tc>
        <w:tc>
          <w:tcPr>
            <w:tcW w:w="1006" w:type="dxa"/>
            <w:tcBorders>
              <w:top w:val="nil"/>
              <w:left w:val="nil"/>
              <w:bottom w:val="nil"/>
              <w:right w:val="single" w:sz="8" w:space="0" w:color="auto"/>
            </w:tcBorders>
            <w:shd w:val="clear" w:color="auto" w:fill="auto"/>
            <w:vAlign w:val="center"/>
            <w:hideMark/>
          </w:tcPr>
          <w:p w14:paraId="19AB91AC"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227.8</w:t>
            </w:r>
          </w:p>
        </w:tc>
        <w:tc>
          <w:tcPr>
            <w:tcW w:w="1437" w:type="dxa"/>
            <w:tcBorders>
              <w:top w:val="nil"/>
              <w:left w:val="nil"/>
              <w:bottom w:val="nil"/>
              <w:right w:val="nil"/>
            </w:tcBorders>
            <w:shd w:val="clear" w:color="auto" w:fill="auto"/>
            <w:noWrap/>
            <w:vAlign w:val="center"/>
            <w:hideMark/>
          </w:tcPr>
          <w:p w14:paraId="66003100"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3.4</w:t>
            </w:r>
          </w:p>
        </w:tc>
        <w:tc>
          <w:tcPr>
            <w:tcW w:w="1007" w:type="dxa"/>
            <w:tcBorders>
              <w:top w:val="nil"/>
              <w:left w:val="nil"/>
              <w:bottom w:val="nil"/>
              <w:right w:val="single" w:sz="8" w:space="0" w:color="auto"/>
            </w:tcBorders>
            <w:shd w:val="clear" w:color="auto" w:fill="auto"/>
            <w:noWrap/>
            <w:vAlign w:val="center"/>
            <w:hideMark/>
          </w:tcPr>
          <w:p w14:paraId="3064ABB6"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0.0</w:t>
            </w:r>
          </w:p>
        </w:tc>
      </w:tr>
      <w:tr w:rsidR="00646716" w:rsidRPr="000B4D85" w14:paraId="03783251" w14:textId="77777777" w:rsidTr="005F3EC1">
        <w:trPr>
          <w:trHeight w:val="239"/>
        </w:trPr>
        <w:tc>
          <w:tcPr>
            <w:tcW w:w="757" w:type="dxa"/>
            <w:tcBorders>
              <w:top w:val="nil"/>
              <w:left w:val="single" w:sz="8" w:space="0" w:color="auto"/>
              <w:bottom w:val="nil"/>
              <w:right w:val="nil"/>
            </w:tcBorders>
            <w:shd w:val="clear" w:color="auto" w:fill="auto"/>
            <w:noWrap/>
            <w:vAlign w:val="center"/>
            <w:hideMark/>
          </w:tcPr>
          <w:p w14:paraId="51522993"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27</w:t>
            </w:r>
          </w:p>
        </w:tc>
        <w:tc>
          <w:tcPr>
            <w:tcW w:w="2837" w:type="dxa"/>
            <w:tcBorders>
              <w:top w:val="nil"/>
              <w:left w:val="nil"/>
              <w:bottom w:val="nil"/>
              <w:right w:val="single" w:sz="8" w:space="0" w:color="auto"/>
            </w:tcBorders>
            <w:shd w:val="clear" w:color="auto" w:fill="auto"/>
            <w:hideMark/>
          </w:tcPr>
          <w:p w14:paraId="5811D2FA" w14:textId="77777777" w:rsidR="00646716" w:rsidRPr="000B4D85" w:rsidRDefault="00646716" w:rsidP="00A62D19">
            <w:pPr>
              <w:spacing w:after="0" w:line="240" w:lineRule="auto"/>
              <w:ind w:left="178"/>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Prestaciones sociales</w:t>
            </w:r>
          </w:p>
        </w:tc>
        <w:tc>
          <w:tcPr>
            <w:tcW w:w="1438" w:type="dxa"/>
            <w:tcBorders>
              <w:top w:val="nil"/>
              <w:left w:val="nil"/>
              <w:bottom w:val="nil"/>
              <w:right w:val="nil"/>
            </w:tcBorders>
            <w:shd w:val="clear" w:color="auto" w:fill="auto"/>
            <w:vAlign w:val="center"/>
            <w:hideMark/>
          </w:tcPr>
          <w:p w14:paraId="3ED7B436"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11,878.7</w:t>
            </w:r>
          </w:p>
        </w:tc>
        <w:tc>
          <w:tcPr>
            <w:tcW w:w="1006" w:type="dxa"/>
            <w:tcBorders>
              <w:top w:val="nil"/>
              <w:left w:val="nil"/>
              <w:bottom w:val="nil"/>
              <w:right w:val="single" w:sz="8" w:space="0" w:color="auto"/>
            </w:tcBorders>
            <w:shd w:val="clear" w:color="auto" w:fill="auto"/>
            <w:vAlign w:val="center"/>
            <w:hideMark/>
          </w:tcPr>
          <w:p w14:paraId="74294AF7"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17,136.1</w:t>
            </w:r>
          </w:p>
        </w:tc>
        <w:tc>
          <w:tcPr>
            <w:tcW w:w="1437" w:type="dxa"/>
            <w:tcBorders>
              <w:top w:val="nil"/>
              <w:left w:val="nil"/>
              <w:bottom w:val="nil"/>
              <w:right w:val="nil"/>
            </w:tcBorders>
            <w:shd w:val="clear" w:color="auto" w:fill="auto"/>
            <w:noWrap/>
            <w:vAlign w:val="center"/>
            <w:hideMark/>
          </w:tcPr>
          <w:p w14:paraId="6F2DCD47"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2.0</w:t>
            </w:r>
          </w:p>
        </w:tc>
        <w:tc>
          <w:tcPr>
            <w:tcW w:w="1007" w:type="dxa"/>
            <w:tcBorders>
              <w:top w:val="nil"/>
              <w:left w:val="nil"/>
              <w:bottom w:val="nil"/>
              <w:right w:val="single" w:sz="8" w:space="0" w:color="auto"/>
            </w:tcBorders>
            <w:shd w:val="clear" w:color="auto" w:fill="auto"/>
            <w:noWrap/>
            <w:vAlign w:val="center"/>
            <w:hideMark/>
          </w:tcPr>
          <w:p w14:paraId="4B291E32"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2.9</w:t>
            </w:r>
          </w:p>
        </w:tc>
      </w:tr>
      <w:tr w:rsidR="00646716" w:rsidRPr="000B4D85" w14:paraId="18289C61" w14:textId="77777777" w:rsidTr="005F3EC1">
        <w:trPr>
          <w:trHeight w:val="239"/>
        </w:trPr>
        <w:tc>
          <w:tcPr>
            <w:tcW w:w="757" w:type="dxa"/>
            <w:tcBorders>
              <w:top w:val="nil"/>
              <w:left w:val="single" w:sz="8" w:space="0" w:color="auto"/>
              <w:bottom w:val="nil"/>
              <w:right w:val="nil"/>
            </w:tcBorders>
            <w:shd w:val="clear" w:color="auto" w:fill="auto"/>
            <w:noWrap/>
            <w:vAlign w:val="center"/>
            <w:hideMark/>
          </w:tcPr>
          <w:p w14:paraId="352F1236"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28</w:t>
            </w:r>
          </w:p>
        </w:tc>
        <w:tc>
          <w:tcPr>
            <w:tcW w:w="2837" w:type="dxa"/>
            <w:tcBorders>
              <w:top w:val="nil"/>
              <w:left w:val="nil"/>
              <w:bottom w:val="nil"/>
              <w:right w:val="single" w:sz="8" w:space="0" w:color="auto"/>
            </w:tcBorders>
            <w:shd w:val="clear" w:color="auto" w:fill="auto"/>
            <w:hideMark/>
          </w:tcPr>
          <w:p w14:paraId="69DA71B7" w14:textId="77777777" w:rsidR="00646716" w:rsidRPr="000B4D85" w:rsidRDefault="00646716" w:rsidP="00A62D19">
            <w:pPr>
              <w:spacing w:after="0" w:line="240" w:lineRule="auto"/>
              <w:ind w:left="178"/>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Otros gastos</w:t>
            </w:r>
          </w:p>
        </w:tc>
        <w:tc>
          <w:tcPr>
            <w:tcW w:w="1438" w:type="dxa"/>
            <w:tcBorders>
              <w:top w:val="nil"/>
              <w:left w:val="nil"/>
              <w:bottom w:val="nil"/>
              <w:right w:val="nil"/>
            </w:tcBorders>
            <w:shd w:val="clear" w:color="auto" w:fill="auto"/>
            <w:vAlign w:val="center"/>
            <w:hideMark/>
          </w:tcPr>
          <w:p w14:paraId="7C4959FC"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5,656.0</w:t>
            </w:r>
          </w:p>
        </w:tc>
        <w:tc>
          <w:tcPr>
            <w:tcW w:w="1006" w:type="dxa"/>
            <w:tcBorders>
              <w:top w:val="nil"/>
              <w:left w:val="nil"/>
              <w:bottom w:val="nil"/>
              <w:right w:val="single" w:sz="8" w:space="0" w:color="auto"/>
            </w:tcBorders>
            <w:shd w:val="clear" w:color="auto" w:fill="auto"/>
            <w:vAlign w:val="center"/>
            <w:hideMark/>
          </w:tcPr>
          <w:p w14:paraId="250E16F4"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6,191.3</w:t>
            </w:r>
          </w:p>
        </w:tc>
        <w:tc>
          <w:tcPr>
            <w:tcW w:w="1437" w:type="dxa"/>
            <w:tcBorders>
              <w:top w:val="nil"/>
              <w:left w:val="nil"/>
              <w:bottom w:val="nil"/>
              <w:right w:val="nil"/>
            </w:tcBorders>
            <w:shd w:val="clear" w:color="auto" w:fill="auto"/>
            <w:noWrap/>
            <w:vAlign w:val="center"/>
            <w:hideMark/>
          </w:tcPr>
          <w:p w14:paraId="2893529A"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0.9</w:t>
            </w:r>
          </w:p>
        </w:tc>
        <w:tc>
          <w:tcPr>
            <w:tcW w:w="1007" w:type="dxa"/>
            <w:tcBorders>
              <w:top w:val="nil"/>
              <w:left w:val="nil"/>
              <w:bottom w:val="nil"/>
              <w:right w:val="single" w:sz="8" w:space="0" w:color="auto"/>
            </w:tcBorders>
            <w:shd w:val="clear" w:color="auto" w:fill="auto"/>
            <w:noWrap/>
            <w:vAlign w:val="center"/>
            <w:hideMark/>
          </w:tcPr>
          <w:p w14:paraId="36D4AE1F"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1.0</w:t>
            </w:r>
          </w:p>
        </w:tc>
      </w:tr>
      <w:tr w:rsidR="00646716" w:rsidRPr="000B4D85" w14:paraId="59F525FD" w14:textId="77777777" w:rsidTr="005F3EC1">
        <w:trPr>
          <w:trHeight w:val="251"/>
        </w:trPr>
        <w:tc>
          <w:tcPr>
            <w:tcW w:w="757" w:type="dxa"/>
            <w:tcBorders>
              <w:top w:val="nil"/>
              <w:left w:val="single" w:sz="8" w:space="0" w:color="auto"/>
              <w:bottom w:val="nil"/>
              <w:right w:val="nil"/>
            </w:tcBorders>
            <w:shd w:val="clear" w:color="000000" w:fill="D6DCE4"/>
            <w:noWrap/>
            <w:vAlign w:val="center"/>
            <w:hideMark/>
          </w:tcPr>
          <w:p w14:paraId="6903E2CB"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NOB</w:t>
            </w:r>
          </w:p>
        </w:tc>
        <w:tc>
          <w:tcPr>
            <w:tcW w:w="2837" w:type="dxa"/>
            <w:tcBorders>
              <w:top w:val="nil"/>
              <w:left w:val="nil"/>
              <w:bottom w:val="nil"/>
              <w:right w:val="single" w:sz="8" w:space="0" w:color="auto"/>
            </w:tcBorders>
            <w:shd w:val="clear" w:color="000000" w:fill="D6DCE4"/>
            <w:hideMark/>
          </w:tcPr>
          <w:p w14:paraId="5520705E" w14:textId="77777777" w:rsidR="00646716" w:rsidRPr="000B4D85" w:rsidRDefault="00646716" w:rsidP="00A62D19">
            <w:pPr>
              <w:spacing w:after="0" w:line="240" w:lineRule="auto"/>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Resultado Operativo (1-2)</w:t>
            </w:r>
          </w:p>
        </w:tc>
        <w:tc>
          <w:tcPr>
            <w:tcW w:w="1438" w:type="dxa"/>
            <w:tcBorders>
              <w:top w:val="nil"/>
              <w:left w:val="nil"/>
              <w:bottom w:val="nil"/>
              <w:right w:val="nil"/>
            </w:tcBorders>
            <w:shd w:val="clear" w:color="000000" w:fill="D6DCE4"/>
            <w:vAlign w:val="center"/>
            <w:hideMark/>
          </w:tcPr>
          <w:p w14:paraId="5883B232"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-23,212.8</w:t>
            </w:r>
          </w:p>
        </w:tc>
        <w:tc>
          <w:tcPr>
            <w:tcW w:w="1006" w:type="dxa"/>
            <w:tcBorders>
              <w:top w:val="nil"/>
              <w:left w:val="nil"/>
              <w:bottom w:val="nil"/>
              <w:right w:val="single" w:sz="8" w:space="0" w:color="auto"/>
            </w:tcBorders>
            <w:shd w:val="clear" w:color="000000" w:fill="D6DCE4"/>
            <w:vAlign w:val="center"/>
            <w:hideMark/>
          </w:tcPr>
          <w:p w14:paraId="4F57FF28"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-9,984.1</w:t>
            </w:r>
          </w:p>
        </w:tc>
        <w:tc>
          <w:tcPr>
            <w:tcW w:w="1437" w:type="dxa"/>
            <w:tcBorders>
              <w:top w:val="nil"/>
              <w:left w:val="nil"/>
              <w:bottom w:val="nil"/>
              <w:right w:val="nil"/>
            </w:tcBorders>
            <w:shd w:val="clear" w:color="000000" w:fill="D6DCE4"/>
            <w:noWrap/>
            <w:vAlign w:val="center"/>
            <w:hideMark/>
          </w:tcPr>
          <w:p w14:paraId="7DE476F2"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-3.9</w:t>
            </w:r>
          </w:p>
        </w:tc>
        <w:tc>
          <w:tcPr>
            <w:tcW w:w="1007" w:type="dxa"/>
            <w:tcBorders>
              <w:top w:val="nil"/>
              <w:left w:val="nil"/>
              <w:bottom w:val="nil"/>
              <w:right w:val="single" w:sz="8" w:space="0" w:color="auto"/>
            </w:tcBorders>
            <w:shd w:val="clear" w:color="000000" w:fill="D6DCE4"/>
            <w:noWrap/>
            <w:vAlign w:val="center"/>
            <w:hideMark/>
          </w:tcPr>
          <w:p w14:paraId="40B424D0"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-1.7</w:t>
            </w:r>
          </w:p>
        </w:tc>
      </w:tr>
      <w:tr w:rsidR="00646716" w:rsidRPr="000B4D85" w14:paraId="40150760" w14:textId="77777777" w:rsidTr="005F3EC1">
        <w:trPr>
          <w:trHeight w:val="251"/>
        </w:trPr>
        <w:tc>
          <w:tcPr>
            <w:tcW w:w="8483" w:type="dxa"/>
            <w:gridSpan w:val="6"/>
            <w:tcBorders>
              <w:top w:val="single" w:sz="8" w:space="0" w:color="auto"/>
              <w:left w:val="single" w:sz="8" w:space="0" w:color="auto"/>
              <w:bottom w:val="single" w:sz="8" w:space="0" w:color="auto"/>
              <w:right w:val="single" w:sz="8" w:space="0" w:color="000000"/>
            </w:tcBorders>
            <w:shd w:val="clear" w:color="auto" w:fill="E2EFD9" w:themeFill="accent6" w:themeFillTint="33"/>
            <w:noWrap/>
            <w:vAlign w:val="center"/>
            <w:hideMark/>
          </w:tcPr>
          <w:p w14:paraId="2CBF405D"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TRANSACCIONES EN ACTIVOS NO FINANCIEROS</w:t>
            </w:r>
          </w:p>
        </w:tc>
      </w:tr>
      <w:tr w:rsidR="00646716" w:rsidRPr="000B4D85" w14:paraId="32504217" w14:textId="77777777" w:rsidTr="005F3EC1">
        <w:trPr>
          <w:trHeight w:val="480"/>
        </w:trPr>
        <w:tc>
          <w:tcPr>
            <w:tcW w:w="757" w:type="dxa"/>
            <w:tcBorders>
              <w:top w:val="nil"/>
              <w:left w:val="single" w:sz="8" w:space="0" w:color="auto"/>
              <w:bottom w:val="nil"/>
              <w:right w:val="nil"/>
            </w:tcBorders>
            <w:shd w:val="clear" w:color="auto" w:fill="auto"/>
            <w:noWrap/>
            <w:vAlign w:val="center"/>
            <w:hideMark/>
          </w:tcPr>
          <w:p w14:paraId="01C8D4AE"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31</w:t>
            </w:r>
          </w:p>
        </w:tc>
        <w:tc>
          <w:tcPr>
            <w:tcW w:w="2837" w:type="dxa"/>
            <w:tcBorders>
              <w:top w:val="nil"/>
              <w:left w:val="nil"/>
              <w:bottom w:val="nil"/>
              <w:right w:val="single" w:sz="8" w:space="0" w:color="auto"/>
            </w:tcBorders>
            <w:shd w:val="clear" w:color="auto" w:fill="auto"/>
            <w:hideMark/>
          </w:tcPr>
          <w:p w14:paraId="1093D2C8" w14:textId="77777777" w:rsidR="00646716" w:rsidRPr="000B4D85" w:rsidRDefault="00646716" w:rsidP="00A62D19">
            <w:pPr>
              <w:spacing w:after="0" w:line="240" w:lineRule="auto"/>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Inversión bruta en activos no financieros</w:t>
            </w:r>
          </w:p>
        </w:tc>
        <w:tc>
          <w:tcPr>
            <w:tcW w:w="1438" w:type="dxa"/>
            <w:tcBorders>
              <w:top w:val="nil"/>
              <w:left w:val="nil"/>
              <w:bottom w:val="nil"/>
              <w:right w:val="nil"/>
            </w:tcBorders>
            <w:shd w:val="clear" w:color="auto" w:fill="auto"/>
            <w:vAlign w:val="center"/>
            <w:hideMark/>
          </w:tcPr>
          <w:p w14:paraId="120A05A6"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2,928.3</w:t>
            </w:r>
          </w:p>
        </w:tc>
        <w:tc>
          <w:tcPr>
            <w:tcW w:w="1006" w:type="dxa"/>
            <w:tcBorders>
              <w:top w:val="nil"/>
              <w:left w:val="nil"/>
              <w:bottom w:val="nil"/>
              <w:right w:val="single" w:sz="8" w:space="0" w:color="auto"/>
            </w:tcBorders>
            <w:shd w:val="clear" w:color="auto" w:fill="auto"/>
            <w:vAlign w:val="center"/>
            <w:hideMark/>
          </w:tcPr>
          <w:p w14:paraId="25876442"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11,473.7</w:t>
            </w:r>
          </w:p>
        </w:tc>
        <w:tc>
          <w:tcPr>
            <w:tcW w:w="1437" w:type="dxa"/>
            <w:tcBorders>
              <w:top w:val="nil"/>
              <w:left w:val="nil"/>
              <w:bottom w:val="nil"/>
              <w:right w:val="nil"/>
            </w:tcBorders>
            <w:shd w:val="clear" w:color="auto" w:fill="auto"/>
            <w:noWrap/>
            <w:vAlign w:val="center"/>
            <w:hideMark/>
          </w:tcPr>
          <w:p w14:paraId="561DFF3B"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0.5</w:t>
            </w:r>
          </w:p>
        </w:tc>
        <w:tc>
          <w:tcPr>
            <w:tcW w:w="1007" w:type="dxa"/>
            <w:tcBorders>
              <w:top w:val="nil"/>
              <w:left w:val="nil"/>
              <w:bottom w:val="nil"/>
              <w:right w:val="single" w:sz="8" w:space="0" w:color="auto"/>
            </w:tcBorders>
            <w:shd w:val="clear" w:color="auto" w:fill="auto"/>
            <w:noWrap/>
            <w:vAlign w:val="center"/>
            <w:hideMark/>
          </w:tcPr>
          <w:p w14:paraId="57D570AB"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1.9</w:t>
            </w:r>
          </w:p>
        </w:tc>
      </w:tr>
      <w:tr w:rsidR="00646716" w:rsidRPr="000B4D85" w14:paraId="022E09D4" w14:textId="77777777" w:rsidTr="005F3EC1">
        <w:trPr>
          <w:trHeight w:val="239"/>
        </w:trPr>
        <w:tc>
          <w:tcPr>
            <w:tcW w:w="757" w:type="dxa"/>
            <w:tcBorders>
              <w:top w:val="nil"/>
              <w:left w:val="single" w:sz="8" w:space="0" w:color="auto"/>
              <w:bottom w:val="nil"/>
              <w:right w:val="nil"/>
            </w:tcBorders>
            <w:shd w:val="clear" w:color="auto" w:fill="auto"/>
            <w:noWrap/>
            <w:vAlign w:val="center"/>
            <w:hideMark/>
          </w:tcPr>
          <w:p w14:paraId="4C042A65"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2M</w:t>
            </w:r>
          </w:p>
        </w:tc>
        <w:tc>
          <w:tcPr>
            <w:tcW w:w="2837" w:type="dxa"/>
            <w:tcBorders>
              <w:top w:val="nil"/>
              <w:left w:val="nil"/>
              <w:bottom w:val="nil"/>
              <w:right w:val="single" w:sz="8" w:space="0" w:color="auto"/>
            </w:tcBorders>
            <w:shd w:val="clear" w:color="auto" w:fill="auto"/>
            <w:hideMark/>
          </w:tcPr>
          <w:p w14:paraId="56DB4DD1" w14:textId="77777777" w:rsidR="00646716" w:rsidRPr="000B4D85" w:rsidRDefault="00646716" w:rsidP="00A62D19">
            <w:pPr>
              <w:spacing w:after="0" w:line="240" w:lineRule="auto"/>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Erogación (2+31)</w:t>
            </w:r>
          </w:p>
        </w:tc>
        <w:tc>
          <w:tcPr>
            <w:tcW w:w="1438" w:type="dxa"/>
            <w:tcBorders>
              <w:top w:val="nil"/>
              <w:left w:val="nil"/>
              <w:bottom w:val="nil"/>
              <w:right w:val="nil"/>
            </w:tcBorders>
            <w:shd w:val="clear" w:color="auto" w:fill="auto"/>
            <w:vAlign w:val="center"/>
            <w:hideMark/>
          </w:tcPr>
          <w:p w14:paraId="36451EB2"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92,402.7</w:t>
            </w:r>
          </w:p>
        </w:tc>
        <w:tc>
          <w:tcPr>
            <w:tcW w:w="1006" w:type="dxa"/>
            <w:tcBorders>
              <w:top w:val="nil"/>
              <w:left w:val="nil"/>
              <w:bottom w:val="nil"/>
              <w:right w:val="single" w:sz="8" w:space="0" w:color="auto"/>
            </w:tcBorders>
            <w:shd w:val="clear" w:color="auto" w:fill="auto"/>
            <w:vAlign w:val="center"/>
            <w:hideMark/>
          </w:tcPr>
          <w:p w14:paraId="14B76F5A"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107,704.7</w:t>
            </w:r>
          </w:p>
        </w:tc>
        <w:tc>
          <w:tcPr>
            <w:tcW w:w="1437" w:type="dxa"/>
            <w:tcBorders>
              <w:top w:val="nil"/>
              <w:left w:val="nil"/>
              <w:bottom w:val="nil"/>
              <w:right w:val="nil"/>
            </w:tcBorders>
            <w:shd w:val="clear" w:color="auto" w:fill="auto"/>
            <w:noWrap/>
            <w:vAlign w:val="center"/>
            <w:hideMark/>
          </w:tcPr>
          <w:p w14:paraId="5C379D9F"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15.4</w:t>
            </w:r>
          </w:p>
        </w:tc>
        <w:tc>
          <w:tcPr>
            <w:tcW w:w="1007" w:type="dxa"/>
            <w:tcBorders>
              <w:top w:val="nil"/>
              <w:left w:val="nil"/>
              <w:bottom w:val="nil"/>
              <w:right w:val="single" w:sz="8" w:space="0" w:color="auto"/>
            </w:tcBorders>
            <w:shd w:val="clear" w:color="auto" w:fill="auto"/>
            <w:noWrap/>
            <w:vAlign w:val="center"/>
            <w:hideMark/>
          </w:tcPr>
          <w:p w14:paraId="5CA6B301"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18.0</w:t>
            </w:r>
          </w:p>
        </w:tc>
      </w:tr>
      <w:tr w:rsidR="00646716" w:rsidRPr="000B4D85" w14:paraId="668F5BBD" w14:textId="77777777" w:rsidTr="005F3EC1">
        <w:trPr>
          <w:trHeight w:val="77"/>
        </w:trPr>
        <w:tc>
          <w:tcPr>
            <w:tcW w:w="757" w:type="dxa"/>
            <w:tcBorders>
              <w:top w:val="nil"/>
              <w:left w:val="single" w:sz="8" w:space="0" w:color="auto"/>
              <w:bottom w:val="nil"/>
              <w:right w:val="nil"/>
            </w:tcBorders>
            <w:shd w:val="clear" w:color="000000" w:fill="D6DCE4"/>
            <w:noWrap/>
            <w:vAlign w:val="center"/>
            <w:hideMark/>
          </w:tcPr>
          <w:p w14:paraId="3B3BC309"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NLB</w:t>
            </w:r>
          </w:p>
        </w:tc>
        <w:tc>
          <w:tcPr>
            <w:tcW w:w="2837" w:type="dxa"/>
            <w:tcBorders>
              <w:top w:val="nil"/>
              <w:left w:val="nil"/>
              <w:bottom w:val="nil"/>
              <w:right w:val="single" w:sz="8" w:space="0" w:color="auto"/>
            </w:tcBorders>
            <w:shd w:val="clear" w:color="000000" w:fill="D6DCE4"/>
            <w:hideMark/>
          </w:tcPr>
          <w:p w14:paraId="7EB612E0" w14:textId="77777777" w:rsidR="00646716" w:rsidRPr="000B4D85" w:rsidRDefault="00646716" w:rsidP="00A62D19">
            <w:pPr>
              <w:spacing w:after="0" w:line="240" w:lineRule="auto"/>
              <w:rPr>
                <w:rFonts w:ascii="Times" w:eastAsia="Times New Roman" w:hAnsi="Times" w:cs="Times"/>
                <w:b/>
                <w:bCs/>
                <w:color w:val="000000"/>
                <w:sz w:val="18"/>
                <w:szCs w:val="18"/>
                <w:lang w:eastAsia="es-GT"/>
              </w:rPr>
            </w:pPr>
            <w:r>
              <w:rPr>
                <w:rFonts w:ascii="Times" w:eastAsia="Times New Roman" w:hAnsi="Times" w:cs="Times"/>
                <w:b/>
                <w:bCs/>
                <w:color w:val="000000"/>
                <w:sz w:val="18"/>
                <w:szCs w:val="18"/>
                <w:lang w:eastAsia="es-GT"/>
              </w:rPr>
              <w:t>E</w:t>
            </w:r>
            <w:r w:rsidRPr="000B4D85">
              <w:rPr>
                <w:rFonts w:ascii="Times" w:eastAsia="Times New Roman" w:hAnsi="Times" w:cs="Times"/>
                <w:b/>
                <w:bCs/>
                <w:color w:val="000000"/>
                <w:sz w:val="18"/>
                <w:szCs w:val="18"/>
                <w:lang w:eastAsia="es-GT"/>
              </w:rPr>
              <w:t>ndeudamiento neto  (1-2M)</w:t>
            </w:r>
          </w:p>
        </w:tc>
        <w:tc>
          <w:tcPr>
            <w:tcW w:w="1438" w:type="dxa"/>
            <w:tcBorders>
              <w:top w:val="nil"/>
              <w:left w:val="nil"/>
              <w:bottom w:val="nil"/>
              <w:right w:val="nil"/>
            </w:tcBorders>
            <w:shd w:val="clear" w:color="000000" w:fill="D6DCE4"/>
            <w:vAlign w:val="center"/>
            <w:hideMark/>
          </w:tcPr>
          <w:p w14:paraId="29FF0DB8"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-26,141.1</w:t>
            </w:r>
          </w:p>
        </w:tc>
        <w:tc>
          <w:tcPr>
            <w:tcW w:w="1006" w:type="dxa"/>
            <w:tcBorders>
              <w:top w:val="nil"/>
              <w:left w:val="nil"/>
              <w:bottom w:val="nil"/>
              <w:right w:val="single" w:sz="8" w:space="0" w:color="auto"/>
            </w:tcBorders>
            <w:shd w:val="clear" w:color="000000" w:fill="D6DCE4"/>
            <w:vAlign w:val="center"/>
            <w:hideMark/>
          </w:tcPr>
          <w:p w14:paraId="38BE0683"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-21,457.8</w:t>
            </w:r>
          </w:p>
        </w:tc>
        <w:tc>
          <w:tcPr>
            <w:tcW w:w="1437" w:type="dxa"/>
            <w:tcBorders>
              <w:top w:val="nil"/>
              <w:left w:val="nil"/>
              <w:bottom w:val="nil"/>
              <w:right w:val="nil"/>
            </w:tcBorders>
            <w:shd w:val="clear" w:color="000000" w:fill="D6DCE4"/>
            <w:noWrap/>
            <w:vAlign w:val="center"/>
            <w:hideMark/>
          </w:tcPr>
          <w:p w14:paraId="6D0CB20B"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-4.4</w:t>
            </w:r>
          </w:p>
        </w:tc>
        <w:tc>
          <w:tcPr>
            <w:tcW w:w="1007" w:type="dxa"/>
            <w:tcBorders>
              <w:top w:val="nil"/>
              <w:left w:val="nil"/>
              <w:bottom w:val="nil"/>
              <w:right w:val="single" w:sz="8" w:space="0" w:color="auto"/>
            </w:tcBorders>
            <w:shd w:val="clear" w:color="000000" w:fill="D6DCE4"/>
            <w:noWrap/>
            <w:vAlign w:val="center"/>
            <w:hideMark/>
          </w:tcPr>
          <w:p w14:paraId="1B1743C3"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-3.6</w:t>
            </w:r>
          </w:p>
        </w:tc>
      </w:tr>
      <w:tr w:rsidR="00646716" w:rsidRPr="000B4D85" w14:paraId="5D1D0CD4" w14:textId="77777777" w:rsidTr="005F3EC1">
        <w:trPr>
          <w:trHeight w:val="251"/>
        </w:trPr>
        <w:tc>
          <w:tcPr>
            <w:tcW w:w="8483" w:type="dxa"/>
            <w:gridSpan w:val="6"/>
            <w:tcBorders>
              <w:top w:val="single" w:sz="8" w:space="0" w:color="auto"/>
              <w:left w:val="single" w:sz="8" w:space="0" w:color="auto"/>
              <w:bottom w:val="single" w:sz="8" w:space="0" w:color="auto"/>
              <w:right w:val="single" w:sz="8" w:space="0" w:color="000000"/>
            </w:tcBorders>
            <w:shd w:val="clear" w:color="auto" w:fill="E2EFD9" w:themeFill="accent6" w:themeFillTint="33"/>
            <w:noWrap/>
            <w:vAlign w:val="center"/>
            <w:hideMark/>
          </w:tcPr>
          <w:p w14:paraId="24BF61F0"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TRANSACCIONES EN ACTIVOS Y PASIVOS FINANCIEROS (FINANCIMIENTO)</w:t>
            </w:r>
          </w:p>
        </w:tc>
      </w:tr>
      <w:tr w:rsidR="00646716" w:rsidRPr="000B4D85" w14:paraId="662BAE35" w14:textId="77777777" w:rsidTr="005F3EC1">
        <w:trPr>
          <w:trHeight w:val="480"/>
        </w:trPr>
        <w:tc>
          <w:tcPr>
            <w:tcW w:w="757" w:type="dxa"/>
            <w:tcBorders>
              <w:top w:val="nil"/>
              <w:left w:val="single" w:sz="8" w:space="0" w:color="auto"/>
              <w:bottom w:val="nil"/>
              <w:right w:val="nil"/>
            </w:tcBorders>
            <w:shd w:val="clear" w:color="auto" w:fill="auto"/>
            <w:noWrap/>
            <w:vAlign w:val="center"/>
            <w:hideMark/>
          </w:tcPr>
          <w:p w14:paraId="3E81F649"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32</w:t>
            </w:r>
          </w:p>
        </w:tc>
        <w:tc>
          <w:tcPr>
            <w:tcW w:w="2837" w:type="dxa"/>
            <w:tcBorders>
              <w:top w:val="nil"/>
              <w:left w:val="nil"/>
              <w:bottom w:val="nil"/>
              <w:right w:val="single" w:sz="8" w:space="0" w:color="auto"/>
            </w:tcBorders>
            <w:shd w:val="clear" w:color="auto" w:fill="auto"/>
            <w:hideMark/>
          </w:tcPr>
          <w:p w14:paraId="1AD21D1F" w14:textId="77777777" w:rsidR="00646716" w:rsidRPr="000B4D85" w:rsidRDefault="00646716" w:rsidP="00A62D19">
            <w:pPr>
              <w:spacing w:after="0" w:line="240" w:lineRule="auto"/>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Adquisición neta de activos financieros</w:t>
            </w:r>
          </w:p>
        </w:tc>
        <w:tc>
          <w:tcPr>
            <w:tcW w:w="1438" w:type="dxa"/>
            <w:tcBorders>
              <w:top w:val="nil"/>
              <w:left w:val="nil"/>
              <w:bottom w:val="nil"/>
              <w:right w:val="nil"/>
            </w:tcBorders>
            <w:shd w:val="clear" w:color="auto" w:fill="auto"/>
            <w:vAlign w:val="center"/>
            <w:hideMark/>
          </w:tcPr>
          <w:p w14:paraId="09B3F67F"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7,491.6</w:t>
            </w:r>
          </w:p>
        </w:tc>
        <w:tc>
          <w:tcPr>
            <w:tcW w:w="1006" w:type="dxa"/>
            <w:tcBorders>
              <w:top w:val="nil"/>
              <w:left w:val="nil"/>
              <w:bottom w:val="nil"/>
              <w:right w:val="single" w:sz="8" w:space="0" w:color="auto"/>
            </w:tcBorders>
            <w:shd w:val="clear" w:color="auto" w:fill="auto"/>
            <w:vAlign w:val="center"/>
            <w:hideMark/>
          </w:tcPr>
          <w:p w14:paraId="58041D82"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11,068.6</w:t>
            </w:r>
          </w:p>
        </w:tc>
        <w:tc>
          <w:tcPr>
            <w:tcW w:w="1437" w:type="dxa"/>
            <w:tcBorders>
              <w:top w:val="nil"/>
              <w:left w:val="nil"/>
              <w:bottom w:val="nil"/>
              <w:right w:val="nil"/>
            </w:tcBorders>
            <w:shd w:val="clear" w:color="auto" w:fill="auto"/>
            <w:noWrap/>
            <w:vAlign w:val="center"/>
            <w:hideMark/>
          </w:tcPr>
          <w:p w14:paraId="30ECE6FC"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1.3</w:t>
            </w:r>
          </w:p>
        </w:tc>
        <w:tc>
          <w:tcPr>
            <w:tcW w:w="1007" w:type="dxa"/>
            <w:tcBorders>
              <w:top w:val="nil"/>
              <w:left w:val="nil"/>
              <w:bottom w:val="nil"/>
              <w:right w:val="single" w:sz="8" w:space="0" w:color="auto"/>
            </w:tcBorders>
            <w:shd w:val="clear" w:color="auto" w:fill="auto"/>
            <w:noWrap/>
            <w:vAlign w:val="center"/>
            <w:hideMark/>
          </w:tcPr>
          <w:p w14:paraId="0B661476"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1.8</w:t>
            </w:r>
          </w:p>
        </w:tc>
      </w:tr>
      <w:tr w:rsidR="00646716" w:rsidRPr="000B4D85" w14:paraId="4147E78D" w14:textId="77777777" w:rsidTr="005F3EC1">
        <w:trPr>
          <w:trHeight w:val="239"/>
        </w:trPr>
        <w:tc>
          <w:tcPr>
            <w:tcW w:w="757" w:type="dxa"/>
            <w:tcBorders>
              <w:top w:val="nil"/>
              <w:left w:val="single" w:sz="8" w:space="0" w:color="auto"/>
              <w:bottom w:val="nil"/>
              <w:right w:val="nil"/>
            </w:tcBorders>
            <w:shd w:val="clear" w:color="auto" w:fill="auto"/>
            <w:noWrap/>
            <w:vAlign w:val="center"/>
            <w:hideMark/>
          </w:tcPr>
          <w:p w14:paraId="34C72210"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33</w:t>
            </w:r>
          </w:p>
        </w:tc>
        <w:tc>
          <w:tcPr>
            <w:tcW w:w="2837" w:type="dxa"/>
            <w:tcBorders>
              <w:top w:val="nil"/>
              <w:left w:val="nil"/>
              <w:bottom w:val="nil"/>
              <w:right w:val="single" w:sz="8" w:space="0" w:color="auto"/>
            </w:tcBorders>
            <w:shd w:val="clear" w:color="auto" w:fill="auto"/>
            <w:hideMark/>
          </w:tcPr>
          <w:p w14:paraId="56728E7C" w14:textId="77777777" w:rsidR="00646716" w:rsidRPr="000B4D85" w:rsidRDefault="00646716" w:rsidP="00A62D19">
            <w:pPr>
              <w:spacing w:after="0" w:line="240" w:lineRule="auto"/>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Incurrimiento neto de pasivos</w:t>
            </w:r>
          </w:p>
        </w:tc>
        <w:tc>
          <w:tcPr>
            <w:tcW w:w="1438" w:type="dxa"/>
            <w:tcBorders>
              <w:top w:val="nil"/>
              <w:left w:val="nil"/>
              <w:bottom w:val="nil"/>
              <w:right w:val="nil"/>
            </w:tcBorders>
            <w:shd w:val="clear" w:color="auto" w:fill="auto"/>
            <w:vAlign w:val="center"/>
            <w:hideMark/>
          </w:tcPr>
          <w:p w14:paraId="03D1209D"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33,267.9</w:t>
            </w:r>
          </w:p>
        </w:tc>
        <w:tc>
          <w:tcPr>
            <w:tcW w:w="1006" w:type="dxa"/>
            <w:tcBorders>
              <w:top w:val="nil"/>
              <w:left w:val="nil"/>
              <w:bottom w:val="nil"/>
              <w:right w:val="single" w:sz="8" w:space="0" w:color="auto"/>
            </w:tcBorders>
            <w:shd w:val="clear" w:color="auto" w:fill="auto"/>
            <w:vAlign w:val="center"/>
            <w:hideMark/>
          </w:tcPr>
          <w:p w14:paraId="08DCDA4A"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33,097.8</w:t>
            </w:r>
          </w:p>
        </w:tc>
        <w:tc>
          <w:tcPr>
            <w:tcW w:w="1437" w:type="dxa"/>
            <w:tcBorders>
              <w:top w:val="nil"/>
              <w:left w:val="nil"/>
              <w:bottom w:val="nil"/>
              <w:right w:val="nil"/>
            </w:tcBorders>
            <w:shd w:val="clear" w:color="auto" w:fill="auto"/>
            <w:noWrap/>
            <w:vAlign w:val="center"/>
            <w:hideMark/>
          </w:tcPr>
          <w:p w14:paraId="1BAF05A7"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5.6</w:t>
            </w:r>
          </w:p>
        </w:tc>
        <w:tc>
          <w:tcPr>
            <w:tcW w:w="1007" w:type="dxa"/>
            <w:tcBorders>
              <w:top w:val="nil"/>
              <w:left w:val="nil"/>
              <w:bottom w:val="nil"/>
              <w:right w:val="single" w:sz="8" w:space="0" w:color="auto"/>
            </w:tcBorders>
            <w:shd w:val="clear" w:color="auto" w:fill="auto"/>
            <w:noWrap/>
            <w:vAlign w:val="center"/>
            <w:hideMark/>
          </w:tcPr>
          <w:p w14:paraId="2478970F" w14:textId="77777777" w:rsidR="00646716" w:rsidRPr="000B4D85" w:rsidRDefault="00646716" w:rsidP="00A62D19">
            <w:pPr>
              <w:spacing w:after="0" w:line="240" w:lineRule="auto"/>
              <w:jc w:val="center"/>
              <w:rPr>
                <w:rFonts w:ascii="Times" w:eastAsia="Times New Roman" w:hAnsi="Times" w:cs="Times"/>
                <w:b/>
                <w:bCs/>
                <w:color w:val="000000"/>
                <w:sz w:val="18"/>
                <w:szCs w:val="18"/>
                <w:lang w:eastAsia="es-GT"/>
              </w:rPr>
            </w:pPr>
            <w:r w:rsidRPr="000B4D85">
              <w:rPr>
                <w:rFonts w:ascii="Times" w:eastAsia="Times New Roman" w:hAnsi="Times" w:cs="Times"/>
                <w:b/>
                <w:bCs/>
                <w:color w:val="000000"/>
                <w:sz w:val="18"/>
                <w:szCs w:val="18"/>
                <w:lang w:eastAsia="es-GT"/>
              </w:rPr>
              <w:t>5.5</w:t>
            </w:r>
          </w:p>
        </w:tc>
      </w:tr>
      <w:tr w:rsidR="00646716" w:rsidRPr="000B4D85" w14:paraId="377220A5" w14:textId="77777777" w:rsidTr="005F3EC1">
        <w:trPr>
          <w:trHeight w:val="250"/>
        </w:trPr>
        <w:tc>
          <w:tcPr>
            <w:tcW w:w="757" w:type="dxa"/>
            <w:tcBorders>
              <w:top w:val="nil"/>
              <w:left w:val="single" w:sz="8" w:space="0" w:color="auto"/>
              <w:bottom w:val="single" w:sz="8" w:space="0" w:color="auto"/>
              <w:right w:val="nil"/>
            </w:tcBorders>
            <w:shd w:val="clear" w:color="auto" w:fill="auto"/>
            <w:noWrap/>
            <w:vAlign w:val="center"/>
            <w:hideMark/>
          </w:tcPr>
          <w:p w14:paraId="7E8AE289"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NLBz</w:t>
            </w:r>
          </w:p>
        </w:tc>
        <w:tc>
          <w:tcPr>
            <w:tcW w:w="2837" w:type="dxa"/>
            <w:tcBorders>
              <w:top w:val="nil"/>
              <w:left w:val="nil"/>
              <w:bottom w:val="single" w:sz="8" w:space="0" w:color="auto"/>
              <w:right w:val="single" w:sz="8" w:space="0" w:color="auto"/>
            </w:tcBorders>
            <w:shd w:val="clear" w:color="auto" w:fill="auto"/>
            <w:hideMark/>
          </w:tcPr>
          <w:p w14:paraId="3121AB90" w14:textId="77777777" w:rsidR="00646716" w:rsidRDefault="00646716" w:rsidP="00A62D19">
            <w:pPr>
              <w:spacing w:after="0" w:line="240" w:lineRule="auto"/>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 xml:space="preserve">Discrepancia estadística </w:t>
            </w:r>
          </w:p>
          <w:p w14:paraId="73BF8EA6" w14:textId="77777777" w:rsidR="00646716" w:rsidRPr="000B4D85" w:rsidRDefault="00646716" w:rsidP="00A62D19">
            <w:pPr>
              <w:spacing w:after="0" w:line="240" w:lineRule="auto"/>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(32-33-NLB)</w:t>
            </w:r>
          </w:p>
        </w:tc>
        <w:tc>
          <w:tcPr>
            <w:tcW w:w="1438" w:type="dxa"/>
            <w:tcBorders>
              <w:top w:val="nil"/>
              <w:left w:val="nil"/>
              <w:bottom w:val="single" w:sz="8" w:space="0" w:color="auto"/>
              <w:right w:val="nil"/>
            </w:tcBorders>
            <w:shd w:val="clear" w:color="auto" w:fill="auto"/>
            <w:vAlign w:val="center"/>
            <w:hideMark/>
          </w:tcPr>
          <w:p w14:paraId="16D06042"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364.8</w:t>
            </w:r>
          </w:p>
        </w:tc>
        <w:tc>
          <w:tcPr>
            <w:tcW w:w="1006" w:type="dxa"/>
            <w:tcBorders>
              <w:top w:val="nil"/>
              <w:left w:val="nil"/>
              <w:bottom w:val="single" w:sz="8" w:space="0" w:color="auto"/>
              <w:right w:val="single" w:sz="8" w:space="0" w:color="auto"/>
            </w:tcBorders>
            <w:shd w:val="clear" w:color="auto" w:fill="auto"/>
            <w:vAlign w:val="center"/>
            <w:hideMark/>
          </w:tcPr>
          <w:p w14:paraId="53097175"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-571.3</w:t>
            </w:r>
          </w:p>
        </w:tc>
        <w:tc>
          <w:tcPr>
            <w:tcW w:w="1437" w:type="dxa"/>
            <w:tcBorders>
              <w:top w:val="nil"/>
              <w:left w:val="nil"/>
              <w:bottom w:val="single" w:sz="8" w:space="0" w:color="auto"/>
              <w:right w:val="nil"/>
            </w:tcBorders>
            <w:shd w:val="clear" w:color="auto" w:fill="auto"/>
            <w:noWrap/>
            <w:vAlign w:val="center"/>
            <w:hideMark/>
          </w:tcPr>
          <w:p w14:paraId="2C527929"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0.1</w:t>
            </w:r>
          </w:p>
        </w:tc>
        <w:tc>
          <w:tcPr>
            <w:tcW w:w="1007" w:type="dxa"/>
            <w:tcBorders>
              <w:top w:val="nil"/>
              <w:left w:val="nil"/>
              <w:bottom w:val="single" w:sz="8" w:space="0" w:color="auto"/>
              <w:right w:val="single" w:sz="8" w:space="0" w:color="auto"/>
            </w:tcBorders>
            <w:shd w:val="clear" w:color="auto" w:fill="auto"/>
            <w:noWrap/>
            <w:vAlign w:val="center"/>
            <w:hideMark/>
          </w:tcPr>
          <w:p w14:paraId="72FEE3B2" w14:textId="77777777" w:rsidR="00646716" w:rsidRPr="000B4D85" w:rsidRDefault="00646716" w:rsidP="00A62D19">
            <w:pPr>
              <w:spacing w:after="0" w:line="240" w:lineRule="auto"/>
              <w:jc w:val="center"/>
              <w:rPr>
                <w:rFonts w:ascii="Times" w:eastAsia="Times New Roman" w:hAnsi="Times" w:cs="Times"/>
                <w:color w:val="000000"/>
                <w:sz w:val="18"/>
                <w:szCs w:val="18"/>
                <w:lang w:eastAsia="es-GT"/>
              </w:rPr>
            </w:pPr>
            <w:r w:rsidRPr="000B4D85">
              <w:rPr>
                <w:rFonts w:ascii="Times" w:eastAsia="Times New Roman" w:hAnsi="Times" w:cs="Times"/>
                <w:color w:val="000000"/>
                <w:sz w:val="18"/>
                <w:szCs w:val="18"/>
                <w:lang w:eastAsia="es-GT"/>
              </w:rPr>
              <w:t>-0.1</w:t>
            </w:r>
          </w:p>
        </w:tc>
      </w:tr>
    </w:tbl>
    <w:p w14:paraId="305B32E2" w14:textId="72723E66" w:rsidR="00646716" w:rsidRPr="00716A19" w:rsidRDefault="005F3EC1" w:rsidP="00646716">
      <w:pPr>
        <w:rPr>
          <w:rFonts w:ascii="Times New Roman" w:hAnsi="Times New Roman" w:cs="Times New Roman"/>
          <w:iCs/>
          <w:sz w:val="16"/>
          <w:szCs w:val="12"/>
        </w:rPr>
      </w:pPr>
      <w:r w:rsidRPr="00716A19">
        <w:rPr>
          <w:rFonts w:ascii="Times New Roman" w:hAnsi="Times New Roman" w:cs="Times New Roman"/>
          <w:iCs/>
          <w:sz w:val="16"/>
          <w:szCs w:val="12"/>
        </w:rPr>
        <w:t>Fuente: Ministerio de Finanzas Públicas</w:t>
      </w:r>
    </w:p>
    <w:p w14:paraId="1412A268" w14:textId="226AED3A" w:rsidR="00B53E61" w:rsidRDefault="00B53E61" w:rsidP="00646716">
      <w:pPr>
        <w:rPr>
          <w:rFonts w:ascii="Times New Roman" w:hAnsi="Times New Roman" w:cs="Times New Roman"/>
          <w:b/>
          <w:iCs/>
          <w:szCs w:val="18"/>
        </w:rPr>
      </w:pPr>
    </w:p>
    <w:p w14:paraId="7B1B8017" w14:textId="05B1E960" w:rsidR="00B53E61" w:rsidRDefault="00B53E61" w:rsidP="00646716">
      <w:pPr>
        <w:rPr>
          <w:rFonts w:ascii="Times New Roman" w:hAnsi="Times New Roman" w:cs="Times New Roman"/>
          <w:b/>
          <w:iCs/>
          <w:szCs w:val="18"/>
        </w:rPr>
      </w:pPr>
    </w:p>
    <w:p w14:paraId="4AC91D6D" w14:textId="7005505E" w:rsidR="00B53E61" w:rsidRDefault="00B53E61" w:rsidP="00646716">
      <w:pPr>
        <w:rPr>
          <w:rFonts w:ascii="Times New Roman" w:hAnsi="Times New Roman" w:cs="Times New Roman"/>
          <w:b/>
          <w:iCs/>
          <w:szCs w:val="18"/>
        </w:rPr>
      </w:pPr>
    </w:p>
    <w:p w14:paraId="72941888" w14:textId="77777777" w:rsidR="00206305" w:rsidRPr="001D1FFA" w:rsidRDefault="00206305" w:rsidP="001D1FFA">
      <w:pPr>
        <w:pStyle w:val="Prrafodelista"/>
        <w:numPr>
          <w:ilvl w:val="0"/>
          <w:numId w:val="43"/>
        </w:numPr>
        <w:shd w:val="clear" w:color="auto" w:fill="C5E0B3" w:themeFill="accent6" w:themeFillTint="66"/>
        <w:jc w:val="center"/>
        <w:outlineLvl w:val="0"/>
        <w:rPr>
          <w:rFonts w:ascii="Times New Roman" w:hAnsi="Times New Roman" w:cs="Times New Roman"/>
          <w:b/>
          <w:sz w:val="28"/>
        </w:rPr>
      </w:pPr>
      <w:bookmarkStart w:id="1812" w:name="_Hlk46496885"/>
      <w:bookmarkStart w:id="1813" w:name="_Toc81571933"/>
      <w:bookmarkEnd w:id="1812"/>
      <w:r w:rsidRPr="001D1FFA">
        <w:rPr>
          <w:rFonts w:ascii="Times New Roman" w:hAnsi="Times New Roman" w:cs="Times New Roman"/>
          <w:b/>
          <w:sz w:val="28"/>
        </w:rPr>
        <w:t>La Estrategia Fiscal Ambiental (EFA)</w:t>
      </w:r>
      <w:bookmarkEnd w:id="1813"/>
    </w:p>
    <w:p w14:paraId="367E200E" w14:textId="046F0282" w:rsidR="00206305" w:rsidRDefault="00206305" w:rsidP="00206305">
      <w:pPr>
        <w:numPr>
          <w:ilvl w:val="1"/>
          <w:numId w:val="0"/>
        </w:numPr>
        <w:spacing w:after="0" w:line="240" w:lineRule="auto"/>
        <w:jc w:val="both"/>
        <w:rPr>
          <w:rFonts w:ascii="Times New Roman" w:hAnsi="Times New Roman" w:cs="Times New Roman"/>
        </w:rPr>
      </w:pPr>
    </w:p>
    <w:p w14:paraId="59E402B1" w14:textId="341E1FF9" w:rsidR="00206305" w:rsidRPr="00206305" w:rsidRDefault="00206305" w:rsidP="00206305">
      <w:pPr>
        <w:jc w:val="both"/>
        <w:rPr>
          <w:rFonts w:ascii="Times New Roman" w:hAnsi="Times New Roman" w:cs="Times New Roman"/>
          <w:sz w:val="20"/>
        </w:rPr>
      </w:pPr>
      <w:r w:rsidRPr="00206305">
        <w:rPr>
          <w:rFonts w:ascii="Times New Roman" w:hAnsi="Times New Roman" w:cs="Times New Roman"/>
          <w:sz w:val="20"/>
        </w:rPr>
        <w:t xml:space="preserve">Durante 2020 y </w:t>
      </w:r>
      <w:r>
        <w:rPr>
          <w:rFonts w:ascii="Times New Roman" w:hAnsi="Times New Roman" w:cs="Times New Roman"/>
          <w:sz w:val="20"/>
        </w:rPr>
        <w:t xml:space="preserve">a lo largo </w:t>
      </w:r>
      <w:r w:rsidRPr="00206305">
        <w:rPr>
          <w:rFonts w:ascii="Times New Roman" w:hAnsi="Times New Roman" w:cs="Times New Roman"/>
          <w:sz w:val="20"/>
        </w:rPr>
        <w:t xml:space="preserve">del 2021, se ha trabajado en el fortalecimiento de las capacidades de las distintas Direcciones involucradas en las acciones de la EFA a través de reuniones informativas y de trabajo, además se conformó la Mesa Interna de la Estrategia Fiscal Ambiental mediante el Acuerdo Ministerial 49-2019 ( reforma 131-2019) y su reglamento con el Acuerdo Ministerial 398-2019, mismo que busca darle operatividad a la EFA a través de las diferentes Direcciones que son rectoras en los temas desarrollados en los ejes estratégicos. </w:t>
      </w:r>
    </w:p>
    <w:p w14:paraId="1B481FE9" w14:textId="458F3FED" w:rsidR="00206305" w:rsidRPr="00206305" w:rsidRDefault="00206305" w:rsidP="00206305">
      <w:pPr>
        <w:jc w:val="both"/>
        <w:rPr>
          <w:rFonts w:ascii="Times New Roman" w:hAnsi="Times New Roman" w:cs="Times New Roman"/>
          <w:sz w:val="20"/>
        </w:rPr>
      </w:pPr>
      <w:r w:rsidRPr="00206305">
        <w:rPr>
          <w:rFonts w:ascii="Times New Roman" w:hAnsi="Times New Roman" w:cs="Times New Roman"/>
          <w:sz w:val="20"/>
        </w:rPr>
        <w:t>Adicionalmente, Guatemala cuenta con una serie de compromisos a nivel nacional e internacional en materia de cambio climático, siendo uno de los más importantes el Acuerdo de París, Conferencia de las Partes (COP21), en la cual Guatemala presentó la posición de país basando su postura en la “Contribución Determinada a Nivel Nacional”. Los principales c</w:t>
      </w:r>
      <w:r w:rsidR="00AA3DEF">
        <w:rPr>
          <w:rFonts w:ascii="Times New Roman" w:hAnsi="Times New Roman" w:cs="Times New Roman"/>
          <w:sz w:val="20"/>
        </w:rPr>
        <w:t>ompromisos para Guatemala son: r</w:t>
      </w:r>
      <w:r w:rsidRPr="00206305">
        <w:rPr>
          <w:rFonts w:ascii="Times New Roman" w:hAnsi="Times New Roman" w:cs="Times New Roman"/>
          <w:sz w:val="20"/>
        </w:rPr>
        <w:t xml:space="preserve">educción de emisiones de Gases de Efecto Invernadero (GEI) al 2030 (teniendo como base 2005). </w:t>
      </w:r>
    </w:p>
    <w:p w14:paraId="38FCFECB" w14:textId="71EF265C" w:rsidR="00206305" w:rsidRPr="00AA3DEF" w:rsidRDefault="00206305" w:rsidP="001032E7">
      <w:pPr>
        <w:pStyle w:val="Prrafodelista"/>
        <w:numPr>
          <w:ilvl w:val="0"/>
          <w:numId w:val="44"/>
        </w:numPr>
        <w:jc w:val="both"/>
        <w:rPr>
          <w:rFonts w:ascii="Times New Roman" w:hAnsi="Times New Roman" w:cs="Times New Roman"/>
          <w:sz w:val="20"/>
        </w:rPr>
      </w:pPr>
      <w:r w:rsidRPr="00AA3DEF">
        <w:rPr>
          <w:rFonts w:ascii="Times New Roman" w:hAnsi="Times New Roman" w:cs="Times New Roman"/>
          <w:b/>
          <w:sz w:val="20"/>
          <w:u w:val="single"/>
        </w:rPr>
        <w:t>Propuesta No Condicionada:</w:t>
      </w:r>
      <w:r w:rsidRPr="00AA3DEF">
        <w:rPr>
          <w:rFonts w:ascii="Times New Roman" w:hAnsi="Times New Roman" w:cs="Times New Roman"/>
          <w:sz w:val="20"/>
        </w:rPr>
        <w:t xml:space="preserve"> reducción (11.2%) de 53.85 millones a 47.81 millones de toneladas de CO2 equivalente. </w:t>
      </w:r>
    </w:p>
    <w:p w14:paraId="5CC780B8" w14:textId="442A0767" w:rsidR="00206305" w:rsidRPr="00AA3DEF" w:rsidRDefault="00206305" w:rsidP="001032E7">
      <w:pPr>
        <w:pStyle w:val="Prrafodelista"/>
        <w:numPr>
          <w:ilvl w:val="0"/>
          <w:numId w:val="44"/>
        </w:numPr>
        <w:jc w:val="both"/>
        <w:rPr>
          <w:rFonts w:ascii="Times New Roman" w:hAnsi="Times New Roman" w:cs="Times New Roman"/>
          <w:sz w:val="20"/>
        </w:rPr>
      </w:pPr>
      <w:r w:rsidRPr="00AA3DEF">
        <w:rPr>
          <w:rFonts w:ascii="Times New Roman" w:hAnsi="Times New Roman" w:cs="Times New Roman"/>
          <w:b/>
          <w:sz w:val="20"/>
          <w:u w:val="single"/>
        </w:rPr>
        <w:t xml:space="preserve">Propuesta Condicionada: </w:t>
      </w:r>
      <w:r w:rsidRPr="00AA3DEF">
        <w:rPr>
          <w:rFonts w:ascii="Times New Roman" w:hAnsi="Times New Roman" w:cs="Times New Roman"/>
          <w:sz w:val="20"/>
        </w:rPr>
        <w:t>(22.6%) de 53.85 millones a 41.66 millones de toneladas de CO2 equivalente. Como condición para alcanzar esta meta será necesario el apoyo técnico y financiero proveniente de recursos internacionales públicos y privados, nuevos y adicionales.</w:t>
      </w:r>
    </w:p>
    <w:p w14:paraId="6CA1FDEA" w14:textId="24EB6F0F" w:rsidR="00206305" w:rsidRPr="00206305" w:rsidRDefault="00206305" w:rsidP="00206305">
      <w:pPr>
        <w:jc w:val="both"/>
        <w:rPr>
          <w:rFonts w:ascii="Times New Roman" w:hAnsi="Times New Roman" w:cs="Times New Roman"/>
          <w:sz w:val="20"/>
        </w:rPr>
      </w:pPr>
      <w:r w:rsidRPr="00206305">
        <w:rPr>
          <w:rFonts w:ascii="Times New Roman" w:hAnsi="Times New Roman" w:cs="Times New Roman"/>
          <w:sz w:val="20"/>
        </w:rPr>
        <w:t>De esa cuenta, la Estrategia Fiscal Ambiental, ha contado con el apoyo de la cooperación internacional para lograr los objetivos de sostenibilidad y resiliencia ambiental. Dentro de los socios estratégicos se encuentra: el Fondo Monetario Internacional (FMI), la Comisión Económica para América Latina y el Caribe (CEPAL), el Banco Interamericano de Desarrollo (BID), Fundación Bariloche, el Banco Centroamericano de Integración, siendo la más importante canalizada a través de la Cooperación Alemana (GIZ) y el Fondo de Reformas Estructurales, con la formulación de consultorías</w:t>
      </w:r>
      <w:r w:rsidR="00AA3DEF">
        <w:rPr>
          <w:rFonts w:ascii="Times New Roman" w:hAnsi="Times New Roman" w:cs="Times New Roman"/>
          <w:sz w:val="20"/>
        </w:rPr>
        <w:t>, c</w:t>
      </w:r>
      <w:r w:rsidRPr="00206305">
        <w:rPr>
          <w:rFonts w:ascii="Times New Roman" w:hAnsi="Times New Roman" w:cs="Times New Roman"/>
          <w:sz w:val="20"/>
        </w:rPr>
        <w:t>onferencias internacionales y material escrito que apoyaron la generación de insumos e identificación de mecanismos innovadores para incorporar lineamientos ambientales dentro de la política fiscal para los cinco ejes estratégicos de la EFA.</w:t>
      </w:r>
    </w:p>
    <w:p w14:paraId="0B214ED6" w14:textId="77777777" w:rsidR="00AA3DEF" w:rsidRPr="00AA3DEF" w:rsidRDefault="00AA3DEF" w:rsidP="00AA3DEF">
      <w:pPr>
        <w:keepNext/>
        <w:spacing w:after="0" w:line="240" w:lineRule="auto"/>
        <w:jc w:val="center"/>
        <w:rPr>
          <w:rFonts w:ascii="Times New Roman" w:hAnsi="Times New Roman" w:cs="Times New Roman"/>
          <w:b/>
          <w:bCs/>
          <w:sz w:val="24"/>
          <w:szCs w:val="24"/>
        </w:rPr>
      </w:pPr>
      <w:r w:rsidRPr="00AA3DEF">
        <w:rPr>
          <w:rFonts w:ascii="Times New Roman" w:hAnsi="Times New Roman" w:cs="Times New Roman"/>
          <w:b/>
          <w:bCs/>
          <w:iCs/>
          <w:sz w:val="24"/>
          <w:szCs w:val="24"/>
        </w:rPr>
        <w:t>Asistencias técnicas recibidas para la Estrategia Fiscal Ambiental</w:t>
      </w:r>
    </w:p>
    <w:p w14:paraId="17DA2CE7" w14:textId="35723E37" w:rsidR="00AA3DEF" w:rsidRDefault="00AA3DEF" w:rsidP="00AA3DEF">
      <w:pPr>
        <w:spacing w:after="0" w:line="240" w:lineRule="auto"/>
        <w:jc w:val="center"/>
        <w:rPr>
          <w:rFonts w:ascii="Times New Roman" w:hAnsi="Times New Roman" w:cs="Times New Roman"/>
          <w:b/>
          <w:bCs/>
        </w:rPr>
      </w:pPr>
      <w:r w:rsidRPr="00AA3DEF">
        <w:rPr>
          <w:rFonts w:ascii="Times New Roman" w:hAnsi="Times New Roman" w:cs="Times New Roman"/>
          <w:b/>
          <w:bCs/>
        </w:rPr>
        <w:t>2019-202</w:t>
      </w:r>
      <w:r w:rsidR="00596263">
        <w:rPr>
          <w:rFonts w:ascii="Times New Roman" w:hAnsi="Times New Roman" w:cs="Times New Roman"/>
          <w:b/>
          <w:bCs/>
        </w:rPr>
        <w:t>1</w:t>
      </w:r>
    </w:p>
    <w:p w14:paraId="7AC98B9C" w14:textId="77777777" w:rsidR="00CF2956" w:rsidRPr="00CF2956" w:rsidRDefault="00CF2956" w:rsidP="00AA3DEF">
      <w:pPr>
        <w:spacing w:after="0" w:line="240" w:lineRule="auto"/>
        <w:jc w:val="center"/>
        <w:rPr>
          <w:rFonts w:ascii="Times New Roman" w:hAnsi="Times New Roman" w:cs="Times New Roman"/>
          <w:b/>
          <w:bCs/>
          <w:sz w:val="12"/>
        </w:rPr>
      </w:pPr>
    </w:p>
    <w:tbl>
      <w:tblPr>
        <w:tblStyle w:val="GridTable4Accent1"/>
        <w:tblW w:w="9322" w:type="dxa"/>
        <w:tblLook w:val="04A0" w:firstRow="1" w:lastRow="0" w:firstColumn="1" w:lastColumn="0" w:noHBand="0" w:noVBand="1"/>
      </w:tblPr>
      <w:tblGrid>
        <w:gridCol w:w="4489"/>
        <w:gridCol w:w="4833"/>
      </w:tblGrid>
      <w:tr w:rsidR="00CF2956" w:rsidRPr="00CF2956" w14:paraId="674A6E0C" w14:textId="77777777" w:rsidTr="00CF2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14:paraId="61A7093C" w14:textId="77777777" w:rsidR="00CF2956" w:rsidRPr="00CF2956" w:rsidRDefault="00CF2956" w:rsidP="004A467A">
            <w:pPr>
              <w:jc w:val="center"/>
              <w:rPr>
                <w:rFonts w:ascii="Times New Roman" w:hAnsi="Times New Roman" w:cs="Times New Roman"/>
                <w:b w:val="0"/>
                <w:sz w:val="20"/>
                <w:szCs w:val="20"/>
              </w:rPr>
            </w:pPr>
            <w:r w:rsidRPr="00CF2956">
              <w:rPr>
                <w:rFonts w:ascii="Times New Roman" w:hAnsi="Times New Roman" w:cs="Times New Roman"/>
                <w:sz w:val="20"/>
                <w:szCs w:val="20"/>
              </w:rPr>
              <w:t>Producto</w:t>
            </w:r>
          </w:p>
        </w:tc>
        <w:tc>
          <w:tcPr>
            <w:tcW w:w="4833" w:type="dxa"/>
          </w:tcPr>
          <w:p w14:paraId="601A2D58" w14:textId="77777777" w:rsidR="00CF2956" w:rsidRPr="00CF2956" w:rsidRDefault="00CF2956" w:rsidP="004A46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CF2956">
              <w:rPr>
                <w:rFonts w:ascii="Times New Roman" w:hAnsi="Times New Roman" w:cs="Times New Roman"/>
                <w:sz w:val="20"/>
                <w:szCs w:val="20"/>
              </w:rPr>
              <w:t xml:space="preserve">Impacto esperado </w:t>
            </w:r>
          </w:p>
        </w:tc>
      </w:tr>
      <w:tr w:rsidR="00CF2956" w:rsidRPr="00CF2956" w14:paraId="0B26E010" w14:textId="77777777" w:rsidTr="00CF2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vAlign w:val="center"/>
          </w:tcPr>
          <w:p w14:paraId="2D6C9D79" w14:textId="77777777" w:rsidR="00CF2956" w:rsidRPr="00CF2956" w:rsidRDefault="00CF2956" w:rsidP="00CF2956">
            <w:pPr>
              <w:rPr>
                <w:rFonts w:ascii="Times New Roman" w:hAnsi="Times New Roman" w:cs="Times New Roman"/>
                <w:b w:val="0"/>
                <w:sz w:val="20"/>
                <w:szCs w:val="20"/>
              </w:rPr>
            </w:pPr>
            <w:r w:rsidRPr="00CF2956">
              <w:rPr>
                <w:rFonts w:ascii="Times New Roman" w:hAnsi="Times New Roman" w:cs="Times New Roman"/>
                <w:b w:val="0"/>
                <w:sz w:val="20"/>
                <w:szCs w:val="20"/>
              </w:rPr>
              <w:t xml:space="preserve">Conferencia Internacional de Fiscalidad Ambiental </w:t>
            </w:r>
          </w:p>
        </w:tc>
        <w:tc>
          <w:tcPr>
            <w:tcW w:w="4833" w:type="dxa"/>
          </w:tcPr>
          <w:p w14:paraId="3AE20000" w14:textId="77777777" w:rsidR="00CF2956" w:rsidRPr="00CF2956" w:rsidRDefault="00CF2956" w:rsidP="004A46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F2956">
              <w:rPr>
                <w:rFonts w:ascii="Times New Roman" w:hAnsi="Times New Roman" w:cs="Times New Roman"/>
                <w:sz w:val="20"/>
                <w:szCs w:val="20"/>
              </w:rPr>
              <w:t>Sensibilizar y conocer sobre las experiencias exitosas de políticas, instrumentos económicos y fiscales utilizados a nivel internacional para el mejoramiento de la calidad ambiental, calidad de vida, la disminución de las externalidades, para el fortalecimiento de las capacidades institucionales en materia de Fiscalidad Ambiental.</w:t>
            </w:r>
          </w:p>
        </w:tc>
      </w:tr>
      <w:tr w:rsidR="00CF2956" w:rsidRPr="00CF2956" w14:paraId="1A1275A2" w14:textId="77777777" w:rsidTr="00CF2956">
        <w:tc>
          <w:tcPr>
            <w:cnfStyle w:val="001000000000" w:firstRow="0" w:lastRow="0" w:firstColumn="1" w:lastColumn="0" w:oddVBand="0" w:evenVBand="0" w:oddHBand="0" w:evenHBand="0" w:firstRowFirstColumn="0" w:firstRowLastColumn="0" w:lastRowFirstColumn="0" w:lastRowLastColumn="0"/>
            <w:tcW w:w="4489" w:type="dxa"/>
            <w:vAlign w:val="center"/>
          </w:tcPr>
          <w:p w14:paraId="6D6E740A" w14:textId="77777777" w:rsidR="00CF2956" w:rsidRPr="00CF2956" w:rsidRDefault="00CF2956" w:rsidP="004A467A">
            <w:pPr>
              <w:jc w:val="both"/>
              <w:rPr>
                <w:rFonts w:ascii="Times New Roman" w:hAnsi="Times New Roman" w:cs="Times New Roman"/>
                <w:b w:val="0"/>
                <w:sz w:val="20"/>
                <w:szCs w:val="20"/>
              </w:rPr>
            </w:pPr>
            <w:r w:rsidRPr="00CF2956">
              <w:rPr>
                <w:rFonts w:ascii="Times New Roman" w:hAnsi="Times New Roman" w:cs="Times New Roman"/>
                <w:b w:val="0"/>
                <w:sz w:val="20"/>
                <w:szCs w:val="20"/>
              </w:rPr>
              <w:t>Diagnóstico para la incorporación de criterios ambientales y de sostenibilidad en la normativa de compras y contrataciones del Estado.</w:t>
            </w:r>
          </w:p>
        </w:tc>
        <w:tc>
          <w:tcPr>
            <w:tcW w:w="4833" w:type="dxa"/>
          </w:tcPr>
          <w:p w14:paraId="4166A69C" w14:textId="77777777" w:rsidR="00CF2956" w:rsidRPr="00CF2956" w:rsidRDefault="00CF2956" w:rsidP="004A467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2956">
              <w:rPr>
                <w:rFonts w:ascii="Times New Roman" w:hAnsi="Times New Roman" w:cs="Times New Roman"/>
                <w:sz w:val="20"/>
                <w:szCs w:val="20"/>
              </w:rPr>
              <w:t>Promover las compras y adquisiciones de bienes y servicios del Estado con características de sostenibilidad ambiental y garantizar el uso de proveedores que demuestren la implementación de condiciones mínimas en materia de cumplimiento de requerimientos de conservación y protección del medio ambiente.</w:t>
            </w:r>
          </w:p>
        </w:tc>
      </w:tr>
      <w:tr w:rsidR="00CF2956" w:rsidRPr="00CF2956" w14:paraId="3C0A4B10" w14:textId="77777777" w:rsidTr="00CF2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vAlign w:val="center"/>
          </w:tcPr>
          <w:p w14:paraId="51377BDA" w14:textId="77777777" w:rsidR="00CF2956" w:rsidRPr="00CF2956" w:rsidRDefault="00CF2956" w:rsidP="00CF2956">
            <w:pPr>
              <w:rPr>
                <w:rFonts w:ascii="Times New Roman" w:hAnsi="Times New Roman" w:cs="Times New Roman"/>
                <w:b w:val="0"/>
                <w:sz w:val="20"/>
                <w:szCs w:val="20"/>
              </w:rPr>
            </w:pPr>
            <w:r w:rsidRPr="00CF2956">
              <w:rPr>
                <w:rFonts w:ascii="Times New Roman" w:hAnsi="Times New Roman" w:cs="Times New Roman"/>
                <w:b w:val="0"/>
                <w:sz w:val="20"/>
                <w:szCs w:val="20"/>
              </w:rPr>
              <w:t>Asistencia técnica al Ministerio de Finanzas Públicas y Ministerio de Energía y Minas para el diseño de una NAMA (Acción Nacionalmente Apropiada de Mitigación) de Eficiencia energética bajo el marco de calidad del gasto público en Guatemala”, como apoyo a la Política Nacional de Eficiencia Energética 2020 – 2050.</w:t>
            </w:r>
          </w:p>
        </w:tc>
        <w:tc>
          <w:tcPr>
            <w:tcW w:w="4833" w:type="dxa"/>
          </w:tcPr>
          <w:p w14:paraId="58973648" w14:textId="77777777" w:rsidR="00CF2956" w:rsidRPr="00CF2956" w:rsidRDefault="00CF2956" w:rsidP="004A46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F2956">
              <w:rPr>
                <w:rFonts w:ascii="Times New Roman" w:hAnsi="Times New Roman" w:cs="Times New Roman"/>
                <w:sz w:val="20"/>
                <w:szCs w:val="20"/>
              </w:rPr>
              <w:t>Desarrollar conjuntamente con el MEM la propuesta de una -NAMA- (Acción de Mitigación Nacionalmente Apropiada) de Eficiencia Energética enfocada a: Edificios Públicos; Alumbrado Público; Sistemas de bombeo y Hospitales para mejorar la eficiencia en la calidad del gasto</w:t>
            </w:r>
          </w:p>
        </w:tc>
      </w:tr>
      <w:tr w:rsidR="00CF2956" w:rsidRPr="00CF2956" w14:paraId="6E2EA643" w14:textId="77777777" w:rsidTr="00CF2956">
        <w:tc>
          <w:tcPr>
            <w:cnfStyle w:val="001000000000" w:firstRow="0" w:lastRow="0" w:firstColumn="1" w:lastColumn="0" w:oddVBand="0" w:evenVBand="0" w:oddHBand="0" w:evenHBand="0" w:firstRowFirstColumn="0" w:firstRowLastColumn="0" w:lastRowFirstColumn="0" w:lastRowLastColumn="0"/>
            <w:tcW w:w="4489" w:type="dxa"/>
            <w:vAlign w:val="center"/>
          </w:tcPr>
          <w:p w14:paraId="71EE75A8" w14:textId="77777777" w:rsidR="00CF2956" w:rsidRPr="00CF2956" w:rsidRDefault="00CF2956" w:rsidP="00CF2956">
            <w:pPr>
              <w:rPr>
                <w:rFonts w:ascii="Times New Roman" w:hAnsi="Times New Roman" w:cs="Times New Roman"/>
                <w:b w:val="0"/>
                <w:sz w:val="20"/>
                <w:szCs w:val="20"/>
              </w:rPr>
            </w:pPr>
            <w:r w:rsidRPr="00CF2956">
              <w:rPr>
                <w:rFonts w:ascii="Times New Roman" w:hAnsi="Times New Roman" w:cs="Times New Roman"/>
                <w:b w:val="0"/>
                <w:sz w:val="20"/>
                <w:szCs w:val="20"/>
              </w:rPr>
              <w:t>Diseño de estrategias y metodologías para fortalecer las finanzas Municipales considerando aspectos de presupuesto orientado a resultados, incorporando temas ambientales.</w:t>
            </w:r>
          </w:p>
        </w:tc>
        <w:tc>
          <w:tcPr>
            <w:tcW w:w="4833" w:type="dxa"/>
          </w:tcPr>
          <w:p w14:paraId="6424ADDB" w14:textId="77777777" w:rsidR="00CF2956" w:rsidRPr="00CF2956" w:rsidRDefault="00CF2956" w:rsidP="004A467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2956">
              <w:rPr>
                <w:rFonts w:ascii="Times New Roman" w:hAnsi="Times New Roman" w:cs="Times New Roman"/>
                <w:sz w:val="20"/>
                <w:szCs w:val="20"/>
              </w:rPr>
              <w:t>Mejorar la calidad del gasto municipal por medio de asistencia técnica, para el desarrollo de metodologías considerando aspectos de presupuesto por resultados para incorporar la calidad del gasto en temas ambientales, incorporando el tema de las contingencias ambientales</w:t>
            </w:r>
          </w:p>
        </w:tc>
      </w:tr>
      <w:tr w:rsidR="00CF2956" w:rsidRPr="00CF2956" w14:paraId="0F5ADCFD" w14:textId="77777777" w:rsidTr="00CF2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vAlign w:val="center"/>
          </w:tcPr>
          <w:p w14:paraId="0EAD5446" w14:textId="77777777" w:rsidR="00CF2956" w:rsidRPr="00CF2956" w:rsidRDefault="00CF2956" w:rsidP="00CF2956">
            <w:pPr>
              <w:rPr>
                <w:rFonts w:ascii="Times New Roman" w:hAnsi="Times New Roman" w:cs="Times New Roman"/>
                <w:b w:val="0"/>
                <w:sz w:val="20"/>
                <w:szCs w:val="20"/>
              </w:rPr>
            </w:pPr>
            <w:r w:rsidRPr="00CF2956">
              <w:rPr>
                <w:rFonts w:ascii="Times New Roman" w:hAnsi="Times New Roman" w:cs="Times New Roman"/>
                <w:b w:val="0"/>
                <w:sz w:val="20"/>
                <w:szCs w:val="20"/>
              </w:rPr>
              <w:t>Modelos Fiscales Ambientales dirigidos a fuentes fijas y móviles para generar incentivos económicos para el cambio en el uso de combustibles fósiles e innovación tecnológica en los procesos productivos para la reducción de la contaminación ambiental en Guatemala.</w:t>
            </w:r>
          </w:p>
        </w:tc>
        <w:tc>
          <w:tcPr>
            <w:tcW w:w="4833" w:type="dxa"/>
          </w:tcPr>
          <w:p w14:paraId="2A86C5B1" w14:textId="77777777" w:rsidR="00CF2956" w:rsidRPr="00CF2956" w:rsidRDefault="00CF2956" w:rsidP="004A46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F2956">
              <w:rPr>
                <w:rFonts w:ascii="Times New Roman" w:hAnsi="Times New Roman" w:cs="Times New Roman"/>
                <w:sz w:val="20"/>
                <w:szCs w:val="20"/>
              </w:rPr>
              <w:t>Contar con nuevas figuras tributarias de doble dividendo que tengan el objetivo de reducir la contaminación ambiental, internalizando las externalidades negativas y generen un impacto en la recaudación, además de producir un cambio de hábitos en consumo y/o practicas contaminantes.</w:t>
            </w:r>
          </w:p>
        </w:tc>
      </w:tr>
      <w:tr w:rsidR="00CF2956" w:rsidRPr="00CF2956" w14:paraId="28D3CAC3" w14:textId="77777777" w:rsidTr="00CF2956">
        <w:tc>
          <w:tcPr>
            <w:cnfStyle w:val="001000000000" w:firstRow="0" w:lastRow="0" w:firstColumn="1" w:lastColumn="0" w:oddVBand="0" w:evenVBand="0" w:oddHBand="0" w:evenHBand="0" w:firstRowFirstColumn="0" w:firstRowLastColumn="0" w:lastRowFirstColumn="0" w:lastRowLastColumn="0"/>
            <w:tcW w:w="4489" w:type="dxa"/>
            <w:vAlign w:val="center"/>
          </w:tcPr>
          <w:p w14:paraId="2BDC868A" w14:textId="77777777" w:rsidR="00CF2956" w:rsidRPr="00CF2956" w:rsidRDefault="00CF2956" w:rsidP="00CF2956">
            <w:pPr>
              <w:rPr>
                <w:rFonts w:ascii="Times New Roman" w:hAnsi="Times New Roman" w:cs="Times New Roman"/>
                <w:b w:val="0"/>
                <w:sz w:val="20"/>
                <w:szCs w:val="20"/>
              </w:rPr>
            </w:pPr>
            <w:r w:rsidRPr="00CF2956">
              <w:rPr>
                <w:rFonts w:ascii="Times New Roman" w:hAnsi="Times New Roman" w:cs="Times New Roman"/>
                <w:b w:val="0"/>
                <w:sz w:val="20"/>
                <w:szCs w:val="20"/>
              </w:rPr>
              <w:t>Acceso a fuentes de financiamiento internacionales verde y climático para Guatemala</w:t>
            </w:r>
          </w:p>
        </w:tc>
        <w:tc>
          <w:tcPr>
            <w:tcW w:w="4833" w:type="dxa"/>
          </w:tcPr>
          <w:p w14:paraId="4622318D" w14:textId="77777777" w:rsidR="00CF2956" w:rsidRPr="00CF2956" w:rsidRDefault="00CF2956" w:rsidP="004A467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2956">
              <w:rPr>
                <w:rFonts w:ascii="Times New Roman" w:hAnsi="Times New Roman" w:cs="Times New Roman"/>
                <w:sz w:val="20"/>
                <w:szCs w:val="20"/>
              </w:rPr>
              <w:t>Contar con un portafolio de proyectos de alto impacto asociados a la protección del medio ambiente, el bosque y su biodiversidad, mitigación y adaptación a riesgos climáticos y/o prevención de contingencias ambientales que demanden un alto grado de financiamiento.</w:t>
            </w:r>
          </w:p>
        </w:tc>
      </w:tr>
      <w:tr w:rsidR="00CF2956" w:rsidRPr="00CF2956" w14:paraId="3287EB37" w14:textId="77777777" w:rsidTr="00CF2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vAlign w:val="center"/>
          </w:tcPr>
          <w:p w14:paraId="60165AD4" w14:textId="77777777" w:rsidR="00CF2956" w:rsidRPr="00CF2956" w:rsidRDefault="00CF2956" w:rsidP="00CF2956">
            <w:pPr>
              <w:rPr>
                <w:rFonts w:ascii="Times New Roman" w:hAnsi="Times New Roman" w:cs="Times New Roman"/>
                <w:b w:val="0"/>
                <w:sz w:val="20"/>
                <w:szCs w:val="20"/>
              </w:rPr>
            </w:pPr>
            <w:r w:rsidRPr="00CF2956">
              <w:rPr>
                <w:rFonts w:ascii="Times New Roman" w:hAnsi="Times New Roman" w:cs="Times New Roman"/>
                <w:b w:val="0"/>
                <w:sz w:val="20"/>
                <w:szCs w:val="20"/>
              </w:rPr>
              <w:t>Análisis del gasto e inversión pública en protección ambiental</w:t>
            </w:r>
          </w:p>
        </w:tc>
        <w:tc>
          <w:tcPr>
            <w:tcW w:w="4833" w:type="dxa"/>
          </w:tcPr>
          <w:p w14:paraId="54A75580" w14:textId="77777777" w:rsidR="00CF2956" w:rsidRPr="00CF2956" w:rsidRDefault="00CF2956" w:rsidP="004A46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F2956">
              <w:rPr>
                <w:rFonts w:ascii="Times New Roman" w:hAnsi="Times New Roman" w:cs="Times New Roman"/>
                <w:sz w:val="20"/>
                <w:szCs w:val="20"/>
              </w:rPr>
              <w:t>Contar con información actualizada de las Cuentas Nacionales Ambientales para perfeccionar la Cuenta Integrada de Gastos y Transacciones Ambientales (CIGTA) para identificar de mejor manera el gasto público en la prevención, mitigación o restauración de los daños al ambiente natural, así como los gastos para la gestión de los bienes naturales</w:t>
            </w:r>
          </w:p>
        </w:tc>
      </w:tr>
      <w:tr w:rsidR="00CF2956" w:rsidRPr="00CF2956" w14:paraId="3440D7F3" w14:textId="77777777" w:rsidTr="00CF2956">
        <w:tc>
          <w:tcPr>
            <w:cnfStyle w:val="001000000000" w:firstRow="0" w:lastRow="0" w:firstColumn="1" w:lastColumn="0" w:oddVBand="0" w:evenVBand="0" w:oddHBand="0" w:evenHBand="0" w:firstRowFirstColumn="0" w:firstRowLastColumn="0" w:lastRowFirstColumn="0" w:lastRowLastColumn="0"/>
            <w:tcW w:w="4489" w:type="dxa"/>
            <w:vAlign w:val="center"/>
          </w:tcPr>
          <w:p w14:paraId="23575D0C" w14:textId="77777777" w:rsidR="00CF2956" w:rsidRPr="00CF2956" w:rsidRDefault="00CF2956" w:rsidP="00CF2956">
            <w:pPr>
              <w:rPr>
                <w:rFonts w:ascii="Times New Roman" w:hAnsi="Times New Roman" w:cs="Times New Roman"/>
                <w:b w:val="0"/>
                <w:sz w:val="20"/>
                <w:szCs w:val="20"/>
              </w:rPr>
            </w:pPr>
            <w:r w:rsidRPr="00CF2956">
              <w:rPr>
                <w:rFonts w:ascii="Times New Roman" w:hAnsi="Times New Roman" w:cs="Times New Roman"/>
                <w:b w:val="0"/>
                <w:sz w:val="20"/>
                <w:szCs w:val="20"/>
              </w:rPr>
              <w:t>Análisis estadístico del gasto público destinado a cambio climático y a las potencialidades del</w:t>
            </w:r>
          </w:p>
          <w:p w14:paraId="69995472" w14:textId="77777777" w:rsidR="00CF2956" w:rsidRPr="00CF2956" w:rsidRDefault="00CF2956" w:rsidP="00CF2956">
            <w:pPr>
              <w:rPr>
                <w:rFonts w:ascii="Times New Roman" w:hAnsi="Times New Roman" w:cs="Times New Roman"/>
                <w:b w:val="0"/>
                <w:sz w:val="20"/>
                <w:szCs w:val="20"/>
              </w:rPr>
            </w:pPr>
            <w:r w:rsidRPr="00CF2956">
              <w:rPr>
                <w:rFonts w:ascii="Times New Roman" w:hAnsi="Times New Roman" w:cs="Times New Roman"/>
                <w:b w:val="0"/>
                <w:sz w:val="20"/>
                <w:szCs w:val="20"/>
              </w:rPr>
              <w:t>cumplimiento de los compromisos internacionales (Objetivo 13 de los ODS y las Contribuciones Nacionales Determinadas NDC)</w:t>
            </w:r>
          </w:p>
        </w:tc>
        <w:tc>
          <w:tcPr>
            <w:tcW w:w="4833" w:type="dxa"/>
          </w:tcPr>
          <w:p w14:paraId="3A49975F" w14:textId="77777777" w:rsidR="00CF2956" w:rsidRPr="00CF2956" w:rsidRDefault="00CF2956" w:rsidP="004A467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2956">
              <w:rPr>
                <w:rFonts w:ascii="Times New Roman" w:hAnsi="Times New Roman" w:cs="Times New Roman"/>
                <w:sz w:val="20"/>
                <w:szCs w:val="20"/>
              </w:rPr>
              <w:t xml:space="preserve">Contar con información actualizada del gasto público destinado a la prevención, mitigación o restauración de los daños al medio ambiente, que tengan potencial de contribuir al cumplimiento de compromisos internacionales. </w:t>
            </w:r>
          </w:p>
        </w:tc>
      </w:tr>
      <w:tr w:rsidR="00CF2956" w:rsidRPr="00CF2956" w14:paraId="5F200D9E" w14:textId="77777777" w:rsidTr="00CF2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vAlign w:val="center"/>
          </w:tcPr>
          <w:p w14:paraId="36A96736" w14:textId="77777777" w:rsidR="00CF2956" w:rsidRPr="00CF2956" w:rsidRDefault="00CF2956" w:rsidP="00CF2956">
            <w:pPr>
              <w:rPr>
                <w:rFonts w:ascii="Times New Roman" w:hAnsi="Times New Roman" w:cs="Times New Roman"/>
                <w:b w:val="0"/>
                <w:sz w:val="20"/>
                <w:szCs w:val="20"/>
              </w:rPr>
            </w:pPr>
            <w:r w:rsidRPr="00CF2956">
              <w:rPr>
                <w:rFonts w:ascii="Times New Roman" w:hAnsi="Times New Roman" w:cs="Times New Roman"/>
                <w:b w:val="0"/>
                <w:sz w:val="20"/>
                <w:szCs w:val="20"/>
              </w:rPr>
              <w:t>Conformación de la mesa técnica interinstitucional para el fomento de mecanismos financieros con miras a la prevención, mitigación, control y combate de incendios forestales en Guatemala</w:t>
            </w:r>
          </w:p>
        </w:tc>
        <w:tc>
          <w:tcPr>
            <w:tcW w:w="4833" w:type="dxa"/>
          </w:tcPr>
          <w:p w14:paraId="1BE9459B" w14:textId="77777777" w:rsidR="00CF2956" w:rsidRPr="00CF2956" w:rsidRDefault="00CF2956" w:rsidP="004A46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F2956">
              <w:rPr>
                <w:rFonts w:ascii="Times New Roman" w:hAnsi="Times New Roman" w:cs="Times New Roman"/>
                <w:sz w:val="20"/>
                <w:szCs w:val="20"/>
              </w:rPr>
              <w:t>Contar con la propuesta de Acuerdo Gubernativo para la formación de la mesa técnica interinstitucional  para el fomento de mecanismos financieros para la atención de las acciones de: prevención, mitigación, control y combate de incendios forestales en Guatemala, principalmente en las áreas propiedad del Estado; ello como parte integral de la implementación de la Estrategia Fiscal Ambiental.</w:t>
            </w:r>
          </w:p>
        </w:tc>
      </w:tr>
      <w:tr w:rsidR="00CF2956" w:rsidRPr="00CF2956" w14:paraId="298B45C0" w14:textId="77777777" w:rsidTr="00CF2956">
        <w:tc>
          <w:tcPr>
            <w:cnfStyle w:val="001000000000" w:firstRow="0" w:lastRow="0" w:firstColumn="1" w:lastColumn="0" w:oddVBand="0" w:evenVBand="0" w:oddHBand="0" w:evenHBand="0" w:firstRowFirstColumn="0" w:firstRowLastColumn="0" w:lastRowFirstColumn="0" w:lastRowLastColumn="0"/>
            <w:tcW w:w="4489" w:type="dxa"/>
            <w:vAlign w:val="center"/>
          </w:tcPr>
          <w:p w14:paraId="6BB75D15" w14:textId="77777777" w:rsidR="00CF2956" w:rsidRPr="00CF2956" w:rsidRDefault="00CF2956" w:rsidP="00CF2956">
            <w:pPr>
              <w:rPr>
                <w:rFonts w:ascii="Times New Roman" w:hAnsi="Times New Roman" w:cs="Times New Roman"/>
                <w:b w:val="0"/>
                <w:sz w:val="20"/>
                <w:szCs w:val="20"/>
              </w:rPr>
            </w:pPr>
            <w:r w:rsidRPr="00CF2956">
              <w:rPr>
                <w:rFonts w:ascii="Times New Roman" w:hAnsi="Times New Roman" w:cs="Times New Roman"/>
                <w:b w:val="0"/>
                <w:sz w:val="20"/>
                <w:szCs w:val="20"/>
              </w:rPr>
              <w:t>Incorporación de indicadores ambientales al Ranking Municipal</w:t>
            </w:r>
          </w:p>
        </w:tc>
        <w:tc>
          <w:tcPr>
            <w:tcW w:w="4833" w:type="dxa"/>
          </w:tcPr>
          <w:p w14:paraId="747AE40A" w14:textId="77777777" w:rsidR="00CF2956" w:rsidRPr="00CF2956" w:rsidRDefault="00CF2956" w:rsidP="004A467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2956">
              <w:rPr>
                <w:rFonts w:ascii="Times New Roman" w:hAnsi="Times New Roman" w:cs="Times New Roman"/>
                <w:sz w:val="20"/>
                <w:szCs w:val="20"/>
              </w:rPr>
              <w:t>Promover la inclusión de indicadores ambientales para ser incorporados dentro del Ranking Municipal que actualmente es implementado por la Secretaria de Planificación y Programación de la Presidencia –SEGEPLAN-.</w:t>
            </w:r>
          </w:p>
        </w:tc>
      </w:tr>
      <w:tr w:rsidR="00CF2956" w:rsidRPr="00CF2956" w14:paraId="2302928D" w14:textId="77777777" w:rsidTr="00CF2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vAlign w:val="center"/>
          </w:tcPr>
          <w:p w14:paraId="5EFFA2CD" w14:textId="77777777" w:rsidR="00CF2956" w:rsidRPr="00CF2956" w:rsidRDefault="00CF2956" w:rsidP="00CF2956">
            <w:pPr>
              <w:rPr>
                <w:rFonts w:ascii="Times New Roman" w:hAnsi="Times New Roman" w:cs="Times New Roman"/>
                <w:b w:val="0"/>
                <w:sz w:val="20"/>
                <w:szCs w:val="20"/>
              </w:rPr>
            </w:pPr>
            <w:r w:rsidRPr="00CF2956">
              <w:rPr>
                <w:rFonts w:ascii="Times New Roman" w:hAnsi="Times New Roman" w:cs="Times New Roman"/>
                <w:b w:val="0"/>
                <w:sz w:val="20"/>
                <w:szCs w:val="20"/>
              </w:rPr>
              <w:t xml:space="preserve">Análisis costo beneficio de políticas e incentivos fiscales en protección ambiental </w:t>
            </w:r>
          </w:p>
        </w:tc>
        <w:tc>
          <w:tcPr>
            <w:tcW w:w="4833" w:type="dxa"/>
          </w:tcPr>
          <w:p w14:paraId="10157A54" w14:textId="77777777" w:rsidR="00CF2956" w:rsidRPr="00CF2956" w:rsidRDefault="00CF2956" w:rsidP="004A46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F2956">
              <w:rPr>
                <w:rFonts w:ascii="Times New Roman" w:hAnsi="Times New Roman" w:cs="Times New Roman"/>
                <w:sz w:val="20"/>
                <w:szCs w:val="20"/>
              </w:rPr>
              <w:t xml:space="preserve">Desarrollar un análisis costo beneficio de los incentivos fiscales relacionados a la protección ambiental en Guatemala para mejorar el rendimiento y efectividad de los mismos en el impacto forestal. </w:t>
            </w:r>
          </w:p>
        </w:tc>
      </w:tr>
      <w:tr w:rsidR="00CF2956" w:rsidRPr="00CF2956" w14:paraId="69E33E03" w14:textId="77777777" w:rsidTr="00CF2956">
        <w:tc>
          <w:tcPr>
            <w:cnfStyle w:val="001000000000" w:firstRow="0" w:lastRow="0" w:firstColumn="1" w:lastColumn="0" w:oddVBand="0" w:evenVBand="0" w:oddHBand="0" w:evenHBand="0" w:firstRowFirstColumn="0" w:firstRowLastColumn="0" w:lastRowFirstColumn="0" w:lastRowLastColumn="0"/>
            <w:tcW w:w="4489" w:type="dxa"/>
            <w:vAlign w:val="center"/>
          </w:tcPr>
          <w:p w14:paraId="34BD013E" w14:textId="77777777" w:rsidR="00CF2956" w:rsidRPr="00CF2956" w:rsidRDefault="00CF2956" w:rsidP="00CF2956">
            <w:pPr>
              <w:rPr>
                <w:rFonts w:ascii="Times New Roman" w:hAnsi="Times New Roman" w:cs="Times New Roman"/>
                <w:b w:val="0"/>
                <w:sz w:val="20"/>
                <w:szCs w:val="20"/>
              </w:rPr>
            </w:pPr>
            <w:r w:rsidRPr="00CF2956">
              <w:rPr>
                <w:rFonts w:ascii="Times New Roman" w:hAnsi="Times New Roman" w:cs="Times New Roman"/>
                <w:b w:val="0"/>
                <w:sz w:val="20"/>
                <w:szCs w:val="20"/>
              </w:rPr>
              <w:t>Compilación y síntesis de resultados del proyecto “Diseño del Marco Referencial para la Implementación de la Estrategia Fiscal Ambiental” del Ministerio de Finanzas Públicas.</w:t>
            </w:r>
          </w:p>
        </w:tc>
        <w:tc>
          <w:tcPr>
            <w:tcW w:w="4833" w:type="dxa"/>
          </w:tcPr>
          <w:p w14:paraId="51E56F14" w14:textId="1F6BB893" w:rsidR="00CF2956" w:rsidRPr="00CF2956" w:rsidRDefault="00CF2956" w:rsidP="004A467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2956">
              <w:rPr>
                <w:rFonts w:ascii="Times New Roman" w:hAnsi="Times New Roman" w:cs="Times New Roman"/>
                <w:sz w:val="20"/>
                <w:szCs w:val="20"/>
              </w:rPr>
              <w:t xml:space="preserve">Contar con un documento que sistematice los resultados más relevantes del proyecto con la GIZ así como resaltar la importancia de la implementación de las acciones dentro de la EFA como una herramienta de socialización interna y externa. </w:t>
            </w:r>
          </w:p>
        </w:tc>
      </w:tr>
      <w:tr w:rsidR="00CF2956" w:rsidRPr="00CF2956" w14:paraId="14921097" w14:textId="77777777" w:rsidTr="00CF2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vAlign w:val="center"/>
          </w:tcPr>
          <w:p w14:paraId="4DCEDA92" w14:textId="77777777" w:rsidR="00CF2956" w:rsidRPr="00CF2956" w:rsidRDefault="00CF2956" w:rsidP="00CF2956">
            <w:pPr>
              <w:rPr>
                <w:rFonts w:ascii="Times New Roman" w:hAnsi="Times New Roman" w:cs="Times New Roman"/>
                <w:b w:val="0"/>
                <w:sz w:val="20"/>
                <w:szCs w:val="20"/>
              </w:rPr>
            </w:pPr>
            <w:r w:rsidRPr="00CF2956">
              <w:rPr>
                <w:rFonts w:ascii="Times New Roman" w:hAnsi="Times New Roman" w:cs="Times New Roman"/>
                <w:b w:val="0"/>
                <w:sz w:val="20"/>
                <w:szCs w:val="20"/>
              </w:rPr>
              <w:t>Propuesta para la consolidación de una Política Fiscal con lineamientos ambientales dentro del marco de la Estrategia Fiscal Ambiental del Ministerio de Finanzas Públicas.</w:t>
            </w:r>
          </w:p>
        </w:tc>
        <w:tc>
          <w:tcPr>
            <w:tcW w:w="4833" w:type="dxa"/>
          </w:tcPr>
          <w:p w14:paraId="13A3F8F2" w14:textId="77777777" w:rsidR="00CF2956" w:rsidRPr="00CF2956" w:rsidRDefault="00CF2956" w:rsidP="004A46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F2956">
              <w:rPr>
                <w:rFonts w:ascii="Times New Roman" w:hAnsi="Times New Roman" w:cs="Times New Roman"/>
                <w:sz w:val="20"/>
                <w:szCs w:val="20"/>
              </w:rPr>
              <w:t>Contar con una propuesta de Política Fiscal con lineamientos ambientales que permita  implementar acciones tendentes a alcanzar los objetivos de desarrollo planteados en los Instrumentos Nacionales de Planificación, entre ellos: Plan Nacional de Desarrollo; Política General de Gobierno, Plan de Acción Nacional de Cambio Climático y los Planes Estratégicos Institucionales vinculados; Así como responder a los compromisos adquiridos por el país en Convenios Internacionales como la Agenda 2030 y sus Objetivos de Desarrollo Sostenible; El Acuerdo de París sobre cambio climático, el Convenio sobre la Diversidad Biológica; el Marco de Sendai para la Reducción del Riesgo de Desastres 2015-2030, entre otros.</w:t>
            </w:r>
          </w:p>
        </w:tc>
      </w:tr>
      <w:tr w:rsidR="00CF2956" w:rsidRPr="00CF2956" w14:paraId="6D3EABCC" w14:textId="77777777" w:rsidTr="00CF2956">
        <w:tc>
          <w:tcPr>
            <w:cnfStyle w:val="001000000000" w:firstRow="0" w:lastRow="0" w:firstColumn="1" w:lastColumn="0" w:oddVBand="0" w:evenVBand="0" w:oddHBand="0" w:evenHBand="0" w:firstRowFirstColumn="0" w:firstRowLastColumn="0" w:lastRowFirstColumn="0" w:lastRowLastColumn="0"/>
            <w:tcW w:w="4489" w:type="dxa"/>
            <w:vAlign w:val="center"/>
          </w:tcPr>
          <w:p w14:paraId="42933EEE" w14:textId="77777777" w:rsidR="00CF2956" w:rsidRPr="00CF2956" w:rsidRDefault="00CF2956" w:rsidP="00CF2956">
            <w:pPr>
              <w:rPr>
                <w:rFonts w:ascii="Times New Roman" w:hAnsi="Times New Roman" w:cs="Times New Roman"/>
                <w:b w:val="0"/>
                <w:sz w:val="20"/>
                <w:szCs w:val="20"/>
              </w:rPr>
            </w:pPr>
            <w:r w:rsidRPr="00CF2956">
              <w:rPr>
                <w:rFonts w:ascii="Times New Roman" w:hAnsi="Times New Roman" w:cs="Times New Roman"/>
                <w:b w:val="0"/>
                <w:sz w:val="20"/>
                <w:szCs w:val="20"/>
              </w:rPr>
              <w:t xml:space="preserve">Evento de cierre del proyecto “ Diseño del marco referencial para la implementación de la Estrategia Fiscal Ambiental” </w:t>
            </w:r>
          </w:p>
        </w:tc>
        <w:tc>
          <w:tcPr>
            <w:tcW w:w="4833" w:type="dxa"/>
          </w:tcPr>
          <w:p w14:paraId="25E214A4" w14:textId="77777777" w:rsidR="00CF2956" w:rsidRPr="00CF2956" w:rsidRDefault="00CF2956" w:rsidP="004A467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2956">
              <w:rPr>
                <w:rFonts w:ascii="Times New Roman" w:hAnsi="Times New Roman" w:cs="Times New Roman"/>
                <w:sz w:val="20"/>
                <w:szCs w:val="20"/>
              </w:rPr>
              <w:t xml:space="preserve">Promover las acciones y resultados obtenidos del proyecto con la GIZ y el Fondo de Reformas Estructurales con el objetivo de coordinar acciones conjuntas interinstitucionales y con cooperación para el cumplimiento de los objetivos de la EFA  </w:t>
            </w:r>
          </w:p>
        </w:tc>
      </w:tr>
    </w:tbl>
    <w:p w14:paraId="3B116695" w14:textId="77777777" w:rsidR="00CF2956" w:rsidRPr="00716A19" w:rsidRDefault="00CF2956" w:rsidP="00CF2956">
      <w:pPr>
        <w:keepNext/>
        <w:spacing w:after="120" w:line="240" w:lineRule="auto"/>
        <w:rPr>
          <w:rFonts w:ascii="Times New Roman" w:hAnsi="Times New Roman" w:cs="Times New Roman"/>
          <w:bCs/>
          <w:iCs/>
          <w:sz w:val="16"/>
          <w:szCs w:val="16"/>
        </w:rPr>
      </w:pPr>
      <w:r w:rsidRPr="00716A19">
        <w:rPr>
          <w:rFonts w:ascii="Times New Roman" w:hAnsi="Times New Roman" w:cs="Times New Roman"/>
          <w:bCs/>
          <w:iCs/>
          <w:sz w:val="16"/>
          <w:szCs w:val="16"/>
        </w:rPr>
        <w:t>Fuente: Dirección de Análisis y Política y Fiscal</w:t>
      </w:r>
    </w:p>
    <w:p w14:paraId="18382482" w14:textId="77777777" w:rsidR="00CF2956" w:rsidRPr="00CF2956" w:rsidRDefault="00CF2956" w:rsidP="00CF2956">
      <w:pPr>
        <w:jc w:val="center"/>
        <w:rPr>
          <w:rFonts w:ascii="Times New Roman" w:hAnsi="Times New Roman" w:cs="Times New Roman"/>
          <w:b/>
          <w:sz w:val="6"/>
        </w:rPr>
      </w:pPr>
    </w:p>
    <w:p w14:paraId="0C3DD32A" w14:textId="08A05F83" w:rsidR="00CF2956" w:rsidRPr="00360DA3" w:rsidRDefault="00CF2956" w:rsidP="00360DA3">
      <w:pPr>
        <w:jc w:val="center"/>
        <w:rPr>
          <w:rFonts w:ascii="Times New Roman" w:hAnsi="Times New Roman" w:cs="Times New Roman"/>
          <w:b/>
          <w:sz w:val="20"/>
        </w:rPr>
      </w:pPr>
      <w:r w:rsidRPr="00360DA3">
        <w:rPr>
          <w:rFonts w:ascii="Times New Roman" w:hAnsi="Times New Roman" w:cs="Times New Roman"/>
          <w:b/>
          <w:sz w:val="20"/>
        </w:rPr>
        <w:t>La Estrategia Fiscal Ambiental en el mediano plazo (2022-2026)</w:t>
      </w:r>
    </w:p>
    <w:p w14:paraId="10D76922" w14:textId="77777777" w:rsidR="00360DA3" w:rsidRDefault="00360DA3" w:rsidP="00360DA3">
      <w:pPr>
        <w:spacing w:after="0" w:line="240" w:lineRule="auto"/>
        <w:jc w:val="both"/>
        <w:rPr>
          <w:rFonts w:ascii="Times New Roman" w:hAnsi="Times New Roman" w:cs="Times New Roman"/>
          <w:sz w:val="20"/>
        </w:rPr>
      </w:pPr>
    </w:p>
    <w:p w14:paraId="3ADAAB5B" w14:textId="41B67C9D" w:rsidR="00CF2956" w:rsidRPr="00CF2956" w:rsidRDefault="00CF2956" w:rsidP="00CF2956">
      <w:pPr>
        <w:jc w:val="both"/>
        <w:rPr>
          <w:rFonts w:ascii="Times New Roman" w:hAnsi="Times New Roman" w:cs="Times New Roman"/>
          <w:sz w:val="20"/>
        </w:rPr>
      </w:pPr>
      <w:r w:rsidRPr="00CF2956">
        <w:rPr>
          <w:rFonts w:ascii="Times New Roman" w:hAnsi="Times New Roman" w:cs="Times New Roman"/>
          <w:sz w:val="20"/>
        </w:rPr>
        <w:t>Con los resultados obtenidos de las doce consultorías del Fondo de Reformas Estructurales de la GIZ y la formulación tanto de la propuesta de la consolidación de una Política Fiscal con lineamientos ambientales como del documento de sistematización de resultados se pretende contar par</w:t>
      </w:r>
      <w:r w:rsidR="001F414A">
        <w:rPr>
          <w:rFonts w:ascii="Times New Roman" w:hAnsi="Times New Roman" w:cs="Times New Roman"/>
          <w:sz w:val="20"/>
        </w:rPr>
        <w:t>a el año 2021 con el primer</w:t>
      </w:r>
      <w:r w:rsidRPr="00CF2956">
        <w:rPr>
          <w:rFonts w:ascii="Times New Roman" w:hAnsi="Times New Roman" w:cs="Times New Roman"/>
          <w:sz w:val="20"/>
        </w:rPr>
        <w:t xml:space="preserve"> borrador consensuado con las Direcciones que forman parte de la Mesa Interna de la Estrategia Fiscal Ambiental de la propuesta de política fiscal con lineamientos ambientales y la matriz de acciones y responsables para ser presentada a las autoridades y ser implementada en un mediado plazo dentro de la EFA. Para esto se busca complementar estas acciones a una escala mayor mediante la implementación de la “Alianza para la Acción sobre la Economía Verde” PAGE por sus siglas en ingles. </w:t>
      </w:r>
    </w:p>
    <w:p w14:paraId="71EC8544" w14:textId="50324D20" w:rsidR="00CF2956" w:rsidRPr="00CF2956" w:rsidRDefault="00CF2956" w:rsidP="00CF2956">
      <w:pPr>
        <w:jc w:val="both"/>
        <w:rPr>
          <w:rFonts w:ascii="Times New Roman" w:hAnsi="Times New Roman" w:cs="Times New Roman"/>
          <w:sz w:val="20"/>
        </w:rPr>
      </w:pPr>
      <w:r w:rsidRPr="00CF2956">
        <w:rPr>
          <w:rFonts w:ascii="Times New Roman" w:hAnsi="Times New Roman" w:cs="Times New Roman"/>
          <w:sz w:val="20"/>
        </w:rPr>
        <w:t>Dentro de los avances PAGE se encuentra la aprobación favorable por parte de la Secretaria de Planificación y Programación de la Presidencia –SEGEPLAN- al proyecto “Asistencia Técnica para la transición hacia una economía verde en Guatemala a través de políticas fiscales y económicas verdes” por un plazo de 36 meses en donde se trabajará de forma conjunta con el Ministerio de Ambiente y Recursos naturales, como rector del tema ambiental y cambio climático en Guatemala para la implementación de la Política Nacional de Cambio Climático, Ley Marco de Cambio Climático, el Plan de Acción Nacional de Cambio Climático y  la Estrategia Nacional de Desarrollo con Bajas  Emisiones de GEI y el Ministerio de Economía, como la contraparte rectora del Plan para la Recuperación Económica de Guatemala, permitiendo recuperar y generar nuevos empleos, atraer más inversiones estratégicas y el fomento del consumo de bienes y servicios guatemaltecos.</w:t>
      </w:r>
    </w:p>
    <w:p w14:paraId="19C17F49" w14:textId="4FFFDDC5" w:rsidR="00CF2956" w:rsidRPr="00CF2956" w:rsidRDefault="00CF2956" w:rsidP="00CF2956">
      <w:pPr>
        <w:jc w:val="both"/>
        <w:rPr>
          <w:rFonts w:ascii="Times New Roman" w:hAnsi="Times New Roman" w:cs="Times New Roman"/>
          <w:sz w:val="20"/>
        </w:rPr>
      </w:pPr>
      <w:r w:rsidRPr="00CF2956">
        <w:rPr>
          <w:rFonts w:ascii="Times New Roman" w:hAnsi="Times New Roman" w:cs="Times New Roman"/>
          <w:sz w:val="20"/>
        </w:rPr>
        <w:t>Actualmente ya se cuenta con el Plan Operativo 2021-2022 el cual se irá actualizando de acuerdo a los resultados obtenidos y necesidades de cada Ministerio. Dicho proyecto tiene como objetivo fomentar la prosperidad a largo plazo y el crecimiento económico de Guatemala, inspirando, informando y facilitando la orientación de las políticas fiscales y económicas de Guatemala hacia la sostenibilidad, generando ingresos y empleos, reduciendo la pobreza y la desigualdad y fortaleciendo las bases ecológicas de la economía.</w:t>
      </w:r>
    </w:p>
    <w:p w14:paraId="2F3CD77B" w14:textId="77777777" w:rsidR="00CF2956" w:rsidRPr="00CF2956" w:rsidRDefault="00CF2956" w:rsidP="00CF2956">
      <w:pPr>
        <w:jc w:val="both"/>
        <w:rPr>
          <w:rFonts w:ascii="Times New Roman" w:hAnsi="Times New Roman" w:cs="Times New Roman"/>
          <w:sz w:val="20"/>
        </w:rPr>
      </w:pPr>
      <w:r w:rsidRPr="00CF2956">
        <w:rPr>
          <w:rFonts w:ascii="Times New Roman" w:hAnsi="Times New Roman" w:cs="Times New Roman"/>
          <w:sz w:val="20"/>
        </w:rPr>
        <w:t>Es importante señalar que con la Estrategia Fiscal Ambiental -EFA-, el Ministerio de Finanzas Públicas tiene el papel de entidad articuladora para que, en materia de fiscalidad ambiental, se pueda apoyar a otras entidades del sector público y privado, en un contexto integral.</w:t>
      </w:r>
    </w:p>
    <w:p w14:paraId="4C2359DB" w14:textId="77777777" w:rsidR="00CF2956" w:rsidRPr="00CF2956" w:rsidRDefault="00CF2956" w:rsidP="00CF2956">
      <w:pPr>
        <w:jc w:val="both"/>
        <w:rPr>
          <w:rFonts w:ascii="Times New Roman" w:hAnsi="Times New Roman" w:cs="Times New Roman"/>
          <w:sz w:val="20"/>
        </w:rPr>
      </w:pPr>
      <w:r w:rsidRPr="00CF2956">
        <w:rPr>
          <w:rFonts w:ascii="Times New Roman" w:hAnsi="Times New Roman" w:cs="Times New Roman"/>
          <w:sz w:val="20"/>
        </w:rPr>
        <w:t xml:space="preserve">En este sentido se prevé que a breve plazo se logre presentar las acciones priorizadas y responsables a la Mesa Interinstitucional de la EFA para coordinar las acciones conjuntas y establecer equipos de trabajo interinstitucional y también poder presentarlo a los Organismos Internacionales para poder contar con el apoyo estratégico en las áreas que se necesite.  </w:t>
      </w:r>
    </w:p>
    <w:p w14:paraId="033B0E0A" w14:textId="4652AB01" w:rsidR="00CF2956" w:rsidRPr="00CF2956" w:rsidRDefault="00CF2956" w:rsidP="00CF2956">
      <w:pPr>
        <w:jc w:val="both"/>
        <w:rPr>
          <w:rFonts w:ascii="Times New Roman" w:hAnsi="Times New Roman" w:cs="Times New Roman"/>
          <w:sz w:val="20"/>
        </w:rPr>
      </w:pPr>
      <w:r w:rsidRPr="00CF2956">
        <w:rPr>
          <w:rFonts w:ascii="Times New Roman" w:hAnsi="Times New Roman" w:cs="Times New Roman"/>
          <w:sz w:val="20"/>
        </w:rPr>
        <w:t>En este sentido, el objetivo inmediato para 2021-2022 será contar con las propuestas de acciones por eje estratégico para ser incorporadas dentro de la política fiscal con lineamientos ambientales para que las mismas se concreten como iniciativas, programas y/o proyectos.</w:t>
      </w:r>
    </w:p>
    <w:p w14:paraId="0B964331" w14:textId="606F97E3" w:rsidR="00CF2956" w:rsidRDefault="00CF2956" w:rsidP="00CF2956">
      <w:pPr>
        <w:rPr>
          <w:rFonts w:ascii="Times New Roman" w:hAnsi="Times New Roman" w:cs="Times New Roman"/>
          <w:sz w:val="20"/>
        </w:rPr>
      </w:pPr>
    </w:p>
    <w:p w14:paraId="3422DA0C" w14:textId="792DE033" w:rsidR="00CF2956" w:rsidRDefault="00CF2956" w:rsidP="00CF2956">
      <w:pPr>
        <w:rPr>
          <w:rFonts w:ascii="Times New Roman" w:hAnsi="Times New Roman" w:cs="Times New Roman"/>
          <w:sz w:val="20"/>
        </w:rPr>
      </w:pPr>
    </w:p>
    <w:p w14:paraId="1E9C7311" w14:textId="290588CA" w:rsidR="00CF2956" w:rsidRPr="00CF2956" w:rsidRDefault="00CF2956" w:rsidP="00CF2956">
      <w:pPr>
        <w:tabs>
          <w:tab w:val="left" w:pos="1440"/>
        </w:tabs>
        <w:jc w:val="center"/>
        <w:rPr>
          <w:rFonts w:ascii="Times New Roman" w:hAnsi="Times New Roman" w:cs="Times New Roman"/>
          <w:b/>
          <w:sz w:val="20"/>
        </w:rPr>
      </w:pPr>
      <w:r w:rsidRPr="002C64D5">
        <w:rPr>
          <w:rFonts w:ascii="Times New Roman" w:hAnsi="Times New Roman"/>
          <w:noProof/>
          <w:sz w:val="28"/>
          <w:szCs w:val="28"/>
          <w:lang w:val="es-ES" w:eastAsia="es-ES"/>
        </w:rPr>
        <w:drawing>
          <wp:anchor distT="0" distB="0" distL="114300" distR="114300" simplePos="0" relativeHeight="252001792" behindDoc="0" locked="0" layoutInCell="1" allowOverlap="1" wp14:anchorId="5D597AEA" wp14:editId="06A12901">
            <wp:simplePos x="0" y="0"/>
            <wp:positionH relativeFrom="column">
              <wp:posOffset>-537210</wp:posOffset>
            </wp:positionH>
            <wp:positionV relativeFrom="paragraph">
              <wp:posOffset>479964</wp:posOffset>
            </wp:positionV>
            <wp:extent cx="6663690" cy="3401695"/>
            <wp:effectExtent l="0" t="0" r="3810"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663690" cy="3401695"/>
                    </a:xfrm>
                    <a:prstGeom prst="rect">
                      <a:avLst/>
                    </a:prstGeom>
                    <a:noFill/>
                  </pic:spPr>
                </pic:pic>
              </a:graphicData>
            </a:graphic>
          </wp:anchor>
        </w:drawing>
      </w:r>
      <w:r w:rsidRPr="00CF2956">
        <w:rPr>
          <w:rFonts w:ascii="Times New Roman" w:hAnsi="Times New Roman" w:cs="Times New Roman"/>
          <w:b/>
          <w:sz w:val="20"/>
        </w:rPr>
        <w:t>Tabla Priorización de las opciones a implementar por eje estratégico dentro del marco de la Estrategia Fiscal Ambiental (EFA)</w:t>
      </w:r>
    </w:p>
    <w:p w14:paraId="72F7097D" w14:textId="7B96BCB7" w:rsidR="00CF2956" w:rsidRDefault="00CF2956" w:rsidP="00CF2956"/>
    <w:p w14:paraId="5414B9F9" w14:textId="77777777" w:rsidR="00E05238" w:rsidRPr="00CB119B" w:rsidRDefault="00E05238" w:rsidP="00E05238">
      <w:pPr>
        <w:spacing w:after="0" w:line="240" w:lineRule="auto"/>
        <w:jc w:val="both"/>
        <w:rPr>
          <w:rFonts w:ascii="Times New Roman" w:hAnsi="Times New Roman" w:cs="Times New Roman"/>
        </w:rPr>
      </w:pPr>
    </w:p>
    <w:p w14:paraId="60D2C592" w14:textId="77777777" w:rsidR="00B71566" w:rsidRPr="002C64D5" w:rsidRDefault="00B71566" w:rsidP="00CF2956"/>
    <w:p w14:paraId="7AECD122" w14:textId="504CAFEA" w:rsidR="00880FC6" w:rsidRPr="004133EB" w:rsidRDefault="00880FC6" w:rsidP="00CF2956">
      <w:pPr>
        <w:rPr>
          <w:rFonts w:ascii="Times New Roman" w:hAnsi="Times New Roman" w:cs="Times New Roman"/>
          <w:b/>
          <w:vanish/>
        </w:rPr>
      </w:pPr>
    </w:p>
    <w:p w14:paraId="6A200780" w14:textId="77777777" w:rsidR="00880FC6" w:rsidRPr="004133EB" w:rsidRDefault="00880FC6" w:rsidP="001032E7">
      <w:pPr>
        <w:pStyle w:val="Prrafodelista"/>
        <w:numPr>
          <w:ilvl w:val="1"/>
          <w:numId w:val="8"/>
        </w:numPr>
        <w:spacing w:after="0"/>
        <w:rPr>
          <w:rFonts w:ascii="Times New Roman" w:hAnsi="Times New Roman" w:cs="Times New Roman"/>
          <w:b/>
          <w:vanish/>
        </w:rPr>
      </w:pPr>
    </w:p>
    <w:p w14:paraId="69CCA6F8" w14:textId="77777777" w:rsidR="00880FC6" w:rsidRPr="004133EB" w:rsidRDefault="00880FC6" w:rsidP="001032E7">
      <w:pPr>
        <w:pStyle w:val="Prrafodelista"/>
        <w:numPr>
          <w:ilvl w:val="1"/>
          <w:numId w:val="8"/>
        </w:numPr>
        <w:spacing w:after="0"/>
        <w:rPr>
          <w:rFonts w:ascii="Times New Roman" w:hAnsi="Times New Roman" w:cs="Times New Roman"/>
          <w:b/>
          <w:vanish/>
        </w:rPr>
      </w:pPr>
    </w:p>
    <w:p w14:paraId="6B2E6064" w14:textId="77777777" w:rsidR="00880FC6" w:rsidRPr="004133EB" w:rsidRDefault="00880FC6" w:rsidP="001032E7">
      <w:pPr>
        <w:pStyle w:val="Prrafodelista"/>
        <w:numPr>
          <w:ilvl w:val="1"/>
          <w:numId w:val="8"/>
        </w:numPr>
        <w:spacing w:after="0"/>
        <w:rPr>
          <w:rFonts w:ascii="Times New Roman" w:hAnsi="Times New Roman" w:cs="Times New Roman"/>
          <w:b/>
          <w:vanish/>
        </w:rPr>
      </w:pPr>
    </w:p>
    <w:p w14:paraId="6D34D689" w14:textId="77777777" w:rsidR="00880FC6" w:rsidRPr="004133EB" w:rsidRDefault="00880FC6" w:rsidP="001032E7">
      <w:pPr>
        <w:pStyle w:val="Prrafodelista"/>
        <w:numPr>
          <w:ilvl w:val="2"/>
          <w:numId w:val="8"/>
        </w:numPr>
        <w:spacing w:after="0"/>
        <w:rPr>
          <w:rFonts w:ascii="Times New Roman" w:hAnsi="Times New Roman" w:cs="Times New Roman"/>
          <w:b/>
          <w:vanish/>
        </w:rPr>
      </w:pPr>
    </w:p>
    <w:p w14:paraId="1F172980" w14:textId="77777777" w:rsidR="00880FC6" w:rsidRPr="004133EB" w:rsidRDefault="00880FC6" w:rsidP="001032E7">
      <w:pPr>
        <w:pStyle w:val="Prrafodelista"/>
        <w:numPr>
          <w:ilvl w:val="2"/>
          <w:numId w:val="8"/>
        </w:numPr>
        <w:spacing w:after="0"/>
        <w:rPr>
          <w:rFonts w:ascii="Times New Roman" w:hAnsi="Times New Roman" w:cs="Times New Roman"/>
          <w:b/>
          <w:vanish/>
        </w:rPr>
      </w:pPr>
    </w:p>
    <w:p w14:paraId="569FE459" w14:textId="77777777" w:rsidR="00880FC6" w:rsidRPr="004133EB" w:rsidRDefault="00880FC6" w:rsidP="001032E7">
      <w:pPr>
        <w:pStyle w:val="Prrafodelista"/>
        <w:numPr>
          <w:ilvl w:val="3"/>
          <w:numId w:val="8"/>
        </w:numPr>
        <w:spacing w:after="0"/>
        <w:rPr>
          <w:rFonts w:ascii="Times New Roman" w:hAnsi="Times New Roman" w:cs="Times New Roman"/>
          <w:b/>
          <w:vanish/>
        </w:rPr>
      </w:pPr>
    </w:p>
    <w:p w14:paraId="4F0803CC" w14:textId="77777777" w:rsidR="00880FC6" w:rsidRPr="004133EB" w:rsidRDefault="00880FC6" w:rsidP="001032E7">
      <w:pPr>
        <w:pStyle w:val="Prrafodelista"/>
        <w:numPr>
          <w:ilvl w:val="3"/>
          <w:numId w:val="8"/>
        </w:numPr>
        <w:spacing w:after="0"/>
        <w:rPr>
          <w:rFonts w:ascii="Times New Roman" w:hAnsi="Times New Roman" w:cs="Times New Roman"/>
          <w:b/>
          <w:vanish/>
        </w:rPr>
      </w:pPr>
    </w:p>
    <w:sectPr w:rsidR="00880FC6" w:rsidRPr="004133EB" w:rsidSect="006E576B">
      <w:headerReference w:type="default" r:id="rId133"/>
      <w:footerReference w:type="default" r:id="rId134"/>
      <w:footerReference w:type="first" r:id="rId135"/>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0D7D04" w14:textId="77777777" w:rsidR="006D2997" w:rsidRDefault="006D2997" w:rsidP="00C54247">
      <w:pPr>
        <w:spacing w:after="0" w:line="240" w:lineRule="auto"/>
      </w:pPr>
      <w:r>
        <w:separator/>
      </w:r>
    </w:p>
  </w:endnote>
  <w:endnote w:type="continuationSeparator" w:id="0">
    <w:p w14:paraId="4B157B9F" w14:textId="77777777" w:rsidR="006D2997" w:rsidRDefault="006D2997" w:rsidP="00C54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es-ES"/>
      </w:rPr>
      <w:id w:val="-1766996979"/>
      <w:docPartObj>
        <w:docPartGallery w:val="Page Numbers (Bottom of Page)"/>
        <w:docPartUnique/>
      </w:docPartObj>
    </w:sdtPr>
    <w:sdtEndPr>
      <w:rPr>
        <w:rFonts w:ascii="Times New Roman" w:hAnsi="Times New Roman" w:cs="Times New Roman"/>
        <w:sz w:val="16"/>
        <w:szCs w:val="16"/>
        <w:lang w:val="es-GT"/>
      </w:rPr>
    </w:sdtEndPr>
    <w:sdtContent>
      <w:p w14:paraId="78997467" w14:textId="1D42B0C7" w:rsidR="00A36CEB" w:rsidRPr="00DC1ECD" w:rsidRDefault="00A36CEB">
        <w:pPr>
          <w:pStyle w:val="Piedepgina"/>
          <w:jc w:val="right"/>
          <w:rPr>
            <w:rFonts w:ascii="Times New Roman" w:eastAsiaTheme="majorEastAsia" w:hAnsi="Times New Roman" w:cs="Times New Roman"/>
            <w:sz w:val="16"/>
            <w:szCs w:val="16"/>
          </w:rPr>
        </w:pPr>
        <w:r w:rsidRPr="00155114">
          <w:rPr>
            <w:rFonts w:ascii="Times New Roman" w:eastAsiaTheme="majorEastAsia" w:hAnsi="Times New Roman" w:cs="Times New Roman"/>
            <w:b/>
            <w:color w:val="1F4E79" w:themeColor="accent1" w:themeShade="80"/>
            <w:sz w:val="16"/>
            <w:szCs w:val="16"/>
            <w:lang w:val="es-ES"/>
          </w:rPr>
          <w:t xml:space="preserve">pág. </w:t>
        </w:r>
        <w:r w:rsidRPr="00155114">
          <w:rPr>
            <w:rFonts w:ascii="Times New Roman" w:eastAsiaTheme="minorEastAsia" w:hAnsi="Times New Roman" w:cs="Times New Roman"/>
            <w:b/>
            <w:color w:val="1F4E79" w:themeColor="accent1" w:themeShade="80"/>
            <w:sz w:val="16"/>
            <w:szCs w:val="16"/>
          </w:rPr>
          <w:fldChar w:fldCharType="begin"/>
        </w:r>
        <w:r w:rsidRPr="00155114">
          <w:rPr>
            <w:rFonts w:ascii="Times New Roman" w:hAnsi="Times New Roman" w:cs="Times New Roman"/>
            <w:b/>
            <w:color w:val="1F4E79" w:themeColor="accent1" w:themeShade="80"/>
            <w:sz w:val="16"/>
            <w:szCs w:val="16"/>
          </w:rPr>
          <w:instrText>PAGE    \* MERGEFORMAT</w:instrText>
        </w:r>
        <w:r w:rsidRPr="00155114">
          <w:rPr>
            <w:rFonts w:ascii="Times New Roman" w:eastAsiaTheme="minorEastAsia" w:hAnsi="Times New Roman" w:cs="Times New Roman"/>
            <w:b/>
            <w:color w:val="1F4E79" w:themeColor="accent1" w:themeShade="80"/>
            <w:sz w:val="16"/>
            <w:szCs w:val="16"/>
          </w:rPr>
          <w:fldChar w:fldCharType="separate"/>
        </w:r>
        <w:r w:rsidR="00B45C33" w:rsidRPr="00B45C33">
          <w:rPr>
            <w:rFonts w:ascii="Times New Roman" w:eastAsiaTheme="majorEastAsia" w:hAnsi="Times New Roman" w:cs="Times New Roman"/>
            <w:b/>
            <w:noProof/>
            <w:color w:val="1F4E79" w:themeColor="accent1" w:themeShade="80"/>
            <w:sz w:val="16"/>
            <w:szCs w:val="16"/>
            <w:lang w:val="es-ES"/>
          </w:rPr>
          <w:t>8</w:t>
        </w:r>
        <w:r w:rsidRPr="00155114">
          <w:rPr>
            <w:rFonts w:ascii="Times New Roman" w:eastAsiaTheme="majorEastAsia" w:hAnsi="Times New Roman" w:cs="Times New Roman"/>
            <w:b/>
            <w:color w:val="1F4E79" w:themeColor="accent1" w:themeShade="80"/>
            <w:sz w:val="16"/>
            <w:szCs w:val="16"/>
          </w:rPr>
          <w:fldChar w:fldCharType="end"/>
        </w:r>
      </w:p>
    </w:sdtContent>
  </w:sdt>
  <w:p w14:paraId="32139160" w14:textId="77777777" w:rsidR="00A36CEB" w:rsidRDefault="00A36C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34EDD" w14:textId="77777777" w:rsidR="00A36CEB" w:rsidRDefault="00A36CEB" w:rsidP="00DC1ECD">
    <w:pPr>
      <w:pStyle w:val="Piedepgin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es-ES"/>
      </w:rPr>
      <w:id w:val="1267278331"/>
      <w:docPartObj>
        <w:docPartGallery w:val="Page Numbers (Bottom of Page)"/>
        <w:docPartUnique/>
      </w:docPartObj>
    </w:sdtPr>
    <w:sdtEndPr>
      <w:rPr>
        <w:rFonts w:ascii="Times New Roman" w:hAnsi="Times New Roman" w:cs="Times New Roman"/>
        <w:sz w:val="16"/>
        <w:szCs w:val="16"/>
        <w:lang w:val="es-GT"/>
      </w:rPr>
    </w:sdtEndPr>
    <w:sdtContent>
      <w:p w14:paraId="012ECFFC" w14:textId="197DF908" w:rsidR="00A36CEB" w:rsidRPr="00DC1ECD" w:rsidRDefault="00A36CEB">
        <w:pPr>
          <w:pStyle w:val="Piedepgina"/>
          <w:jc w:val="right"/>
          <w:rPr>
            <w:rFonts w:ascii="Times New Roman" w:eastAsiaTheme="majorEastAsia" w:hAnsi="Times New Roman" w:cs="Times New Roman"/>
            <w:sz w:val="16"/>
            <w:szCs w:val="16"/>
          </w:rPr>
        </w:pPr>
        <w:r w:rsidRPr="00155114">
          <w:rPr>
            <w:rFonts w:ascii="Times New Roman" w:eastAsiaTheme="majorEastAsia" w:hAnsi="Times New Roman" w:cs="Times New Roman"/>
            <w:b/>
            <w:color w:val="1F4E79" w:themeColor="accent1" w:themeShade="80"/>
            <w:sz w:val="16"/>
            <w:szCs w:val="16"/>
            <w:lang w:val="es-ES"/>
          </w:rPr>
          <w:t xml:space="preserve">pág. </w:t>
        </w:r>
        <w:r w:rsidRPr="00155114">
          <w:rPr>
            <w:rFonts w:ascii="Times New Roman" w:eastAsiaTheme="minorEastAsia" w:hAnsi="Times New Roman" w:cs="Times New Roman"/>
            <w:b/>
            <w:color w:val="1F4E79" w:themeColor="accent1" w:themeShade="80"/>
            <w:sz w:val="16"/>
            <w:szCs w:val="16"/>
          </w:rPr>
          <w:fldChar w:fldCharType="begin"/>
        </w:r>
        <w:r w:rsidRPr="00155114">
          <w:rPr>
            <w:rFonts w:ascii="Times New Roman" w:hAnsi="Times New Roman" w:cs="Times New Roman"/>
            <w:b/>
            <w:color w:val="1F4E79" w:themeColor="accent1" w:themeShade="80"/>
            <w:sz w:val="16"/>
            <w:szCs w:val="16"/>
          </w:rPr>
          <w:instrText>PAGE    \* MERGEFORMAT</w:instrText>
        </w:r>
        <w:r w:rsidRPr="00155114">
          <w:rPr>
            <w:rFonts w:ascii="Times New Roman" w:eastAsiaTheme="minorEastAsia" w:hAnsi="Times New Roman" w:cs="Times New Roman"/>
            <w:b/>
            <w:color w:val="1F4E79" w:themeColor="accent1" w:themeShade="80"/>
            <w:sz w:val="16"/>
            <w:szCs w:val="16"/>
          </w:rPr>
          <w:fldChar w:fldCharType="separate"/>
        </w:r>
        <w:r w:rsidR="00CF5EF6" w:rsidRPr="00CF5EF6">
          <w:rPr>
            <w:rFonts w:ascii="Times New Roman" w:eastAsiaTheme="majorEastAsia" w:hAnsi="Times New Roman" w:cs="Times New Roman"/>
            <w:b/>
            <w:noProof/>
            <w:color w:val="1F4E79" w:themeColor="accent1" w:themeShade="80"/>
            <w:sz w:val="16"/>
            <w:szCs w:val="16"/>
            <w:lang w:val="es-ES"/>
          </w:rPr>
          <w:t>156</w:t>
        </w:r>
        <w:r w:rsidRPr="00155114">
          <w:rPr>
            <w:rFonts w:ascii="Times New Roman" w:eastAsiaTheme="majorEastAsia" w:hAnsi="Times New Roman" w:cs="Times New Roman"/>
            <w:b/>
            <w:color w:val="1F4E79" w:themeColor="accent1" w:themeShade="80"/>
            <w:sz w:val="16"/>
            <w:szCs w:val="16"/>
          </w:rPr>
          <w:fldChar w:fldCharType="end"/>
        </w:r>
      </w:p>
    </w:sdtContent>
  </w:sdt>
  <w:p w14:paraId="7BED9603" w14:textId="77777777" w:rsidR="00A36CEB" w:rsidRDefault="00A36CEB">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F1465" w14:textId="77777777" w:rsidR="00A36CEB" w:rsidRDefault="00A36CEB" w:rsidP="00DC1ECD">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4434F3" w14:textId="77777777" w:rsidR="006D2997" w:rsidRDefault="006D2997" w:rsidP="00C54247">
      <w:pPr>
        <w:spacing w:after="0" w:line="240" w:lineRule="auto"/>
      </w:pPr>
      <w:r>
        <w:separator/>
      </w:r>
    </w:p>
  </w:footnote>
  <w:footnote w:type="continuationSeparator" w:id="0">
    <w:p w14:paraId="1C0EE5F7" w14:textId="77777777" w:rsidR="006D2997" w:rsidRDefault="006D2997" w:rsidP="00C54247">
      <w:pPr>
        <w:spacing w:after="0" w:line="240" w:lineRule="auto"/>
      </w:pPr>
      <w:r>
        <w:continuationSeparator/>
      </w:r>
    </w:p>
  </w:footnote>
  <w:footnote w:id="1">
    <w:p w14:paraId="617821ED" w14:textId="77777777" w:rsidR="00A36CEB" w:rsidRPr="000B0937" w:rsidRDefault="00A36CEB" w:rsidP="00322670">
      <w:pPr>
        <w:pStyle w:val="Textonotapie"/>
        <w:rPr>
          <w:rFonts w:ascii="Times New Roman" w:hAnsi="Times New Roman" w:cs="Times New Roman"/>
        </w:rPr>
      </w:pPr>
      <w:r w:rsidRPr="000B0937">
        <w:rPr>
          <w:rStyle w:val="Refdenotaalpie"/>
          <w:rFonts w:ascii="Times New Roman" w:hAnsi="Times New Roman" w:cs="Times New Roman"/>
        </w:rPr>
        <w:footnoteRef/>
      </w:r>
      <w:r w:rsidRPr="000B0937">
        <w:rPr>
          <w:rFonts w:ascii="Times New Roman" w:hAnsi="Times New Roman" w:cs="Times New Roman"/>
        </w:rPr>
        <w:t xml:space="preserve"> Centroamérica con excepción de Belice.</w:t>
      </w:r>
    </w:p>
  </w:footnote>
  <w:footnote w:id="2">
    <w:p w14:paraId="58BA6E1E" w14:textId="77777777" w:rsidR="00A36CEB" w:rsidRPr="006F7D2F" w:rsidRDefault="00A36CEB" w:rsidP="00D67B50">
      <w:pPr>
        <w:pStyle w:val="Textonotapie"/>
        <w:rPr>
          <w:rFonts w:ascii="Times New Roman" w:hAnsi="Times New Roman" w:cs="Times New Roman"/>
        </w:rPr>
      </w:pPr>
      <w:r w:rsidRPr="00CD2940">
        <w:rPr>
          <w:rStyle w:val="Refdenotaalpie"/>
          <w:rFonts w:ascii="Times New Roman" w:hAnsi="Times New Roman" w:cs="Times New Roman"/>
          <w:sz w:val="16"/>
          <w:szCs w:val="18"/>
        </w:rPr>
        <w:footnoteRef/>
      </w:r>
      <w:r w:rsidRPr="00CD2940">
        <w:rPr>
          <w:rFonts w:ascii="Times New Roman" w:hAnsi="Times New Roman" w:cs="Times New Roman"/>
          <w:sz w:val="16"/>
          <w:szCs w:val="18"/>
        </w:rPr>
        <w:t xml:space="preserve"> El impuesto al valor agregado a las importaciones y los derechos arancelarios.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EE204" w14:textId="77777777" w:rsidR="00A36CEB" w:rsidRPr="00DC1ECD" w:rsidRDefault="00A36CEB" w:rsidP="00DC1ECD">
    <w:pPr>
      <w:pStyle w:val="Encabezado"/>
      <w:jc w:val="right"/>
      <w:rPr>
        <w:rFonts w:ascii="Times New Roman" w:hAnsi="Times New Roman" w:cs="Times New Roman"/>
        <w:b/>
        <w:color w:val="1F4E79" w:themeColor="accent1" w:themeShade="80"/>
      </w:rPr>
    </w:pPr>
    <w:r>
      <w:rPr>
        <w:rFonts w:ascii="Times New Roman" w:hAnsi="Times New Roman" w:cs="Times New Roman"/>
        <w:b/>
        <w:noProof/>
        <w:color w:val="5B9BD5" w:themeColor="accent1"/>
        <w:lang w:val="es-ES" w:eastAsia="es-ES"/>
      </w:rPr>
      <mc:AlternateContent>
        <mc:Choice Requires="wps">
          <w:drawing>
            <wp:anchor distT="0" distB="0" distL="114300" distR="114300" simplePos="0" relativeHeight="251661312" behindDoc="0" locked="0" layoutInCell="1" allowOverlap="1" wp14:anchorId="4A87DFB7" wp14:editId="599E4340">
              <wp:simplePos x="0" y="0"/>
              <wp:positionH relativeFrom="column">
                <wp:posOffset>-380420</wp:posOffset>
              </wp:positionH>
              <wp:positionV relativeFrom="paragraph">
                <wp:posOffset>193841</wp:posOffset>
              </wp:positionV>
              <wp:extent cx="7052807" cy="45719"/>
              <wp:effectExtent l="0" t="0" r="15240" b="12065"/>
              <wp:wrapNone/>
              <wp:docPr id="58" name="Rectángulo 58"/>
              <wp:cNvGraphicFramePr/>
              <a:graphic xmlns:a="http://schemas.openxmlformats.org/drawingml/2006/main">
                <a:graphicData uri="http://schemas.microsoft.com/office/word/2010/wordprocessingShape">
                  <wps:wsp>
                    <wps:cNvSpPr/>
                    <wps:spPr>
                      <a:xfrm>
                        <a:off x="0" y="0"/>
                        <a:ext cx="7052807"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rect w14:anchorId="2866A346" id="Rectángulo 58" o:spid="_x0000_s1026" style="position:absolute;margin-left:-29.95pt;margin-top:15.25pt;width:555.35pt;height:3.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" fillcolor="#5b9bd5 [3204]" strokecolor="#1f4d78 [1604]" strokeweight="1pt"/>
          </w:pict>
        </mc:Fallback>
      </mc:AlternateContent>
    </w:r>
    <w:r w:rsidRPr="00DC1ECD">
      <w:rPr>
        <w:rFonts w:ascii="Times New Roman" w:hAnsi="Times New Roman" w:cs="Times New Roman"/>
        <w:b/>
        <w:color w:val="1F4E79" w:themeColor="accent1" w:themeShade="80"/>
      </w:rPr>
      <w:t>Marco Fiscal de Mediano Plazo 2022-2026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6B808" w14:textId="77777777" w:rsidR="00A36CEB" w:rsidRPr="00DC1ECD" w:rsidRDefault="00A36CEB" w:rsidP="00DC1ECD">
    <w:pPr>
      <w:pStyle w:val="Encabezado"/>
      <w:jc w:val="right"/>
      <w:rPr>
        <w:rFonts w:ascii="Times New Roman" w:hAnsi="Times New Roman" w:cs="Times New Roman"/>
        <w:b/>
        <w:color w:val="1F4E79" w:themeColor="accent1" w:themeShade="80"/>
      </w:rPr>
    </w:pPr>
    <w:r>
      <w:rPr>
        <w:rFonts w:ascii="Times New Roman" w:hAnsi="Times New Roman" w:cs="Times New Roman"/>
        <w:b/>
        <w:noProof/>
        <w:color w:val="5B9BD5" w:themeColor="accent1"/>
        <w:lang w:val="es-ES" w:eastAsia="es-ES"/>
      </w:rPr>
      <mc:AlternateContent>
        <mc:Choice Requires="wps">
          <w:drawing>
            <wp:anchor distT="0" distB="0" distL="114300" distR="114300" simplePos="0" relativeHeight="251659264" behindDoc="0" locked="0" layoutInCell="1" allowOverlap="1" wp14:anchorId="33DF8BF8" wp14:editId="22097FCA">
              <wp:simplePos x="0" y="0"/>
              <wp:positionH relativeFrom="column">
                <wp:posOffset>-380420</wp:posOffset>
              </wp:positionH>
              <wp:positionV relativeFrom="paragraph">
                <wp:posOffset>193841</wp:posOffset>
              </wp:positionV>
              <wp:extent cx="7052807" cy="45719"/>
              <wp:effectExtent l="0" t="0" r="15240" b="12065"/>
              <wp:wrapNone/>
              <wp:docPr id="93" name="Rectángulo 93"/>
              <wp:cNvGraphicFramePr/>
              <a:graphic xmlns:a="http://schemas.openxmlformats.org/drawingml/2006/main">
                <a:graphicData uri="http://schemas.microsoft.com/office/word/2010/wordprocessingShape">
                  <wps:wsp>
                    <wps:cNvSpPr/>
                    <wps:spPr>
                      <a:xfrm>
                        <a:off x="0" y="0"/>
                        <a:ext cx="7052807"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rect w14:anchorId="52B97123" id="Rectángulo 93" o:spid="_x0000_s1026" style="position:absolute;margin-left:-29.95pt;margin-top:15.25pt;width:555.35pt;height: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" fillcolor="#5b9bd5 [3204]" strokecolor="#1f4d78 [1604]" strokeweight="1pt"/>
          </w:pict>
        </mc:Fallback>
      </mc:AlternateContent>
    </w:r>
    <w:r w:rsidRPr="00DC1ECD">
      <w:rPr>
        <w:rFonts w:ascii="Times New Roman" w:hAnsi="Times New Roman" w:cs="Times New Roman"/>
        <w:b/>
        <w:color w:val="1F4E79" w:themeColor="accent1" w:themeShade="80"/>
      </w:rPr>
      <w:t>Marco Fiscal de Mediano Plazo 2022-2026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28CB"/>
    <w:multiLevelType w:val="hybridMultilevel"/>
    <w:tmpl w:val="4BAC5C9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nsid w:val="03B862B7"/>
    <w:multiLevelType w:val="multilevel"/>
    <w:tmpl w:val="12D03682"/>
    <w:lvl w:ilvl="0">
      <w:start w:val="1"/>
      <w:numFmt w:val="decimal"/>
      <w:lvlText w:val="%1."/>
      <w:lvlJc w:val="left"/>
      <w:pPr>
        <w:ind w:left="360" w:hanging="360"/>
      </w:pPr>
      <w:rPr>
        <w:rFonts w:hint="default"/>
      </w:rPr>
    </w:lvl>
    <w:lvl w:ilvl="1">
      <w:start w:val="1"/>
      <w:numFmt w:val="none"/>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71C7630"/>
    <w:multiLevelType w:val="hybridMultilevel"/>
    <w:tmpl w:val="D8B05DD0"/>
    <w:lvl w:ilvl="0" w:tplc="100A0003">
      <w:start w:val="1"/>
      <w:numFmt w:val="bullet"/>
      <w:lvlText w:val="o"/>
      <w:lvlJc w:val="left"/>
      <w:pPr>
        <w:ind w:left="720" w:hanging="360"/>
      </w:pPr>
      <w:rPr>
        <w:rFonts w:ascii="Courier New" w:hAnsi="Courier New" w:cs="Courier New"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nsid w:val="08F672F1"/>
    <w:multiLevelType w:val="hybridMultilevel"/>
    <w:tmpl w:val="AD4CED8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
    <w:nsid w:val="093C60A9"/>
    <w:multiLevelType w:val="multilevel"/>
    <w:tmpl w:val="FC66931E"/>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none"/>
      <w:lvlText w:val="3.4.5."/>
      <w:lvlJc w:val="left"/>
      <w:pPr>
        <w:ind w:left="1224" w:hanging="504"/>
      </w:pPr>
      <w:rPr>
        <w:rFonts w:hint="default"/>
      </w:rPr>
    </w:lvl>
    <w:lvl w:ilvl="3">
      <w:start w:val="1"/>
      <w:numFmt w:val="decimal"/>
      <w:lvlText w:val="2.3%2.4%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013589A"/>
    <w:multiLevelType w:val="hybridMultilevel"/>
    <w:tmpl w:val="D28CBE08"/>
    <w:lvl w:ilvl="0" w:tplc="8B4A0516">
      <w:start w:val="1"/>
      <w:numFmt w:val="decimal"/>
      <w:lvlText w:val="%1."/>
      <w:lvlJc w:val="left"/>
      <w:pPr>
        <w:ind w:left="360" w:hanging="360"/>
      </w:pPr>
      <w:rPr>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
    <w:nsid w:val="14105CA9"/>
    <w:multiLevelType w:val="hybridMultilevel"/>
    <w:tmpl w:val="6AACB18C"/>
    <w:lvl w:ilvl="0" w:tplc="3CF28AFA">
      <w:start w:val="1"/>
      <w:numFmt w:val="decimal"/>
      <w:pStyle w:val="ParagraphNumbering"/>
      <w:lvlText w:val="%1.     "/>
      <w:lvlJc w:val="left"/>
      <w:pPr>
        <w:tabs>
          <w:tab w:val="num" w:pos="720"/>
        </w:tabs>
        <w:ind w:left="0" w:firstLine="0"/>
      </w:pPr>
      <w:rPr>
        <w:rFonts w:hint="default"/>
      </w:r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583071A"/>
    <w:multiLevelType w:val="hybridMultilevel"/>
    <w:tmpl w:val="542C8D54"/>
    <w:lvl w:ilvl="0" w:tplc="100A001B">
      <w:start w:val="1"/>
      <w:numFmt w:val="lowerRoman"/>
      <w:lvlText w:val="%1."/>
      <w:lvlJc w:val="righ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nsid w:val="15C9640F"/>
    <w:multiLevelType w:val="multilevel"/>
    <w:tmpl w:val="6720CC3C"/>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none"/>
      <w:lvlText w:val="3.4.2."/>
      <w:lvlJc w:val="left"/>
      <w:pPr>
        <w:ind w:left="1224" w:hanging="504"/>
      </w:pPr>
      <w:rPr>
        <w:rFonts w:hint="default"/>
      </w:rPr>
    </w:lvl>
    <w:lvl w:ilvl="3">
      <w:start w:val="1"/>
      <w:numFmt w:val="decimal"/>
      <w:lvlText w:val="%1.%24.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DA62326"/>
    <w:multiLevelType w:val="hybridMultilevel"/>
    <w:tmpl w:val="A6801B7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nsid w:val="1E710C7C"/>
    <w:multiLevelType w:val="hybridMultilevel"/>
    <w:tmpl w:val="D85606C2"/>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nsid w:val="1EC64FFE"/>
    <w:multiLevelType w:val="multilevel"/>
    <w:tmpl w:val="E56C03BC"/>
    <w:lvl w:ilvl="0">
      <w:start w:val="1"/>
      <w:numFmt w:val="decimal"/>
      <w:lvlText w:val="%1."/>
      <w:lvlJc w:val="left"/>
      <w:pPr>
        <w:ind w:left="360" w:hanging="360"/>
      </w:pPr>
      <w:rPr>
        <w:rFonts w:hint="default"/>
        <w:color w:val="auto"/>
      </w:rPr>
    </w:lvl>
    <w:lvl w:ilvl="1">
      <w:start w:val="1"/>
      <w:numFmt w:val="none"/>
      <w:lvlText w:val="2.3."/>
      <w:lvlJc w:val="left"/>
      <w:pPr>
        <w:ind w:left="792" w:hanging="432"/>
      </w:pPr>
      <w:rPr>
        <w:rFonts w:hint="default"/>
        <w:color w:val="auto"/>
      </w:rPr>
    </w:lvl>
    <w:lvl w:ilvl="2">
      <w:start w:val="1"/>
      <w:numFmt w:val="none"/>
      <w:lvlText w:val="2.3.7."/>
      <w:lvlJc w:val="left"/>
      <w:pPr>
        <w:ind w:left="1224" w:hanging="504"/>
      </w:pPr>
      <w:rPr>
        <w:rFonts w:hint="default"/>
        <w:color w:val="auto"/>
      </w:rPr>
    </w:lvl>
    <w:lvl w:ilvl="3">
      <w:start w:val="1"/>
      <w:numFmt w:val="decimal"/>
      <w:lvlText w:val="3.4%2.8%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06A281C"/>
    <w:multiLevelType w:val="hybridMultilevel"/>
    <w:tmpl w:val="0A9078DC"/>
    <w:lvl w:ilvl="0" w:tplc="A8380280">
      <w:start w:val="1"/>
      <w:numFmt w:val="bullet"/>
      <w:lvlText w:val="-"/>
      <w:lvlJc w:val="left"/>
      <w:pPr>
        <w:ind w:left="720" w:hanging="360"/>
      </w:pPr>
      <w:rPr>
        <w:rFonts w:ascii="Verdana" w:hAnsi="Verdana"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nsid w:val="257820B5"/>
    <w:multiLevelType w:val="hybridMultilevel"/>
    <w:tmpl w:val="D3CCF172"/>
    <w:lvl w:ilvl="0" w:tplc="A8380280">
      <w:start w:val="1"/>
      <w:numFmt w:val="bullet"/>
      <w:lvlText w:val="-"/>
      <w:lvlJc w:val="left"/>
      <w:pPr>
        <w:ind w:left="720" w:hanging="360"/>
      </w:pPr>
      <w:rPr>
        <w:rFonts w:ascii="Verdana" w:hAnsi="Verdana"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nsid w:val="26B4131C"/>
    <w:multiLevelType w:val="hybridMultilevel"/>
    <w:tmpl w:val="C06C786C"/>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nsid w:val="29CE7E98"/>
    <w:multiLevelType w:val="hybridMultilevel"/>
    <w:tmpl w:val="B7441D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nsid w:val="2AE25D07"/>
    <w:multiLevelType w:val="multilevel"/>
    <w:tmpl w:val="91CCAFE0"/>
    <w:lvl w:ilvl="0">
      <w:start w:val="1"/>
      <w:numFmt w:val="decimal"/>
      <w:lvlText w:val="%1."/>
      <w:lvlJc w:val="left"/>
      <w:pPr>
        <w:ind w:left="360" w:hanging="360"/>
      </w:pPr>
      <w:rPr>
        <w:rFonts w:hint="default"/>
      </w:rPr>
    </w:lvl>
    <w:lvl w:ilvl="1">
      <w:start w:val="1"/>
      <w:numFmt w:val="none"/>
      <w:lvlText w:val="3.3."/>
      <w:lvlJc w:val="left"/>
      <w:pPr>
        <w:ind w:left="792" w:hanging="432"/>
      </w:pPr>
      <w:rPr>
        <w:rFonts w:hint="default"/>
      </w:rPr>
    </w:lvl>
    <w:lvl w:ilvl="2">
      <w:start w:val="1"/>
      <w:numFmt w:val="decimal"/>
      <w:lvlText w:val="2.%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E73247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2350"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6E657E6"/>
    <w:multiLevelType w:val="hybridMultilevel"/>
    <w:tmpl w:val="9C98EAEA"/>
    <w:lvl w:ilvl="0" w:tplc="A8380280">
      <w:start w:val="1"/>
      <w:numFmt w:val="bullet"/>
      <w:lvlText w:val="-"/>
      <w:lvlJc w:val="left"/>
      <w:pPr>
        <w:ind w:left="720" w:hanging="360"/>
      </w:pPr>
      <w:rPr>
        <w:rFonts w:ascii="Verdana" w:hAnsi="Verdana"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nsid w:val="380B2E24"/>
    <w:multiLevelType w:val="hybridMultilevel"/>
    <w:tmpl w:val="C504BFCA"/>
    <w:lvl w:ilvl="0" w:tplc="A8380280">
      <w:start w:val="1"/>
      <w:numFmt w:val="bullet"/>
      <w:lvlText w:val="-"/>
      <w:lvlJc w:val="left"/>
      <w:pPr>
        <w:ind w:left="720" w:hanging="360"/>
      </w:pPr>
      <w:rPr>
        <w:rFonts w:ascii="Verdana" w:hAnsi="Verdana"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nsid w:val="3B99119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220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CD85B76"/>
    <w:multiLevelType w:val="hybridMultilevel"/>
    <w:tmpl w:val="F82095B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nsid w:val="3D7D299B"/>
    <w:multiLevelType w:val="hybridMultilevel"/>
    <w:tmpl w:val="9DC63BA4"/>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nsid w:val="3F2F1EE5"/>
    <w:multiLevelType w:val="hybridMultilevel"/>
    <w:tmpl w:val="BA1AF2F0"/>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nsid w:val="41F528B7"/>
    <w:multiLevelType w:val="multilevel"/>
    <w:tmpl w:val="BC6E3D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5.%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2F27300"/>
    <w:multiLevelType w:val="hybridMultilevel"/>
    <w:tmpl w:val="5D725D4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6">
    <w:nsid w:val="44D034FC"/>
    <w:multiLevelType w:val="multilevel"/>
    <w:tmpl w:val="6622B7E0"/>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4"/>
      <w:numFmt w:val="decimal"/>
      <w:isLgl/>
      <w:lvlText w:val="3.%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457F6DA0"/>
    <w:multiLevelType w:val="hybridMultilevel"/>
    <w:tmpl w:val="F3E6609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8">
    <w:nsid w:val="45AD34AE"/>
    <w:multiLevelType w:val="hybridMultilevel"/>
    <w:tmpl w:val="4E7E8BC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nsid w:val="477E63BA"/>
    <w:multiLevelType w:val="hybridMultilevel"/>
    <w:tmpl w:val="4094C894"/>
    <w:lvl w:ilvl="0" w:tplc="100A001B">
      <w:start w:val="1"/>
      <w:numFmt w:val="lowerRoman"/>
      <w:lvlText w:val="%1."/>
      <w:lvlJc w:val="righ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nsid w:val="51F90674"/>
    <w:multiLevelType w:val="hybridMultilevel"/>
    <w:tmpl w:val="667C2D0C"/>
    <w:lvl w:ilvl="0" w:tplc="100A0001">
      <w:start w:val="1"/>
      <w:numFmt w:val="bullet"/>
      <w:lvlText w:val=""/>
      <w:lvlJc w:val="left"/>
      <w:pPr>
        <w:ind w:left="720" w:hanging="360"/>
      </w:pPr>
      <w:rPr>
        <w:rFonts w:ascii="Symbol" w:hAnsi="Symbol" w:hint="default"/>
      </w:rPr>
    </w:lvl>
    <w:lvl w:ilvl="1" w:tplc="0F9AD968">
      <w:start w:val="1"/>
      <w:numFmt w:val="lowerLetter"/>
      <w:lvlText w:val="%2."/>
      <w:lvlJc w:val="left"/>
      <w:pPr>
        <w:ind w:left="1440" w:hanging="360"/>
      </w:pPr>
      <w:rPr>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
    <w:nsid w:val="52AE132E"/>
    <w:multiLevelType w:val="hybridMultilevel"/>
    <w:tmpl w:val="F90CF7F4"/>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nsid w:val="55D2322F"/>
    <w:multiLevelType w:val="multilevel"/>
    <w:tmpl w:val="8E689200"/>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none"/>
      <w:lvlText w:val="3.4.8."/>
      <w:lvlJc w:val="left"/>
      <w:pPr>
        <w:ind w:left="1224" w:hanging="504"/>
      </w:pPr>
      <w:rPr>
        <w:rFonts w:hint="default"/>
      </w:rPr>
    </w:lvl>
    <w:lvl w:ilvl="3">
      <w:start w:val="1"/>
      <w:numFmt w:val="decimal"/>
      <w:lvlText w:val="2.3%2.7%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B0C30CA"/>
    <w:multiLevelType w:val="multilevel"/>
    <w:tmpl w:val="0A0A7B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4.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5C5D26FC"/>
    <w:multiLevelType w:val="multilevel"/>
    <w:tmpl w:val="D53E2DF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nsid w:val="5D7B7975"/>
    <w:multiLevelType w:val="hybridMultilevel"/>
    <w:tmpl w:val="87E27EA6"/>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6">
    <w:nsid w:val="5DAC4E8D"/>
    <w:multiLevelType w:val="hybridMultilevel"/>
    <w:tmpl w:val="808876C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7">
    <w:nsid w:val="604503B5"/>
    <w:multiLevelType w:val="multilevel"/>
    <w:tmpl w:val="AC0E14CA"/>
    <w:lvl w:ilvl="0">
      <w:start w:val="1"/>
      <w:numFmt w:val="decimal"/>
      <w:pStyle w:val="Ttulo11"/>
      <w:lvlText w:val="%1"/>
      <w:lvlJc w:val="left"/>
      <w:pPr>
        <w:ind w:left="432" w:hanging="432"/>
      </w:pPr>
    </w:lvl>
    <w:lvl w:ilvl="1">
      <w:start w:val="1"/>
      <w:numFmt w:val="decimal"/>
      <w:pStyle w:val="Ttulo21"/>
      <w:lvlText w:val="%1.%2"/>
      <w:lvlJc w:val="left"/>
      <w:pPr>
        <w:ind w:left="576" w:hanging="576"/>
      </w:pPr>
      <w:rPr>
        <w:rFonts w:ascii="Times New Roman" w:hAnsi="Times New Roman" w:cs="Times New Roman" w:hint="default"/>
        <w:b/>
        <w:sz w:val="24"/>
      </w:rPr>
    </w:lvl>
    <w:lvl w:ilvl="2">
      <w:start w:val="1"/>
      <w:numFmt w:val="decimal"/>
      <w:pStyle w:val="Ttulo31"/>
      <w:lvlText w:val="%1.%2.%3"/>
      <w:lvlJc w:val="left"/>
      <w:pPr>
        <w:ind w:left="720" w:hanging="720"/>
      </w:pPr>
    </w:lvl>
    <w:lvl w:ilvl="3">
      <w:start w:val="1"/>
      <w:numFmt w:val="decimal"/>
      <w:pStyle w:val="Ttulo41"/>
      <w:lvlText w:val="%1.%2.%3.%4"/>
      <w:lvlJc w:val="left"/>
      <w:pPr>
        <w:ind w:left="864" w:hanging="864"/>
      </w:pPr>
    </w:lvl>
    <w:lvl w:ilvl="4">
      <w:start w:val="1"/>
      <w:numFmt w:val="decimal"/>
      <w:pStyle w:val="Ttulo51"/>
      <w:lvlText w:val="%1.%2.%3.%4.%5"/>
      <w:lvlJc w:val="left"/>
      <w:pPr>
        <w:ind w:left="1008" w:hanging="1008"/>
      </w:pPr>
    </w:lvl>
    <w:lvl w:ilvl="5">
      <w:start w:val="1"/>
      <w:numFmt w:val="decimal"/>
      <w:pStyle w:val="Ttulo61"/>
      <w:lvlText w:val="%1.%2.%3.%4.%5.%6"/>
      <w:lvlJc w:val="left"/>
      <w:pPr>
        <w:ind w:left="1152" w:hanging="1152"/>
      </w:pPr>
    </w:lvl>
    <w:lvl w:ilvl="6">
      <w:start w:val="1"/>
      <w:numFmt w:val="decimal"/>
      <w:pStyle w:val="Ttulo71"/>
      <w:lvlText w:val="%1.%2.%3.%4.%5.%6.%7"/>
      <w:lvlJc w:val="left"/>
      <w:pPr>
        <w:ind w:left="1296" w:hanging="1296"/>
      </w:pPr>
    </w:lvl>
    <w:lvl w:ilvl="7">
      <w:start w:val="1"/>
      <w:numFmt w:val="decimal"/>
      <w:pStyle w:val="Ttulo81"/>
      <w:lvlText w:val="%1.%2.%3.%4.%5.%6.%7.%8"/>
      <w:lvlJc w:val="left"/>
      <w:pPr>
        <w:ind w:left="1440" w:hanging="1440"/>
      </w:pPr>
    </w:lvl>
    <w:lvl w:ilvl="8">
      <w:start w:val="1"/>
      <w:numFmt w:val="decimal"/>
      <w:pStyle w:val="Ttulo91"/>
      <w:lvlText w:val="%1.%2.%3.%4.%5.%6.%7.%8.%9"/>
      <w:lvlJc w:val="left"/>
      <w:pPr>
        <w:ind w:left="1584" w:hanging="1584"/>
      </w:pPr>
    </w:lvl>
  </w:abstractNum>
  <w:abstractNum w:abstractNumId="38">
    <w:nsid w:val="60E90EC3"/>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22314E6"/>
    <w:multiLevelType w:val="multilevel"/>
    <w:tmpl w:val="0F4E9D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2EE22F3"/>
    <w:multiLevelType w:val="multilevel"/>
    <w:tmpl w:val="6C92AAC8"/>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6"/>
      <w:numFmt w:val="decimal"/>
      <w:lvlText w:val="2.3.%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D82583C"/>
    <w:multiLevelType w:val="hybridMultilevel"/>
    <w:tmpl w:val="661EF3F6"/>
    <w:lvl w:ilvl="0" w:tplc="A8380280">
      <w:start w:val="1"/>
      <w:numFmt w:val="bullet"/>
      <w:lvlText w:val="-"/>
      <w:lvlJc w:val="left"/>
      <w:pPr>
        <w:ind w:left="1080" w:hanging="360"/>
      </w:pPr>
      <w:rPr>
        <w:rFonts w:ascii="Verdana" w:hAnsi="Verdana"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42">
    <w:nsid w:val="6E8E1CA2"/>
    <w:multiLevelType w:val="multilevel"/>
    <w:tmpl w:val="84460B40"/>
    <w:lvl w:ilvl="0">
      <w:start w:val="1"/>
      <w:numFmt w:val="decimal"/>
      <w:lvlText w:val="%1."/>
      <w:lvlJc w:val="left"/>
      <w:pPr>
        <w:ind w:left="360" w:hanging="360"/>
      </w:pPr>
      <w:rPr>
        <w:rFonts w:hint="default"/>
      </w:rPr>
    </w:lvl>
    <w:lvl w:ilvl="1">
      <w:start w:val="1"/>
      <w:numFmt w:val="none"/>
      <w:lvlText w:val="3.2."/>
      <w:lvlJc w:val="left"/>
      <w:pPr>
        <w:ind w:left="792" w:hanging="432"/>
      </w:pPr>
      <w:rPr>
        <w:rFonts w:hint="default"/>
      </w:rPr>
    </w:lvl>
    <w:lvl w:ilvl="2">
      <w:start w:val="1"/>
      <w:numFmt w:val="decimal"/>
      <w:lvlText w:val="%1.%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201555A"/>
    <w:multiLevelType w:val="hybridMultilevel"/>
    <w:tmpl w:val="3F04E8E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4">
    <w:nsid w:val="73E02C8D"/>
    <w:multiLevelType w:val="hybridMultilevel"/>
    <w:tmpl w:val="A546E5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5">
    <w:nsid w:val="75841EED"/>
    <w:multiLevelType w:val="hybridMultilevel"/>
    <w:tmpl w:val="344A4E2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6">
    <w:nsid w:val="761A25A0"/>
    <w:multiLevelType w:val="hybridMultilevel"/>
    <w:tmpl w:val="376A699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7">
    <w:nsid w:val="777647B6"/>
    <w:multiLevelType w:val="hybridMultilevel"/>
    <w:tmpl w:val="88F48CC2"/>
    <w:lvl w:ilvl="0" w:tplc="0C0A0013">
      <w:start w:val="1"/>
      <w:numFmt w:val="upperRoman"/>
      <w:lvlText w:val="%1."/>
      <w:lvlJc w:val="righ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8">
    <w:nsid w:val="78664504"/>
    <w:multiLevelType w:val="multilevel"/>
    <w:tmpl w:val="6F966608"/>
    <w:lvl w:ilvl="0">
      <w:start w:val="1"/>
      <w:numFmt w:val="decimal"/>
      <w:lvlText w:val="%1."/>
      <w:lvlJc w:val="left"/>
      <w:pPr>
        <w:ind w:left="1428" w:hanging="360"/>
      </w:pPr>
      <w:rPr>
        <w:color w:val="auto"/>
      </w:rPr>
    </w:lvl>
    <w:lvl w:ilvl="1">
      <w:start w:val="1"/>
      <w:numFmt w:val="decimal"/>
      <w:isLgl/>
      <w:lvlText w:val="%1.%2"/>
      <w:lvlJc w:val="left"/>
      <w:pPr>
        <w:ind w:left="1428" w:hanging="360"/>
      </w:pPr>
      <w:rPr>
        <w:rFonts w:hint="default"/>
      </w:rPr>
    </w:lvl>
    <w:lvl w:ilvl="2">
      <w:start w:val="1"/>
      <w:numFmt w:val="decimal"/>
      <w:isLgl/>
      <w:lvlText w:val="%1.%2.%3"/>
      <w:lvlJc w:val="left"/>
      <w:pPr>
        <w:ind w:left="2279" w:hanging="720"/>
      </w:pPr>
      <w:rPr>
        <w:rFonts w:hint="default"/>
      </w:rPr>
    </w:lvl>
    <w:lvl w:ilvl="3">
      <w:start w:val="1"/>
      <w:numFmt w:val="decimal"/>
      <w:isLgl/>
      <w:lvlText w:val="%1.%2.%3.%4"/>
      <w:lvlJc w:val="left"/>
      <w:pPr>
        <w:ind w:left="2846"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49">
    <w:nsid w:val="78745B7F"/>
    <w:multiLevelType w:val="hybridMultilevel"/>
    <w:tmpl w:val="B3D6875A"/>
    <w:lvl w:ilvl="0" w:tplc="A8380280">
      <w:start w:val="1"/>
      <w:numFmt w:val="bullet"/>
      <w:lvlText w:val="-"/>
      <w:lvlJc w:val="left"/>
      <w:pPr>
        <w:ind w:left="720" w:hanging="360"/>
      </w:pPr>
      <w:rPr>
        <w:rFonts w:ascii="Verdana" w:hAnsi="Verdana"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0">
    <w:nsid w:val="79562E9E"/>
    <w:multiLevelType w:val="multilevel"/>
    <w:tmpl w:val="77A2FF92"/>
    <w:lvl w:ilvl="0">
      <w:start w:val="2"/>
      <w:numFmt w:val="upperRoman"/>
      <w:lvlText w:val="%1."/>
      <w:lvlJc w:val="left"/>
      <w:pPr>
        <w:ind w:left="1080" w:hanging="720"/>
      </w:pPr>
      <w:rPr>
        <w:rFonts w:hint="default"/>
      </w:rPr>
    </w:lvl>
    <w:lvl w:ilvl="1">
      <w:start w:val="4"/>
      <w:numFmt w:val="decimal"/>
      <w:isLgl/>
      <w:lvlText w:val="%1.%2"/>
      <w:lvlJc w:val="left"/>
      <w:pPr>
        <w:ind w:left="840" w:hanging="480"/>
      </w:pPr>
      <w:rPr>
        <w:rFonts w:hint="default"/>
      </w:rPr>
    </w:lvl>
    <w:lvl w:ilvl="2">
      <w:start w:val="2"/>
      <w:numFmt w:val="decimal"/>
      <w:isLg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7989412B"/>
    <w:multiLevelType w:val="multilevel"/>
    <w:tmpl w:val="C804E102"/>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none"/>
      <w:lvlText w:val="3.4.2."/>
      <w:lvlJc w:val="left"/>
      <w:pPr>
        <w:ind w:left="1224" w:hanging="504"/>
      </w:pPr>
      <w:rPr>
        <w:rFonts w:hint="default"/>
      </w:rPr>
    </w:lvl>
    <w:lvl w:ilvl="3">
      <w:start w:val="1"/>
      <w:numFmt w:val="decimal"/>
      <w:lvlText w:val="2.3%2.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7C23220D"/>
    <w:multiLevelType w:val="hybridMultilevel"/>
    <w:tmpl w:val="29004674"/>
    <w:lvl w:ilvl="0" w:tplc="6FF2F7BE">
      <w:start w:val="3"/>
      <w:numFmt w:val="decimal"/>
      <w:lvlText w:val="%1."/>
      <w:lvlJc w:val="left"/>
      <w:pPr>
        <w:ind w:left="36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3">
    <w:nsid w:val="7D585F98"/>
    <w:multiLevelType w:val="hybridMultilevel"/>
    <w:tmpl w:val="F918C4D0"/>
    <w:lvl w:ilvl="0" w:tplc="DA9AC3C0">
      <w:start w:val="1"/>
      <w:numFmt w:val="lowerLetter"/>
      <w:lvlText w:val="%1)"/>
      <w:lvlJc w:val="left"/>
      <w:pPr>
        <w:ind w:left="1080" w:hanging="360"/>
      </w:pPr>
      <w:rPr>
        <w:b/>
        <w:bCs/>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num w:numId="1">
    <w:abstractNumId w:val="18"/>
  </w:num>
  <w:num w:numId="2">
    <w:abstractNumId w:val="13"/>
  </w:num>
  <w:num w:numId="3">
    <w:abstractNumId w:val="12"/>
  </w:num>
  <w:num w:numId="4">
    <w:abstractNumId w:val="28"/>
  </w:num>
  <w:num w:numId="5">
    <w:abstractNumId w:val="10"/>
  </w:num>
  <w:num w:numId="6">
    <w:abstractNumId w:val="37"/>
  </w:num>
  <w:num w:numId="7">
    <w:abstractNumId w:val="50"/>
  </w:num>
  <w:num w:numId="8">
    <w:abstractNumId w:val="17"/>
  </w:num>
  <w:num w:numId="9">
    <w:abstractNumId w:val="1"/>
  </w:num>
  <w:num w:numId="10">
    <w:abstractNumId w:val="42"/>
  </w:num>
  <w:num w:numId="11">
    <w:abstractNumId w:val="16"/>
  </w:num>
  <w:num w:numId="12">
    <w:abstractNumId w:val="51"/>
  </w:num>
  <w:num w:numId="13">
    <w:abstractNumId w:val="5"/>
  </w:num>
  <w:num w:numId="14">
    <w:abstractNumId w:val="53"/>
  </w:num>
  <w:num w:numId="15">
    <w:abstractNumId w:val="8"/>
  </w:num>
  <w:num w:numId="16">
    <w:abstractNumId w:val="0"/>
  </w:num>
  <w:num w:numId="17">
    <w:abstractNumId w:val="6"/>
  </w:num>
  <w:num w:numId="18">
    <w:abstractNumId w:val="44"/>
  </w:num>
  <w:num w:numId="19">
    <w:abstractNumId w:val="3"/>
  </w:num>
  <w:num w:numId="20">
    <w:abstractNumId w:val="22"/>
  </w:num>
  <w:num w:numId="21">
    <w:abstractNumId w:val="36"/>
  </w:num>
  <w:num w:numId="22">
    <w:abstractNumId w:val="4"/>
  </w:num>
  <w:num w:numId="23">
    <w:abstractNumId w:val="43"/>
  </w:num>
  <w:num w:numId="24">
    <w:abstractNumId w:val="29"/>
  </w:num>
  <w:num w:numId="25">
    <w:abstractNumId w:val="33"/>
  </w:num>
  <w:num w:numId="26">
    <w:abstractNumId w:val="24"/>
  </w:num>
  <w:num w:numId="27">
    <w:abstractNumId w:val="47"/>
  </w:num>
  <w:num w:numId="28">
    <w:abstractNumId w:val="48"/>
  </w:num>
  <w:num w:numId="29">
    <w:abstractNumId w:val="20"/>
  </w:num>
  <w:num w:numId="30">
    <w:abstractNumId w:val="39"/>
  </w:num>
  <w:num w:numId="31">
    <w:abstractNumId w:val="30"/>
  </w:num>
  <w:num w:numId="32">
    <w:abstractNumId w:val="26"/>
  </w:num>
  <w:num w:numId="33">
    <w:abstractNumId w:val="45"/>
  </w:num>
  <w:num w:numId="34">
    <w:abstractNumId w:val="35"/>
  </w:num>
  <w:num w:numId="35">
    <w:abstractNumId w:val="32"/>
  </w:num>
  <w:num w:numId="36">
    <w:abstractNumId w:val="9"/>
  </w:num>
  <w:num w:numId="37">
    <w:abstractNumId w:val="52"/>
  </w:num>
  <w:num w:numId="38">
    <w:abstractNumId w:val="38"/>
  </w:num>
  <w:num w:numId="39">
    <w:abstractNumId w:val="49"/>
  </w:num>
  <w:num w:numId="40">
    <w:abstractNumId w:val="19"/>
  </w:num>
  <w:num w:numId="41">
    <w:abstractNumId w:val="41"/>
  </w:num>
  <w:num w:numId="42">
    <w:abstractNumId w:val="31"/>
  </w:num>
  <w:num w:numId="43">
    <w:abstractNumId w:val="34"/>
  </w:num>
  <w:num w:numId="44">
    <w:abstractNumId w:val="46"/>
  </w:num>
  <w:num w:numId="45">
    <w:abstractNumId w:val="11"/>
  </w:num>
  <w:num w:numId="46">
    <w:abstractNumId w:val="40"/>
  </w:num>
  <w:num w:numId="47">
    <w:abstractNumId w:val="15"/>
  </w:num>
  <w:num w:numId="48">
    <w:abstractNumId w:val="14"/>
  </w:num>
  <w:num w:numId="49">
    <w:abstractNumId w:val="2"/>
  </w:num>
  <w:num w:numId="50">
    <w:abstractNumId w:val="21"/>
  </w:num>
  <w:num w:numId="51">
    <w:abstractNumId w:val="27"/>
  </w:num>
  <w:num w:numId="52">
    <w:abstractNumId w:val="25"/>
  </w:num>
  <w:num w:numId="53">
    <w:abstractNumId w:val="23"/>
  </w:num>
  <w:num w:numId="54">
    <w:abstractNumId w:val="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F19"/>
    <w:rsid w:val="00000611"/>
    <w:rsid w:val="0000063C"/>
    <w:rsid w:val="000009B1"/>
    <w:rsid w:val="000026AD"/>
    <w:rsid w:val="00003238"/>
    <w:rsid w:val="00003547"/>
    <w:rsid w:val="00003E6D"/>
    <w:rsid w:val="00003EF7"/>
    <w:rsid w:val="0000434A"/>
    <w:rsid w:val="00005147"/>
    <w:rsid w:val="00005590"/>
    <w:rsid w:val="0000559F"/>
    <w:rsid w:val="0000762B"/>
    <w:rsid w:val="000106A3"/>
    <w:rsid w:val="000118B2"/>
    <w:rsid w:val="0001257A"/>
    <w:rsid w:val="0001299B"/>
    <w:rsid w:val="00012A00"/>
    <w:rsid w:val="00013727"/>
    <w:rsid w:val="00013F0E"/>
    <w:rsid w:val="00014C55"/>
    <w:rsid w:val="000156C0"/>
    <w:rsid w:val="000177F0"/>
    <w:rsid w:val="000204EE"/>
    <w:rsid w:val="000207BA"/>
    <w:rsid w:val="0002117C"/>
    <w:rsid w:val="0002183E"/>
    <w:rsid w:val="00021954"/>
    <w:rsid w:val="00022023"/>
    <w:rsid w:val="000226C4"/>
    <w:rsid w:val="00022AC9"/>
    <w:rsid w:val="00024D23"/>
    <w:rsid w:val="00025A39"/>
    <w:rsid w:val="0002601D"/>
    <w:rsid w:val="00027EBC"/>
    <w:rsid w:val="00031293"/>
    <w:rsid w:val="00033140"/>
    <w:rsid w:val="00033489"/>
    <w:rsid w:val="00033747"/>
    <w:rsid w:val="0003476E"/>
    <w:rsid w:val="0003510A"/>
    <w:rsid w:val="000359A1"/>
    <w:rsid w:val="0003667A"/>
    <w:rsid w:val="000373D5"/>
    <w:rsid w:val="00037AED"/>
    <w:rsid w:val="00042B26"/>
    <w:rsid w:val="00044084"/>
    <w:rsid w:val="000443BE"/>
    <w:rsid w:val="00045C7B"/>
    <w:rsid w:val="000465B0"/>
    <w:rsid w:val="00051310"/>
    <w:rsid w:val="000517B4"/>
    <w:rsid w:val="00051FF5"/>
    <w:rsid w:val="0005322D"/>
    <w:rsid w:val="0005563C"/>
    <w:rsid w:val="00055985"/>
    <w:rsid w:val="000559C3"/>
    <w:rsid w:val="00055E13"/>
    <w:rsid w:val="0005664E"/>
    <w:rsid w:val="00056D1A"/>
    <w:rsid w:val="00057731"/>
    <w:rsid w:val="000577A5"/>
    <w:rsid w:val="000631D4"/>
    <w:rsid w:val="00065050"/>
    <w:rsid w:val="0006573E"/>
    <w:rsid w:val="00065F12"/>
    <w:rsid w:val="00066454"/>
    <w:rsid w:val="0006645B"/>
    <w:rsid w:val="000666D1"/>
    <w:rsid w:val="0006696B"/>
    <w:rsid w:val="00066B29"/>
    <w:rsid w:val="00070135"/>
    <w:rsid w:val="00070685"/>
    <w:rsid w:val="00070715"/>
    <w:rsid w:val="00071352"/>
    <w:rsid w:val="00071659"/>
    <w:rsid w:val="00073B71"/>
    <w:rsid w:val="00074996"/>
    <w:rsid w:val="00074EE6"/>
    <w:rsid w:val="00077660"/>
    <w:rsid w:val="00077E17"/>
    <w:rsid w:val="000813B1"/>
    <w:rsid w:val="00081415"/>
    <w:rsid w:val="00081453"/>
    <w:rsid w:val="00081ADF"/>
    <w:rsid w:val="000822CE"/>
    <w:rsid w:val="0008420A"/>
    <w:rsid w:val="000865B9"/>
    <w:rsid w:val="00086EE3"/>
    <w:rsid w:val="00091C7A"/>
    <w:rsid w:val="00092F1D"/>
    <w:rsid w:val="000932B1"/>
    <w:rsid w:val="00093795"/>
    <w:rsid w:val="00093FE0"/>
    <w:rsid w:val="000951F3"/>
    <w:rsid w:val="00095AB2"/>
    <w:rsid w:val="00096BC3"/>
    <w:rsid w:val="000971C3"/>
    <w:rsid w:val="000A163F"/>
    <w:rsid w:val="000A17C7"/>
    <w:rsid w:val="000A21C0"/>
    <w:rsid w:val="000A2F8B"/>
    <w:rsid w:val="000A3254"/>
    <w:rsid w:val="000A36C9"/>
    <w:rsid w:val="000A3860"/>
    <w:rsid w:val="000A56E5"/>
    <w:rsid w:val="000A63C8"/>
    <w:rsid w:val="000A66AB"/>
    <w:rsid w:val="000A6779"/>
    <w:rsid w:val="000B017C"/>
    <w:rsid w:val="000B0697"/>
    <w:rsid w:val="000B399A"/>
    <w:rsid w:val="000B3A85"/>
    <w:rsid w:val="000B4286"/>
    <w:rsid w:val="000B4A58"/>
    <w:rsid w:val="000B53F3"/>
    <w:rsid w:val="000B57EE"/>
    <w:rsid w:val="000B5B00"/>
    <w:rsid w:val="000B6895"/>
    <w:rsid w:val="000B6D46"/>
    <w:rsid w:val="000B78A0"/>
    <w:rsid w:val="000B7F19"/>
    <w:rsid w:val="000C1064"/>
    <w:rsid w:val="000C1121"/>
    <w:rsid w:val="000C1232"/>
    <w:rsid w:val="000C2968"/>
    <w:rsid w:val="000C371D"/>
    <w:rsid w:val="000C393F"/>
    <w:rsid w:val="000C3EC8"/>
    <w:rsid w:val="000C40BC"/>
    <w:rsid w:val="000C70F8"/>
    <w:rsid w:val="000C7870"/>
    <w:rsid w:val="000C7C2A"/>
    <w:rsid w:val="000D1111"/>
    <w:rsid w:val="000D1C86"/>
    <w:rsid w:val="000D2E7E"/>
    <w:rsid w:val="000D2E9E"/>
    <w:rsid w:val="000D456A"/>
    <w:rsid w:val="000D521A"/>
    <w:rsid w:val="000D561F"/>
    <w:rsid w:val="000D5880"/>
    <w:rsid w:val="000D5A7E"/>
    <w:rsid w:val="000D5ECF"/>
    <w:rsid w:val="000D6191"/>
    <w:rsid w:val="000D621F"/>
    <w:rsid w:val="000D6C93"/>
    <w:rsid w:val="000D6E6A"/>
    <w:rsid w:val="000D7E72"/>
    <w:rsid w:val="000E0235"/>
    <w:rsid w:val="000E04E1"/>
    <w:rsid w:val="000E09D7"/>
    <w:rsid w:val="000E1264"/>
    <w:rsid w:val="000E1C69"/>
    <w:rsid w:val="000E27F8"/>
    <w:rsid w:val="000E2EAE"/>
    <w:rsid w:val="000E31EA"/>
    <w:rsid w:val="000E4726"/>
    <w:rsid w:val="000E4ECA"/>
    <w:rsid w:val="000E53AD"/>
    <w:rsid w:val="000E6E9D"/>
    <w:rsid w:val="000E6F12"/>
    <w:rsid w:val="000E7A2A"/>
    <w:rsid w:val="000F0336"/>
    <w:rsid w:val="000F134D"/>
    <w:rsid w:val="000F38F4"/>
    <w:rsid w:val="000F47EC"/>
    <w:rsid w:val="000F5188"/>
    <w:rsid w:val="000F6BD0"/>
    <w:rsid w:val="000F6D16"/>
    <w:rsid w:val="001032E7"/>
    <w:rsid w:val="00104395"/>
    <w:rsid w:val="00105259"/>
    <w:rsid w:val="001067BA"/>
    <w:rsid w:val="00106E63"/>
    <w:rsid w:val="00107864"/>
    <w:rsid w:val="001101B9"/>
    <w:rsid w:val="00110235"/>
    <w:rsid w:val="0011038B"/>
    <w:rsid w:val="0011129D"/>
    <w:rsid w:val="00112A24"/>
    <w:rsid w:val="00113141"/>
    <w:rsid w:val="001146F3"/>
    <w:rsid w:val="00114E98"/>
    <w:rsid w:val="001152AB"/>
    <w:rsid w:val="0011643E"/>
    <w:rsid w:val="0011655F"/>
    <w:rsid w:val="00117166"/>
    <w:rsid w:val="00117403"/>
    <w:rsid w:val="0011752E"/>
    <w:rsid w:val="00120033"/>
    <w:rsid w:val="0012019D"/>
    <w:rsid w:val="001210B1"/>
    <w:rsid w:val="0012160B"/>
    <w:rsid w:val="00121994"/>
    <w:rsid w:val="00121DF9"/>
    <w:rsid w:val="00121E9B"/>
    <w:rsid w:val="001220B1"/>
    <w:rsid w:val="00122190"/>
    <w:rsid w:val="001224F2"/>
    <w:rsid w:val="00122701"/>
    <w:rsid w:val="0012497C"/>
    <w:rsid w:val="001264CB"/>
    <w:rsid w:val="00126D07"/>
    <w:rsid w:val="00127939"/>
    <w:rsid w:val="00127D31"/>
    <w:rsid w:val="00130097"/>
    <w:rsid w:val="0013057D"/>
    <w:rsid w:val="001306D4"/>
    <w:rsid w:val="00131986"/>
    <w:rsid w:val="00132D23"/>
    <w:rsid w:val="00132F74"/>
    <w:rsid w:val="00134FDC"/>
    <w:rsid w:val="00135D3B"/>
    <w:rsid w:val="00136469"/>
    <w:rsid w:val="0013740B"/>
    <w:rsid w:val="00137906"/>
    <w:rsid w:val="0014127C"/>
    <w:rsid w:val="00141368"/>
    <w:rsid w:val="0014193A"/>
    <w:rsid w:val="0014219C"/>
    <w:rsid w:val="0014455E"/>
    <w:rsid w:val="00144A4C"/>
    <w:rsid w:val="00144C4E"/>
    <w:rsid w:val="00144D38"/>
    <w:rsid w:val="0014653A"/>
    <w:rsid w:val="00146C1B"/>
    <w:rsid w:val="001474F7"/>
    <w:rsid w:val="00147FB7"/>
    <w:rsid w:val="00150019"/>
    <w:rsid w:val="00151703"/>
    <w:rsid w:val="001525C5"/>
    <w:rsid w:val="00152681"/>
    <w:rsid w:val="001530D9"/>
    <w:rsid w:val="001534D8"/>
    <w:rsid w:val="00155114"/>
    <w:rsid w:val="0015539C"/>
    <w:rsid w:val="0015550C"/>
    <w:rsid w:val="001555DB"/>
    <w:rsid w:val="00156891"/>
    <w:rsid w:val="00156FCD"/>
    <w:rsid w:val="001602AC"/>
    <w:rsid w:val="001618B8"/>
    <w:rsid w:val="00162E84"/>
    <w:rsid w:val="00162EE1"/>
    <w:rsid w:val="00163D5D"/>
    <w:rsid w:val="00166B18"/>
    <w:rsid w:val="00167300"/>
    <w:rsid w:val="0017094F"/>
    <w:rsid w:val="001732BF"/>
    <w:rsid w:val="00174342"/>
    <w:rsid w:val="00174398"/>
    <w:rsid w:val="00174A25"/>
    <w:rsid w:val="00174EAB"/>
    <w:rsid w:val="00175F12"/>
    <w:rsid w:val="00176376"/>
    <w:rsid w:val="001772CF"/>
    <w:rsid w:val="001773F7"/>
    <w:rsid w:val="00181ADF"/>
    <w:rsid w:val="001821C3"/>
    <w:rsid w:val="0018343F"/>
    <w:rsid w:val="00183E5C"/>
    <w:rsid w:val="001846A7"/>
    <w:rsid w:val="00184B02"/>
    <w:rsid w:val="00187B19"/>
    <w:rsid w:val="00190113"/>
    <w:rsid w:val="001906A1"/>
    <w:rsid w:val="00191140"/>
    <w:rsid w:val="001925C7"/>
    <w:rsid w:val="001928C4"/>
    <w:rsid w:val="00192CB2"/>
    <w:rsid w:val="001940AF"/>
    <w:rsid w:val="001940B1"/>
    <w:rsid w:val="00195AFE"/>
    <w:rsid w:val="001A07E1"/>
    <w:rsid w:val="001A0DA2"/>
    <w:rsid w:val="001A2F44"/>
    <w:rsid w:val="001A33F5"/>
    <w:rsid w:val="001A59C8"/>
    <w:rsid w:val="001A7641"/>
    <w:rsid w:val="001B0E1A"/>
    <w:rsid w:val="001B232A"/>
    <w:rsid w:val="001B29FC"/>
    <w:rsid w:val="001B5223"/>
    <w:rsid w:val="001B565C"/>
    <w:rsid w:val="001B6062"/>
    <w:rsid w:val="001B7FE4"/>
    <w:rsid w:val="001C05C0"/>
    <w:rsid w:val="001C06DE"/>
    <w:rsid w:val="001C072B"/>
    <w:rsid w:val="001C07BE"/>
    <w:rsid w:val="001C0EDD"/>
    <w:rsid w:val="001C158F"/>
    <w:rsid w:val="001C2974"/>
    <w:rsid w:val="001C3ACE"/>
    <w:rsid w:val="001C3B79"/>
    <w:rsid w:val="001C4327"/>
    <w:rsid w:val="001C4D69"/>
    <w:rsid w:val="001C517B"/>
    <w:rsid w:val="001C6401"/>
    <w:rsid w:val="001D0250"/>
    <w:rsid w:val="001D1F6E"/>
    <w:rsid w:val="001D1FFA"/>
    <w:rsid w:val="001D22C5"/>
    <w:rsid w:val="001D2487"/>
    <w:rsid w:val="001D4CD0"/>
    <w:rsid w:val="001D5518"/>
    <w:rsid w:val="001D5911"/>
    <w:rsid w:val="001D5E8D"/>
    <w:rsid w:val="001D67AF"/>
    <w:rsid w:val="001E0E44"/>
    <w:rsid w:val="001E0F98"/>
    <w:rsid w:val="001E17AD"/>
    <w:rsid w:val="001E2155"/>
    <w:rsid w:val="001E34AA"/>
    <w:rsid w:val="001E43F8"/>
    <w:rsid w:val="001E4C2B"/>
    <w:rsid w:val="001E5211"/>
    <w:rsid w:val="001E5417"/>
    <w:rsid w:val="001E5553"/>
    <w:rsid w:val="001E5AAF"/>
    <w:rsid w:val="001E7E48"/>
    <w:rsid w:val="001F1F0C"/>
    <w:rsid w:val="001F414A"/>
    <w:rsid w:val="001F5E10"/>
    <w:rsid w:val="001F6496"/>
    <w:rsid w:val="001F6737"/>
    <w:rsid w:val="001F7569"/>
    <w:rsid w:val="002005A5"/>
    <w:rsid w:val="00201347"/>
    <w:rsid w:val="00201F2E"/>
    <w:rsid w:val="00206305"/>
    <w:rsid w:val="00206456"/>
    <w:rsid w:val="0020679D"/>
    <w:rsid w:val="00206FCF"/>
    <w:rsid w:val="00212ED4"/>
    <w:rsid w:val="00214508"/>
    <w:rsid w:val="002145E6"/>
    <w:rsid w:val="00214B83"/>
    <w:rsid w:val="00215748"/>
    <w:rsid w:val="00215C62"/>
    <w:rsid w:val="00216F77"/>
    <w:rsid w:val="00217345"/>
    <w:rsid w:val="00217C45"/>
    <w:rsid w:val="00220D19"/>
    <w:rsid w:val="0022234D"/>
    <w:rsid w:val="002229E7"/>
    <w:rsid w:val="00224239"/>
    <w:rsid w:val="0022504A"/>
    <w:rsid w:val="002255BD"/>
    <w:rsid w:val="00226F86"/>
    <w:rsid w:val="00227519"/>
    <w:rsid w:val="00227E0E"/>
    <w:rsid w:val="002306B5"/>
    <w:rsid w:val="00231BCD"/>
    <w:rsid w:val="00232330"/>
    <w:rsid w:val="002324EB"/>
    <w:rsid w:val="00235021"/>
    <w:rsid w:val="0023539D"/>
    <w:rsid w:val="00236BB7"/>
    <w:rsid w:val="00236DDD"/>
    <w:rsid w:val="002377C9"/>
    <w:rsid w:val="0024040C"/>
    <w:rsid w:val="002415CF"/>
    <w:rsid w:val="00241E58"/>
    <w:rsid w:val="00242CB5"/>
    <w:rsid w:val="00243286"/>
    <w:rsid w:val="002439A6"/>
    <w:rsid w:val="00245A66"/>
    <w:rsid w:val="00245F66"/>
    <w:rsid w:val="00246333"/>
    <w:rsid w:val="00246492"/>
    <w:rsid w:val="002472F1"/>
    <w:rsid w:val="0024774E"/>
    <w:rsid w:val="00251D47"/>
    <w:rsid w:val="00252895"/>
    <w:rsid w:val="00253484"/>
    <w:rsid w:val="0025451A"/>
    <w:rsid w:val="00254DAD"/>
    <w:rsid w:val="00256030"/>
    <w:rsid w:val="00256467"/>
    <w:rsid w:val="00260875"/>
    <w:rsid w:val="002617C5"/>
    <w:rsid w:val="00261874"/>
    <w:rsid w:val="002619F8"/>
    <w:rsid w:val="002640F6"/>
    <w:rsid w:val="00264E74"/>
    <w:rsid w:val="00265103"/>
    <w:rsid w:val="002671A2"/>
    <w:rsid w:val="00271466"/>
    <w:rsid w:val="00271891"/>
    <w:rsid w:val="00271A6B"/>
    <w:rsid w:val="00272B0D"/>
    <w:rsid w:val="0027334A"/>
    <w:rsid w:val="00274D76"/>
    <w:rsid w:val="002750C6"/>
    <w:rsid w:val="0027531B"/>
    <w:rsid w:val="00275332"/>
    <w:rsid w:val="00275967"/>
    <w:rsid w:val="002761CC"/>
    <w:rsid w:val="00277593"/>
    <w:rsid w:val="002777E0"/>
    <w:rsid w:val="00277A19"/>
    <w:rsid w:val="002804F4"/>
    <w:rsid w:val="00281012"/>
    <w:rsid w:val="00281854"/>
    <w:rsid w:val="0028198F"/>
    <w:rsid w:val="00284EBA"/>
    <w:rsid w:val="00286900"/>
    <w:rsid w:val="00286BB7"/>
    <w:rsid w:val="00286F12"/>
    <w:rsid w:val="00287397"/>
    <w:rsid w:val="00287410"/>
    <w:rsid w:val="00287C9C"/>
    <w:rsid w:val="002924FB"/>
    <w:rsid w:val="00292AE4"/>
    <w:rsid w:val="00293F88"/>
    <w:rsid w:val="00294098"/>
    <w:rsid w:val="002956C9"/>
    <w:rsid w:val="00296843"/>
    <w:rsid w:val="0029746B"/>
    <w:rsid w:val="002A19B7"/>
    <w:rsid w:val="002A1F0F"/>
    <w:rsid w:val="002A2346"/>
    <w:rsid w:val="002A297E"/>
    <w:rsid w:val="002A30BC"/>
    <w:rsid w:val="002A50AB"/>
    <w:rsid w:val="002A511E"/>
    <w:rsid w:val="002A7088"/>
    <w:rsid w:val="002B1A48"/>
    <w:rsid w:val="002B216D"/>
    <w:rsid w:val="002B2C11"/>
    <w:rsid w:val="002B3673"/>
    <w:rsid w:val="002B40A8"/>
    <w:rsid w:val="002B527F"/>
    <w:rsid w:val="002B606A"/>
    <w:rsid w:val="002B6D44"/>
    <w:rsid w:val="002B72F6"/>
    <w:rsid w:val="002C14E5"/>
    <w:rsid w:val="002C26EA"/>
    <w:rsid w:val="002C2BA8"/>
    <w:rsid w:val="002C326C"/>
    <w:rsid w:val="002C3278"/>
    <w:rsid w:val="002C33F4"/>
    <w:rsid w:val="002C49DE"/>
    <w:rsid w:val="002C6B06"/>
    <w:rsid w:val="002C7396"/>
    <w:rsid w:val="002C7D66"/>
    <w:rsid w:val="002D00E7"/>
    <w:rsid w:val="002D03B2"/>
    <w:rsid w:val="002D074E"/>
    <w:rsid w:val="002D11D9"/>
    <w:rsid w:val="002D1A08"/>
    <w:rsid w:val="002D1BB4"/>
    <w:rsid w:val="002D248B"/>
    <w:rsid w:val="002D3055"/>
    <w:rsid w:val="002D406D"/>
    <w:rsid w:val="002D4C9F"/>
    <w:rsid w:val="002D6F75"/>
    <w:rsid w:val="002E1E3C"/>
    <w:rsid w:val="002E1FEB"/>
    <w:rsid w:val="002E3312"/>
    <w:rsid w:val="002E3BC6"/>
    <w:rsid w:val="002E6414"/>
    <w:rsid w:val="002E68DB"/>
    <w:rsid w:val="002E6C5B"/>
    <w:rsid w:val="002E6ED4"/>
    <w:rsid w:val="002F0628"/>
    <w:rsid w:val="002F082F"/>
    <w:rsid w:val="002F0A68"/>
    <w:rsid w:val="002F129A"/>
    <w:rsid w:val="002F17E4"/>
    <w:rsid w:val="002F2D79"/>
    <w:rsid w:val="002F3101"/>
    <w:rsid w:val="002F31CE"/>
    <w:rsid w:val="002F3B61"/>
    <w:rsid w:val="002F4BDC"/>
    <w:rsid w:val="002F5006"/>
    <w:rsid w:val="002F5F23"/>
    <w:rsid w:val="00300378"/>
    <w:rsid w:val="003022E0"/>
    <w:rsid w:val="003025CF"/>
    <w:rsid w:val="00303B6F"/>
    <w:rsid w:val="00305321"/>
    <w:rsid w:val="003069E1"/>
    <w:rsid w:val="00307414"/>
    <w:rsid w:val="003075B0"/>
    <w:rsid w:val="00310C4B"/>
    <w:rsid w:val="00311275"/>
    <w:rsid w:val="00311D72"/>
    <w:rsid w:val="00312E87"/>
    <w:rsid w:val="003136B3"/>
    <w:rsid w:val="00313861"/>
    <w:rsid w:val="00313BB0"/>
    <w:rsid w:val="003145C1"/>
    <w:rsid w:val="00314D17"/>
    <w:rsid w:val="0031626A"/>
    <w:rsid w:val="00316EAE"/>
    <w:rsid w:val="003170F2"/>
    <w:rsid w:val="00320FF9"/>
    <w:rsid w:val="0032110B"/>
    <w:rsid w:val="0032249E"/>
    <w:rsid w:val="003224AE"/>
    <w:rsid w:val="00322670"/>
    <w:rsid w:val="00322991"/>
    <w:rsid w:val="003237FB"/>
    <w:rsid w:val="00324B67"/>
    <w:rsid w:val="00326F4D"/>
    <w:rsid w:val="003325DA"/>
    <w:rsid w:val="00332CB6"/>
    <w:rsid w:val="003334A2"/>
    <w:rsid w:val="003340B7"/>
    <w:rsid w:val="00334E68"/>
    <w:rsid w:val="00335023"/>
    <w:rsid w:val="0033525F"/>
    <w:rsid w:val="003368A9"/>
    <w:rsid w:val="00337807"/>
    <w:rsid w:val="003379CD"/>
    <w:rsid w:val="00341026"/>
    <w:rsid w:val="003416E3"/>
    <w:rsid w:val="00341B89"/>
    <w:rsid w:val="0034320A"/>
    <w:rsid w:val="00344013"/>
    <w:rsid w:val="00344100"/>
    <w:rsid w:val="003442CE"/>
    <w:rsid w:val="00344D60"/>
    <w:rsid w:val="003458BD"/>
    <w:rsid w:val="0034672B"/>
    <w:rsid w:val="00346AE1"/>
    <w:rsid w:val="00351D56"/>
    <w:rsid w:val="00351DD7"/>
    <w:rsid w:val="00352308"/>
    <w:rsid w:val="00352893"/>
    <w:rsid w:val="003531C8"/>
    <w:rsid w:val="00353326"/>
    <w:rsid w:val="003538DE"/>
    <w:rsid w:val="00354EF9"/>
    <w:rsid w:val="0035681A"/>
    <w:rsid w:val="0035695E"/>
    <w:rsid w:val="0035743E"/>
    <w:rsid w:val="003605F4"/>
    <w:rsid w:val="00360B8F"/>
    <w:rsid w:val="00360DA3"/>
    <w:rsid w:val="0036126A"/>
    <w:rsid w:val="003627B4"/>
    <w:rsid w:val="00362C56"/>
    <w:rsid w:val="00362DE9"/>
    <w:rsid w:val="00362F63"/>
    <w:rsid w:val="00363C9C"/>
    <w:rsid w:val="003641F0"/>
    <w:rsid w:val="00365C3D"/>
    <w:rsid w:val="00366830"/>
    <w:rsid w:val="00367064"/>
    <w:rsid w:val="0036720A"/>
    <w:rsid w:val="00367411"/>
    <w:rsid w:val="00370348"/>
    <w:rsid w:val="00370D04"/>
    <w:rsid w:val="0037162C"/>
    <w:rsid w:val="00371A9D"/>
    <w:rsid w:val="0037287F"/>
    <w:rsid w:val="0037310F"/>
    <w:rsid w:val="003739A8"/>
    <w:rsid w:val="00375793"/>
    <w:rsid w:val="00377C37"/>
    <w:rsid w:val="00380630"/>
    <w:rsid w:val="003807FF"/>
    <w:rsid w:val="00380E20"/>
    <w:rsid w:val="00381363"/>
    <w:rsid w:val="003813CB"/>
    <w:rsid w:val="0038179C"/>
    <w:rsid w:val="003825D9"/>
    <w:rsid w:val="00383BC9"/>
    <w:rsid w:val="0038466F"/>
    <w:rsid w:val="00384DF8"/>
    <w:rsid w:val="003851AF"/>
    <w:rsid w:val="0038611E"/>
    <w:rsid w:val="00387108"/>
    <w:rsid w:val="003873AB"/>
    <w:rsid w:val="003874A1"/>
    <w:rsid w:val="003875C7"/>
    <w:rsid w:val="00390242"/>
    <w:rsid w:val="00390FE9"/>
    <w:rsid w:val="003925BA"/>
    <w:rsid w:val="003937C5"/>
    <w:rsid w:val="0039393A"/>
    <w:rsid w:val="00393C68"/>
    <w:rsid w:val="00393D8A"/>
    <w:rsid w:val="00394005"/>
    <w:rsid w:val="00396016"/>
    <w:rsid w:val="00396ED3"/>
    <w:rsid w:val="00397715"/>
    <w:rsid w:val="00397C2E"/>
    <w:rsid w:val="003A2D12"/>
    <w:rsid w:val="003A396E"/>
    <w:rsid w:val="003A3B51"/>
    <w:rsid w:val="003A3C9B"/>
    <w:rsid w:val="003A5275"/>
    <w:rsid w:val="003A5289"/>
    <w:rsid w:val="003A530F"/>
    <w:rsid w:val="003A66EC"/>
    <w:rsid w:val="003A7362"/>
    <w:rsid w:val="003A766A"/>
    <w:rsid w:val="003B0FCE"/>
    <w:rsid w:val="003B1FB7"/>
    <w:rsid w:val="003B2218"/>
    <w:rsid w:val="003B2C32"/>
    <w:rsid w:val="003B2E6C"/>
    <w:rsid w:val="003B33A4"/>
    <w:rsid w:val="003B457E"/>
    <w:rsid w:val="003B46E6"/>
    <w:rsid w:val="003B4EE9"/>
    <w:rsid w:val="003B544D"/>
    <w:rsid w:val="003B5CC1"/>
    <w:rsid w:val="003B606E"/>
    <w:rsid w:val="003B620C"/>
    <w:rsid w:val="003B6383"/>
    <w:rsid w:val="003B6715"/>
    <w:rsid w:val="003B6D7F"/>
    <w:rsid w:val="003B7371"/>
    <w:rsid w:val="003C0DA6"/>
    <w:rsid w:val="003C14E4"/>
    <w:rsid w:val="003C240A"/>
    <w:rsid w:val="003C38C9"/>
    <w:rsid w:val="003C3C3E"/>
    <w:rsid w:val="003C4315"/>
    <w:rsid w:val="003C43B2"/>
    <w:rsid w:val="003C4F52"/>
    <w:rsid w:val="003C5317"/>
    <w:rsid w:val="003C6ADF"/>
    <w:rsid w:val="003D0C88"/>
    <w:rsid w:val="003D176E"/>
    <w:rsid w:val="003D1AD8"/>
    <w:rsid w:val="003D2575"/>
    <w:rsid w:val="003D2E00"/>
    <w:rsid w:val="003D31B0"/>
    <w:rsid w:val="003D4C78"/>
    <w:rsid w:val="003D4D29"/>
    <w:rsid w:val="003D5195"/>
    <w:rsid w:val="003D60C2"/>
    <w:rsid w:val="003D6605"/>
    <w:rsid w:val="003D67FF"/>
    <w:rsid w:val="003D6895"/>
    <w:rsid w:val="003D6BFA"/>
    <w:rsid w:val="003D6C80"/>
    <w:rsid w:val="003D7B59"/>
    <w:rsid w:val="003E04DD"/>
    <w:rsid w:val="003E14B7"/>
    <w:rsid w:val="003E1577"/>
    <w:rsid w:val="003E24FC"/>
    <w:rsid w:val="003E3F19"/>
    <w:rsid w:val="003E4C0D"/>
    <w:rsid w:val="003E5992"/>
    <w:rsid w:val="003E59FA"/>
    <w:rsid w:val="003E5A85"/>
    <w:rsid w:val="003E6A6D"/>
    <w:rsid w:val="003E6BEE"/>
    <w:rsid w:val="003E7697"/>
    <w:rsid w:val="003F017F"/>
    <w:rsid w:val="003F44B4"/>
    <w:rsid w:val="003F4A7F"/>
    <w:rsid w:val="003F4B0A"/>
    <w:rsid w:val="003F4EE2"/>
    <w:rsid w:val="003F538D"/>
    <w:rsid w:val="003F5BDD"/>
    <w:rsid w:val="003F5D91"/>
    <w:rsid w:val="003F5EFC"/>
    <w:rsid w:val="003F5F2D"/>
    <w:rsid w:val="003F6DA1"/>
    <w:rsid w:val="003F725A"/>
    <w:rsid w:val="00400B6E"/>
    <w:rsid w:val="00400CE3"/>
    <w:rsid w:val="004014B1"/>
    <w:rsid w:val="004015F3"/>
    <w:rsid w:val="00401846"/>
    <w:rsid w:val="00402376"/>
    <w:rsid w:val="00402B9F"/>
    <w:rsid w:val="00402F88"/>
    <w:rsid w:val="004032BA"/>
    <w:rsid w:val="00403CA1"/>
    <w:rsid w:val="00404B12"/>
    <w:rsid w:val="00405B19"/>
    <w:rsid w:val="004066EF"/>
    <w:rsid w:val="0040762D"/>
    <w:rsid w:val="004104CB"/>
    <w:rsid w:val="00412B7F"/>
    <w:rsid w:val="00412C15"/>
    <w:rsid w:val="004133EB"/>
    <w:rsid w:val="00413785"/>
    <w:rsid w:val="00413FEE"/>
    <w:rsid w:val="004141EC"/>
    <w:rsid w:val="00414741"/>
    <w:rsid w:val="004156BB"/>
    <w:rsid w:val="00415F4C"/>
    <w:rsid w:val="00416D2B"/>
    <w:rsid w:val="00417767"/>
    <w:rsid w:val="00417F99"/>
    <w:rsid w:val="004201A0"/>
    <w:rsid w:val="004210D6"/>
    <w:rsid w:val="00421697"/>
    <w:rsid w:val="0042178D"/>
    <w:rsid w:val="00421A25"/>
    <w:rsid w:val="004220B7"/>
    <w:rsid w:val="00422B6C"/>
    <w:rsid w:val="00422B97"/>
    <w:rsid w:val="00422F94"/>
    <w:rsid w:val="00423A21"/>
    <w:rsid w:val="00424E14"/>
    <w:rsid w:val="00425E86"/>
    <w:rsid w:val="00425F8C"/>
    <w:rsid w:val="00426233"/>
    <w:rsid w:val="004278BD"/>
    <w:rsid w:val="004321BB"/>
    <w:rsid w:val="00432DD9"/>
    <w:rsid w:val="00433B61"/>
    <w:rsid w:val="00435A28"/>
    <w:rsid w:val="00436B28"/>
    <w:rsid w:val="00440429"/>
    <w:rsid w:val="00440C0F"/>
    <w:rsid w:val="004426C8"/>
    <w:rsid w:val="00442A2F"/>
    <w:rsid w:val="00444258"/>
    <w:rsid w:val="00444935"/>
    <w:rsid w:val="00444FF3"/>
    <w:rsid w:val="0044766F"/>
    <w:rsid w:val="004476A5"/>
    <w:rsid w:val="00450523"/>
    <w:rsid w:val="00450D61"/>
    <w:rsid w:val="00451E05"/>
    <w:rsid w:val="00452173"/>
    <w:rsid w:val="004521E7"/>
    <w:rsid w:val="00453C96"/>
    <w:rsid w:val="00455059"/>
    <w:rsid w:val="00455717"/>
    <w:rsid w:val="00455BE4"/>
    <w:rsid w:val="00455E75"/>
    <w:rsid w:val="00455F40"/>
    <w:rsid w:val="00457A61"/>
    <w:rsid w:val="00460673"/>
    <w:rsid w:val="00460F64"/>
    <w:rsid w:val="00461B38"/>
    <w:rsid w:val="00463172"/>
    <w:rsid w:val="004632F1"/>
    <w:rsid w:val="00464B68"/>
    <w:rsid w:val="00464D2E"/>
    <w:rsid w:val="0046703F"/>
    <w:rsid w:val="004675F2"/>
    <w:rsid w:val="00467AA4"/>
    <w:rsid w:val="0047160C"/>
    <w:rsid w:val="00471B17"/>
    <w:rsid w:val="00472C86"/>
    <w:rsid w:val="004739EE"/>
    <w:rsid w:val="0047487E"/>
    <w:rsid w:val="004749F9"/>
    <w:rsid w:val="004764AC"/>
    <w:rsid w:val="004803F6"/>
    <w:rsid w:val="00480790"/>
    <w:rsid w:val="00484727"/>
    <w:rsid w:val="00484ED3"/>
    <w:rsid w:val="004863EF"/>
    <w:rsid w:val="00490CB6"/>
    <w:rsid w:val="00490CC6"/>
    <w:rsid w:val="00494C1D"/>
    <w:rsid w:val="00494C2B"/>
    <w:rsid w:val="00494D20"/>
    <w:rsid w:val="004954B2"/>
    <w:rsid w:val="00496AB5"/>
    <w:rsid w:val="004979E4"/>
    <w:rsid w:val="00497B01"/>
    <w:rsid w:val="004A0155"/>
    <w:rsid w:val="004A0A86"/>
    <w:rsid w:val="004A0FF4"/>
    <w:rsid w:val="004A14DF"/>
    <w:rsid w:val="004A224D"/>
    <w:rsid w:val="004A2393"/>
    <w:rsid w:val="004A24EC"/>
    <w:rsid w:val="004A288D"/>
    <w:rsid w:val="004A4000"/>
    <w:rsid w:val="004A467A"/>
    <w:rsid w:val="004A54DC"/>
    <w:rsid w:val="004A58DD"/>
    <w:rsid w:val="004A5DB1"/>
    <w:rsid w:val="004A67B2"/>
    <w:rsid w:val="004A6C78"/>
    <w:rsid w:val="004A7BCE"/>
    <w:rsid w:val="004B26F4"/>
    <w:rsid w:val="004B40B2"/>
    <w:rsid w:val="004B46B0"/>
    <w:rsid w:val="004B54CE"/>
    <w:rsid w:val="004B5861"/>
    <w:rsid w:val="004B58D3"/>
    <w:rsid w:val="004B6316"/>
    <w:rsid w:val="004B7708"/>
    <w:rsid w:val="004B79C9"/>
    <w:rsid w:val="004C129D"/>
    <w:rsid w:val="004C139E"/>
    <w:rsid w:val="004C13D1"/>
    <w:rsid w:val="004C1D5B"/>
    <w:rsid w:val="004C27CE"/>
    <w:rsid w:val="004C3418"/>
    <w:rsid w:val="004C4063"/>
    <w:rsid w:val="004C4FC4"/>
    <w:rsid w:val="004C6A23"/>
    <w:rsid w:val="004C7BAB"/>
    <w:rsid w:val="004D0C55"/>
    <w:rsid w:val="004D1BAB"/>
    <w:rsid w:val="004D21A1"/>
    <w:rsid w:val="004D3101"/>
    <w:rsid w:val="004D4E30"/>
    <w:rsid w:val="004D6A65"/>
    <w:rsid w:val="004D7009"/>
    <w:rsid w:val="004D74E8"/>
    <w:rsid w:val="004D7B9A"/>
    <w:rsid w:val="004E0074"/>
    <w:rsid w:val="004E0ECA"/>
    <w:rsid w:val="004E13F7"/>
    <w:rsid w:val="004E1FD9"/>
    <w:rsid w:val="004E247B"/>
    <w:rsid w:val="004E26DB"/>
    <w:rsid w:val="004E2715"/>
    <w:rsid w:val="004E2981"/>
    <w:rsid w:val="004E30A0"/>
    <w:rsid w:val="004E32A1"/>
    <w:rsid w:val="004E378E"/>
    <w:rsid w:val="004E42E0"/>
    <w:rsid w:val="004E469E"/>
    <w:rsid w:val="004E4E2D"/>
    <w:rsid w:val="004E59DF"/>
    <w:rsid w:val="004E5B7A"/>
    <w:rsid w:val="004E6FB4"/>
    <w:rsid w:val="004E71CF"/>
    <w:rsid w:val="004F00D8"/>
    <w:rsid w:val="004F06A1"/>
    <w:rsid w:val="004F0719"/>
    <w:rsid w:val="004F0EBD"/>
    <w:rsid w:val="004F13E4"/>
    <w:rsid w:val="004F2249"/>
    <w:rsid w:val="004F23C5"/>
    <w:rsid w:val="004F256B"/>
    <w:rsid w:val="004F3401"/>
    <w:rsid w:val="004F3A50"/>
    <w:rsid w:val="004F3A66"/>
    <w:rsid w:val="004F5F22"/>
    <w:rsid w:val="004F6248"/>
    <w:rsid w:val="004F6773"/>
    <w:rsid w:val="004F684E"/>
    <w:rsid w:val="004F6B65"/>
    <w:rsid w:val="004F6CCF"/>
    <w:rsid w:val="004F6FD8"/>
    <w:rsid w:val="005006B7"/>
    <w:rsid w:val="00502CF7"/>
    <w:rsid w:val="00502FB2"/>
    <w:rsid w:val="00503119"/>
    <w:rsid w:val="00504E08"/>
    <w:rsid w:val="00505454"/>
    <w:rsid w:val="00505DEA"/>
    <w:rsid w:val="00506173"/>
    <w:rsid w:val="0050764E"/>
    <w:rsid w:val="00507DC9"/>
    <w:rsid w:val="00510B4B"/>
    <w:rsid w:val="0051120E"/>
    <w:rsid w:val="00511C4B"/>
    <w:rsid w:val="005135D3"/>
    <w:rsid w:val="00514889"/>
    <w:rsid w:val="00514CAE"/>
    <w:rsid w:val="00515297"/>
    <w:rsid w:val="00516981"/>
    <w:rsid w:val="00516A77"/>
    <w:rsid w:val="00516C28"/>
    <w:rsid w:val="00517578"/>
    <w:rsid w:val="005179CA"/>
    <w:rsid w:val="00517F46"/>
    <w:rsid w:val="005208E5"/>
    <w:rsid w:val="0052199D"/>
    <w:rsid w:val="0052275E"/>
    <w:rsid w:val="005229B0"/>
    <w:rsid w:val="00523197"/>
    <w:rsid w:val="00523F22"/>
    <w:rsid w:val="005260E7"/>
    <w:rsid w:val="005263B9"/>
    <w:rsid w:val="005273F6"/>
    <w:rsid w:val="005276F1"/>
    <w:rsid w:val="00527B75"/>
    <w:rsid w:val="00527DB7"/>
    <w:rsid w:val="00527FDB"/>
    <w:rsid w:val="00531029"/>
    <w:rsid w:val="00531D88"/>
    <w:rsid w:val="00533B4E"/>
    <w:rsid w:val="00533FF8"/>
    <w:rsid w:val="0053465C"/>
    <w:rsid w:val="005355C7"/>
    <w:rsid w:val="00535E5D"/>
    <w:rsid w:val="00537B7F"/>
    <w:rsid w:val="00541C0C"/>
    <w:rsid w:val="0054262D"/>
    <w:rsid w:val="00542A13"/>
    <w:rsid w:val="005430E9"/>
    <w:rsid w:val="00543CC3"/>
    <w:rsid w:val="00544DF9"/>
    <w:rsid w:val="0054584F"/>
    <w:rsid w:val="00546783"/>
    <w:rsid w:val="00546C87"/>
    <w:rsid w:val="00547AF8"/>
    <w:rsid w:val="00550399"/>
    <w:rsid w:val="00551038"/>
    <w:rsid w:val="0055119E"/>
    <w:rsid w:val="005521E9"/>
    <w:rsid w:val="00552CCA"/>
    <w:rsid w:val="00553281"/>
    <w:rsid w:val="00553CE4"/>
    <w:rsid w:val="005541C4"/>
    <w:rsid w:val="0055454E"/>
    <w:rsid w:val="0055763A"/>
    <w:rsid w:val="00557929"/>
    <w:rsid w:val="00560052"/>
    <w:rsid w:val="00561D72"/>
    <w:rsid w:val="005622FC"/>
    <w:rsid w:val="00562E85"/>
    <w:rsid w:val="00563437"/>
    <w:rsid w:val="00563689"/>
    <w:rsid w:val="00563989"/>
    <w:rsid w:val="005639EA"/>
    <w:rsid w:val="00564BA2"/>
    <w:rsid w:val="00565542"/>
    <w:rsid w:val="00566215"/>
    <w:rsid w:val="00566919"/>
    <w:rsid w:val="005671A0"/>
    <w:rsid w:val="00567211"/>
    <w:rsid w:val="00570F21"/>
    <w:rsid w:val="00570F71"/>
    <w:rsid w:val="00571209"/>
    <w:rsid w:val="0057133C"/>
    <w:rsid w:val="0057179B"/>
    <w:rsid w:val="00571A49"/>
    <w:rsid w:val="005733A6"/>
    <w:rsid w:val="0057347E"/>
    <w:rsid w:val="005771F8"/>
    <w:rsid w:val="0058042D"/>
    <w:rsid w:val="0058076B"/>
    <w:rsid w:val="00580D61"/>
    <w:rsid w:val="00581D18"/>
    <w:rsid w:val="0058244C"/>
    <w:rsid w:val="00582F69"/>
    <w:rsid w:val="00583734"/>
    <w:rsid w:val="0058387F"/>
    <w:rsid w:val="00584D6D"/>
    <w:rsid w:val="0058564E"/>
    <w:rsid w:val="005856C6"/>
    <w:rsid w:val="00585AD9"/>
    <w:rsid w:val="00585C76"/>
    <w:rsid w:val="00586584"/>
    <w:rsid w:val="005873BF"/>
    <w:rsid w:val="00587D48"/>
    <w:rsid w:val="00590D35"/>
    <w:rsid w:val="00591A8E"/>
    <w:rsid w:val="00592112"/>
    <w:rsid w:val="005929BA"/>
    <w:rsid w:val="00593041"/>
    <w:rsid w:val="00594D75"/>
    <w:rsid w:val="005953A9"/>
    <w:rsid w:val="005959E9"/>
    <w:rsid w:val="00595A8D"/>
    <w:rsid w:val="00595AE5"/>
    <w:rsid w:val="00596263"/>
    <w:rsid w:val="00596AD4"/>
    <w:rsid w:val="005975A4"/>
    <w:rsid w:val="00597807"/>
    <w:rsid w:val="005A0D50"/>
    <w:rsid w:val="005A0D5C"/>
    <w:rsid w:val="005A0F2A"/>
    <w:rsid w:val="005A1AD1"/>
    <w:rsid w:val="005A27E5"/>
    <w:rsid w:val="005A2863"/>
    <w:rsid w:val="005A34C2"/>
    <w:rsid w:val="005A4262"/>
    <w:rsid w:val="005A4BAA"/>
    <w:rsid w:val="005A5915"/>
    <w:rsid w:val="005A610A"/>
    <w:rsid w:val="005A64E9"/>
    <w:rsid w:val="005A6F4A"/>
    <w:rsid w:val="005A7A3D"/>
    <w:rsid w:val="005B2007"/>
    <w:rsid w:val="005B35AF"/>
    <w:rsid w:val="005B5752"/>
    <w:rsid w:val="005B5BBC"/>
    <w:rsid w:val="005B5ED4"/>
    <w:rsid w:val="005B63EA"/>
    <w:rsid w:val="005B70D3"/>
    <w:rsid w:val="005C0298"/>
    <w:rsid w:val="005C05F8"/>
    <w:rsid w:val="005C116B"/>
    <w:rsid w:val="005C2E9A"/>
    <w:rsid w:val="005C3410"/>
    <w:rsid w:val="005C3719"/>
    <w:rsid w:val="005C3D8E"/>
    <w:rsid w:val="005C40C9"/>
    <w:rsid w:val="005C412A"/>
    <w:rsid w:val="005C4EF3"/>
    <w:rsid w:val="005C5437"/>
    <w:rsid w:val="005C6ECC"/>
    <w:rsid w:val="005C7EBF"/>
    <w:rsid w:val="005D08EF"/>
    <w:rsid w:val="005D17D2"/>
    <w:rsid w:val="005D24B9"/>
    <w:rsid w:val="005D28D7"/>
    <w:rsid w:val="005D2F66"/>
    <w:rsid w:val="005D3BBA"/>
    <w:rsid w:val="005D4EDB"/>
    <w:rsid w:val="005D5970"/>
    <w:rsid w:val="005D5AE1"/>
    <w:rsid w:val="005D670F"/>
    <w:rsid w:val="005D694C"/>
    <w:rsid w:val="005D6C59"/>
    <w:rsid w:val="005D761B"/>
    <w:rsid w:val="005E30FE"/>
    <w:rsid w:val="005E3C6B"/>
    <w:rsid w:val="005E43B2"/>
    <w:rsid w:val="005E56D0"/>
    <w:rsid w:val="005E585B"/>
    <w:rsid w:val="005E5861"/>
    <w:rsid w:val="005E58AF"/>
    <w:rsid w:val="005E591E"/>
    <w:rsid w:val="005E62F0"/>
    <w:rsid w:val="005E67BB"/>
    <w:rsid w:val="005E6D2D"/>
    <w:rsid w:val="005E7EA8"/>
    <w:rsid w:val="005F1F4A"/>
    <w:rsid w:val="005F2C15"/>
    <w:rsid w:val="005F3EC1"/>
    <w:rsid w:val="005F41EC"/>
    <w:rsid w:val="005F4DB5"/>
    <w:rsid w:val="005F6378"/>
    <w:rsid w:val="005F7556"/>
    <w:rsid w:val="005F7F0E"/>
    <w:rsid w:val="006001B4"/>
    <w:rsid w:val="0060145F"/>
    <w:rsid w:val="00601E12"/>
    <w:rsid w:val="00604251"/>
    <w:rsid w:val="006047ED"/>
    <w:rsid w:val="00605679"/>
    <w:rsid w:val="0060745A"/>
    <w:rsid w:val="0061017F"/>
    <w:rsid w:val="006106BB"/>
    <w:rsid w:val="00611067"/>
    <w:rsid w:val="00611570"/>
    <w:rsid w:val="00612DEA"/>
    <w:rsid w:val="0061301F"/>
    <w:rsid w:val="0061660F"/>
    <w:rsid w:val="00620593"/>
    <w:rsid w:val="0062200B"/>
    <w:rsid w:val="00622F15"/>
    <w:rsid w:val="006248F6"/>
    <w:rsid w:val="00625254"/>
    <w:rsid w:val="00626E63"/>
    <w:rsid w:val="00627435"/>
    <w:rsid w:val="00627701"/>
    <w:rsid w:val="00631B25"/>
    <w:rsid w:val="00632258"/>
    <w:rsid w:val="0063308B"/>
    <w:rsid w:val="006334CB"/>
    <w:rsid w:val="00635819"/>
    <w:rsid w:val="00635BD4"/>
    <w:rsid w:val="00637058"/>
    <w:rsid w:val="00637DED"/>
    <w:rsid w:val="00640FC0"/>
    <w:rsid w:val="006420C2"/>
    <w:rsid w:val="00642181"/>
    <w:rsid w:val="006421D5"/>
    <w:rsid w:val="006423DE"/>
    <w:rsid w:val="00643014"/>
    <w:rsid w:val="00643CD6"/>
    <w:rsid w:val="00646716"/>
    <w:rsid w:val="00646742"/>
    <w:rsid w:val="00646A1A"/>
    <w:rsid w:val="00647036"/>
    <w:rsid w:val="00647448"/>
    <w:rsid w:val="00647BE6"/>
    <w:rsid w:val="00650852"/>
    <w:rsid w:val="006517CA"/>
    <w:rsid w:val="00651EE0"/>
    <w:rsid w:val="00651F51"/>
    <w:rsid w:val="0065253A"/>
    <w:rsid w:val="00652558"/>
    <w:rsid w:val="00653D9D"/>
    <w:rsid w:val="00653E3D"/>
    <w:rsid w:val="006559F5"/>
    <w:rsid w:val="00655D63"/>
    <w:rsid w:val="00655DF1"/>
    <w:rsid w:val="006561E3"/>
    <w:rsid w:val="0066099C"/>
    <w:rsid w:val="006649F3"/>
    <w:rsid w:val="00664AC3"/>
    <w:rsid w:val="00664ACA"/>
    <w:rsid w:val="006658C6"/>
    <w:rsid w:val="00665A35"/>
    <w:rsid w:val="00670E20"/>
    <w:rsid w:val="00671185"/>
    <w:rsid w:val="00672422"/>
    <w:rsid w:val="006726C8"/>
    <w:rsid w:val="0067468D"/>
    <w:rsid w:val="00674C24"/>
    <w:rsid w:val="00674EC2"/>
    <w:rsid w:val="0067682D"/>
    <w:rsid w:val="006769CB"/>
    <w:rsid w:val="00677C17"/>
    <w:rsid w:val="0068196E"/>
    <w:rsid w:val="00683000"/>
    <w:rsid w:val="00684AEE"/>
    <w:rsid w:val="00685B3A"/>
    <w:rsid w:val="006862C1"/>
    <w:rsid w:val="006877E3"/>
    <w:rsid w:val="00690062"/>
    <w:rsid w:val="00690C3C"/>
    <w:rsid w:val="006912F7"/>
    <w:rsid w:val="0069165D"/>
    <w:rsid w:val="0069197D"/>
    <w:rsid w:val="006963A0"/>
    <w:rsid w:val="006964CA"/>
    <w:rsid w:val="00696896"/>
    <w:rsid w:val="00696E2E"/>
    <w:rsid w:val="00697697"/>
    <w:rsid w:val="006977EA"/>
    <w:rsid w:val="006A0052"/>
    <w:rsid w:val="006A07A3"/>
    <w:rsid w:val="006A1942"/>
    <w:rsid w:val="006A1A83"/>
    <w:rsid w:val="006A28F1"/>
    <w:rsid w:val="006A2F13"/>
    <w:rsid w:val="006A30B5"/>
    <w:rsid w:val="006A37B0"/>
    <w:rsid w:val="006A3966"/>
    <w:rsid w:val="006A3FBF"/>
    <w:rsid w:val="006A4CF8"/>
    <w:rsid w:val="006A5656"/>
    <w:rsid w:val="006A5B03"/>
    <w:rsid w:val="006A5CC7"/>
    <w:rsid w:val="006A5D87"/>
    <w:rsid w:val="006A6C4E"/>
    <w:rsid w:val="006A78D8"/>
    <w:rsid w:val="006B2D30"/>
    <w:rsid w:val="006B39BD"/>
    <w:rsid w:val="006B4C96"/>
    <w:rsid w:val="006B542F"/>
    <w:rsid w:val="006B6A06"/>
    <w:rsid w:val="006C0E39"/>
    <w:rsid w:val="006C6870"/>
    <w:rsid w:val="006C6B93"/>
    <w:rsid w:val="006C6CC5"/>
    <w:rsid w:val="006C7261"/>
    <w:rsid w:val="006C75F1"/>
    <w:rsid w:val="006C7862"/>
    <w:rsid w:val="006C7FD6"/>
    <w:rsid w:val="006D0E89"/>
    <w:rsid w:val="006D12A3"/>
    <w:rsid w:val="006D2997"/>
    <w:rsid w:val="006D39E1"/>
    <w:rsid w:val="006D3A86"/>
    <w:rsid w:val="006D421B"/>
    <w:rsid w:val="006D5160"/>
    <w:rsid w:val="006D5A8E"/>
    <w:rsid w:val="006D603F"/>
    <w:rsid w:val="006D6492"/>
    <w:rsid w:val="006D6C3E"/>
    <w:rsid w:val="006D7A14"/>
    <w:rsid w:val="006E023F"/>
    <w:rsid w:val="006E06A7"/>
    <w:rsid w:val="006E086E"/>
    <w:rsid w:val="006E0936"/>
    <w:rsid w:val="006E124A"/>
    <w:rsid w:val="006E19BE"/>
    <w:rsid w:val="006E28FD"/>
    <w:rsid w:val="006E2A8E"/>
    <w:rsid w:val="006E2FA7"/>
    <w:rsid w:val="006E3347"/>
    <w:rsid w:val="006E3856"/>
    <w:rsid w:val="006E4A01"/>
    <w:rsid w:val="006E4D0E"/>
    <w:rsid w:val="006E576B"/>
    <w:rsid w:val="006E5E9F"/>
    <w:rsid w:val="006E703F"/>
    <w:rsid w:val="006E79B2"/>
    <w:rsid w:val="006E7BDB"/>
    <w:rsid w:val="006E7F97"/>
    <w:rsid w:val="006F001A"/>
    <w:rsid w:val="006F0923"/>
    <w:rsid w:val="006F1263"/>
    <w:rsid w:val="006F1CA8"/>
    <w:rsid w:val="006F2F6B"/>
    <w:rsid w:val="006F3117"/>
    <w:rsid w:val="006F4172"/>
    <w:rsid w:val="006F436B"/>
    <w:rsid w:val="006F4DBE"/>
    <w:rsid w:val="006F5676"/>
    <w:rsid w:val="006F6130"/>
    <w:rsid w:val="006F63C2"/>
    <w:rsid w:val="006F686B"/>
    <w:rsid w:val="006F6B8D"/>
    <w:rsid w:val="006F6EB9"/>
    <w:rsid w:val="006F7B72"/>
    <w:rsid w:val="007001D1"/>
    <w:rsid w:val="00700757"/>
    <w:rsid w:val="00700A32"/>
    <w:rsid w:val="00701583"/>
    <w:rsid w:val="00701B27"/>
    <w:rsid w:val="007022AE"/>
    <w:rsid w:val="0070372A"/>
    <w:rsid w:val="00703A9D"/>
    <w:rsid w:val="007041B4"/>
    <w:rsid w:val="00704C84"/>
    <w:rsid w:val="00706A47"/>
    <w:rsid w:val="007077DD"/>
    <w:rsid w:val="00707A73"/>
    <w:rsid w:val="00710068"/>
    <w:rsid w:val="00710478"/>
    <w:rsid w:val="0071173C"/>
    <w:rsid w:val="00713EF8"/>
    <w:rsid w:val="00714A3D"/>
    <w:rsid w:val="00716A19"/>
    <w:rsid w:val="00717111"/>
    <w:rsid w:val="0071717A"/>
    <w:rsid w:val="0072160A"/>
    <w:rsid w:val="00722FA4"/>
    <w:rsid w:val="00723A4C"/>
    <w:rsid w:val="00724C2D"/>
    <w:rsid w:val="00725713"/>
    <w:rsid w:val="00727F6C"/>
    <w:rsid w:val="0073233B"/>
    <w:rsid w:val="0073465C"/>
    <w:rsid w:val="0073478A"/>
    <w:rsid w:val="00734F08"/>
    <w:rsid w:val="00736DDC"/>
    <w:rsid w:val="007375FE"/>
    <w:rsid w:val="00740571"/>
    <w:rsid w:val="00741999"/>
    <w:rsid w:val="00742966"/>
    <w:rsid w:val="007453F6"/>
    <w:rsid w:val="00745891"/>
    <w:rsid w:val="007459D4"/>
    <w:rsid w:val="00745B4D"/>
    <w:rsid w:val="00750BA5"/>
    <w:rsid w:val="00750E8E"/>
    <w:rsid w:val="00752E89"/>
    <w:rsid w:val="007532CC"/>
    <w:rsid w:val="007545FE"/>
    <w:rsid w:val="007572AB"/>
    <w:rsid w:val="0076005C"/>
    <w:rsid w:val="007609C4"/>
    <w:rsid w:val="00763398"/>
    <w:rsid w:val="0076348B"/>
    <w:rsid w:val="007644B0"/>
    <w:rsid w:val="0076495A"/>
    <w:rsid w:val="00765220"/>
    <w:rsid w:val="00765D6B"/>
    <w:rsid w:val="00766310"/>
    <w:rsid w:val="00766CD9"/>
    <w:rsid w:val="00767906"/>
    <w:rsid w:val="007701E8"/>
    <w:rsid w:val="007702C3"/>
    <w:rsid w:val="0077032A"/>
    <w:rsid w:val="007718B1"/>
    <w:rsid w:val="007727FC"/>
    <w:rsid w:val="007733EF"/>
    <w:rsid w:val="007743E8"/>
    <w:rsid w:val="0077548C"/>
    <w:rsid w:val="00775AD5"/>
    <w:rsid w:val="00776A0D"/>
    <w:rsid w:val="0078072A"/>
    <w:rsid w:val="00781124"/>
    <w:rsid w:val="00781E56"/>
    <w:rsid w:val="0078275D"/>
    <w:rsid w:val="00783A90"/>
    <w:rsid w:val="0078446E"/>
    <w:rsid w:val="007849F5"/>
    <w:rsid w:val="00784A73"/>
    <w:rsid w:val="00784ADE"/>
    <w:rsid w:val="00784CAF"/>
    <w:rsid w:val="00785373"/>
    <w:rsid w:val="00785C19"/>
    <w:rsid w:val="00785F14"/>
    <w:rsid w:val="00787E50"/>
    <w:rsid w:val="007900CC"/>
    <w:rsid w:val="0079325D"/>
    <w:rsid w:val="00793771"/>
    <w:rsid w:val="00793C8A"/>
    <w:rsid w:val="007946EE"/>
    <w:rsid w:val="0079477E"/>
    <w:rsid w:val="007950E5"/>
    <w:rsid w:val="007953A9"/>
    <w:rsid w:val="0079629A"/>
    <w:rsid w:val="007971D4"/>
    <w:rsid w:val="00797ACA"/>
    <w:rsid w:val="00797D73"/>
    <w:rsid w:val="007A1552"/>
    <w:rsid w:val="007A1657"/>
    <w:rsid w:val="007A1E57"/>
    <w:rsid w:val="007A2D39"/>
    <w:rsid w:val="007A309B"/>
    <w:rsid w:val="007A3828"/>
    <w:rsid w:val="007A485C"/>
    <w:rsid w:val="007A7A5B"/>
    <w:rsid w:val="007B0D7D"/>
    <w:rsid w:val="007B15FA"/>
    <w:rsid w:val="007B24D6"/>
    <w:rsid w:val="007B2551"/>
    <w:rsid w:val="007B324B"/>
    <w:rsid w:val="007B3BB7"/>
    <w:rsid w:val="007B4D3C"/>
    <w:rsid w:val="007B6178"/>
    <w:rsid w:val="007B6B6D"/>
    <w:rsid w:val="007B7017"/>
    <w:rsid w:val="007B74F8"/>
    <w:rsid w:val="007B7C88"/>
    <w:rsid w:val="007C0D87"/>
    <w:rsid w:val="007C14F4"/>
    <w:rsid w:val="007C280C"/>
    <w:rsid w:val="007C3467"/>
    <w:rsid w:val="007C41BE"/>
    <w:rsid w:val="007C4531"/>
    <w:rsid w:val="007C4A7E"/>
    <w:rsid w:val="007C4BAD"/>
    <w:rsid w:val="007C6C97"/>
    <w:rsid w:val="007C762C"/>
    <w:rsid w:val="007C762E"/>
    <w:rsid w:val="007C7793"/>
    <w:rsid w:val="007C7CF0"/>
    <w:rsid w:val="007D0B33"/>
    <w:rsid w:val="007D15D8"/>
    <w:rsid w:val="007D1C3D"/>
    <w:rsid w:val="007D22B3"/>
    <w:rsid w:val="007D4566"/>
    <w:rsid w:val="007D46FD"/>
    <w:rsid w:val="007D6646"/>
    <w:rsid w:val="007D6669"/>
    <w:rsid w:val="007D711E"/>
    <w:rsid w:val="007E01D5"/>
    <w:rsid w:val="007E1398"/>
    <w:rsid w:val="007E1DD8"/>
    <w:rsid w:val="007E21CA"/>
    <w:rsid w:val="007E22F3"/>
    <w:rsid w:val="007E27F1"/>
    <w:rsid w:val="007E345D"/>
    <w:rsid w:val="007E36B1"/>
    <w:rsid w:val="007E3765"/>
    <w:rsid w:val="007E3CF2"/>
    <w:rsid w:val="007E62AD"/>
    <w:rsid w:val="007F00EA"/>
    <w:rsid w:val="007F0471"/>
    <w:rsid w:val="007F0518"/>
    <w:rsid w:val="007F294D"/>
    <w:rsid w:val="007F33BC"/>
    <w:rsid w:val="007F366F"/>
    <w:rsid w:val="007F474B"/>
    <w:rsid w:val="007F549F"/>
    <w:rsid w:val="007F776D"/>
    <w:rsid w:val="007F7CD8"/>
    <w:rsid w:val="00801129"/>
    <w:rsid w:val="00802587"/>
    <w:rsid w:val="008027A7"/>
    <w:rsid w:val="00802B29"/>
    <w:rsid w:val="00803141"/>
    <w:rsid w:val="00803E37"/>
    <w:rsid w:val="0080400F"/>
    <w:rsid w:val="00804EA9"/>
    <w:rsid w:val="008067D3"/>
    <w:rsid w:val="00810202"/>
    <w:rsid w:val="008104EC"/>
    <w:rsid w:val="0081051C"/>
    <w:rsid w:val="00811214"/>
    <w:rsid w:val="008113A8"/>
    <w:rsid w:val="00811B5C"/>
    <w:rsid w:val="0081212F"/>
    <w:rsid w:val="008131F9"/>
    <w:rsid w:val="00813233"/>
    <w:rsid w:val="008143FE"/>
    <w:rsid w:val="00814EFC"/>
    <w:rsid w:val="008152B3"/>
    <w:rsid w:val="00816636"/>
    <w:rsid w:val="008175EA"/>
    <w:rsid w:val="0081793E"/>
    <w:rsid w:val="00820085"/>
    <w:rsid w:val="00821766"/>
    <w:rsid w:val="00821862"/>
    <w:rsid w:val="008218D4"/>
    <w:rsid w:val="00821E79"/>
    <w:rsid w:val="00822179"/>
    <w:rsid w:val="008228DE"/>
    <w:rsid w:val="00822B89"/>
    <w:rsid w:val="00823207"/>
    <w:rsid w:val="008232F3"/>
    <w:rsid w:val="00823971"/>
    <w:rsid w:val="00823D9A"/>
    <w:rsid w:val="008245D4"/>
    <w:rsid w:val="0082496F"/>
    <w:rsid w:val="00825277"/>
    <w:rsid w:val="008263E6"/>
    <w:rsid w:val="008278C7"/>
    <w:rsid w:val="00830C90"/>
    <w:rsid w:val="008312CA"/>
    <w:rsid w:val="00831670"/>
    <w:rsid w:val="008322B9"/>
    <w:rsid w:val="00833D32"/>
    <w:rsid w:val="0083483A"/>
    <w:rsid w:val="00835921"/>
    <w:rsid w:val="00836A77"/>
    <w:rsid w:val="0083704C"/>
    <w:rsid w:val="0083749D"/>
    <w:rsid w:val="00837DDA"/>
    <w:rsid w:val="00840856"/>
    <w:rsid w:val="0084106A"/>
    <w:rsid w:val="00842D8B"/>
    <w:rsid w:val="008430BA"/>
    <w:rsid w:val="008435A4"/>
    <w:rsid w:val="00843DEC"/>
    <w:rsid w:val="008441FF"/>
    <w:rsid w:val="0084526E"/>
    <w:rsid w:val="00847468"/>
    <w:rsid w:val="00847FD8"/>
    <w:rsid w:val="00850691"/>
    <w:rsid w:val="0085121B"/>
    <w:rsid w:val="0085368D"/>
    <w:rsid w:val="0085484D"/>
    <w:rsid w:val="00854E6F"/>
    <w:rsid w:val="00856D68"/>
    <w:rsid w:val="00857634"/>
    <w:rsid w:val="00857F6C"/>
    <w:rsid w:val="00860842"/>
    <w:rsid w:val="0086181D"/>
    <w:rsid w:val="00863321"/>
    <w:rsid w:val="008640FB"/>
    <w:rsid w:val="008652C2"/>
    <w:rsid w:val="00865FF5"/>
    <w:rsid w:val="00866021"/>
    <w:rsid w:val="00866739"/>
    <w:rsid w:val="00866BBF"/>
    <w:rsid w:val="008679EF"/>
    <w:rsid w:val="008700CA"/>
    <w:rsid w:val="00870150"/>
    <w:rsid w:val="008725EB"/>
    <w:rsid w:val="0087272E"/>
    <w:rsid w:val="00873396"/>
    <w:rsid w:val="008745A0"/>
    <w:rsid w:val="00874AB7"/>
    <w:rsid w:val="00874E2B"/>
    <w:rsid w:val="00875445"/>
    <w:rsid w:val="00880379"/>
    <w:rsid w:val="0088041C"/>
    <w:rsid w:val="00880FC6"/>
    <w:rsid w:val="00882C49"/>
    <w:rsid w:val="008832E3"/>
    <w:rsid w:val="00884926"/>
    <w:rsid w:val="008852B6"/>
    <w:rsid w:val="00885D45"/>
    <w:rsid w:val="0088624B"/>
    <w:rsid w:val="00887777"/>
    <w:rsid w:val="00887BBD"/>
    <w:rsid w:val="008905BF"/>
    <w:rsid w:val="00890EB1"/>
    <w:rsid w:val="00890F19"/>
    <w:rsid w:val="00891D08"/>
    <w:rsid w:val="0089214C"/>
    <w:rsid w:val="008922DA"/>
    <w:rsid w:val="0089236E"/>
    <w:rsid w:val="00892E36"/>
    <w:rsid w:val="008931DD"/>
    <w:rsid w:val="0089347E"/>
    <w:rsid w:val="00893983"/>
    <w:rsid w:val="00893F09"/>
    <w:rsid w:val="008940C6"/>
    <w:rsid w:val="00894DDD"/>
    <w:rsid w:val="008963EF"/>
    <w:rsid w:val="0089672E"/>
    <w:rsid w:val="00896CA0"/>
    <w:rsid w:val="008A1A27"/>
    <w:rsid w:val="008A1C80"/>
    <w:rsid w:val="008A22BE"/>
    <w:rsid w:val="008A35DD"/>
    <w:rsid w:val="008A3B8E"/>
    <w:rsid w:val="008A47FD"/>
    <w:rsid w:val="008A4CF7"/>
    <w:rsid w:val="008A4E63"/>
    <w:rsid w:val="008A581E"/>
    <w:rsid w:val="008A5D4D"/>
    <w:rsid w:val="008A607B"/>
    <w:rsid w:val="008A6D4C"/>
    <w:rsid w:val="008B0968"/>
    <w:rsid w:val="008B09E7"/>
    <w:rsid w:val="008B0E3D"/>
    <w:rsid w:val="008B139D"/>
    <w:rsid w:val="008B2605"/>
    <w:rsid w:val="008B2AF2"/>
    <w:rsid w:val="008B3343"/>
    <w:rsid w:val="008B3A74"/>
    <w:rsid w:val="008B3E6D"/>
    <w:rsid w:val="008B3E8C"/>
    <w:rsid w:val="008B469A"/>
    <w:rsid w:val="008B5C84"/>
    <w:rsid w:val="008C2075"/>
    <w:rsid w:val="008C2131"/>
    <w:rsid w:val="008C240C"/>
    <w:rsid w:val="008C2AA0"/>
    <w:rsid w:val="008C3F30"/>
    <w:rsid w:val="008C4D3C"/>
    <w:rsid w:val="008C5190"/>
    <w:rsid w:val="008C53AB"/>
    <w:rsid w:val="008C53AC"/>
    <w:rsid w:val="008C53DD"/>
    <w:rsid w:val="008C544D"/>
    <w:rsid w:val="008C5470"/>
    <w:rsid w:val="008C5BC9"/>
    <w:rsid w:val="008C6C6C"/>
    <w:rsid w:val="008C6DE1"/>
    <w:rsid w:val="008C72AD"/>
    <w:rsid w:val="008C7971"/>
    <w:rsid w:val="008C7C6F"/>
    <w:rsid w:val="008C7DE1"/>
    <w:rsid w:val="008D036F"/>
    <w:rsid w:val="008D13F2"/>
    <w:rsid w:val="008D1418"/>
    <w:rsid w:val="008D162D"/>
    <w:rsid w:val="008D17BF"/>
    <w:rsid w:val="008D2CFA"/>
    <w:rsid w:val="008D3445"/>
    <w:rsid w:val="008D3CF9"/>
    <w:rsid w:val="008D4ADF"/>
    <w:rsid w:val="008D54B5"/>
    <w:rsid w:val="008D58CC"/>
    <w:rsid w:val="008D6D92"/>
    <w:rsid w:val="008D6E7C"/>
    <w:rsid w:val="008D738B"/>
    <w:rsid w:val="008D7429"/>
    <w:rsid w:val="008D7E44"/>
    <w:rsid w:val="008E0A9D"/>
    <w:rsid w:val="008E0B75"/>
    <w:rsid w:val="008E0B80"/>
    <w:rsid w:val="008E13B2"/>
    <w:rsid w:val="008E1675"/>
    <w:rsid w:val="008E22CD"/>
    <w:rsid w:val="008E2EF9"/>
    <w:rsid w:val="008E3988"/>
    <w:rsid w:val="008E3D3F"/>
    <w:rsid w:val="008E5248"/>
    <w:rsid w:val="008E5558"/>
    <w:rsid w:val="008E5B47"/>
    <w:rsid w:val="008E64D9"/>
    <w:rsid w:val="008E6672"/>
    <w:rsid w:val="008E6F8B"/>
    <w:rsid w:val="008E7A7D"/>
    <w:rsid w:val="008F0AC1"/>
    <w:rsid w:val="008F0BD5"/>
    <w:rsid w:val="008F1B2D"/>
    <w:rsid w:val="008F1D85"/>
    <w:rsid w:val="008F2AB3"/>
    <w:rsid w:val="008F2C4F"/>
    <w:rsid w:val="008F34CF"/>
    <w:rsid w:val="008F45FA"/>
    <w:rsid w:val="008F5E88"/>
    <w:rsid w:val="008F6254"/>
    <w:rsid w:val="008F76AE"/>
    <w:rsid w:val="008F7A45"/>
    <w:rsid w:val="008F7B4B"/>
    <w:rsid w:val="00900CB3"/>
    <w:rsid w:val="00901E8D"/>
    <w:rsid w:val="00902526"/>
    <w:rsid w:val="00902531"/>
    <w:rsid w:val="009030DB"/>
    <w:rsid w:val="00903443"/>
    <w:rsid w:val="009045FA"/>
    <w:rsid w:val="00904B9C"/>
    <w:rsid w:val="00904F1D"/>
    <w:rsid w:val="00905525"/>
    <w:rsid w:val="00905F37"/>
    <w:rsid w:val="00905FD5"/>
    <w:rsid w:val="00906F16"/>
    <w:rsid w:val="0090703D"/>
    <w:rsid w:val="00907586"/>
    <w:rsid w:val="00907B4F"/>
    <w:rsid w:val="0091101E"/>
    <w:rsid w:val="0091273E"/>
    <w:rsid w:val="00913E19"/>
    <w:rsid w:val="00914D2E"/>
    <w:rsid w:val="009153E0"/>
    <w:rsid w:val="00916690"/>
    <w:rsid w:val="009173EB"/>
    <w:rsid w:val="00917707"/>
    <w:rsid w:val="009206E2"/>
    <w:rsid w:val="0092142E"/>
    <w:rsid w:val="009222B0"/>
    <w:rsid w:val="00922367"/>
    <w:rsid w:val="00923879"/>
    <w:rsid w:val="009260B4"/>
    <w:rsid w:val="00926D14"/>
    <w:rsid w:val="00926E75"/>
    <w:rsid w:val="0092793C"/>
    <w:rsid w:val="009300D2"/>
    <w:rsid w:val="0093035C"/>
    <w:rsid w:val="0093144A"/>
    <w:rsid w:val="00931C8E"/>
    <w:rsid w:val="0093247C"/>
    <w:rsid w:val="00932EF7"/>
    <w:rsid w:val="00934E6C"/>
    <w:rsid w:val="00935A6B"/>
    <w:rsid w:val="00936C90"/>
    <w:rsid w:val="00936EF9"/>
    <w:rsid w:val="00937026"/>
    <w:rsid w:val="0093763D"/>
    <w:rsid w:val="00940228"/>
    <w:rsid w:val="00940614"/>
    <w:rsid w:val="00940F1E"/>
    <w:rsid w:val="00941401"/>
    <w:rsid w:val="00943887"/>
    <w:rsid w:val="00945353"/>
    <w:rsid w:val="00946562"/>
    <w:rsid w:val="0094696E"/>
    <w:rsid w:val="0094701A"/>
    <w:rsid w:val="00947221"/>
    <w:rsid w:val="0095012E"/>
    <w:rsid w:val="00950DA1"/>
    <w:rsid w:val="009512AC"/>
    <w:rsid w:val="009521CA"/>
    <w:rsid w:val="009552D4"/>
    <w:rsid w:val="0095561D"/>
    <w:rsid w:val="00956AB9"/>
    <w:rsid w:val="00957704"/>
    <w:rsid w:val="00957DD3"/>
    <w:rsid w:val="009601AB"/>
    <w:rsid w:val="009601AE"/>
    <w:rsid w:val="00960D2A"/>
    <w:rsid w:val="0096139C"/>
    <w:rsid w:val="0096207A"/>
    <w:rsid w:val="009630A3"/>
    <w:rsid w:val="00963335"/>
    <w:rsid w:val="00963AC1"/>
    <w:rsid w:val="0096620D"/>
    <w:rsid w:val="00966F6B"/>
    <w:rsid w:val="00967168"/>
    <w:rsid w:val="00967932"/>
    <w:rsid w:val="00967EA3"/>
    <w:rsid w:val="00970BA3"/>
    <w:rsid w:val="00971AEF"/>
    <w:rsid w:val="00971C46"/>
    <w:rsid w:val="00971D6B"/>
    <w:rsid w:val="00973138"/>
    <w:rsid w:val="009770B7"/>
    <w:rsid w:val="009776C2"/>
    <w:rsid w:val="009807CF"/>
    <w:rsid w:val="0098175F"/>
    <w:rsid w:val="00982162"/>
    <w:rsid w:val="009833E4"/>
    <w:rsid w:val="00983B1F"/>
    <w:rsid w:val="00983D5F"/>
    <w:rsid w:val="0098402F"/>
    <w:rsid w:val="0098512F"/>
    <w:rsid w:val="00985845"/>
    <w:rsid w:val="00985ED0"/>
    <w:rsid w:val="0098646A"/>
    <w:rsid w:val="00986C9B"/>
    <w:rsid w:val="009909C3"/>
    <w:rsid w:val="00990A2B"/>
    <w:rsid w:val="00990DD5"/>
    <w:rsid w:val="00992349"/>
    <w:rsid w:val="009929EE"/>
    <w:rsid w:val="0099361A"/>
    <w:rsid w:val="00993AF8"/>
    <w:rsid w:val="00993D6C"/>
    <w:rsid w:val="009948A4"/>
    <w:rsid w:val="00994F87"/>
    <w:rsid w:val="009A07A0"/>
    <w:rsid w:val="009A135D"/>
    <w:rsid w:val="009A4F9A"/>
    <w:rsid w:val="009A724D"/>
    <w:rsid w:val="009A73A0"/>
    <w:rsid w:val="009A7EA1"/>
    <w:rsid w:val="009B04A4"/>
    <w:rsid w:val="009B0CDA"/>
    <w:rsid w:val="009B10C5"/>
    <w:rsid w:val="009B211B"/>
    <w:rsid w:val="009B2FE3"/>
    <w:rsid w:val="009B3FDA"/>
    <w:rsid w:val="009B44A5"/>
    <w:rsid w:val="009B539E"/>
    <w:rsid w:val="009B63AE"/>
    <w:rsid w:val="009B7B40"/>
    <w:rsid w:val="009C0D1D"/>
    <w:rsid w:val="009C24EA"/>
    <w:rsid w:val="009C2522"/>
    <w:rsid w:val="009C27F4"/>
    <w:rsid w:val="009C28EB"/>
    <w:rsid w:val="009C2F4A"/>
    <w:rsid w:val="009C304D"/>
    <w:rsid w:val="009C3139"/>
    <w:rsid w:val="009C55E1"/>
    <w:rsid w:val="009C5AF8"/>
    <w:rsid w:val="009C5D4A"/>
    <w:rsid w:val="009C6283"/>
    <w:rsid w:val="009C716B"/>
    <w:rsid w:val="009C73D0"/>
    <w:rsid w:val="009C7CB4"/>
    <w:rsid w:val="009D0079"/>
    <w:rsid w:val="009D093E"/>
    <w:rsid w:val="009D0C64"/>
    <w:rsid w:val="009D0F49"/>
    <w:rsid w:val="009D131A"/>
    <w:rsid w:val="009D1B8D"/>
    <w:rsid w:val="009D22BF"/>
    <w:rsid w:val="009D32F8"/>
    <w:rsid w:val="009D41EB"/>
    <w:rsid w:val="009D4737"/>
    <w:rsid w:val="009D5240"/>
    <w:rsid w:val="009D65DB"/>
    <w:rsid w:val="009D7586"/>
    <w:rsid w:val="009D77DA"/>
    <w:rsid w:val="009D7B6F"/>
    <w:rsid w:val="009E0071"/>
    <w:rsid w:val="009E03FD"/>
    <w:rsid w:val="009E0E00"/>
    <w:rsid w:val="009E18F8"/>
    <w:rsid w:val="009E23EC"/>
    <w:rsid w:val="009E26B0"/>
    <w:rsid w:val="009E2C74"/>
    <w:rsid w:val="009E2D43"/>
    <w:rsid w:val="009E348E"/>
    <w:rsid w:val="009E3499"/>
    <w:rsid w:val="009E43B8"/>
    <w:rsid w:val="009E47A3"/>
    <w:rsid w:val="009E4CFB"/>
    <w:rsid w:val="009E6EC8"/>
    <w:rsid w:val="009E7FB8"/>
    <w:rsid w:val="009F0C20"/>
    <w:rsid w:val="009F421D"/>
    <w:rsid w:val="009F4A7D"/>
    <w:rsid w:val="009F5EAC"/>
    <w:rsid w:val="009F6259"/>
    <w:rsid w:val="009F7F49"/>
    <w:rsid w:val="00A00759"/>
    <w:rsid w:val="00A00EA8"/>
    <w:rsid w:val="00A015C7"/>
    <w:rsid w:val="00A01CD8"/>
    <w:rsid w:val="00A022CB"/>
    <w:rsid w:val="00A02D21"/>
    <w:rsid w:val="00A03D05"/>
    <w:rsid w:val="00A04855"/>
    <w:rsid w:val="00A05F58"/>
    <w:rsid w:val="00A06D2B"/>
    <w:rsid w:val="00A07D48"/>
    <w:rsid w:val="00A10CED"/>
    <w:rsid w:val="00A10FAC"/>
    <w:rsid w:val="00A12AD0"/>
    <w:rsid w:val="00A12DE8"/>
    <w:rsid w:val="00A13008"/>
    <w:rsid w:val="00A13067"/>
    <w:rsid w:val="00A13D91"/>
    <w:rsid w:val="00A13D97"/>
    <w:rsid w:val="00A1413F"/>
    <w:rsid w:val="00A160F1"/>
    <w:rsid w:val="00A17EB4"/>
    <w:rsid w:val="00A22267"/>
    <w:rsid w:val="00A24902"/>
    <w:rsid w:val="00A254BC"/>
    <w:rsid w:val="00A25B8A"/>
    <w:rsid w:val="00A25F17"/>
    <w:rsid w:val="00A2621E"/>
    <w:rsid w:val="00A262B1"/>
    <w:rsid w:val="00A30806"/>
    <w:rsid w:val="00A318E2"/>
    <w:rsid w:val="00A328A9"/>
    <w:rsid w:val="00A32ADE"/>
    <w:rsid w:val="00A32E14"/>
    <w:rsid w:val="00A33AA0"/>
    <w:rsid w:val="00A34197"/>
    <w:rsid w:val="00A34522"/>
    <w:rsid w:val="00A34C72"/>
    <w:rsid w:val="00A353BB"/>
    <w:rsid w:val="00A359F5"/>
    <w:rsid w:val="00A367DC"/>
    <w:rsid w:val="00A36CEB"/>
    <w:rsid w:val="00A36F3B"/>
    <w:rsid w:val="00A37D60"/>
    <w:rsid w:val="00A4008C"/>
    <w:rsid w:val="00A40BB4"/>
    <w:rsid w:val="00A4180D"/>
    <w:rsid w:val="00A418D2"/>
    <w:rsid w:val="00A421DD"/>
    <w:rsid w:val="00A42A15"/>
    <w:rsid w:val="00A42D15"/>
    <w:rsid w:val="00A43260"/>
    <w:rsid w:val="00A438FA"/>
    <w:rsid w:val="00A47A12"/>
    <w:rsid w:val="00A51054"/>
    <w:rsid w:val="00A52C56"/>
    <w:rsid w:val="00A5364D"/>
    <w:rsid w:val="00A541DB"/>
    <w:rsid w:val="00A55CD1"/>
    <w:rsid w:val="00A56A52"/>
    <w:rsid w:val="00A574F2"/>
    <w:rsid w:val="00A60819"/>
    <w:rsid w:val="00A61EA6"/>
    <w:rsid w:val="00A62D19"/>
    <w:rsid w:val="00A62DF7"/>
    <w:rsid w:val="00A640DD"/>
    <w:rsid w:val="00A645E7"/>
    <w:rsid w:val="00A64863"/>
    <w:rsid w:val="00A64EE5"/>
    <w:rsid w:val="00A656B6"/>
    <w:rsid w:val="00A6579B"/>
    <w:rsid w:val="00A668FA"/>
    <w:rsid w:val="00A6780B"/>
    <w:rsid w:val="00A704ED"/>
    <w:rsid w:val="00A7074E"/>
    <w:rsid w:val="00A708B5"/>
    <w:rsid w:val="00A70AC7"/>
    <w:rsid w:val="00A7171A"/>
    <w:rsid w:val="00A71E07"/>
    <w:rsid w:val="00A7229F"/>
    <w:rsid w:val="00A73E0A"/>
    <w:rsid w:val="00A745BB"/>
    <w:rsid w:val="00A74BEE"/>
    <w:rsid w:val="00A7771B"/>
    <w:rsid w:val="00A80F04"/>
    <w:rsid w:val="00A835B4"/>
    <w:rsid w:val="00A839EC"/>
    <w:rsid w:val="00A841CB"/>
    <w:rsid w:val="00A8534D"/>
    <w:rsid w:val="00A8535A"/>
    <w:rsid w:val="00A85E5C"/>
    <w:rsid w:val="00A86366"/>
    <w:rsid w:val="00A87FB4"/>
    <w:rsid w:val="00A90061"/>
    <w:rsid w:val="00A90924"/>
    <w:rsid w:val="00A90FA2"/>
    <w:rsid w:val="00A91F21"/>
    <w:rsid w:val="00A923D7"/>
    <w:rsid w:val="00A93CE4"/>
    <w:rsid w:val="00A93D62"/>
    <w:rsid w:val="00A944AB"/>
    <w:rsid w:val="00A94FFB"/>
    <w:rsid w:val="00A96417"/>
    <w:rsid w:val="00A9797A"/>
    <w:rsid w:val="00AA029B"/>
    <w:rsid w:val="00AA0373"/>
    <w:rsid w:val="00AA0C32"/>
    <w:rsid w:val="00AA1145"/>
    <w:rsid w:val="00AA1E78"/>
    <w:rsid w:val="00AA1E98"/>
    <w:rsid w:val="00AA1FEE"/>
    <w:rsid w:val="00AA3CE9"/>
    <w:rsid w:val="00AA3DEF"/>
    <w:rsid w:val="00AA49B7"/>
    <w:rsid w:val="00AA4C20"/>
    <w:rsid w:val="00AA4F9A"/>
    <w:rsid w:val="00AA6F25"/>
    <w:rsid w:val="00AA759A"/>
    <w:rsid w:val="00AA768A"/>
    <w:rsid w:val="00AB0538"/>
    <w:rsid w:val="00AB0BA0"/>
    <w:rsid w:val="00AB16D9"/>
    <w:rsid w:val="00AB18F0"/>
    <w:rsid w:val="00AB1A24"/>
    <w:rsid w:val="00AB1B87"/>
    <w:rsid w:val="00AB23D0"/>
    <w:rsid w:val="00AB3906"/>
    <w:rsid w:val="00AB4D74"/>
    <w:rsid w:val="00AB547A"/>
    <w:rsid w:val="00AB5938"/>
    <w:rsid w:val="00AB6D41"/>
    <w:rsid w:val="00AC002E"/>
    <w:rsid w:val="00AC1F6C"/>
    <w:rsid w:val="00AC20D2"/>
    <w:rsid w:val="00AC24CA"/>
    <w:rsid w:val="00AC2DD2"/>
    <w:rsid w:val="00AC445C"/>
    <w:rsid w:val="00AC4841"/>
    <w:rsid w:val="00AC4FCD"/>
    <w:rsid w:val="00AC5378"/>
    <w:rsid w:val="00AC5C03"/>
    <w:rsid w:val="00AC679D"/>
    <w:rsid w:val="00AD002E"/>
    <w:rsid w:val="00AD01A5"/>
    <w:rsid w:val="00AD0A79"/>
    <w:rsid w:val="00AD1FBF"/>
    <w:rsid w:val="00AD2013"/>
    <w:rsid w:val="00AD221D"/>
    <w:rsid w:val="00AD394D"/>
    <w:rsid w:val="00AD3E91"/>
    <w:rsid w:val="00AD433D"/>
    <w:rsid w:val="00AD4951"/>
    <w:rsid w:val="00AD68A4"/>
    <w:rsid w:val="00AD72FC"/>
    <w:rsid w:val="00AE355A"/>
    <w:rsid w:val="00AE3605"/>
    <w:rsid w:val="00AE3847"/>
    <w:rsid w:val="00AE3BF1"/>
    <w:rsid w:val="00AE3C6B"/>
    <w:rsid w:val="00AE413D"/>
    <w:rsid w:val="00AE5006"/>
    <w:rsid w:val="00AE626E"/>
    <w:rsid w:val="00AE6EFB"/>
    <w:rsid w:val="00AE7AA2"/>
    <w:rsid w:val="00AF1481"/>
    <w:rsid w:val="00AF14C9"/>
    <w:rsid w:val="00AF171D"/>
    <w:rsid w:val="00AF221B"/>
    <w:rsid w:val="00AF256C"/>
    <w:rsid w:val="00AF3186"/>
    <w:rsid w:val="00AF58DA"/>
    <w:rsid w:val="00AF78E3"/>
    <w:rsid w:val="00AF7915"/>
    <w:rsid w:val="00B0046D"/>
    <w:rsid w:val="00B00A04"/>
    <w:rsid w:val="00B011BF"/>
    <w:rsid w:val="00B035DC"/>
    <w:rsid w:val="00B04D4D"/>
    <w:rsid w:val="00B06A5C"/>
    <w:rsid w:val="00B10811"/>
    <w:rsid w:val="00B113DB"/>
    <w:rsid w:val="00B11E9A"/>
    <w:rsid w:val="00B12824"/>
    <w:rsid w:val="00B138BD"/>
    <w:rsid w:val="00B14999"/>
    <w:rsid w:val="00B15226"/>
    <w:rsid w:val="00B16367"/>
    <w:rsid w:val="00B16D79"/>
    <w:rsid w:val="00B176FF"/>
    <w:rsid w:val="00B17913"/>
    <w:rsid w:val="00B17A24"/>
    <w:rsid w:val="00B20747"/>
    <w:rsid w:val="00B208AA"/>
    <w:rsid w:val="00B20CD3"/>
    <w:rsid w:val="00B20ED5"/>
    <w:rsid w:val="00B221BB"/>
    <w:rsid w:val="00B227B4"/>
    <w:rsid w:val="00B23AFE"/>
    <w:rsid w:val="00B2405A"/>
    <w:rsid w:val="00B25EC6"/>
    <w:rsid w:val="00B265C9"/>
    <w:rsid w:val="00B27CEC"/>
    <w:rsid w:val="00B3064E"/>
    <w:rsid w:val="00B35412"/>
    <w:rsid w:val="00B37803"/>
    <w:rsid w:val="00B40BD8"/>
    <w:rsid w:val="00B414A8"/>
    <w:rsid w:val="00B417CE"/>
    <w:rsid w:val="00B4219C"/>
    <w:rsid w:val="00B42CEC"/>
    <w:rsid w:val="00B45C33"/>
    <w:rsid w:val="00B46EA8"/>
    <w:rsid w:val="00B47B71"/>
    <w:rsid w:val="00B47D49"/>
    <w:rsid w:val="00B47E9D"/>
    <w:rsid w:val="00B47EB3"/>
    <w:rsid w:val="00B47F3B"/>
    <w:rsid w:val="00B50A94"/>
    <w:rsid w:val="00B50C28"/>
    <w:rsid w:val="00B510DB"/>
    <w:rsid w:val="00B51812"/>
    <w:rsid w:val="00B51EF7"/>
    <w:rsid w:val="00B51FC1"/>
    <w:rsid w:val="00B521EF"/>
    <w:rsid w:val="00B5252C"/>
    <w:rsid w:val="00B53E61"/>
    <w:rsid w:val="00B54749"/>
    <w:rsid w:val="00B55106"/>
    <w:rsid w:val="00B5637B"/>
    <w:rsid w:val="00B57466"/>
    <w:rsid w:val="00B57A22"/>
    <w:rsid w:val="00B57A69"/>
    <w:rsid w:val="00B57A97"/>
    <w:rsid w:val="00B61670"/>
    <w:rsid w:val="00B61AF9"/>
    <w:rsid w:val="00B61EFB"/>
    <w:rsid w:val="00B62481"/>
    <w:rsid w:val="00B6289D"/>
    <w:rsid w:val="00B62D66"/>
    <w:rsid w:val="00B62F7D"/>
    <w:rsid w:val="00B6315F"/>
    <w:rsid w:val="00B64B52"/>
    <w:rsid w:val="00B667A2"/>
    <w:rsid w:val="00B66A75"/>
    <w:rsid w:val="00B6733D"/>
    <w:rsid w:val="00B67893"/>
    <w:rsid w:val="00B70A4D"/>
    <w:rsid w:val="00B70D6A"/>
    <w:rsid w:val="00B71566"/>
    <w:rsid w:val="00B7203E"/>
    <w:rsid w:val="00B73400"/>
    <w:rsid w:val="00B74080"/>
    <w:rsid w:val="00B74276"/>
    <w:rsid w:val="00B748C4"/>
    <w:rsid w:val="00B77B7B"/>
    <w:rsid w:val="00B807CA"/>
    <w:rsid w:val="00B80F60"/>
    <w:rsid w:val="00B81388"/>
    <w:rsid w:val="00B8217B"/>
    <w:rsid w:val="00B82830"/>
    <w:rsid w:val="00B82FAE"/>
    <w:rsid w:val="00B845A0"/>
    <w:rsid w:val="00B84CA9"/>
    <w:rsid w:val="00B84D4C"/>
    <w:rsid w:val="00B8670A"/>
    <w:rsid w:val="00B87284"/>
    <w:rsid w:val="00B874A3"/>
    <w:rsid w:val="00B87C36"/>
    <w:rsid w:val="00B9040C"/>
    <w:rsid w:val="00B90BC8"/>
    <w:rsid w:val="00B90D10"/>
    <w:rsid w:val="00B91EF2"/>
    <w:rsid w:val="00B92405"/>
    <w:rsid w:val="00B92E1B"/>
    <w:rsid w:val="00B9385A"/>
    <w:rsid w:val="00B93BF4"/>
    <w:rsid w:val="00B952D4"/>
    <w:rsid w:val="00B953FD"/>
    <w:rsid w:val="00B958FC"/>
    <w:rsid w:val="00B9628D"/>
    <w:rsid w:val="00BA103E"/>
    <w:rsid w:val="00BA1953"/>
    <w:rsid w:val="00BA27BE"/>
    <w:rsid w:val="00BA2DB8"/>
    <w:rsid w:val="00BA2FBE"/>
    <w:rsid w:val="00BA3D17"/>
    <w:rsid w:val="00BA4AD8"/>
    <w:rsid w:val="00BA4BE2"/>
    <w:rsid w:val="00BA5014"/>
    <w:rsid w:val="00BA597C"/>
    <w:rsid w:val="00BA5C5F"/>
    <w:rsid w:val="00BA5D65"/>
    <w:rsid w:val="00BA6012"/>
    <w:rsid w:val="00BB0B0F"/>
    <w:rsid w:val="00BB1C39"/>
    <w:rsid w:val="00BB22FC"/>
    <w:rsid w:val="00BB2577"/>
    <w:rsid w:val="00BB2B32"/>
    <w:rsid w:val="00BB5164"/>
    <w:rsid w:val="00BB58B1"/>
    <w:rsid w:val="00BB5A24"/>
    <w:rsid w:val="00BB6355"/>
    <w:rsid w:val="00BB6C87"/>
    <w:rsid w:val="00BB6D9D"/>
    <w:rsid w:val="00BB7BD0"/>
    <w:rsid w:val="00BC0731"/>
    <w:rsid w:val="00BC2C50"/>
    <w:rsid w:val="00BC31C4"/>
    <w:rsid w:val="00BC327A"/>
    <w:rsid w:val="00BC33F8"/>
    <w:rsid w:val="00BC4BCA"/>
    <w:rsid w:val="00BC4BD8"/>
    <w:rsid w:val="00BC4DFD"/>
    <w:rsid w:val="00BC625D"/>
    <w:rsid w:val="00BC6810"/>
    <w:rsid w:val="00BC74F4"/>
    <w:rsid w:val="00BC763E"/>
    <w:rsid w:val="00BC7D4E"/>
    <w:rsid w:val="00BD25BA"/>
    <w:rsid w:val="00BD369D"/>
    <w:rsid w:val="00BD59E0"/>
    <w:rsid w:val="00BD7174"/>
    <w:rsid w:val="00BD7B90"/>
    <w:rsid w:val="00BE112C"/>
    <w:rsid w:val="00BE2339"/>
    <w:rsid w:val="00BE3D42"/>
    <w:rsid w:val="00BE44B2"/>
    <w:rsid w:val="00BE487A"/>
    <w:rsid w:val="00BE4EF5"/>
    <w:rsid w:val="00BE50CD"/>
    <w:rsid w:val="00BE5B3E"/>
    <w:rsid w:val="00BE6834"/>
    <w:rsid w:val="00BF53DF"/>
    <w:rsid w:val="00BF77A1"/>
    <w:rsid w:val="00C01B37"/>
    <w:rsid w:val="00C02351"/>
    <w:rsid w:val="00C027A7"/>
    <w:rsid w:val="00C02F1A"/>
    <w:rsid w:val="00C03836"/>
    <w:rsid w:val="00C05470"/>
    <w:rsid w:val="00C05842"/>
    <w:rsid w:val="00C05D11"/>
    <w:rsid w:val="00C101AE"/>
    <w:rsid w:val="00C10543"/>
    <w:rsid w:val="00C105A8"/>
    <w:rsid w:val="00C126F5"/>
    <w:rsid w:val="00C12FF9"/>
    <w:rsid w:val="00C14222"/>
    <w:rsid w:val="00C14363"/>
    <w:rsid w:val="00C14FCF"/>
    <w:rsid w:val="00C15743"/>
    <w:rsid w:val="00C16C3D"/>
    <w:rsid w:val="00C16E93"/>
    <w:rsid w:val="00C17698"/>
    <w:rsid w:val="00C20310"/>
    <w:rsid w:val="00C20679"/>
    <w:rsid w:val="00C20BB0"/>
    <w:rsid w:val="00C21458"/>
    <w:rsid w:val="00C21911"/>
    <w:rsid w:val="00C21CE0"/>
    <w:rsid w:val="00C21EE4"/>
    <w:rsid w:val="00C220BE"/>
    <w:rsid w:val="00C23454"/>
    <w:rsid w:val="00C2442C"/>
    <w:rsid w:val="00C244F2"/>
    <w:rsid w:val="00C26354"/>
    <w:rsid w:val="00C2643D"/>
    <w:rsid w:val="00C27FD5"/>
    <w:rsid w:val="00C3039F"/>
    <w:rsid w:val="00C306AA"/>
    <w:rsid w:val="00C3170B"/>
    <w:rsid w:val="00C31EDC"/>
    <w:rsid w:val="00C32E26"/>
    <w:rsid w:val="00C32FC8"/>
    <w:rsid w:val="00C331B5"/>
    <w:rsid w:val="00C335EA"/>
    <w:rsid w:val="00C34A44"/>
    <w:rsid w:val="00C35442"/>
    <w:rsid w:val="00C369A8"/>
    <w:rsid w:val="00C372F4"/>
    <w:rsid w:val="00C37594"/>
    <w:rsid w:val="00C375CE"/>
    <w:rsid w:val="00C37D46"/>
    <w:rsid w:val="00C401B4"/>
    <w:rsid w:val="00C41C5C"/>
    <w:rsid w:val="00C427A3"/>
    <w:rsid w:val="00C44E80"/>
    <w:rsid w:val="00C450BE"/>
    <w:rsid w:val="00C456C1"/>
    <w:rsid w:val="00C47B71"/>
    <w:rsid w:val="00C47F34"/>
    <w:rsid w:val="00C50013"/>
    <w:rsid w:val="00C5026E"/>
    <w:rsid w:val="00C50339"/>
    <w:rsid w:val="00C51430"/>
    <w:rsid w:val="00C52312"/>
    <w:rsid w:val="00C54247"/>
    <w:rsid w:val="00C54A33"/>
    <w:rsid w:val="00C560A0"/>
    <w:rsid w:val="00C564DB"/>
    <w:rsid w:val="00C56F32"/>
    <w:rsid w:val="00C57262"/>
    <w:rsid w:val="00C579C7"/>
    <w:rsid w:val="00C6063E"/>
    <w:rsid w:val="00C6087E"/>
    <w:rsid w:val="00C6149E"/>
    <w:rsid w:val="00C617B4"/>
    <w:rsid w:val="00C61E9A"/>
    <w:rsid w:val="00C63417"/>
    <w:rsid w:val="00C63553"/>
    <w:rsid w:val="00C648AD"/>
    <w:rsid w:val="00C6605B"/>
    <w:rsid w:val="00C66177"/>
    <w:rsid w:val="00C66267"/>
    <w:rsid w:val="00C70CA7"/>
    <w:rsid w:val="00C719A5"/>
    <w:rsid w:val="00C728E5"/>
    <w:rsid w:val="00C72DD8"/>
    <w:rsid w:val="00C73EE1"/>
    <w:rsid w:val="00C74DE8"/>
    <w:rsid w:val="00C74EF6"/>
    <w:rsid w:val="00C75D2E"/>
    <w:rsid w:val="00C77E68"/>
    <w:rsid w:val="00C8024A"/>
    <w:rsid w:val="00C8197B"/>
    <w:rsid w:val="00C82BF6"/>
    <w:rsid w:val="00C82FBB"/>
    <w:rsid w:val="00C834F3"/>
    <w:rsid w:val="00C83D6E"/>
    <w:rsid w:val="00C85F4F"/>
    <w:rsid w:val="00C864CC"/>
    <w:rsid w:val="00C86626"/>
    <w:rsid w:val="00C867A1"/>
    <w:rsid w:val="00C86C1D"/>
    <w:rsid w:val="00C8701A"/>
    <w:rsid w:val="00C87B9E"/>
    <w:rsid w:val="00C91C30"/>
    <w:rsid w:val="00C91D2E"/>
    <w:rsid w:val="00C9240E"/>
    <w:rsid w:val="00C93469"/>
    <w:rsid w:val="00C9394F"/>
    <w:rsid w:val="00C94429"/>
    <w:rsid w:val="00C95C18"/>
    <w:rsid w:val="00C96618"/>
    <w:rsid w:val="00CA0D08"/>
    <w:rsid w:val="00CA102F"/>
    <w:rsid w:val="00CA226A"/>
    <w:rsid w:val="00CA2625"/>
    <w:rsid w:val="00CA288F"/>
    <w:rsid w:val="00CA2B90"/>
    <w:rsid w:val="00CA2FD7"/>
    <w:rsid w:val="00CA77EE"/>
    <w:rsid w:val="00CA7D0D"/>
    <w:rsid w:val="00CB0755"/>
    <w:rsid w:val="00CB08FD"/>
    <w:rsid w:val="00CB119B"/>
    <w:rsid w:val="00CB1D63"/>
    <w:rsid w:val="00CB1F16"/>
    <w:rsid w:val="00CB2195"/>
    <w:rsid w:val="00CB2C2A"/>
    <w:rsid w:val="00CB2CC4"/>
    <w:rsid w:val="00CB32C3"/>
    <w:rsid w:val="00CB36F1"/>
    <w:rsid w:val="00CB457C"/>
    <w:rsid w:val="00CB4AE1"/>
    <w:rsid w:val="00CB5300"/>
    <w:rsid w:val="00CB56F8"/>
    <w:rsid w:val="00CB582D"/>
    <w:rsid w:val="00CB5D3A"/>
    <w:rsid w:val="00CC032C"/>
    <w:rsid w:val="00CC06E7"/>
    <w:rsid w:val="00CC08AE"/>
    <w:rsid w:val="00CC0BC4"/>
    <w:rsid w:val="00CC0C8E"/>
    <w:rsid w:val="00CC12F0"/>
    <w:rsid w:val="00CC1F80"/>
    <w:rsid w:val="00CC2490"/>
    <w:rsid w:val="00CC2BE0"/>
    <w:rsid w:val="00CC3036"/>
    <w:rsid w:val="00CC3F80"/>
    <w:rsid w:val="00CC402D"/>
    <w:rsid w:val="00CC4212"/>
    <w:rsid w:val="00CC46F7"/>
    <w:rsid w:val="00CC4BC8"/>
    <w:rsid w:val="00CC59AD"/>
    <w:rsid w:val="00CD1D4A"/>
    <w:rsid w:val="00CD2692"/>
    <w:rsid w:val="00CD2DCB"/>
    <w:rsid w:val="00CD5DA1"/>
    <w:rsid w:val="00CD6B59"/>
    <w:rsid w:val="00CD7105"/>
    <w:rsid w:val="00CD75A9"/>
    <w:rsid w:val="00CE1079"/>
    <w:rsid w:val="00CE142B"/>
    <w:rsid w:val="00CE17AB"/>
    <w:rsid w:val="00CE1E9E"/>
    <w:rsid w:val="00CE55E6"/>
    <w:rsid w:val="00CE676D"/>
    <w:rsid w:val="00CE6D5C"/>
    <w:rsid w:val="00CF0DDD"/>
    <w:rsid w:val="00CF0E98"/>
    <w:rsid w:val="00CF2956"/>
    <w:rsid w:val="00CF3121"/>
    <w:rsid w:val="00CF33A6"/>
    <w:rsid w:val="00CF34E8"/>
    <w:rsid w:val="00CF37B6"/>
    <w:rsid w:val="00CF391F"/>
    <w:rsid w:val="00CF44F6"/>
    <w:rsid w:val="00CF4B79"/>
    <w:rsid w:val="00CF5EF6"/>
    <w:rsid w:val="00D007E5"/>
    <w:rsid w:val="00D018D9"/>
    <w:rsid w:val="00D01B4C"/>
    <w:rsid w:val="00D0298F"/>
    <w:rsid w:val="00D02B59"/>
    <w:rsid w:val="00D030E4"/>
    <w:rsid w:val="00D0422D"/>
    <w:rsid w:val="00D04BE5"/>
    <w:rsid w:val="00D05191"/>
    <w:rsid w:val="00D055D7"/>
    <w:rsid w:val="00D079CF"/>
    <w:rsid w:val="00D07AD4"/>
    <w:rsid w:val="00D100A9"/>
    <w:rsid w:val="00D100B7"/>
    <w:rsid w:val="00D131C4"/>
    <w:rsid w:val="00D143FE"/>
    <w:rsid w:val="00D14643"/>
    <w:rsid w:val="00D148E3"/>
    <w:rsid w:val="00D15E8A"/>
    <w:rsid w:val="00D170C8"/>
    <w:rsid w:val="00D1759C"/>
    <w:rsid w:val="00D20113"/>
    <w:rsid w:val="00D21242"/>
    <w:rsid w:val="00D212B3"/>
    <w:rsid w:val="00D22255"/>
    <w:rsid w:val="00D2280D"/>
    <w:rsid w:val="00D244B8"/>
    <w:rsid w:val="00D2470B"/>
    <w:rsid w:val="00D27AE7"/>
    <w:rsid w:val="00D31718"/>
    <w:rsid w:val="00D31BE6"/>
    <w:rsid w:val="00D34621"/>
    <w:rsid w:val="00D34871"/>
    <w:rsid w:val="00D35C7B"/>
    <w:rsid w:val="00D37257"/>
    <w:rsid w:val="00D4073C"/>
    <w:rsid w:val="00D407D4"/>
    <w:rsid w:val="00D40828"/>
    <w:rsid w:val="00D40BF1"/>
    <w:rsid w:val="00D410D9"/>
    <w:rsid w:val="00D41C36"/>
    <w:rsid w:val="00D46F05"/>
    <w:rsid w:val="00D47B43"/>
    <w:rsid w:val="00D52284"/>
    <w:rsid w:val="00D5385E"/>
    <w:rsid w:val="00D53C1D"/>
    <w:rsid w:val="00D53C23"/>
    <w:rsid w:val="00D54880"/>
    <w:rsid w:val="00D54D97"/>
    <w:rsid w:val="00D54E82"/>
    <w:rsid w:val="00D56D20"/>
    <w:rsid w:val="00D60766"/>
    <w:rsid w:val="00D6210C"/>
    <w:rsid w:val="00D623BC"/>
    <w:rsid w:val="00D62C55"/>
    <w:rsid w:val="00D640EE"/>
    <w:rsid w:val="00D642D8"/>
    <w:rsid w:val="00D64689"/>
    <w:rsid w:val="00D64BC3"/>
    <w:rsid w:val="00D6529D"/>
    <w:rsid w:val="00D65430"/>
    <w:rsid w:val="00D65F6B"/>
    <w:rsid w:val="00D66657"/>
    <w:rsid w:val="00D66B30"/>
    <w:rsid w:val="00D66CF0"/>
    <w:rsid w:val="00D6770B"/>
    <w:rsid w:val="00D67860"/>
    <w:rsid w:val="00D67B50"/>
    <w:rsid w:val="00D7078F"/>
    <w:rsid w:val="00D719BA"/>
    <w:rsid w:val="00D71FFD"/>
    <w:rsid w:val="00D72114"/>
    <w:rsid w:val="00D7252C"/>
    <w:rsid w:val="00D7254E"/>
    <w:rsid w:val="00D72ED4"/>
    <w:rsid w:val="00D741B6"/>
    <w:rsid w:val="00D765FF"/>
    <w:rsid w:val="00D77F8A"/>
    <w:rsid w:val="00D8013E"/>
    <w:rsid w:val="00D80234"/>
    <w:rsid w:val="00D80F2A"/>
    <w:rsid w:val="00D814A8"/>
    <w:rsid w:val="00D81B76"/>
    <w:rsid w:val="00D8230A"/>
    <w:rsid w:val="00D82F3E"/>
    <w:rsid w:val="00D835F3"/>
    <w:rsid w:val="00D845A0"/>
    <w:rsid w:val="00D8595E"/>
    <w:rsid w:val="00D86DA2"/>
    <w:rsid w:val="00D8748F"/>
    <w:rsid w:val="00D9001D"/>
    <w:rsid w:val="00D90C12"/>
    <w:rsid w:val="00D914DD"/>
    <w:rsid w:val="00D91A00"/>
    <w:rsid w:val="00D920D3"/>
    <w:rsid w:val="00D92D9C"/>
    <w:rsid w:val="00D9565C"/>
    <w:rsid w:val="00D962CB"/>
    <w:rsid w:val="00D9732D"/>
    <w:rsid w:val="00D97B2E"/>
    <w:rsid w:val="00D97FD0"/>
    <w:rsid w:val="00DA32C4"/>
    <w:rsid w:val="00DA39C2"/>
    <w:rsid w:val="00DA3E0F"/>
    <w:rsid w:val="00DA40BA"/>
    <w:rsid w:val="00DA54E5"/>
    <w:rsid w:val="00DA6535"/>
    <w:rsid w:val="00DA66DC"/>
    <w:rsid w:val="00DB0357"/>
    <w:rsid w:val="00DB03C4"/>
    <w:rsid w:val="00DB09BE"/>
    <w:rsid w:val="00DB0D8A"/>
    <w:rsid w:val="00DB0DB8"/>
    <w:rsid w:val="00DB1CC7"/>
    <w:rsid w:val="00DB20B0"/>
    <w:rsid w:val="00DB21F9"/>
    <w:rsid w:val="00DB2A8F"/>
    <w:rsid w:val="00DB2DC2"/>
    <w:rsid w:val="00DB3CED"/>
    <w:rsid w:val="00DB3EC8"/>
    <w:rsid w:val="00DB4C33"/>
    <w:rsid w:val="00DB551B"/>
    <w:rsid w:val="00DB5F9E"/>
    <w:rsid w:val="00DB67DE"/>
    <w:rsid w:val="00DB7F09"/>
    <w:rsid w:val="00DC1ECD"/>
    <w:rsid w:val="00DC28C2"/>
    <w:rsid w:val="00DC37C1"/>
    <w:rsid w:val="00DC4F98"/>
    <w:rsid w:val="00DC6F29"/>
    <w:rsid w:val="00DC7B5F"/>
    <w:rsid w:val="00DD142B"/>
    <w:rsid w:val="00DD1971"/>
    <w:rsid w:val="00DD2B23"/>
    <w:rsid w:val="00DD4CEA"/>
    <w:rsid w:val="00DD54EF"/>
    <w:rsid w:val="00DD59B4"/>
    <w:rsid w:val="00DD5DA9"/>
    <w:rsid w:val="00DE0C3A"/>
    <w:rsid w:val="00DE0CB7"/>
    <w:rsid w:val="00DE1EB1"/>
    <w:rsid w:val="00DE1FBB"/>
    <w:rsid w:val="00DE22CA"/>
    <w:rsid w:val="00DE242E"/>
    <w:rsid w:val="00DE2ABB"/>
    <w:rsid w:val="00DE3E92"/>
    <w:rsid w:val="00DE5465"/>
    <w:rsid w:val="00DE58FD"/>
    <w:rsid w:val="00DE6BB3"/>
    <w:rsid w:val="00DE70DB"/>
    <w:rsid w:val="00DE78A9"/>
    <w:rsid w:val="00DE7B4F"/>
    <w:rsid w:val="00DF074B"/>
    <w:rsid w:val="00DF0DF9"/>
    <w:rsid w:val="00DF0E73"/>
    <w:rsid w:val="00DF19DB"/>
    <w:rsid w:val="00DF226B"/>
    <w:rsid w:val="00DF23B2"/>
    <w:rsid w:val="00DF45C6"/>
    <w:rsid w:val="00DF4A99"/>
    <w:rsid w:val="00DF4AAD"/>
    <w:rsid w:val="00DF67D2"/>
    <w:rsid w:val="00DF6B12"/>
    <w:rsid w:val="00DF792F"/>
    <w:rsid w:val="00E00510"/>
    <w:rsid w:val="00E009DB"/>
    <w:rsid w:val="00E021A8"/>
    <w:rsid w:val="00E024C5"/>
    <w:rsid w:val="00E0299E"/>
    <w:rsid w:val="00E03659"/>
    <w:rsid w:val="00E0390C"/>
    <w:rsid w:val="00E03FCB"/>
    <w:rsid w:val="00E05238"/>
    <w:rsid w:val="00E05368"/>
    <w:rsid w:val="00E057CA"/>
    <w:rsid w:val="00E072A5"/>
    <w:rsid w:val="00E0773C"/>
    <w:rsid w:val="00E07899"/>
    <w:rsid w:val="00E07942"/>
    <w:rsid w:val="00E07E6D"/>
    <w:rsid w:val="00E10295"/>
    <w:rsid w:val="00E10C04"/>
    <w:rsid w:val="00E117F5"/>
    <w:rsid w:val="00E13AE2"/>
    <w:rsid w:val="00E13C07"/>
    <w:rsid w:val="00E142D4"/>
    <w:rsid w:val="00E15CB2"/>
    <w:rsid w:val="00E1608F"/>
    <w:rsid w:val="00E16EB9"/>
    <w:rsid w:val="00E17E62"/>
    <w:rsid w:val="00E209AE"/>
    <w:rsid w:val="00E210B0"/>
    <w:rsid w:val="00E217D4"/>
    <w:rsid w:val="00E2226C"/>
    <w:rsid w:val="00E23606"/>
    <w:rsid w:val="00E2449F"/>
    <w:rsid w:val="00E25350"/>
    <w:rsid w:val="00E25E7B"/>
    <w:rsid w:val="00E26116"/>
    <w:rsid w:val="00E26EEC"/>
    <w:rsid w:val="00E278AF"/>
    <w:rsid w:val="00E27CFA"/>
    <w:rsid w:val="00E30BED"/>
    <w:rsid w:val="00E31FB4"/>
    <w:rsid w:val="00E33657"/>
    <w:rsid w:val="00E33783"/>
    <w:rsid w:val="00E3398F"/>
    <w:rsid w:val="00E33E66"/>
    <w:rsid w:val="00E34665"/>
    <w:rsid w:val="00E363ED"/>
    <w:rsid w:val="00E364D7"/>
    <w:rsid w:val="00E37FF5"/>
    <w:rsid w:val="00E400A1"/>
    <w:rsid w:val="00E429B9"/>
    <w:rsid w:val="00E439A1"/>
    <w:rsid w:val="00E46D00"/>
    <w:rsid w:val="00E46DA7"/>
    <w:rsid w:val="00E46E6F"/>
    <w:rsid w:val="00E4773A"/>
    <w:rsid w:val="00E50F64"/>
    <w:rsid w:val="00E51709"/>
    <w:rsid w:val="00E53346"/>
    <w:rsid w:val="00E54FCD"/>
    <w:rsid w:val="00E55231"/>
    <w:rsid w:val="00E55B3A"/>
    <w:rsid w:val="00E561AC"/>
    <w:rsid w:val="00E564FB"/>
    <w:rsid w:val="00E56E65"/>
    <w:rsid w:val="00E572B4"/>
    <w:rsid w:val="00E57AB6"/>
    <w:rsid w:val="00E60256"/>
    <w:rsid w:val="00E60DEB"/>
    <w:rsid w:val="00E60FA5"/>
    <w:rsid w:val="00E623A5"/>
    <w:rsid w:val="00E626DE"/>
    <w:rsid w:val="00E629FD"/>
    <w:rsid w:val="00E63024"/>
    <w:rsid w:val="00E63F4C"/>
    <w:rsid w:val="00E64B52"/>
    <w:rsid w:val="00E66860"/>
    <w:rsid w:val="00E66C53"/>
    <w:rsid w:val="00E67323"/>
    <w:rsid w:val="00E70154"/>
    <w:rsid w:val="00E70D03"/>
    <w:rsid w:val="00E7108C"/>
    <w:rsid w:val="00E711C9"/>
    <w:rsid w:val="00E72480"/>
    <w:rsid w:val="00E7298D"/>
    <w:rsid w:val="00E73CEA"/>
    <w:rsid w:val="00E74778"/>
    <w:rsid w:val="00E75F45"/>
    <w:rsid w:val="00E76DE8"/>
    <w:rsid w:val="00E76E4D"/>
    <w:rsid w:val="00E77673"/>
    <w:rsid w:val="00E77C19"/>
    <w:rsid w:val="00E77EE2"/>
    <w:rsid w:val="00E806F8"/>
    <w:rsid w:val="00E80938"/>
    <w:rsid w:val="00E82325"/>
    <w:rsid w:val="00E827AF"/>
    <w:rsid w:val="00E8303D"/>
    <w:rsid w:val="00E851D2"/>
    <w:rsid w:val="00E860D9"/>
    <w:rsid w:val="00E8729B"/>
    <w:rsid w:val="00E9036C"/>
    <w:rsid w:val="00E906BC"/>
    <w:rsid w:val="00E91683"/>
    <w:rsid w:val="00E92084"/>
    <w:rsid w:val="00E922C5"/>
    <w:rsid w:val="00E92A9F"/>
    <w:rsid w:val="00E92DAA"/>
    <w:rsid w:val="00E93AAE"/>
    <w:rsid w:val="00E93EE0"/>
    <w:rsid w:val="00E967AA"/>
    <w:rsid w:val="00E97128"/>
    <w:rsid w:val="00E97515"/>
    <w:rsid w:val="00E975A3"/>
    <w:rsid w:val="00E97F86"/>
    <w:rsid w:val="00EA006F"/>
    <w:rsid w:val="00EA0E1C"/>
    <w:rsid w:val="00EA12CE"/>
    <w:rsid w:val="00EA1461"/>
    <w:rsid w:val="00EA1BC2"/>
    <w:rsid w:val="00EA29C0"/>
    <w:rsid w:val="00EA40FE"/>
    <w:rsid w:val="00EA4948"/>
    <w:rsid w:val="00EA4A5E"/>
    <w:rsid w:val="00EA4B4C"/>
    <w:rsid w:val="00EA4BF7"/>
    <w:rsid w:val="00EA7198"/>
    <w:rsid w:val="00EB2AA7"/>
    <w:rsid w:val="00EB5956"/>
    <w:rsid w:val="00EB6411"/>
    <w:rsid w:val="00EC084E"/>
    <w:rsid w:val="00EC21ED"/>
    <w:rsid w:val="00EC24BB"/>
    <w:rsid w:val="00EC29D2"/>
    <w:rsid w:val="00EC2AAF"/>
    <w:rsid w:val="00EC47F3"/>
    <w:rsid w:val="00EC6CAD"/>
    <w:rsid w:val="00ED1042"/>
    <w:rsid w:val="00ED116C"/>
    <w:rsid w:val="00ED1904"/>
    <w:rsid w:val="00ED19D3"/>
    <w:rsid w:val="00ED2B04"/>
    <w:rsid w:val="00ED4094"/>
    <w:rsid w:val="00ED4494"/>
    <w:rsid w:val="00ED58AD"/>
    <w:rsid w:val="00ED5D55"/>
    <w:rsid w:val="00ED73BE"/>
    <w:rsid w:val="00EE0603"/>
    <w:rsid w:val="00EE0FBE"/>
    <w:rsid w:val="00EE1434"/>
    <w:rsid w:val="00EE15B5"/>
    <w:rsid w:val="00EE1A61"/>
    <w:rsid w:val="00EE2398"/>
    <w:rsid w:val="00EE3E86"/>
    <w:rsid w:val="00EE6710"/>
    <w:rsid w:val="00EE690E"/>
    <w:rsid w:val="00EE705F"/>
    <w:rsid w:val="00EE7CD0"/>
    <w:rsid w:val="00EF0803"/>
    <w:rsid w:val="00EF1516"/>
    <w:rsid w:val="00EF1537"/>
    <w:rsid w:val="00EF1883"/>
    <w:rsid w:val="00EF2419"/>
    <w:rsid w:val="00EF34C3"/>
    <w:rsid w:val="00EF3A1A"/>
    <w:rsid w:val="00EF43AC"/>
    <w:rsid w:val="00EF4740"/>
    <w:rsid w:val="00EF4BE0"/>
    <w:rsid w:val="00EF4D55"/>
    <w:rsid w:val="00EF512D"/>
    <w:rsid w:val="00EF527F"/>
    <w:rsid w:val="00EF5DCE"/>
    <w:rsid w:val="00EF607F"/>
    <w:rsid w:val="00F001E2"/>
    <w:rsid w:val="00F01071"/>
    <w:rsid w:val="00F01A54"/>
    <w:rsid w:val="00F01FE9"/>
    <w:rsid w:val="00F0205A"/>
    <w:rsid w:val="00F0210D"/>
    <w:rsid w:val="00F02F5F"/>
    <w:rsid w:val="00F051D0"/>
    <w:rsid w:val="00F05A12"/>
    <w:rsid w:val="00F064E7"/>
    <w:rsid w:val="00F0725C"/>
    <w:rsid w:val="00F07B67"/>
    <w:rsid w:val="00F1194E"/>
    <w:rsid w:val="00F12207"/>
    <w:rsid w:val="00F12665"/>
    <w:rsid w:val="00F12C46"/>
    <w:rsid w:val="00F12F41"/>
    <w:rsid w:val="00F134D9"/>
    <w:rsid w:val="00F13ACB"/>
    <w:rsid w:val="00F1495C"/>
    <w:rsid w:val="00F15138"/>
    <w:rsid w:val="00F160EC"/>
    <w:rsid w:val="00F1645D"/>
    <w:rsid w:val="00F165E6"/>
    <w:rsid w:val="00F1677B"/>
    <w:rsid w:val="00F22EC0"/>
    <w:rsid w:val="00F23191"/>
    <w:rsid w:val="00F24100"/>
    <w:rsid w:val="00F24312"/>
    <w:rsid w:val="00F27507"/>
    <w:rsid w:val="00F2797C"/>
    <w:rsid w:val="00F30F66"/>
    <w:rsid w:val="00F31AA7"/>
    <w:rsid w:val="00F32352"/>
    <w:rsid w:val="00F32611"/>
    <w:rsid w:val="00F34796"/>
    <w:rsid w:val="00F34A09"/>
    <w:rsid w:val="00F34B3A"/>
    <w:rsid w:val="00F359D3"/>
    <w:rsid w:val="00F36FD5"/>
    <w:rsid w:val="00F37E67"/>
    <w:rsid w:val="00F40222"/>
    <w:rsid w:val="00F40B74"/>
    <w:rsid w:val="00F4256F"/>
    <w:rsid w:val="00F425CA"/>
    <w:rsid w:val="00F42ED4"/>
    <w:rsid w:val="00F43415"/>
    <w:rsid w:val="00F4401E"/>
    <w:rsid w:val="00F44E1E"/>
    <w:rsid w:val="00F4550F"/>
    <w:rsid w:val="00F45975"/>
    <w:rsid w:val="00F460B5"/>
    <w:rsid w:val="00F4635F"/>
    <w:rsid w:val="00F463B8"/>
    <w:rsid w:val="00F463C5"/>
    <w:rsid w:val="00F467EC"/>
    <w:rsid w:val="00F51992"/>
    <w:rsid w:val="00F51A6E"/>
    <w:rsid w:val="00F51AA1"/>
    <w:rsid w:val="00F53FFE"/>
    <w:rsid w:val="00F54A97"/>
    <w:rsid w:val="00F55074"/>
    <w:rsid w:val="00F56BBD"/>
    <w:rsid w:val="00F5712D"/>
    <w:rsid w:val="00F57C7C"/>
    <w:rsid w:val="00F60432"/>
    <w:rsid w:val="00F60E7F"/>
    <w:rsid w:val="00F616DB"/>
    <w:rsid w:val="00F62A64"/>
    <w:rsid w:val="00F63517"/>
    <w:rsid w:val="00F63C7C"/>
    <w:rsid w:val="00F64B5E"/>
    <w:rsid w:val="00F657CF"/>
    <w:rsid w:val="00F659ED"/>
    <w:rsid w:val="00F65C45"/>
    <w:rsid w:val="00F668CD"/>
    <w:rsid w:val="00F6748C"/>
    <w:rsid w:val="00F67627"/>
    <w:rsid w:val="00F67B63"/>
    <w:rsid w:val="00F703FA"/>
    <w:rsid w:val="00F709D7"/>
    <w:rsid w:val="00F71A0E"/>
    <w:rsid w:val="00F72733"/>
    <w:rsid w:val="00F72F78"/>
    <w:rsid w:val="00F732CB"/>
    <w:rsid w:val="00F738F6"/>
    <w:rsid w:val="00F739B7"/>
    <w:rsid w:val="00F73DFB"/>
    <w:rsid w:val="00F751E0"/>
    <w:rsid w:val="00F75221"/>
    <w:rsid w:val="00F77B82"/>
    <w:rsid w:val="00F801E4"/>
    <w:rsid w:val="00F836BD"/>
    <w:rsid w:val="00F83B6A"/>
    <w:rsid w:val="00F84700"/>
    <w:rsid w:val="00F850D6"/>
    <w:rsid w:val="00F856D7"/>
    <w:rsid w:val="00F85CF4"/>
    <w:rsid w:val="00F87F0A"/>
    <w:rsid w:val="00F90F6F"/>
    <w:rsid w:val="00F92B2A"/>
    <w:rsid w:val="00F92E28"/>
    <w:rsid w:val="00F9411E"/>
    <w:rsid w:val="00F94139"/>
    <w:rsid w:val="00F94947"/>
    <w:rsid w:val="00F951F0"/>
    <w:rsid w:val="00F95630"/>
    <w:rsid w:val="00F95778"/>
    <w:rsid w:val="00F958E1"/>
    <w:rsid w:val="00F95DD3"/>
    <w:rsid w:val="00F973DD"/>
    <w:rsid w:val="00F97C3E"/>
    <w:rsid w:val="00F97CA7"/>
    <w:rsid w:val="00F97D72"/>
    <w:rsid w:val="00FA0ECB"/>
    <w:rsid w:val="00FA12CD"/>
    <w:rsid w:val="00FA1365"/>
    <w:rsid w:val="00FA507A"/>
    <w:rsid w:val="00FA6F18"/>
    <w:rsid w:val="00FB2835"/>
    <w:rsid w:val="00FB3213"/>
    <w:rsid w:val="00FB32D0"/>
    <w:rsid w:val="00FB386B"/>
    <w:rsid w:val="00FB45E7"/>
    <w:rsid w:val="00FB46DD"/>
    <w:rsid w:val="00FB64CE"/>
    <w:rsid w:val="00FB71AD"/>
    <w:rsid w:val="00FB791A"/>
    <w:rsid w:val="00FC00A3"/>
    <w:rsid w:val="00FC0762"/>
    <w:rsid w:val="00FC09B4"/>
    <w:rsid w:val="00FC0A39"/>
    <w:rsid w:val="00FC15FD"/>
    <w:rsid w:val="00FC326C"/>
    <w:rsid w:val="00FC3625"/>
    <w:rsid w:val="00FC4621"/>
    <w:rsid w:val="00FC57F1"/>
    <w:rsid w:val="00FC610F"/>
    <w:rsid w:val="00FC65A6"/>
    <w:rsid w:val="00FC6A10"/>
    <w:rsid w:val="00FC72A3"/>
    <w:rsid w:val="00FD04BB"/>
    <w:rsid w:val="00FD0A0D"/>
    <w:rsid w:val="00FD1866"/>
    <w:rsid w:val="00FD1B3E"/>
    <w:rsid w:val="00FD1E9C"/>
    <w:rsid w:val="00FD2A81"/>
    <w:rsid w:val="00FD3087"/>
    <w:rsid w:val="00FD330A"/>
    <w:rsid w:val="00FD3351"/>
    <w:rsid w:val="00FD3423"/>
    <w:rsid w:val="00FD5C48"/>
    <w:rsid w:val="00FD5D4D"/>
    <w:rsid w:val="00FD60D0"/>
    <w:rsid w:val="00FE1219"/>
    <w:rsid w:val="00FE31D3"/>
    <w:rsid w:val="00FE34D6"/>
    <w:rsid w:val="00FE4CD5"/>
    <w:rsid w:val="00FE4DDC"/>
    <w:rsid w:val="00FE5348"/>
    <w:rsid w:val="00FE75F1"/>
    <w:rsid w:val="00FF048A"/>
    <w:rsid w:val="00FF0AB6"/>
    <w:rsid w:val="00FF1013"/>
    <w:rsid w:val="00FF1BE9"/>
    <w:rsid w:val="00FF29EB"/>
    <w:rsid w:val="00FF37B2"/>
    <w:rsid w:val="00FF3D48"/>
    <w:rsid w:val="00FF5433"/>
    <w:rsid w:val="00FF5830"/>
    <w:rsid w:val="00FF74A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B56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2" w:unhideWhenUsed="0" w:qFormat="1"/>
    <w:lsdException w:name="Block Text" w:uiPriority="3"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02E"/>
  </w:style>
  <w:style w:type="paragraph" w:styleId="Ttulo1">
    <w:name w:val="heading 1"/>
    <w:basedOn w:val="Normal"/>
    <w:link w:val="Ttulo1Car"/>
    <w:uiPriority w:val="9"/>
    <w:qFormat/>
    <w:rsid w:val="003F538D"/>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next w:val="Normal"/>
    <w:link w:val="Ttulo2Car"/>
    <w:uiPriority w:val="9"/>
    <w:unhideWhenUsed/>
    <w:qFormat/>
    <w:rsid w:val="00B64B52"/>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val="es-ES_tradnl" w:eastAsia="es-ES"/>
    </w:rPr>
  </w:style>
  <w:style w:type="paragraph" w:styleId="Ttulo3">
    <w:name w:val="heading 3"/>
    <w:basedOn w:val="Normal"/>
    <w:next w:val="Normal"/>
    <w:link w:val="Ttulo3Car"/>
    <w:uiPriority w:val="9"/>
    <w:unhideWhenUsed/>
    <w:qFormat/>
    <w:rsid w:val="008D13F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538D"/>
    <w:rPr>
      <w:rFonts w:ascii="Times New Roman" w:eastAsia="Times New Roman" w:hAnsi="Times New Roman" w:cs="Times New Roman"/>
      <w:b/>
      <w:bCs/>
      <w:kern w:val="36"/>
      <w:sz w:val="48"/>
      <w:szCs w:val="48"/>
      <w:lang w:val="es-ES" w:eastAsia="es-ES"/>
    </w:rPr>
  </w:style>
  <w:style w:type="character" w:customStyle="1" w:styleId="Ttulo2Car">
    <w:name w:val="Título 2 Car"/>
    <w:basedOn w:val="Fuentedeprrafopredeter"/>
    <w:link w:val="Ttulo2"/>
    <w:uiPriority w:val="9"/>
    <w:rsid w:val="00B64B52"/>
    <w:rPr>
      <w:rFonts w:asciiTheme="majorHAnsi" w:eastAsiaTheme="majorEastAsia" w:hAnsiTheme="majorHAnsi" w:cstheme="majorBidi"/>
      <w:b/>
      <w:bCs/>
      <w:color w:val="5B9BD5" w:themeColor="accent1"/>
      <w:sz w:val="26"/>
      <w:szCs w:val="26"/>
      <w:lang w:val="es-ES_tradnl" w:eastAsia="es-ES"/>
    </w:rPr>
  </w:style>
  <w:style w:type="paragraph" w:styleId="Sinespaciado">
    <w:name w:val="No Spacing"/>
    <w:link w:val="SinespaciadoCar"/>
    <w:uiPriority w:val="1"/>
    <w:qFormat/>
    <w:rsid w:val="00B64B52"/>
    <w:pPr>
      <w:spacing w:after="0" w:line="240" w:lineRule="auto"/>
    </w:pPr>
  </w:style>
  <w:style w:type="character" w:customStyle="1" w:styleId="SinespaciadoCar">
    <w:name w:val="Sin espaciado Car"/>
    <w:basedOn w:val="Fuentedeprrafopredeter"/>
    <w:link w:val="Sinespaciado"/>
    <w:uiPriority w:val="1"/>
    <w:locked/>
    <w:rsid w:val="00AA3CE9"/>
  </w:style>
  <w:style w:type="table" w:styleId="Tablaconcuadrcula">
    <w:name w:val="Table Grid"/>
    <w:basedOn w:val="Tablanormal"/>
    <w:uiPriority w:val="39"/>
    <w:rsid w:val="00AA3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B29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29FC"/>
    <w:rPr>
      <w:rFonts w:ascii="Tahoma" w:hAnsi="Tahoma" w:cs="Tahoma"/>
      <w:sz w:val="16"/>
      <w:szCs w:val="16"/>
    </w:rPr>
  </w:style>
  <w:style w:type="paragraph" w:styleId="Encabezado">
    <w:name w:val="header"/>
    <w:basedOn w:val="Normal"/>
    <w:link w:val="EncabezadoCar"/>
    <w:uiPriority w:val="99"/>
    <w:unhideWhenUsed/>
    <w:rsid w:val="00C542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4247"/>
  </w:style>
  <w:style w:type="paragraph" w:styleId="Piedepgina">
    <w:name w:val="footer"/>
    <w:basedOn w:val="Normal"/>
    <w:link w:val="PiedepginaCar"/>
    <w:uiPriority w:val="99"/>
    <w:unhideWhenUsed/>
    <w:rsid w:val="00C5424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4247"/>
  </w:style>
  <w:style w:type="paragraph" w:styleId="Prrafodelista">
    <w:name w:val="List Paragraph"/>
    <w:basedOn w:val="Normal"/>
    <w:uiPriority w:val="42"/>
    <w:qFormat/>
    <w:rsid w:val="006649F3"/>
    <w:pPr>
      <w:ind w:left="720"/>
      <w:contextualSpacing/>
    </w:pPr>
  </w:style>
  <w:style w:type="character" w:customStyle="1" w:styleId="TextoindependienteCar1">
    <w:name w:val="Texto independiente Car1"/>
    <w:basedOn w:val="Fuentedeprrafopredeter"/>
    <w:link w:val="Textoindependiente"/>
    <w:uiPriority w:val="99"/>
    <w:locked/>
    <w:rsid w:val="0076495A"/>
    <w:rPr>
      <w:rFonts w:ascii="Times New Roman" w:hAnsi="Times New Roman" w:cs="Times New Roman"/>
      <w:spacing w:val="5"/>
      <w:sz w:val="21"/>
      <w:szCs w:val="21"/>
      <w:shd w:val="clear" w:color="auto" w:fill="FFFFFF"/>
    </w:rPr>
  </w:style>
  <w:style w:type="paragraph" w:styleId="Textoindependiente">
    <w:name w:val="Body Text"/>
    <w:basedOn w:val="Normal"/>
    <w:link w:val="TextoindependienteCar1"/>
    <w:uiPriority w:val="99"/>
    <w:rsid w:val="0076495A"/>
    <w:pPr>
      <w:widowControl w:val="0"/>
      <w:shd w:val="clear" w:color="auto" w:fill="FFFFFF"/>
      <w:spacing w:before="420" w:after="300" w:line="331" w:lineRule="exact"/>
      <w:ind w:hanging="280"/>
      <w:jc w:val="both"/>
    </w:pPr>
    <w:rPr>
      <w:rFonts w:ascii="Times New Roman" w:hAnsi="Times New Roman" w:cs="Times New Roman"/>
      <w:spacing w:val="5"/>
      <w:sz w:val="21"/>
      <w:szCs w:val="21"/>
    </w:rPr>
  </w:style>
  <w:style w:type="character" w:customStyle="1" w:styleId="TextoindependienteCar">
    <w:name w:val="Texto independiente Car"/>
    <w:basedOn w:val="Fuentedeprrafopredeter"/>
    <w:uiPriority w:val="99"/>
    <w:semiHidden/>
    <w:rsid w:val="0076495A"/>
  </w:style>
  <w:style w:type="character" w:customStyle="1" w:styleId="Heading2">
    <w:name w:val="Heading #2_"/>
    <w:basedOn w:val="Fuentedeprrafopredeter"/>
    <w:link w:val="Heading20"/>
    <w:uiPriority w:val="99"/>
    <w:locked/>
    <w:rsid w:val="0076495A"/>
    <w:rPr>
      <w:rFonts w:ascii="Arial" w:hAnsi="Arial" w:cs="Arial"/>
      <w:spacing w:val="15"/>
      <w:sz w:val="25"/>
      <w:szCs w:val="25"/>
      <w:shd w:val="clear" w:color="auto" w:fill="FFFFFF"/>
    </w:rPr>
  </w:style>
  <w:style w:type="paragraph" w:customStyle="1" w:styleId="Heading20">
    <w:name w:val="Heading #2"/>
    <w:basedOn w:val="Normal"/>
    <w:link w:val="Heading2"/>
    <w:uiPriority w:val="99"/>
    <w:rsid w:val="0076495A"/>
    <w:pPr>
      <w:widowControl w:val="0"/>
      <w:shd w:val="clear" w:color="auto" w:fill="FFFFFF"/>
      <w:spacing w:after="0" w:line="384" w:lineRule="exact"/>
      <w:ind w:hanging="980"/>
      <w:outlineLvl w:val="1"/>
    </w:pPr>
    <w:rPr>
      <w:rFonts w:ascii="Arial" w:hAnsi="Arial" w:cs="Arial"/>
      <w:spacing w:val="15"/>
      <w:sz w:val="25"/>
      <w:szCs w:val="25"/>
    </w:rPr>
  </w:style>
  <w:style w:type="character" w:customStyle="1" w:styleId="Heading2TimesNewRoman">
    <w:name w:val="Heading #2 + Times New Roman"/>
    <w:aliases w:val="10.5 pt,Bold1,Spacing 0 pt2"/>
    <w:basedOn w:val="Heading2"/>
    <w:uiPriority w:val="99"/>
    <w:rsid w:val="0076495A"/>
    <w:rPr>
      <w:rFonts w:ascii="Times New Roman" w:hAnsi="Times New Roman" w:cs="Times New Roman"/>
      <w:b/>
      <w:bCs/>
      <w:spacing w:val="7"/>
      <w:sz w:val="21"/>
      <w:szCs w:val="21"/>
      <w:shd w:val="clear" w:color="auto" w:fill="FFFFFF"/>
    </w:rPr>
  </w:style>
  <w:style w:type="character" w:customStyle="1" w:styleId="BodytextItalic">
    <w:name w:val="Body text + Italic"/>
    <w:aliases w:val="Spacing 0 pt5"/>
    <w:basedOn w:val="TextoindependienteCar1"/>
    <w:uiPriority w:val="99"/>
    <w:rsid w:val="0076495A"/>
    <w:rPr>
      <w:rFonts w:ascii="Times New Roman" w:hAnsi="Times New Roman" w:cs="Times New Roman"/>
      <w:i/>
      <w:iCs/>
      <w:spacing w:val="0"/>
      <w:sz w:val="21"/>
      <w:szCs w:val="21"/>
      <w:shd w:val="clear" w:color="auto" w:fill="FFFFFF"/>
    </w:rPr>
  </w:style>
  <w:style w:type="table" w:customStyle="1" w:styleId="Tabladecuadrcula4-nfasis11">
    <w:name w:val="Tabla de cuadrícula 4 - Énfasis 11"/>
    <w:basedOn w:val="Tablanormal"/>
    <w:uiPriority w:val="49"/>
    <w:rsid w:val="00227E0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tulo11">
    <w:name w:val="Título 11"/>
    <w:basedOn w:val="Normal"/>
    <w:rsid w:val="003F538D"/>
    <w:pPr>
      <w:numPr>
        <w:numId w:val="6"/>
      </w:numPr>
      <w:spacing w:after="200" w:line="288" w:lineRule="auto"/>
    </w:pPr>
    <w:rPr>
      <w:rFonts w:eastAsiaTheme="minorEastAsia"/>
      <w:sz w:val="21"/>
      <w:szCs w:val="21"/>
    </w:rPr>
  </w:style>
  <w:style w:type="paragraph" w:customStyle="1" w:styleId="Ttulo21">
    <w:name w:val="Título 21"/>
    <w:basedOn w:val="Normal"/>
    <w:rsid w:val="003F538D"/>
    <w:pPr>
      <w:numPr>
        <w:ilvl w:val="1"/>
        <w:numId w:val="6"/>
      </w:numPr>
      <w:spacing w:after="200" w:line="288" w:lineRule="auto"/>
    </w:pPr>
    <w:rPr>
      <w:rFonts w:eastAsiaTheme="minorEastAsia"/>
      <w:sz w:val="21"/>
      <w:szCs w:val="21"/>
    </w:rPr>
  </w:style>
  <w:style w:type="paragraph" w:customStyle="1" w:styleId="Ttulo31">
    <w:name w:val="Título 31"/>
    <w:basedOn w:val="Normal"/>
    <w:rsid w:val="003F538D"/>
    <w:pPr>
      <w:numPr>
        <w:ilvl w:val="2"/>
        <w:numId w:val="6"/>
      </w:numPr>
      <w:spacing w:after="200" w:line="288" w:lineRule="auto"/>
    </w:pPr>
    <w:rPr>
      <w:rFonts w:eastAsiaTheme="minorEastAsia"/>
      <w:sz w:val="21"/>
      <w:szCs w:val="21"/>
    </w:rPr>
  </w:style>
  <w:style w:type="paragraph" w:customStyle="1" w:styleId="Ttulo41">
    <w:name w:val="Título 41"/>
    <w:basedOn w:val="Normal"/>
    <w:rsid w:val="003F538D"/>
    <w:pPr>
      <w:numPr>
        <w:ilvl w:val="3"/>
        <w:numId w:val="6"/>
      </w:numPr>
      <w:spacing w:after="200" w:line="288" w:lineRule="auto"/>
    </w:pPr>
    <w:rPr>
      <w:rFonts w:eastAsiaTheme="minorEastAsia"/>
      <w:sz w:val="21"/>
      <w:szCs w:val="21"/>
    </w:rPr>
  </w:style>
  <w:style w:type="paragraph" w:customStyle="1" w:styleId="Ttulo51">
    <w:name w:val="Título 51"/>
    <w:basedOn w:val="Normal"/>
    <w:rsid w:val="003F538D"/>
    <w:pPr>
      <w:numPr>
        <w:ilvl w:val="4"/>
        <w:numId w:val="6"/>
      </w:numPr>
      <w:spacing w:after="200" w:line="288" w:lineRule="auto"/>
    </w:pPr>
    <w:rPr>
      <w:rFonts w:eastAsiaTheme="minorEastAsia"/>
      <w:sz w:val="21"/>
      <w:szCs w:val="21"/>
    </w:rPr>
  </w:style>
  <w:style w:type="paragraph" w:customStyle="1" w:styleId="Ttulo61">
    <w:name w:val="Título 61"/>
    <w:basedOn w:val="Normal"/>
    <w:rsid w:val="003F538D"/>
    <w:pPr>
      <w:numPr>
        <w:ilvl w:val="5"/>
        <w:numId w:val="6"/>
      </w:numPr>
      <w:spacing w:after="200" w:line="288" w:lineRule="auto"/>
    </w:pPr>
    <w:rPr>
      <w:rFonts w:eastAsiaTheme="minorEastAsia"/>
      <w:sz w:val="21"/>
      <w:szCs w:val="21"/>
    </w:rPr>
  </w:style>
  <w:style w:type="paragraph" w:customStyle="1" w:styleId="Ttulo71">
    <w:name w:val="Título 71"/>
    <w:basedOn w:val="Normal"/>
    <w:rsid w:val="003F538D"/>
    <w:pPr>
      <w:numPr>
        <w:ilvl w:val="6"/>
        <w:numId w:val="6"/>
      </w:numPr>
      <w:spacing w:after="200" w:line="288" w:lineRule="auto"/>
    </w:pPr>
    <w:rPr>
      <w:rFonts w:eastAsiaTheme="minorEastAsia"/>
      <w:sz w:val="21"/>
      <w:szCs w:val="21"/>
    </w:rPr>
  </w:style>
  <w:style w:type="paragraph" w:customStyle="1" w:styleId="Ttulo81">
    <w:name w:val="Título 81"/>
    <w:basedOn w:val="Normal"/>
    <w:rsid w:val="003F538D"/>
    <w:pPr>
      <w:numPr>
        <w:ilvl w:val="7"/>
        <w:numId w:val="6"/>
      </w:numPr>
      <w:spacing w:after="200" w:line="288" w:lineRule="auto"/>
    </w:pPr>
    <w:rPr>
      <w:rFonts w:eastAsiaTheme="minorEastAsia"/>
      <w:sz w:val="21"/>
      <w:szCs w:val="21"/>
    </w:rPr>
  </w:style>
  <w:style w:type="paragraph" w:customStyle="1" w:styleId="Ttulo91">
    <w:name w:val="Título 91"/>
    <w:basedOn w:val="Normal"/>
    <w:rsid w:val="003F538D"/>
    <w:pPr>
      <w:numPr>
        <w:ilvl w:val="8"/>
        <w:numId w:val="6"/>
      </w:numPr>
      <w:spacing w:after="200" w:line="288" w:lineRule="auto"/>
    </w:pPr>
    <w:rPr>
      <w:rFonts w:eastAsiaTheme="minorEastAsia"/>
      <w:sz w:val="21"/>
      <w:szCs w:val="21"/>
    </w:rPr>
  </w:style>
  <w:style w:type="paragraph" w:styleId="NormalWeb">
    <w:name w:val="Normal (Web)"/>
    <w:basedOn w:val="Normal"/>
    <w:uiPriority w:val="99"/>
    <w:unhideWhenUsed/>
    <w:rsid w:val="003F538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Listaclara">
    <w:name w:val="Light List"/>
    <w:basedOn w:val="Tablanormal"/>
    <w:uiPriority w:val="61"/>
    <w:rsid w:val="003F538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ennegrita">
    <w:name w:val="Strong"/>
    <w:basedOn w:val="Fuentedeprrafopredeter"/>
    <w:uiPriority w:val="22"/>
    <w:qFormat/>
    <w:rsid w:val="003F538D"/>
    <w:rPr>
      <w:b/>
      <w:bCs/>
    </w:rPr>
  </w:style>
  <w:style w:type="character" w:styleId="Hipervnculo">
    <w:name w:val="Hyperlink"/>
    <w:basedOn w:val="Fuentedeprrafopredeter"/>
    <w:uiPriority w:val="99"/>
    <w:unhideWhenUsed/>
    <w:rsid w:val="003F538D"/>
    <w:rPr>
      <w:color w:val="0000FF"/>
      <w:u w:val="single"/>
    </w:rPr>
  </w:style>
  <w:style w:type="character" w:customStyle="1" w:styleId="suffix">
    <w:name w:val="suffix"/>
    <w:basedOn w:val="Fuentedeprrafopredeter"/>
    <w:rsid w:val="003F538D"/>
  </w:style>
  <w:style w:type="character" w:styleId="Refdecomentario">
    <w:name w:val="annotation reference"/>
    <w:basedOn w:val="Fuentedeprrafopredeter"/>
    <w:uiPriority w:val="99"/>
    <w:semiHidden/>
    <w:unhideWhenUsed/>
    <w:rsid w:val="003F538D"/>
    <w:rPr>
      <w:sz w:val="16"/>
      <w:szCs w:val="16"/>
    </w:rPr>
  </w:style>
  <w:style w:type="paragraph" w:styleId="Textocomentario">
    <w:name w:val="annotation text"/>
    <w:basedOn w:val="Normal"/>
    <w:link w:val="TextocomentarioCar"/>
    <w:uiPriority w:val="99"/>
    <w:unhideWhenUsed/>
    <w:rsid w:val="003F538D"/>
    <w:pPr>
      <w:spacing w:after="200" w:line="240" w:lineRule="auto"/>
    </w:pPr>
    <w:rPr>
      <w:rFonts w:eastAsiaTheme="minorEastAsia"/>
      <w:sz w:val="20"/>
      <w:szCs w:val="20"/>
    </w:rPr>
  </w:style>
  <w:style w:type="character" w:customStyle="1" w:styleId="TextocomentarioCar">
    <w:name w:val="Texto comentario Car"/>
    <w:basedOn w:val="Fuentedeprrafopredeter"/>
    <w:link w:val="Textocomentario"/>
    <w:uiPriority w:val="99"/>
    <w:rsid w:val="003F538D"/>
    <w:rPr>
      <w:rFonts w:eastAsiaTheme="minorEastAsia"/>
      <w:sz w:val="20"/>
      <w:szCs w:val="20"/>
    </w:rPr>
  </w:style>
  <w:style w:type="character" w:customStyle="1" w:styleId="AsuntodelcomentarioCar">
    <w:name w:val="Asunto del comentario Car"/>
    <w:basedOn w:val="TextocomentarioCar"/>
    <w:link w:val="Asuntodelcomentario"/>
    <w:uiPriority w:val="99"/>
    <w:semiHidden/>
    <w:rsid w:val="003F538D"/>
    <w:rPr>
      <w:rFonts w:eastAsiaTheme="minorEastAsia"/>
      <w:b/>
      <w:bCs/>
      <w:sz w:val="20"/>
      <w:szCs w:val="20"/>
    </w:rPr>
  </w:style>
  <w:style w:type="paragraph" w:styleId="Asuntodelcomentario">
    <w:name w:val="annotation subject"/>
    <w:basedOn w:val="Textocomentario"/>
    <w:next w:val="Textocomentario"/>
    <w:link w:val="AsuntodelcomentarioCar"/>
    <w:uiPriority w:val="99"/>
    <w:semiHidden/>
    <w:unhideWhenUsed/>
    <w:rsid w:val="003F538D"/>
    <w:rPr>
      <w:b/>
      <w:bCs/>
    </w:rPr>
  </w:style>
  <w:style w:type="paragraph" w:styleId="Textonotapie">
    <w:name w:val="footnote text"/>
    <w:basedOn w:val="Normal"/>
    <w:link w:val="TextonotapieCar"/>
    <w:uiPriority w:val="99"/>
    <w:semiHidden/>
    <w:unhideWhenUsed/>
    <w:rsid w:val="003F538D"/>
    <w:pPr>
      <w:spacing w:after="0" w:line="240" w:lineRule="auto"/>
    </w:pPr>
    <w:rPr>
      <w:rFonts w:eastAsiaTheme="minorEastAsia"/>
      <w:sz w:val="20"/>
      <w:szCs w:val="20"/>
    </w:rPr>
  </w:style>
  <w:style w:type="character" w:customStyle="1" w:styleId="TextonotapieCar">
    <w:name w:val="Texto nota pie Car"/>
    <w:basedOn w:val="Fuentedeprrafopredeter"/>
    <w:link w:val="Textonotapie"/>
    <w:uiPriority w:val="99"/>
    <w:semiHidden/>
    <w:rsid w:val="003F538D"/>
    <w:rPr>
      <w:rFonts w:eastAsiaTheme="minorEastAsia"/>
      <w:sz w:val="20"/>
      <w:szCs w:val="20"/>
    </w:rPr>
  </w:style>
  <w:style w:type="character" w:styleId="Refdenotaalpie">
    <w:name w:val="footnote reference"/>
    <w:basedOn w:val="Fuentedeprrafopredeter"/>
    <w:uiPriority w:val="99"/>
    <w:semiHidden/>
    <w:unhideWhenUsed/>
    <w:rsid w:val="003F538D"/>
    <w:rPr>
      <w:vertAlign w:val="superscript"/>
    </w:rPr>
  </w:style>
  <w:style w:type="paragraph" w:customStyle="1" w:styleId="Default">
    <w:name w:val="Default"/>
    <w:rsid w:val="007375F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8D13F2"/>
    <w:rPr>
      <w:rFonts w:asciiTheme="majorHAnsi" w:eastAsiaTheme="majorEastAsia" w:hAnsiTheme="majorHAnsi" w:cstheme="majorBidi"/>
      <w:color w:val="1F4D78" w:themeColor="accent1" w:themeShade="7F"/>
      <w:sz w:val="24"/>
      <w:szCs w:val="24"/>
    </w:rPr>
  </w:style>
  <w:style w:type="paragraph" w:styleId="TtulodeTDC">
    <w:name w:val="TOC Heading"/>
    <w:basedOn w:val="Ttulo1"/>
    <w:next w:val="Normal"/>
    <w:uiPriority w:val="39"/>
    <w:unhideWhenUsed/>
    <w:qFormat/>
    <w:rsid w:val="002617C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s-GT" w:eastAsia="es-GT"/>
    </w:rPr>
  </w:style>
  <w:style w:type="paragraph" w:styleId="TDC1">
    <w:name w:val="toc 1"/>
    <w:basedOn w:val="Normal"/>
    <w:next w:val="Normal"/>
    <w:autoRedefine/>
    <w:uiPriority w:val="39"/>
    <w:unhideWhenUsed/>
    <w:rsid w:val="00252895"/>
    <w:pPr>
      <w:tabs>
        <w:tab w:val="left" w:pos="284"/>
        <w:tab w:val="right" w:leader="dot" w:pos="8828"/>
      </w:tabs>
      <w:spacing w:after="0" w:line="240" w:lineRule="auto"/>
    </w:pPr>
    <w:rPr>
      <w:rFonts w:ascii="Times New Roman" w:hAnsi="Times New Roman" w:cs="Times New Roman"/>
      <w:b/>
      <w:noProof/>
      <w:lang w:val="es-MX"/>
    </w:rPr>
  </w:style>
  <w:style w:type="paragraph" w:styleId="TDC2">
    <w:name w:val="toc 2"/>
    <w:basedOn w:val="Normal"/>
    <w:next w:val="Normal"/>
    <w:autoRedefine/>
    <w:uiPriority w:val="39"/>
    <w:unhideWhenUsed/>
    <w:rsid w:val="00F24100"/>
    <w:pPr>
      <w:tabs>
        <w:tab w:val="left" w:pos="426"/>
        <w:tab w:val="right" w:leader="dot" w:pos="8828"/>
      </w:tabs>
      <w:spacing w:after="0"/>
      <w:ind w:left="142"/>
    </w:pPr>
    <w:rPr>
      <w:rFonts w:ascii="Times New Roman" w:hAnsi="Times New Roman" w:cs="Times New Roman"/>
      <w:b/>
      <w:noProof/>
      <w:lang w:val="es-MX"/>
    </w:rPr>
  </w:style>
  <w:style w:type="paragraph" w:styleId="TDC3">
    <w:name w:val="toc 3"/>
    <w:basedOn w:val="Normal"/>
    <w:next w:val="Normal"/>
    <w:autoRedefine/>
    <w:uiPriority w:val="39"/>
    <w:unhideWhenUsed/>
    <w:rsid w:val="00F24100"/>
    <w:pPr>
      <w:tabs>
        <w:tab w:val="left" w:pos="851"/>
        <w:tab w:val="right" w:leader="dot" w:pos="8828"/>
      </w:tabs>
      <w:spacing w:after="0"/>
      <w:ind w:left="284"/>
    </w:pPr>
  </w:style>
  <w:style w:type="paragraph" w:styleId="Epgrafe">
    <w:name w:val="caption"/>
    <w:basedOn w:val="Normal"/>
    <w:next w:val="Normal"/>
    <w:link w:val="EpgrafeCar"/>
    <w:uiPriority w:val="35"/>
    <w:unhideWhenUsed/>
    <w:qFormat/>
    <w:rsid w:val="0079325D"/>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803E37"/>
    <w:pPr>
      <w:spacing w:after="0"/>
    </w:pPr>
  </w:style>
  <w:style w:type="paragraph" w:styleId="Subttulo">
    <w:name w:val="Subtitle"/>
    <w:basedOn w:val="Normal"/>
    <w:link w:val="SubttuloCar"/>
    <w:uiPriority w:val="2"/>
    <w:qFormat/>
    <w:rsid w:val="009E348E"/>
    <w:pPr>
      <w:numPr>
        <w:ilvl w:val="1"/>
      </w:numPr>
      <w:spacing w:before="240" w:after="600" w:line="240" w:lineRule="auto"/>
    </w:pPr>
    <w:rPr>
      <w:rFonts w:asciiTheme="majorHAnsi" w:eastAsiaTheme="majorEastAsia" w:hAnsiTheme="majorHAnsi" w:cstheme="majorBidi"/>
      <w:color w:val="5A5A5A" w:themeColor="text1" w:themeTint="A5"/>
      <w:kern w:val="2"/>
      <w:sz w:val="24"/>
      <w:szCs w:val="20"/>
      <w:lang w:val="en-US" w:eastAsia="ja-JP"/>
      <w14:ligatures w14:val="standard"/>
    </w:rPr>
  </w:style>
  <w:style w:type="character" w:customStyle="1" w:styleId="SubttuloCar">
    <w:name w:val="Subtítulo Car"/>
    <w:basedOn w:val="Fuentedeprrafopredeter"/>
    <w:link w:val="Subttulo"/>
    <w:uiPriority w:val="2"/>
    <w:rsid w:val="009E348E"/>
    <w:rPr>
      <w:rFonts w:asciiTheme="majorHAnsi" w:eastAsiaTheme="majorEastAsia" w:hAnsiTheme="majorHAnsi" w:cstheme="majorBidi"/>
      <w:color w:val="5A5A5A" w:themeColor="text1" w:themeTint="A5"/>
      <w:kern w:val="2"/>
      <w:sz w:val="24"/>
      <w:szCs w:val="20"/>
      <w:lang w:val="en-US" w:eastAsia="ja-JP"/>
      <w14:ligatures w14:val="standard"/>
    </w:rPr>
  </w:style>
  <w:style w:type="paragraph" w:customStyle="1" w:styleId="BlockHeading">
    <w:name w:val="Block Heading"/>
    <w:basedOn w:val="Normal"/>
    <w:next w:val="Textodebloque"/>
    <w:uiPriority w:val="3"/>
    <w:qFormat/>
    <w:rsid w:val="009E348E"/>
    <w:pPr>
      <w:spacing w:after="180" w:line="216" w:lineRule="auto"/>
      <w:ind w:left="288" w:right="288"/>
    </w:pPr>
    <w:rPr>
      <w:rFonts w:asciiTheme="majorHAnsi" w:eastAsiaTheme="majorEastAsia" w:hAnsiTheme="majorHAnsi" w:cstheme="majorBidi"/>
      <w:b/>
      <w:bCs/>
      <w:caps/>
      <w:color w:val="FFFFFF" w:themeColor="background1"/>
      <w:kern w:val="2"/>
      <w:sz w:val="28"/>
      <w:szCs w:val="20"/>
      <w:lang w:val="en-US" w:eastAsia="ja-JP"/>
      <w14:ligatures w14:val="standard"/>
    </w:rPr>
  </w:style>
  <w:style w:type="paragraph" w:styleId="Textodebloque">
    <w:name w:val="Block Text"/>
    <w:basedOn w:val="Normal"/>
    <w:uiPriority w:val="3"/>
    <w:unhideWhenUsed/>
    <w:qFormat/>
    <w:rsid w:val="009E348E"/>
    <w:pPr>
      <w:spacing w:after="180" w:line="312" w:lineRule="auto"/>
      <w:ind w:left="288" w:right="288"/>
    </w:pPr>
    <w:rPr>
      <w:color w:val="FFFFFF" w:themeColor="background1"/>
      <w:kern w:val="2"/>
      <w:szCs w:val="20"/>
      <w:lang w:val="en-US" w:eastAsia="ja-JP"/>
      <w14:ligatures w14:val="standard"/>
    </w:rPr>
  </w:style>
  <w:style w:type="table" w:customStyle="1" w:styleId="GridTable3-Accent41">
    <w:name w:val="Grid Table 3 - Accent 41"/>
    <w:basedOn w:val="Tablanormal"/>
    <w:next w:val="Tablanormal"/>
    <w:uiPriority w:val="48"/>
    <w:rsid w:val="009E348E"/>
    <w:pPr>
      <w:spacing w:after="0" w:line="240" w:lineRule="auto"/>
    </w:pPr>
    <w:rPr>
      <w:color w:val="404040" w:themeColor="text1" w:themeTint="BF"/>
      <w:kern w:val="2"/>
      <w:sz w:val="20"/>
      <w:szCs w:val="20"/>
      <w:lang w:val="en-US" w:eastAsia="ja-JP"/>
      <w14:ligatures w14:val="standard"/>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styleId="Revisin">
    <w:name w:val="Revision"/>
    <w:hidden/>
    <w:uiPriority w:val="99"/>
    <w:semiHidden/>
    <w:rsid w:val="00F73DFB"/>
    <w:pPr>
      <w:spacing w:after="0" w:line="240" w:lineRule="auto"/>
    </w:pPr>
  </w:style>
  <w:style w:type="paragraph" w:styleId="TDC4">
    <w:name w:val="toc 4"/>
    <w:basedOn w:val="Normal"/>
    <w:next w:val="Normal"/>
    <w:autoRedefine/>
    <w:uiPriority w:val="39"/>
    <w:unhideWhenUsed/>
    <w:rsid w:val="00246333"/>
    <w:pPr>
      <w:spacing w:after="100"/>
      <w:ind w:left="660"/>
    </w:pPr>
    <w:rPr>
      <w:rFonts w:eastAsiaTheme="minorEastAsia"/>
      <w:lang w:eastAsia="es-GT"/>
    </w:rPr>
  </w:style>
  <w:style w:type="paragraph" w:styleId="TDC5">
    <w:name w:val="toc 5"/>
    <w:basedOn w:val="Normal"/>
    <w:next w:val="Normal"/>
    <w:autoRedefine/>
    <w:uiPriority w:val="39"/>
    <w:unhideWhenUsed/>
    <w:rsid w:val="00246333"/>
    <w:pPr>
      <w:spacing w:after="100"/>
      <w:ind w:left="880"/>
    </w:pPr>
    <w:rPr>
      <w:rFonts w:eastAsiaTheme="minorEastAsia"/>
      <w:lang w:eastAsia="es-GT"/>
    </w:rPr>
  </w:style>
  <w:style w:type="paragraph" w:styleId="TDC6">
    <w:name w:val="toc 6"/>
    <w:basedOn w:val="Normal"/>
    <w:next w:val="Normal"/>
    <w:autoRedefine/>
    <w:uiPriority w:val="39"/>
    <w:unhideWhenUsed/>
    <w:rsid w:val="00246333"/>
    <w:pPr>
      <w:spacing w:after="100"/>
      <w:ind w:left="1100"/>
    </w:pPr>
    <w:rPr>
      <w:rFonts w:eastAsiaTheme="minorEastAsia"/>
      <w:lang w:eastAsia="es-GT"/>
    </w:rPr>
  </w:style>
  <w:style w:type="paragraph" w:styleId="TDC7">
    <w:name w:val="toc 7"/>
    <w:basedOn w:val="Normal"/>
    <w:next w:val="Normal"/>
    <w:autoRedefine/>
    <w:uiPriority w:val="39"/>
    <w:unhideWhenUsed/>
    <w:rsid w:val="00246333"/>
    <w:pPr>
      <w:spacing w:after="100"/>
      <w:ind w:left="1320"/>
    </w:pPr>
    <w:rPr>
      <w:rFonts w:eastAsiaTheme="minorEastAsia"/>
      <w:lang w:eastAsia="es-GT"/>
    </w:rPr>
  </w:style>
  <w:style w:type="paragraph" w:styleId="TDC8">
    <w:name w:val="toc 8"/>
    <w:basedOn w:val="Normal"/>
    <w:next w:val="Normal"/>
    <w:autoRedefine/>
    <w:uiPriority w:val="39"/>
    <w:unhideWhenUsed/>
    <w:rsid w:val="00246333"/>
    <w:pPr>
      <w:spacing w:after="100"/>
      <w:ind w:left="1540"/>
    </w:pPr>
    <w:rPr>
      <w:rFonts w:eastAsiaTheme="minorEastAsia"/>
      <w:lang w:eastAsia="es-GT"/>
    </w:rPr>
  </w:style>
  <w:style w:type="paragraph" w:styleId="TDC9">
    <w:name w:val="toc 9"/>
    <w:basedOn w:val="Normal"/>
    <w:next w:val="Normal"/>
    <w:autoRedefine/>
    <w:uiPriority w:val="39"/>
    <w:unhideWhenUsed/>
    <w:rsid w:val="00246333"/>
    <w:pPr>
      <w:spacing w:after="100"/>
      <w:ind w:left="1760"/>
    </w:pPr>
    <w:rPr>
      <w:rFonts w:eastAsiaTheme="minorEastAsia"/>
      <w:lang w:eastAsia="es-GT"/>
    </w:rPr>
  </w:style>
  <w:style w:type="character" w:styleId="Hipervnculovisitado">
    <w:name w:val="FollowedHyperlink"/>
    <w:basedOn w:val="Fuentedeprrafopredeter"/>
    <w:uiPriority w:val="99"/>
    <w:semiHidden/>
    <w:unhideWhenUsed/>
    <w:rsid w:val="00CE17AB"/>
    <w:rPr>
      <w:color w:val="954F72" w:themeColor="followedHyperlink"/>
      <w:u w:val="single"/>
    </w:rPr>
  </w:style>
  <w:style w:type="paragraph" w:customStyle="1" w:styleId="ParagraphNumbering">
    <w:name w:val="Paragraph Numbering"/>
    <w:basedOn w:val="Normal"/>
    <w:link w:val="ParagraphNumberingChar"/>
    <w:qFormat/>
    <w:rsid w:val="006A1942"/>
    <w:pPr>
      <w:numPr>
        <w:numId w:val="17"/>
      </w:numPr>
      <w:spacing w:after="240" w:line="264" w:lineRule="auto"/>
    </w:pPr>
    <w:rPr>
      <w:rFonts w:ascii="Times New Roman" w:hAnsi="Times New Roman" w:cs="Times New Roman"/>
      <w:sz w:val="24"/>
      <w:szCs w:val="24"/>
      <w:lang w:val="en-US"/>
    </w:rPr>
  </w:style>
  <w:style w:type="character" w:customStyle="1" w:styleId="ParagraphNumberingChar">
    <w:name w:val="Paragraph Numbering Char"/>
    <w:basedOn w:val="Fuentedeprrafopredeter"/>
    <w:link w:val="ParagraphNumbering"/>
    <w:rsid w:val="006A1942"/>
    <w:rPr>
      <w:rFonts w:ascii="Times New Roman" w:hAnsi="Times New Roman" w:cs="Times New Roman"/>
      <w:sz w:val="24"/>
      <w:szCs w:val="24"/>
      <w:lang w:val="en-US"/>
    </w:rPr>
  </w:style>
  <w:style w:type="table" w:customStyle="1" w:styleId="GridTable1LightAccent4">
    <w:name w:val="Grid Table 1 Light Accent 4"/>
    <w:basedOn w:val="Tablanormal"/>
    <w:uiPriority w:val="46"/>
    <w:rsid w:val="0056554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ListTable4Accent1">
    <w:name w:val="List Table 4 Accent 1"/>
    <w:basedOn w:val="Tablanormal"/>
    <w:uiPriority w:val="49"/>
    <w:rsid w:val="0056554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suntodelcomentarioCar1">
    <w:name w:val="Asunto del comentario Car1"/>
    <w:basedOn w:val="TextocomentarioCar"/>
    <w:uiPriority w:val="99"/>
    <w:semiHidden/>
    <w:rsid w:val="00322670"/>
    <w:rPr>
      <w:rFonts w:eastAsiaTheme="minorEastAsia"/>
      <w:b/>
      <w:bCs/>
      <w:sz w:val="20"/>
      <w:szCs w:val="20"/>
      <w:lang w:val="es-GT"/>
    </w:rPr>
  </w:style>
  <w:style w:type="paragraph" w:customStyle="1" w:styleId="Tabla">
    <w:name w:val="Tabla"/>
    <w:basedOn w:val="Tabladeilustraciones"/>
    <w:link w:val="TablaCar"/>
    <w:qFormat/>
    <w:rsid w:val="00322670"/>
    <w:pPr>
      <w:keepNext/>
      <w:framePr w:hSpace="141" w:wrap="around" w:vAnchor="text" w:hAnchor="margin" w:y="74"/>
      <w:jc w:val="center"/>
    </w:pPr>
    <w:rPr>
      <w:rFonts w:ascii="Times New Roman" w:hAnsi="Times New Roman" w:cs="Times New Roman"/>
      <w:b/>
      <w:bCs/>
      <w:iCs/>
      <w:color w:val="44546A" w:themeColor="text2"/>
      <w:sz w:val="18"/>
      <w:szCs w:val="20"/>
    </w:rPr>
  </w:style>
  <w:style w:type="character" w:customStyle="1" w:styleId="EpgrafeCar">
    <w:name w:val="Epígrafe Car"/>
    <w:basedOn w:val="Fuentedeprrafopredeter"/>
    <w:link w:val="Epgrafe"/>
    <w:uiPriority w:val="35"/>
    <w:rsid w:val="00322670"/>
    <w:rPr>
      <w:i/>
      <w:iCs/>
      <w:color w:val="44546A" w:themeColor="text2"/>
      <w:sz w:val="18"/>
      <w:szCs w:val="18"/>
    </w:rPr>
  </w:style>
  <w:style w:type="character" w:customStyle="1" w:styleId="TablaCar">
    <w:name w:val="Tabla Car"/>
    <w:basedOn w:val="EpgrafeCar"/>
    <w:link w:val="Tabla"/>
    <w:rsid w:val="00322670"/>
    <w:rPr>
      <w:rFonts w:ascii="Times New Roman" w:hAnsi="Times New Roman" w:cs="Times New Roman"/>
      <w:b/>
      <w:bCs/>
      <w:i w:val="0"/>
      <w:iCs/>
      <w:color w:val="44546A" w:themeColor="text2"/>
      <w:sz w:val="18"/>
      <w:szCs w:val="20"/>
    </w:rPr>
  </w:style>
  <w:style w:type="paragraph" w:styleId="ndice1">
    <w:name w:val="index 1"/>
    <w:basedOn w:val="Normal"/>
    <w:next w:val="Normal"/>
    <w:autoRedefine/>
    <w:uiPriority w:val="99"/>
    <w:semiHidden/>
    <w:unhideWhenUsed/>
    <w:rsid w:val="00322670"/>
    <w:pPr>
      <w:spacing w:after="0" w:line="240" w:lineRule="auto"/>
      <w:ind w:left="220" w:hanging="220"/>
    </w:pPr>
  </w:style>
  <w:style w:type="table" w:customStyle="1" w:styleId="TableGrid1">
    <w:name w:val="Table Grid1"/>
    <w:basedOn w:val="Tablanormal"/>
    <w:next w:val="Tablaconcuadrcula"/>
    <w:uiPriority w:val="39"/>
    <w:rsid w:val="003D6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
    <w:name w:val="List Table 4 Accent 5"/>
    <w:basedOn w:val="Tablanormal"/>
    <w:uiPriority w:val="49"/>
    <w:rsid w:val="0059626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1LightAccent3">
    <w:name w:val="Grid Table 1 Light Accent 3"/>
    <w:basedOn w:val="Tablanormal"/>
    <w:uiPriority w:val="46"/>
    <w:rsid w:val="00CF295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5DarkAccent1">
    <w:name w:val="Grid Table 5 Dark Accent 1"/>
    <w:basedOn w:val="Tablanormal"/>
    <w:uiPriority w:val="50"/>
    <w:rsid w:val="00CF29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1">
    <w:name w:val="Grid Table 4 Accent 1"/>
    <w:basedOn w:val="Tablanormal"/>
    <w:uiPriority w:val="49"/>
    <w:rsid w:val="00CF295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ibliografa">
    <w:name w:val="Bibliography"/>
    <w:basedOn w:val="Normal"/>
    <w:next w:val="Normal"/>
    <w:uiPriority w:val="37"/>
    <w:unhideWhenUsed/>
    <w:rsid w:val="00F51A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2" w:unhideWhenUsed="0" w:qFormat="1"/>
    <w:lsdException w:name="Block Text" w:uiPriority="3"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02E"/>
  </w:style>
  <w:style w:type="paragraph" w:styleId="Ttulo1">
    <w:name w:val="heading 1"/>
    <w:basedOn w:val="Normal"/>
    <w:link w:val="Ttulo1Car"/>
    <w:uiPriority w:val="9"/>
    <w:qFormat/>
    <w:rsid w:val="003F538D"/>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next w:val="Normal"/>
    <w:link w:val="Ttulo2Car"/>
    <w:uiPriority w:val="9"/>
    <w:unhideWhenUsed/>
    <w:qFormat/>
    <w:rsid w:val="00B64B52"/>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val="es-ES_tradnl" w:eastAsia="es-ES"/>
    </w:rPr>
  </w:style>
  <w:style w:type="paragraph" w:styleId="Ttulo3">
    <w:name w:val="heading 3"/>
    <w:basedOn w:val="Normal"/>
    <w:next w:val="Normal"/>
    <w:link w:val="Ttulo3Car"/>
    <w:uiPriority w:val="9"/>
    <w:unhideWhenUsed/>
    <w:qFormat/>
    <w:rsid w:val="008D13F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538D"/>
    <w:rPr>
      <w:rFonts w:ascii="Times New Roman" w:eastAsia="Times New Roman" w:hAnsi="Times New Roman" w:cs="Times New Roman"/>
      <w:b/>
      <w:bCs/>
      <w:kern w:val="36"/>
      <w:sz w:val="48"/>
      <w:szCs w:val="48"/>
      <w:lang w:val="es-ES" w:eastAsia="es-ES"/>
    </w:rPr>
  </w:style>
  <w:style w:type="character" w:customStyle="1" w:styleId="Ttulo2Car">
    <w:name w:val="Título 2 Car"/>
    <w:basedOn w:val="Fuentedeprrafopredeter"/>
    <w:link w:val="Ttulo2"/>
    <w:uiPriority w:val="9"/>
    <w:rsid w:val="00B64B52"/>
    <w:rPr>
      <w:rFonts w:asciiTheme="majorHAnsi" w:eastAsiaTheme="majorEastAsia" w:hAnsiTheme="majorHAnsi" w:cstheme="majorBidi"/>
      <w:b/>
      <w:bCs/>
      <w:color w:val="5B9BD5" w:themeColor="accent1"/>
      <w:sz w:val="26"/>
      <w:szCs w:val="26"/>
      <w:lang w:val="es-ES_tradnl" w:eastAsia="es-ES"/>
    </w:rPr>
  </w:style>
  <w:style w:type="paragraph" w:styleId="Sinespaciado">
    <w:name w:val="No Spacing"/>
    <w:link w:val="SinespaciadoCar"/>
    <w:uiPriority w:val="1"/>
    <w:qFormat/>
    <w:rsid w:val="00B64B52"/>
    <w:pPr>
      <w:spacing w:after="0" w:line="240" w:lineRule="auto"/>
    </w:pPr>
  </w:style>
  <w:style w:type="character" w:customStyle="1" w:styleId="SinespaciadoCar">
    <w:name w:val="Sin espaciado Car"/>
    <w:basedOn w:val="Fuentedeprrafopredeter"/>
    <w:link w:val="Sinespaciado"/>
    <w:uiPriority w:val="1"/>
    <w:locked/>
    <w:rsid w:val="00AA3CE9"/>
  </w:style>
  <w:style w:type="table" w:styleId="Tablaconcuadrcula">
    <w:name w:val="Table Grid"/>
    <w:basedOn w:val="Tablanormal"/>
    <w:uiPriority w:val="39"/>
    <w:rsid w:val="00AA3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B29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29FC"/>
    <w:rPr>
      <w:rFonts w:ascii="Tahoma" w:hAnsi="Tahoma" w:cs="Tahoma"/>
      <w:sz w:val="16"/>
      <w:szCs w:val="16"/>
    </w:rPr>
  </w:style>
  <w:style w:type="paragraph" w:styleId="Encabezado">
    <w:name w:val="header"/>
    <w:basedOn w:val="Normal"/>
    <w:link w:val="EncabezadoCar"/>
    <w:uiPriority w:val="99"/>
    <w:unhideWhenUsed/>
    <w:rsid w:val="00C542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4247"/>
  </w:style>
  <w:style w:type="paragraph" w:styleId="Piedepgina">
    <w:name w:val="footer"/>
    <w:basedOn w:val="Normal"/>
    <w:link w:val="PiedepginaCar"/>
    <w:uiPriority w:val="99"/>
    <w:unhideWhenUsed/>
    <w:rsid w:val="00C5424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4247"/>
  </w:style>
  <w:style w:type="paragraph" w:styleId="Prrafodelista">
    <w:name w:val="List Paragraph"/>
    <w:basedOn w:val="Normal"/>
    <w:uiPriority w:val="42"/>
    <w:qFormat/>
    <w:rsid w:val="006649F3"/>
    <w:pPr>
      <w:ind w:left="720"/>
      <w:contextualSpacing/>
    </w:pPr>
  </w:style>
  <w:style w:type="character" w:customStyle="1" w:styleId="TextoindependienteCar1">
    <w:name w:val="Texto independiente Car1"/>
    <w:basedOn w:val="Fuentedeprrafopredeter"/>
    <w:link w:val="Textoindependiente"/>
    <w:uiPriority w:val="99"/>
    <w:locked/>
    <w:rsid w:val="0076495A"/>
    <w:rPr>
      <w:rFonts w:ascii="Times New Roman" w:hAnsi="Times New Roman" w:cs="Times New Roman"/>
      <w:spacing w:val="5"/>
      <w:sz w:val="21"/>
      <w:szCs w:val="21"/>
      <w:shd w:val="clear" w:color="auto" w:fill="FFFFFF"/>
    </w:rPr>
  </w:style>
  <w:style w:type="paragraph" w:styleId="Textoindependiente">
    <w:name w:val="Body Text"/>
    <w:basedOn w:val="Normal"/>
    <w:link w:val="TextoindependienteCar1"/>
    <w:uiPriority w:val="99"/>
    <w:rsid w:val="0076495A"/>
    <w:pPr>
      <w:widowControl w:val="0"/>
      <w:shd w:val="clear" w:color="auto" w:fill="FFFFFF"/>
      <w:spacing w:before="420" w:after="300" w:line="331" w:lineRule="exact"/>
      <w:ind w:hanging="280"/>
      <w:jc w:val="both"/>
    </w:pPr>
    <w:rPr>
      <w:rFonts w:ascii="Times New Roman" w:hAnsi="Times New Roman" w:cs="Times New Roman"/>
      <w:spacing w:val="5"/>
      <w:sz w:val="21"/>
      <w:szCs w:val="21"/>
    </w:rPr>
  </w:style>
  <w:style w:type="character" w:customStyle="1" w:styleId="TextoindependienteCar">
    <w:name w:val="Texto independiente Car"/>
    <w:basedOn w:val="Fuentedeprrafopredeter"/>
    <w:uiPriority w:val="99"/>
    <w:semiHidden/>
    <w:rsid w:val="0076495A"/>
  </w:style>
  <w:style w:type="character" w:customStyle="1" w:styleId="Heading2">
    <w:name w:val="Heading #2_"/>
    <w:basedOn w:val="Fuentedeprrafopredeter"/>
    <w:link w:val="Heading20"/>
    <w:uiPriority w:val="99"/>
    <w:locked/>
    <w:rsid w:val="0076495A"/>
    <w:rPr>
      <w:rFonts w:ascii="Arial" w:hAnsi="Arial" w:cs="Arial"/>
      <w:spacing w:val="15"/>
      <w:sz w:val="25"/>
      <w:szCs w:val="25"/>
      <w:shd w:val="clear" w:color="auto" w:fill="FFFFFF"/>
    </w:rPr>
  </w:style>
  <w:style w:type="paragraph" w:customStyle="1" w:styleId="Heading20">
    <w:name w:val="Heading #2"/>
    <w:basedOn w:val="Normal"/>
    <w:link w:val="Heading2"/>
    <w:uiPriority w:val="99"/>
    <w:rsid w:val="0076495A"/>
    <w:pPr>
      <w:widowControl w:val="0"/>
      <w:shd w:val="clear" w:color="auto" w:fill="FFFFFF"/>
      <w:spacing w:after="0" w:line="384" w:lineRule="exact"/>
      <w:ind w:hanging="980"/>
      <w:outlineLvl w:val="1"/>
    </w:pPr>
    <w:rPr>
      <w:rFonts w:ascii="Arial" w:hAnsi="Arial" w:cs="Arial"/>
      <w:spacing w:val="15"/>
      <w:sz w:val="25"/>
      <w:szCs w:val="25"/>
    </w:rPr>
  </w:style>
  <w:style w:type="character" w:customStyle="1" w:styleId="Heading2TimesNewRoman">
    <w:name w:val="Heading #2 + Times New Roman"/>
    <w:aliases w:val="10.5 pt,Bold1,Spacing 0 pt2"/>
    <w:basedOn w:val="Heading2"/>
    <w:uiPriority w:val="99"/>
    <w:rsid w:val="0076495A"/>
    <w:rPr>
      <w:rFonts w:ascii="Times New Roman" w:hAnsi="Times New Roman" w:cs="Times New Roman"/>
      <w:b/>
      <w:bCs/>
      <w:spacing w:val="7"/>
      <w:sz w:val="21"/>
      <w:szCs w:val="21"/>
      <w:shd w:val="clear" w:color="auto" w:fill="FFFFFF"/>
    </w:rPr>
  </w:style>
  <w:style w:type="character" w:customStyle="1" w:styleId="BodytextItalic">
    <w:name w:val="Body text + Italic"/>
    <w:aliases w:val="Spacing 0 pt5"/>
    <w:basedOn w:val="TextoindependienteCar1"/>
    <w:uiPriority w:val="99"/>
    <w:rsid w:val="0076495A"/>
    <w:rPr>
      <w:rFonts w:ascii="Times New Roman" w:hAnsi="Times New Roman" w:cs="Times New Roman"/>
      <w:i/>
      <w:iCs/>
      <w:spacing w:val="0"/>
      <w:sz w:val="21"/>
      <w:szCs w:val="21"/>
      <w:shd w:val="clear" w:color="auto" w:fill="FFFFFF"/>
    </w:rPr>
  </w:style>
  <w:style w:type="table" w:customStyle="1" w:styleId="Tabladecuadrcula4-nfasis11">
    <w:name w:val="Tabla de cuadrícula 4 - Énfasis 11"/>
    <w:basedOn w:val="Tablanormal"/>
    <w:uiPriority w:val="49"/>
    <w:rsid w:val="00227E0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tulo11">
    <w:name w:val="Título 11"/>
    <w:basedOn w:val="Normal"/>
    <w:rsid w:val="003F538D"/>
    <w:pPr>
      <w:numPr>
        <w:numId w:val="6"/>
      </w:numPr>
      <w:spacing w:after="200" w:line="288" w:lineRule="auto"/>
    </w:pPr>
    <w:rPr>
      <w:rFonts w:eastAsiaTheme="minorEastAsia"/>
      <w:sz w:val="21"/>
      <w:szCs w:val="21"/>
    </w:rPr>
  </w:style>
  <w:style w:type="paragraph" w:customStyle="1" w:styleId="Ttulo21">
    <w:name w:val="Título 21"/>
    <w:basedOn w:val="Normal"/>
    <w:rsid w:val="003F538D"/>
    <w:pPr>
      <w:numPr>
        <w:ilvl w:val="1"/>
        <w:numId w:val="6"/>
      </w:numPr>
      <w:spacing w:after="200" w:line="288" w:lineRule="auto"/>
    </w:pPr>
    <w:rPr>
      <w:rFonts w:eastAsiaTheme="minorEastAsia"/>
      <w:sz w:val="21"/>
      <w:szCs w:val="21"/>
    </w:rPr>
  </w:style>
  <w:style w:type="paragraph" w:customStyle="1" w:styleId="Ttulo31">
    <w:name w:val="Título 31"/>
    <w:basedOn w:val="Normal"/>
    <w:rsid w:val="003F538D"/>
    <w:pPr>
      <w:numPr>
        <w:ilvl w:val="2"/>
        <w:numId w:val="6"/>
      </w:numPr>
      <w:spacing w:after="200" w:line="288" w:lineRule="auto"/>
    </w:pPr>
    <w:rPr>
      <w:rFonts w:eastAsiaTheme="minorEastAsia"/>
      <w:sz w:val="21"/>
      <w:szCs w:val="21"/>
    </w:rPr>
  </w:style>
  <w:style w:type="paragraph" w:customStyle="1" w:styleId="Ttulo41">
    <w:name w:val="Título 41"/>
    <w:basedOn w:val="Normal"/>
    <w:rsid w:val="003F538D"/>
    <w:pPr>
      <w:numPr>
        <w:ilvl w:val="3"/>
        <w:numId w:val="6"/>
      </w:numPr>
      <w:spacing w:after="200" w:line="288" w:lineRule="auto"/>
    </w:pPr>
    <w:rPr>
      <w:rFonts w:eastAsiaTheme="minorEastAsia"/>
      <w:sz w:val="21"/>
      <w:szCs w:val="21"/>
    </w:rPr>
  </w:style>
  <w:style w:type="paragraph" w:customStyle="1" w:styleId="Ttulo51">
    <w:name w:val="Título 51"/>
    <w:basedOn w:val="Normal"/>
    <w:rsid w:val="003F538D"/>
    <w:pPr>
      <w:numPr>
        <w:ilvl w:val="4"/>
        <w:numId w:val="6"/>
      </w:numPr>
      <w:spacing w:after="200" w:line="288" w:lineRule="auto"/>
    </w:pPr>
    <w:rPr>
      <w:rFonts w:eastAsiaTheme="minorEastAsia"/>
      <w:sz w:val="21"/>
      <w:szCs w:val="21"/>
    </w:rPr>
  </w:style>
  <w:style w:type="paragraph" w:customStyle="1" w:styleId="Ttulo61">
    <w:name w:val="Título 61"/>
    <w:basedOn w:val="Normal"/>
    <w:rsid w:val="003F538D"/>
    <w:pPr>
      <w:numPr>
        <w:ilvl w:val="5"/>
        <w:numId w:val="6"/>
      </w:numPr>
      <w:spacing w:after="200" w:line="288" w:lineRule="auto"/>
    </w:pPr>
    <w:rPr>
      <w:rFonts w:eastAsiaTheme="minorEastAsia"/>
      <w:sz w:val="21"/>
      <w:szCs w:val="21"/>
    </w:rPr>
  </w:style>
  <w:style w:type="paragraph" w:customStyle="1" w:styleId="Ttulo71">
    <w:name w:val="Título 71"/>
    <w:basedOn w:val="Normal"/>
    <w:rsid w:val="003F538D"/>
    <w:pPr>
      <w:numPr>
        <w:ilvl w:val="6"/>
        <w:numId w:val="6"/>
      </w:numPr>
      <w:spacing w:after="200" w:line="288" w:lineRule="auto"/>
    </w:pPr>
    <w:rPr>
      <w:rFonts w:eastAsiaTheme="minorEastAsia"/>
      <w:sz w:val="21"/>
      <w:szCs w:val="21"/>
    </w:rPr>
  </w:style>
  <w:style w:type="paragraph" w:customStyle="1" w:styleId="Ttulo81">
    <w:name w:val="Título 81"/>
    <w:basedOn w:val="Normal"/>
    <w:rsid w:val="003F538D"/>
    <w:pPr>
      <w:numPr>
        <w:ilvl w:val="7"/>
        <w:numId w:val="6"/>
      </w:numPr>
      <w:spacing w:after="200" w:line="288" w:lineRule="auto"/>
    </w:pPr>
    <w:rPr>
      <w:rFonts w:eastAsiaTheme="minorEastAsia"/>
      <w:sz w:val="21"/>
      <w:szCs w:val="21"/>
    </w:rPr>
  </w:style>
  <w:style w:type="paragraph" w:customStyle="1" w:styleId="Ttulo91">
    <w:name w:val="Título 91"/>
    <w:basedOn w:val="Normal"/>
    <w:rsid w:val="003F538D"/>
    <w:pPr>
      <w:numPr>
        <w:ilvl w:val="8"/>
        <w:numId w:val="6"/>
      </w:numPr>
      <w:spacing w:after="200" w:line="288" w:lineRule="auto"/>
    </w:pPr>
    <w:rPr>
      <w:rFonts w:eastAsiaTheme="minorEastAsia"/>
      <w:sz w:val="21"/>
      <w:szCs w:val="21"/>
    </w:rPr>
  </w:style>
  <w:style w:type="paragraph" w:styleId="NormalWeb">
    <w:name w:val="Normal (Web)"/>
    <w:basedOn w:val="Normal"/>
    <w:uiPriority w:val="99"/>
    <w:unhideWhenUsed/>
    <w:rsid w:val="003F538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Listaclara">
    <w:name w:val="Light List"/>
    <w:basedOn w:val="Tablanormal"/>
    <w:uiPriority w:val="61"/>
    <w:rsid w:val="003F538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ennegrita">
    <w:name w:val="Strong"/>
    <w:basedOn w:val="Fuentedeprrafopredeter"/>
    <w:uiPriority w:val="22"/>
    <w:qFormat/>
    <w:rsid w:val="003F538D"/>
    <w:rPr>
      <w:b/>
      <w:bCs/>
    </w:rPr>
  </w:style>
  <w:style w:type="character" w:styleId="Hipervnculo">
    <w:name w:val="Hyperlink"/>
    <w:basedOn w:val="Fuentedeprrafopredeter"/>
    <w:uiPriority w:val="99"/>
    <w:unhideWhenUsed/>
    <w:rsid w:val="003F538D"/>
    <w:rPr>
      <w:color w:val="0000FF"/>
      <w:u w:val="single"/>
    </w:rPr>
  </w:style>
  <w:style w:type="character" w:customStyle="1" w:styleId="suffix">
    <w:name w:val="suffix"/>
    <w:basedOn w:val="Fuentedeprrafopredeter"/>
    <w:rsid w:val="003F538D"/>
  </w:style>
  <w:style w:type="character" w:styleId="Refdecomentario">
    <w:name w:val="annotation reference"/>
    <w:basedOn w:val="Fuentedeprrafopredeter"/>
    <w:uiPriority w:val="99"/>
    <w:semiHidden/>
    <w:unhideWhenUsed/>
    <w:rsid w:val="003F538D"/>
    <w:rPr>
      <w:sz w:val="16"/>
      <w:szCs w:val="16"/>
    </w:rPr>
  </w:style>
  <w:style w:type="paragraph" w:styleId="Textocomentario">
    <w:name w:val="annotation text"/>
    <w:basedOn w:val="Normal"/>
    <w:link w:val="TextocomentarioCar"/>
    <w:uiPriority w:val="99"/>
    <w:unhideWhenUsed/>
    <w:rsid w:val="003F538D"/>
    <w:pPr>
      <w:spacing w:after="200" w:line="240" w:lineRule="auto"/>
    </w:pPr>
    <w:rPr>
      <w:rFonts w:eastAsiaTheme="minorEastAsia"/>
      <w:sz w:val="20"/>
      <w:szCs w:val="20"/>
    </w:rPr>
  </w:style>
  <w:style w:type="character" w:customStyle="1" w:styleId="TextocomentarioCar">
    <w:name w:val="Texto comentario Car"/>
    <w:basedOn w:val="Fuentedeprrafopredeter"/>
    <w:link w:val="Textocomentario"/>
    <w:uiPriority w:val="99"/>
    <w:rsid w:val="003F538D"/>
    <w:rPr>
      <w:rFonts w:eastAsiaTheme="minorEastAsia"/>
      <w:sz w:val="20"/>
      <w:szCs w:val="20"/>
    </w:rPr>
  </w:style>
  <w:style w:type="character" w:customStyle="1" w:styleId="AsuntodelcomentarioCar">
    <w:name w:val="Asunto del comentario Car"/>
    <w:basedOn w:val="TextocomentarioCar"/>
    <w:link w:val="Asuntodelcomentario"/>
    <w:uiPriority w:val="99"/>
    <w:semiHidden/>
    <w:rsid w:val="003F538D"/>
    <w:rPr>
      <w:rFonts w:eastAsiaTheme="minorEastAsia"/>
      <w:b/>
      <w:bCs/>
      <w:sz w:val="20"/>
      <w:szCs w:val="20"/>
    </w:rPr>
  </w:style>
  <w:style w:type="paragraph" w:styleId="Asuntodelcomentario">
    <w:name w:val="annotation subject"/>
    <w:basedOn w:val="Textocomentario"/>
    <w:next w:val="Textocomentario"/>
    <w:link w:val="AsuntodelcomentarioCar"/>
    <w:uiPriority w:val="99"/>
    <w:semiHidden/>
    <w:unhideWhenUsed/>
    <w:rsid w:val="003F538D"/>
    <w:rPr>
      <w:b/>
      <w:bCs/>
    </w:rPr>
  </w:style>
  <w:style w:type="paragraph" w:styleId="Textonotapie">
    <w:name w:val="footnote text"/>
    <w:basedOn w:val="Normal"/>
    <w:link w:val="TextonotapieCar"/>
    <w:uiPriority w:val="99"/>
    <w:semiHidden/>
    <w:unhideWhenUsed/>
    <w:rsid w:val="003F538D"/>
    <w:pPr>
      <w:spacing w:after="0" w:line="240" w:lineRule="auto"/>
    </w:pPr>
    <w:rPr>
      <w:rFonts w:eastAsiaTheme="minorEastAsia"/>
      <w:sz w:val="20"/>
      <w:szCs w:val="20"/>
    </w:rPr>
  </w:style>
  <w:style w:type="character" w:customStyle="1" w:styleId="TextonotapieCar">
    <w:name w:val="Texto nota pie Car"/>
    <w:basedOn w:val="Fuentedeprrafopredeter"/>
    <w:link w:val="Textonotapie"/>
    <w:uiPriority w:val="99"/>
    <w:semiHidden/>
    <w:rsid w:val="003F538D"/>
    <w:rPr>
      <w:rFonts w:eastAsiaTheme="minorEastAsia"/>
      <w:sz w:val="20"/>
      <w:szCs w:val="20"/>
    </w:rPr>
  </w:style>
  <w:style w:type="character" w:styleId="Refdenotaalpie">
    <w:name w:val="footnote reference"/>
    <w:basedOn w:val="Fuentedeprrafopredeter"/>
    <w:uiPriority w:val="99"/>
    <w:semiHidden/>
    <w:unhideWhenUsed/>
    <w:rsid w:val="003F538D"/>
    <w:rPr>
      <w:vertAlign w:val="superscript"/>
    </w:rPr>
  </w:style>
  <w:style w:type="paragraph" w:customStyle="1" w:styleId="Default">
    <w:name w:val="Default"/>
    <w:rsid w:val="007375F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8D13F2"/>
    <w:rPr>
      <w:rFonts w:asciiTheme="majorHAnsi" w:eastAsiaTheme="majorEastAsia" w:hAnsiTheme="majorHAnsi" w:cstheme="majorBidi"/>
      <w:color w:val="1F4D78" w:themeColor="accent1" w:themeShade="7F"/>
      <w:sz w:val="24"/>
      <w:szCs w:val="24"/>
    </w:rPr>
  </w:style>
  <w:style w:type="paragraph" w:styleId="TtulodeTDC">
    <w:name w:val="TOC Heading"/>
    <w:basedOn w:val="Ttulo1"/>
    <w:next w:val="Normal"/>
    <w:uiPriority w:val="39"/>
    <w:unhideWhenUsed/>
    <w:qFormat/>
    <w:rsid w:val="002617C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s-GT" w:eastAsia="es-GT"/>
    </w:rPr>
  </w:style>
  <w:style w:type="paragraph" w:styleId="TDC1">
    <w:name w:val="toc 1"/>
    <w:basedOn w:val="Normal"/>
    <w:next w:val="Normal"/>
    <w:autoRedefine/>
    <w:uiPriority w:val="39"/>
    <w:unhideWhenUsed/>
    <w:rsid w:val="00252895"/>
    <w:pPr>
      <w:tabs>
        <w:tab w:val="left" w:pos="284"/>
        <w:tab w:val="right" w:leader="dot" w:pos="8828"/>
      </w:tabs>
      <w:spacing w:after="0" w:line="240" w:lineRule="auto"/>
    </w:pPr>
    <w:rPr>
      <w:rFonts w:ascii="Times New Roman" w:hAnsi="Times New Roman" w:cs="Times New Roman"/>
      <w:b/>
      <w:noProof/>
      <w:lang w:val="es-MX"/>
    </w:rPr>
  </w:style>
  <w:style w:type="paragraph" w:styleId="TDC2">
    <w:name w:val="toc 2"/>
    <w:basedOn w:val="Normal"/>
    <w:next w:val="Normal"/>
    <w:autoRedefine/>
    <w:uiPriority w:val="39"/>
    <w:unhideWhenUsed/>
    <w:rsid w:val="00F24100"/>
    <w:pPr>
      <w:tabs>
        <w:tab w:val="left" w:pos="426"/>
        <w:tab w:val="right" w:leader="dot" w:pos="8828"/>
      </w:tabs>
      <w:spacing w:after="0"/>
      <w:ind w:left="142"/>
    </w:pPr>
    <w:rPr>
      <w:rFonts w:ascii="Times New Roman" w:hAnsi="Times New Roman" w:cs="Times New Roman"/>
      <w:b/>
      <w:noProof/>
      <w:lang w:val="es-MX"/>
    </w:rPr>
  </w:style>
  <w:style w:type="paragraph" w:styleId="TDC3">
    <w:name w:val="toc 3"/>
    <w:basedOn w:val="Normal"/>
    <w:next w:val="Normal"/>
    <w:autoRedefine/>
    <w:uiPriority w:val="39"/>
    <w:unhideWhenUsed/>
    <w:rsid w:val="00F24100"/>
    <w:pPr>
      <w:tabs>
        <w:tab w:val="left" w:pos="851"/>
        <w:tab w:val="right" w:leader="dot" w:pos="8828"/>
      </w:tabs>
      <w:spacing w:after="0"/>
      <w:ind w:left="284"/>
    </w:pPr>
  </w:style>
  <w:style w:type="paragraph" w:styleId="Epgrafe">
    <w:name w:val="caption"/>
    <w:basedOn w:val="Normal"/>
    <w:next w:val="Normal"/>
    <w:link w:val="EpgrafeCar"/>
    <w:uiPriority w:val="35"/>
    <w:unhideWhenUsed/>
    <w:qFormat/>
    <w:rsid w:val="0079325D"/>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803E37"/>
    <w:pPr>
      <w:spacing w:after="0"/>
    </w:pPr>
  </w:style>
  <w:style w:type="paragraph" w:styleId="Subttulo">
    <w:name w:val="Subtitle"/>
    <w:basedOn w:val="Normal"/>
    <w:link w:val="SubttuloCar"/>
    <w:uiPriority w:val="2"/>
    <w:qFormat/>
    <w:rsid w:val="009E348E"/>
    <w:pPr>
      <w:numPr>
        <w:ilvl w:val="1"/>
      </w:numPr>
      <w:spacing w:before="240" w:after="600" w:line="240" w:lineRule="auto"/>
    </w:pPr>
    <w:rPr>
      <w:rFonts w:asciiTheme="majorHAnsi" w:eastAsiaTheme="majorEastAsia" w:hAnsiTheme="majorHAnsi" w:cstheme="majorBidi"/>
      <w:color w:val="5A5A5A" w:themeColor="text1" w:themeTint="A5"/>
      <w:kern w:val="2"/>
      <w:sz w:val="24"/>
      <w:szCs w:val="20"/>
      <w:lang w:val="en-US" w:eastAsia="ja-JP"/>
      <w14:ligatures w14:val="standard"/>
    </w:rPr>
  </w:style>
  <w:style w:type="character" w:customStyle="1" w:styleId="SubttuloCar">
    <w:name w:val="Subtítulo Car"/>
    <w:basedOn w:val="Fuentedeprrafopredeter"/>
    <w:link w:val="Subttulo"/>
    <w:uiPriority w:val="2"/>
    <w:rsid w:val="009E348E"/>
    <w:rPr>
      <w:rFonts w:asciiTheme="majorHAnsi" w:eastAsiaTheme="majorEastAsia" w:hAnsiTheme="majorHAnsi" w:cstheme="majorBidi"/>
      <w:color w:val="5A5A5A" w:themeColor="text1" w:themeTint="A5"/>
      <w:kern w:val="2"/>
      <w:sz w:val="24"/>
      <w:szCs w:val="20"/>
      <w:lang w:val="en-US" w:eastAsia="ja-JP"/>
      <w14:ligatures w14:val="standard"/>
    </w:rPr>
  </w:style>
  <w:style w:type="paragraph" w:customStyle="1" w:styleId="BlockHeading">
    <w:name w:val="Block Heading"/>
    <w:basedOn w:val="Normal"/>
    <w:next w:val="Textodebloque"/>
    <w:uiPriority w:val="3"/>
    <w:qFormat/>
    <w:rsid w:val="009E348E"/>
    <w:pPr>
      <w:spacing w:after="180" w:line="216" w:lineRule="auto"/>
      <w:ind w:left="288" w:right="288"/>
    </w:pPr>
    <w:rPr>
      <w:rFonts w:asciiTheme="majorHAnsi" w:eastAsiaTheme="majorEastAsia" w:hAnsiTheme="majorHAnsi" w:cstheme="majorBidi"/>
      <w:b/>
      <w:bCs/>
      <w:caps/>
      <w:color w:val="FFFFFF" w:themeColor="background1"/>
      <w:kern w:val="2"/>
      <w:sz w:val="28"/>
      <w:szCs w:val="20"/>
      <w:lang w:val="en-US" w:eastAsia="ja-JP"/>
      <w14:ligatures w14:val="standard"/>
    </w:rPr>
  </w:style>
  <w:style w:type="paragraph" w:styleId="Textodebloque">
    <w:name w:val="Block Text"/>
    <w:basedOn w:val="Normal"/>
    <w:uiPriority w:val="3"/>
    <w:unhideWhenUsed/>
    <w:qFormat/>
    <w:rsid w:val="009E348E"/>
    <w:pPr>
      <w:spacing w:after="180" w:line="312" w:lineRule="auto"/>
      <w:ind w:left="288" w:right="288"/>
    </w:pPr>
    <w:rPr>
      <w:color w:val="FFFFFF" w:themeColor="background1"/>
      <w:kern w:val="2"/>
      <w:szCs w:val="20"/>
      <w:lang w:val="en-US" w:eastAsia="ja-JP"/>
      <w14:ligatures w14:val="standard"/>
    </w:rPr>
  </w:style>
  <w:style w:type="table" w:customStyle="1" w:styleId="GridTable3-Accent41">
    <w:name w:val="Grid Table 3 - Accent 41"/>
    <w:basedOn w:val="Tablanormal"/>
    <w:next w:val="Tablanormal"/>
    <w:uiPriority w:val="48"/>
    <w:rsid w:val="009E348E"/>
    <w:pPr>
      <w:spacing w:after="0" w:line="240" w:lineRule="auto"/>
    </w:pPr>
    <w:rPr>
      <w:color w:val="404040" w:themeColor="text1" w:themeTint="BF"/>
      <w:kern w:val="2"/>
      <w:sz w:val="20"/>
      <w:szCs w:val="20"/>
      <w:lang w:val="en-US" w:eastAsia="ja-JP"/>
      <w14:ligatures w14:val="standard"/>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styleId="Revisin">
    <w:name w:val="Revision"/>
    <w:hidden/>
    <w:uiPriority w:val="99"/>
    <w:semiHidden/>
    <w:rsid w:val="00F73DFB"/>
    <w:pPr>
      <w:spacing w:after="0" w:line="240" w:lineRule="auto"/>
    </w:pPr>
  </w:style>
  <w:style w:type="paragraph" w:styleId="TDC4">
    <w:name w:val="toc 4"/>
    <w:basedOn w:val="Normal"/>
    <w:next w:val="Normal"/>
    <w:autoRedefine/>
    <w:uiPriority w:val="39"/>
    <w:unhideWhenUsed/>
    <w:rsid w:val="00246333"/>
    <w:pPr>
      <w:spacing w:after="100"/>
      <w:ind w:left="660"/>
    </w:pPr>
    <w:rPr>
      <w:rFonts w:eastAsiaTheme="minorEastAsia"/>
      <w:lang w:eastAsia="es-GT"/>
    </w:rPr>
  </w:style>
  <w:style w:type="paragraph" w:styleId="TDC5">
    <w:name w:val="toc 5"/>
    <w:basedOn w:val="Normal"/>
    <w:next w:val="Normal"/>
    <w:autoRedefine/>
    <w:uiPriority w:val="39"/>
    <w:unhideWhenUsed/>
    <w:rsid w:val="00246333"/>
    <w:pPr>
      <w:spacing w:after="100"/>
      <w:ind w:left="880"/>
    </w:pPr>
    <w:rPr>
      <w:rFonts w:eastAsiaTheme="minorEastAsia"/>
      <w:lang w:eastAsia="es-GT"/>
    </w:rPr>
  </w:style>
  <w:style w:type="paragraph" w:styleId="TDC6">
    <w:name w:val="toc 6"/>
    <w:basedOn w:val="Normal"/>
    <w:next w:val="Normal"/>
    <w:autoRedefine/>
    <w:uiPriority w:val="39"/>
    <w:unhideWhenUsed/>
    <w:rsid w:val="00246333"/>
    <w:pPr>
      <w:spacing w:after="100"/>
      <w:ind w:left="1100"/>
    </w:pPr>
    <w:rPr>
      <w:rFonts w:eastAsiaTheme="minorEastAsia"/>
      <w:lang w:eastAsia="es-GT"/>
    </w:rPr>
  </w:style>
  <w:style w:type="paragraph" w:styleId="TDC7">
    <w:name w:val="toc 7"/>
    <w:basedOn w:val="Normal"/>
    <w:next w:val="Normal"/>
    <w:autoRedefine/>
    <w:uiPriority w:val="39"/>
    <w:unhideWhenUsed/>
    <w:rsid w:val="00246333"/>
    <w:pPr>
      <w:spacing w:after="100"/>
      <w:ind w:left="1320"/>
    </w:pPr>
    <w:rPr>
      <w:rFonts w:eastAsiaTheme="minorEastAsia"/>
      <w:lang w:eastAsia="es-GT"/>
    </w:rPr>
  </w:style>
  <w:style w:type="paragraph" w:styleId="TDC8">
    <w:name w:val="toc 8"/>
    <w:basedOn w:val="Normal"/>
    <w:next w:val="Normal"/>
    <w:autoRedefine/>
    <w:uiPriority w:val="39"/>
    <w:unhideWhenUsed/>
    <w:rsid w:val="00246333"/>
    <w:pPr>
      <w:spacing w:after="100"/>
      <w:ind w:left="1540"/>
    </w:pPr>
    <w:rPr>
      <w:rFonts w:eastAsiaTheme="minorEastAsia"/>
      <w:lang w:eastAsia="es-GT"/>
    </w:rPr>
  </w:style>
  <w:style w:type="paragraph" w:styleId="TDC9">
    <w:name w:val="toc 9"/>
    <w:basedOn w:val="Normal"/>
    <w:next w:val="Normal"/>
    <w:autoRedefine/>
    <w:uiPriority w:val="39"/>
    <w:unhideWhenUsed/>
    <w:rsid w:val="00246333"/>
    <w:pPr>
      <w:spacing w:after="100"/>
      <w:ind w:left="1760"/>
    </w:pPr>
    <w:rPr>
      <w:rFonts w:eastAsiaTheme="minorEastAsia"/>
      <w:lang w:eastAsia="es-GT"/>
    </w:rPr>
  </w:style>
  <w:style w:type="character" w:styleId="Hipervnculovisitado">
    <w:name w:val="FollowedHyperlink"/>
    <w:basedOn w:val="Fuentedeprrafopredeter"/>
    <w:uiPriority w:val="99"/>
    <w:semiHidden/>
    <w:unhideWhenUsed/>
    <w:rsid w:val="00CE17AB"/>
    <w:rPr>
      <w:color w:val="954F72" w:themeColor="followedHyperlink"/>
      <w:u w:val="single"/>
    </w:rPr>
  </w:style>
  <w:style w:type="paragraph" w:customStyle="1" w:styleId="ParagraphNumbering">
    <w:name w:val="Paragraph Numbering"/>
    <w:basedOn w:val="Normal"/>
    <w:link w:val="ParagraphNumberingChar"/>
    <w:qFormat/>
    <w:rsid w:val="006A1942"/>
    <w:pPr>
      <w:numPr>
        <w:numId w:val="17"/>
      </w:numPr>
      <w:spacing w:after="240" w:line="264" w:lineRule="auto"/>
    </w:pPr>
    <w:rPr>
      <w:rFonts w:ascii="Times New Roman" w:hAnsi="Times New Roman" w:cs="Times New Roman"/>
      <w:sz w:val="24"/>
      <w:szCs w:val="24"/>
      <w:lang w:val="en-US"/>
    </w:rPr>
  </w:style>
  <w:style w:type="character" w:customStyle="1" w:styleId="ParagraphNumberingChar">
    <w:name w:val="Paragraph Numbering Char"/>
    <w:basedOn w:val="Fuentedeprrafopredeter"/>
    <w:link w:val="ParagraphNumbering"/>
    <w:rsid w:val="006A1942"/>
    <w:rPr>
      <w:rFonts w:ascii="Times New Roman" w:hAnsi="Times New Roman" w:cs="Times New Roman"/>
      <w:sz w:val="24"/>
      <w:szCs w:val="24"/>
      <w:lang w:val="en-US"/>
    </w:rPr>
  </w:style>
  <w:style w:type="table" w:customStyle="1" w:styleId="GridTable1LightAccent4">
    <w:name w:val="Grid Table 1 Light Accent 4"/>
    <w:basedOn w:val="Tablanormal"/>
    <w:uiPriority w:val="46"/>
    <w:rsid w:val="0056554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ListTable4Accent1">
    <w:name w:val="List Table 4 Accent 1"/>
    <w:basedOn w:val="Tablanormal"/>
    <w:uiPriority w:val="49"/>
    <w:rsid w:val="0056554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suntodelcomentarioCar1">
    <w:name w:val="Asunto del comentario Car1"/>
    <w:basedOn w:val="TextocomentarioCar"/>
    <w:uiPriority w:val="99"/>
    <w:semiHidden/>
    <w:rsid w:val="00322670"/>
    <w:rPr>
      <w:rFonts w:eastAsiaTheme="minorEastAsia"/>
      <w:b/>
      <w:bCs/>
      <w:sz w:val="20"/>
      <w:szCs w:val="20"/>
      <w:lang w:val="es-GT"/>
    </w:rPr>
  </w:style>
  <w:style w:type="paragraph" w:customStyle="1" w:styleId="Tabla">
    <w:name w:val="Tabla"/>
    <w:basedOn w:val="Tabladeilustraciones"/>
    <w:link w:val="TablaCar"/>
    <w:qFormat/>
    <w:rsid w:val="00322670"/>
    <w:pPr>
      <w:keepNext/>
      <w:framePr w:hSpace="141" w:wrap="around" w:vAnchor="text" w:hAnchor="margin" w:y="74"/>
      <w:jc w:val="center"/>
    </w:pPr>
    <w:rPr>
      <w:rFonts w:ascii="Times New Roman" w:hAnsi="Times New Roman" w:cs="Times New Roman"/>
      <w:b/>
      <w:bCs/>
      <w:iCs/>
      <w:color w:val="44546A" w:themeColor="text2"/>
      <w:sz w:val="18"/>
      <w:szCs w:val="20"/>
    </w:rPr>
  </w:style>
  <w:style w:type="character" w:customStyle="1" w:styleId="EpgrafeCar">
    <w:name w:val="Epígrafe Car"/>
    <w:basedOn w:val="Fuentedeprrafopredeter"/>
    <w:link w:val="Epgrafe"/>
    <w:uiPriority w:val="35"/>
    <w:rsid w:val="00322670"/>
    <w:rPr>
      <w:i/>
      <w:iCs/>
      <w:color w:val="44546A" w:themeColor="text2"/>
      <w:sz w:val="18"/>
      <w:szCs w:val="18"/>
    </w:rPr>
  </w:style>
  <w:style w:type="character" w:customStyle="1" w:styleId="TablaCar">
    <w:name w:val="Tabla Car"/>
    <w:basedOn w:val="EpgrafeCar"/>
    <w:link w:val="Tabla"/>
    <w:rsid w:val="00322670"/>
    <w:rPr>
      <w:rFonts w:ascii="Times New Roman" w:hAnsi="Times New Roman" w:cs="Times New Roman"/>
      <w:b/>
      <w:bCs/>
      <w:i w:val="0"/>
      <w:iCs/>
      <w:color w:val="44546A" w:themeColor="text2"/>
      <w:sz w:val="18"/>
      <w:szCs w:val="20"/>
    </w:rPr>
  </w:style>
  <w:style w:type="paragraph" w:styleId="ndice1">
    <w:name w:val="index 1"/>
    <w:basedOn w:val="Normal"/>
    <w:next w:val="Normal"/>
    <w:autoRedefine/>
    <w:uiPriority w:val="99"/>
    <w:semiHidden/>
    <w:unhideWhenUsed/>
    <w:rsid w:val="00322670"/>
    <w:pPr>
      <w:spacing w:after="0" w:line="240" w:lineRule="auto"/>
      <w:ind w:left="220" w:hanging="220"/>
    </w:pPr>
  </w:style>
  <w:style w:type="table" w:customStyle="1" w:styleId="TableGrid1">
    <w:name w:val="Table Grid1"/>
    <w:basedOn w:val="Tablanormal"/>
    <w:next w:val="Tablaconcuadrcula"/>
    <w:uiPriority w:val="39"/>
    <w:rsid w:val="003D6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
    <w:name w:val="List Table 4 Accent 5"/>
    <w:basedOn w:val="Tablanormal"/>
    <w:uiPriority w:val="49"/>
    <w:rsid w:val="0059626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1LightAccent3">
    <w:name w:val="Grid Table 1 Light Accent 3"/>
    <w:basedOn w:val="Tablanormal"/>
    <w:uiPriority w:val="46"/>
    <w:rsid w:val="00CF295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5DarkAccent1">
    <w:name w:val="Grid Table 5 Dark Accent 1"/>
    <w:basedOn w:val="Tablanormal"/>
    <w:uiPriority w:val="50"/>
    <w:rsid w:val="00CF29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1">
    <w:name w:val="Grid Table 4 Accent 1"/>
    <w:basedOn w:val="Tablanormal"/>
    <w:uiPriority w:val="49"/>
    <w:rsid w:val="00CF295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ibliografa">
    <w:name w:val="Bibliography"/>
    <w:basedOn w:val="Normal"/>
    <w:next w:val="Normal"/>
    <w:uiPriority w:val="37"/>
    <w:unhideWhenUsed/>
    <w:rsid w:val="00F51A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56938">
      <w:bodyDiv w:val="1"/>
      <w:marLeft w:val="0"/>
      <w:marRight w:val="0"/>
      <w:marTop w:val="0"/>
      <w:marBottom w:val="0"/>
      <w:divBdr>
        <w:top w:val="none" w:sz="0" w:space="0" w:color="auto"/>
        <w:left w:val="none" w:sz="0" w:space="0" w:color="auto"/>
        <w:bottom w:val="none" w:sz="0" w:space="0" w:color="auto"/>
        <w:right w:val="none" w:sz="0" w:space="0" w:color="auto"/>
      </w:divBdr>
    </w:div>
    <w:div w:id="29720264">
      <w:bodyDiv w:val="1"/>
      <w:marLeft w:val="0"/>
      <w:marRight w:val="0"/>
      <w:marTop w:val="0"/>
      <w:marBottom w:val="0"/>
      <w:divBdr>
        <w:top w:val="none" w:sz="0" w:space="0" w:color="auto"/>
        <w:left w:val="none" w:sz="0" w:space="0" w:color="auto"/>
        <w:bottom w:val="none" w:sz="0" w:space="0" w:color="auto"/>
        <w:right w:val="none" w:sz="0" w:space="0" w:color="auto"/>
      </w:divBdr>
      <w:divsChild>
        <w:div w:id="396755231">
          <w:marLeft w:val="1440"/>
          <w:marRight w:val="0"/>
          <w:marTop w:val="0"/>
          <w:marBottom w:val="0"/>
          <w:divBdr>
            <w:top w:val="none" w:sz="0" w:space="0" w:color="auto"/>
            <w:left w:val="none" w:sz="0" w:space="0" w:color="auto"/>
            <w:bottom w:val="none" w:sz="0" w:space="0" w:color="auto"/>
            <w:right w:val="none" w:sz="0" w:space="0" w:color="auto"/>
          </w:divBdr>
        </w:div>
        <w:div w:id="1103302304">
          <w:marLeft w:val="1440"/>
          <w:marRight w:val="0"/>
          <w:marTop w:val="0"/>
          <w:marBottom w:val="0"/>
          <w:divBdr>
            <w:top w:val="none" w:sz="0" w:space="0" w:color="auto"/>
            <w:left w:val="none" w:sz="0" w:space="0" w:color="auto"/>
            <w:bottom w:val="none" w:sz="0" w:space="0" w:color="auto"/>
            <w:right w:val="none" w:sz="0" w:space="0" w:color="auto"/>
          </w:divBdr>
        </w:div>
        <w:div w:id="1788697852">
          <w:marLeft w:val="1440"/>
          <w:marRight w:val="0"/>
          <w:marTop w:val="0"/>
          <w:marBottom w:val="0"/>
          <w:divBdr>
            <w:top w:val="none" w:sz="0" w:space="0" w:color="auto"/>
            <w:left w:val="none" w:sz="0" w:space="0" w:color="auto"/>
            <w:bottom w:val="none" w:sz="0" w:space="0" w:color="auto"/>
            <w:right w:val="none" w:sz="0" w:space="0" w:color="auto"/>
          </w:divBdr>
        </w:div>
        <w:div w:id="1906143888">
          <w:marLeft w:val="1440"/>
          <w:marRight w:val="0"/>
          <w:marTop w:val="0"/>
          <w:marBottom w:val="0"/>
          <w:divBdr>
            <w:top w:val="none" w:sz="0" w:space="0" w:color="auto"/>
            <w:left w:val="none" w:sz="0" w:space="0" w:color="auto"/>
            <w:bottom w:val="none" w:sz="0" w:space="0" w:color="auto"/>
            <w:right w:val="none" w:sz="0" w:space="0" w:color="auto"/>
          </w:divBdr>
        </w:div>
        <w:div w:id="2018145128">
          <w:marLeft w:val="1440"/>
          <w:marRight w:val="0"/>
          <w:marTop w:val="0"/>
          <w:marBottom w:val="0"/>
          <w:divBdr>
            <w:top w:val="none" w:sz="0" w:space="0" w:color="auto"/>
            <w:left w:val="none" w:sz="0" w:space="0" w:color="auto"/>
            <w:bottom w:val="none" w:sz="0" w:space="0" w:color="auto"/>
            <w:right w:val="none" w:sz="0" w:space="0" w:color="auto"/>
          </w:divBdr>
        </w:div>
        <w:div w:id="2038702437">
          <w:marLeft w:val="1440"/>
          <w:marRight w:val="0"/>
          <w:marTop w:val="0"/>
          <w:marBottom w:val="0"/>
          <w:divBdr>
            <w:top w:val="none" w:sz="0" w:space="0" w:color="auto"/>
            <w:left w:val="none" w:sz="0" w:space="0" w:color="auto"/>
            <w:bottom w:val="none" w:sz="0" w:space="0" w:color="auto"/>
            <w:right w:val="none" w:sz="0" w:space="0" w:color="auto"/>
          </w:divBdr>
        </w:div>
      </w:divsChild>
    </w:div>
    <w:div w:id="39672412">
      <w:bodyDiv w:val="1"/>
      <w:marLeft w:val="0"/>
      <w:marRight w:val="0"/>
      <w:marTop w:val="0"/>
      <w:marBottom w:val="0"/>
      <w:divBdr>
        <w:top w:val="none" w:sz="0" w:space="0" w:color="auto"/>
        <w:left w:val="none" w:sz="0" w:space="0" w:color="auto"/>
        <w:bottom w:val="none" w:sz="0" w:space="0" w:color="auto"/>
        <w:right w:val="none" w:sz="0" w:space="0" w:color="auto"/>
      </w:divBdr>
    </w:div>
    <w:div w:id="49771464">
      <w:bodyDiv w:val="1"/>
      <w:marLeft w:val="0"/>
      <w:marRight w:val="0"/>
      <w:marTop w:val="0"/>
      <w:marBottom w:val="0"/>
      <w:divBdr>
        <w:top w:val="none" w:sz="0" w:space="0" w:color="auto"/>
        <w:left w:val="none" w:sz="0" w:space="0" w:color="auto"/>
        <w:bottom w:val="none" w:sz="0" w:space="0" w:color="auto"/>
        <w:right w:val="none" w:sz="0" w:space="0" w:color="auto"/>
      </w:divBdr>
    </w:div>
    <w:div w:id="87818251">
      <w:bodyDiv w:val="1"/>
      <w:marLeft w:val="0"/>
      <w:marRight w:val="0"/>
      <w:marTop w:val="0"/>
      <w:marBottom w:val="0"/>
      <w:divBdr>
        <w:top w:val="none" w:sz="0" w:space="0" w:color="auto"/>
        <w:left w:val="none" w:sz="0" w:space="0" w:color="auto"/>
        <w:bottom w:val="none" w:sz="0" w:space="0" w:color="auto"/>
        <w:right w:val="none" w:sz="0" w:space="0" w:color="auto"/>
      </w:divBdr>
    </w:div>
    <w:div w:id="265046800">
      <w:bodyDiv w:val="1"/>
      <w:marLeft w:val="0"/>
      <w:marRight w:val="0"/>
      <w:marTop w:val="0"/>
      <w:marBottom w:val="0"/>
      <w:divBdr>
        <w:top w:val="none" w:sz="0" w:space="0" w:color="auto"/>
        <w:left w:val="none" w:sz="0" w:space="0" w:color="auto"/>
        <w:bottom w:val="none" w:sz="0" w:space="0" w:color="auto"/>
        <w:right w:val="none" w:sz="0" w:space="0" w:color="auto"/>
      </w:divBdr>
    </w:div>
    <w:div w:id="284236855">
      <w:bodyDiv w:val="1"/>
      <w:marLeft w:val="0"/>
      <w:marRight w:val="0"/>
      <w:marTop w:val="0"/>
      <w:marBottom w:val="0"/>
      <w:divBdr>
        <w:top w:val="none" w:sz="0" w:space="0" w:color="auto"/>
        <w:left w:val="none" w:sz="0" w:space="0" w:color="auto"/>
        <w:bottom w:val="none" w:sz="0" w:space="0" w:color="auto"/>
        <w:right w:val="none" w:sz="0" w:space="0" w:color="auto"/>
      </w:divBdr>
    </w:div>
    <w:div w:id="299312377">
      <w:bodyDiv w:val="1"/>
      <w:marLeft w:val="0"/>
      <w:marRight w:val="0"/>
      <w:marTop w:val="0"/>
      <w:marBottom w:val="0"/>
      <w:divBdr>
        <w:top w:val="none" w:sz="0" w:space="0" w:color="auto"/>
        <w:left w:val="none" w:sz="0" w:space="0" w:color="auto"/>
        <w:bottom w:val="none" w:sz="0" w:space="0" w:color="auto"/>
        <w:right w:val="none" w:sz="0" w:space="0" w:color="auto"/>
      </w:divBdr>
    </w:div>
    <w:div w:id="328486165">
      <w:bodyDiv w:val="1"/>
      <w:marLeft w:val="0"/>
      <w:marRight w:val="0"/>
      <w:marTop w:val="0"/>
      <w:marBottom w:val="0"/>
      <w:divBdr>
        <w:top w:val="none" w:sz="0" w:space="0" w:color="auto"/>
        <w:left w:val="none" w:sz="0" w:space="0" w:color="auto"/>
        <w:bottom w:val="none" w:sz="0" w:space="0" w:color="auto"/>
        <w:right w:val="none" w:sz="0" w:space="0" w:color="auto"/>
      </w:divBdr>
    </w:div>
    <w:div w:id="335113640">
      <w:bodyDiv w:val="1"/>
      <w:marLeft w:val="0"/>
      <w:marRight w:val="0"/>
      <w:marTop w:val="0"/>
      <w:marBottom w:val="0"/>
      <w:divBdr>
        <w:top w:val="none" w:sz="0" w:space="0" w:color="auto"/>
        <w:left w:val="none" w:sz="0" w:space="0" w:color="auto"/>
        <w:bottom w:val="none" w:sz="0" w:space="0" w:color="auto"/>
        <w:right w:val="none" w:sz="0" w:space="0" w:color="auto"/>
      </w:divBdr>
    </w:div>
    <w:div w:id="336467026">
      <w:bodyDiv w:val="1"/>
      <w:marLeft w:val="0"/>
      <w:marRight w:val="0"/>
      <w:marTop w:val="0"/>
      <w:marBottom w:val="0"/>
      <w:divBdr>
        <w:top w:val="none" w:sz="0" w:space="0" w:color="auto"/>
        <w:left w:val="none" w:sz="0" w:space="0" w:color="auto"/>
        <w:bottom w:val="none" w:sz="0" w:space="0" w:color="auto"/>
        <w:right w:val="none" w:sz="0" w:space="0" w:color="auto"/>
      </w:divBdr>
    </w:div>
    <w:div w:id="378633339">
      <w:bodyDiv w:val="1"/>
      <w:marLeft w:val="0"/>
      <w:marRight w:val="0"/>
      <w:marTop w:val="0"/>
      <w:marBottom w:val="0"/>
      <w:divBdr>
        <w:top w:val="none" w:sz="0" w:space="0" w:color="auto"/>
        <w:left w:val="none" w:sz="0" w:space="0" w:color="auto"/>
        <w:bottom w:val="none" w:sz="0" w:space="0" w:color="auto"/>
        <w:right w:val="none" w:sz="0" w:space="0" w:color="auto"/>
      </w:divBdr>
    </w:div>
    <w:div w:id="392117143">
      <w:bodyDiv w:val="1"/>
      <w:marLeft w:val="0"/>
      <w:marRight w:val="0"/>
      <w:marTop w:val="0"/>
      <w:marBottom w:val="0"/>
      <w:divBdr>
        <w:top w:val="none" w:sz="0" w:space="0" w:color="auto"/>
        <w:left w:val="none" w:sz="0" w:space="0" w:color="auto"/>
        <w:bottom w:val="none" w:sz="0" w:space="0" w:color="auto"/>
        <w:right w:val="none" w:sz="0" w:space="0" w:color="auto"/>
      </w:divBdr>
    </w:div>
    <w:div w:id="411968654">
      <w:bodyDiv w:val="1"/>
      <w:marLeft w:val="0"/>
      <w:marRight w:val="0"/>
      <w:marTop w:val="0"/>
      <w:marBottom w:val="0"/>
      <w:divBdr>
        <w:top w:val="none" w:sz="0" w:space="0" w:color="auto"/>
        <w:left w:val="none" w:sz="0" w:space="0" w:color="auto"/>
        <w:bottom w:val="none" w:sz="0" w:space="0" w:color="auto"/>
        <w:right w:val="none" w:sz="0" w:space="0" w:color="auto"/>
      </w:divBdr>
      <w:divsChild>
        <w:div w:id="825052216">
          <w:marLeft w:val="360"/>
          <w:marRight w:val="0"/>
          <w:marTop w:val="200"/>
          <w:marBottom w:val="0"/>
          <w:divBdr>
            <w:top w:val="none" w:sz="0" w:space="0" w:color="auto"/>
            <w:left w:val="none" w:sz="0" w:space="0" w:color="auto"/>
            <w:bottom w:val="none" w:sz="0" w:space="0" w:color="auto"/>
            <w:right w:val="none" w:sz="0" w:space="0" w:color="auto"/>
          </w:divBdr>
        </w:div>
        <w:div w:id="944651815">
          <w:marLeft w:val="360"/>
          <w:marRight w:val="0"/>
          <w:marTop w:val="200"/>
          <w:marBottom w:val="0"/>
          <w:divBdr>
            <w:top w:val="none" w:sz="0" w:space="0" w:color="auto"/>
            <w:left w:val="none" w:sz="0" w:space="0" w:color="auto"/>
            <w:bottom w:val="none" w:sz="0" w:space="0" w:color="auto"/>
            <w:right w:val="none" w:sz="0" w:space="0" w:color="auto"/>
          </w:divBdr>
        </w:div>
        <w:div w:id="1188330538">
          <w:marLeft w:val="360"/>
          <w:marRight w:val="0"/>
          <w:marTop w:val="200"/>
          <w:marBottom w:val="0"/>
          <w:divBdr>
            <w:top w:val="none" w:sz="0" w:space="0" w:color="auto"/>
            <w:left w:val="none" w:sz="0" w:space="0" w:color="auto"/>
            <w:bottom w:val="none" w:sz="0" w:space="0" w:color="auto"/>
            <w:right w:val="none" w:sz="0" w:space="0" w:color="auto"/>
          </w:divBdr>
        </w:div>
        <w:div w:id="1529638846">
          <w:marLeft w:val="360"/>
          <w:marRight w:val="0"/>
          <w:marTop w:val="200"/>
          <w:marBottom w:val="0"/>
          <w:divBdr>
            <w:top w:val="none" w:sz="0" w:space="0" w:color="auto"/>
            <w:left w:val="none" w:sz="0" w:space="0" w:color="auto"/>
            <w:bottom w:val="none" w:sz="0" w:space="0" w:color="auto"/>
            <w:right w:val="none" w:sz="0" w:space="0" w:color="auto"/>
          </w:divBdr>
        </w:div>
        <w:div w:id="1564103793">
          <w:marLeft w:val="360"/>
          <w:marRight w:val="0"/>
          <w:marTop w:val="200"/>
          <w:marBottom w:val="0"/>
          <w:divBdr>
            <w:top w:val="none" w:sz="0" w:space="0" w:color="auto"/>
            <w:left w:val="none" w:sz="0" w:space="0" w:color="auto"/>
            <w:bottom w:val="none" w:sz="0" w:space="0" w:color="auto"/>
            <w:right w:val="none" w:sz="0" w:space="0" w:color="auto"/>
          </w:divBdr>
        </w:div>
      </w:divsChild>
    </w:div>
    <w:div w:id="435642679">
      <w:bodyDiv w:val="1"/>
      <w:marLeft w:val="0"/>
      <w:marRight w:val="0"/>
      <w:marTop w:val="0"/>
      <w:marBottom w:val="0"/>
      <w:divBdr>
        <w:top w:val="none" w:sz="0" w:space="0" w:color="auto"/>
        <w:left w:val="none" w:sz="0" w:space="0" w:color="auto"/>
        <w:bottom w:val="none" w:sz="0" w:space="0" w:color="auto"/>
        <w:right w:val="none" w:sz="0" w:space="0" w:color="auto"/>
      </w:divBdr>
    </w:div>
    <w:div w:id="453525394">
      <w:bodyDiv w:val="1"/>
      <w:marLeft w:val="0"/>
      <w:marRight w:val="0"/>
      <w:marTop w:val="0"/>
      <w:marBottom w:val="0"/>
      <w:divBdr>
        <w:top w:val="none" w:sz="0" w:space="0" w:color="auto"/>
        <w:left w:val="none" w:sz="0" w:space="0" w:color="auto"/>
        <w:bottom w:val="none" w:sz="0" w:space="0" w:color="auto"/>
        <w:right w:val="none" w:sz="0" w:space="0" w:color="auto"/>
      </w:divBdr>
    </w:div>
    <w:div w:id="471366817">
      <w:bodyDiv w:val="1"/>
      <w:marLeft w:val="0"/>
      <w:marRight w:val="0"/>
      <w:marTop w:val="0"/>
      <w:marBottom w:val="0"/>
      <w:divBdr>
        <w:top w:val="none" w:sz="0" w:space="0" w:color="auto"/>
        <w:left w:val="none" w:sz="0" w:space="0" w:color="auto"/>
        <w:bottom w:val="none" w:sz="0" w:space="0" w:color="auto"/>
        <w:right w:val="none" w:sz="0" w:space="0" w:color="auto"/>
      </w:divBdr>
    </w:div>
    <w:div w:id="480000368">
      <w:bodyDiv w:val="1"/>
      <w:marLeft w:val="0"/>
      <w:marRight w:val="0"/>
      <w:marTop w:val="0"/>
      <w:marBottom w:val="0"/>
      <w:divBdr>
        <w:top w:val="none" w:sz="0" w:space="0" w:color="auto"/>
        <w:left w:val="none" w:sz="0" w:space="0" w:color="auto"/>
        <w:bottom w:val="none" w:sz="0" w:space="0" w:color="auto"/>
        <w:right w:val="none" w:sz="0" w:space="0" w:color="auto"/>
      </w:divBdr>
    </w:div>
    <w:div w:id="589698906">
      <w:bodyDiv w:val="1"/>
      <w:marLeft w:val="0"/>
      <w:marRight w:val="0"/>
      <w:marTop w:val="0"/>
      <w:marBottom w:val="0"/>
      <w:divBdr>
        <w:top w:val="none" w:sz="0" w:space="0" w:color="auto"/>
        <w:left w:val="none" w:sz="0" w:space="0" w:color="auto"/>
        <w:bottom w:val="none" w:sz="0" w:space="0" w:color="auto"/>
        <w:right w:val="none" w:sz="0" w:space="0" w:color="auto"/>
      </w:divBdr>
    </w:div>
    <w:div w:id="650331095">
      <w:bodyDiv w:val="1"/>
      <w:marLeft w:val="0"/>
      <w:marRight w:val="0"/>
      <w:marTop w:val="0"/>
      <w:marBottom w:val="0"/>
      <w:divBdr>
        <w:top w:val="none" w:sz="0" w:space="0" w:color="auto"/>
        <w:left w:val="none" w:sz="0" w:space="0" w:color="auto"/>
        <w:bottom w:val="none" w:sz="0" w:space="0" w:color="auto"/>
        <w:right w:val="none" w:sz="0" w:space="0" w:color="auto"/>
      </w:divBdr>
    </w:div>
    <w:div w:id="651178577">
      <w:bodyDiv w:val="1"/>
      <w:marLeft w:val="0"/>
      <w:marRight w:val="0"/>
      <w:marTop w:val="0"/>
      <w:marBottom w:val="0"/>
      <w:divBdr>
        <w:top w:val="none" w:sz="0" w:space="0" w:color="auto"/>
        <w:left w:val="none" w:sz="0" w:space="0" w:color="auto"/>
        <w:bottom w:val="none" w:sz="0" w:space="0" w:color="auto"/>
        <w:right w:val="none" w:sz="0" w:space="0" w:color="auto"/>
      </w:divBdr>
    </w:div>
    <w:div w:id="664280464">
      <w:bodyDiv w:val="1"/>
      <w:marLeft w:val="0"/>
      <w:marRight w:val="0"/>
      <w:marTop w:val="0"/>
      <w:marBottom w:val="0"/>
      <w:divBdr>
        <w:top w:val="none" w:sz="0" w:space="0" w:color="auto"/>
        <w:left w:val="none" w:sz="0" w:space="0" w:color="auto"/>
        <w:bottom w:val="none" w:sz="0" w:space="0" w:color="auto"/>
        <w:right w:val="none" w:sz="0" w:space="0" w:color="auto"/>
      </w:divBdr>
    </w:div>
    <w:div w:id="696009291">
      <w:bodyDiv w:val="1"/>
      <w:marLeft w:val="0"/>
      <w:marRight w:val="0"/>
      <w:marTop w:val="0"/>
      <w:marBottom w:val="0"/>
      <w:divBdr>
        <w:top w:val="none" w:sz="0" w:space="0" w:color="auto"/>
        <w:left w:val="none" w:sz="0" w:space="0" w:color="auto"/>
        <w:bottom w:val="none" w:sz="0" w:space="0" w:color="auto"/>
        <w:right w:val="none" w:sz="0" w:space="0" w:color="auto"/>
      </w:divBdr>
    </w:div>
    <w:div w:id="706296934">
      <w:bodyDiv w:val="1"/>
      <w:marLeft w:val="0"/>
      <w:marRight w:val="0"/>
      <w:marTop w:val="0"/>
      <w:marBottom w:val="0"/>
      <w:divBdr>
        <w:top w:val="none" w:sz="0" w:space="0" w:color="auto"/>
        <w:left w:val="none" w:sz="0" w:space="0" w:color="auto"/>
        <w:bottom w:val="none" w:sz="0" w:space="0" w:color="auto"/>
        <w:right w:val="none" w:sz="0" w:space="0" w:color="auto"/>
      </w:divBdr>
    </w:div>
    <w:div w:id="710034200">
      <w:bodyDiv w:val="1"/>
      <w:marLeft w:val="0"/>
      <w:marRight w:val="0"/>
      <w:marTop w:val="0"/>
      <w:marBottom w:val="0"/>
      <w:divBdr>
        <w:top w:val="none" w:sz="0" w:space="0" w:color="auto"/>
        <w:left w:val="none" w:sz="0" w:space="0" w:color="auto"/>
        <w:bottom w:val="none" w:sz="0" w:space="0" w:color="auto"/>
        <w:right w:val="none" w:sz="0" w:space="0" w:color="auto"/>
      </w:divBdr>
    </w:div>
    <w:div w:id="737901356">
      <w:bodyDiv w:val="1"/>
      <w:marLeft w:val="0"/>
      <w:marRight w:val="0"/>
      <w:marTop w:val="0"/>
      <w:marBottom w:val="0"/>
      <w:divBdr>
        <w:top w:val="none" w:sz="0" w:space="0" w:color="auto"/>
        <w:left w:val="none" w:sz="0" w:space="0" w:color="auto"/>
        <w:bottom w:val="none" w:sz="0" w:space="0" w:color="auto"/>
        <w:right w:val="none" w:sz="0" w:space="0" w:color="auto"/>
      </w:divBdr>
    </w:div>
    <w:div w:id="738674913">
      <w:bodyDiv w:val="1"/>
      <w:marLeft w:val="0"/>
      <w:marRight w:val="0"/>
      <w:marTop w:val="0"/>
      <w:marBottom w:val="0"/>
      <w:divBdr>
        <w:top w:val="none" w:sz="0" w:space="0" w:color="auto"/>
        <w:left w:val="none" w:sz="0" w:space="0" w:color="auto"/>
        <w:bottom w:val="none" w:sz="0" w:space="0" w:color="auto"/>
        <w:right w:val="none" w:sz="0" w:space="0" w:color="auto"/>
      </w:divBdr>
    </w:div>
    <w:div w:id="759448597">
      <w:bodyDiv w:val="1"/>
      <w:marLeft w:val="0"/>
      <w:marRight w:val="0"/>
      <w:marTop w:val="0"/>
      <w:marBottom w:val="0"/>
      <w:divBdr>
        <w:top w:val="none" w:sz="0" w:space="0" w:color="auto"/>
        <w:left w:val="none" w:sz="0" w:space="0" w:color="auto"/>
        <w:bottom w:val="none" w:sz="0" w:space="0" w:color="auto"/>
        <w:right w:val="none" w:sz="0" w:space="0" w:color="auto"/>
      </w:divBdr>
    </w:div>
    <w:div w:id="768505725">
      <w:bodyDiv w:val="1"/>
      <w:marLeft w:val="0"/>
      <w:marRight w:val="0"/>
      <w:marTop w:val="0"/>
      <w:marBottom w:val="0"/>
      <w:divBdr>
        <w:top w:val="none" w:sz="0" w:space="0" w:color="auto"/>
        <w:left w:val="none" w:sz="0" w:space="0" w:color="auto"/>
        <w:bottom w:val="none" w:sz="0" w:space="0" w:color="auto"/>
        <w:right w:val="none" w:sz="0" w:space="0" w:color="auto"/>
      </w:divBdr>
    </w:div>
    <w:div w:id="773675265">
      <w:bodyDiv w:val="1"/>
      <w:marLeft w:val="0"/>
      <w:marRight w:val="0"/>
      <w:marTop w:val="0"/>
      <w:marBottom w:val="0"/>
      <w:divBdr>
        <w:top w:val="none" w:sz="0" w:space="0" w:color="auto"/>
        <w:left w:val="none" w:sz="0" w:space="0" w:color="auto"/>
        <w:bottom w:val="none" w:sz="0" w:space="0" w:color="auto"/>
        <w:right w:val="none" w:sz="0" w:space="0" w:color="auto"/>
      </w:divBdr>
    </w:div>
    <w:div w:id="818615309">
      <w:bodyDiv w:val="1"/>
      <w:marLeft w:val="0"/>
      <w:marRight w:val="0"/>
      <w:marTop w:val="0"/>
      <w:marBottom w:val="0"/>
      <w:divBdr>
        <w:top w:val="none" w:sz="0" w:space="0" w:color="auto"/>
        <w:left w:val="none" w:sz="0" w:space="0" w:color="auto"/>
        <w:bottom w:val="none" w:sz="0" w:space="0" w:color="auto"/>
        <w:right w:val="none" w:sz="0" w:space="0" w:color="auto"/>
      </w:divBdr>
    </w:div>
    <w:div w:id="933898724">
      <w:bodyDiv w:val="1"/>
      <w:marLeft w:val="0"/>
      <w:marRight w:val="0"/>
      <w:marTop w:val="0"/>
      <w:marBottom w:val="0"/>
      <w:divBdr>
        <w:top w:val="none" w:sz="0" w:space="0" w:color="auto"/>
        <w:left w:val="none" w:sz="0" w:space="0" w:color="auto"/>
        <w:bottom w:val="none" w:sz="0" w:space="0" w:color="auto"/>
        <w:right w:val="none" w:sz="0" w:space="0" w:color="auto"/>
      </w:divBdr>
    </w:div>
    <w:div w:id="954485034">
      <w:bodyDiv w:val="1"/>
      <w:marLeft w:val="0"/>
      <w:marRight w:val="0"/>
      <w:marTop w:val="0"/>
      <w:marBottom w:val="0"/>
      <w:divBdr>
        <w:top w:val="none" w:sz="0" w:space="0" w:color="auto"/>
        <w:left w:val="none" w:sz="0" w:space="0" w:color="auto"/>
        <w:bottom w:val="none" w:sz="0" w:space="0" w:color="auto"/>
        <w:right w:val="none" w:sz="0" w:space="0" w:color="auto"/>
      </w:divBdr>
    </w:div>
    <w:div w:id="965770006">
      <w:bodyDiv w:val="1"/>
      <w:marLeft w:val="0"/>
      <w:marRight w:val="0"/>
      <w:marTop w:val="0"/>
      <w:marBottom w:val="0"/>
      <w:divBdr>
        <w:top w:val="none" w:sz="0" w:space="0" w:color="auto"/>
        <w:left w:val="none" w:sz="0" w:space="0" w:color="auto"/>
        <w:bottom w:val="none" w:sz="0" w:space="0" w:color="auto"/>
        <w:right w:val="none" w:sz="0" w:space="0" w:color="auto"/>
      </w:divBdr>
    </w:div>
    <w:div w:id="974527092">
      <w:bodyDiv w:val="1"/>
      <w:marLeft w:val="0"/>
      <w:marRight w:val="0"/>
      <w:marTop w:val="0"/>
      <w:marBottom w:val="0"/>
      <w:divBdr>
        <w:top w:val="none" w:sz="0" w:space="0" w:color="auto"/>
        <w:left w:val="none" w:sz="0" w:space="0" w:color="auto"/>
        <w:bottom w:val="none" w:sz="0" w:space="0" w:color="auto"/>
        <w:right w:val="none" w:sz="0" w:space="0" w:color="auto"/>
      </w:divBdr>
    </w:div>
    <w:div w:id="975182576">
      <w:bodyDiv w:val="1"/>
      <w:marLeft w:val="0"/>
      <w:marRight w:val="0"/>
      <w:marTop w:val="0"/>
      <w:marBottom w:val="0"/>
      <w:divBdr>
        <w:top w:val="none" w:sz="0" w:space="0" w:color="auto"/>
        <w:left w:val="none" w:sz="0" w:space="0" w:color="auto"/>
        <w:bottom w:val="none" w:sz="0" w:space="0" w:color="auto"/>
        <w:right w:val="none" w:sz="0" w:space="0" w:color="auto"/>
      </w:divBdr>
    </w:div>
    <w:div w:id="983238776">
      <w:bodyDiv w:val="1"/>
      <w:marLeft w:val="0"/>
      <w:marRight w:val="0"/>
      <w:marTop w:val="0"/>
      <w:marBottom w:val="0"/>
      <w:divBdr>
        <w:top w:val="none" w:sz="0" w:space="0" w:color="auto"/>
        <w:left w:val="none" w:sz="0" w:space="0" w:color="auto"/>
        <w:bottom w:val="none" w:sz="0" w:space="0" w:color="auto"/>
        <w:right w:val="none" w:sz="0" w:space="0" w:color="auto"/>
      </w:divBdr>
    </w:div>
    <w:div w:id="1003554731">
      <w:bodyDiv w:val="1"/>
      <w:marLeft w:val="0"/>
      <w:marRight w:val="0"/>
      <w:marTop w:val="0"/>
      <w:marBottom w:val="0"/>
      <w:divBdr>
        <w:top w:val="none" w:sz="0" w:space="0" w:color="auto"/>
        <w:left w:val="none" w:sz="0" w:space="0" w:color="auto"/>
        <w:bottom w:val="none" w:sz="0" w:space="0" w:color="auto"/>
        <w:right w:val="none" w:sz="0" w:space="0" w:color="auto"/>
      </w:divBdr>
    </w:div>
    <w:div w:id="1043947370">
      <w:bodyDiv w:val="1"/>
      <w:marLeft w:val="0"/>
      <w:marRight w:val="0"/>
      <w:marTop w:val="0"/>
      <w:marBottom w:val="0"/>
      <w:divBdr>
        <w:top w:val="none" w:sz="0" w:space="0" w:color="auto"/>
        <w:left w:val="none" w:sz="0" w:space="0" w:color="auto"/>
        <w:bottom w:val="none" w:sz="0" w:space="0" w:color="auto"/>
        <w:right w:val="none" w:sz="0" w:space="0" w:color="auto"/>
      </w:divBdr>
    </w:div>
    <w:div w:id="1065448149">
      <w:bodyDiv w:val="1"/>
      <w:marLeft w:val="0"/>
      <w:marRight w:val="0"/>
      <w:marTop w:val="0"/>
      <w:marBottom w:val="0"/>
      <w:divBdr>
        <w:top w:val="none" w:sz="0" w:space="0" w:color="auto"/>
        <w:left w:val="none" w:sz="0" w:space="0" w:color="auto"/>
        <w:bottom w:val="none" w:sz="0" w:space="0" w:color="auto"/>
        <w:right w:val="none" w:sz="0" w:space="0" w:color="auto"/>
      </w:divBdr>
    </w:div>
    <w:div w:id="1067802080">
      <w:bodyDiv w:val="1"/>
      <w:marLeft w:val="0"/>
      <w:marRight w:val="0"/>
      <w:marTop w:val="0"/>
      <w:marBottom w:val="0"/>
      <w:divBdr>
        <w:top w:val="none" w:sz="0" w:space="0" w:color="auto"/>
        <w:left w:val="none" w:sz="0" w:space="0" w:color="auto"/>
        <w:bottom w:val="none" w:sz="0" w:space="0" w:color="auto"/>
        <w:right w:val="none" w:sz="0" w:space="0" w:color="auto"/>
      </w:divBdr>
    </w:div>
    <w:div w:id="1073435612">
      <w:bodyDiv w:val="1"/>
      <w:marLeft w:val="0"/>
      <w:marRight w:val="0"/>
      <w:marTop w:val="0"/>
      <w:marBottom w:val="0"/>
      <w:divBdr>
        <w:top w:val="none" w:sz="0" w:space="0" w:color="auto"/>
        <w:left w:val="none" w:sz="0" w:space="0" w:color="auto"/>
        <w:bottom w:val="none" w:sz="0" w:space="0" w:color="auto"/>
        <w:right w:val="none" w:sz="0" w:space="0" w:color="auto"/>
      </w:divBdr>
    </w:div>
    <w:div w:id="1097291245">
      <w:bodyDiv w:val="1"/>
      <w:marLeft w:val="0"/>
      <w:marRight w:val="0"/>
      <w:marTop w:val="0"/>
      <w:marBottom w:val="0"/>
      <w:divBdr>
        <w:top w:val="none" w:sz="0" w:space="0" w:color="auto"/>
        <w:left w:val="none" w:sz="0" w:space="0" w:color="auto"/>
        <w:bottom w:val="none" w:sz="0" w:space="0" w:color="auto"/>
        <w:right w:val="none" w:sz="0" w:space="0" w:color="auto"/>
      </w:divBdr>
    </w:div>
    <w:div w:id="1116560805">
      <w:bodyDiv w:val="1"/>
      <w:marLeft w:val="0"/>
      <w:marRight w:val="0"/>
      <w:marTop w:val="0"/>
      <w:marBottom w:val="0"/>
      <w:divBdr>
        <w:top w:val="none" w:sz="0" w:space="0" w:color="auto"/>
        <w:left w:val="none" w:sz="0" w:space="0" w:color="auto"/>
        <w:bottom w:val="none" w:sz="0" w:space="0" w:color="auto"/>
        <w:right w:val="none" w:sz="0" w:space="0" w:color="auto"/>
      </w:divBdr>
    </w:div>
    <w:div w:id="1119957536">
      <w:bodyDiv w:val="1"/>
      <w:marLeft w:val="0"/>
      <w:marRight w:val="0"/>
      <w:marTop w:val="0"/>
      <w:marBottom w:val="0"/>
      <w:divBdr>
        <w:top w:val="none" w:sz="0" w:space="0" w:color="auto"/>
        <w:left w:val="none" w:sz="0" w:space="0" w:color="auto"/>
        <w:bottom w:val="none" w:sz="0" w:space="0" w:color="auto"/>
        <w:right w:val="none" w:sz="0" w:space="0" w:color="auto"/>
      </w:divBdr>
    </w:div>
    <w:div w:id="1194348882">
      <w:bodyDiv w:val="1"/>
      <w:marLeft w:val="0"/>
      <w:marRight w:val="0"/>
      <w:marTop w:val="0"/>
      <w:marBottom w:val="0"/>
      <w:divBdr>
        <w:top w:val="none" w:sz="0" w:space="0" w:color="auto"/>
        <w:left w:val="none" w:sz="0" w:space="0" w:color="auto"/>
        <w:bottom w:val="none" w:sz="0" w:space="0" w:color="auto"/>
        <w:right w:val="none" w:sz="0" w:space="0" w:color="auto"/>
      </w:divBdr>
    </w:div>
    <w:div w:id="1213007306">
      <w:bodyDiv w:val="1"/>
      <w:marLeft w:val="0"/>
      <w:marRight w:val="0"/>
      <w:marTop w:val="0"/>
      <w:marBottom w:val="0"/>
      <w:divBdr>
        <w:top w:val="none" w:sz="0" w:space="0" w:color="auto"/>
        <w:left w:val="none" w:sz="0" w:space="0" w:color="auto"/>
        <w:bottom w:val="none" w:sz="0" w:space="0" w:color="auto"/>
        <w:right w:val="none" w:sz="0" w:space="0" w:color="auto"/>
      </w:divBdr>
    </w:div>
    <w:div w:id="1223058183">
      <w:bodyDiv w:val="1"/>
      <w:marLeft w:val="0"/>
      <w:marRight w:val="0"/>
      <w:marTop w:val="0"/>
      <w:marBottom w:val="0"/>
      <w:divBdr>
        <w:top w:val="none" w:sz="0" w:space="0" w:color="auto"/>
        <w:left w:val="none" w:sz="0" w:space="0" w:color="auto"/>
        <w:bottom w:val="none" w:sz="0" w:space="0" w:color="auto"/>
        <w:right w:val="none" w:sz="0" w:space="0" w:color="auto"/>
      </w:divBdr>
    </w:div>
    <w:div w:id="1248270295">
      <w:bodyDiv w:val="1"/>
      <w:marLeft w:val="0"/>
      <w:marRight w:val="0"/>
      <w:marTop w:val="0"/>
      <w:marBottom w:val="0"/>
      <w:divBdr>
        <w:top w:val="none" w:sz="0" w:space="0" w:color="auto"/>
        <w:left w:val="none" w:sz="0" w:space="0" w:color="auto"/>
        <w:bottom w:val="none" w:sz="0" w:space="0" w:color="auto"/>
        <w:right w:val="none" w:sz="0" w:space="0" w:color="auto"/>
      </w:divBdr>
    </w:div>
    <w:div w:id="1295409298">
      <w:bodyDiv w:val="1"/>
      <w:marLeft w:val="0"/>
      <w:marRight w:val="0"/>
      <w:marTop w:val="0"/>
      <w:marBottom w:val="0"/>
      <w:divBdr>
        <w:top w:val="none" w:sz="0" w:space="0" w:color="auto"/>
        <w:left w:val="none" w:sz="0" w:space="0" w:color="auto"/>
        <w:bottom w:val="none" w:sz="0" w:space="0" w:color="auto"/>
        <w:right w:val="none" w:sz="0" w:space="0" w:color="auto"/>
      </w:divBdr>
    </w:div>
    <w:div w:id="1304237547">
      <w:bodyDiv w:val="1"/>
      <w:marLeft w:val="0"/>
      <w:marRight w:val="0"/>
      <w:marTop w:val="0"/>
      <w:marBottom w:val="0"/>
      <w:divBdr>
        <w:top w:val="none" w:sz="0" w:space="0" w:color="auto"/>
        <w:left w:val="none" w:sz="0" w:space="0" w:color="auto"/>
        <w:bottom w:val="none" w:sz="0" w:space="0" w:color="auto"/>
        <w:right w:val="none" w:sz="0" w:space="0" w:color="auto"/>
      </w:divBdr>
    </w:div>
    <w:div w:id="1306466056">
      <w:bodyDiv w:val="1"/>
      <w:marLeft w:val="0"/>
      <w:marRight w:val="0"/>
      <w:marTop w:val="0"/>
      <w:marBottom w:val="0"/>
      <w:divBdr>
        <w:top w:val="none" w:sz="0" w:space="0" w:color="auto"/>
        <w:left w:val="none" w:sz="0" w:space="0" w:color="auto"/>
        <w:bottom w:val="none" w:sz="0" w:space="0" w:color="auto"/>
        <w:right w:val="none" w:sz="0" w:space="0" w:color="auto"/>
      </w:divBdr>
    </w:div>
    <w:div w:id="1363434546">
      <w:bodyDiv w:val="1"/>
      <w:marLeft w:val="0"/>
      <w:marRight w:val="0"/>
      <w:marTop w:val="0"/>
      <w:marBottom w:val="0"/>
      <w:divBdr>
        <w:top w:val="none" w:sz="0" w:space="0" w:color="auto"/>
        <w:left w:val="none" w:sz="0" w:space="0" w:color="auto"/>
        <w:bottom w:val="none" w:sz="0" w:space="0" w:color="auto"/>
        <w:right w:val="none" w:sz="0" w:space="0" w:color="auto"/>
      </w:divBdr>
    </w:div>
    <w:div w:id="1378243578">
      <w:bodyDiv w:val="1"/>
      <w:marLeft w:val="0"/>
      <w:marRight w:val="0"/>
      <w:marTop w:val="0"/>
      <w:marBottom w:val="0"/>
      <w:divBdr>
        <w:top w:val="none" w:sz="0" w:space="0" w:color="auto"/>
        <w:left w:val="none" w:sz="0" w:space="0" w:color="auto"/>
        <w:bottom w:val="none" w:sz="0" w:space="0" w:color="auto"/>
        <w:right w:val="none" w:sz="0" w:space="0" w:color="auto"/>
      </w:divBdr>
    </w:div>
    <w:div w:id="1397582358">
      <w:bodyDiv w:val="1"/>
      <w:marLeft w:val="0"/>
      <w:marRight w:val="0"/>
      <w:marTop w:val="0"/>
      <w:marBottom w:val="0"/>
      <w:divBdr>
        <w:top w:val="none" w:sz="0" w:space="0" w:color="auto"/>
        <w:left w:val="none" w:sz="0" w:space="0" w:color="auto"/>
        <w:bottom w:val="none" w:sz="0" w:space="0" w:color="auto"/>
        <w:right w:val="none" w:sz="0" w:space="0" w:color="auto"/>
      </w:divBdr>
    </w:div>
    <w:div w:id="1419667146">
      <w:bodyDiv w:val="1"/>
      <w:marLeft w:val="0"/>
      <w:marRight w:val="0"/>
      <w:marTop w:val="0"/>
      <w:marBottom w:val="0"/>
      <w:divBdr>
        <w:top w:val="none" w:sz="0" w:space="0" w:color="auto"/>
        <w:left w:val="none" w:sz="0" w:space="0" w:color="auto"/>
        <w:bottom w:val="none" w:sz="0" w:space="0" w:color="auto"/>
        <w:right w:val="none" w:sz="0" w:space="0" w:color="auto"/>
      </w:divBdr>
    </w:div>
    <w:div w:id="1429083878">
      <w:bodyDiv w:val="1"/>
      <w:marLeft w:val="0"/>
      <w:marRight w:val="0"/>
      <w:marTop w:val="0"/>
      <w:marBottom w:val="0"/>
      <w:divBdr>
        <w:top w:val="none" w:sz="0" w:space="0" w:color="auto"/>
        <w:left w:val="none" w:sz="0" w:space="0" w:color="auto"/>
        <w:bottom w:val="none" w:sz="0" w:space="0" w:color="auto"/>
        <w:right w:val="none" w:sz="0" w:space="0" w:color="auto"/>
      </w:divBdr>
    </w:div>
    <w:div w:id="1474247977">
      <w:bodyDiv w:val="1"/>
      <w:marLeft w:val="0"/>
      <w:marRight w:val="0"/>
      <w:marTop w:val="0"/>
      <w:marBottom w:val="0"/>
      <w:divBdr>
        <w:top w:val="none" w:sz="0" w:space="0" w:color="auto"/>
        <w:left w:val="none" w:sz="0" w:space="0" w:color="auto"/>
        <w:bottom w:val="none" w:sz="0" w:space="0" w:color="auto"/>
        <w:right w:val="none" w:sz="0" w:space="0" w:color="auto"/>
      </w:divBdr>
    </w:div>
    <w:div w:id="1480683028">
      <w:bodyDiv w:val="1"/>
      <w:marLeft w:val="0"/>
      <w:marRight w:val="0"/>
      <w:marTop w:val="0"/>
      <w:marBottom w:val="0"/>
      <w:divBdr>
        <w:top w:val="none" w:sz="0" w:space="0" w:color="auto"/>
        <w:left w:val="none" w:sz="0" w:space="0" w:color="auto"/>
        <w:bottom w:val="none" w:sz="0" w:space="0" w:color="auto"/>
        <w:right w:val="none" w:sz="0" w:space="0" w:color="auto"/>
      </w:divBdr>
    </w:div>
    <w:div w:id="1485313929">
      <w:bodyDiv w:val="1"/>
      <w:marLeft w:val="0"/>
      <w:marRight w:val="0"/>
      <w:marTop w:val="0"/>
      <w:marBottom w:val="0"/>
      <w:divBdr>
        <w:top w:val="none" w:sz="0" w:space="0" w:color="auto"/>
        <w:left w:val="none" w:sz="0" w:space="0" w:color="auto"/>
        <w:bottom w:val="none" w:sz="0" w:space="0" w:color="auto"/>
        <w:right w:val="none" w:sz="0" w:space="0" w:color="auto"/>
      </w:divBdr>
    </w:div>
    <w:div w:id="1496607306">
      <w:bodyDiv w:val="1"/>
      <w:marLeft w:val="0"/>
      <w:marRight w:val="0"/>
      <w:marTop w:val="0"/>
      <w:marBottom w:val="0"/>
      <w:divBdr>
        <w:top w:val="none" w:sz="0" w:space="0" w:color="auto"/>
        <w:left w:val="none" w:sz="0" w:space="0" w:color="auto"/>
        <w:bottom w:val="none" w:sz="0" w:space="0" w:color="auto"/>
        <w:right w:val="none" w:sz="0" w:space="0" w:color="auto"/>
      </w:divBdr>
    </w:div>
    <w:div w:id="1512064030">
      <w:bodyDiv w:val="1"/>
      <w:marLeft w:val="0"/>
      <w:marRight w:val="0"/>
      <w:marTop w:val="0"/>
      <w:marBottom w:val="0"/>
      <w:divBdr>
        <w:top w:val="none" w:sz="0" w:space="0" w:color="auto"/>
        <w:left w:val="none" w:sz="0" w:space="0" w:color="auto"/>
        <w:bottom w:val="none" w:sz="0" w:space="0" w:color="auto"/>
        <w:right w:val="none" w:sz="0" w:space="0" w:color="auto"/>
      </w:divBdr>
    </w:div>
    <w:div w:id="1518930482">
      <w:bodyDiv w:val="1"/>
      <w:marLeft w:val="0"/>
      <w:marRight w:val="0"/>
      <w:marTop w:val="0"/>
      <w:marBottom w:val="0"/>
      <w:divBdr>
        <w:top w:val="none" w:sz="0" w:space="0" w:color="auto"/>
        <w:left w:val="none" w:sz="0" w:space="0" w:color="auto"/>
        <w:bottom w:val="none" w:sz="0" w:space="0" w:color="auto"/>
        <w:right w:val="none" w:sz="0" w:space="0" w:color="auto"/>
      </w:divBdr>
    </w:div>
    <w:div w:id="1529484065">
      <w:bodyDiv w:val="1"/>
      <w:marLeft w:val="0"/>
      <w:marRight w:val="0"/>
      <w:marTop w:val="0"/>
      <w:marBottom w:val="0"/>
      <w:divBdr>
        <w:top w:val="none" w:sz="0" w:space="0" w:color="auto"/>
        <w:left w:val="none" w:sz="0" w:space="0" w:color="auto"/>
        <w:bottom w:val="none" w:sz="0" w:space="0" w:color="auto"/>
        <w:right w:val="none" w:sz="0" w:space="0" w:color="auto"/>
      </w:divBdr>
    </w:div>
    <w:div w:id="1547718533">
      <w:bodyDiv w:val="1"/>
      <w:marLeft w:val="0"/>
      <w:marRight w:val="0"/>
      <w:marTop w:val="0"/>
      <w:marBottom w:val="0"/>
      <w:divBdr>
        <w:top w:val="none" w:sz="0" w:space="0" w:color="auto"/>
        <w:left w:val="none" w:sz="0" w:space="0" w:color="auto"/>
        <w:bottom w:val="none" w:sz="0" w:space="0" w:color="auto"/>
        <w:right w:val="none" w:sz="0" w:space="0" w:color="auto"/>
      </w:divBdr>
    </w:div>
    <w:div w:id="1597247792">
      <w:bodyDiv w:val="1"/>
      <w:marLeft w:val="0"/>
      <w:marRight w:val="0"/>
      <w:marTop w:val="0"/>
      <w:marBottom w:val="0"/>
      <w:divBdr>
        <w:top w:val="none" w:sz="0" w:space="0" w:color="auto"/>
        <w:left w:val="none" w:sz="0" w:space="0" w:color="auto"/>
        <w:bottom w:val="none" w:sz="0" w:space="0" w:color="auto"/>
        <w:right w:val="none" w:sz="0" w:space="0" w:color="auto"/>
      </w:divBdr>
    </w:div>
    <w:div w:id="1611088789">
      <w:bodyDiv w:val="1"/>
      <w:marLeft w:val="0"/>
      <w:marRight w:val="0"/>
      <w:marTop w:val="0"/>
      <w:marBottom w:val="0"/>
      <w:divBdr>
        <w:top w:val="none" w:sz="0" w:space="0" w:color="auto"/>
        <w:left w:val="none" w:sz="0" w:space="0" w:color="auto"/>
        <w:bottom w:val="none" w:sz="0" w:space="0" w:color="auto"/>
        <w:right w:val="none" w:sz="0" w:space="0" w:color="auto"/>
      </w:divBdr>
    </w:div>
    <w:div w:id="1661688855">
      <w:bodyDiv w:val="1"/>
      <w:marLeft w:val="0"/>
      <w:marRight w:val="0"/>
      <w:marTop w:val="0"/>
      <w:marBottom w:val="0"/>
      <w:divBdr>
        <w:top w:val="none" w:sz="0" w:space="0" w:color="auto"/>
        <w:left w:val="none" w:sz="0" w:space="0" w:color="auto"/>
        <w:bottom w:val="none" w:sz="0" w:space="0" w:color="auto"/>
        <w:right w:val="none" w:sz="0" w:space="0" w:color="auto"/>
      </w:divBdr>
    </w:div>
    <w:div w:id="1682926694">
      <w:bodyDiv w:val="1"/>
      <w:marLeft w:val="0"/>
      <w:marRight w:val="0"/>
      <w:marTop w:val="0"/>
      <w:marBottom w:val="0"/>
      <w:divBdr>
        <w:top w:val="none" w:sz="0" w:space="0" w:color="auto"/>
        <w:left w:val="none" w:sz="0" w:space="0" w:color="auto"/>
        <w:bottom w:val="none" w:sz="0" w:space="0" w:color="auto"/>
        <w:right w:val="none" w:sz="0" w:space="0" w:color="auto"/>
      </w:divBdr>
    </w:div>
    <w:div w:id="1725058998">
      <w:bodyDiv w:val="1"/>
      <w:marLeft w:val="0"/>
      <w:marRight w:val="0"/>
      <w:marTop w:val="0"/>
      <w:marBottom w:val="0"/>
      <w:divBdr>
        <w:top w:val="none" w:sz="0" w:space="0" w:color="auto"/>
        <w:left w:val="none" w:sz="0" w:space="0" w:color="auto"/>
        <w:bottom w:val="none" w:sz="0" w:space="0" w:color="auto"/>
        <w:right w:val="none" w:sz="0" w:space="0" w:color="auto"/>
      </w:divBdr>
    </w:div>
    <w:div w:id="1758792672">
      <w:bodyDiv w:val="1"/>
      <w:marLeft w:val="0"/>
      <w:marRight w:val="0"/>
      <w:marTop w:val="0"/>
      <w:marBottom w:val="0"/>
      <w:divBdr>
        <w:top w:val="none" w:sz="0" w:space="0" w:color="auto"/>
        <w:left w:val="none" w:sz="0" w:space="0" w:color="auto"/>
        <w:bottom w:val="none" w:sz="0" w:space="0" w:color="auto"/>
        <w:right w:val="none" w:sz="0" w:space="0" w:color="auto"/>
      </w:divBdr>
    </w:div>
    <w:div w:id="1822695954">
      <w:bodyDiv w:val="1"/>
      <w:marLeft w:val="0"/>
      <w:marRight w:val="0"/>
      <w:marTop w:val="0"/>
      <w:marBottom w:val="0"/>
      <w:divBdr>
        <w:top w:val="none" w:sz="0" w:space="0" w:color="auto"/>
        <w:left w:val="none" w:sz="0" w:space="0" w:color="auto"/>
        <w:bottom w:val="none" w:sz="0" w:space="0" w:color="auto"/>
        <w:right w:val="none" w:sz="0" w:space="0" w:color="auto"/>
      </w:divBdr>
    </w:div>
    <w:div w:id="1863981373">
      <w:bodyDiv w:val="1"/>
      <w:marLeft w:val="0"/>
      <w:marRight w:val="0"/>
      <w:marTop w:val="0"/>
      <w:marBottom w:val="0"/>
      <w:divBdr>
        <w:top w:val="none" w:sz="0" w:space="0" w:color="auto"/>
        <w:left w:val="none" w:sz="0" w:space="0" w:color="auto"/>
        <w:bottom w:val="none" w:sz="0" w:space="0" w:color="auto"/>
        <w:right w:val="none" w:sz="0" w:space="0" w:color="auto"/>
      </w:divBdr>
    </w:div>
    <w:div w:id="1883902941">
      <w:bodyDiv w:val="1"/>
      <w:marLeft w:val="0"/>
      <w:marRight w:val="0"/>
      <w:marTop w:val="0"/>
      <w:marBottom w:val="0"/>
      <w:divBdr>
        <w:top w:val="none" w:sz="0" w:space="0" w:color="auto"/>
        <w:left w:val="none" w:sz="0" w:space="0" w:color="auto"/>
        <w:bottom w:val="none" w:sz="0" w:space="0" w:color="auto"/>
        <w:right w:val="none" w:sz="0" w:space="0" w:color="auto"/>
      </w:divBdr>
    </w:div>
    <w:div w:id="1914584246">
      <w:bodyDiv w:val="1"/>
      <w:marLeft w:val="0"/>
      <w:marRight w:val="0"/>
      <w:marTop w:val="0"/>
      <w:marBottom w:val="0"/>
      <w:divBdr>
        <w:top w:val="none" w:sz="0" w:space="0" w:color="auto"/>
        <w:left w:val="none" w:sz="0" w:space="0" w:color="auto"/>
        <w:bottom w:val="none" w:sz="0" w:space="0" w:color="auto"/>
        <w:right w:val="none" w:sz="0" w:space="0" w:color="auto"/>
      </w:divBdr>
    </w:div>
    <w:div w:id="1927376810">
      <w:bodyDiv w:val="1"/>
      <w:marLeft w:val="0"/>
      <w:marRight w:val="0"/>
      <w:marTop w:val="0"/>
      <w:marBottom w:val="0"/>
      <w:divBdr>
        <w:top w:val="none" w:sz="0" w:space="0" w:color="auto"/>
        <w:left w:val="none" w:sz="0" w:space="0" w:color="auto"/>
        <w:bottom w:val="none" w:sz="0" w:space="0" w:color="auto"/>
        <w:right w:val="none" w:sz="0" w:space="0" w:color="auto"/>
      </w:divBdr>
    </w:div>
    <w:div w:id="1939673350">
      <w:bodyDiv w:val="1"/>
      <w:marLeft w:val="0"/>
      <w:marRight w:val="0"/>
      <w:marTop w:val="0"/>
      <w:marBottom w:val="0"/>
      <w:divBdr>
        <w:top w:val="none" w:sz="0" w:space="0" w:color="auto"/>
        <w:left w:val="none" w:sz="0" w:space="0" w:color="auto"/>
        <w:bottom w:val="none" w:sz="0" w:space="0" w:color="auto"/>
        <w:right w:val="none" w:sz="0" w:space="0" w:color="auto"/>
      </w:divBdr>
    </w:div>
    <w:div w:id="1986160346">
      <w:bodyDiv w:val="1"/>
      <w:marLeft w:val="0"/>
      <w:marRight w:val="0"/>
      <w:marTop w:val="0"/>
      <w:marBottom w:val="0"/>
      <w:divBdr>
        <w:top w:val="none" w:sz="0" w:space="0" w:color="auto"/>
        <w:left w:val="none" w:sz="0" w:space="0" w:color="auto"/>
        <w:bottom w:val="none" w:sz="0" w:space="0" w:color="auto"/>
        <w:right w:val="none" w:sz="0" w:space="0" w:color="auto"/>
      </w:divBdr>
    </w:div>
    <w:div w:id="2011133353">
      <w:bodyDiv w:val="1"/>
      <w:marLeft w:val="0"/>
      <w:marRight w:val="0"/>
      <w:marTop w:val="0"/>
      <w:marBottom w:val="0"/>
      <w:divBdr>
        <w:top w:val="none" w:sz="0" w:space="0" w:color="auto"/>
        <w:left w:val="none" w:sz="0" w:space="0" w:color="auto"/>
        <w:bottom w:val="none" w:sz="0" w:space="0" w:color="auto"/>
        <w:right w:val="none" w:sz="0" w:space="0" w:color="auto"/>
      </w:divBdr>
    </w:div>
    <w:div w:id="2019379549">
      <w:bodyDiv w:val="1"/>
      <w:marLeft w:val="0"/>
      <w:marRight w:val="0"/>
      <w:marTop w:val="0"/>
      <w:marBottom w:val="0"/>
      <w:divBdr>
        <w:top w:val="none" w:sz="0" w:space="0" w:color="auto"/>
        <w:left w:val="none" w:sz="0" w:space="0" w:color="auto"/>
        <w:bottom w:val="none" w:sz="0" w:space="0" w:color="auto"/>
        <w:right w:val="none" w:sz="0" w:space="0" w:color="auto"/>
      </w:divBdr>
    </w:div>
    <w:div w:id="2019506615">
      <w:bodyDiv w:val="1"/>
      <w:marLeft w:val="0"/>
      <w:marRight w:val="0"/>
      <w:marTop w:val="0"/>
      <w:marBottom w:val="0"/>
      <w:divBdr>
        <w:top w:val="none" w:sz="0" w:space="0" w:color="auto"/>
        <w:left w:val="none" w:sz="0" w:space="0" w:color="auto"/>
        <w:bottom w:val="none" w:sz="0" w:space="0" w:color="auto"/>
        <w:right w:val="none" w:sz="0" w:space="0" w:color="auto"/>
      </w:divBdr>
    </w:div>
    <w:div w:id="2067953197">
      <w:bodyDiv w:val="1"/>
      <w:marLeft w:val="0"/>
      <w:marRight w:val="0"/>
      <w:marTop w:val="0"/>
      <w:marBottom w:val="0"/>
      <w:divBdr>
        <w:top w:val="none" w:sz="0" w:space="0" w:color="auto"/>
        <w:left w:val="none" w:sz="0" w:space="0" w:color="auto"/>
        <w:bottom w:val="none" w:sz="0" w:space="0" w:color="auto"/>
        <w:right w:val="none" w:sz="0" w:space="0" w:color="auto"/>
      </w:divBdr>
    </w:div>
    <w:div w:id="2079816953">
      <w:bodyDiv w:val="1"/>
      <w:marLeft w:val="0"/>
      <w:marRight w:val="0"/>
      <w:marTop w:val="0"/>
      <w:marBottom w:val="0"/>
      <w:divBdr>
        <w:top w:val="none" w:sz="0" w:space="0" w:color="auto"/>
        <w:left w:val="none" w:sz="0" w:space="0" w:color="auto"/>
        <w:bottom w:val="none" w:sz="0" w:space="0" w:color="auto"/>
        <w:right w:val="none" w:sz="0" w:space="0" w:color="auto"/>
      </w:divBdr>
    </w:div>
    <w:div w:id="2119834458">
      <w:bodyDiv w:val="1"/>
      <w:marLeft w:val="0"/>
      <w:marRight w:val="0"/>
      <w:marTop w:val="0"/>
      <w:marBottom w:val="0"/>
      <w:divBdr>
        <w:top w:val="none" w:sz="0" w:space="0" w:color="auto"/>
        <w:left w:val="none" w:sz="0" w:space="0" w:color="auto"/>
        <w:bottom w:val="none" w:sz="0" w:space="0" w:color="auto"/>
        <w:right w:val="none" w:sz="0" w:space="0" w:color="auto"/>
      </w:divBdr>
    </w:div>
    <w:div w:id="2127580644">
      <w:bodyDiv w:val="1"/>
      <w:marLeft w:val="0"/>
      <w:marRight w:val="0"/>
      <w:marTop w:val="0"/>
      <w:marBottom w:val="0"/>
      <w:divBdr>
        <w:top w:val="none" w:sz="0" w:space="0" w:color="auto"/>
        <w:left w:val="none" w:sz="0" w:space="0" w:color="auto"/>
        <w:bottom w:val="none" w:sz="0" w:space="0" w:color="auto"/>
        <w:right w:val="none" w:sz="0" w:space="0" w:color="auto"/>
      </w:divBdr>
    </w:div>
    <w:div w:id="2139958105">
      <w:bodyDiv w:val="1"/>
      <w:marLeft w:val="0"/>
      <w:marRight w:val="0"/>
      <w:marTop w:val="0"/>
      <w:marBottom w:val="0"/>
      <w:divBdr>
        <w:top w:val="none" w:sz="0" w:space="0" w:color="auto"/>
        <w:left w:val="none" w:sz="0" w:space="0" w:color="auto"/>
        <w:bottom w:val="none" w:sz="0" w:space="0" w:color="auto"/>
        <w:right w:val="none" w:sz="0" w:space="0" w:color="auto"/>
      </w:divBdr>
    </w:div>
    <w:div w:id="2140148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117" Type="http://schemas.openxmlformats.org/officeDocument/2006/relationships/image" Target="media/image28.emf"/><Relationship Id="rId21" Type="http://schemas.openxmlformats.org/officeDocument/2006/relationships/chart" Target="charts/chart9.xml"/><Relationship Id="rId42" Type="http://schemas.openxmlformats.org/officeDocument/2006/relationships/chart" Target="charts/chart26.xml"/><Relationship Id="rId47" Type="http://schemas.openxmlformats.org/officeDocument/2006/relationships/chart" Target="charts/chart31.xml"/><Relationship Id="rId63" Type="http://schemas.openxmlformats.org/officeDocument/2006/relationships/chart" Target="charts/chart43.xml"/><Relationship Id="rId68" Type="http://schemas.openxmlformats.org/officeDocument/2006/relationships/chart" Target="charts/chart48.xml"/><Relationship Id="rId84" Type="http://schemas.openxmlformats.org/officeDocument/2006/relationships/image" Target="media/image12.png"/><Relationship Id="rId89" Type="http://schemas.openxmlformats.org/officeDocument/2006/relationships/image" Target="media/image14.png"/><Relationship Id="rId112" Type="http://schemas.openxmlformats.org/officeDocument/2006/relationships/image" Target="media/image22.png"/><Relationship Id="rId133" Type="http://schemas.openxmlformats.org/officeDocument/2006/relationships/header" Target="header2.xml"/><Relationship Id="rId16" Type="http://schemas.openxmlformats.org/officeDocument/2006/relationships/chart" Target="charts/chart4.xml"/><Relationship Id="rId107" Type="http://schemas.openxmlformats.org/officeDocument/2006/relationships/chart" Target="charts/chart69.xml"/><Relationship Id="rId11" Type="http://schemas.openxmlformats.org/officeDocument/2006/relationships/hyperlink" Target="file:///C:\Users\edeleon\Desktop\MFMP2021%20310821.docx" TargetMode="External"/><Relationship Id="rId32" Type="http://schemas.openxmlformats.org/officeDocument/2006/relationships/chart" Target="charts/chart16.xml"/><Relationship Id="rId37" Type="http://schemas.openxmlformats.org/officeDocument/2006/relationships/chart" Target="charts/chart21.xml"/><Relationship Id="rId53" Type="http://schemas.openxmlformats.org/officeDocument/2006/relationships/chart" Target="charts/chart37.xml"/><Relationship Id="rId58" Type="http://schemas.openxmlformats.org/officeDocument/2006/relationships/image" Target="media/image7.png"/><Relationship Id="rId74" Type="http://schemas.openxmlformats.org/officeDocument/2006/relationships/chart" Target="charts/chart52.xml"/><Relationship Id="rId79" Type="http://schemas.openxmlformats.org/officeDocument/2006/relationships/chart" Target="charts/chart57.xml"/><Relationship Id="rId102" Type="http://schemas.openxmlformats.org/officeDocument/2006/relationships/chart" Target="charts/chart64.xml"/><Relationship Id="rId123" Type="http://schemas.openxmlformats.org/officeDocument/2006/relationships/diagramQuickStyle" Target="diagrams/quickStyle1.xml"/><Relationship Id="rId128" Type="http://schemas.openxmlformats.org/officeDocument/2006/relationships/chart" Target="charts/chart76.xml"/><Relationship Id="rId5" Type="http://schemas.openxmlformats.org/officeDocument/2006/relationships/settings" Target="settings.xml"/><Relationship Id="rId90" Type="http://schemas.openxmlformats.org/officeDocument/2006/relationships/image" Target="media/image15.png"/><Relationship Id="rId95" Type="http://schemas.openxmlformats.org/officeDocument/2006/relationships/image" Target="media/image18.pn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image" Target="media/image4.emf"/><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image" Target="media/image6.emf"/><Relationship Id="rId64" Type="http://schemas.openxmlformats.org/officeDocument/2006/relationships/chart" Target="charts/chart44.xml"/><Relationship Id="rId69" Type="http://schemas.openxmlformats.org/officeDocument/2006/relationships/image" Target="media/image8.png"/><Relationship Id="rId77" Type="http://schemas.openxmlformats.org/officeDocument/2006/relationships/chart" Target="charts/chart55.xml"/><Relationship Id="rId100" Type="http://schemas.openxmlformats.org/officeDocument/2006/relationships/chart" Target="charts/chart63.xml"/><Relationship Id="rId105" Type="http://schemas.openxmlformats.org/officeDocument/2006/relationships/chart" Target="charts/chart67.xml"/><Relationship Id="rId113" Type="http://schemas.openxmlformats.org/officeDocument/2006/relationships/image" Target="media/image25.png"/><Relationship Id="rId118" Type="http://schemas.openxmlformats.org/officeDocument/2006/relationships/image" Target="media/image29.emf"/><Relationship Id="rId126" Type="http://schemas.openxmlformats.org/officeDocument/2006/relationships/chart" Target="charts/chart74.xml"/><Relationship Id="rId13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chart" Target="charts/chart35.xml"/><Relationship Id="rId72" Type="http://schemas.openxmlformats.org/officeDocument/2006/relationships/chart" Target="charts/chart51.xml"/><Relationship Id="rId80" Type="http://schemas.openxmlformats.org/officeDocument/2006/relationships/chart" Target="charts/chart58.xml"/><Relationship Id="rId85" Type="http://schemas.openxmlformats.org/officeDocument/2006/relationships/image" Target="media/image13.png"/><Relationship Id="rId93" Type="http://schemas.openxmlformats.org/officeDocument/2006/relationships/image" Target="media/image17.emf"/><Relationship Id="rId98" Type="http://schemas.openxmlformats.org/officeDocument/2006/relationships/image" Target="media/image20.emf"/><Relationship Id="rId121" Type="http://schemas.openxmlformats.org/officeDocument/2006/relationships/diagramData" Target="diagrams/data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oleObject" Target="embeddings/Microsoft_Excel_Chart.xls"/><Relationship Id="rId67" Type="http://schemas.openxmlformats.org/officeDocument/2006/relationships/chart" Target="charts/chart47.xml"/><Relationship Id="rId103" Type="http://schemas.openxmlformats.org/officeDocument/2006/relationships/chart" Target="charts/chart65.xml"/><Relationship Id="rId108" Type="http://schemas.openxmlformats.org/officeDocument/2006/relationships/chart" Target="charts/chart70.xml"/><Relationship Id="rId116" Type="http://schemas.openxmlformats.org/officeDocument/2006/relationships/chart" Target="charts/chart72.xml"/><Relationship Id="rId124" Type="http://schemas.openxmlformats.org/officeDocument/2006/relationships/diagramColors" Target="diagrams/colors1.xml"/><Relationship Id="rId129" Type="http://schemas.openxmlformats.org/officeDocument/2006/relationships/chart" Target="charts/chart77.xml"/><Relationship Id="rId137" Type="http://schemas.openxmlformats.org/officeDocument/2006/relationships/theme" Target="theme/theme1.xml"/><Relationship Id="rId20" Type="http://schemas.openxmlformats.org/officeDocument/2006/relationships/chart" Target="charts/chart8.xml"/><Relationship Id="rId41" Type="http://schemas.openxmlformats.org/officeDocument/2006/relationships/chart" Target="charts/chart25.xml"/><Relationship Id="rId54" Type="http://schemas.openxmlformats.org/officeDocument/2006/relationships/chart" Target="charts/chart38.xml"/><Relationship Id="rId62" Type="http://schemas.openxmlformats.org/officeDocument/2006/relationships/image" Target="media/image7.emf"/><Relationship Id="rId70" Type="http://schemas.openxmlformats.org/officeDocument/2006/relationships/chart" Target="charts/chart49.xml"/><Relationship Id="rId75" Type="http://schemas.openxmlformats.org/officeDocument/2006/relationships/chart" Target="charts/chart53.xml"/><Relationship Id="rId83" Type="http://schemas.openxmlformats.org/officeDocument/2006/relationships/image" Target="media/image11.emf"/><Relationship Id="rId88" Type="http://schemas.openxmlformats.org/officeDocument/2006/relationships/footer" Target="footer2.xml"/><Relationship Id="rId91" Type="http://schemas.openxmlformats.org/officeDocument/2006/relationships/chart" Target="charts/chart59.xml"/><Relationship Id="rId96" Type="http://schemas.openxmlformats.org/officeDocument/2006/relationships/chart" Target="charts/chart61.xml"/><Relationship Id="rId111" Type="http://schemas.openxmlformats.org/officeDocument/2006/relationships/chart" Target="charts/chart71.xml"/><Relationship Id="rId132"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png"/><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chart" Target="charts/chart40.xml"/><Relationship Id="rId106" Type="http://schemas.openxmlformats.org/officeDocument/2006/relationships/chart" Target="charts/chart68.xml"/><Relationship Id="rId114" Type="http://schemas.openxmlformats.org/officeDocument/2006/relationships/image" Target="media/image26.emf"/><Relationship Id="rId119" Type="http://schemas.openxmlformats.org/officeDocument/2006/relationships/chart" Target="charts/chart73.xml"/><Relationship Id="rId127" Type="http://schemas.openxmlformats.org/officeDocument/2006/relationships/chart" Target="charts/chart75.xml"/><Relationship Id="rId10" Type="http://schemas.openxmlformats.org/officeDocument/2006/relationships/hyperlink" Target="file:///C:\Users\edeleon\Desktop\MFMP2021%20310821.docx" TargetMode="External"/><Relationship Id="rId31" Type="http://schemas.openxmlformats.org/officeDocument/2006/relationships/image" Target="media/image5.emf"/><Relationship Id="rId44" Type="http://schemas.openxmlformats.org/officeDocument/2006/relationships/chart" Target="charts/chart28.xml"/><Relationship Id="rId52" Type="http://schemas.openxmlformats.org/officeDocument/2006/relationships/chart" Target="charts/chart36.xml"/><Relationship Id="rId60" Type="http://schemas.openxmlformats.org/officeDocument/2006/relationships/chart" Target="charts/chart41.xml"/><Relationship Id="rId65" Type="http://schemas.openxmlformats.org/officeDocument/2006/relationships/chart" Target="charts/chart45.xml"/><Relationship Id="rId73" Type="http://schemas.openxmlformats.org/officeDocument/2006/relationships/image" Target="media/image9.png"/><Relationship Id="rId78" Type="http://schemas.openxmlformats.org/officeDocument/2006/relationships/chart" Target="charts/chart56.xml"/><Relationship Id="rId81" Type="http://schemas.openxmlformats.org/officeDocument/2006/relationships/hyperlink" Target="https://ourworldindata.org/covid-vaccinations" TargetMode="External"/><Relationship Id="rId86" Type="http://schemas.openxmlformats.org/officeDocument/2006/relationships/header" Target="header1.xml"/><Relationship Id="rId94" Type="http://schemas.openxmlformats.org/officeDocument/2006/relationships/chart" Target="charts/chart60.xml"/><Relationship Id="rId99" Type="http://schemas.openxmlformats.org/officeDocument/2006/relationships/chart" Target="charts/chart62.xml"/><Relationship Id="rId101" Type="http://schemas.openxmlformats.org/officeDocument/2006/relationships/image" Target="media/image21.emf"/><Relationship Id="rId122" Type="http://schemas.openxmlformats.org/officeDocument/2006/relationships/diagramLayout" Target="diagrams/layout1.xml"/><Relationship Id="rId130" Type="http://schemas.openxmlformats.org/officeDocument/2006/relationships/chart" Target="charts/chart78.xml"/><Relationship Id="rId135"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elpais.com/mexico/economia/2020-10-09/el-discurso-pro-inversion-del-gobierno-choca-con-las-trabas-a-las-empresas-energeticas.html" TargetMode="External"/><Relationship Id="rId18" Type="http://schemas.openxmlformats.org/officeDocument/2006/relationships/chart" Target="charts/chart6.xml"/><Relationship Id="rId39" Type="http://schemas.openxmlformats.org/officeDocument/2006/relationships/chart" Target="charts/chart23.xml"/><Relationship Id="rId109" Type="http://schemas.openxmlformats.org/officeDocument/2006/relationships/image" Target="media/image23.png"/><Relationship Id="rId34" Type="http://schemas.openxmlformats.org/officeDocument/2006/relationships/chart" Target="charts/chart18.xml"/><Relationship Id="rId50" Type="http://schemas.openxmlformats.org/officeDocument/2006/relationships/chart" Target="charts/chart34.xml"/><Relationship Id="rId55" Type="http://schemas.openxmlformats.org/officeDocument/2006/relationships/chart" Target="charts/chart39.xml"/><Relationship Id="rId76" Type="http://schemas.openxmlformats.org/officeDocument/2006/relationships/chart" Target="charts/chart54.xml"/><Relationship Id="rId97" Type="http://schemas.openxmlformats.org/officeDocument/2006/relationships/image" Target="media/image19.emf"/><Relationship Id="rId104" Type="http://schemas.openxmlformats.org/officeDocument/2006/relationships/chart" Target="charts/chart66.xml"/><Relationship Id="rId120" Type="http://schemas.openxmlformats.org/officeDocument/2006/relationships/image" Target="media/image30.png"/><Relationship Id="rId125" Type="http://schemas.microsoft.com/office/2007/relationships/diagramDrawing" Target="diagrams/drawing1.xml"/><Relationship Id="rId7" Type="http://schemas.openxmlformats.org/officeDocument/2006/relationships/footnotes" Target="footnotes.xml"/><Relationship Id="rId71" Type="http://schemas.openxmlformats.org/officeDocument/2006/relationships/chart" Target="charts/chart50.xml"/><Relationship Id="rId92" Type="http://schemas.openxmlformats.org/officeDocument/2006/relationships/image" Target="media/image16.emf"/><Relationship Id="rId2" Type="http://schemas.openxmlformats.org/officeDocument/2006/relationships/numbering" Target="numbering.xml"/><Relationship Id="rId29" Type="http://schemas.openxmlformats.org/officeDocument/2006/relationships/image" Target="media/image3.emf"/><Relationship Id="rId24" Type="http://schemas.openxmlformats.org/officeDocument/2006/relationships/chart" Target="charts/chart12.xml"/><Relationship Id="rId40" Type="http://schemas.openxmlformats.org/officeDocument/2006/relationships/chart" Target="charts/chart24.xml"/><Relationship Id="rId45" Type="http://schemas.openxmlformats.org/officeDocument/2006/relationships/chart" Target="charts/chart29.xml"/><Relationship Id="rId66" Type="http://schemas.openxmlformats.org/officeDocument/2006/relationships/chart" Target="charts/chart46.xml"/><Relationship Id="rId87" Type="http://schemas.openxmlformats.org/officeDocument/2006/relationships/footer" Target="footer1.xml"/><Relationship Id="rId110" Type="http://schemas.openxmlformats.org/officeDocument/2006/relationships/image" Target="media/image24.png"/><Relationship Id="rId115" Type="http://schemas.openxmlformats.org/officeDocument/2006/relationships/image" Target="media/image27.emf"/><Relationship Id="rId131" Type="http://schemas.openxmlformats.org/officeDocument/2006/relationships/chart" Target="charts/chart79.xml"/><Relationship Id="rId136" Type="http://schemas.openxmlformats.org/officeDocument/2006/relationships/fontTable" Target="fontTable.xml"/><Relationship Id="rId61" Type="http://schemas.openxmlformats.org/officeDocument/2006/relationships/chart" Target="charts/chart42.xml"/><Relationship Id="rId82" Type="http://schemas.openxmlformats.org/officeDocument/2006/relationships/image" Target="media/image10.emf"/><Relationship Id="rId19"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NULL"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psantizo\Desktop\Marco%20fiscal%202021\Graficos%20Marco%202020-2021%20HUGO.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psantizo\Desktop\Marco%20fiscal%202021\Graficos%20Marco%202020-2021%20HUGO.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8.xml"/></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NULL" TargetMode="Externa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9.xml"/></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0.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NULL" TargetMode="Externa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11.xml"/></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1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13.xml"/></Relationships>
</file>

<file path=word/charts/_rels/chart6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66.xml.rels><?xml version="1.0" encoding="UTF-8" standalone="yes"?>
<Relationships xmlns="http://schemas.openxmlformats.org/package/2006/relationships"><Relationship Id="rId1" Type="http://schemas.openxmlformats.org/officeDocument/2006/relationships/oleObject" Target="file:///C:\Users\psantizo\Desktop\ASD%20tropicalizado\ASD%20escenario%20DAPF%20%20200821%20.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psantizo\Desktop\Marco%20fiscal%202021\Deuda\basedeuda.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psantizo\Desktop\Marco%20fiscal%202021\Deuda\basedeuda.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Users\psantizo\Desktop\ASD%20tropicalizado\ASD%20escenario%20DAPF%20%20200821%20.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NULL"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Users\psantizo\Desktop\ASD%20tropicalizado\ASD%20escenario%20DAPF%20%20200821%20.xlsx" TargetMode="External"/></Relationships>
</file>

<file path=word/charts/_rels/chart71.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seargueta\AppData\Local\Microsoft\Windows\INetCache\Content.Outlook\SROD21LE\CAB%20250821.xlsx" TargetMode="Externa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14.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15.xml"/></Relationships>
</file>

<file path=word/charts/_rels/chart74.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33.xlsx"/><Relationship Id="rId1" Type="http://schemas.openxmlformats.org/officeDocument/2006/relationships/themeOverride" Target="../theme/themeOverride16.xml"/></Relationships>
</file>

<file path=word/charts/_rels/chart7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package" Target="../embeddings/Microsoft_Excel_Worksheet34.xlsx"/></Relationships>
</file>

<file path=word/charts/_rels/chart7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package" Target="../embeddings/Microsoft_Excel_Worksheet35.xlsx"/></Relationships>
</file>

<file path=word/charts/_rels/chart7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package" Target="../embeddings/Microsoft_Excel_Worksheet36.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79.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package" Target="../embeddings/Microsoft_Excel_Worksheet38.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497156605424316E-2"/>
          <c:y val="2.9069543086577422E-2"/>
          <c:w val="0.89680314960629925"/>
          <c:h val="0.81249000817721584"/>
        </c:manualLayout>
      </c:layout>
      <c:barChart>
        <c:barDir val="col"/>
        <c:grouping val="clustered"/>
        <c:varyColors val="0"/>
        <c:ser>
          <c:idx val="0"/>
          <c:order val="0"/>
          <c:tx>
            <c:v>2019</c:v>
          </c:tx>
          <c:spPr>
            <a:solidFill>
              <a:schemeClr val="bg1">
                <a:lumMod val="5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Hoja3!$C$3:$C$9</c:f>
              <c:strCache>
                <c:ptCount val="7"/>
                <c:pt idx="0">
                  <c:v>Costa Rica</c:v>
                </c:pt>
                <c:pt idx="1">
                  <c:v>El Salvador</c:v>
                </c:pt>
                <c:pt idx="2">
                  <c:v>Guatemala</c:v>
                </c:pt>
                <c:pt idx="3">
                  <c:v>Honduras</c:v>
                </c:pt>
                <c:pt idx="4">
                  <c:v>Nicaragua</c:v>
                </c:pt>
                <c:pt idx="5">
                  <c:v>Panamá</c:v>
                </c:pt>
                <c:pt idx="6">
                  <c:v>República Dominicana</c:v>
                </c:pt>
              </c:strCache>
            </c:strRef>
          </c:cat>
          <c:val>
            <c:numRef>
              <c:f>Hoja3!$D$3:$D$9</c:f>
              <c:numCache>
                <c:formatCode>General</c:formatCode>
                <c:ptCount val="7"/>
                <c:pt idx="0">
                  <c:v>2.1</c:v>
                </c:pt>
                <c:pt idx="1">
                  <c:v>2.4</c:v>
                </c:pt>
                <c:pt idx="2">
                  <c:v>3.8</c:v>
                </c:pt>
                <c:pt idx="3">
                  <c:v>2.7</c:v>
                </c:pt>
                <c:pt idx="4">
                  <c:v>-3.9</c:v>
                </c:pt>
                <c:pt idx="5">
                  <c:v>3</c:v>
                </c:pt>
                <c:pt idx="6">
                  <c:v>5.0999999999999996</c:v>
                </c:pt>
              </c:numCache>
            </c:numRef>
          </c:val>
          <c:extLst xmlns:c16r2="http://schemas.microsoft.com/office/drawing/2015/06/chart">
            <c:ext xmlns:c16="http://schemas.microsoft.com/office/drawing/2014/chart" uri="{C3380CC4-5D6E-409C-BE32-E72D297353CC}">
              <c16:uniqueId val="{00000000-83A6-4EC0-BDD9-7BA42412BC77}"/>
            </c:ext>
          </c:extLst>
        </c:ser>
        <c:ser>
          <c:idx val="1"/>
          <c:order val="1"/>
          <c:tx>
            <c:strRef>
              <c:f>Hoja3!$E$2</c:f>
              <c:strCache>
                <c:ptCount val="1"/>
                <c:pt idx="0">
                  <c:v>2020</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Hoja3!$C$3:$C$9</c:f>
              <c:strCache>
                <c:ptCount val="7"/>
                <c:pt idx="0">
                  <c:v>Costa Rica</c:v>
                </c:pt>
                <c:pt idx="1">
                  <c:v>El Salvador</c:v>
                </c:pt>
                <c:pt idx="2">
                  <c:v>Guatemala</c:v>
                </c:pt>
                <c:pt idx="3">
                  <c:v>Honduras</c:v>
                </c:pt>
                <c:pt idx="4">
                  <c:v>Nicaragua</c:v>
                </c:pt>
                <c:pt idx="5">
                  <c:v>Panamá</c:v>
                </c:pt>
                <c:pt idx="6">
                  <c:v>República Dominicana</c:v>
                </c:pt>
              </c:strCache>
            </c:strRef>
          </c:cat>
          <c:val>
            <c:numRef>
              <c:f>Hoja3!$E$3:$E$9</c:f>
              <c:numCache>
                <c:formatCode>General</c:formatCode>
                <c:ptCount val="7"/>
                <c:pt idx="0">
                  <c:v>-4.5</c:v>
                </c:pt>
                <c:pt idx="1">
                  <c:v>-8.6</c:v>
                </c:pt>
                <c:pt idx="2">
                  <c:v>-2.5</c:v>
                </c:pt>
                <c:pt idx="3">
                  <c:v>-8</c:v>
                </c:pt>
                <c:pt idx="4">
                  <c:v>-4</c:v>
                </c:pt>
                <c:pt idx="5">
                  <c:v>-11</c:v>
                </c:pt>
                <c:pt idx="6">
                  <c:v>-5.5</c:v>
                </c:pt>
              </c:numCache>
            </c:numRef>
          </c:val>
          <c:extLst xmlns:c16r2="http://schemas.microsoft.com/office/drawing/2015/06/chart">
            <c:ext xmlns:c16="http://schemas.microsoft.com/office/drawing/2014/chart" uri="{C3380CC4-5D6E-409C-BE32-E72D297353CC}">
              <c16:uniqueId val="{00000001-83A6-4EC0-BDD9-7BA42412BC77}"/>
            </c:ext>
          </c:extLst>
        </c:ser>
        <c:dLbls>
          <c:showLegendKey val="0"/>
          <c:showVal val="0"/>
          <c:showCatName val="0"/>
          <c:showSerName val="0"/>
          <c:showPercent val="0"/>
          <c:showBubbleSize val="0"/>
        </c:dLbls>
        <c:gapWidth val="30"/>
        <c:overlap val="1"/>
        <c:axId val="63434112"/>
        <c:axId val="63435904"/>
      </c:barChart>
      <c:catAx>
        <c:axId val="634341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63435904"/>
        <c:crosses val="autoZero"/>
        <c:auto val="1"/>
        <c:lblAlgn val="ctr"/>
        <c:lblOffset val="100"/>
        <c:noMultiLvlLbl val="0"/>
      </c:catAx>
      <c:valAx>
        <c:axId val="6343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6343411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a:t>Inflación Interanual</a:t>
            </a:r>
          </a:p>
        </c:rich>
      </c:tx>
      <c:overlay val="0"/>
      <c:spPr>
        <a:noFill/>
        <a:ln>
          <a:noFill/>
        </a:ln>
        <a:effectLst/>
      </c:spPr>
    </c:title>
    <c:autoTitleDeleted val="0"/>
    <c:plotArea>
      <c:layout>
        <c:manualLayout>
          <c:layoutTarget val="inner"/>
          <c:xMode val="edge"/>
          <c:yMode val="edge"/>
          <c:x val="0.14491276825690907"/>
          <c:y val="0.18196788946532186"/>
          <c:w val="0.80715694851869002"/>
          <c:h val="0.52562654166556944"/>
        </c:manualLayout>
      </c:layout>
      <c:lineChart>
        <c:grouping val="standard"/>
        <c:varyColors val="0"/>
        <c:ser>
          <c:idx val="0"/>
          <c:order val="0"/>
          <c:tx>
            <c:strRef>
              <c:f>'sr005'!$L$138</c:f>
              <c:strCache>
                <c:ptCount val="1"/>
                <c:pt idx="0">
                  <c:v>Inflación</c:v>
                </c:pt>
              </c:strCache>
            </c:strRef>
          </c:tx>
          <c:spPr>
            <a:ln w="31750" cap="rnd">
              <a:solidFill>
                <a:srgbClr val="002060"/>
              </a:solidFill>
              <a:round/>
            </a:ln>
            <a:effectLst/>
          </c:spPr>
          <c:marker>
            <c:symbol val="circle"/>
            <c:size val="3"/>
            <c:spPr>
              <a:solidFill>
                <a:srgbClr val="00B0F0"/>
              </a:solidFill>
              <a:ln w="9525">
                <a:solidFill>
                  <a:schemeClr val="accent1"/>
                </a:solidFill>
              </a:ln>
              <a:effectLst/>
            </c:spPr>
          </c:marker>
          <c:dLbls>
            <c:dLbl>
              <c:idx val="1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8FC-4AD5-8F7D-4704FDB986A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'sr005'!$K$139:$K$149</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'sr005'!$L$139:$L$149</c:f>
              <c:numCache>
                <c:formatCode>0.00</c:formatCode>
                <c:ptCount val="11"/>
                <c:pt idx="0">
                  <c:v>5.39</c:v>
                </c:pt>
                <c:pt idx="1">
                  <c:v>6.2</c:v>
                </c:pt>
                <c:pt idx="2">
                  <c:v>3.45</c:v>
                </c:pt>
                <c:pt idx="3">
                  <c:v>4.3899999999999997</c:v>
                </c:pt>
                <c:pt idx="4">
                  <c:v>2.95</c:v>
                </c:pt>
                <c:pt idx="5">
                  <c:v>3.07</c:v>
                </c:pt>
                <c:pt idx="6">
                  <c:v>4.2300000000000004</c:v>
                </c:pt>
                <c:pt idx="7">
                  <c:v>5.68</c:v>
                </c:pt>
                <c:pt idx="8">
                  <c:v>2.31</c:v>
                </c:pt>
                <c:pt idx="9">
                  <c:v>3.41</c:v>
                </c:pt>
                <c:pt idx="10">
                  <c:v>4.82</c:v>
                </c:pt>
              </c:numCache>
            </c:numRef>
          </c:val>
          <c:smooth val="1"/>
          <c:extLst xmlns:c16r2="http://schemas.microsoft.com/office/drawing/2015/06/chart">
            <c:ext xmlns:c16="http://schemas.microsoft.com/office/drawing/2014/chart" uri="{C3380CC4-5D6E-409C-BE32-E72D297353CC}">
              <c16:uniqueId val="{00000001-68FC-4AD5-8F7D-4704FDB986AD}"/>
            </c:ext>
          </c:extLst>
        </c:ser>
        <c:ser>
          <c:idx val="1"/>
          <c:order val="1"/>
          <c:tx>
            <c:strRef>
              <c:f>'sr005'!$M$138</c:f>
              <c:strCache>
                <c:ptCount val="1"/>
                <c:pt idx="0">
                  <c:v>Meta, R-max</c:v>
                </c:pt>
              </c:strCache>
            </c:strRef>
          </c:tx>
          <c:spPr>
            <a:ln w="31750" cap="rnd">
              <a:solidFill>
                <a:srgbClr val="92D050"/>
              </a:solidFill>
              <a:prstDash val="sysDot"/>
              <a:round/>
            </a:ln>
            <a:effectLst/>
          </c:spPr>
          <c:marker>
            <c:symbol val="none"/>
          </c:marker>
          <c:cat>
            <c:numRef>
              <c:f>'sr005'!$K$139:$K$149</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'sr005'!$M$139:$M$149</c:f>
              <c:numCache>
                <c:formatCode>General</c:formatCode>
                <c:ptCount val="11"/>
                <c:pt idx="0">
                  <c:v>5</c:v>
                </c:pt>
                <c:pt idx="1">
                  <c:v>5</c:v>
                </c:pt>
                <c:pt idx="2">
                  <c:v>5</c:v>
                </c:pt>
                <c:pt idx="3">
                  <c:v>5</c:v>
                </c:pt>
                <c:pt idx="4">
                  <c:v>5</c:v>
                </c:pt>
                <c:pt idx="5">
                  <c:v>5</c:v>
                </c:pt>
                <c:pt idx="6">
                  <c:v>5</c:v>
                </c:pt>
                <c:pt idx="7">
                  <c:v>5</c:v>
                </c:pt>
                <c:pt idx="8">
                  <c:v>5</c:v>
                </c:pt>
                <c:pt idx="9">
                  <c:v>5</c:v>
                </c:pt>
                <c:pt idx="10">
                  <c:v>5</c:v>
                </c:pt>
              </c:numCache>
            </c:numRef>
          </c:val>
          <c:smooth val="0"/>
          <c:extLst xmlns:c16r2="http://schemas.microsoft.com/office/drawing/2015/06/chart">
            <c:ext xmlns:c16="http://schemas.microsoft.com/office/drawing/2014/chart" uri="{C3380CC4-5D6E-409C-BE32-E72D297353CC}">
              <c16:uniqueId val="{00000002-68FC-4AD5-8F7D-4704FDB986AD}"/>
            </c:ext>
          </c:extLst>
        </c:ser>
        <c:ser>
          <c:idx val="2"/>
          <c:order val="2"/>
          <c:tx>
            <c:strRef>
              <c:f>'sr005'!$N$138</c:f>
              <c:strCache>
                <c:ptCount val="1"/>
                <c:pt idx="0">
                  <c:v>Meta, R-min</c:v>
                </c:pt>
              </c:strCache>
            </c:strRef>
          </c:tx>
          <c:spPr>
            <a:ln w="31750" cap="rnd">
              <a:solidFill>
                <a:srgbClr val="92D050"/>
              </a:solidFill>
              <a:prstDash val="sysDot"/>
              <a:round/>
            </a:ln>
            <a:effectLst/>
          </c:spPr>
          <c:marker>
            <c:symbol val="none"/>
          </c:marker>
          <c:cat>
            <c:numRef>
              <c:f>'sr005'!$K$139:$K$149</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'sr005'!$N$139:$N$149</c:f>
              <c:numCache>
                <c:formatCode>General</c:formatCode>
                <c:ptCount val="11"/>
                <c:pt idx="0">
                  <c:v>3</c:v>
                </c:pt>
                <c:pt idx="1">
                  <c:v>3</c:v>
                </c:pt>
                <c:pt idx="2">
                  <c:v>3</c:v>
                </c:pt>
                <c:pt idx="3">
                  <c:v>3</c:v>
                </c:pt>
                <c:pt idx="4">
                  <c:v>3</c:v>
                </c:pt>
                <c:pt idx="5">
                  <c:v>3</c:v>
                </c:pt>
                <c:pt idx="6">
                  <c:v>3</c:v>
                </c:pt>
                <c:pt idx="7">
                  <c:v>3</c:v>
                </c:pt>
                <c:pt idx="8">
                  <c:v>3</c:v>
                </c:pt>
                <c:pt idx="9">
                  <c:v>3</c:v>
                </c:pt>
                <c:pt idx="10">
                  <c:v>3</c:v>
                </c:pt>
              </c:numCache>
            </c:numRef>
          </c:val>
          <c:smooth val="0"/>
          <c:extLst xmlns:c16r2="http://schemas.microsoft.com/office/drawing/2015/06/chart">
            <c:ext xmlns:c16="http://schemas.microsoft.com/office/drawing/2014/chart" uri="{C3380CC4-5D6E-409C-BE32-E72D297353CC}">
              <c16:uniqueId val="{00000003-68FC-4AD5-8F7D-4704FDB986AD}"/>
            </c:ext>
          </c:extLst>
        </c:ser>
        <c:ser>
          <c:idx val="3"/>
          <c:order val="3"/>
          <c:tx>
            <c:strRef>
              <c:f>'sr005'!$O$138</c:f>
              <c:strCache>
                <c:ptCount val="1"/>
                <c:pt idx="0">
                  <c:v>Promedio 2016-2020</c:v>
                </c:pt>
              </c:strCache>
            </c:strRef>
          </c:tx>
          <c:spPr>
            <a:ln w="31750" cap="rnd">
              <a:solidFill>
                <a:srgbClr val="FF0000"/>
              </a:solidFill>
              <a:round/>
            </a:ln>
            <a:effectLst/>
          </c:spPr>
          <c:marker>
            <c:symbol val="none"/>
          </c:marker>
          <c:dLbls>
            <c:dLbl>
              <c:idx val="10"/>
              <c:layout>
                <c:manualLayout>
                  <c:x val="0"/>
                  <c:y val="2.787068004459314E-2"/>
                </c:manualLayout>
              </c:layout>
              <c:tx>
                <c:rich>
                  <a:bodyPr/>
                  <a:lstStyle/>
                  <a:p>
                    <a:r>
                      <a:rPr lang="en-US"/>
                      <a:t>4.2</a:t>
                    </a:r>
                  </a:p>
                  <a:p>
                    <a:endParaRPr lang="en-US"/>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8FC-4AD5-8F7D-4704FDB986A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'sr005'!$K$139:$K$149</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'sr005'!$O$139:$O$149</c:f>
              <c:numCache>
                <c:formatCode>0.00</c:formatCode>
                <c:ptCount val="11"/>
                <c:pt idx="0">
                  <c:v>4.0900000000000007</c:v>
                </c:pt>
                <c:pt idx="1">
                  <c:v>4.0900000000000007</c:v>
                </c:pt>
                <c:pt idx="2">
                  <c:v>4.0900000000000007</c:v>
                </c:pt>
                <c:pt idx="3">
                  <c:v>4.0900000000000007</c:v>
                </c:pt>
                <c:pt idx="4">
                  <c:v>4.0900000000000007</c:v>
                </c:pt>
                <c:pt idx="5">
                  <c:v>4.0900000000000007</c:v>
                </c:pt>
                <c:pt idx="6">
                  <c:v>4.0900000000000007</c:v>
                </c:pt>
                <c:pt idx="7">
                  <c:v>4.0900000000000007</c:v>
                </c:pt>
                <c:pt idx="8">
                  <c:v>4.0900000000000007</c:v>
                </c:pt>
                <c:pt idx="9">
                  <c:v>4.0900000000000007</c:v>
                </c:pt>
                <c:pt idx="10">
                  <c:v>4.0900000000000007</c:v>
                </c:pt>
              </c:numCache>
            </c:numRef>
          </c:val>
          <c:smooth val="0"/>
          <c:extLst xmlns:c16r2="http://schemas.microsoft.com/office/drawing/2015/06/chart">
            <c:ext xmlns:c16="http://schemas.microsoft.com/office/drawing/2014/chart" uri="{C3380CC4-5D6E-409C-BE32-E72D297353CC}">
              <c16:uniqueId val="{00000005-68FC-4AD5-8F7D-4704FDB986AD}"/>
            </c:ext>
          </c:extLst>
        </c:ser>
        <c:dLbls>
          <c:showLegendKey val="0"/>
          <c:showVal val="0"/>
          <c:showCatName val="0"/>
          <c:showSerName val="0"/>
          <c:showPercent val="0"/>
          <c:showBubbleSize val="0"/>
        </c:dLbls>
        <c:marker val="1"/>
        <c:smooth val="0"/>
        <c:axId val="164143488"/>
        <c:axId val="164145024"/>
      </c:lineChart>
      <c:catAx>
        <c:axId val="16414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64145024"/>
        <c:crosses val="autoZero"/>
        <c:auto val="1"/>
        <c:lblAlgn val="ctr"/>
        <c:lblOffset val="100"/>
        <c:noMultiLvlLbl val="0"/>
      </c:catAx>
      <c:valAx>
        <c:axId val="164145024"/>
        <c:scaling>
          <c:orientation val="minMax"/>
          <c:min val="2"/>
        </c:scaling>
        <c:delete val="0"/>
        <c:axPos val="l"/>
        <c:majorGridlines>
          <c:spPr>
            <a:ln w="9525" cap="flat" cmpd="sng" algn="ctr">
              <a:solidFill>
                <a:srgbClr val="002060">
                  <a:alpha val="4000"/>
                </a:srgbClr>
              </a:solidFill>
              <a:round/>
            </a:ln>
            <a:effectLst/>
          </c:spPr>
        </c:majorGridlines>
        <c:title>
          <c:tx>
            <c:rich>
              <a:bodyPr rot="-54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700"/>
                  <a:t>Porcentaje</a:t>
                </a:r>
              </a:p>
            </c:rich>
          </c:tx>
          <c:layout>
            <c:manualLayout>
              <c:xMode val="edge"/>
              <c:yMode val="edge"/>
              <c:x val="8.7145969498910684E-3"/>
              <c:y val="0.34574258903255828"/>
            </c:manualLayout>
          </c:layout>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6414348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a:t>Inflación interanual por división de gasto</a:t>
            </a:r>
          </a:p>
        </c:rich>
      </c:tx>
      <c:overlay val="0"/>
      <c:spPr>
        <a:noFill/>
        <a:ln>
          <a:noFill/>
        </a:ln>
        <a:effectLst/>
      </c:spPr>
    </c:title>
    <c:autoTitleDeleted val="0"/>
    <c:plotArea>
      <c:layout>
        <c:manualLayout>
          <c:layoutTarget val="inner"/>
          <c:xMode val="edge"/>
          <c:yMode val="edge"/>
          <c:x val="0.1660533115838739"/>
          <c:y val="0.25486494567925844"/>
          <c:w val="0.83394668841612596"/>
          <c:h val="0.35390112628326531"/>
        </c:manualLayout>
      </c:layout>
      <c:barChart>
        <c:barDir val="col"/>
        <c:grouping val="clustered"/>
        <c:varyColors val="0"/>
        <c:ser>
          <c:idx val="0"/>
          <c:order val="0"/>
          <c:tx>
            <c:v>2019</c:v>
          </c:tx>
          <c:spPr>
            <a:solidFill>
              <a:srgbClr val="002060"/>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(ipc!$B$14,ipc!$E$14,ipc!$H$14:$I$14,ipc!$L$14:$M$14)</c:f>
              <c:strCache>
                <c:ptCount val="6"/>
                <c:pt idx="0">
                  <c:v>Alimentos y bebidas </c:v>
                </c:pt>
                <c:pt idx="1">
                  <c:v>Vivienda, agua, electricidad, gas</c:v>
                </c:pt>
                <c:pt idx="2">
                  <c:v>Transporte</c:v>
                </c:pt>
                <c:pt idx="3">
                  <c:v>Comunicaciones</c:v>
                </c:pt>
                <c:pt idx="4">
                  <c:v>Restaurante y hoteles</c:v>
                </c:pt>
                <c:pt idx="5">
                  <c:v>Bienes y servicios diversos</c:v>
                </c:pt>
              </c:strCache>
              <c:extLst xmlns:c16r2="http://schemas.microsoft.com/office/drawing/2015/06/chart"/>
            </c:strRef>
          </c:cat>
          <c:val>
            <c:numRef>
              <c:f>(ipc!$B$22,ipc!$E$22,ipc!$H$22:$I$22,ipc!$L$22:$M$22)</c:f>
              <c:numCache>
                <c:formatCode>0.00</c:formatCode>
                <c:ptCount val="6"/>
                <c:pt idx="0">
                  <c:v>5.9544568673710216</c:v>
                </c:pt>
                <c:pt idx="1">
                  <c:v>1.2422360248447291</c:v>
                </c:pt>
                <c:pt idx="2">
                  <c:v>5.4286783976038748</c:v>
                </c:pt>
                <c:pt idx="3">
                  <c:v>6.3362487852283778</c:v>
                </c:pt>
                <c:pt idx="4">
                  <c:v>0.98935816428334533</c:v>
                </c:pt>
                <c:pt idx="5">
                  <c:v>0.76520003326956498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26D7-4041-8A10-489BFDE4E1CA}"/>
            </c:ext>
          </c:extLst>
        </c:ser>
        <c:ser>
          <c:idx val="1"/>
          <c:order val="1"/>
          <c:tx>
            <c:v>2020</c:v>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(ipc!$B$14,ipc!$E$14,ipc!$H$14:$I$14,ipc!$L$14:$M$14)</c:f>
              <c:strCache>
                <c:ptCount val="6"/>
                <c:pt idx="0">
                  <c:v>Alimentos y bebidas </c:v>
                </c:pt>
                <c:pt idx="1">
                  <c:v>Vivienda, agua, electricidad, gas</c:v>
                </c:pt>
                <c:pt idx="2">
                  <c:v>Transporte</c:v>
                </c:pt>
                <c:pt idx="3">
                  <c:v>Comunicaciones</c:v>
                </c:pt>
                <c:pt idx="4">
                  <c:v>Restaurante y hoteles</c:v>
                </c:pt>
                <c:pt idx="5">
                  <c:v>Bienes y servicios diversos</c:v>
                </c:pt>
              </c:strCache>
              <c:extLst xmlns:c16r2="http://schemas.microsoft.com/office/drawing/2015/06/chart"/>
            </c:strRef>
          </c:cat>
          <c:val>
            <c:numRef>
              <c:f>(ipc!$B$23,ipc!$E$23,ipc!$H$23:$I$23,ipc!$L$23:$M$23)</c:f>
              <c:numCache>
                <c:formatCode>0.00</c:formatCode>
                <c:ptCount val="6"/>
                <c:pt idx="0">
                  <c:v>8.6790260903238305</c:v>
                </c:pt>
                <c:pt idx="1">
                  <c:v>0.73619631901840421</c:v>
                </c:pt>
                <c:pt idx="2">
                  <c:v>9.9076704545454533</c:v>
                </c:pt>
                <c:pt idx="3">
                  <c:v>1.8643757996709809</c:v>
                </c:pt>
                <c:pt idx="4">
                  <c:v>1.2348728081007749</c:v>
                </c:pt>
                <c:pt idx="5">
                  <c:v>0.61081304168386907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26D7-4041-8A10-489BFDE4E1CA}"/>
            </c:ext>
          </c:extLst>
        </c:ser>
        <c:dLbls>
          <c:showLegendKey val="0"/>
          <c:showVal val="0"/>
          <c:showCatName val="0"/>
          <c:showSerName val="0"/>
          <c:showPercent val="0"/>
          <c:showBubbleSize val="0"/>
        </c:dLbls>
        <c:gapWidth val="25"/>
        <c:overlap val="-27"/>
        <c:axId val="163984896"/>
        <c:axId val="163986432"/>
      </c:barChart>
      <c:catAx>
        <c:axId val="16398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63986432"/>
        <c:crosses val="autoZero"/>
        <c:auto val="1"/>
        <c:lblAlgn val="ctr"/>
        <c:lblOffset val="100"/>
        <c:noMultiLvlLbl val="0"/>
      </c:catAx>
      <c:valAx>
        <c:axId val="163986432"/>
        <c:scaling>
          <c:orientation val="minMax"/>
        </c:scaling>
        <c:delete val="0"/>
        <c:axPos val="l"/>
        <c:majorGridlines>
          <c:spPr>
            <a:ln w="9525" cap="flat" cmpd="sng" algn="ctr">
              <a:solidFill>
                <a:srgbClr val="002060">
                  <a:alpha val="4000"/>
                </a:srgb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a:t>Porcenaje</a:t>
                </a:r>
              </a:p>
            </c:rich>
          </c:tx>
          <c:overlay val="0"/>
          <c:spPr>
            <a:noFill/>
            <a:ln>
              <a:noFill/>
            </a:ln>
            <a:effectLst/>
          </c:spPr>
        </c:title>
        <c:numFmt formatCode="0.0" sourceLinked="0"/>
        <c:majorTickMark val="none"/>
        <c:minorTickMark val="none"/>
        <c:tickLblPos val="nextTo"/>
        <c:spPr>
          <a:noFill/>
          <a:ln>
            <a:solidFill>
              <a:srgbClr val="002060">
                <a:alpha val="0"/>
              </a:srgb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63984896"/>
        <c:crosses val="autoZero"/>
        <c:crossBetween val="between"/>
      </c:valAx>
      <c:spPr>
        <a:noFill/>
        <a:ln>
          <a:noFill/>
        </a:ln>
        <a:effectLst/>
      </c:spPr>
    </c:plotArea>
    <c:legend>
      <c:legendPos val="b"/>
      <c:layout>
        <c:manualLayout>
          <c:xMode val="edge"/>
          <c:yMode val="edge"/>
          <c:x val="0.34335815719066093"/>
          <c:y val="0.91161362489855902"/>
          <c:w val="0.31328368561867809"/>
          <c:h val="8.8386375101441012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397110343770242E-2"/>
          <c:y val="5.830587729434844E-2"/>
          <c:w val="0.9036191639950848"/>
          <c:h val="0.75263621188455743"/>
        </c:manualLayout>
      </c:layout>
      <c:lineChart>
        <c:grouping val="standard"/>
        <c:varyColors val="0"/>
        <c:ser>
          <c:idx val="0"/>
          <c:order val="0"/>
          <c:spPr>
            <a:ln w="28575" cap="rnd">
              <a:solidFill>
                <a:srgbClr val="002060"/>
              </a:solidFill>
              <a:round/>
            </a:ln>
            <a:effectLst>
              <a:outerShdw blurRad="50800" dist="38100" dir="2700000" algn="tl" rotWithShape="0">
                <a:prstClr val="black">
                  <a:alpha val="40000"/>
                </a:prstClr>
              </a:outerShdw>
            </a:effectLst>
          </c:spPr>
          <c:marker>
            <c:symbol val="none"/>
          </c:marker>
          <c:dLbls>
            <c:dLbl>
              <c:idx val="57"/>
              <c:layout>
                <c:manualLayout>
                  <c:x val="-7.6970443349753698E-2"/>
                  <c:y val="-5.85480093676815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8CF-40C1-A5EE-1FBF0BAD56CC}"/>
                </c:ext>
              </c:extLst>
            </c:dLbl>
            <c:dLbl>
              <c:idx val="65"/>
              <c:layout>
                <c:manualLayout>
                  <c:x val="-2.1551724137931036E-2"/>
                  <c:y val="2.92740046838407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8CF-40C1-A5EE-1FBF0BAD56CC}"/>
                </c:ext>
              </c:extLst>
            </c:dLbl>
            <c:dLbl>
              <c:idx val="71"/>
              <c:layout>
                <c:manualLayout>
                  <c:x val="0"/>
                  <c:y val="-4.68384074941452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8CF-40C1-A5EE-1FBF0BAD56C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Hoja2!$B$4:$B$75</c:f>
              <c:numCache>
                <c:formatCode>mmm\-yy</c:formatCode>
                <c:ptCount val="72"/>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pt idx="58">
                  <c:v>43770</c:v>
                </c:pt>
                <c:pt idx="59">
                  <c:v>43800</c:v>
                </c:pt>
                <c:pt idx="60">
                  <c:v>43831</c:v>
                </c:pt>
                <c:pt idx="61">
                  <c:v>43862</c:v>
                </c:pt>
                <c:pt idx="62">
                  <c:v>43891</c:v>
                </c:pt>
                <c:pt idx="63">
                  <c:v>43922</c:v>
                </c:pt>
                <c:pt idx="64">
                  <c:v>43952</c:v>
                </c:pt>
                <c:pt idx="65">
                  <c:v>43983</c:v>
                </c:pt>
                <c:pt idx="66">
                  <c:v>44013</c:v>
                </c:pt>
                <c:pt idx="67">
                  <c:v>44044</c:v>
                </c:pt>
                <c:pt idx="68">
                  <c:v>44075</c:v>
                </c:pt>
                <c:pt idx="69">
                  <c:v>44105</c:v>
                </c:pt>
                <c:pt idx="70">
                  <c:v>44136</c:v>
                </c:pt>
                <c:pt idx="71">
                  <c:v>44166</c:v>
                </c:pt>
              </c:numCache>
            </c:numRef>
          </c:cat>
          <c:val>
            <c:numRef>
              <c:f>Hoja2!$D$4:$D$76</c:f>
              <c:numCache>
                <c:formatCode>_(* #,##0_);_(* \(#,##0\);_(* "-"??_);_(@_)</c:formatCode>
                <c:ptCount val="73"/>
                <c:pt idx="0">
                  <c:v>1252128</c:v>
                </c:pt>
                <c:pt idx="1">
                  <c:v>1255286</c:v>
                </c:pt>
                <c:pt idx="2">
                  <c:v>1292312</c:v>
                </c:pt>
                <c:pt idx="3">
                  <c:v>1288999</c:v>
                </c:pt>
                <c:pt idx="4">
                  <c:v>1263745</c:v>
                </c:pt>
                <c:pt idx="5">
                  <c:v>1269098</c:v>
                </c:pt>
                <c:pt idx="6">
                  <c:v>1245398</c:v>
                </c:pt>
                <c:pt idx="7">
                  <c:v>1242497</c:v>
                </c:pt>
                <c:pt idx="8">
                  <c:v>1234125</c:v>
                </c:pt>
                <c:pt idx="9">
                  <c:v>1256758</c:v>
                </c:pt>
                <c:pt idx="10">
                  <c:v>1295598</c:v>
                </c:pt>
                <c:pt idx="11">
                  <c:v>1313208</c:v>
                </c:pt>
                <c:pt idx="12">
                  <c:v>1260401</c:v>
                </c:pt>
                <c:pt idx="13">
                  <c:v>1298222</c:v>
                </c:pt>
                <c:pt idx="14">
                  <c:v>1315578</c:v>
                </c:pt>
                <c:pt idx="15">
                  <c:v>1299051</c:v>
                </c:pt>
                <c:pt idx="16">
                  <c:v>1306398</c:v>
                </c:pt>
                <c:pt idx="17">
                  <c:v>1284604</c:v>
                </c:pt>
                <c:pt idx="18">
                  <c:v>1284460</c:v>
                </c:pt>
                <c:pt idx="19">
                  <c:v>1286112</c:v>
                </c:pt>
                <c:pt idx="20">
                  <c:v>1290568</c:v>
                </c:pt>
                <c:pt idx="21">
                  <c:v>1290949</c:v>
                </c:pt>
                <c:pt idx="22">
                  <c:v>1331322</c:v>
                </c:pt>
                <c:pt idx="23">
                  <c:v>1352347</c:v>
                </c:pt>
                <c:pt idx="24">
                  <c:v>1276210</c:v>
                </c:pt>
                <c:pt idx="25">
                  <c:v>1325917</c:v>
                </c:pt>
                <c:pt idx="26">
                  <c:v>1307647</c:v>
                </c:pt>
                <c:pt idx="27">
                  <c:v>1333237</c:v>
                </c:pt>
                <c:pt idx="28">
                  <c:v>1329656</c:v>
                </c:pt>
                <c:pt idx="29">
                  <c:v>1289473</c:v>
                </c:pt>
                <c:pt idx="30">
                  <c:v>1302490</c:v>
                </c:pt>
                <c:pt idx="31">
                  <c:v>1292703</c:v>
                </c:pt>
                <c:pt idx="32">
                  <c:v>1279954</c:v>
                </c:pt>
                <c:pt idx="33">
                  <c:v>1346952</c:v>
                </c:pt>
                <c:pt idx="34">
                  <c:v>1324685</c:v>
                </c:pt>
                <c:pt idx="35">
                  <c:v>1347278</c:v>
                </c:pt>
                <c:pt idx="36">
                  <c:v>1283038</c:v>
                </c:pt>
                <c:pt idx="37">
                  <c:v>1329494</c:v>
                </c:pt>
                <c:pt idx="38">
                  <c:v>1316823</c:v>
                </c:pt>
                <c:pt idx="39">
                  <c:v>1378622</c:v>
                </c:pt>
                <c:pt idx="40">
                  <c:v>1334527</c:v>
                </c:pt>
                <c:pt idx="41">
                  <c:v>1321387</c:v>
                </c:pt>
                <c:pt idx="42">
                  <c:v>1318505</c:v>
                </c:pt>
                <c:pt idx="43">
                  <c:v>1296228</c:v>
                </c:pt>
                <c:pt idx="44">
                  <c:v>1290342</c:v>
                </c:pt>
                <c:pt idx="45">
                  <c:v>1355581.1237000001</c:v>
                </c:pt>
                <c:pt idx="46">
                  <c:v>1317597.1940999997</c:v>
                </c:pt>
                <c:pt idx="47">
                  <c:v>1364304</c:v>
                </c:pt>
                <c:pt idx="48">
                  <c:v>1320813</c:v>
                </c:pt>
                <c:pt idx="49">
                  <c:v>1346974</c:v>
                </c:pt>
                <c:pt idx="50">
                  <c:v>1350045</c:v>
                </c:pt>
                <c:pt idx="51">
                  <c:v>1367313</c:v>
                </c:pt>
                <c:pt idx="52">
                  <c:v>1337515</c:v>
                </c:pt>
                <c:pt idx="53">
                  <c:v>1342393</c:v>
                </c:pt>
                <c:pt idx="54">
                  <c:v>1340161</c:v>
                </c:pt>
                <c:pt idx="55">
                  <c:v>1332812</c:v>
                </c:pt>
                <c:pt idx="56">
                  <c:v>1332677</c:v>
                </c:pt>
                <c:pt idx="57">
                  <c:v>1392154</c:v>
                </c:pt>
                <c:pt idx="58">
                  <c:v>1357919</c:v>
                </c:pt>
                <c:pt idx="59">
                  <c:v>1389068</c:v>
                </c:pt>
                <c:pt idx="60">
                  <c:v>1349864</c:v>
                </c:pt>
                <c:pt idx="61">
                  <c:v>1322370</c:v>
                </c:pt>
                <c:pt idx="62">
                  <c:v>1319529</c:v>
                </c:pt>
                <c:pt idx="63">
                  <c:v>1265302</c:v>
                </c:pt>
                <c:pt idx="64">
                  <c:v>1253019</c:v>
                </c:pt>
                <c:pt idx="65">
                  <c:v>1230894</c:v>
                </c:pt>
                <c:pt idx="66">
                  <c:v>1242252</c:v>
                </c:pt>
                <c:pt idx="67">
                  <c:v>1263060</c:v>
                </c:pt>
                <c:pt idx="68">
                  <c:v>1271798</c:v>
                </c:pt>
                <c:pt idx="69">
                  <c:v>1290555</c:v>
                </c:pt>
                <c:pt idx="70">
                  <c:v>1322727</c:v>
                </c:pt>
                <c:pt idx="71">
                  <c:v>1347205</c:v>
                </c:pt>
              </c:numCache>
            </c:numRef>
          </c:val>
          <c:smooth val="1"/>
          <c:extLst xmlns:c16r2="http://schemas.microsoft.com/office/drawing/2015/06/chart">
            <c:ext xmlns:c16="http://schemas.microsoft.com/office/drawing/2014/chart" uri="{C3380CC4-5D6E-409C-BE32-E72D297353CC}">
              <c16:uniqueId val="{00000003-E8CF-40C1-A5EE-1FBF0BAD56CC}"/>
            </c:ext>
          </c:extLst>
        </c:ser>
        <c:dLbls>
          <c:showLegendKey val="0"/>
          <c:showVal val="0"/>
          <c:showCatName val="0"/>
          <c:showSerName val="0"/>
          <c:showPercent val="0"/>
          <c:showBubbleSize val="0"/>
        </c:dLbls>
        <c:marker val="1"/>
        <c:smooth val="0"/>
        <c:axId val="164026624"/>
        <c:axId val="164032512"/>
      </c:lineChart>
      <c:dateAx>
        <c:axId val="16402662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64032512"/>
        <c:crosses val="autoZero"/>
        <c:auto val="1"/>
        <c:lblOffset val="100"/>
        <c:baseTimeUnit val="months"/>
        <c:majorUnit val="4"/>
        <c:majorTimeUnit val="months"/>
        <c:minorUnit val="1"/>
        <c:minorTimeUnit val="months"/>
      </c:dateAx>
      <c:valAx>
        <c:axId val="164032512"/>
        <c:scaling>
          <c:orientation val="minMax"/>
          <c:max val="1400000"/>
          <c:min val="1200000"/>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640266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95451388888889"/>
          <c:y val="5.5436507936507937E-2"/>
          <c:w val="0.82953854166666663"/>
          <c:h val="0.65219047619047632"/>
        </c:manualLayout>
      </c:layout>
      <c:lineChart>
        <c:grouping val="standard"/>
        <c:varyColors val="0"/>
        <c:ser>
          <c:idx val="0"/>
          <c:order val="0"/>
          <c:tx>
            <c:strRef>
              <c:f>'MF_SM_Gráficos '!$Q$2</c:f>
              <c:strCache>
                <c:ptCount val="1"/>
                <c:pt idx="0">
                  <c:v>CPL</c:v>
                </c:pt>
              </c:strCache>
            </c:strRef>
          </c:tx>
          <c:spPr>
            <a:ln w="28575" cap="rnd">
              <a:solidFill>
                <a:srgbClr val="002060"/>
              </a:solidFill>
              <a:round/>
            </a:ln>
            <a:effectLst/>
          </c:spPr>
          <c:marker>
            <c:symbol val="none"/>
          </c:marker>
          <c:dPt>
            <c:idx val="23"/>
            <c:marker>
              <c:symbol val="circle"/>
              <c:size val="7"/>
              <c:spPr>
                <a:solidFill>
                  <a:srgbClr val="002060"/>
                </a:solidFill>
                <a:ln w="9525">
                  <a:solidFill>
                    <a:srgbClr val="002060"/>
                  </a:solidFill>
                </a:ln>
                <a:effectLst/>
              </c:spPr>
            </c:marker>
            <c:bubble3D val="0"/>
            <c:extLst xmlns:c16r2="http://schemas.microsoft.com/office/drawing/2015/06/chart">
              <c:ext xmlns:c16="http://schemas.microsoft.com/office/drawing/2014/chart" uri="{C3380CC4-5D6E-409C-BE32-E72D297353CC}">
                <c16:uniqueId val="{00000000-3AD0-44AB-8540-2F8BFA546AE7}"/>
              </c:ext>
            </c:extLst>
          </c:dPt>
          <c:cat>
            <c:numRef>
              <c:f>'MF_SM_Gráficos '!$N$3:$N$26</c:f>
              <c:numCache>
                <c:formatCode>mmm\-yy</c:formatCode>
                <c:ptCount val="24"/>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numCache>
            </c:numRef>
          </c:cat>
          <c:val>
            <c:numRef>
              <c:f>'MF_SM_Gráficos '!$Q$3:$Q$26</c:f>
              <c:numCache>
                <c:formatCode>_-* #,##0_-;\-* #,##0_-;_-* "-"??_-;_-@_-</c:formatCode>
                <c:ptCount val="24"/>
                <c:pt idx="0">
                  <c:v>17.137383553327815</c:v>
                </c:pt>
                <c:pt idx="1">
                  <c:v>17.005294189373327</c:v>
                </c:pt>
                <c:pt idx="2">
                  <c:v>16.89156624289706</c:v>
                </c:pt>
                <c:pt idx="3">
                  <c:v>16.961236350521446</c:v>
                </c:pt>
                <c:pt idx="4">
                  <c:v>16.953610330428511</c:v>
                </c:pt>
                <c:pt idx="5">
                  <c:v>16.828516809147168</c:v>
                </c:pt>
                <c:pt idx="6">
                  <c:v>17.5438707259556</c:v>
                </c:pt>
                <c:pt idx="7">
                  <c:v>17.061237788205908</c:v>
                </c:pt>
                <c:pt idx="8">
                  <c:v>16.965489790442838</c:v>
                </c:pt>
                <c:pt idx="9">
                  <c:v>17.874501076142941</c:v>
                </c:pt>
                <c:pt idx="10">
                  <c:v>17.746633144402132</c:v>
                </c:pt>
                <c:pt idx="11">
                  <c:v>18.756658581195911</c:v>
                </c:pt>
                <c:pt idx="12">
                  <c:v>18.110558931666837</c:v>
                </c:pt>
                <c:pt idx="13">
                  <c:v>17.98174133616061</c:v>
                </c:pt>
                <c:pt idx="14">
                  <c:v>18.098560746668795</c:v>
                </c:pt>
                <c:pt idx="15">
                  <c:v>18.738335663097118</c:v>
                </c:pt>
                <c:pt idx="16">
                  <c:v>18.753345760589042</c:v>
                </c:pt>
                <c:pt idx="17">
                  <c:v>18.878341143179085</c:v>
                </c:pt>
                <c:pt idx="18">
                  <c:v>19.300190566711724</c:v>
                </c:pt>
                <c:pt idx="19">
                  <c:v>18.977081034705972</c:v>
                </c:pt>
                <c:pt idx="20">
                  <c:v>19.432408905121189</c:v>
                </c:pt>
                <c:pt idx="21">
                  <c:v>19.04465264906246</c:v>
                </c:pt>
                <c:pt idx="22">
                  <c:v>19.128334420171917</c:v>
                </c:pt>
                <c:pt idx="23">
                  <c:v>20.485864997191719</c:v>
                </c:pt>
              </c:numCache>
            </c:numRef>
          </c:val>
          <c:smooth val="1"/>
          <c:extLst xmlns:c16r2="http://schemas.microsoft.com/office/drawing/2015/06/chart">
            <c:ext xmlns:c16="http://schemas.microsoft.com/office/drawing/2014/chart" uri="{C3380CC4-5D6E-409C-BE32-E72D297353CC}">
              <c16:uniqueId val="{00000001-3AD0-44AB-8540-2F8BFA546AE7}"/>
            </c:ext>
          </c:extLst>
        </c:ser>
        <c:ser>
          <c:idx val="1"/>
          <c:order val="1"/>
          <c:tx>
            <c:strRef>
              <c:f>'MF_SM_Gráficos '!$R$2</c:f>
              <c:strCache>
                <c:ptCount val="1"/>
                <c:pt idx="0">
                  <c:v>Promedio 2019</c:v>
                </c:pt>
              </c:strCache>
            </c:strRef>
          </c:tx>
          <c:spPr>
            <a:ln w="28575" cap="rnd">
              <a:solidFill>
                <a:schemeClr val="accent2"/>
              </a:solidFill>
              <a:round/>
            </a:ln>
            <a:effectLst/>
          </c:spPr>
          <c:marker>
            <c:symbol val="none"/>
          </c:marker>
          <c:dLbls>
            <c:dLbl>
              <c:idx val="5"/>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AD0-44AB-8540-2F8BFA546AE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E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'MF_SM_Gráficos '!$R$3:$R$14</c:f>
              <c:numCache>
                <c:formatCode>_(* #,##0.00_);_(* \(#,##0.00\);_(* "-"??_);_(@_)</c:formatCode>
                <c:ptCount val="12"/>
                <c:pt idx="0">
                  <c:v>17.310499881836723</c:v>
                </c:pt>
                <c:pt idx="1">
                  <c:v>17.310499881836723</c:v>
                </c:pt>
                <c:pt idx="2">
                  <c:v>17.310499881836723</c:v>
                </c:pt>
                <c:pt idx="3">
                  <c:v>17.310499881836723</c:v>
                </c:pt>
                <c:pt idx="4">
                  <c:v>17.310499881836723</c:v>
                </c:pt>
                <c:pt idx="5">
                  <c:v>17.310499881836723</c:v>
                </c:pt>
                <c:pt idx="6">
                  <c:v>17.310499881836723</c:v>
                </c:pt>
                <c:pt idx="7">
                  <c:v>17.310499881836723</c:v>
                </c:pt>
                <c:pt idx="8">
                  <c:v>17.310499881836723</c:v>
                </c:pt>
                <c:pt idx="9">
                  <c:v>17.310499881836723</c:v>
                </c:pt>
                <c:pt idx="10">
                  <c:v>17.310499881836723</c:v>
                </c:pt>
                <c:pt idx="11">
                  <c:v>17.310499881836723</c:v>
                </c:pt>
              </c:numCache>
            </c:numRef>
          </c:val>
          <c:smooth val="0"/>
          <c:extLst xmlns:c16r2="http://schemas.microsoft.com/office/drawing/2015/06/chart">
            <c:ext xmlns:c16="http://schemas.microsoft.com/office/drawing/2014/chart" uri="{C3380CC4-5D6E-409C-BE32-E72D297353CC}">
              <c16:uniqueId val="{00000003-3AD0-44AB-8540-2F8BFA546AE7}"/>
            </c:ext>
          </c:extLst>
        </c:ser>
        <c:ser>
          <c:idx val="2"/>
          <c:order val="2"/>
          <c:tx>
            <c:strRef>
              <c:f>'MF_SM_Gráficos '!$S$2</c:f>
              <c:strCache>
                <c:ptCount val="1"/>
                <c:pt idx="0">
                  <c:v>Promedio 2020</c:v>
                </c:pt>
              </c:strCache>
            </c:strRef>
          </c:tx>
          <c:spPr>
            <a:ln w="28575" cap="rnd">
              <a:solidFill>
                <a:schemeClr val="accent6"/>
              </a:solidFill>
              <a:round/>
            </a:ln>
            <a:effectLst/>
          </c:spPr>
          <c:marker>
            <c:symbol val="none"/>
          </c:marker>
          <c:dLbls>
            <c:dLbl>
              <c:idx val="17"/>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AD0-44AB-8540-2F8BFA546AE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es-ES"/>
              </a:p>
            </c:txPr>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'MF_SM_Gráficos '!$S$3:$S$26</c:f>
              <c:numCache>
                <c:formatCode>General</c:formatCode>
                <c:ptCount val="24"/>
                <c:pt idx="12" formatCode="_(* #,##0.00_);_(* \(#,##0.00\);_(* &quot;-&quot;??_);_(@_)">
                  <c:v>18.910784679527207</c:v>
                </c:pt>
                <c:pt idx="13" formatCode="_(* #,##0.00_);_(* \(#,##0.00\);_(* &quot;-&quot;??_);_(@_)">
                  <c:v>18.910784679527207</c:v>
                </c:pt>
                <c:pt idx="14" formatCode="_(* #,##0.00_);_(* \(#,##0.00\);_(* &quot;-&quot;??_);_(@_)">
                  <c:v>18.910784679527207</c:v>
                </c:pt>
                <c:pt idx="15" formatCode="_(* #,##0.00_);_(* \(#,##0.00\);_(* &quot;-&quot;??_);_(@_)">
                  <c:v>18.910784679527207</c:v>
                </c:pt>
                <c:pt idx="16" formatCode="_(* #,##0.00_);_(* \(#,##0.00\);_(* &quot;-&quot;??_);_(@_)">
                  <c:v>18.910784679527207</c:v>
                </c:pt>
                <c:pt idx="17" formatCode="_(* #,##0.00_);_(* \(#,##0.00\);_(* &quot;-&quot;??_);_(@_)">
                  <c:v>18.910784679527207</c:v>
                </c:pt>
                <c:pt idx="18" formatCode="_(* #,##0.00_);_(* \(#,##0.00\);_(* &quot;-&quot;??_);_(@_)">
                  <c:v>18.910784679527207</c:v>
                </c:pt>
                <c:pt idx="19" formatCode="_(* #,##0.00_);_(* \(#,##0.00\);_(* &quot;-&quot;??_);_(@_)">
                  <c:v>18.910784679527207</c:v>
                </c:pt>
                <c:pt idx="20" formatCode="_(* #,##0.00_);_(* \(#,##0.00\);_(* &quot;-&quot;??_);_(@_)">
                  <c:v>18.910784679527207</c:v>
                </c:pt>
                <c:pt idx="21" formatCode="_(* #,##0.00_);_(* \(#,##0.00\);_(* &quot;-&quot;??_);_(@_)">
                  <c:v>18.910784679527207</c:v>
                </c:pt>
                <c:pt idx="22" formatCode="_(* #,##0.00_);_(* \(#,##0.00\);_(* &quot;-&quot;??_);_(@_)">
                  <c:v>18.910784679527207</c:v>
                </c:pt>
                <c:pt idx="23" formatCode="_(* #,##0.00_);_(* \(#,##0.00\);_(* &quot;-&quot;??_);_(@_)">
                  <c:v>18.910784679527207</c:v>
                </c:pt>
              </c:numCache>
            </c:numRef>
          </c:val>
          <c:smooth val="0"/>
          <c:extLst xmlns:c16r2="http://schemas.microsoft.com/office/drawing/2015/06/chart">
            <c:ext xmlns:c16="http://schemas.microsoft.com/office/drawing/2014/chart" uri="{C3380CC4-5D6E-409C-BE32-E72D297353CC}">
              <c16:uniqueId val="{00000005-3AD0-44AB-8540-2F8BFA546AE7}"/>
            </c:ext>
          </c:extLst>
        </c:ser>
        <c:dLbls>
          <c:showLegendKey val="0"/>
          <c:showVal val="0"/>
          <c:showCatName val="0"/>
          <c:showSerName val="0"/>
          <c:showPercent val="0"/>
          <c:showBubbleSize val="0"/>
        </c:dLbls>
        <c:marker val="1"/>
        <c:smooth val="0"/>
        <c:axId val="164206848"/>
        <c:axId val="164220928"/>
      </c:lineChart>
      <c:dateAx>
        <c:axId val="16420684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4220928"/>
        <c:crosses val="autoZero"/>
        <c:auto val="1"/>
        <c:lblOffset val="100"/>
        <c:baseTimeUnit val="months"/>
        <c:majorUnit val="1"/>
        <c:majorTimeUnit val="months"/>
      </c:dateAx>
      <c:valAx>
        <c:axId val="164220928"/>
        <c:scaling>
          <c:orientation val="minMax"/>
          <c:min val="16"/>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4206848"/>
        <c:crosses val="autoZero"/>
        <c:crossBetween val="between"/>
        <c:majorUnit val="1"/>
      </c:valAx>
      <c:spPr>
        <a:noFill/>
        <a:ln>
          <a:noFill/>
        </a:ln>
        <a:effectLst/>
      </c:spPr>
    </c:plotArea>
    <c:legend>
      <c:legendPos val="b"/>
      <c:layout>
        <c:manualLayout>
          <c:xMode val="edge"/>
          <c:yMode val="edge"/>
          <c:x val="1.2900347222222219E-2"/>
          <c:y val="0.88864285714285718"/>
          <c:w val="0.96096979166666663"/>
          <c:h val="8.111904761904763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0555555555555555E-2"/>
          <c:y val="5.0925925925925923E-2"/>
          <c:w val="0.93888888888888888"/>
          <c:h val="0.68831656459609214"/>
        </c:manualLayout>
      </c:layout>
      <c:barChart>
        <c:barDir val="col"/>
        <c:grouping val="stacked"/>
        <c:varyColors val="0"/>
        <c:ser>
          <c:idx val="0"/>
          <c:order val="0"/>
          <c:tx>
            <c:strRef>
              <c:f>'MF_SM_Gráficos '!$C$58</c:f>
              <c:strCache>
                <c:ptCount val="1"/>
                <c:pt idx="0">
                  <c:v>Númerario en circulación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'MF_SM_Gráficos '!$A$60:$A$61</c:f>
              <c:numCache>
                <c:formatCode>General</c:formatCode>
                <c:ptCount val="2"/>
                <c:pt idx="0">
                  <c:v>2019</c:v>
                </c:pt>
                <c:pt idx="1">
                  <c:v>2020</c:v>
                </c:pt>
              </c:numCache>
            </c:numRef>
          </c:cat>
          <c:val>
            <c:numRef>
              <c:f>'MF_SM_Gráficos '!$C$60:$C$61</c:f>
              <c:numCache>
                <c:formatCode>_ * #,##0.0_ ;_ * \-#,##0.0_ ;_ * "-"??_ ;_ @_ </c:formatCode>
                <c:ptCount val="2"/>
                <c:pt idx="0">
                  <c:v>2.3608389558326284</c:v>
                </c:pt>
                <c:pt idx="1">
                  <c:v>4.3881755700838845</c:v>
                </c:pt>
              </c:numCache>
            </c:numRef>
          </c:val>
          <c:extLst xmlns:c16r2="http://schemas.microsoft.com/office/drawing/2015/06/chart">
            <c:ext xmlns:c16="http://schemas.microsoft.com/office/drawing/2014/chart" uri="{C3380CC4-5D6E-409C-BE32-E72D297353CC}">
              <c16:uniqueId val="{00000000-94AD-4A88-85AE-DEE181AD3BCF}"/>
            </c:ext>
          </c:extLst>
        </c:ser>
        <c:ser>
          <c:idx val="1"/>
          <c:order val="1"/>
          <c:tx>
            <c:strRef>
              <c:f>'MF_SM_Gráficos '!$D$58</c:f>
              <c:strCache>
                <c:ptCount val="1"/>
                <c:pt idx="0">
                  <c:v>Depósitos monetarios en MN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'MF_SM_Gráficos '!$A$60:$A$61</c:f>
              <c:numCache>
                <c:formatCode>General</c:formatCode>
                <c:ptCount val="2"/>
                <c:pt idx="0">
                  <c:v>2019</c:v>
                </c:pt>
                <c:pt idx="1">
                  <c:v>2020</c:v>
                </c:pt>
              </c:numCache>
            </c:numRef>
          </c:cat>
          <c:val>
            <c:numRef>
              <c:f>'MF_SM_Gráficos '!$D$60:$D$61</c:f>
              <c:numCache>
                <c:formatCode>_ * #,##0.0_ ;_ * \-#,##0.0_ ;_ * "-"??_ ;_ @_ </c:formatCode>
                <c:ptCount val="2"/>
                <c:pt idx="0">
                  <c:v>2.60754199684854</c:v>
                </c:pt>
                <c:pt idx="1">
                  <c:v>5.2306297791074039</c:v>
                </c:pt>
              </c:numCache>
            </c:numRef>
          </c:val>
          <c:extLst xmlns:c16r2="http://schemas.microsoft.com/office/drawing/2015/06/chart">
            <c:ext xmlns:c16="http://schemas.microsoft.com/office/drawing/2014/chart" uri="{C3380CC4-5D6E-409C-BE32-E72D297353CC}">
              <c16:uniqueId val="{00000001-94AD-4A88-85AE-DEE181AD3BCF}"/>
            </c:ext>
          </c:extLst>
        </c:ser>
        <c:ser>
          <c:idx val="2"/>
          <c:order val="2"/>
          <c:tx>
            <c:strRef>
              <c:f>'MF_SM_Gráficos '!$E$58</c:f>
              <c:strCache>
                <c:ptCount val="1"/>
                <c:pt idx="0">
                  <c:v>Depóstos monetarios en ME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'MF_SM_Gráficos '!$A$60:$A$61</c:f>
              <c:numCache>
                <c:formatCode>General</c:formatCode>
                <c:ptCount val="2"/>
                <c:pt idx="0">
                  <c:v>2019</c:v>
                </c:pt>
                <c:pt idx="1">
                  <c:v>2020</c:v>
                </c:pt>
              </c:numCache>
            </c:numRef>
          </c:cat>
          <c:val>
            <c:numRef>
              <c:f>'MF_SM_Gráficos '!$E$60:$E$61</c:f>
              <c:numCache>
                <c:formatCode>_ * #,##0.0_ ;_ * \-#,##0.0_ ;_ * "-"??_ ;_ @_ </c:formatCode>
                <c:ptCount val="2"/>
                <c:pt idx="0">
                  <c:v>-0.24504810926017101</c:v>
                </c:pt>
                <c:pt idx="1">
                  <c:v>2.2931103343370149</c:v>
                </c:pt>
              </c:numCache>
            </c:numRef>
          </c:val>
          <c:extLst xmlns:c16r2="http://schemas.microsoft.com/office/drawing/2015/06/chart">
            <c:ext xmlns:c16="http://schemas.microsoft.com/office/drawing/2014/chart" uri="{C3380CC4-5D6E-409C-BE32-E72D297353CC}">
              <c16:uniqueId val="{00000002-94AD-4A88-85AE-DEE181AD3BCF}"/>
            </c:ext>
          </c:extLst>
        </c:ser>
        <c:ser>
          <c:idx val="3"/>
          <c:order val="3"/>
          <c:tx>
            <c:strRef>
              <c:f>'MF_SM_Gráficos '!$F$58</c:f>
              <c:strCache>
                <c:ptCount val="1"/>
                <c:pt idx="0">
                  <c:v>Cuasidinero en MN</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'MF_SM_Gráficos '!$A$60:$A$61</c:f>
              <c:numCache>
                <c:formatCode>General</c:formatCode>
                <c:ptCount val="2"/>
                <c:pt idx="0">
                  <c:v>2019</c:v>
                </c:pt>
                <c:pt idx="1">
                  <c:v>2020</c:v>
                </c:pt>
              </c:numCache>
            </c:numRef>
          </c:cat>
          <c:val>
            <c:numRef>
              <c:f>'MF_SM_Gráficos '!$F$60:$F$61</c:f>
              <c:numCache>
                <c:formatCode>_ * #,##0.0_ ;_ * \-#,##0.0_ ;_ * "-"??_ ;_ @_ </c:formatCode>
                <c:ptCount val="2"/>
                <c:pt idx="0">
                  <c:v>4.8742074551523276</c:v>
                </c:pt>
                <c:pt idx="1">
                  <c:v>5.7573744796337261</c:v>
                </c:pt>
              </c:numCache>
            </c:numRef>
          </c:val>
          <c:extLst xmlns:c16r2="http://schemas.microsoft.com/office/drawing/2015/06/chart">
            <c:ext xmlns:c16="http://schemas.microsoft.com/office/drawing/2014/chart" uri="{C3380CC4-5D6E-409C-BE32-E72D297353CC}">
              <c16:uniqueId val="{00000003-94AD-4A88-85AE-DEE181AD3BCF}"/>
            </c:ext>
          </c:extLst>
        </c:ser>
        <c:ser>
          <c:idx val="4"/>
          <c:order val="4"/>
          <c:tx>
            <c:strRef>
              <c:f>'MF_SM_Gráficos '!$G$58</c:f>
              <c:strCache>
                <c:ptCount val="1"/>
                <c:pt idx="0">
                  <c:v>Cuasidinero en ME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'MF_SM_Gráficos '!$A$60:$A$61</c:f>
              <c:numCache>
                <c:formatCode>General</c:formatCode>
                <c:ptCount val="2"/>
                <c:pt idx="0">
                  <c:v>2019</c:v>
                </c:pt>
                <c:pt idx="1">
                  <c:v>2020</c:v>
                </c:pt>
              </c:numCache>
            </c:numRef>
          </c:cat>
          <c:val>
            <c:numRef>
              <c:f>'MF_SM_Gráficos '!$G$60:$G$61</c:f>
              <c:numCache>
                <c:formatCode>_ * #,##0.0_ ;_ * \-#,##0.0_ ;_ * "-"??_ ;_ @_ </c:formatCode>
                <c:ptCount val="2"/>
                <c:pt idx="0">
                  <c:v>0.20871841690804299</c:v>
                </c:pt>
                <c:pt idx="1">
                  <c:v>1.0316359013169167</c:v>
                </c:pt>
              </c:numCache>
            </c:numRef>
          </c:val>
          <c:extLst xmlns:c16r2="http://schemas.microsoft.com/office/drawing/2015/06/chart">
            <c:ext xmlns:c16="http://schemas.microsoft.com/office/drawing/2014/chart" uri="{C3380CC4-5D6E-409C-BE32-E72D297353CC}">
              <c16:uniqueId val="{00000004-94AD-4A88-85AE-DEE181AD3BCF}"/>
            </c:ext>
          </c:extLst>
        </c:ser>
        <c:dLbls>
          <c:showLegendKey val="0"/>
          <c:showVal val="0"/>
          <c:showCatName val="0"/>
          <c:showSerName val="0"/>
          <c:showPercent val="0"/>
          <c:showBubbleSize val="0"/>
        </c:dLbls>
        <c:gapWidth val="80"/>
        <c:overlap val="100"/>
        <c:axId val="164279040"/>
        <c:axId val="164280576"/>
      </c:barChart>
      <c:lineChart>
        <c:grouping val="standard"/>
        <c:varyColors val="0"/>
        <c:ser>
          <c:idx val="5"/>
          <c:order val="5"/>
          <c:tx>
            <c:strRef>
              <c:f>'MF_SM_Gráficos '!$B$58</c:f>
              <c:strCache>
                <c:ptCount val="1"/>
                <c:pt idx="0">
                  <c:v>Medios de pago</c:v>
                </c:pt>
              </c:strCache>
            </c:strRef>
          </c:tx>
          <c:spPr>
            <a:ln w="28575" cap="rnd">
              <a:noFill/>
              <a:round/>
            </a:ln>
            <a:effectLst/>
          </c:spPr>
          <c:marker>
            <c:symbol val="none"/>
          </c:marker>
          <c:dLbls>
            <c:dLbl>
              <c:idx val="0"/>
              <c:layout>
                <c:manualLayout>
                  <c:x val="-6.9270833333333337E-2"/>
                  <c:y val="-9.48729098783008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4AD-4A88-85AE-DEE181AD3BCF}"/>
                </c:ext>
              </c:extLst>
            </c:dLbl>
            <c:dLbl>
              <c:idx val="1"/>
              <c:layout>
                <c:manualLayout>
                  <c:x val="-7.1194444444444602E-2"/>
                  <c:y val="-4.85764039879353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4AD-4A88-85AE-DEE181AD3BCF}"/>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'MF_SM_Gráficos '!$B$60:$B$61</c:f>
              <c:numCache>
                <c:formatCode>_ * #,##0.0_ ;_ * \-#,##0.0_ ;_ * "-"??_ ;_ @_ </c:formatCode>
                <c:ptCount val="2"/>
                <c:pt idx="0">
                  <c:v>9.8062587154813752</c:v>
                </c:pt>
                <c:pt idx="1">
                  <c:v>18.700890180242922</c:v>
                </c:pt>
              </c:numCache>
            </c:numRef>
          </c:val>
          <c:smooth val="0"/>
          <c:extLst xmlns:c16r2="http://schemas.microsoft.com/office/drawing/2015/06/chart">
            <c:ext xmlns:c16="http://schemas.microsoft.com/office/drawing/2014/chart" uri="{C3380CC4-5D6E-409C-BE32-E72D297353CC}">
              <c16:uniqueId val="{00000007-94AD-4A88-85AE-DEE181AD3BCF}"/>
            </c:ext>
          </c:extLst>
        </c:ser>
        <c:dLbls>
          <c:showLegendKey val="0"/>
          <c:showVal val="0"/>
          <c:showCatName val="0"/>
          <c:showSerName val="0"/>
          <c:showPercent val="0"/>
          <c:showBubbleSize val="0"/>
        </c:dLbls>
        <c:marker val="1"/>
        <c:smooth val="0"/>
        <c:axId val="164279040"/>
        <c:axId val="164280576"/>
      </c:lineChart>
      <c:catAx>
        <c:axId val="1642790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4280576"/>
        <c:crosses val="autoZero"/>
        <c:auto val="1"/>
        <c:lblAlgn val="ctr"/>
        <c:lblOffset val="100"/>
        <c:noMultiLvlLbl val="0"/>
      </c:catAx>
      <c:valAx>
        <c:axId val="164280576"/>
        <c:scaling>
          <c:orientation val="minMax"/>
          <c:max val="22"/>
          <c:min val="-2"/>
        </c:scaling>
        <c:delete val="1"/>
        <c:axPos val="l"/>
        <c:numFmt formatCode="_ * #,##0.0_ ;_ * \-#,##0.0_ ;_ * &quot;-&quot;??_ ;_ @_ " sourceLinked="1"/>
        <c:majorTickMark val="out"/>
        <c:minorTickMark val="none"/>
        <c:tickLblPos val="nextTo"/>
        <c:crossAx val="164279040"/>
        <c:crosses val="autoZero"/>
        <c:crossBetween val="between"/>
      </c:valAx>
      <c:spPr>
        <a:noFill/>
        <a:ln>
          <a:noFill/>
        </a:ln>
        <a:effectLst/>
      </c:spPr>
    </c:plotArea>
    <c:legend>
      <c:legendPos val="b"/>
      <c:layout>
        <c:manualLayout>
          <c:xMode val="edge"/>
          <c:yMode val="edge"/>
          <c:x val="0"/>
          <c:y val="0.8327529892096821"/>
          <c:w val="1"/>
          <c:h val="0.139469233012540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15556236653582"/>
          <c:y val="5.6277363206125815E-2"/>
          <c:w val="0.80051799580525096"/>
          <c:h val="0.70312398527251674"/>
        </c:manualLayout>
      </c:layout>
      <c:barChart>
        <c:barDir val="col"/>
        <c:grouping val="clustered"/>
        <c:varyColors val="0"/>
        <c:ser>
          <c:idx val="0"/>
          <c:order val="0"/>
          <c:tx>
            <c:strRef>
              <c:f>'MF_SM_Gráficos '!$BQ$2</c:f>
              <c:strCache>
                <c:ptCount val="1"/>
                <c:pt idx="0">
                  <c:v>MN</c:v>
                </c:pt>
              </c:strCache>
            </c:strRef>
          </c:tx>
          <c:spPr>
            <a:solidFill>
              <a:schemeClr val="accent1"/>
            </a:solidFill>
            <a:ln>
              <a:noFill/>
            </a:ln>
            <a:effectLst/>
          </c:spPr>
          <c:invertIfNegative val="0"/>
          <c:cat>
            <c:numRef>
              <c:f>'MF_SM_Gráficos '!$N$15:$N$38</c:f>
              <c:numCache>
                <c:formatCode>mmm\-yy</c:formatCode>
                <c:ptCount val="24"/>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numCache>
            </c:numRef>
          </c:cat>
          <c:val>
            <c:numRef>
              <c:f>'MF_SM_Gráficos '!$BQ$15:$BQ$38</c:f>
              <c:numCache>
                <c:formatCode>_ * #,##0.0_ ;_ * \-#,##0.0_ ;_ * "-"??_ ;_ @_ </c:formatCode>
                <c:ptCount val="24"/>
                <c:pt idx="0">
                  <c:v>6.6007493638049697</c:v>
                </c:pt>
                <c:pt idx="1">
                  <c:v>6.9970255322139741</c:v>
                </c:pt>
                <c:pt idx="2">
                  <c:v>7.0615359873867689</c:v>
                </c:pt>
                <c:pt idx="3">
                  <c:v>8.7218856414746462</c:v>
                </c:pt>
                <c:pt idx="4">
                  <c:v>8.9217488176819728</c:v>
                </c:pt>
                <c:pt idx="5">
                  <c:v>8.8578756062441144</c:v>
                </c:pt>
                <c:pt idx="6">
                  <c:v>9.0328275284988546</c:v>
                </c:pt>
                <c:pt idx="7">
                  <c:v>8.6759783646913835</c:v>
                </c:pt>
                <c:pt idx="8">
                  <c:v>8.513329064703278</c:v>
                </c:pt>
                <c:pt idx="9">
                  <c:v>9.5992560903919397</c:v>
                </c:pt>
                <c:pt idx="10">
                  <c:v>9.3685042004795882</c:v>
                </c:pt>
                <c:pt idx="11">
                  <c:v>8.869455458596299</c:v>
                </c:pt>
                <c:pt idx="12">
                  <c:v>8.4903515462696468</c:v>
                </c:pt>
                <c:pt idx="13">
                  <c:v>8.7784406068542431</c:v>
                </c:pt>
                <c:pt idx="14">
                  <c:v>10.481251677841685</c:v>
                </c:pt>
                <c:pt idx="15">
                  <c:v>9.4637982793360109</c:v>
                </c:pt>
                <c:pt idx="16">
                  <c:v>9.5469900218159154</c:v>
                </c:pt>
                <c:pt idx="17">
                  <c:v>9.249356723250024</c:v>
                </c:pt>
                <c:pt idx="18">
                  <c:v>8.6731934990874393</c:v>
                </c:pt>
                <c:pt idx="19">
                  <c:v>8.2226716284846688</c:v>
                </c:pt>
                <c:pt idx="20">
                  <c:v>7.3986312762887474</c:v>
                </c:pt>
                <c:pt idx="21">
                  <c:v>7.7836729082132461</c:v>
                </c:pt>
                <c:pt idx="22">
                  <c:v>7.8188740386637257</c:v>
                </c:pt>
                <c:pt idx="23">
                  <c:v>7.8452505973809039</c:v>
                </c:pt>
              </c:numCache>
            </c:numRef>
          </c:val>
          <c:extLst xmlns:c16r2="http://schemas.microsoft.com/office/drawing/2015/06/chart">
            <c:ext xmlns:c16="http://schemas.microsoft.com/office/drawing/2014/chart" uri="{C3380CC4-5D6E-409C-BE32-E72D297353CC}">
              <c16:uniqueId val="{00000000-B846-45A1-A382-7D4B76D58461}"/>
            </c:ext>
          </c:extLst>
        </c:ser>
        <c:ser>
          <c:idx val="1"/>
          <c:order val="1"/>
          <c:tx>
            <c:strRef>
              <c:f>'MF_SM_Gráficos '!$BR$2</c:f>
              <c:strCache>
                <c:ptCount val="1"/>
                <c:pt idx="0">
                  <c:v>ME</c:v>
                </c:pt>
              </c:strCache>
            </c:strRef>
          </c:tx>
          <c:spPr>
            <a:solidFill>
              <a:schemeClr val="accent2"/>
            </a:solidFill>
            <a:ln>
              <a:noFill/>
            </a:ln>
            <a:effectLst/>
          </c:spPr>
          <c:invertIfNegative val="0"/>
          <c:cat>
            <c:numRef>
              <c:f>'MF_SM_Gráficos '!$N$15:$N$38</c:f>
              <c:numCache>
                <c:formatCode>mmm\-yy</c:formatCode>
                <c:ptCount val="24"/>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numCache>
            </c:numRef>
          </c:cat>
          <c:val>
            <c:numRef>
              <c:f>'MF_SM_Gráficos '!$BR$15:$BR$38</c:f>
              <c:numCache>
                <c:formatCode>_ * #,##0.0_ ;_ * \-#,##0.0_ ;_ * "-"??_ ;_ @_ </c:formatCode>
                <c:ptCount val="24"/>
                <c:pt idx="0">
                  <c:v>7.4537331684929375</c:v>
                </c:pt>
                <c:pt idx="1">
                  <c:v>8.7981777865132607</c:v>
                </c:pt>
                <c:pt idx="2">
                  <c:v>6.6237770958374353</c:v>
                </c:pt>
                <c:pt idx="3">
                  <c:v>5.4881829138528015</c:v>
                </c:pt>
                <c:pt idx="4">
                  <c:v>4.7625484203322355</c:v>
                </c:pt>
                <c:pt idx="5">
                  <c:v>4.2442965372350594</c:v>
                </c:pt>
                <c:pt idx="6">
                  <c:v>4.3779455929833455</c:v>
                </c:pt>
                <c:pt idx="7">
                  <c:v>4.3438715871192191</c:v>
                </c:pt>
                <c:pt idx="8">
                  <c:v>2.3812790812052675</c:v>
                </c:pt>
                <c:pt idx="9">
                  <c:v>0.4203724976386658</c:v>
                </c:pt>
                <c:pt idx="10">
                  <c:v>-0.23654019962467965</c:v>
                </c:pt>
                <c:pt idx="11">
                  <c:v>-1.3259848614421865</c:v>
                </c:pt>
                <c:pt idx="12">
                  <c:v>-0.86128705276057316</c:v>
                </c:pt>
                <c:pt idx="13">
                  <c:v>-0.71470769131887213</c:v>
                </c:pt>
                <c:pt idx="14">
                  <c:v>3.1244159906123059</c:v>
                </c:pt>
                <c:pt idx="15">
                  <c:v>4.4769216879392282</c:v>
                </c:pt>
                <c:pt idx="16">
                  <c:v>3.6179007328470902</c:v>
                </c:pt>
                <c:pt idx="17">
                  <c:v>4.4776666783462593</c:v>
                </c:pt>
                <c:pt idx="18">
                  <c:v>3.4219015073657433</c:v>
                </c:pt>
                <c:pt idx="19">
                  <c:v>3.2434772707566673</c:v>
                </c:pt>
                <c:pt idx="20">
                  <c:v>2.1192397970450472</c:v>
                </c:pt>
                <c:pt idx="21">
                  <c:v>3.2009078545820024</c:v>
                </c:pt>
                <c:pt idx="22">
                  <c:v>3.4896367042035914</c:v>
                </c:pt>
                <c:pt idx="23">
                  <c:v>4.4074491887972744</c:v>
                </c:pt>
              </c:numCache>
            </c:numRef>
          </c:val>
          <c:extLst xmlns:c16r2="http://schemas.microsoft.com/office/drawing/2015/06/chart">
            <c:ext xmlns:c16="http://schemas.microsoft.com/office/drawing/2014/chart" uri="{C3380CC4-5D6E-409C-BE32-E72D297353CC}">
              <c16:uniqueId val="{00000001-B846-45A1-A382-7D4B76D58461}"/>
            </c:ext>
          </c:extLst>
        </c:ser>
        <c:dLbls>
          <c:showLegendKey val="0"/>
          <c:showVal val="0"/>
          <c:showCatName val="0"/>
          <c:showSerName val="0"/>
          <c:showPercent val="0"/>
          <c:showBubbleSize val="0"/>
        </c:dLbls>
        <c:gapWidth val="100"/>
        <c:overlap val="30"/>
        <c:axId val="166736640"/>
        <c:axId val="166738176"/>
      </c:barChart>
      <c:lineChart>
        <c:grouping val="standard"/>
        <c:varyColors val="0"/>
        <c:ser>
          <c:idx val="2"/>
          <c:order val="2"/>
          <c:tx>
            <c:strRef>
              <c:f>'MF_SM_Gráficos '!$BS$2</c:f>
              <c:strCache>
                <c:ptCount val="1"/>
                <c:pt idx="0">
                  <c:v>Total</c:v>
                </c:pt>
              </c:strCache>
            </c:strRef>
          </c:tx>
          <c:spPr>
            <a:ln w="28575" cap="rnd">
              <a:solidFill>
                <a:schemeClr val="tx1"/>
              </a:solidFill>
              <a:round/>
            </a:ln>
            <a:effectLst/>
          </c:spPr>
          <c:marker>
            <c:symbol val="none"/>
          </c:marker>
          <c:dPt>
            <c:idx val="23"/>
            <c:marker>
              <c:symbol val="circle"/>
              <c:size val="7"/>
              <c:spPr>
                <a:solidFill>
                  <a:schemeClr val="tx1"/>
                </a:solidFill>
                <a:ln w="9525">
                  <a:noFill/>
                </a:ln>
                <a:effectLst/>
              </c:spPr>
            </c:marker>
            <c:bubble3D val="0"/>
            <c:extLst xmlns:c16r2="http://schemas.microsoft.com/office/drawing/2015/06/chart">
              <c:ext xmlns:c16="http://schemas.microsoft.com/office/drawing/2014/chart" uri="{C3380CC4-5D6E-409C-BE32-E72D297353CC}">
                <c16:uniqueId val="{00000002-B846-45A1-A382-7D4B76D58461}"/>
              </c:ext>
            </c:extLst>
          </c:dPt>
          <c:val>
            <c:numRef>
              <c:f>'MF_SM_Gráficos '!$BS$15:$BS$38</c:f>
              <c:numCache>
                <c:formatCode>_ * #,##0.0_ ;_ * \-#,##0.0_ ;_ * "-"??_ ;_ @_ </c:formatCode>
                <c:ptCount val="24"/>
                <c:pt idx="0">
                  <c:v>6.9265922689972337</c:v>
                </c:pt>
                <c:pt idx="1">
                  <c:v>7.683571952178947</c:v>
                </c:pt>
                <c:pt idx="2">
                  <c:v>6.8929784351561496</c:v>
                </c:pt>
                <c:pt idx="3">
                  <c:v>7.4678330411401594</c:v>
                </c:pt>
                <c:pt idx="4">
                  <c:v>7.3075807786985747</c:v>
                </c:pt>
                <c:pt idx="5">
                  <c:v>7.0673574720193422</c:v>
                </c:pt>
                <c:pt idx="6">
                  <c:v>7.232382418549288</c:v>
                </c:pt>
                <c:pt idx="7">
                  <c:v>7.008653541081511</c:v>
                </c:pt>
                <c:pt idx="8">
                  <c:v>6.1343271359733054</c:v>
                </c:pt>
                <c:pt idx="9">
                  <c:v>6.0532045543792989</c:v>
                </c:pt>
                <c:pt idx="10">
                  <c:v>5.6819635408323688</c:v>
                </c:pt>
                <c:pt idx="11">
                  <c:v>4.9407532510033603</c:v>
                </c:pt>
                <c:pt idx="12">
                  <c:v>4.9003802111957873</c:v>
                </c:pt>
                <c:pt idx="13">
                  <c:v>5.1224765721089582</c:v>
                </c:pt>
                <c:pt idx="14">
                  <c:v>7.6556614429169612</c:v>
                </c:pt>
                <c:pt idx="15">
                  <c:v>7.5654775044858846</c:v>
                </c:pt>
                <c:pt idx="16">
                  <c:v>7.3005101118953197</c:v>
                </c:pt>
                <c:pt idx="17">
                  <c:v>7.446304938227799</c:v>
                </c:pt>
                <c:pt idx="18">
                  <c:v>6.6961320289071757</c:v>
                </c:pt>
                <c:pt idx="19">
                  <c:v>6.3540206624875584</c:v>
                </c:pt>
                <c:pt idx="20">
                  <c:v>5.4228555062304284</c:v>
                </c:pt>
                <c:pt idx="21">
                  <c:v>6.1072607353215291</c:v>
                </c:pt>
                <c:pt idx="22">
                  <c:v>6.2503120919797928</c:v>
                </c:pt>
                <c:pt idx="23">
                  <c:v>6.5996393172197187</c:v>
                </c:pt>
              </c:numCache>
            </c:numRef>
          </c:val>
          <c:smooth val="1"/>
          <c:extLst xmlns:c16r2="http://schemas.microsoft.com/office/drawing/2015/06/chart">
            <c:ext xmlns:c16="http://schemas.microsoft.com/office/drawing/2014/chart" uri="{C3380CC4-5D6E-409C-BE32-E72D297353CC}">
              <c16:uniqueId val="{00000003-B846-45A1-A382-7D4B76D58461}"/>
            </c:ext>
          </c:extLst>
        </c:ser>
        <c:dLbls>
          <c:showLegendKey val="0"/>
          <c:showVal val="0"/>
          <c:showCatName val="0"/>
          <c:showSerName val="0"/>
          <c:showPercent val="0"/>
          <c:showBubbleSize val="0"/>
        </c:dLbls>
        <c:marker val="1"/>
        <c:smooth val="0"/>
        <c:axId val="166736640"/>
        <c:axId val="166738176"/>
      </c:lineChart>
      <c:dateAx>
        <c:axId val="166736640"/>
        <c:scaling>
          <c:orientation val="minMax"/>
        </c:scaling>
        <c:delete val="0"/>
        <c:axPos val="b"/>
        <c:numFmt formatCode="mmm\-yy"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6738176"/>
        <c:crosses val="autoZero"/>
        <c:auto val="1"/>
        <c:lblOffset val="100"/>
        <c:baseTimeUnit val="months"/>
        <c:majorUnit val="1"/>
        <c:majorTimeUnit val="months"/>
      </c:dateAx>
      <c:valAx>
        <c:axId val="166738176"/>
        <c:scaling>
          <c:orientation val="minMax"/>
          <c:max val="10"/>
          <c:min val="-2"/>
        </c:scaling>
        <c:delete val="0"/>
        <c:axPos val="l"/>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6736640"/>
        <c:crosses val="autoZero"/>
        <c:crossBetween val="between"/>
      </c:valAx>
      <c:spPr>
        <a:noFill/>
        <a:ln>
          <a:noFill/>
        </a:ln>
        <a:effectLst/>
      </c:spPr>
    </c:plotArea>
    <c:legend>
      <c:legendPos val="b"/>
      <c:layout>
        <c:manualLayout>
          <c:xMode val="edge"/>
          <c:yMode val="edge"/>
          <c:x val="0.20008980346670441"/>
          <c:y val="0.91419615621983707"/>
          <c:w val="0.59982039306659118"/>
          <c:h val="7.557159592450374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603391800047663E-2"/>
          <c:y val="5.6191141589207759E-2"/>
          <c:w val="0.90279321639990462"/>
          <c:h val="0.68493622888659078"/>
        </c:manualLayout>
      </c:layout>
      <c:barChart>
        <c:barDir val="col"/>
        <c:grouping val="clustered"/>
        <c:varyColors val="0"/>
        <c:ser>
          <c:idx val="0"/>
          <c:order val="0"/>
          <c:tx>
            <c:strRef>
              <c:f>MF_SE_Gráficos!$A$47</c:f>
              <c:strCache>
                <c:ptCount val="1"/>
                <c:pt idx="0">
                  <c:v>Crédito</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MF_SE_Gráficos!$B$46:$C$46</c:f>
              <c:strCache>
                <c:ptCount val="2"/>
                <c:pt idx="0">
                  <c:v>2019p</c:v>
                </c:pt>
                <c:pt idx="1">
                  <c:v>2019p</c:v>
                </c:pt>
              </c:strCache>
            </c:strRef>
          </c:cat>
          <c:val>
            <c:numRef>
              <c:f>MF_SE_Gráficos!$B$47:$C$47</c:f>
              <c:numCache>
                <c:formatCode>_ * #,##0_ ;_ * \-#,##0_ ;_ * "-"??_ ;_ @_ </c:formatCode>
                <c:ptCount val="2"/>
                <c:pt idx="0">
                  <c:v>479.12697000000003</c:v>
                </c:pt>
                <c:pt idx="1">
                  <c:v>392.19628999999998</c:v>
                </c:pt>
              </c:numCache>
            </c:numRef>
          </c:val>
          <c:extLst xmlns:c16r2="http://schemas.microsoft.com/office/drawing/2015/06/chart">
            <c:ext xmlns:c16="http://schemas.microsoft.com/office/drawing/2014/chart" uri="{C3380CC4-5D6E-409C-BE32-E72D297353CC}">
              <c16:uniqueId val="{00000000-B8EE-473C-A057-B8333FAE6A02}"/>
            </c:ext>
          </c:extLst>
        </c:ser>
        <c:ser>
          <c:idx val="1"/>
          <c:order val="1"/>
          <c:tx>
            <c:strRef>
              <c:f>MF_SE_Gráficos!$A$48</c:f>
              <c:strCache>
                <c:ptCount val="1"/>
                <c:pt idx="0">
                  <c:v>Débito</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MF_SE_Gráficos!$B$46:$C$46</c:f>
              <c:strCache>
                <c:ptCount val="2"/>
                <c:pt idx="0">
                  <c:v>2019p</c:v>
                </c:pt>
                <c:pt idx="1">
                  <c:v>2019p</c:v>
                </c:pt>
              </c:strCache>
            </c:strRef>
          </c:cat>
          <c:val>
            <c:numRef>
              <c:f>MF_SE_Gráficos!$B$48:$C$48</c:f>
              <c:numCache>
                <c:formatCode>_ * #,##0_ ;_ * \-#,##0_ ;_ * "-"??_ ;_ @_ </c:formatCode>
                <c:ptCount val="2"/>
                <c:pt idx="0">
                  <c:v>1571.9612999999999</c:v>
                </c:pt>
                <c:pt idx="1">
                  <c:v>1324.95308</c:v>
                </c:pt>
              </c:numCache>
            </c:numRef>
          </c:val>
          <c:extLst xmlns:c16r2="http://schemas.microsoft.com/office/drawing/2015/06/chart">
            <c:ext xmlns:c16="http://schemas.microsoft.com/office/drawing/2014/chart" uri="{C3380CC4-5D6E-409C-BE32-E72D297353CC}">
              <c16:uniqueId val="{00000001-B8EE-473C-A057-B8333FAE6A02}"/>
            </c:ext>
          </c:extLst>
        </c:ser>
        <c:ser>
          <c:idx val="2"/>
          <c:order val="2"/>
          <c:tx>
            <c:strRef>
              <c:f>MF_SE_Gráficos!$A$49</c:f>
              <c:strCache>
                <c:ptCount val="1"/>
                <c:pt idx="0">
                  <c:v>Saldo</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MF_SE_Gráficos!$B$46:$C$46</c:f>
              <c:strCache>
                <c:ptCount val="2"/>
                <c:pt idx="0">
                  <c:v>2019p</c:v>
                </c:pt>
                <c:pt idx="1">
                  <c:v>2019p</c:v>
                </c:pt>
              </c:strCache>
            </c:strRef>
          </c:cat>
          <c:val>
            <c:numRef>
              <c:f>MF_SE_Gráficos!$B$49:$C$49</c:f>
              <c:numCache>
                <c:formatCode>_ * #,##0_ ;_ * \-#,##0_ ;_ * "-"??_ ;_ @_ </c:formatCode>
                <c:ptCount val="2"/>
                <c:pt idx="0">
                  <c:v>-1092.8343299999999</c:v>
                </c:pt>
                <c:pt idx="1">
                  <c:v>-932.75679000000002</c:v>
                </c:pt>
              </c:numCache>
            </c:numRef>
          </c:val>
          <c:extLst xmlns:c16r2="http://schemas.microsoft.com/office/drawing/2015/06/chart">
            <c:ext xmlns:c16="http://schemas.microsoft.com/office/drawing/2014/chart" uri="{C3380CC4-5D6E-409C-BE32-E72D297353CC}">
              <c16:uniqueId val="{00000002-B8EE-473C-A057-B8333FAE6A02}"/>
            </c:ext>
          </c:extLst>
        </c:ser>
        <c:dLbls>
          <c:showLegendKey val="0"/>
          <c:showVal val="0"/>
          <c:showCatName val="0"/>
          <c:showSerName val="0"/>
          <c:showPercent val="0"/>
          <c:showBubbleSize val="0"/>
        </c:dLbls>
        <c:gapWidth val="219"/>
        <c:overlap val="-27"/>
        <c:axId val="166527360"/>
        <c:axId val="166528896"/>
      </c:barChart>
      <c:catAx>
        <c:axId val="1665273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6528896"/>
        <c:crosses val="autoZero"/>
        <c:auto val="1"/>
        <c:lblAlgn val="ctr"/>
        <c:lblOffset val="100"/>
        <c:noMultiLvlLbl val="0"/>
      </c:catAx>
      <c:valAx>
        <c:axId val="166528896"/>
        <c:scaling>
          <c:orientation val="minMax"/>
        </c:scaling>
        <c:delete val="1"/>
        <c:axPos val="l"/>
        <c:majorGridlines>
          <c:spPr>
            <a:ln w="9525" cap="flat" cmpd="sng" algn="ctr">
              <a:noFill/>
              <a:round/>
            </a:ln>
            <a:effectLst/>
          </c:spPr>
        </c:majorGridlines>
        <c:numFmt formatCode="_ * #,##0_ ;_ * \-#,##0_ ;_ * &quot;-&quot;??_ ;_ @_ " sourceLinked="1"/>
        <c:majorTickMark val="none"/>
        <c:minorTickMark val="none"/>
        <c:tickLblPos val="nextTo"/>
        <c:crossAx val="166527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MF_SE_Gráficos!$A$47</c:f>
              <c:strCache>
                <c:ptCount val="1"/>
                <c:pt idx="0">
                  <c:v>Crédito</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MF_SE_Gráficos!$D$46:$E$46</c:f>
              <c:strCache>
                <c:ptCount val="2"/>
                <c:pt idx="0">
                  <c:v>2019p</c:v>
                </c:pt>
                <c:pt idx="1">
                  <c:v>2019p</c:v>
                </c:pt>
              </c:strCache>
            </c:strRef>
          </c:cat>
          <c:val>
            <c:numRef>
              <c:f>MF_SE_Gráficos!$D$47:$E$47</c:f>
              <c:numCache>
                <c:formatCode>_ * #,##0_ ;_ * \-#,##0_ ;_ * "-"??_ ;_ @_ </c:formatCode>
                <c:ptCount val="2"/>
                <c:pt idx="0">
                  <c:v>1220.71759</c:v>
                </c:pt>
                <c:pt idx="1">
                  <c:v>296.56407999999999</c:v>
                </c:pt>
              </c:numCache>
            </c:numRef>
          </c:val>
          <c:extLst xmlns:c16r2="http://schemas.microsoft.com/office/drawing/2015/06/chart">
            <c:ext xmlns:c16="http://schemas.microsoft.com/office/drawing/2014/chart" uri="{C3380CC4-5D6E-409C-BE32-E72D297353CC}">
              <c16:uniqueId val="{00000000-FD62-4E9B-9E6F-44B11D4E68DE}"/>
            </c:ext>
          </c:extLst>
        </c:ser>
        <c:ser>
          <c:idx val="1"/>
          <c:order val="1"/>
          <c:tx>
            <c:strRef>
              <c:f>MF_SE_Gráficos!$A$48</c:f>
              <c:strCache>
                <c:ptCount val="1"/>
                <c:pt idx="0">
                  <c:v>Débito</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MF_SE_Gráficos!$D$46:$E$46</c:f>
              <c:strCache>
                <c:ptCount val="2"/>
                <c:pt idx="0">
                  <c:v>2019p</c:v>
                </c:pt>
                <c:pt idx="1">
                  <c:v>2019p</c:v>
                </c:pt>
              </c:strCache>
            </c:strRef>
          </c:cat>
          <c:val>
            <c:numRef>
              <c:f>MF_SE_Gráficos!$D$48:$E$48</c:f>
              <c:numCache>
                <c:formatCode>_ * #,##0_ ;_ * \-#,##0_ ;_ * "-"??_ ;_ @_ </c:formatCode>
                <c:ptCount val="2"/>
                <c:pt idx="0">
                  <c:v>814.23416999999995</c:v>
                </c:pt>
                <c:pt idx="1">
                  <c:v>256.35101000000003</c:v>
                </c:pt>
              </c:numCache>
            </c:numRef>
          </c:val>
          <c:extLst xmlns:c16r2="http://schemas.microsoft.com/office/drawing/2015/06/chart">
            <c:ext xmlns:c16="http://schemas.microsoft.com/office/drawing/2014/chart" uri="{C3380CC4-5D6E-409C-BE32-E72D297353CC}">
              <c16:uniqueId val="{00000001-FD62-4E9B-9E6F-44B11D4E68DE}"/>
            </c:ext>
          </c:extLst>
        </c:ser>
        <c:ser>
          <c:idx val="2"/>
          <c:order val="2"/>
          <c:tx>
            <c:strRef>
              <c:f>MF_SE_Gráficos!$A$49</c:f>
              <c:strCache>
                <c:ptCount val="1"/>
                <c:pt idx="0">
                  <c:v>Saldo</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MF_SE_Gráficos!$D$46:$E$46</c:f>
              <c:strCache>
                <c:ptCount val="2"/>
                <c:pt idx="0">
                  <c:v>2019p</c:v>
                </c:pt>
                <c:pt idx="1">
                  <c:v>2019p</c:v>
                </c:pt>
              </c:strCache>
            </c:strRef>
          </c:cat>
          <c:val>
            <c:numRef>
              <c:f>MF_SE_Gráficos!$D$49:$E$49</c:f>
              <c:numCache>
                <c:formatCode>_ * #,##0_ ;_ * \-#,##0_ ;_ * "-"??_ ;_ @_ </c:formatCode>
                <c:ptCount val="2"/>
                <c:pt idx="0">
                  <c:v>406.48342000000002</c:v>
                </c:pt>
                <c:pt idx="1">
                  <c:v>40.213069999999959</c:v>
                </c:pt>
              </c:numCache>
            </c:numRef>
          </c:val>
          <c:extLst xmlns:c16r2="http://schemas.microsoft.com/office/drawing/2015/06/chart">
            <c:ext xmlns:c16="http://schemas.microsoft.com/office/drawing/2014/chart" uri="{C3380CC4-5D6E-409C-BE32-E72D297353CC}">
              <c16:uniqueId val="{00000002-FD62-4E9B-9E6F-44B11D4E68DE}"/>
            </c:ext>
          </c:extLst>
        </c:ser>
        <c:dLbls>
          <c:showLegendKey val="0"/>
          <c:showVal val="0"/>
          <c:showCatName val="0"/>
          <c:showSerName val="0"/>
          <c:showPercent val="0"/>
          <c:showBubbleSize val="0"/>
        </c:dLbls>
        <c:gapWidth val="219"/>
        <c:overlap val="-27"/>
        <c:axId val="166569856"/>
        <c:axId val="166571392"/>
      </c:barChart>
      <c:catAx>
        <c:axId val="1665698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6571392"/>
        <c:crosses val="autoZero"/>
        <c:auto val="1"/>
        <c:lblAlgn val="ctr"/>
        <c:lblOffset val="100"/>
        <c:noMultiLvlLbl val="0"/>
      </c:catAx>
      <c:valAx>
        <c:axId val="166571392"/>
        <c:scaling>
          <c:orientation val="minMax"/>
        </c:scaling>
        <c:delete val="1"/>
        <c:axPos val="l"/>
        <c:majorGridlines>
          <c:spPr>
            <a:ln w="9525" cap="flat" cmpd="sng" algn="ctr">
              <a:noFill/>
              <a:round/>
            </a:ln>
            <a:effectLst/>
          </c:spPr>
        </c:majorGridlines>
        <c:numFmt formatCode="_ * #,##0_ ;_ * \-#,##0_ ;_ * &quot;-&quot;??_ ;_ @_ " sourceLinked="1"/>
        <c:majorTickMark val="none"/>
        <c:minorTickMark val="none"/>
        <c:tickLblPos val="nextTo"/>
        <c:crossAx val="16656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ITCR!$CH$3</c:f>
              <c:strCache>
                <c:ptCount val="1"/>
                <c:pt idx="0">
                  <c:v> US </c:v>
                </c:pt>
              </c:strCache>
            </c:strRef>
          </c:tx>
          <c:spPr>
            <a:ln w="28575" cap="rnd">
              <a:solidFill>
                <a:srgbClr val="002060"/>
              </a:solidFill>
              <a:round/>
            </a:ln>
            <a:effectLst/>
          </c:spPr>
          <c:marker>
            <c:symbol val="none"/>
          </c:marker>
          <c:cat>
            <c:numRef>
              <c:f>ITCR!$A$4:$A$50</c:f>
              <c:numCache>
                <c:formatCode>General</c:formatCode>
                <c:ptCount val="47"/>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pt idx="45">
                  <c:v>2025</c:v>
                </c:pt>
                <c:pt idx="46">
                  <c:v>2026</c:v>
                </c:pt>
              </c:numCache>
            </c:numRef>
          </c:cat>
          <c:val>
            <c:numRef>
              <c:f>ITCR!$CH$4:$CH$44</c:f>
              <c:numCache>
                <c:formatCode>_(* #,##0.0_);_(* \(#,##0.0\);_(* "-"?_);_(@_)</c:formatCode>
                <c:ptCount val="41"/>
                <c:pt idx="0">
                  <c:v>1</c:v>
                </c:pt>
                <c:pt idx="1">
                  <c:v>0.9961082951147735</c:v>
                </c:pt>
                <c:pt idx="2">
                  <c:v>1.0194494965521841</c:v>
                </c:pt>
                <c:pt idx="3">
                  <c:v>1.0307479391142669</c:v>
                </c:pt>
                <c:pt idx="4">
                  <c:v>1.0366825938806938</c:v>
                </c:pt>
                <c:pt idx="5">
                  <c:v>0.96569360386575975</c:v>
                </c:pt>
                <c:pt idx="6">
                  <c:v>1.1920911437217636</c:v>
                </c:pt>
                <c:pt idx="7">
                  <c:v>1.3240643732734323</c:v>
                </c:pt>
                <c:pt idx="8">
                  <c:v>1.2866762189817216</c:v>
                </c:pt>
                <c:pt idx="9">
                  <c:v>1.3001486451444018</c:v>
                </c:pt>
                <c:pt idx="10">
                  <c:v>1.4585764786313773</c:v>
                </c:pt>
                <c:pt idx="11">
                  <c:v>1.3469304867297978</c:v>
                </c:pt>
                <c:pt idx="12">
                  <c:v>1.3267798812066149</c:v>
                </c:pt>
                <c:pt idx="13">
                  <c:v>1.3199736698301621</c:v>
                </c:pt>
                <c:pt idx="14">
                  <c:v>1.2475127963554935</c:v>
                </c:pt>
                <c:pt idx="15">
                  <c:v>1.2205659277520351</c:v>
                </c:pt>
                <c:pt idx="16">
                  <c:v>1.2049497368944209</c:v>
                </c:pt>
                <c:pt idx="17">
                  <c:v>1.1695024334247741</c:v>
                </c:pt>
                <c:pt idx="18">
                  <c:v>1.1826742534805974</c:v>
                </c:pt>
                <c:pt idx="19">
                  <c:v>1.2719805837273683</c:v>
                </c:pt>
                <c:pt idx="20">
                  <c:v>1.2374248580613161</c:v>
                </c:pt>
                <c:pt idx="21">
                  <c:v>1.1839744991034591</c:v>
                </c:pt>
                <c:pt idx="22">
                  <c:v>1.211333379146736</c:v>
                </c:pt>
                <c:pt idx="23">
                  <c:v>1.1960687831082701</c:v>
                </c:pt>
                <c:pt idx="24">
                  <c:v>1.1591940537659946</c:v>
                </c:pt>
                <c:pt idx="25">
                  <c:v>1.0953384184518415</c:v>
                </c:pt>
                <c:pt idx="26">
                  <c:v>1.0696559207627432</c:v>
                </c:pt>
                <c:pt idx="27">
                  <c:v>1.0505466470611315</c:v>
                </c:pt>
                <c:pt idx="28">
                  <c:v>1.0056527706233178</c:v>
                </c:pt>
                <c:pt idx="29">
                  <c:v>1.0342558409193441</c:v>
                </c:pt>
                <c:pt idx="30">
                  <c:v>1.0156024109480561</c:v>
                </c:pt>
                <c:pt idx="31">
                  <c:v>0.9833527091233476</c:v>
                </c:pt>
                <c:pt idx="32">
                  <c:v>0.97857195731143409</c:v>
                </c:pt>
                <c:pt idx="33">
                  <c:v>0.96722617923176113</c:v>
                </c:pt>
                <c:pt idx="34">
                  <c:v>0.95053707065503068</c:v>
                </c:pt>
                <c:pt idx="35">
                  <c:v>0.93861349371842495</c:v>
                </c:pt>
                <c:pt idx="36">
                  <c:v>0.92213266489152768</c:v>
                </c:pt>
                <c:pt idx="37">
                  <c:v>0.89490744635388675</c:v>
                </c:pt>
                <c:pt idx="38">
                  <c:v>0.89980110973120953</c:v>
                </c:pt>
                <c:pt idx="39">
                  <c:v>0.90709932243389968</c:v>
                </c:pt>
                <c:pt idx="40">
                  <c:v>0.9004113692456388</c:v>
                </c:pt>
              </c:numCache>
            </c:numRef>
          </c:val>
          <c:smooth val="0"/>
          <c:extLst xmlns:c16r2="http://schemas.microsoft.com/office/drawing/2015/06/chart">
            <c:ext xmlns:c16="http://schemas.microsoft.com/office/drawing/2014/chart" uri="{C3380CC4-5D6E-409C-BE32-E72D297353CC}">
              <c16:uniqueId val="{00000000-C311-469A-8540-F6D4124C2401}"/>
            </c:ext>
          </c:extLst>
        </c:ser>
        <c:dLbls>
          <c:showLegendKey val="0"/>
          <c:showVal val="0"/>
          <c:showCatName val="0"/>
          <c:showSerName val="0"/>
          <c:showPercent val="0"/>
          <c:showBubbleSize val="0"/>
        </c:dLbls>
        <c:marker val="1"/>
        <c:smooth val="0"/>
        <c:axId val="166609664"/>
        <c:axId val="166611200"/>
      </c:lineChart>
      <c:catAx>
        <c:axId val="16660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6611200"/>
        <c:crosses val="autoZero"/>
        <c:auto val="1"/>
        <c:lblAlgn val="ctr"/>
        <c:lblOffset val="100"/>
        <c:noMultiLvlLbl val="0"/>
      </c:catAx>
      <c:valAx>
        <c:axId val="166611200"/>
        <c:scaling>
          <c:orientation val="minMax"/>
          <c:min val="0.5"/>
        </c:scaling>
        <c:delete val="0"/>
        <c:axPos val="l"/>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66096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ITCR!$ER$3</c:f>
              <c:strCache>
                <c:ptCount val="1"/>
                <c:pt idx="0">
                  <c:v> Tipo de cambio relativo inverso </c:v>
                </c:pt>
              </c:strCache>
            </c:strRef>
          </c:tx>
          <c:spPr>
            <a:solidFill>
              <a:srgbClr val="C00000"/>
            </a:solidFill>
            <a:ln>
              <a:noFill/>
            </a:ln>
            <a:effectLst/>
          </c:spPr>
          <c:invertIfNegative val="0"/>
          <c:cat>
            <c:numRef>
              <c:f>ITCR!$EO$28:$EO$44</c:f>
              <c:numCache>
                <c:formatCode>0</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ITCR!$ER$28:$ER$44</c:f>
              <c:numCache>
                <c:formatCode>0%</c:formatCode>
                <c:ptCount val="17"/>
                <c:pt idx="0">
                  <c:v>-4.7054140093790497E-2</c:v>
                </c:pt>
                <c:pt idx="1">
                  <c:v>-9.8951998169265698E-2</c:v>
                </c:pt>
                <c:pt idx="2">
                  <c:v>-0.14142369350971906</c:v>
                </c:pt>
                <c:pt idx="3">
                  <c:v>-6.9762230514333168E-2</c:v>
                </c:pt>
                <c:pt idx="4">
                  <c:v>-6.833981414939283E-2</c:v>
                </c:pt>
                <c:pt idx="5">
                  <c:v>3.3421615150364903E-2</c:v>
                </c:pt>
                <c:pt idx="6">
                  <c:v>-1.5282896653091682E-2</c:v>
                </c:pt>
                <c:pt idx="7">
                  <c:v>1.401172967207398E-2</c:v>
                </c:pt>
                <c:pt idx="8">
                  <c:v>-5.2200438615820355E-2</c:v>
                </c:pt>
                <c:pt idx="9">
                  <c:v>-1.8390138059609651E-4</c:v>
                </c:pt>
                <c:pt idx="10">
                  <c:v>5.7999321834447115E-2</c:v>
                </c:pt>
                <c:pt idx="11" formatCode="_-* #,##0.0_-;\-* #,##0.0_-;_-* &quot;-&quot;?_-;_-@_-">
                  <c:v>-0.12892068272438595</c:v>
                </c:pt>
                <c:pt idx="12">
                  <c:v>-3.2645302925326969E-2</c:v>
                </c:pt>
                <c:pt idx="13">
                  <c:v>-4.8743526435617301E-3</c:v>
                </c:pt>
                <c:pt idx="14">
                  <c:v>-1.9967565680585331E-3</c:v>
                </c:pt>
                <c:pt idx="15">
                  <c:v>-4.9373731923552655E-2</c:v>
                </c:pt>
                <c:pt idx="16" formatCode="0.0%">
                  <c:v>-1.1696142761659534E-2</c:v>
                </c:pt>
              </c:numCache>
            </c:numRef>
          </c:val>
          <c:extLst xmlns:c16r2="http://schemas.microsoft.com/office/drawing/2015/06/chart">
            <c:ext xmlns:c16="http://schemas.microsoft.com/office/drawing/2014/chart" uri="{C3380CC4-5D6E-409C-BE32-E72D297353CC}">
              <c16:uniqueId val="{00000000-087D-4D3A-8CA1-22196E37B20A}"/>
            </c:ext>
          </c:extLst>
        </c:ser>
        <c:ser>
          <c:idx val="1"/>
          <c:order val="1"/>
          <c:tx>
            <c:strRef>
              <c:f>ITCR!$ES$3</c:f>
              <c:strCache>
                <c:ptCount val="1"/>
                <c:pt idx="0">
                  <c:v> Precios relativos </c:v>
                </c:pt>
              </c:strCache>
            </c:strRef>
          </c:tx>
          <c:spPr>
            <a:solidFill>
              <a:schemeClr val="accent5"/>
            </a:solidFill>
            <a:ln>
              <a:noFill/>
            </a:ln>
            <a:effectLst/>
          </c:spPr>
          <c:invertIfNegative val="0"/>
          <c:cat>
            <c:numRef>
              <c:f>ITCR!$EO$28:$EO$44</c:f>
              <c:numCache>
                <c:formatCode>0</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ITCR!$ES$28:$ES$44</c:f>
              <c:numCache>
                <c:formatCode>0%</c:formatCode>
                <c:ptCount val="17"/>
                <c:pt idx="0">
                  <c:v>-1.324275808689479E-2</c:v>
                </c:pt>
                <c:pt idx="1">
                  <c:v>1.1465766268074273E-2</c:v>
                </c:pt>
                <c:pt idx="2">
                  <c:v>8.0265151636033205E-2</c:v>
                </c:pt>
                <c:pt idx="3">
                  <c:v>5.1196467821714275E-2</c:v>
                </c:pt>
                <c:pt idx="4">
                  <c:v>1.0527936125621196E-2</c:v>
                </c:pt>
                <c:pt idx="5">
                  <c:v>1.2132715369177149E-2</c:v>
                </c:pt>
                <c:pt idx="6">
                  <c:v>-9.6303737957240676E-3</c:v>
                </c:pt>
                <c:pt idx="7">
                  <c:v>-6.5092677679543409E-2</c:v>
                </c:pt>
                <c:pt idx="8">
                  <c:v>2.6270608256305783E-2</c:v>
                </c:pt>
                <c:pt idx="9">
                  <c:v>-3.1065456150770276E-2</c:v>
                </c:pt>
                <c:pt idx="10">
                  <c:v>-9.9298648175687343E-2</c:v>
                </c:pt>
                <c:pt idx="11">
                  <c:v>7.0502419644366321E-2</c:v>
                </c:pt>
                <c:pt idx="12">
                  <c:v>-2.6877317246486343E-2</c:v>
                </c:pt>
                <c:pt idx="13">
                  <c:v>-5.5938890983619816E-2</c:v>
                </c:pt>
                <c:pt idx="14">
                  <c:v>9.7868522956542359E-3</c:v>
                </c:pt>
                <c:pt idx="15">
                  <c:v>4.0327231415687392E-2</c:v>
                </c:pt>
                <c:pt idx="16" formatCode="0.0%">
                  <c:v>-1.6799447005982571E-2</c:v>
                </c:pt>
              </c:numCache>
            </c:numRef>
          </c:val>
          <c:extLst xmlns:c16r2="http://schemas.microsoft.com/office/drawing/2015/06/chart">
            <c:ext xmlns:c16="http://schemas.microsoft.com/office/drawing/2014/chart" uri="{C3380CC4-5D6E-409C-BE32-E72D297353CC}">
              <c16:uniqueId val="{00000001-087D-4D3A-8CA1-22196E37B20A}"/>
            </c:ext>
          </c:extLst>
        </c:ser>
        <c:dLbls>
          <c:showLegendKey val="0"/>
          <c:showVal val="0"/>
          <c:showCatName val="0"/>
          <c:showSerName val="0"/>
          <c:showPercent val="0"/>
          <c:showBubbleSize val="0"/>
        </c:dLbls>
        <c:gapWidth val="150"/>
        <c:overlap val="100"/>
        <c:axId val="166642816"/>
        <c:axId val="166644352"/>
      </c:barChart>
      <c:lineChart>
        <c:grouping val="standard"/>
        <c:varyColors val="0"/>
        <c:ser>
          <c:idx val="2"/>
          <c:order val="2"/>
          <c:tx>
            <c:strRef>
              <c:f>ITCR!$EW$3</c:f>
              <c:strCache>
                <c:ptCount val="1"/>
                <c:pt idx="0">
                  <c:v> Ap. o dep. del ITCR </c:v>
                </c:pt>
              </c:strCache>
            </c:strRef>
          </c:tx>
          <c:spPr>
            <a:ln w="28575" cap="rnd">
              <a:solidFill>
                <a:schemeClr val="accent4"/>
              </a:solidFill>
              <a:round/>
            </a:ln>
            <a:effectLst/>
          </c:spPr>
          <c:marker>
            <c:symbol val="none"/>
          </c:marker>
          <c:val>
            <c:numRef>
              <c:f>ITCR!$EW$28:$EW$44</c:f>
              <c:numCache>
                <c:formatCode>0.0%</c:formatCode>
                <c:ptCount val="17"/>
                <c:pt idx="0">
                  <c:v>-5.8515033088934354E-2</c:v>
                </c:pt>
                <c:pt idx="1">
                  <c:v>-8.3768513670327449E-2</c:v>
                </c:pt>
                <c:pt idx="2">
                  <c:v>-5.9325908279812989E-2</c:v>
                </c:pt>
                <c:pt idx="3">
                  <c:v>-1.8394480552893833E-2</c:v>
                </c:pt>
                <c:pt idx="4">
                  <c:v>-5.6172514571346421E-2</c:v>
                </c:pt>
                <c:pt idx="5">
                  <c:v>4.6607865818391936E-2</c:v>
                </c:pt>
                <c:pt idx="6">
                  <c:v>-2.4605496112477421E-2</c:v>
                </c:pt>
                <c:pt idx="7">
                  <c:v>-4.9798249519188986E-2</c:v>
                </c:pt>
                <c:pt idx="8">
                  <c:v>-2.5596539249539196E-2</c:v>
                </c:pt>
                <c:pt idx="9">
                  <c:v>-3.076614282150425E-2</c:v>
                </c:pt>
                <c:pt idx="10">
                  <c:v>-4.0458129199624659E-2</c:v>
                </c:pt>
                <c:pt idx="11">
                  <c:v>-5.6744663965233588E-2</c:v>
                </c:pt>
                <c:pt idx="12">
                  <c:v>-5.7785779697372308E-2</c:v>
                </c:pt>
                <c:pt idx="13">
                  <c:v>-5.9001039080255335E-2</c:v>
                </c:pt>
                <c:pt idx="14">
                  <c:v>7.8205174680996414E-3</c:v>
                </c:pt>
                <c:pt idx="15">
                  <c:v>-9.0057040365989494E-3</c:v>
                </c:pt>
                <c:pt idx="16">
                  <c:v>-2.8093419529465091E-2</c:v>
                </c:pt>
              </c:numCache>
            </c:numRef>
          </c:val>
          <c:smooth val="0"/>
          <c:extLst xmlns:c16r2="http://schemas.microsoft.com/office/drawing/2015/06/chart">
            <c:ext xmlns:c16="http://schemas.microsoft.com/office/drawing/2014/chart" uri="{C3380CC4-5D6E-409C-BE32-E72D297353CC}">
              <c16:uniqueId val="{00000002-087D-4D3A-8CA1-22196E37B20A}"/>
            </c:ext>
          </c:extLst>
        </c:ser>
        <c:dLbls>
          <c:showLegendKey val="0"/>
          <c:showVal val="0"/>
          <c:showCatName val="0"/>
          <c:showSerName val="0"/>
          <c:showPercent val="0"/>
          <c:showBubbleSize val="0"/>
        </c:dLbls>
        <c:marker val="1"/>
        <c:smooth val="0"/>
        <c:axId val="166642816"/>
        <c:axId val="166644352"/>
      </c:lineChart>
      <c:catAx>
        <c:axId val="166642816"/>
        <c:scaling>
          <c:orientation val="minMax"/>
        </c:scaling>
        <c:delete val="0"/>
        <c:axPos val="b"/>
        <c:numFmt formatCode="0"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6644352"/>
        <c:crosses val="autoZero"/>
        <c:auto val="1"/>
        <c:lblAlgn val="ctr"/>
        <c:lblOffset val="100"/>
        <c:noMultiLvlLbl val="0"/>
      </c:catAx>
      <c:valAx>
        <c:axId val="166644352"/>
        <c:scaling>
          <c:orientation val="minMax"/>
          <c:min val="-0.15000000000000002"/>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6642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891294838145234E-2"/>
          <c:y val="2.8884172087184756E-2"/>
          <c:w val="0.91992169728783901"/>
          <c:h val="0.87355563163300243"/>
        </c:manualLayout>
      </c:layout>
      <c:barChart>
        <c:barDir val="col"/>
        <c:grouping val="clustered"/>
        <c:varyColors val="0"/>
        <c:ser>
          <c:idx val="0"/>
          <c:order val="0"/>
          <c:spPr>
            <a:solidFill>
              <a:schemeClr val="accent1">
                <a:lumMod val="60000"/>
                <a:lumOff val="40000"/>
              </a:schemeClr>
            </a:solidFill>
            <a:ln>
              <a:noFill/>
            </a:ln>
            <a:effectLst/>
          </c:spPr>
          <c:invertIfNegative val="0"/>
          <c:dPt>
            <c:idx val="10"/>
            <c:invertIfNegative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01-ECBA-42B6-B1EC-DD87035EE2D8}"/>
              </c:ext>
            </c:extLst>
          </c:dPt>
          <c:dLbls>
            <c:dLbl>
              <c:idx val="10"/>
              <c:layout>
                <c:manualLayout>
                  <c:x val="-5.8333333333333535E-2"/>
                  <c:y val="6.94444444444446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CBA-42B6-B1EC-DD87035EE2D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Hoja3!$D$52:$D$62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Hoja3!$E$52:$E$62</c:f>
              <c:numCache>
                <c:formatCode>General</c:formatCode>
                <c:ptCount val="11"/>
                <c:pt idx="0">
                  <c:v>2.2000000000000002</c:v>
                </c:pt>
                <c:pt idx="1">
                  <c:v>1.7</c:v>
                </c:pt>
                <c:pt idx="2">
                  <c:v>-0.9</c:v>
                </c:pt>
                <c:pt idx="3">
                  <c:v>-0.3</c:v>
                </c:pt>
                <c:pt idx="4">
                  <c:v>1.4</c:v>
                </c:pt>
                <c:pt idx="5">
                  <c:v>2</c:v>
                </c:pt>
                <c:pt idx="6">
                  <c:v>1.9</c:v>
                </c:pt>
                <c:pt idx="7">
                  <c:v>2.6</c:v>
                </c:pt>
                <c:pt idx="8">
                  <c:v>1.9</c:v>
                </c:pt>
                <c:pt idx="9">
                  <c:v>1.3</c:v>
                </c:pt>
                <c:pt idx="10">
                  <c:v>-6.8</c:v>
                </c:pt>
              </c:numCache>
            </c:numRef>
          </c:val>
          <c:extLst xmlns:c16r2="http://schemas.microsoft.com/office/drawing/2015/06/chart">
            <c:ext xmlns:c16="http://schemas.microsoft.com/office/drawing/2014/chart" uri="{C3380CC4-5D6E-409C-BE32-E72D297353CC}">
              <c16:uniqueId val="{00000002-ECBA-42B6-B1EC-DD87035EE2D8}"/>
            </c:ext>
          </c:extLst>
        </c:ser>
        <c:dLbls>
          <c:showLegendKey val="0"/>
          <c:showVal val="0"/>
          <c:showCatName val="0"/>
          <c:showSerName val="0"/>
          <c:showPercent val="0"/>
          <c:showBubbleSize val="0"/>
        </c:dLbls>
        <c:gapWidth val="60"/>
        <c:overlap val="-27"/>
        <c:axId val="43854464"/>
        <c:axId val="43856256"/>
      </c:barChart>
      <c:catAx>
        <c:axId val="438544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43856256"/>
        <c:crosses val="autoZero"/>
        <c:auto val="1"/>
        <c:lblAlgn val="ctr"/>
        <c:lblOffset val="100"/>
        <c:noMultiLvlLbl val="0"/>
      </c:catAx>
      <c:valAx>
        <c:axId val="43856256"/>
        <c:scaling>
          <c:orientation val="minMax"/>
          <c:max val="5"/>
          <c:min val="-7"/>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43854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21293158592541E-2"/>
          <c:y val="5.5436626935465937E-2"/>
          <c:w val="0.8516624316888487"/>
          <c:h val="0.83376142265306874"/>
        </c:manualLayout>
      </c:layout>
      <c:barChart>
        <c:barDir val="col"/>
        <c:grouping val="clustered"/>
        <c:varyColors val="0"/>
        <c:ser>
          <c:idx val="0"/>
          <c:order val="0"/>
          <c:tx>
            <c:strRef>
              <c:f>MF_SE_Gráficos!$D$61</c:f>
              <c:strCache>
                <c:ptCount val="1"/>
                <c:pt idx="0">
                  <c:v>Remesas</c:v>
                </c:pt>
              </c:strCache>
            </c:strRef>
          </c:tx>
          <c:spPr>
            <a:solidFill>
              <a:schemeClr val="accent5"/>
            </a:solidFill>
            <a:ln>
              <a:noFill/>
            </a:ln>
            <a:effectLst/>
          </c:spPr>
          <c:invertIfNegative val="0"/>
          <c:dPt>
            <c:idx val="7"/>
            <c:invertIfNegative val="0"/>
            <c:bubble3D val="0"/>
            <c:extLst xmlns:c16r2="http://schemas.microsoft.com/office/drawing/2015/06/chart">
              <c:ext xmlns:c16="http://schemas.microsoft.com/office/drawing/2014/chart" uri="{C3380CC4-5D6E-409C-BE32-E72D297353CC}">
                <c16:uniqueId val="{00000000-25ED-405B-A4AA-CDBE4ECDC8CE}"/>
              </c:ext>
            </c:extLst>
          </c:dPt>
          <c:dLbls>
            <c:spPr>
              <a:noFill/>
              <a:ln>
                <a:noFill/>
              </a:ln>
              <a:effectLst/>
            </c:spPr>
            <c:txPr>
              <a:bodyPr rot="0" spcFirstLastPara="1" vertOverflow="ellipsis" vert="horz" wrap="square" anchor="ctr" anchorCtr="1"/>
              <a:lstStyle/>
              <a:p>
                <a:pPr>
                  <a:defRPr sz="1050" b="1"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MF_SE_Gráficos!$A$63:$A$70</c:f>
              <c:numCache>
                <c:formatCode>General</c:formatCode>
                <c:ptCount val="8"/>
                <c:pt idx="0">
                  <c:v>2013</c:v>
                </c:pt>
                <c:pt idx="1">
                  <c:v>2014</c:v>
                </c:pt>
                <c:pt idx="2">
                  <c:v>2015</c:v>
                </c:pt>
                <c:pt idx="3">
                  <c:v>2016</c:v>
                </c:pt>
                <c:pt idx="4">
                  <c:v>2017</c:v>
                </c:pt>
                <c:pt idx="5">
                  <c:v>2018</c:v>
                </c:pt>
                <c:pt idx="6">
                  <c:v>2019</c:v>
                </c:pt>
                <c:pt idx="7">
                  <c:v>2020</c:v>
                </c:pt>
              </c:numCache>
            </c:numRef>
          </c:cat>
          <c:val>
            <c:numRef>
              <c:f>MF_SE_Gráficos!$C$63:$C$70</c:f>
              <c:numCache>
                <c:formatCode>_ * #,##0.0_ ;_ * \-#,##0.0_ ;_ * "-"??_ ;_ @_ </c:formatCode>
                <c:ptCount val="8"/>
                <c:pt idx="0">
                  <c:v>9.6327481879514849</c:v>
                </c:pt>
                <c:pt idx="1">
                  <c:v>9.5816210917427114</c:v>
                </c:pt>
                <c:pt idx="2">
                  <c:v>10.105918298313728</c:v>
                </c:pt>
                <c:pt idx="3">
                  <c:v>10.837651017497745</c:v>
                </c:pt>
                <c:pt idx="4">
                  <c:v>11.432970955244109</c:v>
                </c:pt>
                <c:pt idx="5">
                  <c:v>12.688739901660789</c:v>
                </c:pt>
                <c:pt idx="6">
                  <c:v>13.642701922993369</c:v>
                </c:pt>
                <c:pt idx="7">
                  <c:v>14.265794802172344</c:v>
                </c:pt>
              </c:numCache>
            </c:numRef>
          </c:val>
          <c:extLst xmlns:c16r2="http://schemas.microsoft.com/office/drawing/2015/06/chart">
            <c:ext xmlns:c16="http://schemas.microsoft.com/office/drawing/2014/chart" uri="{C3380CC4-5D6E-409C-BE32-E72D297353CC}">
              <c16:uniqueId val="{00000001-25ED-405B-A4AA-CDBE4ECDC8CE}"/>
            </c:ext>
          </c:extLst>
        </c:ser>
        <c:dLbls>
          <c:showLegendKey val="0"/>
          <c:showVal val="0"/>
          <c:showCatName val="0"/>
          <c:showSerName val="0"/>
          <c:showPercent val="0"/>
          <c:showBubbleSize val="0"/>
        </c:dLbls>
        <c:gapWidth val="80"/>
        <c:axId val="166686720"/>
        <c:axId val="166688256"/>
      </c:barChart>
      <c:catAx>
        <c:axId val="16668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6688256"/>
        <c:crosses val="autoZero"/>
        <c:auto val="1"/>
        <c:lblAlgn val="ctr"/>
        <c:lblOffset val="100"/>
        <c:noMultiLvlLbl val="0"/>
      </c:catAx>
      <c:valAx>
        <c:axId val="166688256"/>
        <c:scaling>
          <c:orientation val="minMax"/>
          <c:min val="7"/>
        </c:scaling>
        <c:delete val="1"/>
        <c:axPos val="l"/>
        <c:numFmt formatCode="_ * #,##0.0_ ;_ * \-#,##0.0_ ;_ * &quot;-&quot;??_ ;_ @_ " sourceLinked="1"/>
        <c:majorTickMark val="out"/>
        <c:minorTickMark val="none"/>
        <c:tickLblPos val="nextTo"/>
        <c:crossAx val="1666867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207986111111132E-2"/>
          <c:y val="5.6277363206125815E-2"/>
          <c:w val="0.85011701388888894"/>
          <c:h val="0.70800548512940165"/>
        </c:manualLayout>
      </c:layout>
      <c:lineChart>
        <c:grouping val="standard"/>
        <c:varyColors val="0"/>
        <c:ser>
          <c:idx val="0"/>
          <c:order val="0"/>
          <c:tx>
            <c:strRef>
              <c:f>MF_SE_Gráficos!$D$63</c:f>
              <c:strCache>
                <c:ptCount val="1"/>
                <c:pt idx="0">
                  <c:v>Remesas</c:v>
                </c:pt>
              </c:strCache>
            </c:strRef>
          </c:tx>
          <c:spPr>
            <a:ln w="28575" cap="rnd">
              <a:solidFill>
                <a:schemeClr val="accent6">
                  <a:lumMod val="75000"/>
                </a:schemeClr>
              </a:solidFill>
              <a:round/>
            </a:ln>
            <a:effectLst/>
          </c:spPr>
          <c:marker>
            <c:symbol val="none"/>
          </c:marker>
          <c:dPt>
            <c:idx val="7"/>
            <c:marker>
              <c:symbol val="circle"/>
              <c:size val="7"/>
              <c:spPr>
                <a:solidFill>
                  <a:schemeClr val="accent6"/>
                </a:solidFill>
                <a:ln w="9525">
                  <a:solidFill>
                    <a:schemeClr val="accent1"/>
                  </a:solidFill>
                </a:ln>
                <a:effectLst/>
              </c:spPr>
            </c:marker>
            <c:bubble3D val="0"/>
            <c:extLst xmlns:c16r2="http://schemas.microsoft.com/office/drawing/2015/06/chart">
              <c:ext xmlns:c16="http://schemas.microsoft.com/office/drawing/2014/chart" uri="{C3380CC4-5D6E-409C-BE32-E72D297353CC}">
                <c16:uniqueId val="{00000000-C48E-4F80-A6B0-748B6656DECE}"/>
              </c:ext>
            </c:extLst>
          </c:dPt>
          <c:dLbls>
            <c:dLbl>
              <c:idx val="0"/>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48E-4F80-A6B0-748B6656DECE}"/>
                </c:ext>
              </c:extLst>
            </c:dLbl>
            <c:dLbl>
              <c:idx val="1"/>
              <c:layout>
                <c:manualLayout>
                  <c:x val="-7.2242652950595107E-2"/>
                  <c:y val="-0.10098980583753631"/>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48E-4F80-A6B0-748B6656DECE}"/>
                </c:ext>
              </c:extLst>
            </c:dLbl>
            <c:dLbl>
              <c:idx val="6"/>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48E-4F80-A6B0-748B6656DECE}"/>
                </c:ext>
              </c:extLst>
            </c:dLbl>
            <c:spPr>
              <a:noFill/>
              <a:ln>
                <a:noFill/>
              </a:ln>
              <a:effectLst/>
            </c:spPr>
            <c:txPr>
              <a:bodyPr rot="0" spcFirstLastPara="1" vertOverflow="ellipsis" vert="horz" wrap="square" anchor="ctr" anchorCtr="1"/>
              <a:lstStyle/>
              <a:p>
                <a:pPr>
                  <a:defRPr sz="9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MF_SE_Gráficos!$A$66:$A$72</c:f>
              <c:numCache>
                <c:formatCode>General</c:formatCode>
                <c:ptCount val="7"/>
                <c:pt idx="0">
                  <c:v>2014</c:v>
                </c:pt>
                <c:pt idx="1">
                  <c:v>2015</c:v>
                </c:pt>
                <c:pt idx="2">
                  <c:v>2016</c:v>
                </c:pt>
                <c:pt idx="3">
                  <c:v>2017</c:v>
                </c:pt>
                <c:pt idx="4">
                  <c:v>2018</c:v>
                </c:pt>
                <c:pt idx="5">
                  <c:v>2019</c:v>
                </c:pt>
                <c:pt idx="6">
                  <c:v>2020</c:v>
                </c:pt>
              </c:numCache>
            </c:numRef>
          </c:cat>
          <c:val>
            <c:numRef>
              <c:f>MF_SE_Gráficos!$F$66:$F$72</c:f>
              <c:numCache>
                <c:formatCode>_-* #,##0.0_-;\-* #,##0.0_-;_-* "-"??_-;_-@_-</c:formatCode>
                <c:ptCount val="7"/>
                <c:pt idx="0">
                  <c:v>8.5973036453694149</c:v>
                </c:pt>
                <c:pt idx="1">
                  <c:v>13.363405474679979</c:v>
                </c:pt>
                <c:pt idx="2">
                  <c:v>13.921922714268774</c:v>
                </c:pt>
                <c:pt idx="3">
                  <c:v>14.416901830673057</c:v>
                </c:pt>
                <c:pt idx="4">
                  <c:v>13.373157980961214</c:v>
                </c:pt>
                <c:pt idx="5">
                  <c:v>13.141331105428788</c:v>
                </c:pt>
                <c:pt idx="6">
                  <c:v>7.9185753178480534</c:v>
                </c:pt>
              </c:numCache>
            </c:numRef>
          </c:val>
          <c:smooth val="1"/>
          <c:extLst xmlns:c16r2="http://schemas.microsoft.com/office/drawing/2015/06/chart">
            <c:ext xmlns:c16="http://schemas.microsoft.com/office/drawing/2014/chart" uri="{C3380CC4-5D6E-409C-BE32-E72D297353CC}">
              <c16:uniqueId val="{00000004-C48E-4F80-A6B0-748B6656DECE}"/>
            </c:ext>
          </c:extLst>
        </c:ser>
        <c:ser>
          <c:idx val="1"/>
          <c:order val="1"/>
          <c:tx>
            <c:strRef>
              <c:f>MF_SE_Gráficos!$G$63</c:f>
              <c:strCache>
                <c:ptCount val="1"/>
                <c:pt idx="0">
                  <c:v>Promedio 2015 - 2019</c:v>
                </c:pt>
              </c:strCache>
            </c:strRef>
          </c:tx>
          <c:spPr>
            <a:ln w="28575" cap="rnd">
              <a:solidFill>
                <a:schemeClr val="accent2"/>
              </a:solidFill>
              <a:round/>
            </a:ln>
            <a:effectLst/>
          </c:spPr>
          <c:marker>
            <c:symbol val="none"/>
          </c:marker>
          <c:dLbls>
            <c:dLbl>
              <c:idx val="3"/>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48E-4F80-A6B0-748B6656DECE}"/>
                </c:ext>
              </c:extLst>
            </c:dLbl>
            <c:spPr>
              <a:noFill/>
              <a:ln>
                <a:noFill/>
              </a:ln>
              <a:effectLst/>
            </c:spPr>
            <c:txPr>
              <a:bodyPr rot="0" spcFirstLastPara="1" vertOverflow="ellipsis" vert="horz" wrap="square" anchor="ctr" anchorCtr="1"/>
              <a:lstStyle/>
              <a:p>
                <a:pPr>
                  <a:defRPr sz="9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ES"/>
              </a:p>
            </c:txPr>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MF_SE_Gráficos!$A$66:$A$72</c:f>
              <c:numCache>
                <c:formatCode>General</c:formatCode>
                <c:ptCount val="7"/>
                <c:pt idx="0">
                  <c:v>2014</c:v>
                </c:pt>
                <c:pt idx="1">
                  <c:v>2015</c:v>
                </c:pt>
                <c:pt idx="2">
                  <c:v>2016</c:v>
                </c:pt>
                <c:pt idx="3">
                  <c:v>2017</c:v>
                </c:pt>
                <c:pt idx="4">
                  <c:v>2018</c:v>
                </c:pt>
                <c:pt idx="5">
                  <c:v>2019</c:v>
                </c:pt>
                <c:pt idx="6">
                  <c:v>2020</c:v>
                </c:pt>
              </c:numCache>
            </c:numRef>
          </c:cat>
          <c:val>
            <c:numRef>
              <c:f>MF_SE_Gráficos!$G$66:$G$72</c:f>
              <c:numCache>
                <c:formatCode>_-* #,##0.0_-;\-* #,##0.0_-;_-* "-"??_-;_-@_-</c:formatCode>
                <c:ptCount val="7"/>
                <c:pt idx="1">
                  <c:v>13.643343821202361</c:v>
                </c:pt>
                <c:pt idx="2">
                  <c:v>13.643343821202361</c:v>
                </c:pt>
                <c:pt idx="3">
                  <c:v>13.643343821202361</c:v>
                </c:pt>
                <c:pt idx="4">
                  <c:v>13.643343821202361</c:v>
                </c:pt>
                <c:pt idx="5">
                  <c:v>13.643343821202361</c:v>
                </c:pt>
              </c:numCache>
            </c:numRef>
          </c:val>
          <c:smooth val="0"/>
          <c:extLst xmlns:c16r2="http://schemas.microsoft.com/office/drawing/2015/06/chart">
            <c:ext xmlns:c16="http://schemas.microsoft.com/office/drawing/2014/chart" uri="{C3380CC4-5D6E-409C-BE32-E72D297353CC}">
              <c16:uniqueId val="{00000006-C48E-4F80-A6B0-748B6656DECE}"/>
            </c:ext>
          </c:extLst>
        </c:ser>
        <c:dLbls>
          <c:showLegendKey val="0"/>
          <c:showVal val="0"/>
          <c:showCatName val="0"/>
          <c:showSerName val="0"/>
          <c:showPercent val="0"/>
          <c:showBubbleSize val="0"/>
        </c:dLbls>
        <c:marker val="1"/>
        <c:smooth val="0"/>
        <c:axId val="166721792"/>
        <c:axId val="166797312"/>
      </c:lineChart>
      <c:catAx>
        <c:axId val="1667217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6797312"/>
        <c:crosses val="autoZero"/>
        <c:auto val="1"/>
        <c:lblAlgn val="ctr"/>
        <c:lblOffset val="100"/>
        <c:noMultiLvlLbl val="0"/>
      </c:catAx>
      <c:valAx>
        <c:axId val="166797312"/>
        <c:scaling>
          <c:orientation val="minMax"/>
          <c:max val="16"/>
          <c:min val="6"/>
        </c:scaling>
        <c:delete val="1"/>
        <c:axPos val="l"/>
        <c:majorGridlines>
          <c:spPr>
            <a:ln w="9525" cap="flat" cmpd="sng" algn="ctr">
              <a:noFill/>
              <a:round/>
            </a:ln>
            <a:effectLst/>
          </c:spPr>
        </c:majorGridlines>
        <c:numFmt formatCode="_-* #,##0.0_-;\-* #,##0.0_-;_-* &quot;-&quot;??_-;_-@_-" sourceLinked="1"/>
        <c:majorTickMark val="none"/>
        <c:minorTickMark val="none"/>
        <c:tickLblPos val="nextTo"/>
        <c:crossAx val="166721792"/>
        <c:crosses val="autoZero"/>
        <c:crossBetween val="midCat"/>
      </c:valAx>
      <c:spPr>
        <a:noFill/>
        <a:ln>
          <a:noFill/>
        </a:ln>
        <a:effectLst/>
      </c:spPr>
    </c:plotArea>
    <c:legend>
      <c:legendPos val="b"/>
      <c:layout>
        <c:manualLayout>
          <c:xMode val="edge"/>
          <c:yMode val="edge"/>
          <c:x val="0.13180520833333334"/>
          <c:y val="0.88296806088429181"/>
          <c:w val="0.8113548611111111"/>
          <c:h val="8.63351955487304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500555555555556"/>
          <c:y val="5.5436507936507937E-2"/>
          <c:w val="0.79648750000000001"/>
          <c:h val="0.61885506330690543"/>
        </c:manualLayout>
      </c:layout>
      <c:barChart>
        <c:barDir val="col"/>
        <c:grouping val="stacked"/>
        <c:varyColors val="0"/>
        <c:ser>
          <c:idx val="5"/>
          <c:order val="0"/>
          <c:tx>
            <c:strRef>
              <c:f>MF_SE_Gráficos!$A$88</c:f>
              <c:strCache>
                <c:ptCount val="1"/>
                <c:pt idx="0">
                  <c:v>Otros</c:v>
                </c:pt>
              </c:strCache>
            </c:strRef>
          </c:tx>
          <c:spPr>
            <a:solidFill>
              <a:schemeClr val="accent4">
                <a:lumMod val="60000"/>
              </a:schemeClr>
            </a:solidFill>
            <a:ln>
              <a:noFill/>
            </a:ln>
            <a:effectLst/>
          </c:spPr>
          <c:invertIfNegative val="0"/>
          <c:cat>
            <c:strRef>
              <c:f>MF_SE_Gráficos!$B$82:$C$82</c:f>
              <c:strCache>
                <c:ptCount val="2"/>
                <c:pt idx="0">
                  <c:v>2019p</c:v>
                </c:pt>
                <c:pt idx="1">
                  <c:v>2020p</c:v>
                </c:pt>
              </c:strCache>
            </c:strRef>
          </c:cat>
          <c:val>
            <c:numRef>
              <c:f>MF_SE_Gráficos!$B$88:$C$88</c:f>
              <c:numCache>
                <c:formatCode>0%</c:formatCode>
                <c:ptCount val="2"/>
                <c:pt idx="0">
                  <c:v>0.31431656275038561</c:v>
                </c:pt>
                <c:pt idx="1">
                  <c:v>0.3008076434720659</c:v>
                </c:pt>
              </c:numCache>
            </c:numRef>
          </c:val>
          <c:extLst xmlns:c16r2="http://schemas.microsoft.com/office/drawing/2015/06/chart">
            <c:ext xmlns:c16="http://schemas.microsoft.com/office/drawing/2014/chart" uri="{C3380CC4-5D6E-409C-BE32-E72D297353CC}">
              <c16:uniqueId val="{00000000-BB33-4412-89F0-50B737AD4EC6}"/>
            </c:ext>
          </c:extLst>
        </c:ser>
        <c:ser>
          <c:idx val="0"/>
          <c:order val="1"/>
          <c:tx>
            <c:strRef>
              <c:f>MF_SE_Gráficos!$A$83</c:f>
              <c:strCache>
                <c:ptCount val="1"/>
                <c:pt idx="0">
                  <c:v>EE.UU.</c:v>
                </c:pt>
              </c:strCache>
            </c:strRef>
          </c:tx>
          <c:spPr>
            <a:solidFill>
              <a:schemeClr val="accent6"/>
            </a:solidFill>
            <a:ln>
              <a:noFill/>
            </a:ln>
            <a:effectLst/>
          </c:spPr>
          <c:invertIfNegative val="0"/>
          <c:cat>
            <c:strRef>
              <c:f>MF_SE_Gráficos!$B$82:$C$82</c:f>
              <c:strCache>
                <c:ptCount val="2"/>
                <c:pt idx="0">
                  <c:v>2019p</c:v>
                </c:pt>
                <c:pt idx="1">
                  <c:v>2020p</c:v>
                </c:pt>
              </c:strCache>
            </c:strRef>
          </c:cat>
          <c:val>
            <c:numRef>
              <c:f>MF_SE_Gráficos!$B$83:$C$83</c:f>
              <c:numCache>
                <c:formatCode>0%</c:formatCode>
                <c:ptCount val="2"/>
                <c:pt idx="0">
                  <c:v>0.24199198425631122</c:v>
                </c:pt>
                <c:pt idx="1">
                  <c:v>0.21340935286137291</c:v>
                </c:pt>
              </c:numCache>
            </c:numRef>
          </c:val>
          <c:extLst xmlns:c16r2="http://schemas.microsoft.com/office/drawing/2015/06/chart">
            <c:ext xmlns:c16="http://schemas.microsoft.com/office/drawing/2014/chart" uri="{C3380CC4-5D6E-409C-BE32-E72D297353CC}">
              <c16:uniqueId val="{00000001-BB33-4412-89F0-50B737AD4EC6}"/>
            </c:ext>
          </c:extLst>
        </c:ser>
        <c:ser>
          <c:idx val="1"/>
          <c:order val="2"/>
          <c:tx>
            <c:strRef>
              <c:f>MF_SE_Gráficos!$A$84</c:f>
              <c:strCache>
                <c:ptCount val="1"/>
                <c:pt idx="0">
                  <c:v>Colombia</c:v>
                </c:pt>
              </c:strCache>
            </c:strRef>
          </c:tx>
          <c:spPr>
            <a:solidFill>
              <a:schemeClr val="accent5"/>
            </a:solidFill>
            <a:ln>
              <a:noFill/>
            </a:ln>
            <a:effectLst/>
          </c:spPr>
          <c:invertIfNegative val="0"/>
          <c:cat>
            <c:strRef>
              <c:f>MF_SE_Gráficos!$B$82:$C$82</c:f>
              <c:strCache>
                <c:ptCount val="2"/>
                <c:pt idx="0">
                  <c:v>2019p</c:v>
                </c:pt>
                <c:pt idx="1">
                  <c:v>2020p</c:v>
                </c:pt>
              </c:strCache>
            </c:strRef>
          </c:cat>
          <c:val>
            <c:numRef>
              <c:f>MF_SE_Gráficos!$B$84:$C$84</c:f>
              <c:numCache>
                <c:formatCode>0%</c:formatCode>
                <c:ptCount val="2"/>
                <c:pt idx="0">
                  <c:v>0.17946735319476939</c:v>
                </c:pt>
                <c:pt idx="1">
                  <c:v>0.21147734787198083</c:v>
                </c:pt>
              </c:numCache>
            </c:numRef>
          </c:val>
          <c:extLst xmlns:c16r2="http://schemas.microsoft.com/office/drawing/2015/06/chart">
            <c:ext xmlns:c16="http://schemas.microsoft.com/office/drawing/2014/chart" uri="{C3380CC4-5D6E-409C-BE32-E72D297353CC}">
              <c16:uniqueId val="{00000002-BB33-4412-89F0-50B737AD4EC6}"/>
            </c:ext>
          </c:extLst>
        </c:ser>
        <c:ser>
          <c:idx val="2"/>
          <c:order val="3"/>
          <c:tx>
            <c:strRef>
              <c:f>MF_SE_Gráficos!$A$85</c:f>
              <c:strCache>
                <c:ptCount val="1"/>
                <c:pt idx="0">
                  <c:v>Panamá</c:v>
                </c:pt>
              </c:strCache>
            </c:strRef>
          </c:tx>
          <c:spPr>
            <a:solidFill>
              <a:schemeClr val="accent4"/>
            </a:solidFill>
            <a:ln>
              <a:noFill/>
            </a:ln>
            <a:effectLst/>
          </c:spPr>
          <c:invertIfNegative val="0"/>
          <c:cat>
            <c:strRef>
              <c:f>MF_SE_Gráficos!$B$82:$C$82</c:f>
              <c:strCache>
                <c:ptCount val="2"/>
                <c:pt idx="0">
                  <c:v>2019p</c:v>
                </c:pt>
                <c:pt idx="1">
                  <c:v>2020p</c:v>
                </c:pt>
              </c:strCache>
            </c:strRef>
          </c:cat>
          <c:val>
            <c:numRef>
              <c:f>MF_SE_Gráficos!$B$85:$C$85</c:f>
              <c:numCache>
                <c:formatCode>0%</c:formatCode>
                <c:ptCount val="2"/>
                <c:pt idx="0">
                  <c:v>2.4537182270270918E-2</c:v>
                </c:pt>
                <c:pt idx="1">
                  <c:v>0.13031625627495688</c:v>
                </c:pt>
              </c:numCache>
            </c:numRef>
          </c:val>
          <c:extLst xmlns:c16r2="http://schemas.microsoft.com/office/drawing/2015/06/chart">
            <c:ext xmlns:c16="http://schemas.microsoft.com/office/drawing/2014/chart" uri="{C3380CC4-5D6E-409C-BE32-E72D297353CC}">
              <c16:uniqueId val="{00000003-BB33-4412-89F0-50B737AD4EC6}"/>
            </c:ext>
          </c:extLst>
        </c:ser>
        <c:ser>
          <c:idx val="3"/>
          <c:order val="4"/>
          <c:tx>
            <c:strRef>
              <c:f>MF_SE_Gráficos!$A$86</c:f>
              <c:strCache>
                <c:ptCount val="1"/>
                <c:pt idx="0">
                  <c:v>Rusia</c:v>
                </c:pt>
              </c:strCache>
            </c:strRef>
          </c:tx>
          <c:spPr>
            <a:solidFill>
              <a:schemeClr val="accent6">
                <a:lumMod val="60000"/>
              </a:schemeClr>
            </a:solidFill>
            <a:ln>
              <a:noFill/>
            </a:ln>
            <a:effectLst/>
          </c:spPr>
          <c:invertIfNegative val="0"/>
          <c:cat>
            <c:strRef>
              <c:f>MF_SE_Gráficos!$B$82:$C$82</c:f>
              <c:strCache>
                <c:ptCount val="2"/>
                <c:pt idx="0">
                  <c:v>2019p</c:v>
                </c:pt>
                <c:pt idx="1">
                  <c:v>2020p</c:v>
                </c:pt>
              </c:strCache>
            </c:strRef>
          </c:cat>
          <c:val>
            <c:numRef>
              <c:f>MF_SE_Gráficos!$B$86:$C$86</c:f>
              <c:numCache>
                <c:formatCode>0%</c:formatCode>
                <c:ptCount val="2"/>
                <c:pt idx="0">
                  <c:v>0.12936851911263675</c:v>
                </c:pt>
                <c:pt idx="1">
                  <c:v>8.1545947532884536E-2</c:v>
                </c:pt>
              </c:numCache>
            </c:numRef>
          </c:val>
          <c:extLst xmlns:c16r2="http://schemas.microsoft.com/office/drawing/2015/06/chart">
            <c:ext xmlns:c16="http://schemas.microsoft.com/office/drawing/2014/chart" uri="{C3380CC4-5D6E-409C-BE32-E72D297353CC}">
              <c16:uniqueId val="{00000004-BB33-4412-89F0-50B737AD4EC6}"/>
            </c:ext>
          </c:extLst>
        </c:ser>
        <c:ser>
          <c:idx val="4"/>
          <c:order val="5"/>
          <c:tx>
            <c:strRef>
              <c:f>MF_SE_Gráficos!$A$87</c:f>
              <c:strCache>
                <c:ptCount val="1"/>
                <c:pt idx="0">
                  <c:v>México</c:v>
                </c:pt>
              </c:strCache>
            </c:strRef>
          </c:tx>
          <c:spPr>
            <a:solidFill>
              <a:schemeClr val="accent5">
                <a:lumMod val="60000"/>
              </a:schemeClr>
            </a:solidFill>
            <a:ln>
              <a:noFill/>
            </a:ln>
            <a:effectLst/>
          </c:spPr>
          <c:invertIfNegative val="0"/>
          <c:cat>
            <c:strRef>
              <c:f>MF_SE_Gráficos!$B$82:$C$82</c:f>
              <c:strCache>
                <c:ptCount val="2"/>
                <c:pt idx="0">
                  <c:v>2019p</c:v>
                </c:pt>
                <c:pt idx="1">
                  <c:v>2020p</c:v>
                </c:pt>
              </c:strCache>
            </c:strRef>
          </c:cat>
          <c:val>
            <c:numRef>
              <c:f>MF_SE_Gráficos!$B$87:$C$87</c:f>
              <c:numCache>
                <c:formatCode>0%</c:formatCode>
                <c:ptCount val="2"/>
                <c:pt idx="0">
                  <c:v>0.11031839841562606</c:v>
                </c:pt>
                <c:pt idx="1">
                  <c:v>6.2443451986738882E-2</c:v>
                </c:pt>
              </c:numCache>
            </c:numRef>
          </c:val>
          <c:extLst xmlns:c16r2="http://schemas.microsoft.com/office/drawing/2015/06/chart">
            <c:ext xmlns:c16="http://schemas.microsoft.com/office/drawing/2014/chart" uri="{C3380CC4-5D6E-409C-BE32-E72D297353CC}">
              <c16:uniqueId val="{00000005-BB33-4412-89F0-50B737AD4EC6}"/>
            </c:ext>
          </c:extLst>
        </c:ser>
        <c:dLbls>
          <c:showLegendKey val="0"/>
          <c:showVal val="0"/>
          <c:showCatName val="0"/>
          <c:showSerName val="0"/>
          <c:showPercent val="0"/>
          <c:showBubbleSize val="0"/>
        </c:dLbls>
        <c:gapWidth val="80"/>
        <c:overlap val="100"/>
        <c:axId val="166832384"/>
        <c:axId val="166838272"/>
      </c:barChart>
      <c:catAx>
        <c:axId val="16683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6838272"/>
        <c:crosses val="autoZero"/>
        <c:auto val="1"/>
        <c:lblAlgn val="ctr"/>
        <c:lblOffset val="100"/>
        <c:noMultiLvlLbl val="0"/>
      </c:catAx>
      <c:valAx>
        <c:axId val="166838272"/>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6832384"/>
        <c:crosses val="autoZero"/>
        <c:crossBetween val="between"/>
        <c:majorUnit val="0.2"/>
      </c:valAx>
      <c:spPr>
        <a:noFill/>
        <a:ln>
          <a:noFill/>
        </a:ln>
        <a:effectLst/>
      </c:spPr>
    </c:plotArea>
    <c:legend>
      <c:legendPos val="b"/>
      <c:layout>
        <c:manualLayout>
          <c:xMode val="edge"/>
          <c:yMode val="edge"/>
          <c:x val="0.17499062500000001"/>
          <c:y val="0.81653792413135584"/>
          <c:w val="0.69852534722222226"/>
          <c:h val="0.153224224883882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500555555555556"/>
          <c:y val="5.5436507936507937E-2"/>
          <c:w val="0.79648750000000001"/>
          <c:h val="0.58829945695546726"/>
        </c:manualLayout>
      </c:layout>
      <c:barChart>
        <c:barDir val="col"/>
        <c:grouping val="stacked"/>
        <c:varyColors val="0"/>
        <c:ser>
          <c:idx val="5"/>
          <c:order val="0"/>
          <c:tx>
            <c:strRef>
              <c:f>MF_SE_Gráficos!$A$98</c:f>
              <c:strCache>
                <c:ptCount val="1"/>
                <c:pt idx="0">
                  <c:v>Otros</c:v>
                </c:pt>
              </c:strCache>
            </c:strRef>
          </c:tx>
          <c:spPr>
            <a:solidFill>
              <a:schemeClr val="accent4">
                <a:lumMod val="60000"/>
              </a:schemeClr>
            </a:solidFill>
            <a:ln>
              <a:noFill/>
            </a:ln>
            <a:effectLst/>
          </c:spPr>
          <c:invertIfNegative val="0"/>
          <c:cat>
            <c:strRef>
              <c:f>MF_SE_Gráficos!$B$82:$C$82</c:f>
              <c:strCache>
                <c:ptCount val="2"/>
                <c:pt idx="0">
                  <c:v>2019p</c:v>
                </c:pt>
                <c:pt idx="1">
                  <c:v>2020p</c:v>
                </c:pt>
              </c:strCache>
            </c:strRef>
          </c:cat>
          <c:val>
            <c:numRef>
              <c:f>MF_SE_Gráficos!$B$98:$C$98</c:f>
              <c:numCache>
                <c:formatCode>0%</c:formatCode>
                <c:ptCount val="2"/>
                <c:pt idx="0">
                  <c:v>9.7807242653709769E-2</c:v>
                </c:pt>
                <c:pt idx="1">
                  <c:v>0.10426645601956927</c:v>
                </c:pt>
              </c:numCache>
            </c:numRef>
          </c:val>
          <c:extLst xmlns:c16r2="http://schemas.microsoft.com/office/drawing/2015/06/chart">
            <c:ext xmlns:c16="http://schemas.microsoft.com/office/drawing/2014/chart" uri="{C3380CC4-5D6E-409C-BE32-E72D297353CC}">
              <c16:uniqueId val="{00000000-9250-443B-A1F4-DC22D4A95120}"/>
            </c:ext>
          </c:extLst>
        </c:ser>
        <c:ser>
          <c:idx val="0"/>
          <c:order val="1"/>
          <c:tx>
            <c:strRef>
              <c:f>MF_SE_Gráficos!$A$93</c:f>
              <c:strCache>
                <c:ptCount val="1"/>
                <c:pt idx="0">
                  <c:v>Actividades financieras y de seguros</c:v>
                </c:pt>
              </c:strCache>
            </c:strRef>
          </c:tx>
          <c:spPr>
            <a:solidFill>
              <a:schemeClr val="accent6"/>
            </a:solidFill>
            <a:ln>
              <a:noFill/>
            </a:ln>
            <a:effectLst/>
          </c:spPr>
          <c:invertIfNegative val="0"/>
          <c:cat>
            <c:strRef>
              <c:f>MF_SE_Gráficos!$B$82:$C$82</c:f>
              <c:strCache>
                <c:ptCount val="2"/>
                <c:pt idx="0">
                  <c:v>2019p</c:v>
                </c:pt>
                <c:pt idx="1">
                  <c:v>2020p</c:v>
                </c:pt>
              </c:strCache>
            </c:strRef>
          </c:cat>
          <c:val>
            <c:numRef>
              <c:f>MF_SE_Gráficos!$B$93:$C$93</c:f>
              <c:numCache>
                <c:formatCode>0%</c:formatCode>
                <c:ptCount val="2"/>
                <c:pt idx="0">
                  <c:v>0.34798965857830988</c:v>
                </c:pt>
                <c:pt idx="1">
                  <c:v>0.29715879485250024</c:v>
                </c:pt>
              </c:numCache>
            </c:numRef>
          </c:val>
          <c:extLst xmlns:c16r2="http://schemas.microsoft.com/office/drawing/2015/06/chart">
            <c:ext xmlns:c16="http://schemas.microsoft.com/office/drawing/2014/chart" uri="{C3380CC4-5D6E-409C-BE32-E72D297353CC}">
              <c16:uniqueId val="{00000001-9250-443B-A1F4-DC22D4A95120}"/>
            </c:ext>
          </c:extLst>
        </c:ser>
        <c:ser>
          <c:idx val="1"/>
          <c:order val="2"/>
          <c:tx>
            <c:strRef>
              <c:f>MF_SE_Gráficos!$A$94</c:f>
              <c:strCache>
                <c:ptCount val="1"/>
                <c:pt idx="0">
                  <c:v>Industrias manufactureras</c:v>
                </c:pt>
              </c:strCache>
            </c:strRef>
          </c:tx>
          <c:spPr>
            <a:solidFill>
              <a:schemeClr val="accent5"/>
            </a:solidFill>
            <a:ln>
              <a:noFill/>
            </a:ln>
            <a:effectLst/>
          </c:spPr>
          <c:invertIfNegative val="0"/>
          <c:cat>
            <c:strRef>
              <c:f>MF_SE_Gráficos!$B$82:$C$82</c:f>
              <c:strCache>
                <c:ptCount val="2"/>
                <c:pt idx="0">
                  <c:v>2019p</c:v>
                </c:pt>
                <c:pt idx="1">
                  <c:v>2020p</c:v>
                </c:pt>
              </c:strCache>
            </c:strRef>
          </c:cat>
          <c:val>
            <c:numRef>
              <c:f>MF_SE_Gráficos!$B$94:$C$94</c:f>
              <c:numCache>
                <c:formatCode>0%</c:formatCode>
                <c:ptCount val="2"/>
                <c:pt idx="0">
                  <c:v>0.23289072718511333</c:v>
                </c:pt>
                <c:pt idx="1">
                  <c:v>0.23928095742095376</c:v>
                </c:pt>
              </c:numCache>
            </c:numRef>
          </c:val>
          <c:extLst xmlns:c16r2="http://schemas.microsoft.com/office/drawing/2015/06/chart">
            <c:ext xmlns:c16="http://schemas.microsoft.com/office/drawing/2014/chart" uri="{C3380CC4-5D6E-409C-BE32-E72D297353CC}">
              <c16:uniqueId val="{00000002-9250-443B-A1F4-DC22D4A95120}"/>
            </c:ext>
          </c:extLst>
        </c:ser>
        <c:ser>
          <c:idx val="2"/>
          <c:order val="3"/>
          <c:tx>
            <c:strRef>
              <c:f>MF_SE_Gráficos!$A$95</c:f>
              <c:strCache>
                <c:ptCount val="1"/>
                <c:pt idx="0">
                  <c:v>Comercio y reparación de vehículos</c:v>
                </c:pt>
              </c:strCache>
            </c:strRef>
          </c:tx>
          <c:spPr>
            <a:solidFill>
              <a:schemeClr val="accent4"/>
            </a:solidFill>
            <a:ln>
              <a:noFill/>
            </a:ln>
            <a:effectLst/>
          </c:spPr>
          <c:invertIfNegative val="0"/>
          <c:cat>
            <c:strRef>
              <c:f>MF_SE_Gráficos!$B$82:$C$82</c:f>
              <c:strCache>
                <c:ptCount val="2"/>
                <c:pt idx="0">
                  <c:v>2019p</c:v>
                </c:pt>
                <c:pt idx="1">
                  <c:v>2020p</c:v>
                </c:pt>
              </c:strCache>
            </c:strRef>
          </c:cat>
          <c:val>
            <c:numRef>
              <c:f>MF_SE_Gráficos!$B$95:$C$95</c:f>
              <c:numCache>
                <c:formatCode>0%</c:formatCode>
                <c:ptCount val="2"/>
                <c:pt idx="0">
                  <c:v>0.14373844443939909</c:v>
                </c:pt>
                <c:pt idx="1">
                  <c:v>0.17785470040100149</c:v>
                </c:pt>
              </c:numCache>
            </c:numRef>
          </c:val>
          <c:extLst xmlns:c16r2="http://schemas.microsoft.com/office/drawing/2015/06/chart">
            <c:ext xmlns:c16="http://schemas.microsoft.com/office/drawing/2014/chart" uri="{C3380CC4-5D6E-409C-BE32-E72D297353CC}">
              <c16:uniqueId val="{00000003-9250-443B-A1F4-DC22D4A95120}"/>
            </c:ext>
          </c:extLst>
        </c:ser>
        <c:ser>
          <c:idx val="3"/>
          <c:order val="4"/>
          <c:tx>
            <c:strRef>
              <c:f>MF_SE_Gráficos!$A$96</c:f>
              <c:strCache>
                <c:ptCount val="1"/>
                <c:pt idx="0">
                  <c:v>Suministro de electricidad, agua y saneamiento</c:v>
                </c:pt>
              </c:strCache>
            </c:strRef>
          </c:tx>
          <c:spPr>
            <a:solidFill>
              <a:schemeClr val="accent6">
                <a:lumMod val="60000"/>
              </a:schemeClr>
            </a:solidFill>
            <a:ln>
              <a:noFill/>
            </a:ln>
            <a:effectLst/>
          </c:spPr>
          <c:invertIfNegative val="0"/>
          <c:cat>
            <c:strRef>
              <c:f>MF_SE_Gráficos!$B$82:$C$82</c:f>
              <c:strCache>
                <c:ptCount val="2"/>
                <c:pt idx="0">
                  <c:v>2019p</c:v>
                </c:pt>
                <c:pt idx="1">
                  <c:v>2020p</c:v>
                </c:pt>
              </c:strCache>
            </c:strRef>
          </c:cat>
          <c:val>
            <c:numRef>
              <c:f>MF_SE_Gráficos!$B$96:$C$96</c:f>
              <c:numCache>
                <c:formatCode>0%</c:formatCode>
                <c:ptCount val="2"/>
                <c:pt idx="0">
                  <c:v>0.11800409498499609</c:v>
                </c:pt>
                <c:pt idx="1">
                  <c:v>0.15735236118366264</c:v>
                </c:pt>
              </c:numCache>
            </c:numRef>
          </c:val>
          <c:extLst xmlns:c16r2="http://schemas.microsoft.com/office/drawing/2015/06/chart">
            <c:ext xmlns:c16="http://schemas.microsoft.com/office/drawing/2014/chart" uri="{C3380CC4-5D6E-409C-BE32-E72D297353CC}">
              <c16:uniqueId val="{00000004-9250-443B-A1F4-DC22D4A95120}"/>
            </c:ext>
          </c:extLst>
        </c:ser>
        <c:ser>
          <c:idx val="4"/>
          <c:order val="5"/>
          <c:tx>
            <c:strRef>
              <c:f>MF_SE_Gráficos!$A$97</c:f>
              <c:strCache>
                <c:ptCount val="1"/>
                <c:pt idx="0">
                  <c:v>Información y comunicaciones</c:v>
                </c:pt>
              </c:strCache>
            </c:strRef>
          </c:tx>
          <c:spPr>
            <a:solidFill>
              <a:schemeClr val="accent5">
                <a:lumMod val="60000"/>
              </a:schemeClr>
            </a:solidFill>
            <a:ln>
              <a:noFill/>
            </a:ln>
            <a:effectLst/>
          </c:spPr>
          <c:invertIfNegative val="0"/>
          <c:cat>
            <c:strRef>
              <c:f>MF_SE_Gráficos!$B$82:$C$82</c:f>
              <c:strCache>
                <c:ptCount val="2"/>
                <c:pt idx="0">
                  <c:v>2019p</c:v>
                </c:pt>
                <c:pt idx="1">
                  <c:v>2020p</c:v>
                </c:pt>
              </c:strCache>
            </c:strRef>
          </c:cat>
          <c:val>
            <c:numRef>
              <c:f>MF_SE_Gráficos!$B$97:$C$97</c:f>
              <c:numCache>
                <c:formatCode>0%</c:formatCode>
                <c:ptCount val="2"/>
                <c:pt idx="0">
                  <c:v>5.9569832158471954E-2</c:v>
                </c:pt>
                <c:pt idx="1">
                  <c:v>2.4086730122312754E-2</c:v>
                </c:pt>
              </c:numCache>
            </c:numRef>
          </c:val>
          <c:extLst xmlns:c16r2="http://schemas.microsoft.com/office/drawing/2015/06/chart">
            <c:ext xmlns:c16="http://schemas.microsoft.com/office/drawing/2014/chart" uri="{C3380CC4-5D6E-409C-BE32-E72D297353CC}">
              <c16:uniqueId val="{00000005-9250-443B-A1F4-DC22D4A95120}"/>
            </c:ext>
          </c:extLst>
        </c:ser>
        <c:dLbls>
          <c:showLegendKey val="0"/>
          <c:showVal val="0"/>
          <c:showCatName val="0"/>
          <c:showSerName val="0"/>
          <c:showPercent val="0"/>
          <c:showBubbleSize val="0"/>
        </c:dLbls>
        <c:gapWidth val="80"/>
        <c:overlap val="100"/>
        <c:axId val="166869248"/>
        <c:axId val="166883328"/>
      </c:barChart>
      <c:catAx>
        <c:axId val="16686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6883328"/>
        <c:crosses val="autoZero"/>
        <c:auto val="1"/>
        <c:lblAlgn val="ctr"/>
        <c:lblOffset val="100"/>
        <c:noMultiLvlLbl val="0"/>
      </c:catAx>
      <c:valAx>
        <c:axId val="166883328"/>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6869248"/>
        <c:crosses val="autoZero"/>
        <c:crossBetween val="between"/>
      </c:valAx>
      <c:spPr>
        <a:noFill/>
        <a:ln>
          <a:noFill/>
        </a:ln>
        <a:effectLst/>
      </c:spPr>
    </c:plotArea>
    <c:legend>
      <c:legendPos val="b"/>
      <c:layout>
        <c:manualLayout>
          <c:xMode val="edge"/>
          <c:yMode val="edge"/>
          <c:x val="0"/>
          <c:y val="0.74854360603405923"/>
          <c:w val="1"/>
          <c:h val="0.2514563939659407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426150121065374E-2"/>
          <c:y val="1.7809439002671415E-2"/>
          <c:w val="0.90314769975786924"/>
          <c:h val="0.76330926695837031"/>
        </c:manualLayout>
      </c:layout>
      <c:lineChart>
        <c:grouping val="standard"/>
        <c:varyColors val="0"/>
        <c:ser>
          <c:idx val="1"/>
          <c:order val="0"/>
          <c:tx>
            <c:strRef>
              <c:f>MF_SE_Gráficos!$B$102</c:f>
              <c:strCache>
                <c:ptCount val="1"/>
                <c:pt idx="0">
                  <c:v>Tipo de cambio</c:v>
                </c:pt>
              </c:strCache>
            </c:strRef>
          </c:tx>
          <c:spPr>
            <a:ln w="28575" cap="rnd">
              <a:solidFill>
                <a:srgbClr val="002060"/>
              </a:solidFill>
              <a:round/>
            </a:ln>
            <a:effectLst/>
          </c:spPr>
          <c:marker>
            <c:symbol val="none"/>
          </c:marker>
          <c:dPt>
            <c:idx val="8"/>
            <c:marker>
              <c:symbol val="circle"/>
              <c:size val="6"/>
              <c:spPr>
                <a:solidFill>
                  <a:schemeClr val="accent5">
                    <a:lumMod val="50000"/>
                  </a:schemeClr>
                </a:solidFill>
                <a:ln w="9525">
                  <a:noFill/>
                </a:ln>
                <a:effectLst/>
              </c:spPr>
            </c:marker>
            <c:bubble3D val="0"/>
            <c:extLst xmlns:c16r2="http://schemas.microsoft.com/office/drawing/2015/06/chart">
              <c:ext xmlns:c16="http://schemas.microsoft.com/office/drawing/2014/chart" uri="{C3380CC4-5D6E-409C-BE32-E72D297353CC}">
                <c16:uniqueId val="{00000000-F4EE-4A47-9AED-BA81D50951D4}"/>
              </c:ext>
            </c:extLst>
          </c:dPt>
          <c:dLbls>
            <c:dLbl>
              <c:idx val="0"/>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4EE-4A47-9AED-BA81D50951D4}"/>
                </c:ext>
              </c:extLst>
            </c:dLbl>
            <c:dLbl>
              <c:idx val="1"/>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4EE-4A47-9AED-BA81D50951D4}"/>
                </c:ext>
              </c:extLst>
            </c:dLbl>
            <c:dLbl>
              <c:idx val="2"/>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4EE-4A47-9AED-BA81D50951D4}"/>
                </c:ext>
              </c:extLst>
            </c:dLbl>
            <c:dLbl>
              <c:idx val="3"/>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4EE-4A47-9AED-BA81D50951D4}"/>
                </c:ext>
              </c:extLst>
            </c:dLbl>
            <c:dLbl>
              <c:idx val="4"/>
              <c:layout>
                <c:manualLayout>
                  <c:x val="-0.1364730334901427"/>
                  <c:y val="3.0150944650462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4EE-4A47-9AED-BA81D50951D4}"/>
                </c:ext>
              </c:extLst>
            </c:dLbl>
            <c:dLbl>
              <c:idx val="5"/>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4EE-4A47-9AED-BA81D50951D4}"/>
                </c:ext>
              </c:extLst>
            </c:dLbl>
            <c:dLbl>
              <c:idx val="6"/>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4EE-4A47-9AED-BA81D50951D4}"/>
                </c:ext>
              </c:extLst>
            </c:dLbl>
            <c:dLbl>
              <c:idx val="7"/>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4EE-4A47-9AED-BA81D50951D4}"/>
                </c:ext>
              </c:extLst>
            </c:dLbl>
            <c:dLbl>
              <c:idx val="8"/>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4EE-4A47-9AED-BA81D50951D4}"/>
                </c:ext>
              </c:extLst>
            </c:dLbl>
            <c:dLbl>
              <c:idx val="9"/>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4EE-4A47-9AED-BA81D50951D4}"/>
                </c:ext>
              </c:extLst>
            </c:dLbl>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MF_SE_Gráficos!$A$105:$A$113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MF_SE_Gráficos!$B$105:$B$113</c:f>
              <c:numCache>
                <c:formatCode>_ * #,##0.00_ ;_ * \-#,##0.00_ ;_ * "-"??_ ;_ @_ </c:formatCode>
                <c:ptCount val="9"/>
                <c:pt idx="0">
                  <c:v>7.9023000000000003</c:v>
                </c:pt>
                <c:pt idx="1">
                  <c:v>7.8413700000000004</c:v>
                </c:pt>
                <c:pt idx="2">
                  <c:v>7.5967500000000001</c:v>
                </c:pt>
                <c:pt idx="3">
                  <c:v>7.6323699999999999</c:v>
                </c:pt>
                <c:pt idx="4">
                  <c:v>7.5221299999999998</c:v>
                </c:pt>
                <c:pt idx="5">
                  <c:v>7.3447699999999996</c:v>
                </c:pt>
                <c:pt idx="6">
                  <c:v>7.7369500000000002</c:v>
                </c:pt>
                <c:pt idx="7">
                  <c:v>7.6988399999999997</c:v>
                </c:pt>
                <c:pt idx="8">
                  <c:v>7.7938200000000002</c:v>
                </c:pt>
              </c:numCache>
            </c:numRef>
          </c:val>
          <c:smooth val="1"/>
          <c:extLst xmlns:c16r2="http://schemas.microsoft.com/office/drawing/2015/06/chart">
            <c:ext xmlns:c16="http://schemas.microsoft.com/office/drawing/2014/chart" uri="{C3380CC4-5D6E-409C-BE32-E72D297353CC}">
              <c16:uniqueId val="{0000000A-F4EE-4A47-9AED-BA81D50951D4}"/>
            </c:ext>
          </c:extLst>
        </c:ser>
        <c:ser>
          <c:idx val="0"/>
          <c:order val="1"/>
          <c:tx>
            <c:strRef>
              <c:f>MF_SE_Gráficos!$C$102</c:f>
              <c:strCache>
                <c:ptCount val="1"/>
                <c:pt idx="0">
                  <c:v>Promedio 15-19</c:v>
                </c:pt>
              </c:strCache>
            </c:strRef>
          </c:tx>
          <c:spPr>
            <a:ln w="28575" cap="rnd">
              <a:solidFill>
                <a:schemeClr val="accent2"/>
              </a:solidFill>
              <a:round/>
            </a:ln>
            <a:effectLst/>
          </c:spPr>
          <c:marker>
            <c:symbol val="none"/>
          </c:marker>
          <c:dLbls>
            <c:dLbl>
              <c:idx val="5"/>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4EE-4A47-9AED-BA81D50951D4}"/>
                </c:ext>
              </c:extLst>
            </c:dLbl>
            <c:spPr>
              <a:noFill/>
              <a:ln>
                <a:noFill/>
              </a:ln>
              <a:effectLst/>
            </c:spPr>
            <c:txPr>
              <a:bodyPr rot="0" spcFirstLastPara="1" vertOverflow="ellipsis" vert="horz" wrap="square" anchor="ctr" anchorCtr="1"/>
              <a:lstStyle/>
              <a:p>
                <a:pPr>
                  <a:defRPr sz="9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E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MF_SE_Gráficos!$A$105:$A$113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MF_SE_Gráficos!$C$105:$C$113</c:f>
              <c:numCache>
                <c:formatCode>General</c:formatCode>
                <c:ptCount val="9"/>
                <c:pt idx="3" formatCode="_ * #,##0.00_ ;_ * \-#,##0.00_ ;_ * &quot;-&quot;??_ ;_ @_ ">
                  <c:v>7.5870119999999996</c:v>
                </c:pt>
                <c:pt idx="4" formatCode="_ * #,##0.00_ ;_ * \-#,##0.00_ ;_ * &quot;-&quot;??_ ;_ @_ ">
                  <c:v>7.5870119999999996</c:v>
                </c:pt>
                <c:pt idx="5" formatCode="_ * #,##0.00_ ;_ * \-#,##0.00_ ;_ * &quot;-&quot;??_ ;_ @_ ">
                  <c:v>7.5870119999999996</c:v>
                </c:pt>
                <c:pt idx="6" formatCode="_ * #,##0.00_ ;_ * \-#,##0.00_ ;_ * &quot;-&quot;??_ ;_ @_ ">
                  <c:v>7.5870119999999996</c:v>
                </c:pt>
                <c:pt idx="7" formatCode="_ * #,##0.00_ ;_ * \-#,##0.00_ ;_ * &quot;-&quot;??_ ;_ @_ ">
                  <c:v>7.5870119999999996</c:v>
                </c:pt>
              </c:numCache>
            </c:numRef>
          </c:val>
          <c:smooth val="0"/>
          <c:extLst xmlns:c16r2="http://schemas.microsoft.com/office/drawing/2015/06/chart">
            <c:ext xmlns:c16="http://schemas.microsoft.com/office/drawing/2014/chart" uri="{C3380CC4-5D6E-409C-BE32-E72D297353CC}">
              <c16:uniqueId val="{0000000C-F4EE-4A47-9AED-BA81D50951D4}"/>
            </c:ext>
          </c:extLst>
        </c:ser>
        <c:dLbls>
          <c:showLegendKey val="0"/>
          <c:showVal val="0"/>
          <c:showCatName val="0"/>
          <c:showSerName val="0"/>
          <c:showPercent val="0"/>
          <c:showBubbleSize val="0"/>
        </c:dLbls>
        <c:marker val="1"/>
        <c:smooth val="0"/>
        <c:axId val="166952960"/>
        <c:axId val="166954496"/>
      </c:lineChart>
      <c:catAx>
        <c:axId val="16695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6954496"/>
        <c:crosses val="autoZero"/>
        <c:auto val="1"/>
        <c:lblAlgn val="ctr"/>
        <c:lblOffset val="100"/>
        <c:noMultiLvlLbl val="0"/>
      </c:catAx>
      <c:valAx>
        <c:axId val="166954496"/>
        <c:scaling>
          <c:orientation val="minMax"/>
          <c:min val="7.3"/>
        </c:scaling>
        <c:delete val="1"/>
        <c:axPos val="l"/>
        <c:numFmt formatCode="_ * #,##0.00_ ;_ * \-#,##0.00_ ;_ * &quot;-&quot;??_ ;_ @_ " sourceLinked="1"/>
        <c:majorTickMark val="none"/>
        <c:minorTickMark val="none"/>
        <c:tickLblPos val="nextTo"/>
        <c:crossAx val="166952960"/>
        <c:crosses val="autoZero"/>
        <c:crossBetween val="between"/>
      </c:valAx>
      <c:spPr>
        <a:noFill/>
        <a:ln>
          <a:noFill/>
        </a:ln>
        <a:effectLst/>
      </c:spPr>
    </c:plotArea>
    <c:legend>
      <c:legendPos val="b"/>
      <c:layout>
        <c:manualLayout>
          <c:xMode val="edge"/>
          <c:yMode val="edge"/>
          <c:x val="7.0173200614946238E-2"/>
          <c:y val="0.93791469898861746"/>
          <c:w val="0.8596535987701075"/>
          <c:h val="6.208530101138239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45567095033901"/>
          <c:y val="2.2569734080096798E-2"/>
          <c:w val="0.85361726771304669"/>
          <c:h val="0.75970273069766159"/>
        </c:manualLayout>
      </c:layout>
      <c:lineChart>
        <c:grouping val="standard"/>
        <c:varyColors val="0"/>
        <c:ser>
          <c:idx val="0"/>
          <c:order val="0"/>
          <c:spPr>
            <a:ln w="22225" cap="rnd">
              <a:solidFill>
                <a:schemeClr val="accent6">
                  <a:lumMod val="75000"/>
                </a:schemeClr>
              </a:solidFill>
              <a:round/>
            </a:ln>
            <a:effectLst/>
          </c:spPr>
          <c:marker>
            <c:symbol val="none"/>
          </c:marker>
          <c:dPt>
            <c:idx val="365"/>
            <c:marker>
              <c:symbol val="circle"/>
              <c:size val="5"/>
              <c:spPr>
                <a:solidFill>
                  <a:schemeClr val="accent6">
                    <a:lumMod val="75000"/>
                  </a:schemeClr>
                </a:solidFill>
                <a:ln w="9525">
                  <a:noFill/>
                </a:ln>
                <a:effectLst/>
              </c:spPr>
            </c:marker>
            <c:bubble3D val="0"/>
            <c:spPr>
              <a:ln w="22225" cap="rnd">
                <a:noFill/>
                <a:round/>
              </a:ln>
              <a:effectLst/>
            </c:spPr>
            <c:extLst xmlns:c16r2="http://schemas.microsoft.com/office/drawing/2015/06/chart">
              <c:ext xmlns:c16="http://schemas.microsoft.com/office/drawing/2014/chart" uri="{C3380CC4-5D6E-409C-BE32-E72D297353CC}">
                <c16:uniqueId val="{00000001-8617-487C-A3D1-9D83FADCBFDA}"/>
              </c:ext>
            </c:extLst>
          </c:dPt>
          <c:dLbls>
            <c:dLbl>
              <c:idx val="1"/>
              <c:layout>
                <c:manualLayout>
                  <c:x val="-6.679830727849316E-2"/>
                  <c:y val="5.83146966096693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617-487C-A3D1-9D83FADCBFDA}"/>
                </c:ext>
              </c:extLst>
            </c:dLbl>
            <c:dLbl>
              <c:idx val="84"/>
              <c:layout>
                <c:manualLayout>
                  <c:x val="-4.4532215376026814E-3"/>
                  <c:y val="-4.859545735786892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617-487C-A3D1-9D83FADCBFDA}"/>
                </c:ext>
              </c:extLst>
            </c:dLbl>
            <c:dLbl>
              <c:idx val="236"/>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617-487C-A3D1-9D83FADCBFDA}"/>
                </c:ext>
              </c:extLst>
            </c:dLbl>
            <c:dLbl>
              <c:idx val="269"/>
              <c:layout>
                <c:manualLayout>
                  <c:x val="0"/>
                  <c:y val="-5.8314548829442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617-487C-A3D1-9D83FADCBFDA}"/>
                </c:ext>
              </c:extLst>
            </c:dLbl>
            <c:dLbl>
              <c:idx val="365"/>
              <c:layout>
                <c:manualLayout>
                  <c:x val="-4.4300620522628724E-2"/>
                  <c:y val="-9.25422948510970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617-487C-A3D1-9D83FADCBFDA}"/>
                </c:ext>
              </c:extLst>
            </c:dLbl>
            <c:spPr>
              <a:noFill/>
              <a:ln>
                <a:noFill/>
              </a:ln>
              <a:effectLst/>
            </c:spPr>
            <c:txPr>
              <a:bodyPr rot="0" spcFirstLastPara="1" vertOverflow="ellipsis" vert="horz" wrap="square" anchor="ctr" anchorCtr="1"/>
              <a:lstStyle/>
              <a:p>
                <a:pPr>
                  <a:defRPr sz="9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MF_SE_Gráficos!$V$2:$V$367</c:f>
              <c:numCache>
                <c:formatCode>mmm\-yy</c:formatCode>
                <c:ptCount val="366"/>
                <c:pt idx="0">
                  <c:v>43831</c:v>
                </c:pt>
                <c:pt idx="1">
                  <c:v>43832</c:v>
                </c:pt>
                <c:pt idx="2">
                  <c:v>43833</c:v>
                </c:pt>
                <c:pt idx="3">
                  <c:v>43834</c:v>
                </c:pt>
                <c:pt idx="4">
                  <c:v>43835</c:v>
                </c:pt>
                <c:pt idx="5">
                  <c:v>43836</c:v>
                </c:pt>
                <c:pt idx="6">
                  <c:v>43837</c:v>
                </c:pt>
                <c:pt idx="7">
                  <c:v>43838</c:v>
                </c:pt>
                <c:pt idx="8">
                  <c:v>43839</c:v>
                </c:pt>
                <c:pt idx="9">
                  <c:v>43840</c:v>
                </c:pt>
                <c:pt idx="10">
                  <c:v>43841</c:v>
                </c:pt>
                <c:pt idx="11">
                  <c:v>43842</c:v>
                </c:pt>
                <c:pt idx="12">
                  <c:v>43843</c:v>
                </c:pt>
                <c:pt idx="13">
                  <c:v>43844</c:v>
                </c:pt>
                <c:pt idx="14">
                  <c:v>43845</c:v>
                </c:pt>
                <c:pt idx="15">
                  <c:v>43846</c:v>
                </c:pt>
                <c:pt idx="16">
                  <c:v>43847</c:v>
                </c:pt>
                <c:pt idx="17">
                  <c:v>43848</c:v>
                </c:pt>
                <c:pt idx="18">
                  <c:v>43849</c:v>
                </c:pt>
                <c:pt idx="19">
                  <c:v>43850</c:v>
                </c:pt>
                <c:pt idx="20">
                  <c:v>43851</c:v>
                </c:pt>
                <c:pt idx="21">
                  <c:v>43852</c:v>
                </c:pt>
                <c:pt idx="22">
                  <c:v>43853</c:v>
                </c:pt>
                <c:pt idx="23">
                  <c:v>43854</c:v>
                </c:pt>
                <c:pt idx="24">
                  <c:v>43855</c:v>
                </c:pt>
                <c:pt idx="25">
                  <c:v>43856</c:v>
                </c:pt>
                <c:pt idx="26">
                  <c:v>43857</c:v>
                </c:pt>
                <c:pt idx="27">
                  <c:v>43858</c:v>
                </c:pt>
                <c:pt idx="28">
                  <c:v>43859</c:v>
                </c:pt>
                <c:pt idx="29">
                  <c:v>43860</c:v>
                </c:pt>
                <c:pt idx="30">
                  <c:v>43861</c:v>
                </c:pt>
                <c:pt idx="31">
                  <c:v>43862</c:v>
                </c:pt>
                <c:pt idx="32">
                  <c:v>43863</c:v>
                </c:pt>
                <c:pt idx="33">
                  <c:v>43864</c:v>
                </c:pt>
                <c:pt idx="34">
                  <c:v>43865</c:v>
                </c:pt>
                <c:pt idx="35">
                  <c:v>43866</c:v>
                </c:pt>
                <c:pt idx="36">
                  <c:v>43867</c:v>
                </c:pt>
                <c:pt idx="37">
                  <c:v>43868</c:v>
                </c:pt>
                <c:pt idx="38">
                  <c:v>43869</c:v>
                </c:pt>
                <c:pt idx="39">
                  <c:v>43870</c:v>
                </c:pt>
                <c:pt idx="40">
                  <c:v>43871</c:v>
                </c:pt>
                <c:pt idx="41">
                  <c:v>43872</c:v>
                </c:pt>
                <c:pt idx="42">
                  <c:v>43873</c:v>
                </c:pt>
                <c:pt idx="43">
                  <c:v>43874</c:v>
                </c:pt>
                <c:pt idx="44">
                  <c:v>43875</c:v>
                </c:pt>
                <c:pt idx="45">
                  <c:v>43876</c:v>
                </c:pt>
                <c:pt idx="46">
                  <c:v>43877</c:v>
                </c:pt>
                <c:pt idx="47">
                  <c:v>43878</c:v>
                </c:pt>
                <c:pt idx="48">
                  <c:v>43879</c:v>
                </c:pt>
                <c:pt idx="49">
                  <c:v>43880</c:v>
                </c:pt>
                <c:pt idx="50">
                  <c:v>43881</c:v>
                </c:pt>
                <c:pt idx="51">
                  <c:v>43882</c:v>
                </c:pt>
                <c:pt idx="52">
                  <c:v>43883</c:v>
                </c:pt>
                <c:pt idx="53">
                  <c:v>43884</c:v>
                </c:pt>
                <c:pt idx="54">
                  <c:v>43885</c:v>
                </c:pt>
                <c:pt idx="55">
                  <c:v>43886</c:v>
                </c:pt>
                <c:pt idx="56">
                  <c:v>43887</c:v>
                </c:pt>
                <c:pt idx="57">
                  <c:v>43888</c:v>
                </c:pt>
                <c:pt idx="58">
                  <c:v>43889</c:v>
                </c:pt>
                <c:pt idx="59">
                  <c:v>43890</c:v>
                </c:pt>
                <c:pt idx="60">
                  <c:v>43891</c:v>
                </c:pt>
                <c:pt idx="61">
                  <c:v>43892</c:v>
                </c:pt>
                <c:pt idx="62">
                  <c:v>43893</c:v>
                </c:pt>
                <c:pt idx="63">
                  <c:v>43894</c:v>
                </c:pt>
                <c:pt idx="64">
                  <c:v>43895</c:v>
                </c:pt>
                <c:pt idx="65">
                  <c:v>43896</c:v>
                </c:pt>
                <c:pt idx="66">
                  <c:v>43897</c:v>
                </c:pt>
                <c:pt idx="67">
                  <c:v>43898</c:v>
                </c:pt>
                <c:pt idx="68">
                  <c:v>43899</c:v>
                </c:pt>
                <c:pt idx="69">
                  <c:v>43900</c:v>
                </c:pt>
                <c:pt idx="70">
                  <c:v>43901</c:v>
                </c:pt>
                <c:pt idx="71">
                  <c:v>43902</c:v>
                </c:pt>
                <c:pt idx="72">
                  <c:v>43903</c:v>
                </c:pt>
                <c:pt idx="73">
                  <c:v>43904</c:v>
                </c:pt>
                <c:pt idx="74">
                  <c:v>43905</c:v>
                </c:pt>
                <c:pt idx="75">
                  <c:v>43906</c:v>
                </c:pt>
                <c:pt idx="76">
                  <c:v>43907</c:v>
                </c:pt>
                <c:pt idx="77">
                  <c:v>43908</c:v>
                </c:pt>
                <c:pt idx="78">
                  <c:v>43909</c:v>
                </c:pt>
                <c:pt idx="79">
                  <c:v>43910</c:v>
                </c:pt>
                <c:pt idx="80">
                  <c:v>43911</c:v>
                </c:pt>
                <c:pt idx="81">
                  <c:v>43912</c:v>
                </c:pt>
                <c:pt idx="82">
                  <c:v>43913</c:v>
                </c:pt>
                <c:pt idx="83">
                  <c:v>43914</c:v>
                </c:pt>
                <c:pt idx="84">
                  <c:v>43915</c:v>
                </c:pt>
                <c:pt idx="85">
                  <c:v>43916</c:v>
                </c:pt>
                <c:pt idx="86">
                  <c:v>43917</c:v>
                </c:pt>
                <c:pt idx="87">
                  <c:v>43918</c:v>
                </c:pt>
                <c:pt idx="88">
                  <c:v>43919</c:v>
                </c:pt>
                <c:pt idx="89">
                  <c:v>43920</c:v>
                </c:pt>
                <c:pt idx="90">
                  <c:v>43921</c:v>
                </c:pt>
                <c:pt idx="91">
                  <c:v>43922</c:v>
                </c:pt>
                <c:pt idx="92">
                  <c:v>43923</c:v>
                </c:pt>
                <c:pt idx="93">
                  <c:v>43924</c:v>
                </c:pt>
                <c:pt idx="94">
                  <c:v>43925</c:v>
                </c:pt>
                <c:pt idx="95">
                  <c:v>43926</c:v>
                </c:pt>
                <c:pt idx="96">
                  <c:v>43927</c:v>
                </c:pt>
                <c:pt idx="97">
                  <c:v>43928</c:v>
                </c:pt>
                <c:pt idx="98">
                  <c:v>43929</c:v>
                </c:pt>
                <c:pt idx="99">
                  <c:v>43930</c:v>
                </c:pt>
                <c:pt idx="100">
                  <c:v>43931</c:v>
                </c:pt>
                <c:pt idx="101">
                  <c:v>43932</c:v>
                </c:pt>
                <c:pt idx="102">
                  <c:v>43933</c:v>
                </c:pt>
                <c:pt idx="103">
                  <c:v>43934</c:v>
                </c:pt>
                <c:pt idx="104">
                  <c:v>43935</c:v>
                </c:pt>
                <c:pt idx="105">
                  <c:v>43936</c:v>
                </c:pt>
                <c:pt idx="106">
                  <c:v>43937</c:v>
                </c:pt>
                <c:pt idx="107">
                  <c:v>43938</c:v>
                </c:pt>
                <c:pt idx="108">
                  <c:v>43939</c:v>
                </c:pt>
                <c:pt idx="109">
                  <c:v>43940</c:v>
                </c:pt>
                <c:pt idx="110">
                  <c:v>43941</c:v>
                </c:pt>
                <c:pt idx="111">
                  <c:v>43942</c:v>
                </c:pt>
                <c:pt idx="112">
                  <c:v>43943</c:v>
                </c:pt>
                <c:pt idx="113">
                  <c:v>43944</c:v>
                </c:pt>
                <c:pt idx="114">
                  <c:v>43945</c:v>
                </c:pt>
                <c:pt idx="115">
                  <c:v>43946</c:v>
                </c:pt>
                <c:pt idx="116">
                  <c:v>43947</c:v>
                </c:pt>
                <c:pt idx="117">
                  <c:v>43948</c:v>
                </c:pt>
                <c:pt idx="118">
                  <c:v>43949</c:v>
                </c:pt>
                <c:pt idx="119">
                  <c:v>43950</c:v>
                </c:pt>
                <c:pt idx="120">
                  <c:v>43951</c:v>
                </c:pt>
                <c:pt idx="121">
                  <c:v>43952</c:v>
                </c:pt>
                <c:pt idx="122">
                  <c:v>43953</c:v>
                </c:pt>
                <c:pt idx="123">
                  <c:v>43954</c:v>
                </c:pt>
                <c:pt idx="124">
                  <c:v>43955</c:v>
                </c:pt>
                <c:pt idx="125">
                  <c:v>43956</c:v>
                </c:pt>
                <c:pt idx="126">
                  <c:v>43957</c:v>
                </c:pt>
                <c:pt idx="127">
                  <c:v>43958</c:v>
                </c:pt>
                <c:pt idx="128">
                  <c:v>43959</c:v>
                </c:pt>
                <c:pt idx="129">
                  <c:v>43960</c:v>
                </c:pt>
                <c:pt idx="130">
                  <c:v>43961</c:v>
                </c:pt>
                <c:pt idx="131">
                  <c:v>43962</c:v>
                </c:pt>
                <c:pt idx="132">
                  <c:v>43963</c:v>
                </c:pt>
                <c:pt idx="133">
                  <c:v>43964</c:v>
                </c:pt>
                <c:pt idx="134">
                  <c:v>43965</c:v>
                </c:pt>
                <c:pt idx="135">
                  <c:v>43966</c:v>
                </c:pt>
                <c:pt idx="136">
                  <c:v>43967</c:v>
                </c:pt>
                <c:pt idx="137">
                  <c:v>43968</c:v>
                </c:pt>
                <c:pt idx="138">
                  <c:v>43969</c:v>
                </c:pt>
                <c:pt idx="139">
                  <c:v>43970</c:v>
                </c:pt>
                <c:pt idx="140">
                  <c:v>43971</c:v>
                </c:pt>
                <c:pt idx="141">
                  <c:v>43972</c:v>
                </c:pt>
                <c:pt idx="142">
                  <c:v>43973</c:v>
                </c:pt>
                <c:pt idx="143">
                  <c:v>43974</c:v>
                </c:pt>
                <c:pt idx="144">
                  <c:v>43975</c:v>
                </c:pt>
                <c:pt idx="145">
                  <c:v>43976</c:v>
                </c:pt>
                <c:pt idx="146">
                  <c:v>43977</c:v>
                </c:pt>
                <c:pt idx="147">
                  <c:v>43978</c:v>
                </c:pt>
                <c:pt idx="148">
                  <c:v>43979</c:v>
                </c:pt>
                <c:pt idx="149">
                  <c:v>43980</c:v>
                </c:pt>
                <c:pt idx="150">
                  <c:v>43981</c:v>
                </c:pt>
                <c:pt idx="151">
                  <c:v>43982</c:v>
                </c:pt>
                <c:pt idx="152">
                  <c:v>43983</c:v>
                </c:pt>
                <c:pt idx="153">
                  <c:v>43984</c:v>
                </c:pt>
                <c:pt idx="154">
                  <c:v>43985</c:v>
                </c:pt>
                <c:pt idx="155">
                  <c:v>43986</c:v>
                </c:pt>
                <c:pt idx="156">
                  <c:v>43987</c:v>
                </c:pt>
                <c:pt idx="157">
                  <c:v>43988</c:v>
                </c:pt>
                <c:pt idx="158">
                  <c:v>43989</c:v>
                </c:pt>
                <c:pt idx="159">
                  <c:v>43990</c:v>
                </c:pt>
                <c:pt idx="160">
                  <c:v>43991</c:v>
                </c:pt>
                <c:pt idx="161">
                  <c:v>43992</c:v>
                </c:pt>
                <c:pt idx="162">
                  <c:v>43993</c:v>
                </c:pt>
                <c:pt idx="163">
                  <c:v>43994</c:v>
                </c:pt>
                <c:pt idx="164">
                  <c:v>43995</c:v>
                </c:pt>
                <c:pt idx="165">
                  <c:v>43996</c:v>
                </c:pt>
                <c:pt idx="166">
                  <c:v>43997</c:v>
                </c:pt>
                <c:pt idx="167">
                  <c:v>43998</c:v>
                </c:pt>
                <c:pt idx="168">
                  <c:v>43999</c:v>
                </c:pt>
                <c:pt idx="169">
                  <c:v>44000</c:v>
                </c:pt>
                <c:pt idx="170">
                  <c:v>44001</c:v>
                </c:pt>
                <c:pt idx="171">
                  <c:v>44002</c:v>
                </c:pt>
                <c:pt idx="172">
                  <c:v>44003</c:v>
                </c:pt>
                <c:pt idx="173">
                  <c:v>44004</c:v>
                </c:pt>
                <c:pt idx="174">
                  <c:v>44005</c:v>
                </c:pt>
                <c:pt idx="175">
                  <c:v>44006</c:v>
                </c:pt>
                <c:pt idx="176">
                  <c:v>44007</c:v>
                </c:pt>
                <c:pt idx="177">
                  <c:v>44008</c:v>
                </c:pt>
                <c:pt idx="178">
                  <c:v>44009</c:v>
                </c:pt>
                <c:pt idx="179">
                  <c:v>44010</c:v>
                </c:pt>
                <c:pt idx="180">
                  <c:v>44011</c:v>
                </c:pt>
                <c:pt idx="181">
                  <c:v>44012</c:v>
                </c:pt>
                <c:pt idx="182">
                  <c:v>44013</c:v>
                </c:pt>
                <c:pt idx="183">
                  <c:v>44014</c:v>
                </c:pt>
                <c:pt idx="184">
                  <c:v>44015</c:v>
                </c:pt>
                <c:pt idx="185">
                  <c:v>44016</c:v>
                </c:pt>
                <c:pt idx="186">
                  <c:v>44017</c:v>
                </c:pt>
                <c:pt idx="187">
                  <c:v>44018</c:v>
                </c:pt>
                <c:pt idx="188">
                  <c:v>44019</c:v>
                </c:pt>
                <c:pt idx="189">
                  <c:v>44020</c:v>
                </c:pt>
                <c:pt idx="190">
                  <c:v>44021</c:v>
                </c:pt>
                <c:pt idx="191">
                  <c:v>44022</c:v>
                </c:pt>
                <c:pt idx="192">
                  <c:v>44023</c:v>
                </c:pt>
                <c:pt idx="193">
                  <c:v>44024</c:v>
                </c:pt>
                <c:pt idx="194">
                  <c:v>44025</c:v>
                </c:pt>
                <c:pt idx="195">
                  <c:v>44026</c:v>
                </c:pt>
                <c:pt idx="196">
                  <c:v>44027</c:v>
                </c:pt>
                <c:pt idx="197">
                  <c:v>44028</c:v>
                </c:pt>
                <c:pt idx="198">
                  <c:v>44029</c:v>
                </c:pt>
                <c:pt idx="199">
                  <c:v>44030</c:v>
                </c:pt>
                <c:pt idx="200">
                  <c:v>44031</c:v>
                </c:pt>
                <c:pt idx="201">
                  <c:v>44032</c:v>
                </c:pt>
                <c:pt idx="202">
                  <c:v>44033</c:v>
                </c:pt>
                <c:pt idx="203">
                  <c:v>44034</c:v>
                </c:pt>
                <c:pt idx="204">
                  <c:v>44035</c:v>
                </c:pt>
                <c:pt idx="205">
                  <c:v>44036</c:v>
                </c:pt>
                <c:pt idx="206">
                  <c:v>44037</c:v>
                </c:pt>
                <c:pt idx="207">
                  <c:v>44038</c:v>
                </c:pt>
                <c:pt idx="208">
                  <c:v>44039</c:v>
                </c:pt>
                <c:pt idx="209">
                  <c:v>44040</c:v>
                </c:pt>
                <c:pt idx="210">
                  <c:v>44041</c:v>
                </c:pt>
                <c:pt idx="211">
                  <c:v>44042</c:v>
                </c:pt>
                <c:pt idx="212">
                  <c:v>44043</c:v>
                </c:pt>
                <c:pt idx="213">
                  <c:v>44044</c:v>
                </c:pt>
                <c:pt idx="214">
                  <c:v>44045</c:v>
                </c:pt>
                <c:pt idx="215">
                  <c:v>44046</c:v>
                </c:pt>
                <c:pt idx="216">
                  <c:v>44047</c:v>
                </c:pt>
                <c:pt idx="217">
                  <c:v>44048</c:v>
                </c:pt>
                <c:pt idx="218">
                  <c:v>44049</c:v>
                </c:pt>
                <c:pt idx="219">
                  <c:v>44050</c:v>
                </c:pt>
                <c:pt idx="220">
                  <c:v>44051</c:v>
                </c:pt>
                <c:pt idx="221">
                  <c:v>44052</c:v>
                </c:pt>
                <c:pt idx="222">
                  <c:v>44053</c:v>
                </c:pt>
                <c:pt idx="223">
                  <c:v>44054</c:v>
                </c:pt>
                <c:pt idx="224">
                  <c:v>44055</c:v>
                </c:pt>
                <c:pt idx="225">
                  <c:v>44056</c:v>
                </c:pt>
                <c:pt idx="226">
                  <c:v>44057</c:v>
                </c:pt>
                <c:pt idx="227">
                  <c:v>44058</c:v>
                </c:pt>
                <c:pt idx="228">
                  <c:v>44059</c:v>
                </c:pt>
                <c:pt idx="229">
                  <c:v>44060</c:v>
                </c:pt>
                <c:pt idx="230">
                  <c:v>44061</c:v>
                </c:pt>
                <c:pt idx="231">
                  <c:v>44062</c:v>
                </c:pt>
                <c:pt idx="232">
                  <c:v>44063</c:v>
                </c:pt>
                <c:pt idx="233">
                  <c:v>44064</c:v>
                </c:pt>
                <c:pt idx="234">
                  <c:v>44065</c:v>
                </c:pt>
                <c:pt idx="235">
                  <c:v>44066</c:v>
                </c:pt>
                <c:pt idx="236">
                  <c:v>44067</c:v>
                </c:pt>
                <c:pt idx="237">
                  <c:v>44068</c:v>
                </c:pt>
                <c:pt idx="238">
                  <c:v>44069</c:v>
                </c:pt>
                <c:pt idx="239">
                  <c:v>44070</c:v>
                </c:pt>
                <c:pt idx="240">
                  <c:v>44071</c:v>
                </c:pt>
                <c:pt idx="241">
                  <c:v>44072</c:v>
                </c:pt>
                <c:pt idx="242">
                  <c:v>44073</c:v>
                </c:pt>
                <c:pt idx="243">
                  <c:v>44074</c:v>
                </c:pt>
                <c:pt idx="244">
                  <c:v>44075</c:v>
                </c:pt>
                <c:pt idx="245">
                  <c:v>44076</c:v>
                </c:pt>
                <c:pt idx="246">
                  <c:v>44077</c:v>
                </c:pt>
                <c:pt idx="247">
                  <c:v>44078</c:v>
                </c:pt>
                <c:pt idx="248">
                  <c:v>44079</c:v>
                </c:pt>
                <c:pt idx="249">
                  <c:v>44080</c:v>
                </c:pt>
                <c:pt idx="250">
                  <c:v>44081</c:v>
                </c:pt>
                <c:pt idx="251">
                  <c:v>44082</c:v>
                </c:pt>
                <c:pt idx="252">
                  <c:v>44083</c:v>
                </c:pt>
                <c:pt idx="253">
                  <c:v>44084</c:v>
                </c:pt>
                <c:pt idx="254">
                  <c:v>44085</c:v>
                </c:pt>
                <c:pt idx="255">
                  <c:v>44086</c:v>
                </c:pt>
                <c:pt idx="256">
                  <c:v>44087</c:v>
                </c:pt>
                <c:pt idx="257">
                  <c:v>44088</c:v>
                </c:pt>
                <c:pt idx="258">
                  <c:v>44089</c:v>
                </c:pt>
                <c:pt idx="259">
                  <c:v>44090</c:v>
                </c:pt>
                <c:pt idx="260">
                  <c:v>44091</c:v>
                </c:pt>
                <c:pt idx="261">
                  <c:v>44092</c:v>
                </c:pt>
                <c:pt idx="262">
                  <c:v>44093</c:v>
                </c:pt>
                <c:pt idx="263">
                  <c:v>44094</c:v>
                </c:pt>
                <c:pt idx="264">
                  <c:v>44095</c:v>
                </c:pt>
                <c:pt idx="265">
                  <c:v>44096</c:v>
                </c:pt>
                <c:pt idx="266">
                  <c:v>44097</c:v>
                </c:pt>
                <c:pt idx="267">
                  <c:v>44098</c:v>
                </c:pt>
                <c:pt idx="268">
                  <c:v>44099</c:v>
                </c:pt>
                <c:pt idx="269">
                  <c:v>44100</c:v>
                </c:pt>
                <c:pt idx="270">
                  <c:v>44101</c:v>
                </c:pt>
                <c:pt idx="271">
                  <c:v>44102</c:v>
                </c:pt>
                <c:pt idx="272">
                  <c:v>44103</c:v>
                </c:pt>
                <c:pt idx="273">
                  <c:v>44104</c:v>
                </c:pt>
                <c:pt idx="274">
                  <c:v>44105</c:v>
                </c:pt>
                <c:pt idx="275">
                  <c:v>44106</c:v>
                </c:pt>
                <c:pt idx="276">
                  <c:v>44107</c:v>
                </c:pt>
                <c:pt idx="277">
                  <c:v>44108</c:v>
                </c:pt>
                <c:pt idx="278">
                  <c:v>44109</c:v>
                </c:pt>
                <c:pt idx="279">
                  <c:v>44110</c:v>
                </c:pt>
                <c:pt idx="280">
                  <c:v>44111</c:v>
                </c:pt>
                <c:pt idx="281">
                  <c:v>44112</c:v>
                </c:pt>
                <c:pt idx="282">
                  <c:v>44113</c:v>
                </c:pt>
                <c:pt idx="283">
                  <c:v>44114</c:v>
                </c:pt>
                <c:pt idx="284">
                  <c:v>44115</c:v>
                </c:pt>
                <c:pt idx="285">
                  <c:v>44116</c:v>
                </c:pt>
                <c:pt idx="286">
                  <c:v>44117</c:v>
                </c:pt>
                <c:pt idx="287">
                  <c:v>44118</c:v>
                </c:pt>
                <c:pt idx="288">
                  <c:v>44119</c:v>
                </c:pt>
                <c:pt idx="289">
                  <c:v>44120</c:v>
                </c:pt>
                <c:pt idx="290">
                  <c:v>44121</c:v>
                </c:pt>
                <c:pt idx="291">
                  <c:v>44122</c:v>
                </c:pt>
                <c:pt idx="292">
                  <c:v>44123</c:v>
                </c:pt>
                <c:pt idx="293">
                  <c:v>44124</c:v>
                </c:pt>
                <c:pt idx="294">
                  <c:v>44125</c:v>
                </c:pt>
                <c:pt idx="295">
                  <c:v>44126</c:v>
                </c:pt>
                <c:pt idx="296">
                  <c:v>44127</c:v>
                </c:pt>
                <c:pt idx="297">
                  <c:v>44128</c:v>
                </c:pt>
                <c:pt idx="298">
                  <c:v>44129</c:v>
                </c:pt>
                <c:pt idx="299">
                  <c:v>44130</c:v>
                </c:pt>
                <c:pt idx="300">
                  <c:v>44131</c:v>
                </c:pt>
                <c:pt idx="301">
                  <c:v>44132</c:v>
                </c:pt>
                <c:pt idx="302">
                  <c:v>44133</c:v>
                </c:pt>
                <c:pt idx="303">
                  <c:v>44134</c:v>
                </c:pt>
                <c:pt idx="304">
                  <c:v>44135</c:v>
                </c:pt>
                <c:pt idx="305">
                  <c:v>44136</c:v>
                </c:pt>
                <c:pt idx="306">
                  <c:v>44137</c:v>
                </c:pt>
                <c:pt idx="307">
                  <c:v>44138</c:v>
                </c:pt>
                <c:pt idx="308">
                  <c:v>44139</c:v>
                </c:pt>
                <c:pt idx="309">
                  <c:v>44140</c:v>
                </c:pt>
                <c:pt idx="310">
                  <c:v>44141</c:v>
                </c:pt>
                <c:pt idx="311">
                  <c:v>44142</c:v>
                </c:pt>
                <c:pt idx="312">
                  <c:v>44143</c:v>
                </c:pt>
                <c:pt idx="313">
                  <c:v>44144</c:v>
                </c:pt>
                <c:pt idx="314">
                  <c:v>44145</c:v>
                </c:pt>
                <c:pt idx="315">
                  <c:v>44146</c:v>
                </c:pt>
                <c:pt idx="316">
                  <c:v>44147</c:v>
                </c:pt>
                <c:pt idx="317">
                  <c:v>44148</c:v>
                </c:pt>
                <c:pt idx="318">
                  <c:v>44149</c:v>
                </c:pt>
                <c:pt idx="319">
                  <c:v>44150</c:v>
                </c:pt>
                <c:pt idx="320">
                  <c:v>44151</c:v>
                </c:pt>
                <c:pt idx="321">
                  <c:v>44152</c:v>
                </c:pt>
                <c:pt idx="322">
                  <c:v>44153</c:v>
                </c:pt>
                <c:pt idx="323">
                  <c:v>44154</c:v>
                </c:pt>
                <c:pt idx="324">
                  <c:v>44155</c:v>
                </c:pt>
                <c:pt idx="325">
                  <c:v>44156</c:v>
                </c:pt>
                <c:pt idx="326">
                  <c:v>44157</c:v>
                </c:pt>
                <c:pt idx="327">
                  <c:v>44158</c:v>
                </c:pt>
                <c:pt idx="328">
                  <c:v>44159</c:v>
                </c:pt>
                <c:pt idx="329">
                  <c:v>44160</c:v>
                </c:pt>
                <c:pt idx="330">
                  <c:v>44161</c:v>
                </c:pt>
                <c:pt idx="331">
                  <c:v>44162</c:v>
                </c:pt>
                <c:pt idx="332">
                  <c:v>44163</c:v>
                </c:pt>
                <c:pt idx="333">
                  <c:v>44164</c:v>
                </c:pt>
                <c:pt idx="334">
                  <c:v>44165</c:v>
                </c:pt>
                <c:pt idx="335">
                  <c:v>44166</c:v>
                </c:pt>
                <c:pt idx="336">
                  <c:v>44167</c:v>
                </c:pt>
                <c:pt idx="337">
                  <c:v>44168</c:v>
                </c:pt>
                <c:pt idx="338">
                  <c:v>44169</c:v>
                </c:pt>
                <c:pt idx="339">
                  <c:v>44170</c:v>
                </c:pt>
                <c:pt idx="340">
                  <c:v>44171</c:v>
                </c:pt>
                <c:pt idx="341">
                  <c:v>44172</c:v>
                </c:pt>
                <c:pt idx="342">
                  <c:v>44173</c:v>
                </c:pt>
                <c:pt idx="343">
                  <c:v>44174</c:v>
                </c:pt>
                <c:pt idx="344">
                  <c:v>44175</c:v>
                </c:pt>
                <c:pt idx="345">
                  <c:v>44176</c:v>
                </c:pt>
                <c:pt idx="346">
                  <c:v>44177</c:v>
                </c:pt>
                <c:pt idx="347">
                  <c:v>44178</c:v>
                </c:pt>
                <c:pt idx="348">
                  <c:v>44179</c:v>
                </c:pt>
                <c:pt idx="349">
                  <c:v>44180</c:v>
                </c:pt>
                <c:pt idx="350">
                  <c:v>44181</c:v>
                </c:pt>
                <c:pt idx="351">
                  <c:v>44182</c:v>
                </c:pt>
                <c:pt idx="352">
                  <c:v>44183</c:v>
                </c:pt>
                <c:pt idx="353">
                  <c:v>44184</c:v>
                </c:pt>
                <c:pt idx="354">
                  <c:v>44185</c:v>
                </c:pt>
                <c:pt idx="355">
                  <c:v>44186</c:v>
                </c:pt>
                <c:pt idx="356">
                  <c:v>44187</c:v>
                </c:pt>
                <c:pt idx="357">
                  <c:v>44188</c:v>
                </c:pt>
                <c:pt idx="358">
                  <c:v>44189</c:v>
                </c:pt>
                <c:pt idx="359">
                  <c:v>44190</c:v>
                </c:pt>
                <c:pt idx="360">
                  <c:v>44191</c:v>
                </c:pt>
                <c:pt idx="361">
                  <c:v>44192</c:v>
                </c:pt>
                <c:pt idx="362">
                  <c:v>44193</c:v>
                </c:pt>
                <c:pt idx="363">
                  <c:v>44194</c:v>
                </c:pt>
                <c:pt idx="364">
                  <c:v>44195</c:v>
                </c:pt>
                <c:pt idx="365">
                  <c:v>44196</c:v>
                </c:pt>
              </c:numCache>
            </c:numRef>
          </c:cat>
          <c:val>
            <c:numRef>
              <c:f>MF_SE_Gráficos!$W$2:$W$367</c:f>
              <c:numCache>
                <c:formatCode>0.00</c:formatCode>
                <c:ptCount val="366"/>
                <c:pt idx="0">
                  <c:v>7.6988399999999997</c:v>
                </c:pt>
                <c:pt idx="1">
                  <c:v>7.6990999999999996</c:v>
                </c:pt>
                <c:pt idx="2">
                  <c:v>7.7071100000000001</c:v>
                </c:pt>
                <c:pt idx="3">
                  <c:v>7.7071100000000001</c:v>
                </c:pt>
                <c:pt idx="4">
                  <c:v>7.7071100000000001</c:v>
                </c:pt>
                <c:pt idx="5">
                  <c:v>7.7071500000000004</c:v>
                </c:pt>
                <c:pt idx="6">
                  <c:v>7.7070400000000001</c:v>
                </c:pt>
                <c:pt idx="7">
                  <c:v>7.7101699999999997</c:v>
                </c:pt>
                <c:pt idx="8">
                  <c:v>7.71434</c:v>
                </c:pt>
                <c:pt idx="9">
                  <c:v>7.7136199999999997</c:v>
                </c:pt>
                <c:pt idx="10">
                  <c:v>7.7136199999999997</c:v>
                </c:pt>
                <c:pt idx="11">
                  <c:v>7.7136199999999997</c:v>
                </c:pt>
                <c:pt idx="12">
                  <c:v>7.7104299999999997</c:v>
                </c:pt>
                <c:pt idx="13">
                  <c:v>7.7062900000000001</c:v>
                </c:pt>
                <c:pt idx="14">
                  <c:v>7.7018300000000002</c:v>
                </c:pt>
                <c:pt idx="15">
                  <c:v>7.6969500000000002</c:v>
                </c:pt>
                <c:pt idx="16">
                  <c:v>7.6944100000000004</c:v>
                </c:pt>
                <c:pt idx="17">
                  <c:v>7.6944100000000004</c:v>
                </c:pt>
                <c:pt idx="18">
                  <c:v>7.6944100000000004</c:v>
                </c:pt>
                <c:pt idx="19">
                  <c:v>7.69116</c:v>
                </c:pt>
                <c:pt idx="20">
                  <c:v>7.6906100000000004</c:v>
                </c:pt>
                <c:pt idx="21">
                  <c:v>7.6881700000000004</c:v>
                </c:pt>
                <c:pt idx="22">
                  <c:v>7.6866700000000003</c:v>
                </c:pt>
                <c:pt idx="23">
                  <c:v>7.6836200000000003</c:v>
                </c:pt>
                <c:pt idx="24">
                  <c:v>7.6836200000000003</c:v>
                </c:pt>
                <c:pt idx="25">
                  <c:v>7.6836200000000003</c:v>
                </c:pt>
                <c:pt idx="26">
                  <c:v>7.6756200000000003</c:v>
                </c:pt>
                <c:pt idx="27">
                  <c:v>7.6779000000000002</c:v>
                </c:pt>
                <c:pt idx="28">
                  <c:v>7.67272</c:v>
                </c:pt>
                <c:pt idx="29">
                  <c:v>7.6685999999999996</c:v>
                </c:pt>
                <c:pt idx="30">
                  <c:v>7.6640100000000002</c:v>
                </c:pt>
                <c:pt idx="31">
                  <c:v>7.6640100000000002</c:v>
                </c:pt>
                <c:pt idx="32">
                  <c:v>7.6640100000000002</c:v>
                </c:pt>
                <c:pt idx="33">
                  <c:v>7.6582699999999999</c:v>
                </c:pt>
                <c:pt idx="34">
                  <c:v>7.6522399999999999</c:v>
                </c:pt>
                <c:pt idx="35">
                  <c:v>7.6454899999999997</c:v>
                </c:pt>
                <c:pt idx="36">
                  <c:v>7.6462599999999998</c:v>
                </c:pt>
                <c:pt idx="37">
                  <c:v>7.6485099999999999</c:v>
                </c:pt>
                <c:pt idx="38">
                  <c:v>7.6485099999999999</c:v>
                </c:pt>
                <c:pt idx="39">
                  <c:v>7.6485099999999999</c:v>
                </c:pt>
                <c:pt idx="40">
                  <c:v>7.6465800000000002</c:v>
                </c:pt>
                <c:pt idx="41">
                  <c:v>7.64377</c:v>
                </c:pt>
                <c:pt idx="42">
                  <c:v>7.6412000000000004</c:v>
                </c:pt>
                <c:pt idx="43">
                  <c:v>7.6381100000000002</c:v>
                </c:pt>
                <c:pt idx="44">
                  <c:v>7.6363599999999998</c:v>
                </c:pt>
                <c:pt idx="45">
                  <c:v>7.6363599999999998</c:v>
                </c:pt>
                <c:pt idx="46">
                  <c:v>7.6363599999999998</c:v>
                </c:pt>
                <c:pt idx="47">
                  <c:v>7.6339499999999996</c:v>
                </c:pt>
                <c:pt idx="48">
                  <c:v>7.6391</c:v>
                </c:pt>
                <c:pt idx="49">
                  <c:v>7.6388299999999996</c:v>
                </c:pt>
                <c:pt idx="50">
                  <c:v>7.6421799999999998</c:v>
                </c:pt>
                <c:pt idx="51">
                  <c:v>7.6439300000000001</c:v>
                </c:pt>
                <c:pt idx="52">
                  <c:v>7.6439300000000001</c:v>
                </c:pt>
                <c:pt idx="53">
                  <c:v>7.6439300000000001</c:v>
                </c:pt>
                <c:pt idx="54">
                  <c:v>7.6431899999999997</c:v>
                </c:pt>
                <c:pt idx="55">
                  <c:v>7.6461600000000001</c:v>
                </c:pt>
                <c:pt idx="56">
                  <c:v>7.6520200000000003</c:v>
                </c:pt>
                <c:pt idx="57">
                  <c:v>7.6692799999999997</c:v>
                </c:pt>
                <c:pt idx="58">
                  <c:v>7.6788400000000001</c:v>
                </c:pt>
                <c:pt idx="59">
                  <c:v>7.6788400000000001</c:v>
                </c:pt>
                <c:pt idx="60">
                  <c:v>7.6788400000000001</c:v>
                </c:pt>
                <c:pt idx="61">
                  <c:v>7.68058</c:v>
                </c:pt>
                <c:pt idx="62">
                  <c:v>7.6745400000000004</c:v>
                </c:pt>
                <c:pt idx="63">
                  <c:v>7.67279</c:v>
                </c:pt>
                <c:pt idx="64">
                  <c:v>7.6758100000000002</c:v>
                </c:pt>
                <c:pt idx="65">
                  <c:v>7.6702399999999997</c:v>
                </c:pt>
                <c:pt idx="66">
                  <c:v>7.6702399999999997</c:v>
                </c:pt>
                <c:pt idx="67">
                  <c:v>7.6702399999999997</c:v>
                </c:pt>
                <c:pt idx="68">
                  <c:v>7.6727800000000004</c:v>
                </c:pt>
                <c:pt idx="69">
                  <c:v>7.6655499999999996</c:v>
                </c:pt>
                <c:pt idx="70">
                  <c:v>7.6602100000000002</c:v>
                </c:pt>
                <c:pt idx="71">
                  <c:v>7.6538500000000003</c:v>
                </c:pt>
                <c:pt idx="72">
                  <c:v>7.6504000000000003</c:v>
                </c:pt>
                <c:pt idx="73">
                  <c:v>7.6504000000000003</c:v>
                </c:pt>
                <c:pt idx="74">
                  <c:v>7.6504000000000003</c:v>
                </c:pt>
                <c:pt idx="75">
                  <c:v>7.6467799999999997</c:v>
                </c:pt>
                <c:pt idx="76">
                  <c:v>7.6435500000000003</c:v>
                </c:pt>
                <c:pt idx="77">
                  <c:v>7.6407600000000002</c:v>
                </c:pt>
                <c:pt idx="78">
                  <c:v>7.6364299999999998</c:v>
                </c:pt>
                <c:pt idx="79">
                  <c:v>7.6430100000000003</c:v>
                </c:pt>
                <c:pt idx="80">
                  <c:v>7.6430100000000003</c:v>
                </c:pt>
                <c:pt idx="81">
                  <c:v>7.6430100000000003</c:v>
                </c:pt>
                <c:pt idx="82">
                  <c:v>7.6747399999999999</c:v>
                </c:pt>
                <c:pt idx="83">
                  <c:v>7.7521300000000002</c:v>
                </c:pt>
                <c:pt idx="84">
                  <c:v>7.9279299999999999</c:v>
                </c:pt>
                <c:pt idx="85">
                  <c:v>7.79488</c:v>
                </c:pt>
                <c:pt idx="86">
                  <c:v>7.7459100000000003</c:v>
                </c:pt>
                <c:pt idx="87">
                  <c:v>7.7459100000000003</c:v>
                </c:pt>
                <c:pt idx="88">
                  <c:v>7.7459100000000003</c:v>
                </c:pt>
                <c:pt idx="89">
                  <c:v>7.71441</c:v>
                </c:pt>
                <c:pt idx="90">
                  <c:v>7.6846699999999997</c:v>
                </c:pt>
                <c:pt idx="91">
                  <c:v>7.6977399999999996</c:v>
                </c:pt>
                <c:pt idx="92">
                  <c:v>7.7015900000000004</c:v>
                </c:pt>
                <c:pt idx="93">
                  <c:v>7.6988099999999999</c:v>
                </c:pt>
                <c:pt idx="94">
                  <c:v>7.6988099999999999</c:v>
                </c:pt>
                <c:pt idx="95">
                  <c:v>7.6988099999999999</c:v>
                </c:pt>
                <c:pt idx="96">
                  <c:v>7.7162899999999999</c:v>
                </c:pt>
                <c:pt idx="97">
                  <c:v>7.7077900000000001</c:v>
                </c:pt>
                <c:pt idx="98">
                  <c:v>7.7058499999999999</c:v>
                </c:pt>
                <c:pt idx="99">
                  <c:v>7.7058499999999999</c:v>
                </c:pt>
                <c:pt idx="100">
                  <c:v>7.7058499999999999</c:v>
                </c:pt>
                <c:pt idx="101">
                  <c:v>7.7058499999999999</c:v>
                </c:pt>
                <c:pt idx="102">
                  <c:v>7.7058499999999999</c:v>
                </c:pt>
                <c:pt idx="103">
                  <c:v>7.7065900000000003</c:v>
                </c:pt>
                <c:pt idx="104">
                  <c:v>7.7063699999999997</c:v>
                </c:pt>
                <c:pt idx="105">
                  <c:v>7.7074800000000003</c:v>
                </c:pt>
                <c:pt idx="106">
                  <c:v>7.7085600000000003</c:v>
                </c:pt>
                <c:pt idx="107">
                  <c:v>7.7103099999999998</c:v>
                </c:pt>
                <c:pt idx="108">
                  <c:v>7.7103099999999998</c:v>
                </c:pt>
                <c:pt idx="109">
                  <c:v>7.7103099999999998</c:v>
                </c:pt>
                <c:pt idx="110">
                  <c:v>7.7070699999999999</c:v>
                </c:pt>
                <c:pt idx="111">
                  <c:v>7.7104699999999999</c:v>
                </c:pt>
                <c:pt idx="112">
                  <c:v>7.7109899999999998</c:v>
                </c:pt>
                <c:pt idx="113">
                  <c:v>7.7087599999999998</c:v>
                </c:pt>
                <c:pt idx="114">
                  <c:v>7.7121000000000004</c:v>
                </c:pt>
                <c:pt idx="115">
                  <c:v>7.7121000000000004</c:v>
                </c:pt>
                <c:pt idx="116">
                  <c:v>7.7121000000000004</c:v>
                </c:pt>
                <c:pt idx="117">
                  <c:v>7.7043499999999998</c:v>
                </c:pt>
                <c:pt idx="118">
                  <c:v>7.7067699999999997</c:v>
                </c:pt>
                <c:pt idx="119">
                  <c:v>7.7140199999999997</c:v>
                </c:pt>
                <c:pt idx="120">
                  <c:v>7.71244</c:v>
                </c:pt>
                <c:pt idx="121">
                  <c:v>7.71244</c:v>
                </c:pt>
                <c:pt idx="122">
                  <c:v>7.71244</c:v>
                </c:pt>
                <c:pt idx="123">
                  <c:v>7.71244</c:v>
                </c:pt>
                <c:pt idx="124">
                  <c:v>7.7098899999999997</c:v>
                </c:pt>
                <c:pt idx="125">
                  <c:v>7.7069400000000003</c:v>
                </c:pt>
                <c:pt idx="126">
                  <c:v>7.7055199999999999</c:v>
                </c:pt>
                <c:pt idx="127">
                  <c:v>7.7041199999999996</c:v>
                </c:pt>
                <c:pt idx="128">
                  <c:v>7.7031900000000002</c:v>
                </c:pt>
                <c:pt idx="129">
                  <c:v>7.7031900000000002</c:v>
                </c:pt>
                <c:pt idx="130">
                  <c:v>7.7031900000000002</c:v>
                </c:pt>
                <c:pt idx="131">
                  <c:v>7.7027900000000002</c:v>
                </c:pt>
                <c:pt idx="132">
                  <c:v>7.6960100000000002</c:v>
                </c:pt>
                <c:pt idx="133">
                  <c:v>7.6979100000000003</c:v>
                </c:pt>
                <c:pt idx="134">
                  <c:v>7.6970999999999998</c:v>
                </c:pt>
                <c:pt idx="135">
                  <c:v>7.6993200000000002</c:v>
                </c:pt>
                <c:pt idx="136">
                  <c:v>7.6993200000000002</c:v>
                </c:pt>
                <c:pt idx="137">
                  <c:v>7.6993200000000002</c:v>
                </c:pt>
                <c:pt idx="138">
                  <c:v>7.6993200000000002</c:v>
                </c:pt>
                <c:pt idx="139">
                  <c:v>7.6944100000000004</c:v>
                </c:pt>
                <c:pt idx="140">
                  <c:v>7.6955099999999996</c:v>
                </c:pt>
                <c:pt idx="141">
                  <c:v>7.6928700000000001</c:v>
                </c:pt>
                <c:pt idx="142">
                  <c:v>7.6920299999999999</c:v>
                </c:pt>
                <c:pt idx="143">
                  <c:v>7.6920299999999999</c:v>
                </c:pt>
                <c:pt idx="144">
                  <c:v>7.6920299999999999</c:v>
                </c:pt>
                <c:pt idx="145">
                  <c:v>7.6934699999999996</c:v>
                </c:pt>
                <c:pt idx="146">
                  <c:v>7.6890999999999998</c:v>
                </c:pt>
                <c:pt idx="147">
                  <c:v>7.6921600000000003</c:v>
                </c:pt>
                <c:pt idx="148">
                  <c:v>7.6915300000000002</c:v>
                </c:pt>
                <c:pt idx="149">
                  <c:v>7.6894900000000002</c:v>
                </c:pt>
                <c:pt idx="150">
                  <c:v>7.6894900000000002</c:v>
                </c:pt>
                <c:pt idx="151">
                  <c:v>7.6894900000000002</c:v>
                </c:pt>
                <c:pt idx="152">
                  <c:v>7.6896199999999997</c:v>
                </c:pt>
                <c:pt idx="153">
                  <c:v>7.6859599999999997</c:v>
                </c:pt>
                <c:pt idx="154">
                  <c:v>7.6857100000000003</c:v>
                </c:pt>
                <c:pt idx="155">
                  <c:v>7.6835000000000004</c:v>
                </c:pt>
                <c:pt idx="156">
                  <c:v>7.6854100000000001</c:v>
                </c:pt>
                <c:pt idx="157">
                  <c:v>7.6854100000000001</c:v>
                </c:pt>
                <c:pt idx="158">
                  <c:v>7.6854100000000001</c:v>
                </c:pt>
                <c:pt idx="159">
                  <c:v>7.6882900000000003</c:v>
                </c:pt>
                <c:pt idx="160">
                  <c:v>7.6892300000000002</c:v>
                </c:pt>
                <c:pt idx="161">
                  <c:v>7.6928799999999997</c:v>
                </c:pt>
                <c:pt idx="162">
                  <c:v>7.6956300000000004</c:v>
                </c:pt>
                <c:pt idx="163">
                  <c:v>7.7004099999999998</c:v>
                </c:pt>
                <c:pt idx="164">
                  <c:v>7.7004099999999998</c:v>
                </c:pt>
                <c:pt idx="165">
                  <c:v>7.7004099999999998</c:v>
                </c:pt>
                <c:pt idx="166">
                  <c:v>7.7026199999999996</c:v>
                </c:pt>
                <c:pt idx="167">
                  <c:v>7.7079199999999997</c:v>
                </c:pt>
                <c:pt idx="168">
                  <c:v>7.7046400000000004</c:v>
                </c:pt>
                <c:pt idx="169">
                  <c:v>7.7064599999999999</c:v>
                </c:pt>
                <c:pt idx="170">
                  <c:v>7.7086699999999997</c:v>
                </c:pt>
                <c:pt idx="171">
                  <c:v>7.7086699999999997</c:v>
                </c:pt>
                <c:pt idx="172">
                  <c:v>7.7086699999999997</c:v>
                </c:pt>
                <c:pt idx="173">
                  <c:v>7.7035900000000002</c:v>
                </c:pt>
                <c:pt idx="174">
                  <c:v>7.6988899999999996</c:v>
                </c:pt>
                <c:pt idx="175">
                  <c:v>7.7027999999999999</c:v>
                </c:pt>
                <c:pt idx="176">
                  <c:v>7.7002800000000002</c:v>
                </c:pt>
                <c:pt idx="177">
                  <c:v>7.7002600000000001</c:v>
                </c:pt>
                <c:pt idx="178">
                  <c:v>7.7002600000000001</c:v>
                </c:pt>
                <c:pt idx="179">
                  <c:v>7.7002600000000001</c:v>
                </c:pt>
                <c:pt idx="180">
                  <c:v>7.7002600000000001</c:v>
                </c:pt>
                <c:pt idx="181">
                  <c:v>7.7002600000000001</c:v>
                </c:pt>
                <c:pt idx="182">
                  <c:v>7.7042099999999998</c:v>
                </c:pt>
                <c:pt idx="183">
                  <c:v>7.6991100000000001</c:v>
                </c:pt>
                <c:pt idx="184">
                  <c:v>7.7036499999999997</c:v>
                </c:pt>
                <c:pt idx="185">
                  <c:v>7.7036499999999997</c:v>
                </c:pt>
                <c:pt idx="186">
                  <c:v>7.7036499999999997</c:v>
                </c:pt>
                <c:pt idx="187">
                  <c:v>7.7041599999999999</c:v>
                </c:pt>
                <c:pt idx="188">
                  <c:v>7.7040100000000002</c:v>
                </c:pt>
                <c:pt idx="189">
                  <c:v>7.6993900000000002</c:v>
                </c:pt>
                <c:pt idx="190">
                  <c:v>7.6955099999999996</c:v>
                </c:pt>
                <c:pt idx="191">
                  <c:v>7.6977099999999998</c:v>
                </c:pt>
                <c:pt idx="192">
                  <c:v>7.6977099999999998</c:v>
                </c:pt>
                <c:pt idx="193">
                  <c:v>7.6977099999999998</c:v>
                </c:pt>
                <c:pt idx="194">
                  <c:v>7.6929600000000002</c:v>
                </c:pt>
                <c:pt idx="195">
                  <c:v>7.6919300000000002</c:v>
                </c:pt>
                <c:pt idx="196">
                  <c:v>7.6916799999999999</c:v>
                </c:pt>
                <c:pt idx="197">
                  <c:v>7.6905099999999997</c:v>
                </c:pt>
                <c:pt idx="198">
                  <c:v>7.6899199999999999</c:v>
                </c:pt>
                <c:pt idx="199">
                  <c:v>7.6899199999999999</c:v>
                </c:pt>
                <c:pt idx="200">
                  <c:v>7.6899199999999999</c:v>
                </c:pt>
                <c:pt idx="201">
                  <c:v>7.6914499999999997</c:v>
                </c:pt>
                <c:pt idx="202">
                  <c:v>7.6888500000000004</c:v>
                </c:pt>
                <c:pt idx="203">
                  <c:v>7.6917600000000004</c:v>
                </c:pt>
                <c:pt idx="204">
                  <c:v>7.69095</c:v>
                </c:pt>
                <c:pt idx="205">
                  <c:v>7.6886299999999999</c:v>
                </c:pt>
                <c:pt idx="206">
                  <c:v>7.6886299999999999</c:v>
                </c:pt>
                <c:pt idx="207">
                  <c:v>7.6886299999999999</c:v>
                </c:pt>
                <c:pt idx="208">
                  <c:v>7.6942700000000004</c:v>
                </c:pt>
                <c:pt idx="209">
                  <c:v>7.6956300000000004</c:v>
                </c:pt>
                <c:pt idx="210">
                  <c:v>7.6988000000000003</c:v>
                </c:pt>
                <c:pt idx="211">
                  <c:v>7.7013299999999996</c:v>
                </c:pt>
                <c:pt idx="212">
                  <c:v>7.70871</c:v>
                </c:pt>
                <c:pt idx="213">
                  <c:v>7.70871</c:v>
                </c:pt>
                <c:pt idx="214">
                  <c:v>7.70871</c:v>
                </c:pt>
                <c:pt idx="215">
                  <c:v>7.7088799999999997</c:v>
                </c:pt>
                <c:pt idx="216">
                  <c:v>7.7069799999999997</c:v>
                </c:pt>
                <c:pt idx="217">
                  <c:v>7.7055499999999997</c:v>
                </c:pt>
                <c:pt idx="218">
                  <c:v>7.7008599999999996</c:v>
                </c:pt>
                <c:pt idx="219">
                  <c:v>7.7007000000000003</c:v>
                </c:pt>
                <c:pt idx="220">
                  <c:v>7.7007000000000003</c:v>
                </c:pt>
                <c:pt idx="221">
                  <c:v>7.7007000000000003</c:v>
                </c:pt>
                <c:pt idx="222">
                  <c:v>7.7002499999999996</c:v>
                </c:pt>
                <c:pt idx="223">
                  <c:v>7.6997200000000001</c:v>
                </c:pt>
                <c:pt idx="224">
                  <c:v>7.70296</c:v>
                </c:pt>
                <c:pt idx="225">
                  <c:v>7.7010500000000004</c:v>
                </c:pt>
                <c:pt idx="226">
                  <c:v>7.7010500000000004</c:v>
                </c:pt>
                <c:pt idx="227">
                  <c:v>7.7010500000000004</c:v>
                </c:pt>
                <c:pt idx="228">
                  <c:v>7.7010500000000004</c:v>
                </c:pt>
                <c:pt idx="229">
                  <c:v>7.70024</c:v>
                </c:pt>
                <c:pt idx="230">
                  <c:v>7.6964800000000002</c:v>
                </c:pt>
                <c:pt idx="231">
                  <c:v>7.6989400000000003</c:v>
                </c:pt>
                <c:pt idx="232">
                  <c:v>7.69998</c:v>
                </c:pt>
                <c:pt idx="233">
                  <c:v>7.7013199999999999</c:v>
                </c:pt>
                <c:pt idx="234">
                  <c:v>7.7013199999999999</c:v>
                </c:pt>
                <c:pt idx="235">
                  <c:v>7.7013199999999999</c:v>
                </c:pt>
                <c:pt idx="236">
                  <c:v>7.6959499999999998</c:v>
                </c:pt>
                <c:pt idx="237">
                  <c:v>7.6982299999999997</c:v>
                </c:pt>
                <c:pt idx="238">
                  <c:v>7.7026199999999996</c:v>
                </c:pt>
                <c:pt idx="239">
                  <c:v>7.7102899999999996</c:v>
                </c:pt>
                <c:pt idx="240">
                  <c:v>7.7250800000000002</c:v>
                </c:pt>
                <c:pt idx="241">
                  <c:v>7.7250800000000002</c:v>
                </c:pt>
                <c:pt idx="242">
                  <c:v>7.7250800000000002</c:v>
                </c:pt>
                <c:pt idx="243">
                  <c:v>7.7299100000000003</c:v>
                </c:pt>
                <c:pt idx="244">
                  <c:v>7.7296100000000001</c:v>
                </c:pt>
                <c:pt idx="245">
                  <c:v>7.7267200000000003</c:v>
                </c:pt>
                <c:pt idx="246">
                  <c:v>7.7293799999999999</c:v>
                </c:pt>
                <c:pt idx="247">
                  <c:v>7.7348999999999997</c:v>
                </c:pt>
                <c:pt idx="248">
                  <c:v>7.7348999999999997</c:v>
                </c:pt>
                <c:pt idx="249">
                  <c:v>7.7348999999999997</c:v>
                </c:pt>
                <c:pt idx="250">
                  <c:v>7.7318199999999999</c:v>
                </c:pt>
                <c:pt idx="251">
                  <c:v>7.7393200000000002</c:v>
                </c:pt>
                <c:pt idx="252">
                  <c:v>7.7413100000000004</c:v>
                </c:pt>
                <c:pt idx="253">
                  <c:v>7.7532800000000002</c:v>
                </c:pt>
                <c:pt idx="254">
                  <c:v>7.7585800000000003</c:v>
                </c:pt>
                <c:pt idx="255">
                  <c:v>7.7585800000000003</c:v>
                </c:pt>
                <c:pt idx="256">
                  <c:v>7.7585800000000003</c:v>
                </c:pt>
                <c:pt idx="257">
                  <c:v>7.7592699999999999</c:v>
                </c:pt>
                <c:pt idx="258">
                  <c:v>7.7592699999999999</c:v>
                </c:pt>
                <c:pt idx="259">
                  <c:v>7.7530299999999999</c:v>
                </c:pt>
                <c:pt idx="260">
                  <c:v>7.7565</c:v>
                </c:pt>
                <c:pt idx="261">
                  <c:v>7.7568700000000002</c:v>
                </c:pt>
                <c:pt idx="262">
                  <c:v>7.7568700000000002</c:v>
                </c:pt>
                <c:pt idx="263">
                  <c:v>7.7568700000000002</c:v>
                </c:pt>
                <c:pt idx="264">
                  <c:v>7.7660999999999998</c:v>
                </c:pt>
                <c:pt idx="265">
                  <c:v>7.7588800000000004</c:v>
                </c:pt>
                <c:pt idx="266">
                  <c:v>7.7667700000000002</c:v>
                </c:pt>
                <c:pt idx="267">
                  <c:v>7.7862999999999998</c:v>
                </c:pt>
                <c:pt idx="268">
                  <c:v>7.7845899999999997</c:v>
                </c:pt>
                <c:pt idx="269">
                  <c:v>7.7845899999999997</c:v>
                </c:pt>
                <c:pt idx="270">
                  <c:v>7.7845899999999997</c:v>
                </c:pt>
                <c:pt idx="271">
                  <c:v>7.7823000000000002</c:v>
                </c:pt>
                <c:pt idx="272">
                  <c:v>7.7854299999999999</c:v>
                </c:pt>
                <c:pt idx="273">
                  <c:v>7.7860199999999997</c:v>
                </c:pt>
                <c:pt idx="274">
                  <c:v>7.7837500000000004</c:v>
                </c:pt>
                <c:pt idx="275">
                  <c:v>7.7822199999999997</c:v>
                </c:pt>
                <c:pt idx="276">
                  <c:v>7.7822199999999997</c:v>
                </c:pt>
                <c:pt idx="277">
                  <c:v>7.7822199999999997</c:v>
                </c:pt>
                <c:pt idx="278">
                  <c:v>7.7771800000000004</c:v>
                </c:pt>
                <c:pt idx="279">
                  <c:v>7.7784800000000001</c:v>
                </c:pt>
                <c:pt idx="280">
                  <c:v>7.7768600000000001</c:v>
                </c:pt>
                <c:pt idx="281">
                  <c:v>7.7770299999999999</c:v>
                </c:pt>
                <c:pt idx="282">
                  <c:v>7.7751400000000004</c:v>
                </c:pt>
                <c:pt idx="283">
                  <c:v>7.7751400000000004</c:v>
                </c:pt>
                <c:pt idx="284">
                  <c:v>7.7751400000000004</c:v>
                </c:pt>
                <c:pt idx="285">
                  <c:v>7.7751400000000004</c:v>
                </c:pt>
                <c:pt idx="286">
                  <c:v>7.78165</c:v>
                </c:pt>
                <c:pt idx="287">
                  <c:v>7.7769599999999999</c:v>
                </c:pt>
                <c:pt idx="288">
                  <c:v>7.7794999999999996</c:v>
                </c:pt>
                <c:pt idx="289">
                  <c:v>7.7823099999999998</c:v>
                </c:pt>
                <c:pt idx="290">
                  <c:v>7.7823099999999998</c:v>
                </c:pt>
                <c:pt idx="291">
                  <c:v>7.7823099999999998</c:v>
                </c:pt>
                <c:pt idx="292">
                  <c:v>7.78355</c:v>
                </c:pt>
                <c:pt idx="293">
                  <c:v>7.78355</c:v>
                </c:pt>
                <c:pt idx="294">
                  <c:v>7.7778999999999998</c:v>
                </c:pt>
                <c:pt idx="295">
                  <c:v>7.7804599999999997</c:v>
                </c:pt>
                <c:pt idx="296">
                  <c:v>7.7803500000000003</c:v>
                </c:pt>
                <c:pt idx="297">
                  <c:v>7.7803500000000003</c:v>
                </c:pt>
                <c:pt idx="298">
                  <c:v>7.7803500000000003</c:v>
                </c:pt>
                <c:pt idx="299">
                  <c:v>7.7798299999999996</c:v>
                </c:pt>
                <c:pt idx="300">
                  <c:v>7.7804200000000003</c:v>
                </c:pt>
                <c:pt idx="301">
                  <c:v>7.7861900000000004</c:v>
                </c:pt>
                <c:pt idx="302">
                  <c:v>7.7916499999999997</c:v>
                </c:pt>
                <c:pt idx="303">
                  <c:v>7.7959500000000004</c:v>
                </c:pt>
                <c:pt idx="304">
                  <c:v>7.7959500000000004</c:v>
                </c:pt>
                <c:pt idx="305">
                  <c:v>7.7959500000000004</c:v>
                </c:pt>
                <c:pt idx="306">
                  <c:v>7.7959500000000004</c:v>
                </c:pt>
                <c:pt idx="307">
                  <c:v>7.7885799999999996</c:v>
                </c:pt>
                <c:pt idx="308">
                  <c:v>7.7860199999999997</c:v>
                </c:pt>
                <c:pt idx="309">
                  <c:v>7.7831799999999998</c:v>
                </c:pt>
                <c:pt idx="310">
                  <c:v>7.7821400000000001</c:v>
                </c:pt>
                <c:pt idx="311">
                  <c:v>7.7821400000000001</c:v>
                </c:pt>
                <c:pt idx="312">
                  <c:v>7.7821400000000001</c:v>
                </c:pt>
                <c:pt idx="313">
                  <c:v>7.7795699999999997</c:v>
                </c:pt>
                <c:pt idx="314">
                  <c:v>7.7753699999999997</c:v>
                </c:pt>
                <c:pt idx="315">
                  <c:v>7.7756699999999999</c:v>
                </c:pt>
                <c:pt idx="316">
                  <c:v>7.7830899999999996</c:v>
                </c:pt>
                <c:pt idx="317">
                  <c:v>7.77684</c:v>
                </c:pt>
                <c:pt idx="318">
                  <c:v>7.77684</c:v>
                </c:pt>
                <c:pt idx="319">
                  <c:v>7.77684</c:v>
                </c:pt>
                <c:pt idx="320">
                  <c:v>7.7772699999999997</c:v>
                </c:pt>
                <c:pt idx="321">
                  <c:v>7.77956</c:v>
                </c:pt>
                <c:pt idx="322">
                  <c:v>7.78</c:v>
                </c:pt>
                <c:pt idx="323">
                  <c:v>7.7784199999999997</c:v>
                </c:pt>
                <c:pt idx="324">
                  <c:v>7.78348</c:v>
                </c:pt>
                <c:pt idx="325">
                  <c:v>7.78348</c:v>
                </c:pt>
                <c:pt idx="326">
                  <c:v>7.78348</c:v>
                </c:pt>
                <c:pt idx="327">
                  <c:v>7.7858599999999996</c:v>
                </c:pt>
                <c:pt idx="328">
                  <c:v>7.7921199999999997</c:v>
                </c:pt>
                <c:pt idx="329">
                  <c:v>7.8005300000000002</c:v>
                </c:pt>
                <c:pt idx="330">
                  <c:v>7.8082000000000003</c:v>
                </c:pt>
                <c:pt idx="331">
                  <c:v>7.8198499999999997</c:v>
                </c:pt>
                <c:pt idx="332">
                  <c:v>7.8198499999999997</c:v>
                </c:pt>
                <c:pt idx="333">
                  <c:v>7.8198499999999997</c:v>
                </c:pt>
                <c:pt idx="334">
                  <c:v>7.8140499999999999</c:v>
                </c:pt>
                <c:pt idx="335">
                  <c:v>7.8114800000000004</c:v>
                </c:pt>
                <c:pt idx="336">
                  <c:v>7.8132099999999998</c:v>
                </c:pt>
                <c:pt idx="337">
                  <c:v>7.8177300000000001</c:v>
                </c:pt>
                <c:pt idx="338">
                  <c:v>7.8168100000000003</c:v>
                </c:pt>
                <c:pt idx="339">
                  <c:v>7.8168100000000003</c:v>
                </c:pt>
                <c:pt idx="340">
                  <c:v>7.8168100000000003</c:v>
                </c:pt>
                <c:pt idx="341">
                  <c:v>7.8109900000000003</c:v>
                </c:pt>
                <c:pt idx="342">
                  <c:v>7.8103499999999997</c:v>
                </c:pt>
                <c:pt idx="343">
                  <c:v>7.8073600000000001</c:v>
                </c:pt>
                <c:pt idx="344">
                  <c:v>7.8032700000000004</c:v>
                </c:pt>
                <c:pt idx="345">
                  <c:v>7.8053699999999999</c:v>
                </c:pt>
                <c:pt idx="346">
                  <c:v>7.8053699999999999</c:v>
                </c:pt>
                <c:pt idx="347">
                  <c:v>7.8053699999999999</c:v>
                </c:pt>
                <c:pt idx="348">
                  <c:v>7.8023300000000004</c:v>
                </c:pt>
                <c:pt idx="349">
                  <c:v>7.79678</c:v>
                </c:pt>
                <c:pt idx="350">
                  <c:v>7.7962100000000003</c:v>
                </c:pt>
                <c:pt idx="351">
                  <c:v>7.79413</c:v>
                </c:pt>
                <c:pt idx="352">
                  <c:v>7.7946099999999996</c:v>
                </c:pt>
                <c:pt idx="353">
                  <c:v>7.7946099999999996</c:v>
                </c:pt>
                <c:pt idx="354">
                  <c:v>7.7946099999999996</c:v>
                </c:pt>
                <c:pt idx="355">
                  <c:v>7.7945500000000001</c:v>
                </c:pt>
                <c:pt idx="356">
                  <c:v>7.7934000000000001</c:v>
                </c:pt>
                <c:pt idx="357">
                  <c:v>7.7949599999999997</c:v>
                </c:pt>
                <c:pt idx="358">
                  <c:v>7.7924100000000003</c:v>
                </c:pt>
                <c:pt idx="359">
                  <c:v>7.7924100000000003</c:v>
                </c:pt>
                <c:pt idx="360">
                  <c:v>7.7924100000000003</c:v>
                </c:pt>
                <c:pt idx="361">
                  <c:v>7.7924100000000003</c:v>
                </c:pt>
                <c:pt idx="362">
                  <c:v>7.7900499999999999</c:v>
                </c:pt>
                <c:pt idx="363">
                  <c:v>7.7933300000000001</c:v>
                </c:pt>
                <c:pt idx="364">
                  <c:v>7.7938200000000002</c:v>
                </c:pt>
                <c:pt idx="365">
                  <c:v>7.7938200000000002</c:v>
                </c:pt>
              </c:numCache>
            </c:numRef>
          </c:val>
          <c:smooth val="1"/>
          <c:extLst xmlns:c16r2="http://schemas.microsoft.com/office/drawing/2015/06/chart">
            <c:ext xmlns:c16="http://schemas.microsoft.com/office/drawing/2014/chart" uri="{C3380CC4-5D6E-409C-BE32-E72D297353CC}">
              <c16:uniqueId val="{00000006-8617-487C-A3D1-9D83FADCBFDA}"/>
            </c:ext>
          </c:extLst>
        </c:ser>
        <c:dLbls>
          <c:showLegendKey val="0"/>
          <c:showVal val="0"/>
          <c:showCatName val="0"/>
          <c:showSerName val="0"/>
          <c:showPercent val="0"/>
          <c:showBubbleSize val="0"/>
        </c:dLbls>
        <c:marker val="1"/>
        <c:smooth val="0"/>
        <c:axId val="63403904"/>
        <c:axId val="63405440"/>
      </c:lineChart>
      <c:dateAx>
        <c:axId val="6340390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63405440"/>
        <c:crosses val="autoZero"/>
        <c:auto val="1"/>
        <c:lblOffset val="100"/>
        <c:baseTimeUnit val="days"/>
      </c:dateAx>
      <c:valAx>
        <c:axId val="63405440"/>
        <c:scaling>
          <c:orientation val="minMax"/>
          <c:min val="7.6"/>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634039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4757320304412"/>
          <c:y val="4.4298921737685168E-2"/>
          <c:w val="0.82395739229134035"/>
          <c:h val="0.68490765171503964"/>
        </c:manualLayout>
      </c:layout>
      <c:barChart>
        <c:barDir val="col"/>
        <c:grouping val="clustered"/>
        <c:varyColors val="0"/>
        <c:ser>
          <c:idx val="1"/>
          <c:order val="0"/>
          <c:tx>
            <c:v>IMAE Original</c:v>
          </c:tx>
          <c:spPr>
            <a:solidFill>
              <a:srgbClr val="3E6CA4"/>
            </a:solidFill>
            <a:ln w="41275" cap="sq">
              <a:noFill/>
              <a:miter lim="800000"/>
            </a:ln>
          </c:spPr>
          <c:invertIfNegative val="0"/>
          <c:dLbls>
            <c:dLbl>
              <c:idx val="41"/>
              <c:layout>
                <c:manualLayout>
                  <c:x val="7.3212747134816262E-3"/>
                  <c:y val="4.03337342200477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126-4AA2-9ABD-6A70FCD66748}"/>
                </c:ext>
              </c:extLst>
            </c:dLbl>
            <c:dLbl>
              <c:idx val="53"/>
              <c:layout>
                <c:manualLayout>
                  <c:x val="3.5916666666666666E-2"/>
                  <c:y val="1.00830491888331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126-4AA2-9ABD-6A70FCD66748}"/>
                </c:ext>
              </c:extLst>
            </c:dLbl>
            <c:dLbl>
              <c:idx val="6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126-4AA2-9ABD-6A70FCD66748}"/>
                </c:ext>
              </c:extLst>
            </c:dLbl>
            <c:dLbl>
              <c:idx val="72"/>
              <c:layout>
                <c:manualLayout>
                  <c:x val="1.9035198959387555E-2"/>
                  <c:y val="4.23487536572840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126-4AA2-9ABD-6A70FCD66748}"/>
                </c:ext>
              </c:extLst>
            </c:dLbl>
            <c:dLbl>
              <c:idx val="77"/>
              <c:layout>
                <c:manualLayout>
                  <c:x val="2.3428079083141203E-2"/>
                  <c:y val="1.41162512190946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126-4AA2-9ABD-6A70FCD66748}"/>
                </c:ext>
              </c:extLst>
            </c:dLbl>
            <c:dLbl>
              <c:idx val="85"/>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126-4AA2-9ABD-6A70FCD66748}"/>
                </c:ext>
              </c:extLst>
            </c:dLbl>
            <c:dLbl>
              <c:idx val="97"/>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126-4AA2-9ABD-6A70FCD66748}"/>
                </c:ext>
              </c:extLst>
            </c:dLbl>
            <c:dLbl>
              <c:idx val="108"/>
              <c:layout>
                <c:manualLayout>
                  <c:x val="1.6124919764961693E-2"/>
                  <c:y val="3.23232323232323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126-4AA2-9ABD-6A70FCD66748}"/>
                </c:ext>
              </c:extLst>
            </c:dLbl>
            <c:numFmt formatCode="#,##0.0" sourceLinked="0"/>
            <c:spPr>
              <a:noFill/>
              <a:ln>
                <a:noFill/>
              </a:ln>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s-E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'C.1'!$A$57:$A$441</c:f>
              <c:numCache>
                <c:formatCode>mmm\-yy</c:formatCode>
                <c:ptCount val="55"/>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pt idx="33">
                  <c:v>43739</c:v>
                </c:pt>
                <c:pt idx="34">
                  <c:v>43770</c:v>
                </c:pt>
                <c:pt idx="35">
                  <c:v>43800</c:v>
                </c:pt>
                <c:pt idx="36">
                  <c:v>43831</c:v>
                </c:pt>
                <c:pt idx="37">
                  <c:v>43862</c:v>
                </c:pt>
                <c:pt idx="38">
                  <c:v>43891</c:v>
                </c:pt>
                <c:pt idx="39">
                  <c:v>43922</c:v>
                </c:pt>
                <c:pt idx="40">
                  <c:v>43952</c:v>
                </c:pt>
                <c:pt idx="41">
                  <c:v>43983</c:v>
                </c:pt>
                <c:pt idx="42">
                  <c:v>44013</c:v>
                </c:pt>
                <c:pt idx="43">
                  <c:v>44044</c:v>
                </c:pt>
                <c:pt idx="44">
                  <c:v>44075</c:v>
                </c:pt>
                <c:pt idx="45">
                  <c:v>44105</c:v>
                </c:pt>
                <c:pt idx="46">
                  <c:v>44136</c:v>
                </c:pt>
                <c:pt idx="47">
                  <c:v>44166</c:v>
                </c:pt>
                <c:pt idx="48">
                  <c:v>44197</c:v>
                </c:pt>
                <c:pt idx="49">
                  <c:v>44228</c:v>
                </c:pt>
                <c:pt idx="50">
                  <c:v>44256</c:v>
                </c:pt>
                <c:pt idx="51">
                  <c:v>44287</c:v>
                </c:pt>
                <c:pt idx="52">
                  <c:v>44317</c:v>
                </c:pt>
                <c:pt idx="53">
                  <c:v>44348</c:v>
                </c:pt>
              </c:numCache>
            </c:numRef>
          </c:cat>
          <c:val>
            <c:numRef>
              <c:f>[0]!Original</c:f>
              <c:numCache>
                <c:formatCode>#,##0.0_-;[Red]\-#,##0.0_-;"-"?_-;_-@_-</c:formatCode>
                <c:ptCount val="54"/>
                <c:pt idx="0">
                  <c:v>5.1615344041646978</c:v>
                </c:pt>
                <c:pt idx="1">
                  <c:v>4.3984539573092292</c:v>
                </c:pt>
                <c:pt idx="2">
                  <c:v>4.4951617969505264</c:v>
                </c:pt>
                <c:pt idx="3">
                  <c:v>2.0746532698121598</c:v>
                </c:pt>
                <c:pt idx="4">
                  <c:v>2.3084349849370511</c:v>
                </c:pt>
                <c:pt idx="5">
                  <c:v>2.9340244942611236</c:v>
                </c:pt>
                <c:pt idx="6">
                  <c:v>4.0445875449234734</c:v>
                </c:pt>
                <c:pt idx="7">
                  <c:v>3.1629498746983842</c:v>
                </c:pt>
                <c:pt idx="8">
                  <c:v>2.0649802711488974</c:v>
                </c:pt>
                <c:pt idx="9">
                  <c:v>3.0290100726925999</c:v>
                </c:pt>
                <c:pt idx="10">
                  <c:v>1.7928882771062149</c:v>
                </c:pt>
                <c:pt idx="11">
                  <c:v>1.688944880424458</c:v>
                </c:pt>
                <c:pt idx="12">
                  <c:v>1.9329299973009455</c:v>
                </c:pt>
                <c:pt idx="13">
                  <c:v>2.7695090187499289</c:v>
                </c:pt>
                <c:pt idx="14">
                  <c:v>2.9672510967663612</c:v>
                </c:pt>
                <c:pt idx="15">
                  <c:v>4.2932411648781681</c:v>
                </c:pt>
                <c:pt idx="16">
                  <c:v>4.4943741174420495</c:v>
                </c:pt>
                <c:pt idx="17">
                  <c:v>4.1394563311391295</c:v>
                </c:pt>
                <c:pt idx="18">
                  <c:v>3.8251298297550278</c:v>
                </c:pt>
                <c:pt idx="19">
                  <c:v>3.3469432164374666</c:v>
                </c:pt>
                <c:pt idx="20">
                  <c:v>2.7265525370544452</c:v>
                </c:pt>
                <c:pt idx="21">
                  <c:v>3.6186915193365792</c:v>
                </c:pt>
                <c:pt idx="22">
                  <c:v>3.5456784031947706</c:v>
                </c:pt>
                <c:pt idx="23">
                  <c:v>2.3136014095565685</c:v>
                </c:pt>
                <c:pt idx="24">
                  <c:v>3.6248998766622123</c:v>
                </c:pt>
                <c:pt idx="25">
                  <c:v>4.1925252790213392</c:v>
                </c:pt>
                <c:pt idx="26">
                  <c:v>3.4980752057656872</c:v>
                </c:pt>
                <c:pt idx="27">
                  <c:v>3.6312538539458217</c:v>
                </c:pt>
                <c:pt idx="28">
                  <c:v>4.1606450070276395</c:v>
                </c:pt>
                <c:pt idx="29">
                  <c:v>3.3555955774236423</c:v>
                </c:pt>
                <c:pt idx="30">
                  <c:v>3.6979391039911604</c:v>
                </c:pt>
                <c:pt idx="31">
                  <c:v>3.2791465745187764</c:v>
                </c:pt>
                <c:pt idx="32">
                  <c:v>4.5695426279414306</c:v>
                </c:pt>
                <c:pt idx="33">
                  <c:v>3.864442046001443</c:v>
                </c:pt>
                <c:pt idx="34">
                  <c:v>4.6113136824138508</c:v>
                </c:pt>
                <c:pt idx="35">
                  <c:v>3.9146479942153292</c:v>
                </c:pt>
                <c:pt idx="36">
                  <c:v>4.5173408630769813</c:v>
                </c:pt>
                <c:pt idx="37">
                  <c:v>2.6049694393680483</c:v>
                </c:pt>
                <c:pt idx="38">
                  <c:v>-3.5278770916392546</c:v>
                </c:pt>
                <c:pt idx="39">
                  <c:v>-9.0008725476872513</c:v>
                </c:pt>
                <c:pt idx="40">
                  <c:v>-10.124232366245678</c:v>
                </c:pt>
                <c:pt idx="41">
                  <c:v>-7.5058316481816547</c:v>
                </c:pt>
                <c:pt idx="42">
                  <c:v>-4.1224461686306597</c:v>
                </c:pt>
                <c:pt idx="43">
                  <c:v>-1.0773654568307194</c:v>
                </c:pt>
                <c:pt idx="44">
                  <c:v>0.90139526541290138</c:v>
                </c:pt>
                <c:pt idx="45">
                  <c:v>2.714381171830496</c:v>
                </c:pt>
                <c:pt idx="46">
                  <c:v>1.621083134349945</c:v>
                </c:pt>
                <c:pt idx="47">
                  <c:v>4.4656185458212434</c:v>
                </c:pt>
                <c:pt idx="48">
                  <c:v>1.9369340128405668</c:v>
                </c:pt>
                <c:pt idx="49">
                  <c:v>2.5942038955943758</c:v>
                </c:pt>
                <c:pt idx="50">
                  <c:v>10.139090726506339</c:v>
                </c:pt>
                <c:pt idx="51">
                  <c:v>15.220537125426887</c:v>
                </c:pt>
                <c:pt idx="52">
                  <c:v>16.297983951637576</c:v>
                </c:pt>
                <c:pt idx="53">
                  <c:v>13.893720603479778</c:v>
                </c:pt>
              </c:numCache>
            </c:numRef>
          </c:val>
          <c:extLst xmlns:c16r2="http://schemas.microsoft.com/office/drawing/2015/06/chart">
            <c:ext xmlns:c16="http://schemas.microsoft.com/office/drawing/2014/chart" uri="{C3380CC4-5D6E-409C-BE32-E72D297353CC}">
              <c16:uniqueId val="{00000008-B126-4AA2-9ABD-6A70FCD66748}"/>
            </c:ext>
          </c:extLst>
        </c:ser>
        <c:dLbls>
          <c:showLegendKey val="0"/>
          <c:showVal val="0"/>
          <c:showCatName val="0"/>
          <c:showSerName val="0"/>
          <c:showPercent val="0"/>
          <c:showBubbleSize val="0"/>
        </c:dLbls>
        <c:gapWidth val="20"/>
        <c:axId val="167360000"/>
        <c:axId val="167361536"/>
      </c:barChart>
      <c:lineChart>
        <c:grouping val="standard"/>
        <c:varyColors val="0"/>
        <c:ser>
          <c:idx val="3"/>
          <c:order val="1"/>
          <c:tx>
            <c:v>IMAE Tendencia-ciclo</c:v>
          </c:tx>
          <c:spPr>
            <a:ln w="57150" cmpd="thickThin">
              <a:solidFill>
                <a:srgbClr val="FF0000"/>
              </a:solidFill>
              <a:prstDash val="solid"/>
            </a:ln>
          </c:spPr>
          <c:marker>
            <c:symbol val="none"/>
          </c:marker>
          <c:dLbls>
            <c:dLbl>
              <c:idx val="41"/>
              <c:layout>
                <c:manualLayout>
                  <c:x val="-2.7820843911230287E-2"/>
                  <c:y val="-3.4282324389230054E-2"/>
                </c:manualLayout>
              </c:layout>
              <c:numFmt formatCode="#,##0.0" sourceLinked="0"/>
              <c:spPr>
                <a:solidFill>
                  <a:schemeClr val="bg1"/>
                </a:solidFill>
                <a:ln>
                  <a:solidFill>
                    <a:srgbClr val="FF0000"/>
                  </a:solidFill>
                </a:ln>
              </c:spPr>
              <c:txPr>
                <a:bodyPr/>
                <a:lstStyle/>
                <a:p>
                  <a:pPr>
                    <a:defRPr>
                      <a:latin typeface="Times New Roman" panose="02020603050405020304" pitchFamily="18" charset="0"/>
                      <a:cs typeface="Times New Roman" panose="02020603050405020304" pitchFamily="18" charset="0"/>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126-4AA2-9ABD-6A70FCD66748}"/>
                </c:ext>
              </c:extLst>
            </c:dLbl>
            <c:dLbl>
              <c:idx val="53"/>
              <c:layout>
                <c:manualLayout>
                  <c:x val="-4.409722222222222E-3"/>
                  <c:y val="4.74716310280561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126-4AA2-9ABD-6A70FCD66748}"/>
                </c:ext>
              </c:extLst>
            </c:dLbl>
            <c:dLbl>
              <c:idx val="60"/>
              <c:layout>
                <c:manualLayout>
                  <c:x val="-1.6106804369659684E-2"/>
                  <c:y val="3.2265717072216454E-2"/>
                </c:manualLayout>
              </c:layout>
              <c:numFmt formatCode="#,##0.0" sourceLinked="0"/>
              <c:spPr>
                <a:solidFill>
                  <a:schemeClr val="bg1"/>
                </a:solidFill>
                <a:ln>
                  <a:solidFill>
                    <a:srgbClr val="FF0000"/>
                  </a:solidFill>
                </a:ln>
              </c:spPr>
              <c:txPr>
                <a:bodyPr/>
                <a:lstStyle/>
                <a:p>
                  <a:pPr>
                    <a:defRPr>
                      <a:latin typeface="Times New Roman" panose="02020603050405020304" pitchFamily="18" charset="0"/>
                      <a:cs typeface="Times New Roman" panose="02020603050405020304" pitchFamily="18" charset="0"/>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126-4AA2-9ABD-6A70FCD66748}"/>
                </c:ext>
              </c:extLst>
            </c:dLbl>
            <c:dLbl>
              <c:idx val="72"/>
              <c:layout>
                <c:manualLayout>
                  <c:x val="-2.9285098853926504E-3"/>
                  <c:y val="4.033214634027056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126-4AA2-9ABD-6A70FCD66748}"/>
                </c:ext>
              </c:extLst>
            </c:dLbl>
            <c:dLbl>
              <c:idx val="77"/>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126-4AA2-9ABD-6A70FCD66748}"/>
                </c:ext>
              </c:extLst>
            </c:dLbl>
            <c:dLbl>
              <c:idx val="85"/>
              <c:layout>
                <c:manualLayout>
                  <c:x val="-2.198852695222038E-2"/>
                  <c:y val="-4.24242424242424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126-4AA2-9ABD-6A70FCD66748}"/>
                </c:ext>
              </c:extLst>
            </c:dLbl>
            <c:dLbl>
              <c:idx val="97"/>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126-4AA2-9ABD-6A70FCD66748}"/>
                </c:ext>
              </c:extLst>
            </c:dLbl>
            <c:dLbl>
              <c:idx val="108"/>
              <c:layout>
                <c:manualLayout>
                  <c:x val="-5.8636071872587969E-3"/>
                  <c:y val="-4.040404040404040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B126-4AA2-9ABD-6A70FCD66748}"/>
                </c:ext>
              </c:extLst>
            </c:dLbl>
            <c:numFmt formatCode="#,##0.0" sourceLinked="0"/>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s-E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'C.1'!$G$165:$G$237</c:f>
            </c:multiLvlStrRef>
          </c:cat>
          <c:val>
            <c:numRef>
              <c:f>[0]!Tendencia</c:f>
              <c:numCache>
                <c:formatCode>#,##0.0_-;[Red]\-#,##0.0_-;"-"?_-;_-@_-</c:formatCode>
                <c:ptCount val="54"/>
                <c:pt idx="0">
                  <c:v>4.3394330070509568</c:v>
                </c:pt>
                <c:pt idx="1">
                  <c:v>4.2704807111457939</c:v>
                </c:pt>
                <c:pt idx="2">
                  <c:v>3.8704075107459204</c:v>
                </c:pt>
                <c:pt idx="3">
                  <c:v>3.5261339911913723</c:v>
                </c:pt>
                <c:pt idx="4">
                  <c:v>3.4358609857126936</c:v>
                </c:pt>
                <c:pt idx="5">
                  <c:v>3.4685551752862835</c:v>
                </c:pt>
                <c:pt idx="6">
                  <c:v>3.4672714983438908</c:v>
                </c:pt>
                <c:pt idx="7">
                  <c:v>3.3149088743897011</c:v>
                </c:pt>
                <c:pt idx="8">
                  <c:v>2.9573143943613758</c:v>
                </c:pt>
                <c:pt idx="9">
                  <c:v>2.4202264500005271</c:v>
                </c:pt>
                <c:pt idx="10">
                  <c:v>1.8685454029437238</c:v>
                </c:pt>
                <c:pt idx="11">
                  <c:v>1.6023569175045935</c:v>
                </c:pt>
                <c:pt idx="12">
                  <c:v>1.8029502431406286</c:v>
                </c:pt>
                <c:pt idx="13">
                  <c:v>2.5235657406394552</c:v>
                </c:pt>
                <c:pt idx="14">
                  <c:v>3.480087761785839</c:v>
                </c:pt>
                <c:pt idx="15">
                  <c:v>4.2353944174611655</c:v>
                </c:pt>
                <c:pt idx="16">
                  <c:v>4.5261226872843849</c:v>
                </c:pt>
                <c:pt idx="17">
                  <c:v>4.3705733727956897</c:v>
                </c:pt>
                <c:pt idx="18">
                  <c:v>3.9900042008799801</c:v>
                </c:pt>
                <c:pt idx="19">
                  <c:v>3.5914525527728216</c:v>
                </c:pt>
                <c:pt idx="20">
                  <c:v>3.2543740698871773</c:v>
                </c:pt>
                <c:pt idx="21">
                  <c:v>3.0677585607283646</c:v>
                </c:pt>
                <c:pt idx="22">
                  <c:v>3.0734656240841076</c:v>
                </c:pt>
                <c:pt idx="23">
                  <c:v>3.2138321607841078</c:v>
                </c:pt>
                <c:pt idx="24">
                  <c:v>3.4119084023021884</c:v>
                </c:pt>
                <c:pt idx="25">
                  <c:v>3.6208778353846327</c:v>
                </c:pt>
                <c:pt idx="26">
                  <c:v>3.7746054275266374</c:v>
                </c:pt>
                <c:pt idx="27">
                  <c:v>3.8219306997515474</c:v>
                </c:pt>
                <c:pt idx="28">
                  <c:v>3.7486785340509812</c:v>
                </c:pt>
                <c:pt idx="29">
                  <c:v>3.6933068570070162</c:v>
                </c:pt>
                <c:pt idx="30">
                  <c:v>3.6351866895652876</c:v>
                </c:pt>
                <c:pt idx="31">
                  <c:v>3.6605472928657576</c:v>
                </c:pt>
                <c:pt idx="32">
                  <c:v>3.8813476042081732</c:v>
                </c:pt>
                <c:pt idx="33">
                  <c:v>4.2155701031742439</c:v>
                </c:pt>
                <c:pt idx="34">
                  <c:v>4.3902602990976334</c:v>
                </c:pt>
                <c:pt idx="35">
                  <c:v>3.9383530527110793</c:v>
                </c:pt>
                <c:pt idx="36">
                  <c:v>2.3803411882435768</c:v>
                </c:pt>
                <c:pt idx="37">
                  <c:v>-0.34513044641573742</c:v>
                </c:pt>
                <c:pt idx="38">
                  <c:v>-3.6703186324071311</c:v>
                </c:pt>
                <c:pt idx="39">
                  <c:v>-6.417135347845516</c:v>
                </c:pt>
                <c:pt idx="40">
                  <c:v>-7.5165241828531322</c:v>
                </c:pt>
                <c:pt idx="41">
                  <c:v>-6.6680084658460004</c:v>
                </c:pt>
                <c:pt idx="42">
                  <c:v>-4.3512741503324008</c:v>
                </c:pt>
                <c:pt idx="43">
                  <c:v>-1.6301512435775436</c:v>
                </c:pt>
                <c:pt idx="44">
                  <c:v>0.5512878097894145</c:v>
                </c:pt>
                <c:pt idx="45">
                  <c:v>1.8169530833597776</c:v>
                </c:pt>
                <c:pt idx="46">
                  <c:v>2.3442751452970043</c:v>
                </c:pt>
                <c:pt idx="47">
                  <c:v>2.7837377223251565</c:v>
                </c:pt>
                <c:pt idx="48">
                  <c:v>3.8927719447221705</c:v>
                </c:pt>
                <c:pt idx="49">
                  <c:v>6.1702552802660193</c:v>
                </c:pt>
                <c:pt idx="50">
                  <c:v>9.4173885033009128</c:v>
                </c:pt>
                <c:pt idx="51">
                  <c:v>12.329972211807942</c:v>
                </c:pt>
                <c:pt idx="52">
                  <c:v>13.191869297605479</c:v>
                </c:pt>
                <c:pt idx="53">
                  <c:v>11.302730862487962</c:v>
                </c:pt>
              </c:numCache>
            </c:numRef>
          </c:val>
          <c:smooth val="1"/>
          <c:extLst xmlns:c16r2="http://schemas.microsoft.com/office/drawing/2015/06/chart">
            <c:ext xmlns:c16="http://schemas.microsoft.com/office/drawing/2014/chart" uri="{C3380CC4-5D6E-409C-BE32-E72D297353CC}">
              <c16:uniqueId val="{00000011-B126-4AA2-9ABD-6A70FCD66748}"/>
            </c:ext>
          </c:extLst>
        </c:ser>
        <c:dLbls>
          <c:showLegendKey val="0"/>
          <c:showVal val="0"/>
          <c:showCatName val="0"/>
          <c:showSerName val="0"/>
          <c:showPercent val="0"/>
          <c:showBubbleSize val="0"/>
        </c:dLbls>
        <c:marker val="1"/>
        <c:smooth val="0"/>
        <c:axId val="167360000"/>
        <c:axId val="167361536"/>
      </c:lineChart>
      <c:catAx>
        <c:axId val="167360000"/>
        <c:scaling>
          <c:orientation val="minMax"/>
        </c:scaling>
        <c:delete val="0"/>
        <c:axPos val="b"/>
        <c:majorGridlines>
          <c:spPr>
            <a:ln>
              <a:solidFill>
                <a:schemeClr val="bg1">
                  <a:lumMod val="65000"/>
                </a:schemeClr>
              </a:solidFill>
              <a:prstDash val="dash"/>
            </a:ln>
          </c:spPr>
        </c:majorGridlines>
        <c:numFmt formatCode="mmm\.yy" sourceLinked="0"/>
        <c:majorTickMark val="out"/>
        <c:minorTickMark val="none"/>
        <c:tickLblPos val="low"/>
        <c:spPr>
          <a:ln w="19050">
            <a:solidFill>
              <a:srgbClr val="000000"/>
            </a:solidFill>
          </a:ln>
        </c:spPr>
        <c:txPr>
          <a:bodyPr/>
          <a:lstStyle/>
          <a:p>
            <a:pPr>
              <a:defRPr sz="800">
                <a:latin typeface="Times New Roman" panose="02020603050405020304" pitchFamily="18" charset="0"/>
                <a:cs typeface="Times New Roman" panose="02020603050405020304" pitchFamily="18" charset="0"/>
              </a:defRPr>
            </a:pPr>
            <a:endParaRPr lang="es-ES"/>
          </a:p>
        </c:txPr>
        <c:crossAx val="167361536"/>
        <c:crosses val="autoZero"/>
        <c:auto val="0"/>
        <c:lblAlgn val="ctr"/>
        <c:lblOffset val="100"/>
        <c:tickMarkSkip val="12"/>
        <c:noMultiLvlLbl val="0"/>
      </c:catAx>
      <c:valAx>
        <c:axId val="167361536"/>
        <c:scaling>
          <c:orientation val="minMax"/>
        </c:scaling>
        <c:delete val="0"/>
        <c:axPos val="l"/>
        <c:majorGridlines>
          <c:spPr>
            <a:ln>
              <a:prstDash val="dash"/>
            </a:ln>
          </c:spPr>
        </c:majorGridlines>
        <c:numFmt formatCode="#,##0.0"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s-ES"/>
          </a:p>
        </c:txPr>
        <c:crossAx val="167360000"/>
        <c:crosses val="autoZero"/>
        <c:crossBetween val="between"/>
      </c:valAx>
      <c:spPr>
        <a:ln>
          <a:solidFill>
            <a:schemeClr val="bg1">
              <a:lumMod val="65000"/>
            </a:schemeClr>
          </a:solidFill>
        </a:ln>
      </c:spPr>
    </c:plotArea>
    <c:legend>
      <c:legendPos val="b"/>
      <c:layout>
        <c:manualLayout>
          <c:xMode val="edge"/>
          <c:yMode val="edge"/>
          <c:x val="4.9920796560307762E-2"/>
          <c:y val="0.88357658703137143"/>
          <c:w val="0.89999998845746609"/>
          <c:h val="3.9301200986240355E-2"/>
        </c:manualLayout>
      </c:layout>
      <c:overlay val="0"/>
      <c:txPr>
        <a:bodyPr/>
        <a:lstStyle/>
        <a:p>
          <a:pPr>
            <a:defRPr>
              <a:latin typeface="Times New Roman" panose="02020603050405020304" pitchFamily="18" charset="0"/>
              <a:cs typeface="Times New Roman" panose="02020603050405020304" pitchFamily="18" charset="0"/>
            </a:defRPr>
          </a:pPr>
          <a:endParaRPr lang="es-ES"/>
        </a:p>
      </c:txPr>
    </c:legend>
    <c:plotVisOnly val="1"/>
    <c:dispBlanksAs val="gap"/>
    <c:showDLblsOverMax val="0"/>
  </c:chart>
  <c:spPr>
    <a:noFill/>
    <a:ln>
      <a:noFill/>
    </a:ln>
  </c:spPr>
  <c:txPr>
    <a:bodyPr/>
    <a:lstStyle/>
    <a:p>
      <a:pPr>
        <a:defRPr>
          <a:latin typeface="+mn-lt"/>
        </a:defRPr>
      </a:pPr>
      <a:endParaRPr lang="es-ES"/>
    </a:p>
  </c:tx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253472222222221E-2"/>
          <c:y val="6.4675925925925928E-2"/>
          <c:w val="0.95149305555555552"/>
          <c:h val="0.5824166666666668"/>
        </c:manualLayout>
      </c:layout>
      <c:barChart>
        <c:barDir val="col"/>
        <c:grouping val="clustered"/>
        <c:varyColors val="0"/>
        <c:ser>
          <c:idx val="0"/>
          <c:order val="0"/>
          <c:tx>
            <c:strRef>
              <c:f>'Graficos Mrk'!$N$65</c:f>
              <c:strCache>
                <c:ptCount val="1"/>
                <c:pt idx="0">
                  <c:v>2020</c:v>
                </c:pt>
              </c:strCache>
            </c:strRef>
          </c:tx>
          <c:spPr>
            <a:solidFill>
              <a:srgbClr val="FF0000"/>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Mrk'!$K$67:$K$71</c:f>
              <c:strCache>
                <c:ptCount val="5"/>
                <c:pt idx="0">
                  <c:v>Consumo privado</c:v>
                </c:pt>
                <c:pt idx="1">
                  <c:v>Consumo de Gobierno General</c:v>
                </c:pt>
                <c:pt idx="2">
                  <c:v>Formación bruta de capital fijo </c:v>
                </c:pt>
                <c:pt idx="3">
                  <c:v>Exportación de bienes y servicios</c:v>
                </c:pt>
                <c:pt idx="4">
                  <c:v>Importación de bienes y servicios</c:v>
                </c:pt>
              </c:strCache>
            </c:strRef>
          </c:cat>
          <c:val>
            <c:numRef>
              <c:f>'Graficos Mrk'!$N$67:$N$71</c:f>
              <c:numCache>
                <c:formatCode>0.0%</c:formatCode>
                <c:ptCount val="5"/>
                <c:pt idx="0">
                  <c:v>-1.0999999999999999E-2</c:v>
                </c:pt>
                <c:pt idx="1">
                  <c:v>1.6E-2</c:v>
                </c:pt>
                <c:pt idx="2">
                  <c:v>-5.8999999999999997E-2</c:v>
                </c:pt>
                <c:pt idx="3">
                  <c:v>-4.3999999999999997E-2</c:v>
                </c:pt>
                <c:pt idx="4">
                  <c:v>-4.5999999999999999E-2</c:v>
                </c:pt>
              </c:numCache>
            </c:numRef>
          </c:val>
          <c:extLst xmlns:c16r2="http://schemas.microsoft.com/office/drawing/2015/06/chart">
            <c:ext xmlns:c16="http://schemas.microsoft.com/office/drawing/2014/chart" uri="{C3380CC4-5D6E-409C-BE32-E72D297353CC}">
              <c16:uniqueId val="{00000000-FAC0-46BD-8937-E900A8EF66C4}"/>
            </c:ext>
          </c:extLst>
        </c:ser>
        <c:ser>
          <c:idx val="1"/>
          <c:order val="1"/>
          <c:tx>
            <c:strRef>
              <c:f>'Graficos Mrk'!$O$65</c:f>
              <c:strCache>
                <c:ptCount val="1"/>
                <c:pt idx="0">
                  <c:v>2021 /p</c:v>
                </c:pt>
              </c:strCache>
            </c:strRef>
          </c:tx>
          <c:spPr>
            <a:solidFill>
              <a:srgbClr val="002060"/>
            </a:solidFill>
            <a:ln w="38100">
              <a:solidFill>
                <a:srgbClr val="002060"/>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Mrk'!$K$67:$K$71</c:f>
              <c:strCache>
                <c:ptCount val="5"/>
                <c:pt idx="0">
                  <c:v>Consumo privado</c:v>
                </c:pt>
                <c:pt idx="1">
                  <c:v>Consumo de Gobierno General</c:v>
                </c:pt>
                <c:pt idx="2">
                  <c:v>Formación bruta de capital fijo </c:v>
                </c:pt>
                <c:pt idx="3">
                  <c:v>Exportación de bienes y servicios</c:v>
                </c:pt>
                <c:pt idx="4">
                  <c:v>Importación de bienes y servicios</c:v>
                </c:pt>
              </c:strCache>
            </c:strRef>
          </c:cat>
          <c:val>
            <c:numRef>
              <c:f>'Graficos Mrk'!$O$67:$O$71</c:f>
              <c:numCache>
                <c:formatCode>0.0%</c:formatCode>
                <c:ptCount val="5"/>
                <c:pt idx="0">
                  <c:v>4.4999999999999998E-2</c:v>
                </c:pt>
                <c:pt idx="1">
                  <c:v>3.4000000000000002E-2</c:v>
                </c:pt>
                <c:pt idx="2">
                  <c:v>0.104</c:v>
                </c:pt>
                <c:pt idx="3">
                  <c:v>6.0999999999999999E-2</c:v>
                </c:pt>
                <c:pt idx="4">
                  <c:v>9.9000000000000005E-2</c:v>
                </c:pt>
              </c:numCache>
            </c:numRef>
          </c:val>
          <c:extLst xmlns:c16r2="http://schemas.microsoft.com/office/drawing/2015/06/chart">
            <c:ext xmlns:c16="http://schemas.microsoft.com/office/drawing/2014/chart" uri="{C3380CC4-5D6E-409C-BE32-E72D297353CC}">
              <c16:uniqueId val="{00000001-FAC0-46BD-8937-E900A8EF66C4}"/>
            </c:ext>
          </c:extLst>
        </c:ser>
        <c:dLbls>
          <c:showLegendKey val="0"/>
          <c:showVal val="0"/>
          <c:showCatName val="0"/>
          <c:showSerName val="0"/>
          <c:showPercent val="0"/>
          <c:showBubbleSize val="0"/>
        </c:dLbls>
        <c:gapWidth val="150"/>
        <c:axId val="167556992"/>
        <c:axId val="167558528"/>
      </c:barChart>
      <c:catAx>
        <c:axId val="1675569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67558528"/>
        <c:crosses val="autoZero"/>
        <c:auto val="1"/>
        <c:lblAlgn val="ctr"/>
        <c:lblOffset val="100"/>
        <c:noMultiLvlLbl val="0"/>
      </c:catAx>
      <c:valAx>
        <c:axId val="167558528"/>
        <c:scaling>
          <c:orientation val="minMax"/>
        </c:scaling>
        <c:delete val="1"/>
        <c:axPos val="l"/>
        <c:numFmt formatCode="0.0%" sourceLinked="1"/>
        <c:majorTickMark val="none"/>
        <c:minorTickMark val="none"/>
        <c:tickLblPos val="nextTo"/>
        <c:crossAx val="167556992"/>
        <c:crosses val="autoZero"/>
        <c:crossBetween val="between"/>
      </c:valAx>
      <c:spPr>
        <a:noFill/>
        <a:ln>
          <a:noFill/>
        </a:ln>
        <a:effectLst/>
      </c:spPr>
    </c:plotArea>
    <c:legend>
      <c:legendPos val="b"/>
      <c:layout>
        <c:manualLayout>
          <c:xMode val="edge"/>
          <c:yMode val="edge"/>
          <c:x val="0.41640885416666668"/>
          <c:y val="0.80676388888888884"/>
          <c:w val="0.16718229166666668"/>
          <c:h val="9.328240740740741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253472222222221E-2"/>
          <c:y val="5.5436507936507937E-2"/>
          <c:w val="0.95149305555555552"/>
          <c:h val="0.72544206349206353"/>
        </c:manualLayout>
      </c:layout>
      <c:barChart>
        <c:barDir val="col"/>
        <c:grouping val="clustered"/>
        <c:varyColors val="0"/>
        <c:ser>
          <c:idx val="1"/>
          <c:order val="0"/>
          <c:tx>
            <c:strRef>
              <c:f>'MF_SM_Gráficos '!$C$102</c:f>
              <c:strCache>
                <c:ptCount val="1"/>
                <c:pt idx="0">
                  <c:v> Alto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'MF_SM_Gráficos '!$A$103:$A$105</c:f>
              <c:strCache>
                <c:ptCount val="3"/>
                <c:pt idx="0">
                  <c:v>Emsión monetaria</c:v>
                </c:pt>
                <c:pt idx="1">
                  <c:v>Medios de pago</c:v>
                </c:pt>
                <c:pt idx="2">
                  <c:v>Crédito bancario</c:v>
                </c:pt>
              </c:strCache>
            </c:strRef>
          </c:cat>
          <c:val>
            <c:numRef>
              <c:f>'MF_SM_Gráficos '!$C$103:$C$105</c:f>
              <c:numCache>
                <c:formatCode>_ * #,##0.0_ ;_ * \-#,##0.0_ ;_ * "-"??_ ;_ @_ </c:formatCode>
                <c:ptCount val="3"/>
                <c:pt idx="0">
                  <c:v>12.5</c:v>
                </c:pt>
                <c:pt idx="1">
                  <c:v>11</c:v>
                </c:pt>
                <c:pt idx="2">
                  <c:v>10.5</c:v>
                </c:pt>
              </c:numCache>
            </c:numRef>
          </c:val>
          <c:extLst xmlns:c16r2="http://schemas.microsoft.com/office/drawing/2015/06/chart">
            <c:ext xmlns:c16="http://schemas.microsoft.com/office/drawing/2014/chart" uri="{C3380CC4-5D6E-409C-BE32-E72D297353CC}">
              <c16:uniqueId val="{00000000-E093-4655-99D9-EDF58EB8A5E0}"/>
            </c:ext>
          </c:extLst>
        </c:ser>
        <c:ser>
          <c:idx val="0"/>
          <c:order val="1"/>
          <c:tx>
            <c:strRef>
              <c:f>'MF_SM_Gráficos '!$B$102</c:f>
              <c:strCache>
                <c:ptCount val="1"/>
                <c:pt idx="0">
                  <c:v> Bajo </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'MF_SM_Gráficos '!$A$103:$A$105</c:f>
              <c:strCache>
                <c:ptCount val="3"/>
                <c:pt idx="0">
                  <c:v>Emsión monetaria</c:v>
                </c:pt>
                <c:pt idx="1">
                  <c:v>Medios de pago</c:v>
                </c:pt>
                <c:pt idx="2">
                  <c:v>Crédito bancario</c:v>
                </c:pt>
              </c:strCache>
            </c:strRef>
          </c:cat>
          <c:val>
            <c:numRef>
              <c:f>'MF_SM_Gráficos '!$B$103:$B$105</c:f>
              <c:numCache>
                <c:formatCode>_ * #,##0.0_ ;_ * \-#,##0.0_ ;_ * "-"??_ ;_ @_ </c:formatCode>
                <c:ptCount val="3"/>
                <c:pt idx="0">
                  <c:v>9.5</c:v>
                </c:pt>
                <c:pt idx="1">
                  <c:v>9</c:v>
                </c:pt>
                <c:pt idx="2">
                  <c:v>7.5</c:v>
                </c:pt>
              </c:numCache>
            </c:numRef>
          </c:val>
          <c:extLst xmlns:c16r2="http://schemas.microsoft.com/office/drawing/2015/06/chart">
            <c:ext xmlns:c16="http://schemas.microsoft.com/office/drawing/2014/chart" uri="{C3380CC4-5D6E-409C-BE32-E72D297353CC}">
              <c16:uniqueId val="{00000001-E093-4655-99D9-EDF58EB8A5E0}"/>
            </c:ext>
          </c:extLst>
        </c:ser>
        <c:dLbls>
          <c:showLegendKey val="0"/>
          <c:showVal val="0"/>
          <c:showCatName val="0"/>
          <c:showSerName val="0"/>
          <c:showPercent val="0"/>
          <c:showBubbleSize val="0"/>
        </c:dLbls>
        <c:gapWidth val="219"/>
        <c:overlap val="100"/>
        <c:axId val="163526912"/>
        <c:axId val="163540992"/>
      </c:barChart>
      <c:catAx>
        <c:axId val="16352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3540992"/>
        <c:crosses val="autoZero"/>
        <c:auto val="1"/>
        <c:lblAlgn val="ctr"/>
        <c:lblOffset val="100"/>
        <c:noMultiLvlLbl val="0"/>
      </c:catAx>
      <c:valAx>
        <c:axId val="163540992"/>
        <c:scaling>
          <c:orientation val="minMax"/>
        </c:scaling>
        <c:delete val="1"/>
        <c:axPos val="l"/>
        <c:numFmt formatCode="_ * #,##0.0_ ;_ * \-#,##0.0_ ;_ * &quot;-&quot;??_ ;_ @_ " sourceLinked="1"/>
        <c:majorTickMark val="none"/>
        <c:minorTickMark val="none"/>
        <c:tickLblPos val="nextTo"/>
        <c:crossAx val="163526912"/>
        <c:crosses val="autoZero"/>
        <c:crossBetween val="between"/>
      </c:valAx>
      <c:spPr>
        <a:noFill/>
        <a:ln>
          <a:noFill/>
        </a:ln>
        <a:effectLst/>
      </c:spPr>
    </c:plotArea>
    <c:legend>
      <c:legendPos val="b"/>
      <c:layout>
        <c:manualLayout>
          <c:xMode val="edge"/>
          <c:yMode val="edge"/>
          <c:x val="0.22888368055555555"/>
          <c:y val="0.88426785714285716"/>
          <c:w val="0.54884704861111111"/>
          <c:h val="8.549404761904762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lumMod val="50000"/>
              </a:schemeClr>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MF_SE_Gráficos!$A$127:$D$127</c:f>
              <c:strCache>
                <c:ptCount val="4"/>
                <c:pt idx="0">
                  <c:v>Exportaciones FOB</c:v>
                </c:pt>
                <c:pt idx="1">
                  <c:v>Importaciones FOB</c:v>
                </c:pt>
                <c:pt idx="2">
                  <c:v>Remesas</c:v>
                </c:pt>
                <c:pt idx="3">
                  <c:v>CC/PIB</c:v>
                </c:pt>
              </c:strCache>
            </c:strRef>
          </c:cat>
          <c:val>
            <c:numRef>
              <c:f>MF_SE_Gráficos!$A$128:$D$128</c:f>
              <c:numCache>
                <c:formatCode>0.0</c:formatCode>
                <c:ptCount val="4"/>
                <c:pt idx="0">
                  <c:v>10.5</c:v>
                </c:pt>
                <c:pt idx="1">
                  <c:v>18.5</c:v>
                </c:pt>
                <c:pt idx="2">
                  <c:v>21</c:v>
                </c:pt>
                <c:pt idx="3" formatCode="General">
                  <c:v>4.9000000000000004</c:v>
                </c:pt>
              </c:numCache>
            </c:numRef>
          </c:val>
          <c:extLst xmlns:c16r2="http://schemas.microsoft.com/office/drawing/2015/06/chart">
            <c:ext xmlns:c16="http://schemas.microsoft.com/office/drawing/2014/chart" uri="{C3380CC4-5D6E-409C-BE32-E72D297353CC}">
              <c16:uniqueId val="{00000000-0B0F-4788-8390-E98937301558}"/>
            </c:ext>
          </c:extLst>
        </c:ser>
        <c:dLbls>
          <c:showLegendKey val="0"/>
          <c:showVal val="0"/>
          <c:showCatName val="0"/>
          <c:showSerName val="0"/>
          <c:showPercent val="0"/>
          <c:showBubbleSize val="0"/>
        </c:dLbls>
        <c:gapWidth val="219"/>
        <c:overlap val="-27"/>
        <c:axId val="167449344"/>
        <c:axId val="167450880"/>
      </c:barChart>
      <c:catAx>
        <c:axId val="16744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7450880"/>
        <c:crosses val="autoZero"/>
        <c:auto val="1"/>
        <c:lblAlgn val="ctr"/>
        <c:lblOffset val="100"/>
        <c:noMultiLvlLbl val="0"/>
      </c:catAx>
      <c:valAx>
        <c:axId val="167450880"/>
        <c:scaling>
          <c:orientation val="minMax"/>
        </c:scaling>
        <c:delete val="1"/>
        <c:axPos val="l"/>
        <c:numFmt formatCode="0.0" sourceLinked="1"/>
        <c:majorTickMark val="none"/>
        <c:minorTickMark val="none"/>
        <c:tickLblPos val="nextTo"/>
        <c:crossAx val="1674493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81078829282169E-2"/>
          <c:y val="3.3871649796324746E-2"/>
          <c:w val="0.91636519490767587"/>
          <c:h val="0.7074093899377466"/>
        </c:manualLayout>
      </c:layout>
      <c:lineChart>
        <c:grouping val="standard"/>
        <c:varyColors val="0"/>
        <c:ser>
          <c:idx val="0"/>
          <c:order val="0"/>
          <c:tx>
            <c:strRef>
              <c:f>West_Texas_Intermediate_Crude_O!$D$29</c:f>
              <c:strCache>
                <c:ptCount val="1"/>
                <c:pt idx="0">
                  <c:v>WTI</c:v>
                </c:pt>
              </c:strCache>
            </c:strRef>
          </c:tx>
          <c:spPr>
            <a:ln w="28575" cap="rnd">
              <a:solidFill>
                <a:schemeClr val="accent5">
                  <a:lumMod val="75000"/>
                </a:schemeClr>
              </a:solidFill>
              <a:round/>
            </a:ln>
            <a:effectLst/>
          </c:spPr>
          <c:marker>
            <c:symbol val="none"/>
          </c:marker>
          <c:cat>
            <c:numRef>
              <c:f>West_Texas_Intermediate_Crude_O!$C$30:$C$77</c:f>
              <c:numCache>
                <c:formatCode>mmm\-yy</c:formatCode>
                <c:ptCount val="48"/>
                <c:pt idx="0">
                  <c:v>44166</c:v>
                </c:pt>
                <c:pt idx="1">
                  <c:v>44136</c:v>
                </c:pt>
                <c:pt idx="2">
                  <c:v>44105</c:v>
                </c:pt>
                <c:pt idx="3">
                  <c:v>44075</c:v>
                </c:pt>
                <c:pt idx="4">
                  <c:v>44044</c:v>
                </c:pt>
                <c:pt idx="5">
                  <c:v>44013</c:v>
                </c:pt>
                <c:pt idx="6">
                  <c:v>43983</c:v>
                </c:pt>
                <c:pt idx="7">
                  <c:v>43952</c:v>
                </c:pt>
                <c:pt idx="8">
                  <c:v>43922</c:v>
                </c:pt>
                <c:pt idx="9">
                  <c:v>43891</c:v>
                </c:pt>
                <c:pt idx="10">
                  <c:v>43862</c:v>
                </c:pt>
                <c:pt idx="11">
                  <c:v>43831</c:v>
                </c:pt>
                <c:pt idx="12">
                  <c:v>43800</c:v>
                </c:pt>
                <c:pt idx="13">
                  <c:v>43770</c:v>
                </c:pt>
                <c:pt idx="14">
                  <c:v>43739</c:v>
                </c:pt>
                <c:pt idx="15">
                  <c:v>43709</c:v>
                </c:pt>
                <c:pt idx="16">
                  <c:v>43678</c:v>
                </c:pt>
                <c:pt idx="17">
                  <c:v>43647</c:v>
                </c:pt>
                <c:pt idx="18">
                  <c:v>43617</c:v>
                </c:pt>
                <c:pt idx="19">
                  <c:v>43586</c:v>
                </c:pt>
                <c:pt idx="20">
                  <c:v>43556</c:v>
                </c:pt>
                <c:pt idx="21">
                  <c:v>43525</c:v>
                </c:pt>
                <c:pt idx="22">
                  <c:v>43497</c:v>
                </c:pt>
                <c:pt idx="23">
                  <c:v>43466</c:v>
                </c:pt>
                <c:pt idx="24">
                  <c:v>43435</c:v>
                </c:pt>
                <c:pt idx="25">
                  <c:v>43405</c:v>
                </c:pt>
                <c:pt idx="26">
                  <c:v>43374</c:v>
                </c:pt>
                <c:pt idx="27">
                  <c:v>43344</c:v>
                </c:pt>
                <c:pt idx="28">
                  <c:v>43313</c:v>
                </c:pt>
                <c:pt idx="29">
                  <c:v>43282</c:v>
                </c:pt>
                <c:pt idx="30">
                  <c:v>43252</c:v>
                </c:pt>
                <c:pt idx="31">
                  <c:v>43221</c:v>
                </c:pt>
                <c:pt idx="32">
                  <c:v>43191</c:v>
                </c:pt>
                <c:pt idx="33">
                  <c:v>43160</c:v>
                </c:pt>
                <c:pt idx="34">
                  <c:v>43132</c:v>
                </c:pt>
                <c:pt idx="35">
                  <c:v>43101</c:v>
                </c:pt>
                <c:pt idx="36">
                  <c:v>43070</c:v>
                </c:pt>
                <c:pt idx="37">
                  <c:v>43040</c:v>
                </c:pt>
                <c:pt idx="38">
                  <c:v>43009</c:v>
                </c:pt>
                <c:pt idx="39">
                  <c:v>42979</c:v>
                </c:pt>
                <c:pt idx="40">
                  <c:v>42948</c:v>
                </c:pt>
                <c:pt idx="41">
                  <c:v>42917</c:v>
                </c:pt>
                <c:pt idx="42">
                  <c:v>42887</c:v>
                </c:pt>
                <c:pt idx="43">
                  <c:v>42856</c:v>
                </c:pt>
                <c:pt idx="44">
                  <c:v>42826</c:v>
                </c:pt>
                <c:pt idx="45">
                  <c:v>42795</c:v>
                </c:pt>
                <c:pt idx="46">
                  <c:v>42767</c:v>
                </c:pt>
                <c:pt idx="47">
                  <c:v>42736</c:v>
                </c:pt>
              </c:numCache>
            </c:numRef>
          </c:cat>
          <c:val>
            <c:numRef>
              <c:f>West_Texas_Intermediate_Crude_O!$D$30:$D$77</c:f>
              <c:numCache>
                <c:formatCode>General</c:formatCode>
                <c:ptCount val="48"/>
                <c:pt idx="0">
                  <c:v>47.02</c:v>
                </c:pt>
                <c:pt idx="1">
                  <c:v>40.94</c:v>
                </c:pt>
                <c:pt idx="2">
                  <c:v>39.4</c:v>
                </c:pt>
                <c:pt idx="3">
                  <c:v>39.630000000000003</c:v>
                </c:pt>
                <c:pt idx="4">
                  <c:v>42.34</c:v>
                </c:pt>
                <c:pt idx="5">
                  <c:v>40.71</c:v>
                </c:pt>
                <c:pt idx="6">
                  <c:v>38.31</c:v>
                </c:pt>
                <c:pt idx="7">
                  <c:v>28.56</c:v>
                </c:pt>
                <c:pt idx="8">
                  <c:v>16.55</c:v>
                </c:pt>
                <c:pt idx="9">
                  <c:v>29.21</c:v>
                </c:pt>
                <c:pt idx="10">
                  <c:v>50.54</c:v>
                </c:pt>
                <c:pt idx="11">
                  <c:v>57.52</c:v>
                </c:pt>
                <c:pt idx="12">
                  <c:v>59.88</c:v>
                </c:pt>
                <c:pt idx="13">
                  <c:v>57.03</c:v>
                </c:pt>
                <c:pt idx="14">
                  <c:v>53.96</c:v>
                </c:pt>
                <c:pt idx="15">
                  <c:v>56.95</c:v>
                </c:pt>
                <c:pt idx="16">
                  <c:v>54.8</c:v>
                </c:pt>
                <c:pt idx="17">
                  <c:v>57.35</c:v>
                </c:pt>
                <c:pt idx="18">
                  <c:v>54.66</c:v>
                </c:pt>
                <c:pt idx="19">
                  <c:v>60.83</c:v>
                </c:pt>
                <c:pt idx="20">
                  <c:v>63.86</c:v>
                </c:pt>
                <c:pt idx="21">
                  <c:v>58.15</c:v>
                </c:pt>
                <c:pt idx="22">
                  <c:v>54.95</c:v>
                </c:pt>
                <c:pt idx="23">
                  <c:v>51.38</c:v>
                </c:pt>
                <c:pt idx="24">
                  <c:v>49.52</c:v>
                </c:pt>
                <c:pt idx="25">
                  <c:v>56.96</c:v>
                </c:pt>
                <c:pt idx="26">
                  <c:v>70.75</c:v>
                </c:pt>
                <c:pt idx="27">
                  <c:v>70.23</c:v>
                </c:pt>
                <c:pt idx="28">
                  <c:v>68.06</c:v>
                </c:pt>
                <c:pt idx="29">
                  <c:v>70.98</c:v>
                </c:pt>
                <c:pt idx="30">
                  <c:v>67.87</c:v>
                </c:pt>
                <c:pt idx="31">
                  <c:v>69.98</c:v>
                </c:pt>
                <c:pt idx="32">
                  <c:v>66.25</c:v>
                </c:pt>
                <c:pt idx="33">
                  <c:v>62.73</c:v>
                </c:pt>
                <c:pt idx="34">
                  <c:v>62.23</c:v>
                </c:pt>
                <c:pt idx="35">
                  <c:v>63.7</c:v>
                </c:pt>
                <c:pt idx="36">
                  <c:v>57.88</c:v>
                </c:pt>
                <c:pt idx="37">
                  <c:v>56.64</c:v>
                </c:pt>
                <c:pt idx="38">
                  <c:v>51.58</c:v>
                </c:pt>
                <c:pt idx="39">
                  <c:v>49.82</c:v>
                </c:pt>
                <c:pt idx="40">
                  <c:v>48.04</c:v>
                </c:pt>
                <c:pt idx="41">
                  <c:v>46.63</c:v>
                </c:pt>
                <c:pt idx="42">
                  <c:v>45.18</c:v>
                </c:pt>
                <c:pt idx="43">
                  <c:v>48.48</c:v>
                </c:pt>
                <c:pt idx="44">
                  <c:v>51.06</c:v>
                </c:pt>
                <c:pt idx="45">
                  <c:v>49.33</c:v>
                </c:pt>
                <c:pt idx="46">
                  <c:v>53.57</c:v>
                </c:pt>
                <c:pt idx="47">
                  <c:v>52.5</c:v>
                </c:pt>
              </c:numCache>
            </c:numRef>
          </c:val>
          <c:smooth val="0"/>
          <c:extLst xmlns:c16r2="http://schemas.microsoft.com/office/drawing/2015/06/chart">
            <c:ext xmlns:c16="http://schemas.microsoft.com/office/drawing/2014/chart" uri="{C3380CC4-5D6E-409C-BE32-E72D297353CC}">
              <c16:uniqueId val="{00000000-93D6-40E6-8F88-12B74B5BB160}"/>
            </c:ext>
          </c:extLst>
        </c:ser>
        <c:ser>
          <c:idx val="1"/>
          <c:order val="1"/>
          <c:tx>
            <c:strRef>
              <c:f>West_Texas_Intermediate_Crude_O!$E$29</c:f>
              <c:strCache>
                <c:ptCount val="1"/>
                <c:pt idx="0">
                  <c:v>Promedio 2017</c:v>
                </c:pt>
              </c:strCache>
            </c:strRef>
          </c:tx>
          <c:spPr>
            <a:ln w="15875" cap="rnd">
              <a:solidFill>
                <a:srgbClr val="FFC000"/>
              </a:solidFill>
              <a:prstDash val="sysDash"/>
              <a:round/>
            </a:ln>
            <a:effectLst/>
          </c:spPr>
          <c:marker>
            <c:symbol val="none"/>
          </c:marker>
          <c:cat>
            <c:numRef>
              <c:f>West_Texas_Intermediate_Crude_O!$C$30:$C$77</c:f>
              <c:numCache>
                <c:formatCode>mmm\-yy</c:formatCode>
                <c:ptCount val="48"/>
                <c:pt idx="0">
                  <c:v>44166</c:v>
                </c:pt>
                <c:pt idx="1">
                  <c:v>44136</c:v>
                </c:pt>
                <c:pt idx="2">
                  <c:v>44105</c:v>
                </c:pt>
                <c:pt idx="3">
                  <c:v>44075</c:v>
                </c:pt>
                <c:pt idx="4">
                  <c:v>44044</c:v>
                </c:pt>
                <c:pt idx="5">
                  <c:v>44013</c:v>
                </c:pt>
                <c:pt idx="6">
                  <c:v>43983</c:v>
                </c:pt>
                <c:pt idx="7">
                  <c:v>43952</c:v>
                </c:pt>
                <c:pt idx="8">
                  <c:v>43922</c:v>
                </c:pt>
                <c:pt idx="9">
                  <c:v>43891</c:v>
                </c:pt>
                <c:pt idx="10">
                  <c:v>43862</c:v>
                </c:pt>
                <c:pt idx="11">
                  <c:v>43831</c:v>
                </c:pt>
                <c:pt idx="12">
                  <c:v>43800</c:v>
                </c:pt>
                <c:pt idx="13">
                  <c:v>43770</c:v>
                </c:pt>
                <c:pt idx="14">
                  <c:v>43739</c:v>
                </c:pt>
                <c:pt idx="15">
                  <c:v>43709</c:v>
                </c:pt>
                <c:pt idx="16">
                  <c:v>43678</c:v>
                </c:pt>
                <c:pt idx="17">
                  <c:v>43647</c:v>
                </c:pt>
                <c:pt idx="18">
                  <c:v>43617</c:v>
                </c:pt>
                <c:pt idx="19">
                  <c:v>43586</c:v>
                </c:pt>
                <c:pt idx="20">
                  <c:v>43556</c:v>
                </c:pt>
                <c:pt idx="21">
                  <c:v>43525</c:v>
                </c:pt>
                <c:pt idx="22">
                  <c:v>43497</c:v>
                </c:pt>
                <c:pt idx="23">
                  <c:v>43466</c:v>
                </c:pt>
                <c:pt idx="24">
                  <c:v>43435</c:v>
                </c:pt>
                <c:pt idx="25">
                  <c:v>43405</c:v>
                </c:pt>
                <c:pt idx="26">
                  <c:v>43374</c:v>
                </c:pt>
                <c:pt idx="27">
                  <c:v>43344</c:v>
                </c:pt>
                <c:pt idx="28">
                  <c:v>43313</c:v>
                </c:pt>
                <c:pt idx="29">
                  <c:v>43282</c:v>
                </c:pt>
                <c:pt idx="30">
                  <c:v>43252</c:v>
                </c:pt>
                <c:pt idx="31">
                  <c:v>43221</c:v>
                </c:pt>
                <c:pt idx="32">
                  <c:v>43191</c:v>
                </c:pt>
                <c:pt idx="33">
                  <c:v>43160</c:v>
                </c:pt>
                <c:pt idx="34">
                  <c:v>43132</c:v>
                </c:pt>
                <c:pt idx="35">
                  <c:v>43101</c:v>
                </c:pt>
                <c:pt idx="36">
                  <c:v>43070</c:v>
                </c:pt>
                <c:pt idx="37">
                  <c:v>43040</c:v>
                </c:pt>
                <c:pt idx="38">
                  <c:v>43009</c:v>
                </c:pt>
                <c:pt idx="39">
                  <c:v>42979</c:v>
                </c:pt>
                <c:pt idx="40">
                  <c:v>42948</c:v>
                </c:pt>
                <c:pt idx="41">
                  <c:v>42917</c:v>
                </c:pt>
                <c:pt idx="42">
                  <c:v>42887</c:v>
                </c:pt>
                <c:pt idx="43">
                  <c:v>42856</c:v>
                </c:pt>
                <c:pt idx="44">
                  <c:v>42826</c:v>
                </c:pt>
                <c:pt idx="45">
                  <c:v>42795</c:v>
                </c:pt>
                <c:pt idx="46">
                  <c:v>42767</c:v>
                </c:pt>
                <c:pt idx="47">
                  <c:v>42736</c:v>
                </c:pt>
              </c:numCache>
            </c:numRef>
          </c:cat>
          <c:val>
            <c:numRef>
              <c:f>West_Texas_Intermediate_Crude_O!$E$30:$E$77</c:f>
              <c:numCache>
                <c:formatCode>General</c:formatCode>
                <c:ptCount val="48"/>
                <c:pt idx="36">
                  <c:v>50.892500000000005</c:v>
                </c:pt>
                <c:pt idx="37">
                  <c:v>50.892500000000005</c:v>
                </c:pt>
                <c:pt idx="38">
                  <c:v>50.892500000000005</c:v>
                </c:pt>
                <c:pt idx="39">
                  <c:v>50.892500000000005</c:v>
                </c:pt>
                <c:pt idx="40">
                  <c:v>50.892500000000005</c:v>
                </c:pt>
                <c:pt idx="41">
                  <c:v>50.892500000000005</c:v>
                </c:pt>
                <c:pt idx="42">
                  <c:v>50.892500000000005</c:v>
                </c:pt>
                <c:pt idx="43">
                  <c:v>50.892500000000005</c:v>
                </c:pt>
                <c:pt idx="44">
                  <c:v>50.892500000000005</c:v>
                </c:pt>
                <c:pt idx="45">
                  <c:v>50.892500000000005</c:v>
                </c:pt>
                <c:pt idx="46">
                  <c:v>50.892500000000005</c:v>
                </c:pt>
                <c:pt idx="47">
                  <c:v>50.892500000000005</c:v>
                </c:pt>
              </c:numCache>
            </c:numRef>
          </c:val>
          <c:smooth val="0"/>
          <c:extLst xmlns:c16r2="http://schemas.microsoft.com/office/drawing/2015/06/chart">
            <c:ext xmlns:c16="http://schemas.microsoft.com/office/drawing/2014/chart" uri="{C3380CC4-5D6E-409C-BE32-E72D297353CC}">
              <c16:uniqueId val="{00000001-93D6-40E6-8F88-12B74B5BB160}"/>
            </c:ext>
          </c:extLst>
        </c:ser>
        <c:ser>
          <c:idx val="2"/>
          <c:order val="2"/>
          <c:tx>
            <c:strRef>
              <c:f>West_Texas_Intermediate_Crude_O!$F$29</c:f>
              <c:strCache>
                <c:ptCount val="1"/>
                <c:pt idx="0">
                  <c:v>Promedio 2018</c:v>
                </c:pt>
              </c:strCache>
            </c:strRef>
          </c:tx>
          <c:spPr>
            <a:ln w="19050" cap="rnd">
              <a:solidFill>
                <a:schemeClr val="accent3"/>
              </a:solidFill>
              <a:prstDash val="sysDash"/>
              <a:round/>
            </a:ln>
            <a:effectLst/>
          </c:spPr>
          <c:marker>
            <c:symbol val="none"/>
          </c:marker>
          <c:cat>
            <c:numRef>
              <c:f>West_Texas_Intermediate_Crude_O!$C$30:$C$77</c:f>
              <c:numCache>
                <c:formatCode>mmm\-yy</c:formatCode>
                <c:ptCount val="48"/>
                <c:pt idx="0">
                  <c:v>44166</c:v>
                </c:pt>
                <c:pt idx="1">
                  <c:v>44136</c:v>
                </c:pt>
                <c:pt idx="2">
                  <c:v>44105</c:v>
                </c:pt>
                <c:pt idx="3">
                  <c:v>44075</c:v>
                </c:pt>
                <c:pt idx="4">
                  <c:v>44044</c:v>
                </c:pt>
                <c:pt idx="5">
                  <c:v>44013</c:v>
                </c:pt>
                <c:pt idx="6">
                  <c:v>43983</c:v>
                </c:pt>
                <c:pt idx="7">
                  <c:v>43952</c:v>
                </c:pt>
                <c:pt idx="8">
                  <c:v>43922</c:v>
                </c:pt>
                <c:pt idx="9">
                  <c:v>43891</c:v>
                </c:pt>
                <c:pt idx="10">
                  <c:v>43862</c:v>
                </c:pt>
                <c:pt idx="11">
                  <c:v>43831</c:v>
                </c:pt>
                <c:pt idx="12">
                  <c:v>43800</c:v>
                </c:pt>
                <c:pt idx="13">
                  <c:v>43770</c:v>
                </c:pt>
                <c:pt idx="14">
                  <c:v>43739</c:v>
                </c:pt>
                <c:pt idx="15">
                  <c:v>43709</c:v>
                </c:pt>
                <c:pt idx="16">
                  <c:v>43678</c:v>
                </c:pt>
                <c:pt idx="17">
                  <c:v>43647</c:v>
                </c:pt>
                <c:pt idx="18">
                  <c:v>43617</c:v>
                </c:pt>
                <c:pt idx="19">
                  <c:v>43586</c:v>
                </c:pt>
                <c:pt idx="20">
                  <c:v>43556</c:v>
                </c:pt>
                <c:pt idx="21">
                  <c:v>43525</c:v>
                </c:pt>
                <c:pt idx="22">
                  <c:v>43497</c:v>
                </c:pt>
                <c:pt idx="23">
                  <c:v>43466</c:v>
                </c:pt>
                <c:pt idx="24">
                  <c:v>43435</c:v>
                </c:pt>
                <c:pt idx="25">
                  <c:v>43405</c:v>
                </c:pt>
                <c:pt idx="26">
                  <c:v>43374</c:v>
                </c:pt>
                <c:pt idx="27">
                  <c:v>43344</c:v>
                </c:pt>
                <c:pt idx="28">
                  <c:v>43313</c:v>
                </c:pt>
                <c:pt idx="29">
                  <c:v>43282</c:v>
                </c:pt>
                <c:pt idx="30">
                  <c:v>43252</c:v>
                </c:pt>
                <c:pt idx="31">
                  <c:v>43221</c:v>
                </c:pt>
                <c:pt idx="32">
                  <c:v>43191</c:v>
                </c:pt>
                <c:pt idx="33">
                  <c:v>43160</c:v>
                </c:pt>
                <c:pt idx="34">
                  <c:v>43132</c:v>
                </c:pt>
                <c:pt idx="35">
                  <c:v>43101</c:v>
                </c:pt>
                <c:pt idx="36">
                  <c:v>43070</c:v>
                </c:pt>
                <c:pt idx="37">
                  <c:v>43040</c:v>
                </c:pt>
                <c:pt idx="38">
                  <c:v>43009</c:v>
                </c:pt>
                <c:pt idx="39">
                  <c:v>42979</c:v>
                </c:pt>
                <c:pt idx="40">
                  <c:v>42948</c:v>
                </c:pt>
                <c:pt idx="41">
                  <c:v>42917</c:v>
                </c:pt>
                <c:pt idx="42">
                  <c:v>42887</c:v>
                </c:pt>
                <c:pt idx="43">
                  <c:v>42856</c:v>
                </c:pt>
                <c:pt idx="44">
                  <c:v>42826</c:v>
                </c:pt>
                <c:pt idx="45">
                  <c:v>42795</c:v>
                </c:pt>
                <c:pt idx="46">
                  <c:v>42767</c:v>
                </c:pt>
                <c:pt idx="47">
                  <c:v>42736</c:v>
                </c:pt>
              </c:numCache>
            </c:numRef>
          </c:cat>
          <c:val>
            <c:numRef>
              <c:f>West_Texas_Intermediate_Crude_O!$F$30:$F$77</c:f>
              <c:numCache>
                <c:formatCode>General</c:formatCode>
                <c:ptCount val="48"/>
                <c:pt idx="24">
                  <c:v>64.938333333333347</c:v>
                </c:pt>
                <c:pt idx="25">
                  <c:v>64.938333333333347</c:v>
                </c:pt>
                <c:pt idx="26">
                  <c:v>64.938333333333347</c:v>
                </c:pt>
                <c:pt idx="27">
                  <c:v>64.938333333333347</c:v>
                </c:pt>
                <c:pt idx="28">
                  <c:v>64.938333333333347</c:v>
                </c:pt>
                <c:pt idx="29">
                  <c:v>64.938333333333347</c:v>
                </c:pt>
                <c:pt idx="30">
                  <c:v>64.938333333333347</c:v>
                </c:pt>
                <c:pt idx="31">
                  <c:v>64.938333333333347</c:v>
                </c:pt>
                <c:pt idx="32">
                  <c:v>64.938333333333347</c:v>
                </c:pt>
                <c:pt idx="33">
                  <c:v>64.938333333333347</c:v>
                </c:pt>
                <c:pt idx="34">
                  <c:v>64.938333333333347</c:v>
                </c:pt>
                <c:pt idx="35">
                  <c:v>64.938333333333347</c:v>
                </c:pt>
              </c:numCache>
            </c:numRef>
          </c:val>
          <c:smooth val="0"/>
          <c:extLst xmlns:c16r2="http://schemas.microsoft.com/office/drawing/2015/06/chart">
            <c:ext xmlns:c16="http://schemas.microsoft.com/office/drawing/2014/chart" uri="{C3380CC4-5D6E-409C-BE32-E72D297353CC}">
              <c16:uniqueId val="{00000002-93D6-40E6-8F88-12B74B5BB160}"/>
            </c:ext>
          </c:extLst>
        </c:ser>
        <c:ser>
          <c:idx val="3"/>
          <c:order val="3"/>
          <c:tx>
            <c:strRef>
              <c:f>West_Texas_Intermediate_Crude_O!$G$29</c:f>
              <c:strCache>
                <c:ptCount val="1"/>
                <c:pt idx="0">
                  <c:v>Promedio 2019</c:v>
                </c:pt>
              </c:strCache>
            </c:strRef>
          </c:tx>
          <c:spPr>
            <a:ln w="19050" cap="rnd">
              <a:solidFill>
                <a:schemeClr val="accent6"/>
              </a:solidFill>
              <a:prstDash val="sysDash"/>
              <a:round/>
            </a:ln>
            <a:effectLst/>
          </c:spPr>
          <c:marker>
            <c:symbol val="none"/>
          </c:marker>
          <c:cat>
            <c:numRef>
              <c:f>West_Texas_Intermediate_Crude_O!$C$30:$C$77</c:f>
              <c:numCache>
                <c:formatCode>mmm\-yy</c:formatCode>
                <c:ptCount val="48"/>
                <c:pt idx="0">
                  <c:v>44166</c:v>
                </c:pt>
                <c:pt idx="1">
                  <c:v>44136</c:v>
                </c:pt>
                <c:pt idx="2">
                  <c:v>44105</c:v>
                </c:pt>
                <c:pt idx="3">
                  <c:v>44075</c:v>
                </c:pt>
                <c:pt idx="4">
                  <c:v>44044</c:v>
                </c:pt>
                <c:pt idx="5">
                  <c:v>44013</c:v>
                </c:pt>
                <c:pt idx="6">
                  <c:v>43983</c:v>
                </c:pt>
                <c:pt idx="7">
                  <c:v>43952</c:v>
                </c:pt>
                <c:pt idx="8">
                  <c:v>43922</c:v>
                </c:pt>
                <c:pt idx="9">
                  <c:v>43891</c:v>
                </c:pt>
                <c:pt idx="10">
                  <c:v>43862</c:v>
                </c:pt>
                <c:pt idx="11">
                  <c:v>43831</c:v>
                </c:pt>
                <c:pt idx="12">
                  <c:v>43800</c:v>
                </c:pt>
                <c:pt idx="13">
                  <c:v>43770</c:v>
                </c:pt>
                <c:pt idx="14">
                  <c:v>43739</c:v>
                </c:pt>
                <c:pt idx="15">
                  <c:v>43709</c:v>
                </c:pt>
                <c:pt idx="16">
                  <c:v>43678</c:v>
                </c:pt>
                <c:pt idx="17">
                  <c:v>43647</c:v>
                </c:pt>
                <c:pt idx="18">
                  <c:v>43617</c:v>
                </c:pt>
                <c:pt idx="19">
                  <c:v>43586</c:v>
                </c:pt>
                <c:pt idx="20">
                  <c:v>43556</c:v>
                </c:pt>
                <c:pt idx="21">
                  <c:v>43525</c:v>
                </c:pt>
                <c:pt idx="22">
                  <c:v>43497</c:v>
                </c:pt>
                <c:pt idx="23">
                  <c:v>43466</c:v>
                </c:pt>
                <c:pt idx="24">
                  <c:v>43435</c:v>
                </c:pt>
                <c:pt idx="25">
                  <c:v>43405</c:v>
                </c:pt>
                <c:pt idx="26">
                  <c:v>43374</c:v>
                </c:pt>
                <c:pt idx="27">
                  <c:v>43344</c:v>
                </c:pt>
                <c:pt idx="28">
                  <c:v>43313</c:v>
                </c:pt>
                <c:pt idx="29">
                  <c:v>43282</c:v>
                </c:pt>
                <c:pt idx="30">
                  <c:v>43252</c:v>
                </c:pt>
                <c:pt idx="31">
                  <c:v>43221</c:v>
                </c:pt>
                <c:pt idx="32">
                  <c:v>43191</c:v>
                </c:pt>
                <c:pt idx="33">
                  <c:v>43160</c:v>
                </c:pt>
                <c:pt idx="34">
                  <c:v>43132</c:v>
                </c:pt>
                <c:pt idx="35">
                  <c:v>43101</c:v>
                </c:pt>
                <c:pt idx="36">
                  <c:v>43070</c:v>
                </c:pt>
                <c:pt idx="37">
                  <c:v>43040</c:v>
                </c:pt>
                <c:pt idx="38">
                  <c:v>43009</c:v>
                </c:pt>
                <c:pt idx="39">
                  <c:v>42979</c:v>
                </c:pt>
                <c:pt idx="40">
                  <c:v>42948</c:v>
                </c:pt>
                <c:pt idx="41">
                  <c:v>42917</c:v>
                </c:pt>
                <c:pt idx="42">
                  <c:v>42887</c:v>
                </c:pt>
                <c:pt idx="43">
                  <c:v>42856</c:v>
                </c:pt>
                <c:pt idx="44">
                  <c:v>42826</c:v>
                </c:pt>
                <c:pt idx="45">
                  <c:v>42795</c:v>
                </c:pt>
                <c:pt idx="46">
                  <c:v>42767</c:v>
                </c:pt>
                <c:pt idx="47">
                  <c:v>42736</c:v>
                </c:pt>
              </c:numCache>
            </c:numRef>
          </c:cat>
          <c:val>
            <c:numRef>
              <c:f>West_Texas_Intermediate_Crude_O!$G$30:$G$77</c:f>
              <c:numCache>
                <c:formatCode>General</c:formatCode>
                <c:ptCount val="48"/>
                <c:pt idx="12">
                  <c:v>56.983333333333327</c:v>
                </c:pt>
                <c:pt idx="13">
                  <c:v>56.983333333333327</c:v>
                </c:pt>
                <c:pt idx="14">
                  <c:v>56.983333333333327</c:v>
                </c:pt>
                <c:pt idx="15">
                  <c:v>56.983333333333327</c:v>
                </c:pt>
                <c:pt idx="16">
                  <c:v>56.983333333333327</c:v>
                </c:pt>
                <c:pt idx="17">
                  <c:v>56.983333333333327</c:v>
                </c:pt>
                <c:pt idx="18">
                  <c:v>56.983333333333327</c:v>
                </c:pt>
                <c:pt idx="19">
                  <c:v>56.983333333333327</c:v>
                </c:pt>
                <c:pt idx="20">
                  <c:v>56.983333333333327</c:v>
                </c:pt>
                <c:pt idx="21">
                  <c:v>56.983333333333327</c:v>
                </c:pt>
                <c:pt idx="22">
                  <c:v>56.983333333333327</c:v>
                </c:pt>
                <c:pt idx="23">
                  <c:v>56.983333333333327</c:v>
                </c:pt>
              </c:numCache>
            </c:numRef>
          </c:val>
          <c:smooth val="0"/>
          <c:extLst xmlns:c16r2="http://schemas.microsoft.com/office/drawing/2015/06/chart">
            <c:ext xmlns:c16="http://schemas.microsoft.com/office/drawing/2014/chart" uri="{C3380CC4-5D6E-409C-BE32-E72D297353CC}">
              <c16:uniqueId val="{00000003-93D6-40E6-8F88-12B74B5BB160}"/>
            </c:ext>
          </c:extLst>
        </c:ser>
        <c:ser>
          <c:idx val="4"/>
          <c:order val="4"/>
          <c:tx>
            <c:strRef>
              <c:f>West_Texas_Intermediate_Crude_O!$H$29</c:f>
              <c:strCache>
                <c:ptCount val="1"/>
                <c:pt idx="0">
                  <c:v>Promedio 2020</c:v>
                </c:pt>
              </c:strCache>
            </c:strRef>
          </c:tx>
          <c:spPr>
            <a:ln w="15875" cap="rnd">
              <a:solidFill>
                <a:schemeClr val="accent2"/>
              </a:solidFill>
              <a:prstDash val="sysDash"/>
              <a:round/>
            </a:ln>
            <a:effectLst/>
          </c:spPr>
          <c:marker>
            <c:symbol val="none"/>
          </c:marker>
          <c:cat>
            <c:numRef>
              <c:f>West_Texas_Intermediate_Crude_O!$C$30:$C$77</c:f>
              <c:numCache>
                <c:formatCode>mmm\-yy</c:formatCode>
                <c:ptCount val="48"/>
                <c:pt idx="0">
                  <c:v>44166</c:v>
                </c:pt>
                <c:pt idx="1">
                  <c:v>44136</c:v>
                </c:pt>
                <c:pt idx="2">
                  <c:v>44105</c:v>
                </c:pt>
                <c:pt idx="3">
                  <c:v>44075</c:v>
                </c:pt>
                <c:pt idx="4">
                  <c:v>44044</c:v>
                </c:pt>
                <c:pt idx="5">
                  <c:v>44013</c:v>
                </c:pt>
                <c:pt idx="6">
                  <c:v>43983</c:v>
                </c:pt>
                <c:pt idx="7">
                  <c:v>43952</c:v>
                </c:pt>
                <c:pt idx="8">
                  <c:v>43922</c:v>
                </c:pt>
                <c:pt idx="9">
                  <c:v>43891</c:v>
                </c:pt>
                <c:pt idx="10">
                  <c:v>43862</c:v>
                </c:pt>
                <c:pt idx="11">
                  <c:v>43831</c:v>
                </c:pt>
                <c:pt idx="12">
                  <c:v>43800</c:v>
                </c:pt>
                <c:pt idx="13">
                  <c:v>43770</c:v>
                </c:pt>
                <c:pt idx="14">
                  <c:v>43739</c:v>
                </c:pt>
                <c:pt idx="15">
                  <c:v>43709</c:v>
                </c:pt>
                <c:pt idx="16">
                  <c:v>43678</c:v>
                </c:pt>
                <c:pt idx="17">
                  <c:v>43647</c:v>
                </c:pt>
                <c:pt idx="18">
                  <c:v>43617</c:v>
                </c:pt>
                <c:pt idx="19">
                  <c:v>43586</c:v>
                </c:pt>
                <c:pt idx="20">
                  <c:v>43556</c:v>
                </c:pt>
                <c:pt idx="21">
                  <c:v>43525</c:v>
                </c:pt>
                <c:pt idx="22">
                  <c:v>43497</c:v>
                </c:pt>
                <c:pt idx="23">
                  <c:v>43466</c:v>
                </c:pt>
                <c:pt idx="24">
                  <c:v>43435</c:v>
                </c:pt>
                <c:pt idx="25">
                  <c:v>43405</c:v>
                </c:pt>
                <c:pt idx="26">
                  <c:v>43374</c:v>
                </c:pt>
                <c:pt idx="27">
                  <c:v>43344</c:v>
                </c:pt>
                <c:pt idx="28">
                  <c:v>43313</c:v>
                </c:pt>
                <c:pt idx="29">
                  <c:v>43282</c:v>
                </c:pt>
                <c:pt idx="30">
                  <c:v>43252</c:v>
                </c:pt>
                <c:pt idx="31">
                  <c:v>43221</c:v>
                </c:pt>
                <c:pt idx="32">
                  <c:v>43191</c:v>
                </c:pt>
                <c:pt idx="33">
                  <c:v>43160</c:v>
                </c:pt>
                <c:pt idx="34">
                  <c:v>43132</c:v>
                </c:pt>
                <c:pt idx="35">
                  <c:v>43101</c:v>
                </c:pt>
                <c:pt idx="36">
                  <c:v>43070</c:v>
                </c:pt>
                <c:pt idx="37">
                  <c:v>43040</c:v>
                </c:pt>
                <c:pt idx="38">
                  <c:v>43009</c:v>
                </c:pt>
                <c:pt idx="39">
                  <c:v>42979</c:v>
                </c:pt>
                <c:pt idx="40">
                  <c:v>42948</c:v>
                </c:pt>
                <c:pt idx="41">
                  <c:v>42917</c:v>
                </c:pt>
                <c:pt idx="42">
                  <c:v>42887</c:v>
                </c:pt>
                <c:pt idx="43">
                  <c:v>42856</c:v>
                </c:pt>
                <c:pt idx="44">
                  <c:v>42826</c:v>
                </c:pt>
                <c:pt idx="45">
                  <c:v>42795</c:v>
                </c:pt>
                <c:pt idx="46">
                  <c:v>42767</c:v>
                </c:pt>
                <c:pt idx="47">
                  <c:v>42736</c:v>
                </c:pt>
              </c:numCache>
            </c:numRef>
          </c:cat>
          <c:val>
            <c:numRef>
              <c:f>West_Texas_Intermediate_Crude_O!$H$30:$H$77</c:f>
              <c:numCache>
                <c:formatCode>General</c:formatCode>
                <c:ptCount val="48"/>
                <c:pt idx="0">
                  <c:v>39.227499999999999</c:v>
                </c:pt>
                <c:pt idx="1">
                  <c:v>39.227499999999999</c:v>
                </c:pt>
                <c:pt idx="2">
                  <c:v>39.227499999999999</c:v>
                </c:pt>
                <c:pt idx="3">
                  <c:v>39.227499999999999</c:v>
                </c:pt>
                <c:pt idx="4">
                  <c:v>39.227499999999999</c:v>
                </c:pt>
                <c:pt idx="5">
                  <c:v>39.227499999999999</c:v>
                </c:pt>
                <c:pt idx="6">
                  <c:v>39.227499999999999</c:v>
                </c:pt>
                <c:pt idx="7">
                  <c:v>39.227499999999999</c:v>
                </c:pt>
                <c:pt idx="8">
                  <c:v>39.227499999999999</c:v>
                </c:pt>
                <c:pt idx="9">
                  <c:v>39.227499999999999</c:v>
                </c:pt>
                <c:pt idx="10">
                  <c:v>39.227499999999999</c:v>
                </c:pt>
                <c:pt idx="11">
                  <c:v>39.227499999999999</c:v>
                </c:pt>
              </c:numCache>
            </c:numRef>
          </c:val>
          <c:smooth val="0"/>
          <c:extLst xmlns:c16r2="http://schemas.microsoft.com/office/drawing/2015/06/chart">
            <c:ext xmlns:c16="http://schemas.microsoft.com/office/drawing/2014/chart" uri="{C3380CC4-5D6E-409C-BE32-E72D297353CC}">
              <c16:uniqueId val="{00000004-93D6-40E6-8F88-12B74B5BB160}"/>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163608832"/>
        <c:axId val="163610624"/>
      </c:lineChart>
      <c:dateAx>
        <c:axId val="16360883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3610624"/>
        <c:crosses val="autoZero"/>
        <c:auto val="1"/>
        <c:lblOffset val="100"/>
        <c:baseTimeUnit val="months"/>
        <c:majorUnit val="1"/>
        <c:majorTimeUnit val="months"/>
      </c:dateAx>
      <c:valAx>
        <c:axId val="163610624"/>
        <c:scaling>
          <c:orientation val="minMax"/>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latin typeface="Times New Roman" panose="02020603050405020304" pitchFamily="18" charset="0"/>
                    <a:cs typeface="Times New Roman" panose="02020603050405020304" pitchFamily="18" charset="0"/>
                  </a:rPr>
                  <a:t>US$</a:t>
                </a:r>
                <a:r>
                  <a:rPr lang="es-GT" sz="800" baseline="0">
                    <a:latin typeface="Times New Roman" panose="02020603050405020304" pitchFamily="18" charset="0"/>
                    <a:cs typeface="Times New Roman" panose="02020603050405020304" pitchFamily="18" charset="0"/>
                  </a:rPr>
                  <a:t> por barril</a:t>
                </a:r>
                <a:endParaRPr lang="es-GT" sz="800">
                  <a:latin typeface="Times New Roman" panose="02020603050405020304" pitchFamily="18" charset="0"/>
                  <a:cs typeface="Times New Roman" panose="02020603050405020304" pitchFamily="18" charset="0"/>
                </a:endParaRPr>
              </a:p>
            </c:rich>
          </c:tx>
          <c:layout>
            <c:manualLayout>
              <c:xMode val="edge"/>
              <c:yMode val="edge"/>
              <c:x val="2.160021870596965E-3"/>
              <c:y val="0.28990455900694262"/>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3608832"/>
        <c:crosses val="autoZero"/>
        <c:crossBetween val="between"/>
      </c:valAx>
      <c:spPr>
        <a:noFill/>
        <a:ln>
          <a:noFill/>
        </a:ln>
        <a:effectLst/>
      </c:spPr>
    </c:plotArea>
    <c:legend>
      <c:legendPos val="r"/>
      <c:layout>
        <c:manualLayout>
          <c:xMode val="edge"/>
          <c:yMode val="edge"/>
          <c:x val="0"/>
          <c:y val="0.92020533463228726"/>
          <c:w val="0.99839795874428328"/>
          <c:h val="7.733236268647927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914260717410324E-2"/>
          <c:y val="4.394685039370079E-2"/>
          <c:w val="0.93941797900262469"/>
          <c:h val="0.67452528091690245"/>
        </c:manualLayout>
      </c:layout>
      <c:barChart>
        <c:barDir val="col"/>
        <c:grouping val="clustered"/>
        <c:varyColors val="0"/>
        <c:ser>
          <c:idx val="0"/>
          <c:order val="0"/>
          <c:tx>
            <c:strRef>
              <c:f>pib!$A$2</c:f>
              <c:strCache>
                <c:ptCount val="1"/>
                <c:pt idx="0">
                  <c:v>Producto mundial</c:v>
                </c:pt>
              </c:strCache>
            </c:strRef>
          </c:tx>
          <c:spPr>
            <a:solidFill>
              <a:schemeClr val="accent3">
                <a:lumMod val="75000"/>
              </a:schemeClr>
            </a:solidFill>
            <a:ln w="28575" cap="rnd">
              <a:noFill/>
              <a:round/>
            </a:ln>
            <a:effectLst>
              <a:outerShdw blurRad="50800" dist="38100" dir="2700000" algn="tl" rotWithShape="0">
                <a:prstClr val="black">
                  <a:alpha val="40000"/>
                </a:prstClr>
              </a:outerShdw>
            </a:effectLst>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pib!$I$1:$M$1</c:f>
              <c:numCache>
                <c:formatCode>General</c:formatCode>
                <c:ptCount val="5"/>
                <c:pt idx="0">
                  <c:v>2022</c:v>
                </c:pt>
                <c:pt idx="1">
                  <c:v>2023</c:v>
                </c:pt>
                <c:pt idx="2">
                  <c:v>2024</c:v>
                </c:pt>
                <c:pt idx="3">
                  <c:v>2025</c:v>
                </c:pt>
                <c:pt idx="4">
                  <c:v>2026</c:v>
                </c:pt>
              </c:numCache>
            </c:numRef>
          </c:cat>
          <c:val>
            <c:numRef>
              <c:f>pib!$I$2:$M$2</c:f>
              <c:numCache>
                <c:formatCode>General</c:formatCode>
                <c:ptCount val="5"/>
                <c:pt idx="0">
                  <c:v>4.415</c:v>
                </c:pt>
                <c:pt idx="1">
                  <c:v>3.5129999999999999</c:v>
                </c:pt>
                <c:pt idx="2">
                  <c:v>3.3740000000000001</c:v>
                </c:pt>
                <c:pt idx="3">
                  <c:v>3.335</c:v>
                </c:pt>
                <c:pt idx="4">
                  <c:v>3.2959999999999998</c:v>
                </c:pt>
              </c:numCache>
            </c:numRef>
          </c:val>
          <c:extLst xmlns:c16r2="http://schemas.microsoft.com/office/drawing/2015/06/chart">
            <c:ext xmlns:c16="http://schemas.microsoft.com/office/drawing/2014/chart" uri="{C3380CC4-5D6E-409C-BE32-E72D297353CC}">
              <c16:uniqueId val="{00000000-086E-4065-8BAA-13CEC7DABD4A}"/>
            </c:ext>
          </c:extLst>
        </c:ser>
        <c:ser>
          <c:idx val="1"/>
          <c:order val="1"/>
          <c:tx>
            <c:strRef>
              <c:f>pib!$A$3</c:f>
              <c:strCache>
                <c:ptCount val="1"/>
                <c:pt idx="0">
                  <c:v>Economías avanzadas</c:v>
                </c:pt>
              </c:strCache>
            </c:strRef>
          </c:tx>
          <c:spPr>
            <a:solidFill>
              <a:schemeClr val="accent2">
                <a:lumMod val="60000"/>
                <a:lumOff val="40000"/>
              </a:schemeClr>
            </a:solidFill>
            <a:ln w="28575" cap="rnd">
              <a:noFill/>
              <a:round/>
            </a:ln>
            <a:effectLst>
              <a:outerShdw blurRad="50800" dist="38100" dir="2700000" algn="tl" rotWithShape="0">
                <a:prstClr val="black">
                  <a:alpha val="40000"/>
                </a:prstClr>
              </a:outerShdw>
            </a:effectLst>
          </c:spPr>
          <c:invertIfNegative val="0"/>
          <c:cat>
            <c:numRef>
              <c:f>pib!$I$1:$M$1</c:f>
              <c:numCache>
                <c:formatCode>General</c:formatCode>
                <c:ptCount val="5"/>
                <c:pt idx="0">
                  <c:v>2022</c:v>
                </c:pt>
                <c:pt idx="1">
                  <c:v>2023</c:v>
                </c:pt>
                <c:pt idx="2">
                  <c:v>2024</c:v>
                </c:pt>
                <c:pt idx="3">
                  <c:v>2025</c:v>
                </c:pt>
                <c:pt idx="4">
                  <c:v>2026</c:v>
                </c:pt>
              </c:numCache>
            </c:numRef>
          </c:cat>
          <c:val>
            <c:numRef>
              <c:f>pib!$I$3:$M$3</c:f>
              <c:numCache>
                <c:formatCode>General</c:formatCode>
                <c:ptCount val="5"/>
                <c:pt idx="0">
                  <c:v>3.6280000000000001</c:v>
                </c:pt>
                <c:pt idx="1">
                  <c:v>1.7829999999999999</c:v>
                </c:pt>
                <c:pt idx="2">
                  <c:v>1.6140000000000001</c:v>
                </c:pt>
                <c:pt idx="3">
                  <c:v>1.54</c:v>
                </c:pt>
                <c:pt idx="4">
                  <c:v>1.5229999999999999</c:v>
                </c:pt>
              </c:numCache>
            </c:numRef>
          </c:val>
          <c:extLst xmlns:c16r2="http://schemas.microsoft.com/office/drawing/2015/06/chart">
            <c:ext xmlns:c16="http://schemas.microsoft.com/office/drawing/2014/chart" uri="{C3380CC4-5D6E-409C-BE32-E72D297353CC}">
              <c16:uniqueId val="{00000001-086E-4065-8BAA-13CEC7DABD4A}"/>
            </c:ext>
          </c:extLst>
        </c:ser>
        <c:ser>
          <c:idx val="4"/>
          <c:order val="2"/>
          <c:tx>
            <c:strRef>
              <c:f>pib!$A$8</c:f>
              <c:strCache>
                <c:ptCount val="1"/>
                <c:pt idx="0">
                  <c:v>Economías emergentes y en desarrollo</c:v>
                </c:pt>
              </c:strCache>
            </c:strRef>
          </c:tx>
          <c:spPr>
            <a:solidFill>
              <a:schemeClr val="accent1"/>
            </a:solidFill>
            <a:ln w="28575" cap="rnd">
              <a:noFill/>
              <a:round/>
            </a:ln>
            <a:effectLst>
              <a:outerShdw blurRad="50800" dist="38100" dir="2700000" algn="tl" rotWithShape="0">
                <a:prstClr val="black">
                  <a:alpha val="40000"/>
                </a:prstClr>
              </a:outerShdw>
            </a:effectLst>
          </c:spPr>
          <c:invertIfNegative val="0"/>
          <c:cat>
            <c:numRef>
              <c:f>pib!$I$1:$M$1</c:f>
              <c:numCache>
                <c:formatCode>General</c:formatCode>
                <c:ptCount val="5"/>
                <c:pt idx="0">
                  <c:v>2022</c:v>
                </c:pt>
                <c:pt idx="1">
                  <c:v>2023</c:v>
                </c:pt>
                <c:pt idx="2">
                  <c:v>2024</c:v>
                </c:pt>
                <c:pt idx="3">
                  <c:v>2025</c:v>
                </c:pt>
                <c:pt idx="4">
                  <c:v>2026</c:v>
                </c:pt>
              </c:numCache>
            </c:numRef>
          </c:cat>
          <c:val>
            <c:numRef>
              <c:f>pib!$I$8:$M$8</c:f>
              <c:numCache>
                <c:formatCode>General</c:formatCode>
                <c:ptCount val="5"/>
                <c:pt idx="0">
                  <c:v>4.9809999999999999</c:v>
                </c:pt>
                <c:pt idx="1">
                  <c:v>4.7249999999999996</c:v>
                </c:pt>
                <c:pt idx="2">
                  <c:v>4.5720000000000001</c:v>
                </c:pt>
                <c:pt idx="3">
                  <c:v>4.5220000000000002</c:v>
                </c:pt>
                <c:pt idx="4">
                  <c:v>4.4359999999999999</c:v>
                </c:pt>
              </c:numCache>
            </c:numRef>
          </c:val>
          <c:extLst xmlns:c16r2="http://schemas.microsoft.com/office/drawing/2015/06/chart">
            <c:ext xmlns:c16="http://schemas.microsoft.com/office/drawing/2014/chart" uri="{C3380CC4-5D6E-409C-BE32-E72D297353CC}">
              <c16:uniqueId val="{00000002-086E-4065-8BAA-13CEC7DABD4A}"/>
            </c:ext>
          </c:extLst>
        </c:ser>
        <c:ser>
          <c:idx val="5"/>
          <c:order val="3"/>
          <c:tx>
            <c:strRef>
              <c:f>pib!$A$12</c:f>
              <c:strCache>
                <c:ptCount val="1"/>
                <c:pt idx="0">
                  <c:v>América Latina y el Caribe</c:v>
                </c:pt>
              </c:strCache>
            </c:strRef>
          </c:tx>
          <c:spPr>
            <a:ln w="28575" cap="rnd">
              <a:noFill/>
              <a:round/>
            </a:ln>
            <a:effectLst>
              <a:outerShdw blurRad="50800" dist="38100" dir="2700000" algn="tl" rotWithShape="0">
                <a:prstClr val="black">
                  <a:alpha val="40000"/>
                </a:prstClr>
              </a:outerShdw>
            </a:effectLst>
          </c:spPr>
          <c:invertIfNegative val="0"/>
          <c:cat>
            <c:numRef>
              <c:f>pib!$I$1:$M$1</c:f>
              <c:numCache>
                <c:formatCode>General</c:formatCode>
                <c:ptCount val="5"/>
                <c:pt idx="0">
                  <c:v>2022</c:v>
                </c:pt>
                <c:pt idx="1">
                  <c:v>2023</c:v>
                </c:pt>
                <c:pt idx="2">
                  <c:v>2024</c:v>
                </c:pt>
                <c:pt idx="3">
                  <c:v>2025</c:v>
                </c:pt>
                <c:pt idx="4">
                  <c:v>2026</c:v>
                </c:pt>
              </c:numCache>
            </c:numRef>
          </c:cat>
          <c:val>
            <c:numRef>
              <c:f>pib!$I$12:$M$12</c:f>
              <c:numCache>
                <c:formatCode>General</c:formatCode>
                <c:ptCount val="5"/>
                <c:pt idx="0">
                  <c:v>3.1040000000000001</c:v>
                </c:pt>
                <c:pt idx="1">
                  <c:v>2.6509999999999998</c:v>
                </c:pt>
                <c:pt idx="2">
                  <c:v>2.3740000000000001</c:v>
                </c:pt>
                <c:pt idx="3">
                  <c:v>2.359</c:v>
                </c:pt>
                <c:pt idx="4">
                  <c:v>2.363</c:v>
                </c:pt>
              </c:numCache>
            </c:numRef>
          </c:val>
          <c:extLst xmlns:c16r2="http://schemas.microsoft.com/office/drawing/2015/06/chart">
            <c:ext xmlns:c16="http://schemas.microsoft.com/office/drawing/2014/chart" uri="{C3380CC4-5D6E-409C-BE32-E72D297353CC}">
              <c16:uniqueId val="{00000003-086E-4065-8BAA-13CEC7DABD4A}"/>
            </c:ext>
          </c:extLst>
        </c:ser>
        <c:ser>
          <c:idx val="6"/>
          <c:order val="4"/>
          <c:tx>
            <c:strRef>
              <c:f>pib!$A$15</c:f>
              <c:strCache>
                <c:ptCount val="1"/>
                <c:pt idx="0">
                  <c:v>Estados Unidos</c:v>
                </c:pt>
              </c:strCache>
            </c:strRef>
          </c:tx>
          <c:spPr>
            <a:solidFill>
              <a:schemeClr val="bg1">
                <a:lumMod val="75000"/>
              </a:schemeClr>
            </a:solidFill>
            <a:ln w="28575" cap="rnd">
              <a:noFill/>
              <a:round/>
            </a:ln>
            <a:effectLst>
              <a:outerShdw blurRad="50800" dist="38100" dir="2700000" algn="tl" rotWithShape="0">
                <a:prstClr val="black">
                  <a:alpha val="40000"/>
                </a:prstClr>
              </a:outerShdw>
            </a:effectLst>
          </c:spPr>
          <c:invertIfNegative val="0"/>
          <c:cat>
            <c:numRef>
              <c:f>pib!$I$1:$M$1</c:f>
              <c:numCache>
                <c:formatCode>General</c:formatCode>
                <c:ptCount val="5"/>
                <c:pt idx="0">
                  <c:v>2022</c:v>
                </c:pt>
                <c:pt idx="1">
                  <c:v>2023</c:v>
                </c:pt>
                <c:pt idx="2">
                  <c:v>2024</c:v>
                </c:pt>
                <c:pt idx="3">
                  <c:v>2025</c:v>
                </c:pt>
                <c:pt idx="4">
                  <c:v>2026</c:v>
                </c:pt>
              </c:numCache>
            </c:numRef>
          </c:cat>
          <c:val>
            <c:numRef>
              <c:f>pib!$I$15:$M$15</c:f>
              <c:numCache>
                <c:formatCode>General</c:formatCode>
                <c:ptCount val="5"/>
                <c:pt idx="0">
                  <c:v>3.5150000000000001</c:v>
                </c:pt>
                <c:pt idx="1">
                  <c:v>1.41</c:v>
                </c:pt>
                <c:pt idx="2">
                  <c:v>1.4810000000000001</c:v>
                </c:pt>
                <c:pt idx="3">
                  <c:v>1.607</c:v>
                </c:pt>
                <c:pt idx="4">
                  <c:v>1.61</c:v>
                </c:pt>
              </c:numCache>
            </c:numRef>
          </c:val>
          <c:extLst xmlns:c16r2="http://schemas.microsoft.com/office/drawing/2015/06/chart">
            <c:ext xmlns:c16="http://schemas.microsoft.com/office/drawing/2014/chart" uri="{C3380CC4-5D6E-409C-BE32-E72D297353CC}">
              <c16:uniqueId val="{00000004-086E-4065-8BAA-13CEC7DABD4A}"/>
            </c:ext>
          </c:extLst>
        </c:ser>
        <c:dLbls>
          <c:showLegendKey val="0"/>
          <c:showVal val="0"/>
          <c:showCatName val="0"/>
          <c:showSerName val="0"/>
          <c:showPercent val="0"/>
          <c:showBubbleSize val="0"/>
        </c:dLbls>
        <c:gapWidth val="65"/>
        <c:axId val="167488512"/>
        <c:axId val="167498496"/>
      </c:barChart>
      <c:catAx>
        <c:axId val="16748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Times New Roman"/>
                <a:ea typeface="Times New Roman"/>
                <a:cs typeface="Times New Roman"/>
              </a:defRPr>
            </a:pPr>
            <a:endParaRPr lang="es-ES"/>
          </a:p>
        </c:txPr>
        <c:crossAx val="167498496"/>
        <c:crosses val="autoZero"/>
        <c:auto val="1"/>
        <c:lblAlgn val="ctr"/>
        <c:lblOffset val="100"/>
        <c:noMultiLvlLbl val="0"/>
      </c:catAx>
      <c:valAx>
        <c:axId val="167498496"/>
        <c:scaling>
          <c:orientation val="minMax"/>
          <c:max val="5"/>
        </c:scaling>
        <c:delete val="0"/>
        <c:axPos val="l"/>
        <c:numFmt formatCode="General" sourceLinked="1"/>
        <c:majorTickMark val="none"/>
        <c:minorTickMark val="none"/>
        <c:tickLblPos val="nextTo"/>
        <c:spPr>
          <a:noFill/>
          <a:ln>
            <a:noFill/>
          </a:ln>
          <a:effectLst/>
        </c:spPr>
        <c:txPr>
          <a:bodyPr rot="0" vert="horz"/>
          <a:lstStyle/>
          <a:p>
            <a:pPr>
              <a:defRPr sz="900" b="0" i="0" u="none" strike="noStrike" baseline="0">
                <a:solidFill>
                  <a:srgbClr val="333333"/>
                </a:solidFill>
                <a:latin typeface="Times New Roman"/>
                <a:ea typeface="Times New Roman"/>
                <a:cs typeface="Times New Roman"/>
              </a:defRPr>
            </a:pPr>
            <a:endParaRPr lang="es-ES"/>
          </a:p>
        </c:txPr>
        <c:crossAx val="167488512"/>
        <c:crosses val="autoZero"/>
        <c:crossBetween val="between"/>
        <c:majorUnit val="1"/>
      </c:valAx>
      <c:spPr>
        <a:noFill/>
        <a:ln w="25400">
          <a:noFill/>
        </a:ln>
      </c:spPr>
    </c:plotArea>
    <c:legend>
      <c:legendPos val="r"/>
      <c:layout>
        <c:manualLayout>
          <c:xMode val="edge"/>
          <c:yMode val="edge"/>
          <c:x val="6.2776684164479443E-2"/>
          <c:y val="0.82351552021767449"/>
          <c:w val="0.88973753280839885"/>
          <c:h val="0.17648447978232551"/>
        </c:manualLayout>
      </c:layout>
      <c:overlay val="0"/>
      <c:spPr>
        <a:noFill/>
        <a:ln>
          <a:noFill/>
        </a:ln>
        <a:effectLst/>
      </c:spPr>
      <c:txPr>
        <a:bodyPr/>
        <a:lstStyle/>
        <a:p>
          <a:pPr>
            <a:defRPr sz="900" b="0" i="0" u="none" strike="noStrike" baseline="0">
              <a:solidFill>
                <a:srgbClr val="333333"/>
              </a:solidFill>
              <a:latin typeface="Times New Roman"/>
              <a:ea typeface="Times New Roman"/>
              <a:cs typeface="Times New Roman"/>
            </a:defRPr>
          </a:pPr>
          <a:endParaRPr lang="es-ES"/>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Times New Roman"/>
          <a:ea typeface="Times New Roman"/>
          <a:cs typeface="Times New Roman"/>
        </a:defRPr>
      </a:pPr>
      <a:endParaRPr lang="es-E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568062393422829E-2"/>
          <c:y val="6.2482249360976995E-2"/>
          <c:w val="0.66183267315618144"/>
          <c:h val="0.83050489143402528"/>
        </c:manualLayout>
      </c:layout>
      <c:lineChart>
        <c:grouping val="standard"/>
        <c:varyColors val="0"/>
        <c:ser>
          <c:idx val="0"/>
          <c:order val="0"/>
          <c:tx>
            <c:strRef>
              <c:f>inflacion!$A$2</c:f>
              <c:strCache>
                <c:ptCount val="1"/>
                <c:pt idx="0">
                  <c:v>Mundial</c:v>
                </c:pt>
              </c:strCache>
            </c:strRef>
          </c:tx>
          <c:spPr>
            <a:ln w="15875" cap="rnd">
              <a:solidFill>
                <a:schemeClr val="accent1"/>
              </a:solidFill>
              <a:round/>
            </a:ln>
            <a:effectLst>
              <a:outerShdw blurRad="50800" dist="38100" dir="2700000" algn="tl" rotWithShape="0">
                <a:prstClr val="black">
                  <a:alpha val="40000"/>
                </a:prstClr>
              </a:outerShdw>
            </a:effectLst>
          </c:spPr>
          <c:marker>
            <c:symbol val="x"/>
            <c:size val="3"/>
            <c:spPr>
              <a:noFill/>
              <a:ln w="9525">
                <a:solidFill>
                  <a:schemeClr val="accent1"/>
                </a:solidFill>
              </a:ln>
              <a:effectLst>
                <a:outerShdw blurRad="50800" dist="38100" dir="2700000" algn="tl" rotWithShape="0">
                  <a:prstClr val="black">
                    <a:alpha val="40000"/>
                  </a:prstClr>
                </a:outerShdw>
              </a:effectLst>
            </c:spPr>
          </c:marker>
          <c:cat>
            <c:numRef>
              <c:f>inflacion!$I$1:$M$1</c:f>
              <c:numCache>
                <c:formatCode>General</c:formatCode>
                <c:ptCount val="5"/>
                <c:pt idx="0">
                  <c:v>2022</c:v>
                </c:pt>
                <c:pt idx="1">
                  <c:v>2023</c:v>
                </c:pt>
                <c:pt idx="2">
                  <c:v>2024</c:v>
                </c:pt>
                <c:pt idx="3">
                  <c:v>2025</c:v>
                </c:pt>
                <c:pt idx="4">
                  <c:v>2026</c:v>
                </c:pt>
              </c:numCache>
            </c:numRef>
          </c:cat>
          <c:val>
            <c:numRef>
              <c:f>inflacion!$I$2:$M$2</c:f>
              <c:numCache>
                <c:formatCode>General</c:formatCode>
                <c:ptCount val="5"/>
                <c:pt idx="0">
                  <c:v>3.24</c:v>
                </c:pt>
                <c:pt idx="1">
                  <c:v>3.1070000000000002</c:v>
                </c:pt>
                <c:pt idx="2">
                  <c:v>3.1030000000000002</c:v>
                </c:pt>
                <c:pt idx="3">
                  <c:v>3.0779999999999998</c:v>
                </c:pt>
                <c:pt idx="4">
                  <c:v>3.0489999999999999</c:v>
                </c:pt>
              </c:numCache>
            </c:numRef>
          </c:val>
          <c:smooth val="0"/>
          <c:extLst xmlns:c16r2="http://schemas.microsoft.com/office/drawing/2015/06/chart">
            <c:ext xmlns:c16="http://schemas.microsoft.com/office/drawing/2014/chart" uri="{C3380CC4-5D6E-409C-BE32-E72D297353CC}">
              <c16:uniqueId val="{00000000-884F-4CC3-A15C-6C8BFE91F2D2}"/>
            </c:ext>
          </c:extLst>
        </c:ser>
        <c:ser>
          <c:idx val="1"/>
          <c:order val="1"/>
          <c:tx>
            <c:strRef>
              <c:f>inflacion!$A$3</c:f>
              <c:strCache>
                <c:ptCount val="1"/>
                <c:pt idx="0">
                  <c:v>Economías avanzadas</c:v>
                </c:pt>
              </c:strCache>
            </c:strRef>
          </c:tx>
          <c:spPr>
            <a:ln w="15875" cap="rnd">
              <a:solidFill>
                <a:schemeClr val="accent2"/>
              </a:solidFill>
              <a:round/>
            </a:ln>
            <a:effectLst>
              <a:outerShdw blurRad="50800" dist="38100" dir="2700000" algn="tl" rotWithShape="0">
                <a:prstClr val="black">
                  <a:alpha val="40000"/>
                </a:prstClr>
              </a:outerShdw>
            </a:effectLst>
          </c:spPr>
          <c:marker>
            <c:symbol val="diamond"/>
            <c:size val="3"/>
            <c:spPr>
              <a:solidFill>
                <a:schemeClr val="accent2"/>
              </a:solidFill>
              <a:ln w="9525">
                <a:solidFill>
                  <a:schemeClr val="accent2"/>
                </a:solidFill>
              </a:ln>
              <a:effectLst>
                <a:outerShdw blurRad="50800" dist="38100" dir="2700000" algn="tl" rotWithShape="0">
                  <a:prstClr val="black">
                    <a:alpha val="40000"/>
                  </a:prstClr>
                </a:outerShdw>
              </a:effectLst>
            </c:spPr>
          </c:marker>
          <c:cat>
            <c:numRef>
              <c:f>inflacion!$I$1:$M$1</c:f>
              <c:numCache>
                <c:formatCode>General</c:formatCode>
                <c:ptCount val="5"/>
                <c:pt idx="0">
                  <c:v>2022</c:v>
                </c:pt>
                <c:pt idx="1">
                  <c:v>2023</c:v>
                </c:pt>
                <c:pt idx="2">
                  <c:v>2024</c:v>
                </c:pt>
                <c:pt idx="3">
                  <c:v>2025</c:v>
                </c:pt>
                <c:pt idx="4">
                  <c:v>2026</c:v>
                </c:pt>
              </c:numCache>
            </c:numRef>
          </c:cat>
          <c:val>
            <c:numRef>
              <c:f>inflacion!$I$3:$M$3</c:f>
              <c:numCache>
                <c:formatCode>General</c:formatCode>
                <c:ptCount val="5"/>
                <c:pt idx="0">
                  <c:v>1.677</c:v>
                </c:pt>
                <c:pt idx="1">
                  <c:v>1.8340000000000001</c:v>
                </c:pt>
                <c:pt idx="2">
                  <c:v>1.9039999999999999</c:v>
                </c:pt>
                <c:pt idx="3">
                  <c:v>1.925</c:v>
                </c:pt>
                <c:pt idx="4">
                  <c:v>1.91</c:v>
                </c:pt>
              </c:numCache>
            </c:numRef>
          </c:val>
          <c:smooth val="0"/>
          <c:extLst xmlns:c16r2="http://schemas.microsoft.com/office/drawing/2015/06/chart">
            <c:ext xmlns:c16="http://schemas.microsoft.com/office/drawing/2014/chart" uri="{C3380CC4-5D6E-409C-BE32-E72D297353CC}">
              <c16:uniqueId val="{00000001-884F-4CC3-A15C-6C8BFE91F2D2}"/>
            </c:ext>
          </c:extLst>
        </c:ser>
        <c:ser>
          <c:idx val="2"/>
          <c:order val="2"/>
          <c:tx>
            <c:strRef>
              <c:f>inflacion!$A$4</c:f>
              <c:strCache>
                <c:ptCount val="1"/>
                <c:pt idx="0">
                  <c:v>Zona del euro</c:v>
                </c:pt>
              </c:strCache>
            </c:strRef>
          </c:tx>
          <c:spPr>
            <a:ln w="15875" cap="rnd">
              <a:solidFill>
                <a:schemeClr val="accent3">
                  <a:lumMod val="75000"/>
                </a:schemeClr>
              </a:solidFill>
              <a:round/>
            </a:ln>
            <a:effectLst>
              <a:outerShdw blurRad="50800" dist="38100" dir="2700000" algn="tl" rotWithShape="0">
                <a:prstClr val="black">
                  <a:alpha val="40000"/>
                </a:prstClr>
              </a:outerShdw>
            </a:effectLst>
          </c:spPr>
          <c:marker>
            <c:symbol val="star"/>
            <c:size val="3"/>
            <c:spPr>
              <a:noFill/>
              <a:ln w="9525">
                <a:solidFill>
                  <a:schemeClr val="accent3"/>
                </a:solidFill>
              </a:ln>
              <a:effectLst>
                <a:outerShdw blurRad="50800" dist="38100" dir="2700000" algn="tl" rotWithShape="0">
                  <a:prstClr val="black">
                    <a:alpha val="40000"/>
                  </a:prstClr>
                </a:outerShdw>
              </a:effectLst>
            </c:spPr>
          </c:marker>
          <c:cat>
            <c:numRef>
              <c:f>inflacion!$I$1:$M$1</c:f>
              <c:numCache>
                <c:formatCode>General</c:formatCode>
                <c:ptCount val="5"/>
                <c:pt idx="0">
                  <c:v>2022</c:v>
                </c:pt>
                <c:pt idx="1">
                  <c:v>2023</c:v>
                </c:pt>
                <c:pt idx="2">
                  <c:v>2024</c:v>
                </c:pt>
                <c:pt idx="3">
                  <c:v>2025</c:v>
                </c:pt>
                <c:pt idx="4">
                  <c:v>2026</c:v>
                </c:pt>
              </c:numCache>
            </c:numRef>
          </c:cat>
          <c:val>
            <c:numRef>
              <c:f>inflacion!$I$4:$M$4</c:f>
              <c:numCache>
                <c:formatCode>General</c:formatCode>
                <c:ptCount val="5"/>
                <c:pt idx="0">
                  <c:v>1.21</c:v>
                </c:pt>
                <c:pt idx="1">
                  <c:v>1.427</c:v>
                </c:pt>
                <c:pt idx="2">
                  <c:v>1.5580000000000001</c:v>
                </c:pt>
                <c:pt idx="3">
                  <c:v>1.6970000000000001</c:v>
                </c:pt>
                <c:pt idx="4">
                  <c:v>1.758</c:v>
                </c:pt>
              </c:numCache>
            </c:numRef>
          </c:val>
          <c:smooth val="0"/>
          <c:extLst xmlns:c16r2="http://schemas.microsoft.com/office/drawing/2015/06/chart">
            <c:ext xmlns:c16="http://schemas.microsoft.com/office/drawing/2014/chart" uri="{C3380CC4-5D6E-409C-BE32-E72D297353CC}">
              <c16:uniqueId val="{00000002-884F-4CC3-A15C-6C8BFE91F2D2}"/>
            </c:ext>
          </c:extLst>
        </c:ser>
        <c:ser>
          <c:idx val="3"/>
          <c:order val="3"/>
          <c:tx>
            <c:strRef>
              <c:f>inflacion!$A$5</c:f>
              <c:strCache>
                <c:ptCount val="1"/>
                <c:pt idx="0">
                  <c:v>Unión europea</c:v>
                </c:pt>
              </c:strCache>
            </c:strRef>
          </c:tx>
          <c:spPr>
            <a:ln w="15875" cap="rnd">
              <a:solidFill>
                <a:schemeClr val="accent4"/>
              </a:solidFill>
              <a:round/>
            </a:ln>
            <a:effectLst>
              <a:outerShdw blurRad="50800" dist="38100" dir="2700000" algn="tl" rotWithShape="0">
                <a:prstClr val="black">
                  <a:alpha val="40000"/>
                </a:prstClr>
              </a:outerShdw>
            </a:effectLst>
          </c:spPr>
          <c:marker>
            <c:symbol val="triangle"/>
            <c:size val="3"/>
            <c:spPr>
              <a:solidFill>
                <a:schemeClr val="accent4"/>
              </a:solidFill>
              <a:ln w="9525">
                <a:solidFill>
                  <a:schemeClr val="accent4"/>
                </a:solidFill>
              </a:ln>
              <a:effectLst>
                <a:outerShdw blurRad="50800" dist="38100" dir="2700000" algn="tl" rotWithShape="0">
                  <a:prstClr val="black">
                    <a:alpha val="40000"/>
                  </a:prstClr>
                </a:outerShdw>
              </a:effectLst>
            </c:spPr>
          </c:marker>
          <c:cat>
            <c:numRef>
              <c:f>inflacion!$I$1:$M$1</c:f>
              <c:numCache>
                <c:formatCode>General</c:formatCode>
                <c:ptCount val="5"/>
                <c:pt idx="0">
                  <c:v>2022</c:v>
                </c:pt>
                <c:pt idx="1">
                  <c:v>2023</c:v>
                </c:pt>
                <c:pt idx="2">
                  <c:v>2024</c:v>
                </c:pt>
                <c:pt idx="3">
                  <c:v>2025</c:v>
                </c:pt>
                <c:pt idx="4">
                  <c:v>2026</c:v>
                </c:pt>
              </c:numCache>
            </c:numRef>
          </c:cat>
          <c:val>
            <c:numRef>
              <c:f>inflacion!$I$5:$M$5</c:f>
              <c:numCache>
                <c:formatCode>General</c:formatCode>
                <c:ptCount val="5"/>
                <c:pt idx="0">
                  <c:v>1.4039999999999999</c:v>
                </c:pt>
                <c:pt idx="1">
                  <c:v>1.609</c:v>
                </c:pt>
                <c:pt idx="2">
                  <c:v>1.716</c:v>
                </c:pt>
                <c:pt idx="3">
                  <c:v>1.829</c:v>
                </c:pt>
                <c:pt idx="4">
                  <c:v>1.8779999999999999</c:v>
                </c:pt>
              </c:numCache>
            </c:numRef>
          </c:val>
          <c:smooth val="0"/>
          <c:extLst xmlns:c16r2="http://schemas.microsoft.com/office/drawing/2015/06/chart">
            <c:ext xmlns:c16="http://schemas.microsoft.com/office/drawing/2014/chart" uri="{C3380CC4-5D6E-409C-BE32-E72D297353CC}">
              <c16:uniqueId val="{00000003-884F-4CC3-A15C-6C8BFE91F2D2}"/>
            </c:ext>
          </c:extLst>
        </c:ser>
        <c:ser>
          <c:idx val="4"/>
          <c:order val="4"/>
          <c:tx>
            <c:strRef>
              <c:f>inflacion!$A$6</c:f>
              <c:strCache>
                <c:ptCount val="1"/>
                <c:pt idx="0">
                  <c:v>Economías emergentes y en desarrollo</c:v>
                </c:pt>
              </c:strCache>
            </c:strRef>
          </c:tx>
          <c:spPr>
            <a:ln w="12700" cap="rnd">
              <a:solidFill>
                <a:srgbClr val="FF0000"/>
              </a:solidFill>
              <a:round/>
            </a:ln>
            <a:effectLst>
              <a:outerShdw blurRad="50800" dist="38100" dir="2700000" algn="tl" rotWithShape="0">
                <a:prstClr val="black">
                  <a:alpha val="40000"/>
                </a:prstClr>
              </a:outerShdw>
            </a:effectLst>
          </c:spPr>
          <c:marker>
            <c:symbol val="circle"/>
            <c:size val="3"/>
            <c:spPr>
              <a:solidFill>
                <a:srgbClr val="FF0000"/>
              </a:solidFill>
              <a:ln w="9525">
                <a:solidFill>
                  <a:srgbClr val="FF0000"/>
                </a:solidFill>
              </a:ln>
              <a:effectLst>
                <a:outerShdw blurRad="50800" dist="38100" dir="2700000" algn="tl" rotWithShape="0">
                  <a:prstClr val="black">
                    <a:alpha val="40000"/>
                  </a:prstClr>
                </a:outerShdw>
              </a:effectLst>
            </c:spPr>
          </c:marker>
          <c:cat>
            <c:numRef>
              <c:f>inflacion!$I$1:$M$1</c:f>
              <c:numCache>
                <c:formatCode>General</c:formatCode>
                <c:ptCount val="5"/>
                <c:pt idx="0">
                  <c:v>2022</c:v>
                </c:pt>
                <c:pt idx="1">
                  <c:v>2023</c:v>
                </c:pt>
                <c:pt idx="2">
                  <c:v>2024</c:v>
                </c:pt>
                <c:pt idx="3">
                  <c:v>2025</c:v>
                </c:pt>
                <c:pt idx="4">
                  <c:v>2026</c:v>
                </c:pt>
              </c:numCache>
            </c:numRef>
          </c:cat>
          <c:val>
            <c:numRef>
              <c:f>inflacion!$I$6:$M$6</c:f>
              <c:numCache>
                <c:formatCode>General</c:formatCode>
                <c:ptCount val="5"/>
                <c:pt idx="0">
                  <c:v>4.383</c:v>
                </c:pt>
                <c:pt idx="1">
                  <c:v>4.01</c:v>
                </c:pt>
                <c:pt idx="2">
                  <c:v>3.9289999999999998</c:v>
                </c:pt>
                <c:pt idx="3">
                  <c:v>3.8479999999999999</c:v>
                </c:pt>
                <c:pt idx="4">
                  <c:v>3.79</c:v>
                </c:pt>
              </c:numCache>
            </c:numRef>
          </c:val>
          <c:smooth val="0"/>
          <c:extLst xmlns:c16r2="http://schemas.microsoft.com/office/drawing/2015/06/chart">
            <c:ext xmlns:c16="http://schemas.microsoft.com/office/drawing/2014/chart" uri="{C3380CC4-5D6E-409C-BE32-E72D297353CC}">
              <c16:uniqueId val="{00000004-884F-4CC3-A15C-6C8BFE91F2D2}"/>
            </c:ext>
          </c:extLst>
        </c:ser>
        <c:ser>
          <c:idx val="5"/>
          <c:order val="5"/>
          <c:tx>
            <c:strRef>
              <c:f>inflacion!$A$7</c:f>
              <c:strCache>
                <c:ptCount val="1"/>
                <c:pt idx="0">
                  <c:v>América Latina y el Caribe</c:v>
                </c:pt>
              </c:strCache>
            </c:strRef>
          </c:tx>
          <c:spPr>
            <a:ln w="28575" cap="rnd">
              <a:solidFill>
                <a:schemeClr val="accent6"/>
              </a:solidFill>
              <a:round/>
            </a:ln>
            <a:effectLst/>
          </c:spPr>
          <c:marker>
            <c:symbol val="none"/>
          </c:marker>
          <c:cat>
            <c:numRef>
              <c:f>inflacion!$I$1:$M$1</c:f>
              <c:numCache>
                <c:formatCode>General</c:formatCode>
                <c:ptCount val="5"/>
                <c:pt idx="0">
                  <c:v>2022</c:v>
                </c:pt>
                <c:pt idx="1">
                  <c:v>2023</c:v>
                </c:pt>
                <c:pt idx="2">
                  <c:v>2024</c:v>
                </c:pt>
                <c:pt idx="3">
                  <c:v>2025</c:v>
                </c:pt>
                <c:pt idx="4">
                  <c:v>2026</c:v>
                </c:pt>
              </c:numCache>
            </c:numRef>
          </c:cat>
          <c:val>
            <c:numRef>
              <c:f>inflacion!$I$7:$M$7</c:f>
              <c:numCache>
                <c:formatCode>General</c:formatCode>
                <c:ptCount val="5"/>
                <c:pt idx="0">
                  <c:v>6.5670000000000002</c:v>
                </c:pt>
                <c:pt idx="1">
                  <c:v>5.3449999999999998</c:v>
                </c:pt>
                <c:pt idx="2">
                  <c:v>4.8129999999999997</c:v>
                </c:pt>
                <c:pt idx="3">
                  <c:v>4.3339999999999996</c:v>
                </c:pt>
                <c:pt idx="4">
                  <c:v>3.9950000000000001</c:v>
                </c:pt>
              </c:numCache>
            </c:numRef>
          </c:val>
          <c:smooth val="0"/>
          <c:extLst xmlns:c16r2="http://schemas.microsoft.com/office/drawing/2015/06/chart">
            <c:ext xmlns:c16="http://schemas.microsoft.com/office/drawing/2014/chart" uri="{C3380CC4-5D6E-409C-BE32-E72D297353CC}">
              <c16:uniqueId val="{00000005-884F-4CC3-A15C-6C8BFE91F2D2}"/>
            </c:ext>
          </c:extLst>
        </c:ser>
        <c:ser>
          <c:idx val="6"/>
          <c:order val="6"/>
          <c:tx>
            <c:strRef>
              <c:f>inflacion!$A$8</c:f>
              <c:strCache>
                <c:ptCount val="1"/>
                <c:pt idx="0">
                  <c:v>Estados Unidos</c:v>
                </c:pt>
              </c:strCache>
            </c:strRef>
          </c:tx>
          <c:spPr>
            <a:ln w="12700" cap="rnd">
              <a:solidFill>
                <a:srgbClr val="00B0F0"/>
              </a:solidFill>
              <a:round/>
            </a:ln>
            <a:effectLst>
              <a:outerShdw blurRad="50800" dist="38100" dir="2700000" algn="tl" rotWithShape="0">
                <a:prstClr val="black">
                  <a:alpha val="40000"/>
                </a:prstClr>
              </a:outerShdw>
            </a:effectLst>
          </c:spPr>
          <c:marker>
            <c:symbol val="plus"/>
            <c:size val="3"/>
            <c:spPr>
              <a:solidFill>
                <a:srgbClr val="00B0F0"/>
              </a:solidFill>
              <a:ln w="9525">
                <a:solidFill>
                  <a:srgbClr val="00B0F0"/>
                </a:solidFill>
              </a:ln>
              <a:effectLst>
                <a:outerShdw blurRad="50800" dist="38100" dir="2700000" algn="tl" rotWithShape="0">
                  <a:prstClr val="black">
                    <a:alpha val="40000"/>
                  </a:prstClr>
                </a:outerShdw>
              </a:effectLst>
            </c:spPr>
          </c:marker>
          <c:cat>
            <c:numRef>
              <c:f>inflacion!$I$1:$M$1</c:f>
              <c:numCache>
                <c:formatCode>General</c:formatCode>
                <c:ptCount val="5"/>
                <c:pt idx="0">
                  <c:v>2022</c:v>
                </c:pt>
                <c:pt idx="1">
                  <c:v>2023</c:v>
                </c:pt>
                <c:pt idx="2">
                  <c:v>2024</c:v>
                </c:pt>
                <c:pt idx="3">
                  <c:v>2025</c:v>
                </c:pt>
                <c:pt idx="4">
                  <c:v>2026</c:v>
                </c:pt>
              </c:numCache>
            </c:numRef>
          </c:cat>
          <c:val>
            <c:numRef>
              <c:f>inflacion!$I$8:$M$8</c:f>
              <c:numCache>
                <c:formatCode>General</c:formatCode>
                <c:ptCount val="5"/>
                <c:pt idx="0">
                  <c:v>2.4</c:v>
                </c:pt>
                <c:pt idx="1">
                  <c:v>2.504</c:v>
                </c:pt>
                <c:pt idx="2">
                  <c:v>2.4830000000000001</c:v>
                </c:pt>
                <c:pt idx="3">
                  <c:v>2.3730000000000002</c:v>
                </c:pt>
                <c:pt idx="4">
                  <c:v>2.2490000000000001</c:v>
                </c:pt>
              </c:numCache>
            </c:numRef>
          </c:val>
          <c:smooth val="0"/>
          <c:extLst xmlns:c16r2="http://schemas.microsoft.com/office/drawing/2015/06/chart">
            <c:ext xmlns:c16="http://schemas.microsoft.com/office/drawing/2014/chart" uri="{C3380CC4-5D6E-409C-BE32-E72D297353CC}">
              <c16:uniqueId val="{00000006-884F-4CC3-A15C-6C8BFE91F2D2}"/>
            </c:ext>
          </c:extLst>
        </c:ser>
        <c:dLbls>
          <c:showLegendKey val="0"/>
          <c:showVal val="0"/>
          <c:showCatName val="0"/>
          <c:showSerName val="0"/>
          <c:showPercent val="0"/>
          <c:showBubbleSize val="0"/>
        </c:dLbls>
        <c:marker val="1"/>
        <c:smooth val="0"/>
        <c:axId val="167615872"/>
        <c:axId val="167622144"/>
      </c:lineChart>
      <c:catAx>
        <c:axId val="16761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7622144"/>
        <c:crosses val="autoZero"/>
        <c:auto val="1"/>
        <c:lblAlgn val="ctr"/>
        <c:lblOffset val="100"/>
        <c:noMultiLvlLbl val="0"/>
      </c:catAx>
      <c:valAx>
        <c:axId val="167622144"/>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b="0"/>
                  <a:t>Cambio</a:t>
                </a:r>
                <a:r>
                  <a:rPr lang="es-GT" sz="800" b="0" baseline="0"/>
                  <a:t> porcentual anual</a:t>
                </a:r>
                <a:endParaRPr lang="es-GT" sz="800" b="0"/>
              </a:p>
            </c:rich>
          </c:tx>
          <c:layout>
            <c:manualLayout>
              <c:xMode val="edge"/>
              <c:yMode val="edge"/>
              <c:x val="1.5840687938447614E-2"/>
              <c:y val="0.10966754155730533"/>
            </c:manualLayout>
          </c:layout>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7615872"/>
        <c:crosses val="autoZero"/>
        <c:crossBetween val="between"/>
      </c:valAx>
      <c:spPr>
        <a:noFill/>
        <a:ln>
          <a:noFill/>
        </a:ln>
        <a:effectLst/>
      </c:spPr>
    </c:plotArea>
    <c:legend>
      <c:legendPos val="r"/>
      <c:layout>
        <c:manualLayout>
          <c:xMode val="edge"/>
          <c:yMode val="edge"/>
          <c:x val="0.75666369096938257"/>
          <c:y val="5.6869133902993738E-2"/>
          <c:w val="0.22975857651194823"/>
          <c:h val="0.886261732194012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41613915907569"/>
          <c:y val="5.0925925925925923E-2"/>
          <c:w val="0.87536163861870209"/>
          <c:h val="0.6518598716827062"/>
        </c:manualLayout>
      </c:layout>
      <c:barChart>
        <c:barDir val="col"/>
        <c:grouping val="clustered"/>
        <c:varyColors val="0"/>
        <c:ser>
          <c:idx val="0"/>
          <c:order val="0"/>
          <c:tx>
            <c:strRef>
              <c:f>commodities!$B$6</c:f>
              <c:strCache>
                <c:ptCount val="1"/>
                <c:pt idx="0">
                  <c:v>Petróleo crudo,  Brent light blend </c:v>
                </c:pt>
              </c:strCache>
            </c:strRef>
          </c:tx>
          <c:spPr>
            <a:solidFill>
              <a:schemeClr val="tx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commodities!$I$1:$M$1</c:f>
              <c:numCache>
                <c:formatCode>General</c:formatCode>
                <c:ptCount val="5"/>
                <c:pt idx="0">
                  <c:v>2022</c:v>
                </c:pt>
                <c:pt idx="1">
                  <c:v>2023</c:v>
                </c:pt>
                <c:pt idx="2">
                  <c:v>2024</c:v>
                </c:pt>
                <c:pt idx="3">
                  <c:v>2025</c:v>
                </c:pt>
                <c:pt idx="4">
                  <c:v>2026</c:v>
                </c:pt>
              </c:numCache>
            </c:numRef>
          </c:cat>
          <c:val>
            <c:numRef>
              <c:f>commodities!$I$6:$M$6</c:f>
              <c:numCache>
                <c:formatCode>General</c:formatCode>
                <c:ptCount val="5"/>
                <c:pt idx="0">
                  <c:v>56.226999999999997</c:v>
                </c:pt>
                <c:pt idx="1">
                  <c:v>54.107999999999997</c:v>
                </c:pt>
                <c:pt idx="2">
                  <c:v>52.963999999999999</c:v>
                </c:pt>
                <c:pt idx="3">
                  <c:v>52.417999999999999</c:v>
                </c:pt>
                <c:pt idx="4">
                  <c:v>52.243000000000002</c:v>
                </c:pt>
              </c:numCache>
            </c:numRef>
          </c:val>
          <c:extLst xmlns:c16r2="http://schemas.microsoft.com/office/drawing/2015/06/chart">
            <c:ext xmlns:c16="http://schemas.microsoft.com/office/drawing/2014/chart" uri="{C3380CC4-5D6E-409C-BE32-E72D297353CC}">
              <c16:uniqueId val="{00000000-CF75-4AF6-8D70-7A89F489DB63}"/>
            </c:ext>
          </c:extLst>
        </c:ser>
        <c:ser>
          <c:idx val="1"/>
          <c:order val="1"/>
          <c:tx>
            <c:strRef>
              <c:f>commodities!$B$8</c:f>
              <c:strCache>
                <c:ptCount val="1"/>
                <c:pt idx="0">
                  <c:v>Petróleo crudo, West Texas Intermediate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commodities!$I$1:$M$1</c:f>
              <c:numCache>
                <c:formatCode>General</c:formatCode>
                <c:ptCount val="5"/>
                <c:pt idx="0">
                  <c:v>2022</c:v>
                </c:pt>
                <c:pt idx="1">
                  <c:v>2023</c:v>
                </c:pt>
                <c:pt idx="2">
                  <c:v>2024</c:v>
                </c:pt>
                <c:pt idx="3">
                  <c:v>2025</c:v>
                </c:pt>
                <c:pt idx="4">
                  <c:v>2026</c:v>
                </c:pt>
              </c:numCache>
            </c:numRef>
          </c:cat>
          <c:val>
            <c:numRef>
              <c:f>commodities!$I$8:$M$8</c:f>
              <c:numCache>
                <c:formatCode>General</c:formatCode>
                <c:ptCount val="5"/>
                <c:pt idx="0">
                  <c:v>52.664999999999999</c:v>
                </c:pt>
                <c:pt idx="1">
                  <c:v>50.027000000000001</c:v>
                </c:pt>
                <c:pt idx="2">
                  <c:v>48.612000000000002</c:v>
                </c:pt>
                <c:pt idx="3">
                  <c:v>47.962000000000003</c:v>
                </c:pt>
                <c:pt idx="4">
                  <c:v>47.777000000000001</c:v>
                </c:pt>
              </c:numCache>
            </c:numRef>
          </c:val>
          <c:extLst xmlns:c16r2="http://schemas.microsoft.com/office/drawing/2015/06/chart">
            <c:ext xmlns:c16="http://schemas.microsoft.com/office/drawing/2014/chart" uri="{C3380CC4-5D6E-409C-BE32-E72D297353CC}">
              <c16:uniqueId val="{00000001-CF75-4AF6-8D70-7A89F489DB63}"/>
            </c:ext>
          </c:extLst>
        </c:ser>
        <c:ser>
          <c:idx val="2"/>
          <c:order val="2"/>
          <c:tx>
            <c:strRef>
              <c:f>commodities!$B$7</c:f>
              <c:strCache>
                <c:ptCount val="1"/>
                <c:pt idx="0">
                  <c:v>Petróleo crudo,  Dubai</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commodities!$I$1:$M$1</c:f>
              <c:numCache>
                <c:formatCode>General</c:formatCode>
                <c:ptCount val="5"/>
                <c:pt idx="0">
                  <c:v>2022</c:v>
                </c:pt>
                <c:pt idx="1">
                  <c:v>2023</c:v>
                </c:pt>
                <c:pt idx="2">
                  <c:v>2024</c:v>
                </c:pt>
                <c:pt idx="3">
                  <c:v>2025</c:v>
                </c:pt>
                <c:pt idx="4">
                  <c:v>2026</c:v>
                </c:pt>
              </c:numCache>
            </c:numRef>
          </c:cat>
          <c:val>
            <c:numRef>
              <c:f>commodities!$I$7:$M$7</c:f>
              <c:numCache>
                <c:formatCode>General</c:formatCode>
                <c:ptCount val="5"/>
                <c:pt idx="0">
                  <c:v>55.610999999999997</c:v>
                </c:pt>
                <c:pt idx="1">
                  <c:v>53.491999999999997</c:v>
                </c:pt>
                <c:pt idx="2">
                  <c:v>52.348999999999997</c:v>
                </c:pt>
                <c:pt idx="3">
                  <c:v>51.802</c:v>
                </c:pt>
                <c:pt idx="4">
                  <c:v>51.628</c:v>
                </c:pt>
              </c:numCache>
            </c:numRef>
          </c:val>
          <c:extLst xmlns:c16r2="http://schemas.microsoft.com/office/drawing/2015/06/chart">
            <c:ext xmlns:c16="http://schemas.microsoft.com/office/drawing/2014/chart" uri="{C3380CC4-5D6E-409C-BE32-E72D297353CC}">
              <c16:uniqueId val="{00000002-CF75-4AF6-8D70-7A89F489DB63}"/>
            </c:ext>
          </c:extLst>
        </c:ser>
        <c:dLbls>
          <c:showLegendKey val="0"/>
          <c:showVal val="0"/>
          <c:showCatName val="0"/>
          <c:showSerName val="0"/>
          <c:showPercent val="0"/>
          <c:showBubbleSize val="0"/>
        </c:dLbls>
        <c:gapWidth val="150"/>
        <c:axId val="167882752"/>
        <c:axId val="167884288"/>
      </c:barChart>
      <c:lineChart>
        <c:grouping val="standard"/>
        <c:varyColors val="0"/>
        <c:ser>
          <c:idx val="3"/>
          <c:order val="3"/>
          <c:tx>
            <c:strRef>
              <c:f>commodities!$B$5</c:f>
              <c:strCache>
                <c:ptCount val="1"/>
                <c:pt idx="0">
                  <c:v>Promedio simple de WTI, Brent y Dubai.</c:v>
                </c:pt>
              </c:strCache>
            </c:strRef>
          </c:tx>
          <c:spPr>
            <a:ln w="28575" cap="rnd">
              <a:solidFill>
                <a:schemeClr val="accent4"/>
              </a:solidFill>
              <a:round/>
            </a:ln>
            <a:effectLst/>
          </c:spPr>
          <c:marker>
            <c:symbol val="none"/>
          </c:marker>
          <c:cat>
            <c:numRef>
              <c:f>commodities!$I$1:$M$1</c:f>
              <c:numCache>
                <c:formatCode>General</c:formatCode>
                <c:ptCount val="5"/>
                <c:pt idx="0">
                  <c:v>2022</c:v>
                </c:pt>
                <c:pt idx="1">
                  <c:v>2023</c:v>
                </c:pt>
                <c:pt idx="2">
                  <c:v>2024</c:v>
                </c:pt>
                <c:pt idx="3">
                  <c:v>2025</c:v>
                </c:pt>
                <c:pt idx="4">
                  <c:v>2026</c:v>
                </c:pt>
              </c:numCache>
            </c:numRef>
          </c:cat>
          <c:val>
            <c:numRef>
              <c:f>commodities!$I$5:$M$5</c:f>
              <c:numCache>
                <c:formatCode>General</c:formatCode>
                <c:ptCount val="5"/>
                <c:pt idx="0">
                  <c:v>54.834000000000003</c:v>
                </c:pt>
                <c:pt idx="1">
                  <c:v>52.542000000000002</c:v>
                </c:pt>
                <c:pt idx="2">
                  <c:v>51.308999999999997</c:v>
                </c:pt>
                <c:pt idx="3">
                  <c:v>50.726999999999997</c:v>
                </c:pt>
                <c:pt idx="4">
                  <c:v>50.55</c:v>
                </c:pt>
              </c:numCache>
            </c:numRef>
          </c:val>
          <c:smooth val="0"/>
          <c:extLst xmlns:c16r2="http://schemas.microsoft.com/office/drawing/2015/06/chart">
            <c:ext xmlns:c16="http://schemas.microsoft.com/office/drawing/2014/chart" uri="{C3380CC4-5D6E-409C-BE32-E72D297353CC}">
              <c16:uniqueId val="{00000003-CF75-4AF6-8D70-7A89F489DB63}"/>
            </c:ext>
          </c:extLst>
        </c:ser>
        <c:dLbls>
          <c:showLegendKey val="0"/>
          <c:showVal val="0"/>
          <c:showCatName val="0"/>
          <c:showSerName val="0"/>
          <c:showPercent val="0"/>
          <c:showBubbleSize val="0"/>
        </c:dLbls>
        <c:marker val="1"/>
        <c:smooth val="0"/>
        <c:axId val="167888000"/>
        <c:axId val="167886208"/>
      </c:lineChart>
      <c:catAx>
        <c:axId val="16788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7884288"/>
        <c:crosses val="autoZero"/>
        <c:auto val="1"/>
        <c:lblAlgn val="ctr"/>
        <c:lblOffset val="100"/>
        <c:noMultiLvlLbl val="0"/>
      </c:catAx>
      <c:valAx>
        <c:axId val="167884288"/>
        <c:scaling>
          <c:orientation val="minMax"/>
          <c:min val="45"/>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US$ por barril</a:t>
                </a:r>
              </a:p>
            </c:rich>
          </c:tx>
          <c:layout>
            <c:manualLayout>
              <c:xMode val="edge"/>
              <c:yMode val="edge"/>
              <c:x val="2.0915032679738561E-2"/>
              <c:y val="0.26959864391951011"/>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7882752"/>
        <c:crosses val="autoZero"/>
        <c:crossBetween val="between"/>
      </c:valAx>
      <c:valAx>
        <c:axId val="167886208"/>
        <c:scaling>
          <c:orientation val="minMax"/>
          <c:min val="45"/>
        </c:scaling>
        <c:delete val="1"/>
        <c:axPos val="r"/>
        <c:numFmt formatCode="General" sourceLinked="1"/>
        <c:majorTickMark val="out"/>
        <c:minorTickMark val="none"/>
        <c:tickLblPos val="nextTo"/>
        <c:crossAx val="167888000"/>
        <c:crosses val="max"/>
        <c:crossBetween val="between"/>
      </c:valAx>
      <c:catAx>
        <c:axId val="167888000"/>
        <c:scaling>
          <c:orientation val="minMax"/>
        </c:scaling>
        <c:delete val="1"/>
        <c:axPos val="b"/>
        <c:numFmt formatCode="General" sourceLinked="1"/>
        <c:majorTickMark val="out"/>
        <c:minorTickMark val="none"/>
        <c:tickLblPos val="nextTo"/>
        <c:crossAx val="167886208"/>
        <c:crosses val="autoZero"/>
        <c:auto val="1"/>
        <c:lblAlgn val="ctr"/>
        <c:lblOffset val="100"/>
        <c:noMultiLvlLbl val="0"/>
      </c:catA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plotArea>
    <c:legend>
      <c:legendPos val="r"/>
      <c:layout>
        <c:manualLayout>
          <c:xMode val="edge"/>
          <c:yMode val="edge"/>
          <c:x val="2.9358241984457824E-2"/>
          <c:y val="0.85069116360454944"/>
          <c:w val="0.93665482991096705"/>
          <c:h val="0.149308836395450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 Mrk'!$B$157</c:f>
              <c:strCache>
                <c:ptCount val="1"/>
                <c:pt idx="0">
                  <c:v>FMI</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'Graficos Mrk'!$C$156:$H$156</c:f>
              <c:numCache>
                <c:formatCode>General</c:formatCode>
                <c:ptCount val="6"/>
                <c:pt idx="0">
                  <c:v>2021</c:v>
                </c:pt>
                <c:pt idx="1">
                  <c:v>2022</c:v>
                </c:pt>
                <c:pt idx="2">
                  <c:v>2023</c:v>
                </c:pt>
                <c:pt idx="3">
                  <c:v>2024</c:v>
                </c:pt>
                <c:pt idx="4">
                  <c:v>2025</c:v>
                </c:pt>
                <c:pt idx="5">
                  <c:v>2026</c:v>
                </c:pt>
              </c:numCache>
            </c:numRef>
          </c:cat>
          <c:val>
            <c:numRef>
              <c:f>'Graficos Mrk'!$C$157:$H$157</c:f>
              <c:numCache>
                <c:formatCode>_ * #,##0.0_ ;_ * \-#,##0.0_ ;_ * "-"??_ ;_ @_ </c:formatCode>
                <c:ptCount val="6"/>
                <c:pt idx="0">
                  <c:v>4.5</c:v>
                </c:pt>
                <c:pt idx="1">
                  <c:v>4</c:v>
                </c:pt>
                <c:pt idx="2">
                  <c:v>3.5</c:v>
                </c:pt>
                <c:pt idx="3">
                  <c:v>3.5</c:v>
                </c:pt>
                <c:pt idx="4">
                  <c:v>3.5</c:v>
                </c:pt>
                <c:pt idx="5">
                  <c:v>3.5</c:v>
                </c:pt>
              </c:numCache>
            </c:numRef>
          </c:val>
          <c:extLst xmlns:c16r2="http://schemas.microsoft.com/office/drawing/2015/06/chart">
            <c:ext xmlns:c16="http://schemas.microsoft.com/office/drawing/2014/chart" uri="{C3380CC4-5D6E-409C-BE32-E72D297353CC}">
              <c16:uniqueId val="{00000000-3601-4B63-B1B0-6D74F338D236}"/>
            </c:ext>
          </c:extLst>
        </c:ser>
        <c:ser>
          <c:idx val="1"/>
          <c:order val="1"/>
          <c:tx>
            <c:strRef>
              <c:f>'Graficos Mrk'!$B$158</c:f>
              <c:strCache>
                <c:ptCount val="1"/>
                <c:pt idx="0">
                  <c:v>BANGUAT</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'Graficos Mrk'!$C$156:$H$156</c:f>
              <c:numCache>
                <c:formatCode>General</c:formatCode>
                <c:ptCount val="6"/>
                <c:pt idx="0">
                  <c:v>2021</c:v>
                </c:pt>
                <c:pt idx="1">
                  <c:v>2022</c:v>
                </c:pt>
                <c:pt idx="2">
                  <c:v>2023</c:v>
                </c:pt>
                <c:pt idx="3">
                  <c:v>2024</c:v>
                </c:pt>
                <c:pt idx="4">
                  <c:v>2025</c:v>
                </c:pt>
                <c:pt idx="5">
                  <c:v>2026</c:v>
                </c:pt>
              </c:numCache>
            </c:numRef>
          </c:cat>
          <c:val>
            <c:numRef>
              <c:f>'Graficos Mrk'!$C$158:$H$158</c:f>
              <c:numCache>
                <c:formatCode>_ * #,##0.0_ ;_ * \-#,##0.0_ ;_ * "-"??_ ;_ @_ </c:formatCode>
                <c:ptCount val="6"/>
                <c:pt idx="0">
                  <c:v>5</c:v>
                </c:pt>
                <c:pt idx="1">
                  <c:v>4.5</c:v>
                </c:pt>
                <c:pt idx="2">
                  <c:v>3.7</c:v>
                </c:pt>
                <c:pt idx="3">
                  <c:v>3.6</c:v>
                </c:pt>
                <c:pt idx="4">
                  <c:v>3.6</c:v>
                </c:pt>
                <c:pt idx="5">
                  <c:v>3.7</c:v>
                </c:pt>
              </c:numCache>
            </c:numRef>
          </c:val>
          <c:extLst xmlns:c16r2="http://schemas.microsoft.com/office/drawing/2015/06/chart">
            <c:ext xmlns:c16="http://schemas.microsoft.com/office/drawing/2014/chart" uri="{C3380CC4-5D6E-409C-BE32-E72D297353CC}">
              <c16:uniqueId val="{00000001-3601-4B63-B1B0-6D74F338D236}"/>
            </c:ext>
          </c:extLst>
        </c:ser>
        <c:ser>
          <c:idx val="2"/>
          <c:order val="2"/>
          <c:tx>
            <c:strRef>
              <c:f>'Graficos Mrk'!$B$159</c:f>
              <c:strCache>
                <c:ptCount val="1"/>
                <c:pt idx="0">
                  <c:v>BM</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'Graficos Mrk'!$C$156:$H$156</c:f>
              <c:numCache>
                <c:formatCode>General</c:formatCode>
                <c:ptCount val="6"/>
                <c:pt idx="0">
                  <c:v>2021</c:v>
                </c:pt>
                <c:pt idx="1">
                  <c:v>2022</c:v>
                </c:pt>
                <c:pt idx="2">
                  <c:v>2023</c:v>
                </c:pt>
                <c:pt idx="3">
                  <c:v>2024</c:v>
                </c:pt>
                <c:pt idx="4">
                  <c:v>2025</c:v>
                </c:pt>
                <c:pt idx="5">
                  <c:v>2026</c:v>
                </c:pt>
              </c:numCache>
            </c:numRef>
          </c:cat>
          <c:val>
            <c:numRef>
              <c:f>'Graficos Mrk'!$C$159:$H$159</c:f>
              <c:numCache>
                <c:formatCode>_ * #,##0.0_ ;_ * \-#,##0.0_ ;_ * "-"??_ ;_ @_ </c:formatCode>
                <c:ptCount val="6"/>
                <c:pt idx="0">
                  <c:v>3.6</c:v>
                </c:pt>
                <c:pt idx="1">
                  <c:v>3.8</c:v>
                </c:pt>
              </c:numCache>
            </c:numRef>
          </c:val>
          <c:extLst xmlns:c16r2="http://schemas.microsoft.com/office/drawing/2015/06/chart">
            <c:ext xmlns:c16="http://schemas.microsoft.com/office/drawing/2014/chart" uri="{C3380CC4-5D6E-409C-BE32-E72D297353CC}">
              <c16:uniqueId val="{00000002-3601-4B63-B1B0-6D74F338D236}"/>
            </c:ext>
          </c:extLst>
        </c:ser>
        <c:dLbls>
          <c:showLegendKey val="0"/>
          <c:showVal val="0"/>
          <c:showCatName val="0"/>
          <c:showSerName val="0"/>
          <c:showPercent val="0"/>
          <c:showBubbleSize val="0"/>
        </c:dLbls>
        <c:gapWidth val="50"/>
        <c:axId val="167928960"/>
        <c:axId val="167930496"/>
      </c:barChart>
      <c:catAx>
        <c:axId val="16792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7930496"/>
        <c:crosses val="autoZero"/>
        <c:auto val="1"/>
        <c:lblAlgn val="ctr"/>
        <c:lblOffset val="100"/>
        <c:noMultiLvlLbl val="0"/>
      </c:catAx>
      <c:valAx>
        <c:axId val="167930496"/>
        <c:scaling>
          <c:orientation val="minMax"/>
          <c:min val="2"/>
        </c:scaling>
        <c:delete val="1"/>
        <c:axPos val="l"/>
        <c:numFmt formatCode="_ * #,##0.0_ ;_ * \-#,##0.0_ ;_ * &quot;-&quot;??_ ;_ @_ " sourceLinked="1"/>
        <c:majorTickMark val="none"/>
        <c:minorTickMark val="none"/>
        <c:tickLblPos val="nextTo"/>
        <c:crossAx val="16792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9677943075751533E-2"/>
          <c:y val="3.1686225440646303E-2"/>
          <c:w val="0.92749717497971218"/>
          <c:h val="0.87799674889366675"/>
        </c:manualLayout>
      </c:layout>
      <c:areaChart>
        <c:grouping val="stacked"/>
        <c:varyColors val="0"/>
        <c:ser>
          <c:idx val="0"/>
          <c:order val="0"/>
          <c:tx>
            <c:strRef>
              <c:f>'Fanchart '!$AA$16</c:f>
              <c:strCache>
                <c:ptCount val="1"/>
                <c:pt idx="0">
                  <c:v>base</c:v>
                </c:pt>
              </c:strCache>
            </c:strRef>
          </c:tx>
          <c:spPr>
            <a:noFill/>
            <a:ln>
              <a:noFill/>
            </a:ln>
            <a:effectLst/>
          </c:spPr>
          <c:cat>
            <c:numRef>
              <c:f>'Fanchart '!$AD$14:$AL$14</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'Fanchart '!$AD$16:$AL$16</c:f>
              <c:numCache>
                <c:formatCode>_(* #,##0.00_);_(* \(#,##0.00\);_(* "-"??_);_(@_)</c:formatCode>
                <c:ptCount val="9"/>
                <c:pt idx="0">
                  <c:v>3.3220982448518122</c:v>
                </c:pt>
                <c:pt idx="1">
                  <c:v>3.8668564018079277</c:v>
                </c:pt>
                <c:pt idx="2">
                  <c:v>-1.5193281207126708</c:v>
                </c:pt>
                <c:pt idx="3">
                  <c:v>3.976774527881576</c:v>
                </c:pt>
                <c:pt idx="4">
                  <c:v>3.1870031292221235</c:v>
                </c:pt>
                <c:pt idx="5">
                  <c:v>2.1464411515035895</c:v>
                </c:pt>
                <c:pt idx="6">
                  <c:v>1.7431420179924932</c:v>
                </c:pt>
                <c:pt idx="7">
                  <c:v>1.5659139943419333</c:v>
                </c:pt>
                <c:pt idx="8">
                  <c:v>1.3512397941569292</c:v>
                </c:pt>
              </c:numCache>
            </c:numRef>
          </c:val>
          <c:extLst xmlns:c16r2="http://schemas.microsoft.com/office/drawing/2015/06/chart">
            <c:ext xmlns:c16="http://schemas.microsoft.com/office/drawing/2014/chart" uri="{C3380CC4-5D6E-409C-BE32-E72D297353CC}">
              <c16:uniqueId val="{00000000-5341-47B0-B316-F32F9E596942}"/>
            </c:ext>
          </c:extLst>
        </c:ser>
        <c:ser>
          <c:idx val="1"/>
          <c:order val="1"/>
          <c:tx>
            <c:strRef>
              <c:f>'Fanchart '!$AA$17</c:f>
              <c:strCache>
                <c:ptCount val="1"/>
                <c:pt idx="0">
                  <c:v>5-10</c:v>
                </c:pt>
              </c:strCache>
            </c:strRef>
          </c:tx>
          <c:spPr>
            <a:solidFill>
              <a:srgbClr val="F2F7FC"/>
            </a:solidFill>
            <a:ln w="25400">
              <a:noFill/>
            </a:ln>
            <a:effectLst/>
          </c:spPr>
          <c:val>
            <c:numRef>
              <c:f>'Fanchart '!$AD$17:$AL$17</c:f>
              <c:numCache>
                <c:formatCode>_(* #,##0.00_);_(* \(#,##0.00\);_(* "-"??_);_(@_)</c:formatCode>
                <c:ptCount val="9"/>
                <c:pt idx="0">
                  <c:v>0</c:v>
                </c:pt>
                <c:pt idx="1">
                  <c:v>0</c:v>
                </c:pt>
                <c:pt idx="2">
                  <c:v>0</c:v>
                </c:pt>
                <c:pt idx="3">
                  <c:v>0.22600182606741503</c:v>
                </c:pt>
                <c:pt idx="4">
                  <c:v>0.27605036614402145</c:v>
                </c:pt>
                <c:pt idx="5">
                  <c:v>0.32662719805237828</c:v>
                </c:pt>
                <c:pt idx="6">
                  <c:v>0.3903941716989332</c:v>
                </c:pt>
                <c:pt idx="7">
                  <c:v>0.42765538831610117</c:v>
                </c:pt>
                <c:pt idx="8">
                  <c:v>0.49381390712938988</c:v>
                </c:pt>
              </c:numCache>
            </c:numRef>
          </c:val>
          <c:extLst xmlns:c16r2="http://schemas.microsoft.com/office/drawing/2015/06/chart">
            <c:ext xmlns:c16="http://schemas.microsoft.com/office/drawing/2014/chart" uri="{C3380CC4-5D6E-409C-BE32-E72D297353CC}">
              <c16:uniqueId val="{00000001-5341-47B0-B316-F32F9E596942}"/>
            </c:ext>
          </c:extLst>
        </c:ser>
        <c:ser>
          <c:idx val="2"/>
          <c:order val="2"/>
          <c:tx>
            <c:strRef>
              <c:f>'Fanchart '!$AA$18</c:f>
              <c:strCache>
                <c:ptCount val="1"/>
                <c:pt idx="0">
                  <c:v>10-15</c:v>
                </c:pt>
              </c:strCache>
            </c:strRef>
          </c:tx>
          <c:spPr>
            <a:solidFill>
              <a:schemeClr val="accent1">
                <a:lumMod val="20000"/>
                <a:lumOff val="80000"/>
              </a:schemeClr>
            </a:solidFill>
            <a:ln w="25400">
              <a:solidFill>
                <a:schemeClr val="accent1">
                  <a:lumMod val="20000"/>
                  <a:lumOff val="80000"/>
                </a:schemeClr>
              </a:solidFill>
            </a:ln>
            <a:effectLst/>
          </c:spPr>
          <c:val>
            <c:numRef>
              <c:f>'Fanchart '!$AD$18:$AL$18</c:f>
              <c:numCache>
                <c:formatCode>_(* #,##0.00_);_(* \(#,##0.00\);_(* "-"??_);_(@_)</c:formatCode>
                <c:ptCount val="9"/>
                <c:pt idx="0">
                  <c:v>0</c:v>
                </c:pt>
                <c:pt idx="1">
                  <c:v>0</c:v>
                </c:pt>
                <c:pt idx="2">
                  <c:v>0</c:v>
                </c:pt>
                <c:pt idx="3">
                  <c:v>0.15248235910160801</c:v>
                </c:pt>
                <c:pt idx="4">
                  <c:v>0.18512985939171323</c:v>
                </c:pt>
                <c:pt idx="5">
                  <c:v>0.21904860367907775</c:v>
                </c:pt>
                <c:pt idx="6">
                  <c:v>0.2618131579519849</c:v>
                </c:pt>
                <c:pt idx="7">
                  <c:v>0.28680194492393074</c:v>
                </c:pt>
                <c:pt idx="8">
                  <c:v>0.33117036021187896</c:v>
                </c:pt>
              </c:numCache>
            </c:numRef>
          </c:val>
          <c:extLst xmlns:c16r2="http://schemas.microsoft.com/office/drawing/2015/06/chart">
            <c:ext xmlns:c16="http://schemas.microsoft.com/office/drawing/2014/chart" uri="{C3380CC4-5D6E-409C-BE32-E72D297353CC}">
              <c16:uniqueId val="{00000002-5341-47B0-B316-F32F9E596942}"/>
            </c:ext>
          </c:extLst>
        </c:ser>
        <c:ser>
          <c:idx val="3"/>
          <c:order val="3"/>
          <c:tx>
            <c:strRef>
              <c:f>'Fanchart '!$AA$19</c:f>
              <c:strCache>
                <c:ptCount val="1"/>
                <c:pt idx="0">
                  <c:v>15-20</c:v>
                </c:pt>
              </c:strCache>
            </c:strRef>
          </c:tx>
          <c:spPr>
            <a:solidFill>
              <a:schemeClr val="accent1">
                <a:lumMod val="20000"/>
                <a:lumOff val="80000"/>
              </a:schemeClr>
            </a:solidFill>
            <a:ln w="25400">
              <a:solidFill>
                <a:schemeClr val="accent1">
                  <a:lumMod val="20000"/>
                  <a:lumOff val="80000"/>
                </a:schemeClr>
              </a:solidFill>
            </a:ln>
            <a:effectLst/>
          </c:spPr>
          <c:val>
            <c:numRef>
              <c:f>'Fanchart '!$AD$19:$AL$19</c:f>
              <c:numCache>
                <c:formatCode>_(* #,##0.00_);_(* \(#,##0.00\);_(* "-"??_);_(@_)</c:formatCode>
                <c:ptCount val="9"/>
                <c:pt idx="0">
                  <c:v>0</c:v>
                </c:pt>
                <c:pt idx="1">
                  <c:v>0</c:v>
                </c:pt>
                <c:pt idx="2">
                  <c:v>0</c:v>
                </c:pt>
                <c:pt idx="3">
                  <c:v>0.12118814522480736</c:v>
                </c:pt>
                <c:pt idx="4">
                  <c:v>0.14627596260223141</c:v>
                </c:pt>
                <c:pt idx="5">
                  <c:v>0.17307605302089923</c:v>
                </c:pt>
                <c:pt idx="6">
                  <c:v>0.2068654501612559</c:v>
                </c:pt>
                <c:pt idx="7">
                  <c:v>0.22660974684356061</c:v>
                </c:pt>
                <c:pt idx="8">
                  <c:v>0.26166639668224523</c:v>
                </c:pt>
              </c:numCache>
            </c:numRef>
          </c:val>
          <c:extLst xmlns:c16r2="http://schemas.microsoft.com/office/drawing/2015/06/chart">
            <c:ext xmlns:c16="http://schemas.microsoft.com/office/drawing/2014/chart" uri="{C3380CC4-5D6E-409C-BE32-E72D297353CC}">
              <c16:uniqueId val="{00000003-5341-47B0-B316-F32F9E596942}"/>
            </c:ext>
          </c:extLst>
        </c:ser>
        <c:ser>
          <c:idx val="4"/>
          <c:order val="4"/>
          <c:tx>
            <c:strRef>
              <c:f>'Fanchart '!$AA$20</c:f>
              <c:strCache>
                <c:ptCount val="1"/>
                <c:pt idx="0">
                  <c:v>20-25</c:v>
                </c:pt>
              </c:strCache>
            </c:strRef>
          </c:tx>
          <c:spPr>
            <a:solidFill>
              <a:schemeClr val="accent1">
                <a:lumMod val="60000"/>
                <a:lumOff val="40000"/>
              </a:schemeClr>
            </a:solidFill>
            <a:ln w="25400">
              <a:solidFill>
                <a:schemeClr val="accent1">
                  <a:lumMod val="60000"/>
                  <a:lumOff val="40000"/>
                </a:schemeClr>
              </a:solidFill>
            </a:ln>
            <a:effectLst/>
          </c:spPr>
          <c:val>
            <c:numRef>
              <c:f>'Fanchart '!$AD$20:$AL$20</c:f>
              <c:numCache>
                <c:formatCode>_(* #,##0.00_);_(* \(#,##0.00\);_(* "-"??_);_(@_)</c:formatCode>
                <c:ptCount val="9"/>
                <c:pt idx="0">
                  <c:v>0</c:v>
                </c:pt>
                <c:pt idx="1">
                  <c:v>0</c:v>
                </c:pt>
                <c:pt idx="2">
                  <c:v>0</c:v>
                </c:pt>
                <c:pt idx="3">
                  <c:v>0.10396863780582333</c:v>
                </c:pt>
                <c:pt idx="4">
                  <c:v>0.12472710642318363</c:v>
                </c:pt>
                <c:pt idx="5">
                  <c:v>0.14757910254294204</c:v>
                </c:pt>
                <c:pt idx="6">
                  <c:v>0.17639076549921784</c:v>
                </c:pt>
                <c:pt idx="7">
                  <c:v>0.19322640239905153</c:v>
                </c:pt>
                <c:pt idx="8">
                  <c:v>0.22311863087927142</c:v>
                </c:pt>
              </c:numCache>
            </c:numRef>
          </c:val>
          <c:extLst xmlns:c16r2="http://schemas.microsoft.com/office/drawing/2015/06/chart">
            <c:ext xmlns:c16="http://schemas.microsoft.com/office/drawing/2014/chart" uri="{C3380CC4-5D6E-409C-BE32-E72D297353CC}">
              <c16:uniqueId val="{00000004-5341-47B0-B316-F32F9E596942}"/>
            </c:ext>
          </c:extLst>
        </c:ser>
        <c:ser>
          <c:idx val="5"/>
          <c:order val="5"/>
          <c:tx>
            <c:strRef>
              <c:f>'Fanchart '!$AA$21</c:f>
              <c:strCache>
                <c:ptCount val="1"/>
                <c:pt idx="0">
                  <c:v>25-30</c:v>
                </c:pt>
              </c:strCache>
            </c:strRef>
          </c:tx>
          <c:spPr>
            <a:solidFill>
              <a:schemeClr val="accent1">
                <a:lumMod val="60000"/>
                <a:lumOff val="40000"/>
              </a:schemeClr>
            </a:solidFill>
            <a:ln w="25400">
              <a:solidFill>
                <a:schemeClr val="accent1">
                  <a:lumMod val="60000"/>
                  <a:lumOff val="40000"/>
                </a:schemeClr>
              </a:solidFill>
            </a:ln>
            <a:effectLst/>
          </c:spPr>
          <c:val>
            <c:numRef>
              <c:f>'Fanchart '!$AD$21:$AL$21</c:f>
              <c:numCache>
                <c:formatCode>_(* #,##0.00_);_(* \(#,##0.00\);_(* "-"??_);_(@_)</c:formatCode>
                <c:ptCount val="9"/>
                <c:pt idx="0">
                  <c:v>0</c:v>
                </c:pt>
                <c:pt idx="1">
                  <c:v>0</c:v>
                </c:pt>
                <c:pt idx="2">
                  <c:v>0</c:v>
                </c:pt>
                <c:pt idx="3">
                  <c:v>9.3367050035465304E-2</c:v>
                </c:pt>
                <c:pt idx="4">
                  <c:v>0.11127109888733422</c:v>
                </c:pt>
                <c:pt idx="5">
                  <c:v>0.13165773971412742</c:v>
                </c:pt>
                <c:pt idx="6">
                  <c:v>0.15736109714662616</c:v>
                </c:pt>
                <c:pt idx="7">
                  <c:v>0.17238044516193796</c:v>
                </c:pt>
                <c:pt idx="8">
                  <c:v>0.19904779283454443</c:v>
                </c:pt>
              </c:numCache>
            </c:numRef>
          </c:val>
          <c:extLst xmlns:c16r2="http://schemas.microsoft.com/office/drawing/2015/06/chart">
            <c:ext xmlns:c16="http://schemas.microsoft.com/office/drawing/2014/chart" uri="{C3380CC4-5D6E-409C-BE32-E72D297353CC}">
              <c16:uniqueId val="{00000005-5341-47B0-B316-F32F9E596942}"/>
            </c:ext>
          </c:extLst>
        </c:ser>
        <c:ser>
          <c:idx val="6"/>
          <c:order val="6"/>
          <c:tx>
            <c:strRef>
              <c:f>'Fanchart '!$AA$22</c:f>
              <c:strCache>
                <c:ptCount val="1"/>
                <c:pt idx="0">
                  <c:v>30-35</c:v>
                </c:pt>
              </c:strCache>
            </c:strRef>
          </c:tx>
          <c:spPr>
            <a:solidFill>
              <a:schemeClr val="accent1">
                <a:lumMod val="75000"/>
              </a:schemeClr>
            </a:solidFill>
            <a:ln w="25400">
              <a:solidFill>
                <a:schemeClr val="accent1">
                  <a:lumMod val="75000"/>
                </a:schemeClr>
              </a:solidFill>
            </a:ln>
            <a:effectLst/>
          </c:spPr>
          <c:val>
            <c:numRef>
              <c:f>'Fanchart '!$AD$22:$AL$22</c:f>
              <c:numCache>
                <c:formatCode>_(* #,##0.00_);_(* \(#,##0.00\);_(* "-"??_);_(@_)</c:formatCode>
                <c:ptCount val="9"/>
                <c:pt idx="0">
                  <c:v>0</c:v>
                </c:pt>
                <c:pt idx="1">
                  <c:v>0</c:v>
                </c:pt>
                <c:pt idx="2">
                  <c:v>0</c:v>
                </c:pt>
                <c:pt idx="3">
                  <c:v>8.6518486329879352E-2</c:v>
                </c:pt>
                <c:pt idx="4">
                  <c:v>0.1023576350574471</c:v>
                </c:pt>
                <c:pt idx="5">
                  <c:v>0.12111118708185042</c:v>
                </c:pt>
                <c:pt idx="6">
                  <c:v>0.14475555571067789</c:v>
                </c:pt>
                <c:pt idx="7">
                  <c:v>0.15857176637386816</c:v>
                </c:pt>
                <c:pt idx="8">
                  <c:v>0.18310290400365448</c:v>
                </c:pt>
              </c:numCache>
            </c:numRef>
          </c:val>
          <c:extLst xmlns:c16r2="http://schemas.microsoft.com/office/drawing/2015/06/chart">
            <c:ext xmlns:c16="http://schemas.microsoft.com/office/drawing/2014/chart" uri="{C3380CC4-5D6E-409C-BE32-E72D297353CC}">
              <c16:uniqueId val="{00000006-5341-47B0-B316-F32F9E596942}"/>
            </c:ext>
          </c:extLst>
        </c:ser>
        <c:ser>
          <c:idx val="7"/>
          <c:order val="7"/>
          <c:tx>
            <c:strRef>
              <c:f>'Fanchart '!$AA$23</c:f>
              <c:strCache>
                <c:ptCount val="1"/>
                <c:pt idx="0">
                  <c:v>35-40</c:v>
                </c:pt>
              </c:strCache>
            </c:strRef>
          </c:tx>
          <c:spPr>
            <a:solidFill>
              <a:schemeClr val="accent1">
                <a:lumMod val="75000"/>
              </a:schemeClr>
            </a:solidFill>
            <a:ln w="25400">
              <a:solidFill>
                <a:schemeClr val="accent1">
                  <a:lumMod val="75000"/>
                </a:schemeClr>
              </a:solidFill>
            </a:ln>
            <a:effectLst/>
          </c:spPr>
          <c:val>
            <c:numRef>
              <c:f>'Fanchart '!$AD$23:$AL$23</c:f>
              <c:numCache>
                <c:formatCode>_(* #,##0.00_);_(* \(#,##0.00\);_(* "-"??_);_(@_)</c:formatCode>
                <c:ptCount val="9"/>
                <c:pt idx="0">
                  <c:v>0</c:v>
                </c:pt>
                <c:pt idx="1">
                  <c:v>0</c:v>
                </c:pt>
                <c:pt idx="2">
                  <c:v>0</c:v>
                </c:pt>
                <c:pt idx="3">
                  <c:v>8.2097582865831242E-2</c:v>
                </c:pt>
                <c:pt idx="4">
                  <c:v>9.6328768466552361E-2</c:v>
                </c:pt>
                <c:pt idx="5">
                  <c:v>0.11397773593117044</c:v>
                </c:pt>
                <c:pt idx="6">
                  <c:v>0.13622945081209537</c:v>
                </c:pt>
                <c:pt idx="7">
                  <c:v>0.14923188641265028</c:v>
                </c:pt>
                <c:pt idx="8">
                  <c:v>0.17231813958403874</c:v>
                </c:pt>
              </c:numCache>
            </c:numRef>
          </c:val>
          <c:extLst xmlns:c16r2="http://schemas.microsoft.com/office/drawing/2015/06/chart">
            <c:ext xmlns:c16="http://schemas.microsoft.com/office/drawing/2014/chart" uri="{C3380CC4-5D6E-409C-BE32-E72D297353CC}">
              <c16:uniqueId val="{00000007-5341-47B0-B316-F32F9E596942}"/>
            </c:ext>
          </c:extLst>
        </c:ser>
        <c:ser>
          <c:idx val="8"/>
          <c:order val="8"/>
          <c:tx>
            <c:strRef>
              <c:f>'Fanchart '!$AA$24</c:f>
              <c:strCache>
                <c:ptCount val="1"/>
                <c:pt idx="0">
                  <c:v>40-45</c:v>
                </c:pt>
              </c:strCache>
            </c:strRef>
          </c:tx>
          <c:spPr>
            <a:solidFill>
              <a:srgbClr val="002060"/>
            </a:solidFill>
            <a:ln w="25400">
              <a:solidFill>
                <a:srgbClr val="002060"/>
              </a:solidFill>
            </a:ln>
            <a:effectLst/>
          </c:spPr>
          <c:val>
            <c:numRef>
              <c:f>'Fanchart '!$AD$24:$AL$24</c:f>
              <c:numCache>
                <c:formatCode>_(* #,##0.00_);_(* \(#,##0.00\);_(* "-"??_);_(@_)</c:formatCode>
                <c:ptCount val="9"/>
                <c:pt idx="0">
                  <c:v>0</c:v>
                </c:pt>
                <c:pt idx="1">
                  <c:v>0</c:v>
                </c:pt>
                <c:pt idx="2">
                  <c:v>0</c:v>
                </c:pt>
                <c:pt idx="3">
                  <c:v>7.943036153027716E-2</c:v>
                </c:pt>
                <c:pt idx="4">
                  <c:v>9.2319894129769153E-2</c:v>
                </c:pt>
                <c:pt idx="5">
                  <c:v>0.10923437184780571</c:v>
                </c:pt>
                <c:pt idx="6">
                  <c:v>0.1305600463551686</c:v>
                </c:pt>
                <c:pt idx="7">
                  <c:v>0.14302136499529228</c:v>
                </c:pt>
                <c:pt idx="8">
                  <c:v>0.16514684715979921</c:v>
                </c:pt>
              </c:numCache>
            </c:numRef>
          </c:val>
          <c:extLst xmlns:c16r2="http://schemas.microsoft.com/office/drawing/2015/06/chart">
            <c:ext xmlns:c16="http://schemas.microsoft.com/office/drawing/2014/chart" uri="{C3380CC4-5D6E-409C-BE32-E72D297353CC}">
              <c16:uniqueId val="{00000008-5341-47B0-B316-F32F9E596942}"/>
            </c:ext>
          </c:extLst>
        </c:ser>
        <c:ser>
          <c:idx val="9"/>
          <c:order val="9"/>
          <c:tx>
            <c:strRef>
              <c:f>'Fanchart '!$AA$25</c:f>
              <c:strCache>
                <c:ptCount val="1"/>
                <c:pt idx="0">
                  <c:v>45-50</c:v>
                </c:pt>
              </c:strCache>
            </c:strRef>
          </c:tx>
          <c:spPr>
            <a:solidFill>
              <a:srgbClr val="002060"/>
            </a:solidFill>
            <a:ln w="25400">
              <a:solidFill>
                <a:srgbClr val="002060"/>
              </a:solidFill>
            </a:ln>
            <a:effectLst/>
          </c:spPr>
          <c:val>
            <c:numRef>
              <c:f>'Fanchart '!$AD$25:$AL$25</c:f>
              <c:numCache>
                <c:formatCode>_(* #,##0.00_);_(* \(#,##0.00\);_(* "-"??_);_(@_)</c:formatCode>
                <c:ptCount val="9"/>
                <c:pt idx="0">
                  <c:v>0</c:v>
                </c:pt>
                <c:pt idx="1">
                  <c:v>0</c:v>
                </c:pt>
                <c:pt idx="2">
                  <c:v>0</c:v>
                </c:pt>
                <c:pt idx="3">
                  <c:v>7.8171023157317165E-2</c:v>
                </c:pt>
                <c:pt idx="4">
                  <c:v>8.9760191314288917E-2</c:v>
                </c:pt>
                <c:pt idx="5">
                  <c:v>0.10620569063232388</c:v>
                </c:pt>
                <c:pt idx="6">
                  <c:v>0.12694007991787171</c:v>
                </c:pt>
                <c:pt idx="7">
                  <c:v>0.13905589044505318</c:v>
                </c:pt>
                <c:pt idx="8">
                  <c:v>0.16056791156170913</c:v>
                </c:pt>
              </c:numCache>
            </c:numRef>
          </c:val>
          <c:extLst xmlns:c16r2="http://schemas.microsoft.com/office/drawing/2015/06/chart">
            <c:ext xmlns:c16="http://schemas.microsoft.com/office/drawing/2014/chart" uri="{C3380CC4-5D6E-409C-BE32-E72D297353CC}">
              <c16:uniqueId val="{00000009-5341-47B0-B316-F32F9E596942}"/>
            </c:ext>
          </c:extLst>
        </c:ser>
        <c:ser>
          <c:idx val="10"/>
          <c:order val="10"/>
          <c:tx>
            <c:strRef>
              <c:f>'Fanchart '!$AA$26</c:f>
              <c:strCache>
                <c:ptCount val="1"/>
                <c:pt idx="0">
                  <c:v>50-55</c:v>
                </c:pt>
              </c:strCache>
            </c:strRef>
          </c:tx>
          <c:spPr>
            <a:solidFill>
              <a:srgbClr val="002060"/>
            </a:solidFill>
            <a:ln>
              <a:solidFill>
                <a:srgbClr val="002060"/>
              </a:solidFill>
            </a:ln>
            <a:effectLst/>
          </c:spPr>
          <c:val>
            <c:numRef>
              <c:f>'Fanchart '!$AD$26:$AL$26</c:f>
              <c:numCache>
                <c:formatCode>_(* #,##0.00_);_(* \(#,##0.00\);_(* "-"??_);_(@_)</c:formatCode>
                <c:ptCount val="9"/>
                <c:pt idx="0">
                  <c:v>0</c:v>
                </c:pt>
                <c:pt idx="1">
                  <c:v>0</c:v>
                </c:pt>
                <c:pt idx="2">
                  <c:v>0</c:v>
                </c:pt>
                <c:pt idx="3">
                  <c:v>7.8171023157317165E-2</c:v>
                </c:pt>
                <c:pt idx="4">
                  <c:v>8.8775988361335045E-2</c:v>
                </c:pt>
                <c:pt idx="5">
                  <c:v>0.10504116599383551</c:v>
                </c:pt>
                <c:pt idx="6">
                  <c:v>0.12554820675367573</c:v>
                </c:pt>
                <c:pt idx="7">
                  <c:v>0.13753116978662039</c:v>
                </c:pt>
                <c:pt idx="8">
                  <c:v>0.15880731579653995</c:v>
                </c:pt>
              </c:numCache>
            </c:numRef>
          </c:val>
          <c:extLst xmlns:c16r2="http://schemas.microsoft.com/office/drawing/2015/06/chart">
            <c:ext xmlns:c16="http://schemas.microsoft.com/office/drawing/2014/chart" uri="{C3380CC4-5D6E-409C-BE32-E72D297353CC}">
              <c16:uniqueId val="{0000000A-5341-47B0-B316-F32F9E596942}"/>
            </c:ext>
          </c:extLst>
        </c:ser>
        <c:ser>
          <c:idx val="11"/>
          <c:order val="11"/>
          <c:tx>
            <c:strRef>
              <c:f>'Fanchart '!$AA$27</c:f>
              <c:strCache>
                <c:ptCount val="1"/>
                <c:pt idx="0">
                  <c:v>55-60</c:v>
                </c:pt>
              </c:strCache>
            </c:strRef>
          </c:tx>
          <c:spPr>
            <a:solidFill>
              <a:srgbClr val="002060"/>
            </a:solidFill>
            <a:ln>
              <a:solidFill>
                <a:srgbClr val="002060"/>
              </a:solidFill>
            </a:ln>
            <a:effectLst/>
          </c:spPr>
          <c:val>
            <c:numRef>
              <c:f>'Fanchart '!$AD$27:$AL$27</c:f>
              <c:numCache>
                <c:formatCode>_(* #,##0.00_);_(* \(#,##0.00\);_(* "-"??_);_(@_)</c:formatCode>
                <c:ptCount val="9"/>
                <c:pt idx="0">
                  <c:v>0</c:v>
                </c:pt>
                <c:pt idx="1">
                  <c:v>0</c:v>
                </c:pt>
                <c:pt idx="2">
                  <c:v>0</c:v>
                </c:pt>
                <c:pt idx="3">
                  <c:v>7.943036153027716E-2</c:v>
                </c:pt>
                <c:pt idx="4">
                  <c:v>8.8775988361334157E-2</c:v>
                </c:pt>
                <c:pt idx="5">
                  <c:v>0.10504116599383551</c:v>
                </c:pt>
                <c:pt idx="6">
                  <c:v>0.12554820675367484</c:v>
                </c:pt>
                <c:pt idx="7">
                  <c:v>0.13753116978662083</c:v>
                </c:pt>
                <c:pt idx="8">
                  <c:v>0.15880731579653862</c:v>
                </c:pt>
              </c:numCache>
            </c:numRef>
          </c:val>
          <c:extLst xmlns:c16r2="http://schemas.microsoft.com/office/drawing/2015/06/chart">
            <c:ext xmlns:c16="http://schemas.microsoft.com/office/drawing/2014/chart" uri="{C3380CC4-5D6E-409C-BE32-E72D297353CC}">
              <c16:uniqueId val="{0000000B-5341-47B0-B316-F32F9E596942}"/>
            </c:ext>
          </c:extLst>
        </c:ser>
        <c:ser>
          <c:idx val="12"/>
          <c:order val="12"/>
          <c:tx>
            <c:strRef>
              <c:f>'Fanchart '!$AA$28</c:f>
              <c:strCache>
                <c:ptCount val="1"/>
                <c:pt idx="0">
                  <c:v>60-65</c:v>
                </c:pt>
              </c:strCache>
            </c:strRef>
          </c:tx>
          <c:spPr>
            <a:solidFill>
              <a:schemeClr val="accent1">
                <a:lumMod val="75000"/>
              </a:schemeClr>
            </a:solidFill>
            <a:ln>
              <a:solidFill>
                <a:schemeClr val="accent1">
                  <a:lumMod val="75000"/>
                </a:schemeClr>
              </a:solidFill>
            </a:ln>
            <a:effectLst/>
          </c:spPr>
          <c:val>
            <c:numRef>
              <c:f>'Fanchart '!$AD$28:$AL$28</c:f>
              <c:numCache>
                <c:formatCode>_(* #,##0.00_);_(* \(#,##0.00\);_(* "-"??_);_(@_)</c:formatCode>
                <c:ptCount val="9"/>
                <c:pt idx="0">
                  <c:v>0</c:v>
                </c:pt>
                <c:pt idx="1">
                  <c:v>0</c:v>
                </c:pt>
                <c:pt idx="2">
                  <c:v>0</c:v>
                </c:pt>
                <c:pt idx="3">
                  <c:v>8.2097582865830354E-2</c:v>
                </c:pt>
                <c:pt idx="4">
                  <c:v>9.0552361713897689E-2</c:v>
                </c:pt>
                <c:pt idx="5">
                  <c:v>0.10714299928950322</c:v>
                </c:pt>
                <c:pt idx="6">
                  <c:v>0.12806037804070813</c:v>
                </c:pt>
                <c:pt idx="7">
                  <c:v>0.14028311555107065</c:v>
                </c:pt>
                <c:pt idx="8">
                  <c:v>0.16198498905233949</c:v>
                </c:pt>
              </c:numCache>
            </c:numRef>
          </c:val>
          <c:extLst xmlns:c16r2="http://schemas.microsoft.com/office/drawing/2015/06/chart">
            <c:ext xmlns:c16="http://schemas.microsoft.com/office/drawing/2014/chart" uri="{C3380CC4-5D6E-409C-BE32-E72D297353CC}">
              <c16:uniqueId val="{0000000C-5341-47B0-B316-F32F9E596942}"/>
            </c:ext>
          </c:extLst>
        </c:ser>
        <c:ser>
          <c:idx val="13"/>
          <c:order val="13"/>
          <c:tx>
            <c:strRef>
              <c:f>'Fanchart '!$AA$29</c:f>
              <c:strCache>
                <c:ptCount val="1"/>
                <c:pt idx="0">
                  <c:v>65-70</c:v>
                </c:pt>
              </c:strCache>
            </c:strRef>
          </c:tx>
          <c:spPr>
            <a:solidFill>
              <a:schemeClr val="accent1">
                <a:lumMod val="75000"/>
              </a:schemeClr>
            </a:solidFill>
            <a:ln>
              <a:solidFill>
                <a:schemeClr val="accent1">
                  <a:lumMod val="75000"/>
                </a:schemeClr>
              </a:solidFill>
            </a:ln>
            <a:effectLst/>
          </c:spPr>
          <c:val>
            <c:numRef>
              <c:f>'Fanchart '!$AD$29:$AL$29</c:f>
              <c:numCache>
                <c:formatCode>_(* #,##0.00_);_(* \(#,##0.00\);_(* "-"??_);_(@_)</c:formatCode>
                <c:ptCount val="9"/>
                <c:pt idx="0">
                  <c:v>0</c:v>
                </c:pt>
                <c:pt idx="1">
                  <c:v>0</c:v>
                </c:pt>
                <c:pt idx="2">
                  <c:v>0</c:v>
                </c:pt>
                <c:pt idx="3">
                  <c:v>8.651848632988024E-2</c:v>
                </c:pt>
                <c:pt idx="4">
                  <c:v>9.4368306615027819E-2</c:v>
                </c:pt>
                <c:pt idx="5">
                  <c:v>0.11165808618610118</c:v>
                </c:pt>
                <c:pt idx="6">
                  <c:v>0.13345693907315459</c:v>
                </c:pt>
                <c:pt idx="7">
                  <c:v>0.146194751971918</c:v>
                </c:pt>
                <c:pt idx="8">
                  <c:v>0.16881115881019593</c:v>
                </c:pt>
              </c:numCache>
            </c:numRef>
          </c:val>
          <c:extLst xmlns:c16r2="http://schemas.microsoft.com/office/drawing/2015/06/chart">
            <c:ext xmlns:c16="http://schemas.microsoft.com/office/drawing/2014/chart" uri="{C3380CC4-5D6E-409C-BE32-E72D297353CC}">
              <c16:uniqueId val="{0000000D-5341-47B0-B316-F32F9E596942}"/>
            </c:ext>
          </c:extLst>
        </c:ser>
        <c:ser>
          <c:idx val="14"/>
          <c:order val="14"/>
          <c:tx>
            <c:strRef>
              <c:f>'Fanchart '!$AA$30</c:f>
              <c:strCache>
                <c:ptCount val="1"/>
                <c:pt idx="0">
                  <c:v>70-75</c:v>
                </c:pt>
              </c:strCache>
            </c:strRef>
          </c:tx>
          <c:spPr>
            <a:solidFill>
              <a:schemeClr val="accent1">
                <a:lumMod val="60000"/>
                <a:lumOff val="40000"/>
              </a:schemeClr>
            </a:solidFill>
            <a:ln>
              <a:solidFill>
                <a:schemeClr val="accent1">
                  <a:lumMod val="60000"/>
                  <a:lumOff val="40000"/>
                </a:schemeClr>
              </a:solidFill>
            </a:ln>
            <a:effectLst/>
          </c:spPr>
          <c:val>
            <c:numRef>
              <c:f>'Fanchart '!$AD$30:$AL$30</c:f>
              <c:numCache>
                <c:formatCode>_(* #,##0.00_);_(* \(#,##0.00\);_(* "-"??_);_(@_)</c:formatCode>
                <c:ptCount val="9"/>
                <c:pt idx="0">
                  <c:v>0</c:v>
                </c:pt>
                <c:pt idx="1">
                  <c:v>0</c:v>
                </c:pt>
                <c:pt idx="2">
                  <c:v>0</c:v>
                </c:pt>
                <c:pt idx="3">
                  <c:v>9.3367050035465304E-2</c:v>
                </c:pt>
                <c:pt idx="4">
                  <c:v>0.10086070571064987</c:v>
                </c:pt>
                <c:pt idx="5">
                  <c:v>0.11933999639278792</c:v>
                </c:pt>
                <c:pt idx="6">
                  <c:v>0.14263857792652246</c:v>
                </c:pt>
                <c:pt idx="7">
                  <c:v>0.15625273340163126</c:v>
                </c:pt>
                <c:pt idx="8">
                  <c:v>0.18042511538209194</c:v>
                </c:pt>
              </c:numCache>
            </c:numRef>
          </c:val>
          <c:extLst xmlns:c16r2="http://schemas.microsoft.com/office/drawing/2015/06/chart">
            <c:ext xmlns:c16="http://schemas.microsoft.com/office/drawing/2014/chart" uri="{C3380CC4-5D6E-409C-BE32-E72D297353CC}">
              <c16:uniqueId val="{0000000E-5341-47B0-B316-F32F9E596942}"/>
            </c:ext>
          </c:extLst>
        </c:ser>
        <c:ser>
          <c:idx val="15"/>
          <c:order val="15"/>
          <c:tx>
            <c:strRef>
              <c:f>'Fanchart '!$AA$31</c:f>
              <c:strCache>
                <c:ptCount val="1"/>
                <c:pt idx="0">
                  <c:v>75-80</c:v>
                </c:pt>
              </c:strCache>
            </c:strRef>
          </c:tx>
          <c:spPr>
            <a:solidFill>
              <a:schemeClr val="accent1">
                <a:lumMod val="60000"/>
                <a:lumOff val="40000"/>
              </a:schemeClr>
            </a:solidFill>
            <a:ln>
              <a:solidFill>
                <a:schemeClr val="accent1">
                  <a:lumMod val="60000"/>
                  <a:lumOff val="40000"/>
                </a:schemeClr>
              </a:solidFill>
            </a:ln>
            <a:effectLst/>
          </c:spPr>
          <c:val>
            <c:numRef>
              <c:f>'Fanchart '!$AD$31:$AL$31</c:f>
              <c:numCache>
                <c:formatCode>_(* #,##0.00_);_(* \(#,##0.00\);_(* "-"??_);_(@_)</c:formatCode>
                <c:ptCount val="9"/>
                <c:pt idx="0">
                  <c:v>0</c:v>
                </c:pt>
                <c:pt idx="1">
                  <c:v>0</c:v>
                </c:pt>
                <c:pt idx="2">
                  <c:v>0</c:v>
                </c:pt>
                <c:pt idx="3">
                  <c:v>0.10396863780582333</c:v>
                </c:pt>
                <c:pt idx="4">
                  <c:v>0.11136141125560961</c:v>
                </c:pt>
                <c:pt idx="5">
                  <c:v>0.13176459874935098</c:v>
                </c:pt>
                <c:pt idx="6">
                  <c:v>0.15748881812269122</c:v>
                </c:pt>
                <c:pt idx="7">
                  <c:v>0.17252035648125119</c:v>
                </c:pt>
                <c:pt idx="8">
                  <c:v>0.19920934851028349</c:v>
                </c:pt>
              </c:numCache>
            </c:numRef>
          </c:val>
          <c:extLst xmlns:c16r2="http://schemas.microsoft.com/office/drawing/2015/06/chart">
            <c:ext xmlns:c16="http://schemas.microsoft.com/office/drawing/2014/chart" uri="{C3380CC4-5D6E-409C-BE32-E72D297353CC}">
              <c16:uniqueId val="{0000000F-5341-47B0-B316-F32F9E596942}"/>
            </c:ext>
          </c:extLst>
        </c:ser>
        <c:ser>
          <c:idx val="16"/>
          <c:order val="16"/>
          <c:tx>
            <c:strRef>
              <c:f>'Fanchart '!$AA$32</c:f>
              <c:strCache>
                <c:ptCount val="1"/>
                <c:pt idx="0">
                  <c:v>80-85</c:v>
                </c:pt>
              </c:strCache>
            </c:strRef>
          </c:tx>
          <c:spPr>
            <a:solidFill>
              <a:schemeClr val="accent1">
                <a:lumMod val="20000"/>
                <a:lumOff val="80000"/>
              </a:schemeClr>
            </a:solidFill>
            <a:ln>
              <a:solidFill>
                <a:schemeClr val="accent1">
                  <a:lumMod val="20000"/>
                  <a:lumOff val="80000"/>
                </a:schemeClr>
              </a:solidFill>
            </a:ln>
            <a:effectLst/>
          </c:spPr>
          <c:val>
            <c:numRef>
              <c:f>'Fanchart '!$AD$32:$AL$32</c:f>
              <c:numCache>
                <c:formatCode>_(* #,##0.00_);_(* \(#,##0.00\);_(* "-"??_);_(@_)</c:formatCode>
                <c:ptCount val="9"/>
                <c:pt idx="0">
                  <c:v>0</c:v>
                </c:pt>
                <c:pt idx="1">
                  <c:v>0</c:v>
                </c:pt>
                <c:pt idx="2">
                  <c:v>0</c:v>
                </c:pt>
                <c:pt idx="3">
                  <c:v>0.12118814522480559</c:v>
                </c:pt>
                <c:pt idx="4">
                  <c:v>0.12880903367120844</c:v>
                </c:pt>
                <c:pt idx="5">
                  <c:v>0.15240890399656593</c:v>
                </c:pt>
                <c:pt idx="6">
                  <c:v>0.18216348237399504</c:v>
                </c:pt>
                <c:pt idx="7">
                  <c:v>0.19955009689986447</c:v>
                </c:pt>
                <c:pt idx="8">
                  <c:v>0.23042060432390343</c:v>
                </c:pt>
              </c:numCache>
            </c:numRef>
          </c:val>
          <c:extLst xmlns:c16r2="http://schemas.microsoft.com/office/drawing/2015/06/chart">
            <c:ext xmlns:c16="http://schemas.microsoft.com/office/drawing/2014/chart" uri="{C3380CC4-5D6E-409C-BE32-E72D297353CC}">
              <c16:uniqueId val="{00000010-5341-47B0-B316-F32F9E596942}"/>
            </c:ext>
          </c:extLst>
        </c:ser>
        <c:ser>
          <c:idx val="17"/>
          <c:order val="17"/>
          <c:tx>
            <c:strRef>
              <c:f>'Fanchart '!$AA$33</c:f>
              <c:strCache>
                <c:ptCount val="1"/>
                <c:pt idx="0">
                  <c:v>85-90</c:v>
                </c:pt>
              </c:strCache>
            </c:strRef>
          </c:tx>
          <c:spPr>
            <a:solidFill>
              <a:schemeClr val="accent1">
                <a:lumMod val="20000"/>
                <a:lumOff val="80000"/>
              </a:schemeClr>
            </a:solidFill>
            <a:ln>
              <a:solidFill>
                <a:schemeClr val="accent1">
                  <a:lumMod val="20000"/>
                  <a:lumOff val="80000"/>
                </a:schemeClr>
              </a:solidFill>
            </a:ln>
            <a:effectLst/>
          </c:spPr>
          <c:val>
            <c:numRef>
              <c:f>'Fanchart '!$AD$33:$AL$33</c:f>
              <c:numCache>
                <c:formatCode>_(* #,##0.00_);_(* \(#,##0.00\);_(* "-"??_);_(@_)</c:formatCode>
                <c:ptCount val="9"/>
                <c:pt idx="0">
                  <c:v>0</c:v>
                </c:pt>
                <c:pt idx="1">
                  <c:v>0</c:v>
                </c:pt>
                <c:pt idx="2">
                  <c:v>0</c:v>
                </c:pt>
                <c:pt idx="3">
                  <c:v>0.15248235910160979</c:v>
                </c:pt>
                <c:pt idx="4">
                  <c:v>0.16090258119702217</c:v>
                </c:pt>
                <c:pt idx="5">
                  <c:v>0.19038250153365066</c:v>
                </c:pt>
                <c:pt idx="6">
                  <c:v>0.2275506125496678</c:v>
                </c:pt>
                <c:pt idx="7">
                  <c:v>0.24926920693514187</c:v>
                </c:pt>
                <c:pt idx="8">
                  <c:v>0.2878312874493778</c:v>
                </c:pt>
              </c:numCache>
            </c:numRef>
          </c:val>
          <c:extLst xmlns:c16r2="http://schemas.microsoft.com/office/drawing/2015/06/chart">
            <c:ext xmlns:c16="http://schemas.microsoft.com/office/drawing/2014/chart" uri="{C3380CC4-5D6E-409C-BE32-E72D297353CC}">
              <c16:uniqueId val="{00000011-5341-47B0-B316-F32F9E596942}"/>
            </c:ext>
          </c:extLst>
        </c:ser>
        <c:ser>
          <c:idx val="18"/>
          <c:order val="18"/>
          <c:tx>
            <c:strRef>
              <c:f>'Fanchart '!$AA$34</c:f>
              <c:strCache>
                <c:ptCount val="1"/>
                <c:pt idx="0">
                  <c:v>90-95</c:v>
                </c:pt>
              </c:strCache>
            </c:strRef>
          </c:tx>
          <c:spPr>
            <a:solidFill>
              <a:srgbClr val="F5F9FD"/>
            </a:solidFill>
            <a:ln>
              <a:solidFill>
                <a:srgbClr val="F5F9FD"/>
              </a:solidFill>
            </a:ln>
            <a:effectLst/>
          </c:spPr>
          <c:val>
            <c:numRef>
              <c:f>'Fanchart '!$AD$34:$AL$34</c:f>
              <c:numCache>
                <c:formatCode>_(* #,##0.00_);_(* \(#,##0.00\);_(* "-"??_);_(@_)</c:formatCode>
                <c:ptCount val="9"/>
                <c:pt idx="0">
                  <c:v>0</c:v>
                </c:pt>
                <c:pt idx="1">
                  <c:v>0</c:v>
                </c:pt>
                <c:pt idx="2">
                  <c:v>0</c:v>
                </c:pt>
                <c:pt idx="3">
                  <c:v>0.22600182606741459</c:v>
                </c:pt>
                <c:pt idx="4">
                  <c:v>0.23674719836648972</c:v>
                </c:pt>
                <c:pt idx="5">
                  <c:v>0.28012306279229104</c:v>
                </c:pt>
                <c:pt idx="6">
                  <c:v>0.33481109878372273</c:v>
                </c:pt>
                <c:pt idx="7">
                  <c:v>0.3667671826138692</c:v>
                </c:pt>
                <c:pt idx="8">
                  <c:v>0.42350626322407869</c:v>
                </c:pt>
              </c:numCache>
            </c:numRef>
          </c:val>
          <c:extLst xmlns:c16r2="http://schemas.microsoft.com/office/drawing/2015/06/chart">
            <c:ext xmlns:c16="http://schemas.microsoft.com/office/drawing/2014/chart" uri="{C3380CC4-5D6E-409C-BE32-E72D297353CC}">
              <c16:uniqueId val="{00000012-5341-47B0-B316-F32F9E596942}"/>
            </c:ext>
          </c:extLst>
        </c:ser>
        <c:dLbls>
          <c:showLegendKey val="0"/>
          <c:showVal val="0"/>
          <c:showCatName val="0"/>
          <c:showSerName val="0"/>
          <c:showPercent val="0"/>
          <c:showBubbleSize val="0"/>
        </c:dLbls>
        <c:axId val="168044800"/>
        <c:axId val="168050688"/>
      </c:areaChart>
      <c:lineChart>
        <c:grouping val="standard"/>
        <c:varyColors val="0"/>
        <c:ser>
          <c:idx val="19"/>
          <c:order val="19"/>
          <c:tx>
            <c:strRef>
              <c:f>'Fanchart '!$AA$35</c:f>
              <c:strCache>
                <c:ptCount val="1"/>
                <c:pt idx="0">
                  <c:v>Escenario base</c:v>
                </c:pt>
              </c:strCache>
            </c:strRef>
          </c:tx>
          <c:spPr>
            <a:ln w="28575" cap="rnd">
              <a:solidFill>
                <a:schemeClr val="tx1"/>
              </a:solidFill>
              <a:round/>
            </a:ln>
            <a:effectLst/>
          </c:spPr>
          <c:marker>
            <c:symbol val="none"/>
          </c:marker>
          <c:val>
            <c:numRef>
              <c:f>'Fanchart '!$AD$35:$AL$35</c:f>
              <c:numCache>
                <c:formatCode>_-* #,##0.0_-;\-* #,##0.0_-;_-* "-"??_-;_-@_-</c:formatCode>
                <c:ptCount val="9"/>
                <c:pt idx="0">
                  <c:v>3.3220982448518122</c:v>
                </c:pt>
                <c:pt idx="1">
                  <c:v>3.8668564018079277</c:v>
                </c:pt>
                <c:pt idx="2">
                  <c:v>-1.5193281207126708</c:v>
                </c:pt>
                <c:pt idx="3" formatCode="_(* #,##0.00_);_(* \(#,##0.00\);_(* &quot;-&quot;??_);_(@_)">
                  <c:v>5</c:v>
                </c:pt>
                <c:pt idx="4" formatCode="_(* #,##0.00_);_(* \(#,##0.00\);_(* &quot;-&quot;??_);_(@_)">
                  <c:v>4.5</c:v>
                </c:pt>
                <c:pt idx="5" formatCode="_(* #,##0.00_);_(* \(#,##0.00\);_(* &quot;-&quot;??_);_(@_)">
                  <c:v>3.7</c:v>
                </c:pt>
                <c:pt idx="6" formatCode="_(* #,##0.00_);_(* \(#,##0.00\);_(* &quot;-&quot;??_);_(@_)">
                  <c:v>3.6</c:v>
                </c:pt>
                <c:pt idx="7" formatCode="_(* #,##0.00_);_(* \(#,##0.00\);_(* &quot;-&quot;??_);_(@_)">
                  <c:v>3.6</c:v>
                </c:pt>
                <c:pt idx="8" formatCode="_(* #,##0.00_);_(* \(#,##0.00\);_(* &quot;-&quot;??_);_(@_)">
                  <c:v>3.7</c:v>
                </c:pt>
              </c:numCache>
            </c:numRef>
          </c:val>
          <c:smooth val="0"/>
          <c:extLst xmlns:c16r2="http://schemas.microsoft.com/office/drawing/2015/06/chart">
            <c:ext xmlns:c16="http://schemas.microsoft.com/office/drawing/2014/chart" uri="{C3380CC4-5D6E-409C-BE32-E72D297353CC}">
              <c16:uniqueId val="{00000013-5341-47B0-B316-F32F9E596942}"/>
            </c:ext>
          </c:extLst>
        </c:ser>
        <c:dLbls>
          <c:showLegendKey val="0"/>
          <c:showVal val="0"/>
          <c:showCatName val="0"/>
          <c:showSerName val="0"/>
          <c:showPercent val="0"/>
          <c:showBubbleSize val="0"/>
        </c:dLbls>
        <c:marker val="1"/>
        <c:smooth val="0"/>
        <c:axId val="168044800"/>
        <c:axId val="168050688"/>
      </c:lineChart>
      <c:catAx>
        <c:axId val="16804480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8050688"/>
        <c:crosses val="autoZero"/>
        <c:auto val="1"/>
        <c:lblAlgn val="ctr"/>
        <c:lblOffset val="100"/>
        <c:noMultiLvlLbl val="0"/>
      </c:catAx>
      <c:valAx>
        <c:axId val="168050688"/>
        <c:scaling>
          <c:orientation val="minMax"/>
          <c:max val="8"/>
        </c:scaling>
        <c:delete val="0"/>
        <c:axPos val="l"/>
        <c:numFmt formatCode="_(* #,##0.00_);_(* \(#,##0.00\);_(* &quot;-&quot;??_);_(@_)"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8044800"/>
        <c:crosses val="autoZero"/>
        <c:crossBetween val="midCat"/>
      </c:valAx>
      <c:spPr>
        <a:noFill/>
        <a:ln>
          <a:noFill/>
        </a:ln>
        <a:effectLst/>
      </c:spPr>
    </c:plotArea>
    <c:legend>
      <c:legendPos val="b"/>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egendEntry>
        <c:idx val="18"/>
        <c:delete val="1"/>
      </c:legendEntry>
      <c:layout>
        <c:manualLayout>
          <c:xMode val="edge"/>
          <c:yMode val="edge"/>
          <c:x val="0.38555319124212362"/>
          <c:y val="0.8276734669103829"/>
          <c:w val="0.2068672889422454"/>
          <c:h val="8.338410755263595E-2"/>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s-E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n>
            <a:noFill/>
          </a:ln>
        </a:defRPr>
      </a:pPr>
      <a:endParaRPr lang="es-E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576079031787698E-2"/>
          <c:y val="2.9583893737701851E-2"/>
          <c:w val="0.86712762467191606"/>
          <c:h val="0.76571994440360669"/>
        </c:manualLayout>
      </c:layout>
      <c:bubbleChart>
        <c:varyColors val="0"/>
        <c:ser>
          <c:idx val="0"/>
          <c:order val="0"/>
          <c:tx>
            <c:strRef>
              <c:f>Hoja1!$B$1</c:f>
              <c:strCache>
                <c:ptCount val="1"/>
                <c:pt idx="0">
                  <c:v>Variación Interanual</c:v>
                </c:pt>
              </c:strCache>
            </c:strRef>
          </c:tx>
          <c:spPr>
            <a:solidFill>
              <a:srgbClr val="0070C0"/>
            </a:solidFill>
            <a:ln>
              <a:noFill/>
            </a:ln>
            <a:effectLst>
              <a:glow rad="63500">
                <a:schemeClr val="accent2">
                  <a:satMod val="175000"/>
                  <a:alpha val="40000"/>
                </a:schemeClr>
              </a:glow>
            </a:effectLst>
          </c:spPr>
          <c:invertIfNegative val="0"/>
          <c:dLbls>
            <c:spPr>
              <a:noFill/>
              <a:ln>
                <a:noFill/>
              </a:ln>
              <a:effectLst/>
            </c:spPr>
            <c:txPr>
              <a:bodyPr rot="0" spcFirstLastPara="1" vertOverflow="ellipsis" vert="horz" wrap="square" anchor="ctr" anchorCtr="0"/>
              <a:lstStyle/>
              <a:p>
                <a:pPr algn="ct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Hoja1!$A$2:$A$6</c:f>
              <c:numCache>
                <c:formatCode>General</c:formatCode>
                <c:ptCount val="5"/>
                <c:pt idx="0">
                  <c:v>2015</c:v>
                </c:pt>
                <c:pt idx="1">
                  <c:v>2016</c:v>
                </c:pt>
                <c:pt idx="2">
                  <c:v>2017</c:v>
                </c:pt>
                <c:pt idx="3">
                  <c:v>2018</c:v>
                </c:pt>
                <c:pt idx="4">
                  <c:v>2019</c:v>
                </c:pt>
              </c:numCache>
            </c:numRef>
          </c:xVal>
          <c:yVal>
            <c:numRef>
              <c:f>Hoja1!$B$2:$B$6</c:f>
              <c:numCache>
                <c:formatCode>0.0%</c:formatCode>
                <c:ptCount val="5"/>
                <c:pt idx="0">
                  <c:v>1.2909630908197967E-2</c:v>
                </c:pt>
                <c:pt idx="1">
                  <c:v>8.8048669447153394E-2</c:v>
                </c:pt>
                <c:pt idx="2">
                  <c:v>4.7541789066846363E-2</c:v>
                </c:pt>
                <c:pt idx="3">
                  <c:v>3.7990172845810299E-2</c:v>
                </c:pt>
                <c:pt idx="4">
                  <c:v>6.3872322224258316E-2</c:v>
                </c:pt>
              </c:numCache>
            </c:numRef>
          </c:yVal>
          <c:bubbleSize>
            <c:numRef>
              <c:f>Hoja1!$C$2:$C$6</c:f>
              <c:numCache>
                <c:formatCode>0.0%</c:formatCode>
                <c:ptCount val="5"/>
                <c:pt idx="0">
                  <c:v>4.6622565567002006E-2</c:v>
                </c:pt>
                <c:pt idx="1">
                  <c:v>4.6622565567002006E-2</c:v>
                </c:pt>
                <c:pt idx="2">
                  <c:v>4.6622565567002006E-2</c:v>
                </c:pt>
                <c:pt idx="3">
                  <c:v>4.6622565567002006E-2</c:v>
                </c:pt>
                <c:pt idx="4">
                  <c:v>4.6622565567002006E-2</c:v>
                </c:pt>
              </c:numCache>
            </c:numRef>
          </c:bubbleSize>
          <c:bubble3D val="1"/>
          <c:extLst xmlns:c16r2="http://schemas.microsoft.com/office/drawing/2015/06/chart">
            <c:ext xmlns:c16="http://schemas.microsoft.com/office/drawing/2014/chart" uri="{C3380CC4-5D6E-409C-BE32-E72D297353CC}">
              <c16:uniqueId val="{00000000-D239-426F-8AAC-075B00412507}"/>
            </c:ext>
          </c:extLst>
        </c:ser>
        <c:dLbls>
          <c:dLblPos val="ctr"/>
          <c:showLegendKey val="0"/>
          <c:showVal val="1"/>
          <c:showCatName val="0"/>
          <c:showSerName val="0"/>
          <c:showPercent val="0"/>
          <c:showBubbleSize val="0"/>
        </c:dLbls>
        <c:bubbleScale val="100"/>
        <c:showNegBubbles val="0"/>
        <c:axId val="43871616"/>
        <c:axId val="43890944"/>
      </c:bubbleChart>
      <c:valAx>
        <c:axId val="43871616"/>
        <c:scaling>
          <c:orientation val="minMax"/>
          <c:max val="2020"/>
          <c:min val="2014"/>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low"/>
        <c:spPr>
          <a:noFill/>
          <a:ln>
            <a:solidFill>
              <a:schemeClr val="dk1">
                <a:lumMod val="25000"/>
                <a:lumOff val="75000"/>
              </a:schemeClr>
            </a:solidFill>
          </a:ln>
          <a:effectLst/>
        </c:spPr>
        <c:txPr>
          <a:bodyPr rot="-60000000" spcFirstLastPara="1" vertOverflow="ellipsis" vert="horz" wrap="square" anchor="ctr" anchorCtr="1"/>
          <a:lstStyle/>
          <a:p>
            <a:pPr>
              <a:defRPr sz="900" b="1" i="0" u="none" strike="noStrike" kern="1200" cap="none" spc="0" normalizeH="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ES"/>
          </a:p>
        </c:txPr>
        <c:crossAx val="43890944"/>
        <c:crosses val="autoZero"/>
        <c:crossBetween val="midCat"/>
        <c:majorUnit val="1"/>
        <c:minorUnit val="1"/>
      </c:valAx>
      <c:valAx>
        <c:axId val="43890944"/>
        <c:scaling>
          <c:orientation val="minMax"/>
          <c:max val="0.12000000000000001"/>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solidFill>
              <a:schemeClr val="dk1">
                <a:lumMod val="25000"/>
                <a:lumOff val="75000"/>
              </a:schemeClr>
            </a:solid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43871616"/>
        <c:crosses val="autoZero"/>
        <c:crossBetween val="midCat"/>
      </c:valAx>
      <c:spPr>
        <a:pattFill prst="ltDnDiag">
          <a:fgClr>
            <a:srgbClr val="000000">
              <a:alpha val="0"/>
            </a:srgbClr>
          </a:fgClr>
          <a:bgClr>
            <a:srgbClr val="FFFFFF"/>
          </a:bgClr>
        </a:patt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47234475271742"/>
          <c:y val="4.7296564291462666E-2"/>
          <c:w val="0.87903725385112197"/>
          <c:h val="0.78311075028273425"/>
        </c:manualLayout>
      </c:layout>
      <c:barChart>
        <c:barDir val="col"/>
        <c:grouping val="stacked"/>
        <c:varyColors val="0"/>
        <c:ser>
          <c:idx val="0"/>
          <c:order val="0"/>
          <c:tx>
            <c:strRef>
              <c:f>Hoja1!$B$1</c:f>
              <c:strCache>
                <c:ptCount val="1"/>
                <c:pt idx="0">
                  <c:v>Tributarios</c:v>
                </c:pt>
              </c:strCache>
            </c:strRef>
          </c:tx>
          <c:spPr>
            <a:solidFill>
              <a:schemeClr val="accent1"/>
            </a:solidFill>
            <a:ln>
              <a:noFill/>
            </a:ln>
            <a:effectLst>
              <a:glow rad="63500">
                <a:schemeClr val="accent4">
                  <a:satMod val="175000"/>
                  <a:alpha val="40000"/>
                </a:schemeClr>
              </a:glow>
            </a:effectLst>
            <a:scene3d>
              <a:camera prst="orthographicFront"/>
              <a:lightRig rig="threePt" dir="t"/>
            </a:scene3d>
            <a:sp3d>
              <a:bevelT/>
            </a:sp3d>
          </c:spPr>
          <c:invertIfNegative val="0"/>
          <c:dPt>
            <c:idx val="0"/>
            <c:invertIfNegative val="0"/>
            <c:bubble3D val="0"/>
            <c:spPr>
              <a:solidFill>
                <a:srgbClr val="0070C0"/>
              </a:solidFill>
              <a:ln>
                <a:noFill/>
              </a:ln>
              <a:effectLst>
                <a:glow rad="63500">
                  <a:schemeClr val="accent4">
                    <a:satMod val="175000"/>
                    <a:alpha val="40000"/>
                  </a:schemeClr>
                </a:glow>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9C62-4E8D-9B81-90E43F0D67CF}"/>
              </c:ext>
            </c:extLst>
          </c:dPt>
          <c:dPt>
            <c:idx val="1"/>
            <c:invertIfNegative val="0"/>
            <c:bubble3D val="0"/>
            <c:spPr>
              <a:solidFill>
                <a:srgbClr val="0070C0"/>
              </a:solidFill>
              <a:ln>
                <a:noFill/>
              </a:ln>
              <a:effectLst>
                <a:glow rad="63500">
                  <a:schemeClr val="accent4">
                    <a:satMod val="175000"/>
                    <a:alpha val="40000"/>
                  </a:schemeClr>
                </a:glow>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9C62-4E8D-9B81-90E43F0D67CF}"/>
              </c:ext>
            </c:extLst>
          </c:dPt>
          <c:dLbls>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Hoja1!$A$2:$A$3</c:f>
              <c:strCache>
                <c:ptCount val="2"/>
                <c:pt idx="0">
                  <c:v>Presupuesto</c:v>
                </c:pt>
                <c:pt idx="1">
                  <c:v>Observado</c:v>
                </c:pt>
              </c:strCache>
            </c:strRef>
          </c:cat>
          <c:val>
            <c:numRef>
              <c:f>Hoja1!$B$2:$B$3</c:f>
              <c:numCache>
                <c:formatCode>General</c:formatCode>
                <c:ptCount val="2"/>
                <c:pt idx="0">
                  <c:v>64027.700000020013</c:v>
                </c:pt>
                <c:pt idx="1">
                  <c:v>62000</c:v>
                </c:pt>
              </c:numCache>
            </c:numRef>
          </c:val>
          <c:extLst xmlns:c16r2="http://schemas.microsoft.com/office/drawing/2015/06/chart">
            <c:ext xmlns:c16="http://schemas.microsoft.com/office/drawing/2014/chart" uri="{C3380CC4-5D6E-409C-BE32-E72D297353CC}">
              <c16:uniqueId val="{00000004-9C62-4E8D-9B81-90E43F0D67CF}"/>
            </c:ext>
          </c:extLst>
        </c:ser>
        <c:ser>
          <c:idx val="1"/>
          <c:order val="1"/>
          <c:tx>
            <c:strRef>
              <c:f>Hoja1!$C$1</c:f>
              <c:strCache>
                <c:ptCount val="1"/>
                <c:pt idx="0">
                  <c:v>Provisión</c:v>
                </c:pt>
              </c:strCache>
            </c:strRef>
          </c:tx>
          <c:spPr>
            <a:solidFill>
              <a:srgbClr val="FF0000"/>
            </a:solidFill>
            <a:ln>
              <a:noFill/>
            </a:ln>
            <a:effectLst>
              <a:glow rad="63500">
                <a:schemeClr val="accent4">
                  <a:satMod val="175000"/>
                  <a:alpha val="40000"/>
                </a:schemeClr>
              </a:glo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Hoja1!$A$2:$A$3</c:f>
              <c:strCache>
                <c:ptCount val="2"/>
                <c:pt idx="0">
                  <c:v>Presupuesto</c:v>
                </c:pt>
                <c:pt idx="1">
                  <c:v>Observado</c:v>
                </c:pt>
              </c:strCache>
            </c:strRef>
          </c:cat>
          <c:val>
            <c:numRef>
              <c:f>Hoja1!$C$2:$C$3</c:f>
              <c:numCache>
                <c:formatCode>General</c:formatCode>
                <c:ptCount val="2"/>
                <c:pt idx="1">
                  <c:v>593.6</c:v>
                </c:pt>
              </c:numCache>
            </c:numRef>
          </c:val>
          <c:extLst xmlns:c16r2="http://schemas.microsoft.com/office/drawing/2015/06/chart">
            <c:ext xmlns:c16="http://schemas.microsoft.com/office/drawing/2014/chart" uri="{C3380CC4-5D6E-409C-BE32-E72D297353CC}">
              <c16:uniqueId val="{00000005-9C62-4E8D-9B81-90E43F0D67CF}"/>
            </c:ext>
          </c:extLst>
        </c:ser>
        <c:dLbls>
          <c:showLegendKey val="0"/>
          <c:showVal val="0"/>
          <c:showCatName val="0"/>
          <c:showSerName val="0"/>
          <c:showPercent val="0"/>
          <c:showBubbleSize val="0"/>
        </c:dLbls>
        <c:gapWidth val="30"/>
        <c:overlap val="100"/>
        <c:axId val="163715328"/>
        <c:axId val="163721216"/>
      </c:barChart>
      <c:catAx>
        <c:axId val="1637153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3721216"/>
        <c:crosses val="autoZero"/>
        <c:auto val="1"/>
        <c:lblAlgn val="ctr"/>
        <c:lblOffset val="100"/>
        <c:noMultiLvlLbl val="0"/>
      </c:catAx>
      <c:valAx>
        <c:axId val="163721216"/>
        <c:scaling>
          <c:orientation val="minMax"/>
          <c:min val="5900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3715328"/>
        <c:crosses val="autoZero"/>
        <c:crossBetween val="between"/>
      </c:valAx>
      <c:spPr>
        <a:pattFill prst="ltDnDiag">
          <a:fgClr>
            <a:srgbClr val="000000">
              <a:alpha val="0"/>
            </a:srgbClr>
          </a:fgClr>
          <a:bgClr>
            <a:srgbClr val="FFFFFF"/>
          </a:bgClr>
        </a:pattFill>
        <a:ln w="25400">
          <a:noFill/>
        </a:ln>
        <a:effectLst/>
      </c:spPr>
    </c:plotArea>
    <c:legend>
      <c:legendPos val="b"/>
      <c:layout>
        <c:manualLayout>
          <c:xMode val="edge"/>
          <c:yMode val="edge"/>
          <c:x val="0.55077379725440079"/>
          <c:y val="0.19740388100023057"/>
          <c:w val="0.41439694383751768"/>
          <c:h val="0.11085097252577268"/>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2">
    <c:autoUpdate val="0"/>
  </c:externalData>
  <c:userShapes r:id="rId3"/>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60185392580848"/>
          <c:y val="4.2091905999434798E-2"/>
          <c:w val="0.84835624360514261"/>
          <c:h val="0.75267555841234146"/>
        </c:manualLayout>
      </c:layout>
      <c:lineChart>
        <c:grouping val="standard"/>
        <c:varyColors val="0"/>
        <c:ser>
          <c:idx val="0"/>
          <c:order val="0"/>
          <c:tx>
            <c:strRef>
              <c:f>Hoja1!$B$1</c:f>
              <c:strCache>
                <c:ptCount val="1"/>
                <c:pt idx="0">
                  <c:v>Var. Imp</c:v>
                </c:pt>
              </c:strCache>
            </c:strRef>
          </c:tx>
          <c:spPr>
            <a:ln w="22225" cap="rnd">
              <a:solidFill>
                <a:schemeClr val="tx1"/>
              </a:solidFill>
              <a:prstDash val="sysDot"/>
              <a:round/>
            </a:ln>
            <a:effectLst>
              <a:glow rad="38100">
                <a:schemeClr val="accent6">
                  <a:satMod val="175000"/>
                  <a:alpha val="40000"/>
                </a:schemeClr>
              </a:glow>
            </a:effectLst>
          </c:spPr>
          <c:marker>
            <c:symbol val="circle"/>
            <c:size val="5"/>
            <c:spPr>
              <a:solidFill>
                <a:schemeClr val="lt1"/>
              </a:solidFill>
              <a:ln w="15875">
                <a:solidFill>
                  <a:schemeClr val="accent1"/>
                </a:solidFill>
                <a:round/>
              </a:ln>
              <a:effectLst>
                <a:glow rad="38100">
                  <a:schemeClr val="accent6">
                    <a:satMod val="175000"/>
                    <a:alpha val="40000"/>
                  </a:schemeClr>
                </a:glow>
              </a:effectLst>
            </c:spPr>
          </c:marker>
          <c:dLbls>
            <c:dLbl>
              <c:idx val="1"/>
              <c:layout>
                <c:manualLayout>
                  <c:x val="-6.3433227562972636E-2"/>
                  <c:y val="-6.68858363507481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237-4B50-9961-1C3BC1F66A74}"/>
                </c:ext>
              </c:extLst>
            </c:dLbl>
            <c:dLbl>
              <c:idx val="2"/>
              <c:layout>
                <c:manualLayout>
                  <c:x val="-9.0796411642574529E-2"/>
                  <c:y val="-8.63505565453953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237-4B50-9961-1C3BC1F66A74}"/>
                </c:ext>
              </c:extLst>
            </c:dLbl>
            <c:dLbl>
              <c:idx val="3"/>
              <c:layout>
                <c:manualLayout>
                  <c:x val="-0.25995064049829592"/>
                  <c:y val="5.96348449144586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237-4B50-9961-1C3BC1F66A74}"/>
                </c:ext>
              </c:extLst>
            </c:dLbl>
            <c:dLbl>
              <c:idx val="4"/>
              <c:layout>
                <c:manualLayout>
                  <c:x val="-0.27878342540200013"/>
                  <c:y val="2.60344464241239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237-4B50-9961-1C3BC1F66A74}"/>
                </c:ext>
              </c:extLst>
            </c:dLbl>
            <c:dLbl>
              <c:idx val="5"/>
              <c:layout>
                <c:manualLayout>
                  <c:x val="-2.8557118634023625E-2"/>
                  <c:y val="5.96347254622728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237-4B50-9961-1C3BC1F66A74}"/>
                </c:ext>
              </c:extLst>
            </c:dLbl>
            <c:dLbl>
              <c:idx val="6"/>
              <c:layout>
                <c:manualLayout>
                  <c:x val="0"/>
                  <c:y val="7.465242953005245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237-4B50-9961-1C3BC1F66A74}"/>
                </c:ext>
              </c:extLst>
            </c:dLbl>
            <c:numFmt formatCode="0.0%" sourceLinked="0"/>
            <c:spPr>
              <a:noFill/>
              <a:ln>
                <a:noFill/>
              </a:ln>
              <a:effectLst/>
            </c:spPr>
            <c:txPr>
              <a:bodyPr rot="0" spcFirstLastPara="1" vertOverflow="ellipsis" vert="horz" wrap="square" anchor="ctr" anchorCtr="1"/>
              <a:lstStyle/>
              <a:p>
                <a:pPr>
                  <a:defRPr sz="6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Ene</c:v>
                </c:pt>
                <c:pt idx="1">
                  <c:v>Feb</c:v>
                </c:pt>
                <c:pt idx="2">
                  <c:v>Mar</c:v>
                </c:pt>
                <c:pt idx="3">
                  <c:v>Abr</c:v>
                </c:pt>
                <c:pt idx="4">
                  <c:v>May</c:v>
                </c:pt>
                <c:pt idx="5">
                  <c:v>Jun</c:v>
                </c:pt>
              </c:strCache>
            </c:strRef>
          </c:cat>
          <c:val>
            <c:numRef>
              <c:f>Hoja1!$B$2:$B$7</c:f>
              <c:numCache>
                <c:formatCode>#,##0.000</c:formatCode>
                <c:ptCount val="6"/>
                <c:pt idx="0">
                  <c:v>5.1166451982252781E-2</c:v>
                </c:pt>
                <c:pt idx="1">
                  <c:v>5.649674204676125E-2</c:v>
                </c:pt>
                <c:pt idx="2">
                  <c:v>8.0541642546116954E-4</c:v>
                </c:pt>
                <c:pt idx="3">
                  <c:v>-4.0120210368144282E-2</c:v>
                </c:pt>
                <c:pt idx="4">
                  <c:v>-8.6918762971576635E-2</c:v>
                </c:pt>
                <c:pt idx="5">
                  <c:v>-9.5348319057285691E-2</c:v>
                </c:pt>
              </c:numCache>
            </c:numRef>
          </c:val>
          <c:smooth val="1"/>
          <c:extLst xmlns:c16r2="http://schemas.microsoft.com/office/drawing/2015/06/chart">
            <c:ext xmlns:c16="http://schemas.microsoft.com/office/drawing/2014/chart" uri="{C3380CC4-5D6E-409C-BE32-E72D297353CC}">
              <c16:uniqueId val="{00000006-4237-4B50-9961-1C3BC1F66A74}"/>
            </c:ext>
          </c:extLst>
        </c:ser>
        <c:ser>
          <c:idx val="1"/>
          <c:order val="1"/>
          <c:tx>
            <c:strRef>
              <c:f>Hoja1!$C$1</c:f>
              <c:strCache>
                <c:ptCount val="1"/>
                <c:pt idx="0">
                  <c:v>Var. Contenedores</c:v>
                </c:pt>
              </c:strCache>
            </c:strRef>
          </c:tx>
          <c:spPr>
            <a:ln w="15875" cap="rnd">
              <a:solidFill>
                <a:srgbClr val="FF0000"/>
              </a:solidFill>
              <a:prstDash val="sysDash"/>
              <a:round/>
            </a:ln>
            <a:effectLst/>
          </c:spPr>
          <c:marker>
            <c:symbol val="circle"/>
            <c:size val="3"/>
            <c:spPr>
              <a:solidFill>
                <a:schemeClr val="lt1"/>
              </a:solidFill>
              <a:ln w="15875">
                <a:solidFill>
                  <a:srgbClr val="FF0000"/>
                </a:solidFill>
                <a:prstDash val="solid"/>
                <a:round/>
              </a:ln>
              <a:effectLst/>
            </c:spPr>
          </c:marker>
          <c:dLbls>
            <c:dLbl>
              <c:idx val="0"/>
              <c:layout>
                <c:manualLayout>
                  <c:x val="-0.11369019422074846"/>
                  <c:y val="0.1265206812652068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237-4B50-9961-1C3BC1F66A74}"/>
                </c:ext>
              </c:extLst>
            </c:dLbl>
            <c:dLbl>
              <c:idx val="1"/>
              <c:layout>
                <c:manualLayout>
                  <c:x val="-2.8422548555187159E-2"/>
                  <c:y val="-4.86618004866180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237-4B50-9961-1C3BC1F66A74}"/>
                </c:ext>
              </c:extLst>
            </c:dLbl>
            <c:dLbl>
              <c:idx val="2"/>
              <c:layout>
                <c:manualLayout>
                  <c:x val="-0.22738038844149697"/>
                  <c:y val="6.81265206812652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237-4B50-9961-1C3BC1F66A74}"/>
                </c:ext>
              </c:extLst>
            </c:dLbl>
            <c:dLbl>
              <c:idx val="3"/>
              <c:layout>
                <c:manualLayout>
                  <c:x val="-3.789673140691624E-2"/>
                  <c:y val="-0.107055961070559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237-4B50-9961-1C3BC1F66A74}"/>
                </c:ext>
              </c:extLst>
            </c:dLbl>
            <c:dLbl>
              <c:idx val="4"/>
              <c:layout>
                <c:manualLayout>
                  <c:x val="-4.7370914258645279E-2"/>
                  <c:y val="-7.78588807785887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237-4B50-9961-1C3BC1F66A74}"/>
                </c:ext>
              </c:extLst>
            </c:dLbl>
            <c:dLbl>
              <c:idx val="5"/>
              <c:layout>
                <c:manualLayout>
                  <c:x val="-5.1989531898461706E-2"/>
                  <c:y val="6.393523469664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237-4B50-9961-1C3BC1F66A74}"/>
                </c:ext>
              </c:extLst>
            </c:dLbl>
            <c:dLbl>
              <c:idx val="6"/>
              <c:layout>
                <c:manualLayout>
                  <c:x val="-0.12316437707247758"/>
                  <c:y val="1.94647201946472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237-4B50-9961-1C3BC1F66A7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5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Ene</c:v>
                </c:pt>
                <c:pt idx="1">
                  <c:v>Feb</c:v>
                </c:pt>
                <c:pt idx="2">
                  <c:v>Mar</c:v>
                </c:pt>
                <c:pt idx="3">
                  <c:v>Abr</c:v>
                </c:pt>
                <c:pt idx="4">
                  <c:v>May</c:v>
                </c:pt>
                <c:pt idx="5">
                  <c:v>Jun</c:v>
                </c:pt>
              </c:strCache>
            </c:strRef>
          </c:cat>
          <c:val>
            <c:numRef>
              <c:f>Hoja1!$C$2:$C$7</c:f>
              <c:numCache>
                <c:formatCode>#,##0.000</c:formatCode>
                <c:ptCount val="6"/>
                <c:pt idx="0">
                  <c:v>2.6507491777317541E-2</c:v>
                </c:pt>
                <c:pt idx="1">
                  <c:v>0.11191835534537262</c:v>
                </c:pt>
                <c:pt idx="2">
                  <c:v>-1.1895960253149554E-2</c:v>
                </c:pt>
                <c:pt idx="3">
                  <c:v>3.3562271854401613E-3</c:v>
                </c:pt>
                <c:pt idx="4">
                  <c:v>-9.8658446656193638E-3</c:v>
                </c:pt>
                <c:pt idx="5">
                  <c:v>-2.9495365287283307E-2</c:v>
                </c:pt>
              </c:numCache>
            </c:numRef>
          </c:val>
          <c:smooth val="1"/>
          <c:extLst xmlns:c16r2="http://schemas.microsoft.com/office/drawing/2015/06/chart">
            <c:ext xmlns:c16="http://schemas.microsoft.com/office/drawing/2014/chart" uri="{C3380CC4-5D6E-409C-BE32-E72D297353CC}">
              <c16:uniqueId val="{0000000E-4237-4B50-9961-1C3BC1F66A74}"/>
            </c:ext>
          </c:extLst>
        </c:ser>
        <c:dLbls>
          <c:showLegendKey val="0"/>
          <c:showVal val="0"/>
          <c:showCatName val="0"/>
          <c:showSerName val="0"/>
          <c:showPercent val="0"/>
          <c:showBubbleSize val="0"/>
        </c:dLbls>
        <c:marker val="1"/>
        <c:smooth val="0"/>
        <c:axId val="168316928"/>
        <c:axId val="168318464"/>
      </c:lineChart>
      <c:catAx>
        <c:axId val="16831692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low"/>
        <c:spPr>
          <a:noFill/>
          <a:ln w="9525" cap="flat" cmpd="sng" algn="ctr">
            <a:solidFill>
              <a:srgbClr val="FF0000"/>
            </a:solidFill>
            <a:round/>
          </a:ln>
          <a:effectLst/>
        </c:spPr>
        <c:txPr>
          <a:bodyPr rot="-60000000" spcFirstLastPara="1" vertOverflow="ellipsis" vert="horz" wrap="square" anchor="ctr" anchorCtr="1"/>
          <a:lstStyle/>
          <a:p>
            <a:pPr>
              <a:defRPr sz="550" b="1" i="0" u="none" strike="noStrike" kern="1200" cap="none" spc="0" normalizeH="0" baseline="0">
                <a:solidFill>
                  <a:schemeClr val="dk1">
                    <a:lumMod val="65000"/>
                    <a:lumOff val="35000"/>
                  </a:schemeClr>
                </a:solidFill>
                <a:latin typeface="+mn-lt"/>
                <a:ea typeface="+mn-ea"/>
                <a:cs typeface="+mn-cs"/>
              </a:defRPr>
            </a:pPr>
            <a:endParaRPr lang="es-ES"/>
          </a:p>
        </c:txPr>
        <c:crossAx val="168318464"/>
        <c:crosses val="autoZero"/>
        <c:auto val="1"/>
        <c:lblAlgn val="ctr"/>
        <c:lblOffset val="100"/>
        <c:noMultiLvlLbl val="0"/>
      </c:catAx>
      <c:valAx>
        <c:axId val="16831846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831692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
          <c:y val="0.87556395352058825"/>
          <c:w val="1"/>
          <c:h val="0.12443627028373277"/>
        </c:manualLayout>
      </c:layout>
      <c:overlay val="0"/>
      <c:spPr>
        <a:noFill/>
        <a:ln>
          <a:noFill/>
        </a:ln>
        <a:effectLst/>
      </c:spPr>
      <c:txPr>
        <a:bodyPr rot="0" spcFirstLastPara="1" vertOverflow="ellipsis" vert="horz" wrap="square" anchor="ctr" anchorCtr="1"/>
        <a:lstStyle/>
        <a:p>
          <a:pPr>
            <a:defRPr sz="55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550"/>
      </a:pPr>
      <a:endParaRPr lang="es-E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13124630607614"/>
          <c:y val="4.2091688538932637E-2"/>
          <c:w val="0.84835624360514261"/>
          <c:h val="0.72728110460978301"/>
        </c:manualLayout>
      </c:layout>
      <c:barChart>
        <c:barDir val="col"/>
        <c:grouping val="clustered"/>
        <c:varyColors val="0"/>
        <c:ser>
          <c:idx val="0"/>
          <c:order val="0"/>
          <c:tx>
            <c:strRef>
              <c:f>Hoja1!$B$1</c:f>
              <c:strCache>
                <c:ptCount val="1"/>
                <c:pt idx="0">
                  <c:v>Obs-Pres</c:v>
                </c:pt>
              </c:strCache>
            </c:strRef>
          </c:tx>
          <c:spPr>
            <a:solidFill>
              <a:schemeClr val="accent1"/>
            </a:solidFill>
            <a:ln>
              <a:solidFill>
                <a:schemeClr val="tx1"/>
              </a:solidFill>
              <a:prstDash val="sysDot"/>
            </a:ln>
            <a:effectLst/>
          </c:spPr>
          <c:invertIfNegative val="0"/>
          <c:dPt>
            <c:idx val="0"/>
            <c:invertIfNegative val="0"/>
            <c:bubble3D val="0"/>
            <c:spPr>
              <a:solidFill>
                <a:schemeClr val="accent6"/>
              </a:solidFill>
              <a:ln>
                <a:solidFill>
                  <a:schemeClr val="tx1"/>
                </a:solidFill>
                <a:prstDash val="sysDot"/>
              </a:ln>
              <a:effectLst/>
            </c:spPr>
            <c:extLst xmlns:c16r2="http://schemas.microsoft.com/office/drawing/2015/06/chart">
              <c:ext xmlns:c16="http://schemas.microsoft.com/office/drawing/2014/chart" uri="{C3380CC4-5D6E-409C-BE32-E72D297353CC}">
                <c16:uniqueId val="{00000001-F206-40B3-A24F-BD555BAAF1F2}"/>
              </c:ext>
            </c:extLst>
          </c:dPt>
          <c:dPt>
            <c:idx val="1"/>
            <c:invertIfNegative val="0"/>
            <c:bubble3D val="0"/>
            <c:spPr>
              <a:solidFill>
                <a:schemeClr val="accent6"/>
              </a:solidFill>
              <a:ln>
                <a:solidFill>
                  <a:schemeClr val="tx1"/>
                </a:solidFill>
                <a:prstDash val="sysDot"/>
              </a:ln>
              <a:effectLst/>
            </c:spPr>
            <c:extLst xmlns:c16r2="http://schemas.microsoft.com/office/drawing/2015/06/chart">
              <c:ext xmlns:c16="http://schemas.microsoft.com/office/drawing/2014/chart" uri="{C3380CC4-5D6E-409C-BE32-E72D297353CC}">
                <c16:uniqueId val="{00000003-F206-40B3-A24F-BD555BAAF1F2}"/>
              </c:ext>
            </c:extLst>
          </c:dPt>
          <c:dPt>
            <c:idx val="2"/>
            <c:invertIfNegative val="0"/>
            <c:bubble3D val="0"/>
            <c:spPr>
              <a:solidFill>
                <a:schemeClr val="accent6"/>
              </a:solidFill>
              <a:ln>
                <a:solidFill>
                  <a:schemeClr val="tx1"/>
                </a:solidFill>
                <a:prstDash val="sysDot"/>
              </a:ln>
              <a:effectLst/>
            </c:spPr>
            <c:extLst xmlns:c16r2="http://schemas.microsoft.com/office/drawing/2015/06/chart">
              <c:ext xmlns:c16="http://schemas.microsoft.com/office/drawing/2014/chart" uri="{C3380CC4-5D6E-409C-BE32-E72D297353CC}">
                <c16:uniqueId val="{00000005-F206-40B3-A24F-BD555BAAF1F2}"/>
              </c:ext>
            </c:extLst>
          </c:dPt>
          <c:dPt>
            <c:idx val="3"/>
            <c:invertIfNegative val="0"/>
            <c:bubble3D val="0"/>
            <c:spPr>
              <a:solidFill>
                <a:srgbClr val="FF0000"/>
              </a:solidFill>
              <a:ln>
                <a:solidFill>
                  <a:schemeClr val="tx1"/>
                </a:solidFill>
                <a:prstDash val="sysDot"/>
              </a:ln>
              <a:effectLst/>
            </c:spPr>
            <c:extLst xmlns:c16r2="http://schemas.microsoft.com/office/drawing/2015/06/chart">
              <c:ext xmlns:c16="http://schemas.microsoft.com/office/drawing/2014/chart" uri="{C3380CC4-5D6E-409C-BE32-E72D297353CC}">
                <c16:uniqueId val="{00000007-F206-40B3-A24F-BD555BAAF1F2}"/>
              </c:ext>
            </c:extLst>
          </c:dPt>
          <c:dPt>
            <c:idx val="4"/>
            <c:invertIfNegative val="0"/>
            <c:bubble3D val="0"/>
            <c:spPr>
              <a:solidFill>
                <a:srgbClr val="FF0000"/>
              </a:solidFill>
              <a:ln>
                <a:solidFill>
                  <a:schemeClr val="tx1"/>
                </a:solidFill>
                <a:prstDash val="sysDot"/>
              </a:ln>
              <a:effectLst/>
            </c:spPr>
            <c:extLst xmlns:c16r2="http://schemas.microsoft.com/office/drawing/2015/06/chart">
              <c:ext xmlns:c16="http://schemas.microsoft.com/office/drawing/2014/chart" uri="{C3380CC4-5D6E-409C-BE32-E72D297353CC}">
                <c16:uniqueId val="{00000009-F206-40B3-A24F-BD555BAAF1F2}"/>
              </c:ext>
            </c:extLst>
          </c:dPt>
          <c:dPt>
            <c:idx val="5"/>
            <c:invertIfNegative val="0"/>
            <c:bubble3D val="0"/>
            <c:spPr>
              <a:solidFill>
                <a:srgbClr val="FF0000"/>
              </a:solidFill>
              <a:ln>
                <a:solidFill>
                  <a:schemeClr val="tx1"/>
                </a:solidFill>
                <a:prstDash val="sysDot"/>
              </a:ln>
              <a:effectLst/>
            </c:spPr>
            <c:extLst xmlns:c16r2="http://schemas.microsoft.com/office/drawing/2015/06/chart">
              <c:ext xmlns:c16="http://schemas.microsoft.com/office/drawing/2014/chart" uri="{C3380CC4-5D6E-409C-BE32-E72D297353CC}">
                <c16:uniqueId val="{0000000B-F206-40B3-A24F-BD555BAAF1F2}"/>
              </c:ext>
            </c:extLst>
          </c:dPt>
          <c:dPt>
            <c:idx val="6"/>
            <c:invertIfNegative val="0"/>
            <c:bubble3D val="0"/>
            <c:spPr>
              <a:solidFill>
                <a:srgbClr val="FF0000"/>
              </a:solidFill>
              <a:ln>
                <a:solidFill>
                  <a:schemeClr val="tx1"/>
                </a:solidFill>
                <a:prstDash val="sysDot"/>
              </a:ln>
              <a:effectLst/>
            </c:spPr>
            <c:extLst xmlns:c16r2="http://schemas.microsoft.com/office/drawing/2015/06/chart">
              <c:ext xmlns:c16="http://schemas.microsoft.com/office/drawing/2014/chart" uri="{C3380CC4-5D6E-409C-BE32-E72D297353CC}">
                <c16:uniqueId val="{0000000D-F206-40B3-A24F-BD555BAAF1F2}"/>
              </c:ext>
            </c:extLst>
          </c:dPt>
          <c:dLbls>
            <c:dLbl>
              <c:idx val="0"/>
              <c:layout>
                <c:manualLayout>
                  <c:x val="-2.0738825280032566E-17"/>
                  <c:y val="0.24029744434004879"/>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206-40B3-A24F-BD555BAAF1F2}"/>
                </c:ext>
              </c:extLst>
            </c:dLbl>
            <c:dLbl>
              <c:idx val="1"/>
              <c:layout>
                <c:manualLayout>
                  <c:x val="-4.1477650560065132E-17"/>
                  <c:y val="0.23538401416823954"/>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206-40B3-A24F-BD555BAAF1F2}"/>
                </c:ext>
              </c:extLst>
            </c:dLbl>
            <c:dLbl>
              <c:idx val="2"/>
              <c:layout>
                <c:manualLayout>
                  <c:x val="-4.5248868778280547E-3"/>
                  <c:y val="0.2424237888954482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206-40B3-A24F-BD555BAAF1F2}"/>
                </c:ext>
              </c:extLst>
            </c:dLbl>
            <c:dLbl>
              <c:idx val="3"/>
              <c:layout>
                <c:manualLayout>
                  <c:x val="0"/>
                  <c:y val="3.192486647211060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206-40B3-A24F-BD555BAAF1F2}"/>
                </c:ext>
              </c:extLst>
            </c:dLbl>
            <c:dLbl>
              <c:idx val="4"/>
              <c:layout>
                <c:manualLayout>
                  <c:x val="0"/>
                  <c:y val="0.25752393195748491"/>
                </c:manualLayout>
              </c:layout>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206-40B3-A24F-BD555BAAF1F2}"/>
                </c:ext>
              </c:extLst>
            </c:dLbl>
            <c:dLbl>
              <c:idx val="5"/>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dLblPos val="inBase"/>
              <c:showLegendKey val="0"/>
              <c:showVal val="1"/>
              <c:showCatName val="0"/>
              <c:showSerName val="0"/>
              <c:showPercent val="0"/>
              <c:showBubbleSize val="0"/>
            </c:dLbl>
            <c:dLbl>
              <c:idx val="6"/>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dLblPos val="inBase"/>
              <c:showLegendKey val="0"/>
              <c:showVal val="1"/>
              <c:showCatName val="0"/>
              <c:showSerName val="0"/>
              <c:showPercent val="0"/>
              <c:showBubbleSize val="0"/>
            </c:dLbl>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Ene</c:v>
                </c:pt>
                <c:pt idx="1">
                  <c:v>Feb</c:v>
                </c:pt>
                <c:pt idx="2">
                  <c:v>Mar</c:v>
                </c:pt>
                <c:pt idx="3">
                  <c:v>Abr</c:v>
                </c:pt>
                <c:pt idx="4">
                  <c:v>May</c:v>
                </c:pt>
                <c:pt idx="5">
                  <c:v>Jun</c:v>
                </c:pt>
              </c:strCache>
            </c:strRef>
          </c:cat>
          <c:val>
            <c:numRef>
              <c:f>Hoja1!$B$2:$B$7</c:f>
              <c:numCache>
                <c:formatCode>#,##0.0</c:formatCode>
                <c:ptCount val="6"/>
                <c:pt idx="0">
                  <c:v>347.1</c:v>
                </c:pt>
                <c:pt idx="1">
                  <c:v>539.70000000000005</c:v>
                </c:pt>
                <c:pt idx="2">
                  <c:v>224.9</c:v>
                </c:pt>
                <c:pt idx="3">
                  <c:v>-754.4</c:v>
                </c:pt>
                <c:pt idx="4">
                  <c:v>-1823</c:v>
                </c:pt>
                <c:pt idx="5">
                  <c:v>-2704.4</c:v>
                </c:pt>
              </c:numCache>
            </c:numRef>
          </c:val>
          <c:extLst xmlns:c16r2="http://schemas.microsoft.com/office/drawing/2015/06/chart">
            <c:ext xmlns:c16="http://schemas.microsoft.com/office/drawing/2014/chart" uri="{C3380CC4-5D6E-409C-BE32-E72D297353CC}">
              <c16:uniqueId val="{0000000E-F206-40B3-A24F-BD555BAAF1F2}"/>
            </c:ext>
          </c:extLst>
        </c:ser>
        <c:dLbls>
          <c:showLegendKey val="0"/>
          <c:showVal val="0"/>
          <c:showCatName val="0"/>
          <c:showSerName val="0"/>
          <c:showPercent val="0"/>
          <c:showBubbleSize val="0"/>
        </c:dLbls>
        <c:gapWidth val="15"/>
        <c:axId val="168107008"/>
        <c:axId val="168108800"/>
      </c:barChart>
      <c:catAx>
        <c:axId val="16810700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low"/>
        <c:spPr>
          <a:noFill/>
          <a:ln w="9525" cap="flat" cmpd="sng" algn="ctr">
            <a:solidFill>
              <a:srgbClr val="FF0000"/>
            </a:solidFill>
            <a:prstDash val="sysDash"/>
            <a:round/>
          </a:ln>
          <a:effectLst/>
        </c:spPr>
        <c:txPr>
          <a:bodyPr rot="-60000000" spcFirstLastPara="1" vertOverflow="ellipsis" vert="horz" wrap="square" anchor="ctr" anchorCtr="1"/>
          <a:lstStyle/>
          <a:p>
            <a:pPr>
              <a:defRPr sz="550" b="0" i="0" u="none" strike="noStrike" kern="1200" cap="none" spc="0" normalizeH="0" baseline="0">
                <a:solidFill>
                  <a:schemeClr val="dk1">
                    <a:lumMod val="65000"/>
                    <a:lumOff val="35000"/>
                  </a:schemeClr>
                </a:solidFill>
                <a:latin typeface="+mn-lt"/>
                <a:ea typeface="+mn-ea"/>
                <a:cs typeface="+mn-cs"/>
              </a:defRPr>
            </a:pPr>
            <a:endParaRPr lang="es-ES"/>
          </a:p>
        </c:txPr>
        <c:crossAx val="168108800"/>
        <c:crosses val="autoZero"/>
        <c:auto val="1"/>
        <c:lblAlgn val="ctr"/>
        <c:lblOffset val="100"/>
        <c:noMultiLvlLbl val="0"/>
      </c:catAx>
      <c:valAx>
        <c:axId val="16810880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_ ;\-#,##0\ " sourceLinked="0"/>
        <c:majorTickMark val="none"/>
        <c:minorTickMark val="none"/>
        <c:tickLblPos val="nextTo"/>
        <c:spPr>
          <a:noFill/>
          <a:ln>
            <a:noFill/>
          </a:ln>
          <a:effectLst/>
        </c:spPr>
        <c:txPr>
          <a:bodyPr rot="-60000000" spcFirstLastPara="1" vertOverflow="ellipsis" vert="horz" wrap="square" anchor="ctr" anchorCtr="1"/>
          <a:lstStyle/>
          <a:p>
            <a:pPr>
              <a:defRPr sz="55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810700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550"/>
      </a:pPr>
      <a:endParaRPr lang="es-ES"/>
    </a:p>
  </c:txPr>
  <c:externalData r:id="rId2">
    <c:autoUpdate val="0"/>
  </c:externalData>
  <c:userShapes r:id="rId3"/>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Hoja1!$B$1</c:f>
              <c:strCache>
                <c:ptCount val="1"/>
                <c:pt idx="0">
                  <c:v>Recaudación</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Hoja1!$A$2:$A$4</c:f>
              <c:strCache>
                <c:ptCount val="3"/>
                <c:pt idx="0">
                  <c:v>2019</c:v>
                </c:pt>
                <c:pt idx="1">
                  <c:v>Presupuesto 
vigente 2020</c:v>
                </c:pt>
                <c:pt idx="2">
                  <c:v>Cierre 2020</c:v>
                </c:pt>
              </c:strCache>
            </c:strRef>
          </c:cat>
          <c:val>
            <c:numRef>
              <c:f>Hoja1!$B$2:$B$4</c:f>
              <c:numCache>
                <c:formatCode>#,##0.00</c:formatCode>
                <c:ptCount val="3"/>
                <c:pt idx="0">
                  <c:v>62593.56</c:v>
                </c:pt>
                <c:pt idx="1">
                  <c:v>64027.7</c:v>
                </c:pt>
                <c:pt idx="2" formatCode="General">
                  <c:v>60279.396097580007</c:v>
                </c:pt>
              </c:numCache>
            </c:numRef>
          </c:val>
          <c:extLst xmlns:c16r2="http://schemas.microsoft.com/office/drawing/2015/06/chart">
            <c:ext xmlns:c16="http://schemas.microsoft.com/office/drawing/2014/chart" uri="{C3380CC4-5D6E-409C-BE32-E72D297353CC}">
              <c16:uniqueId val="{00000000-D2B8-48E6-93F8-3DB543698947}"/>
            </c:ext>
          </c:extLst>
        </c:ser>
        <c:ser>
          <c:idx val="1"/>
          <c:order val="1"/>
          <c:tx>
            <c:strRef>
              <c:f>Hoja1!$C$1</c:f>
              <c:strCache>
                <c:ptCount val="1"/>
                <c:pt idx="0">
                  <c:v>Covid-19</c:v>
                </c:pt>
              </c:strCache>
            </c:strRef>
          </c:tx>
          <c:spPr>
            <a:solidFill>
              <a:schemeClr val="accent2"/>
            </a:solidFill>
            <a:ln>
              <a:noFill/>
            </a:ln>
            <a:effectLst/>
          </c:spPr>
          <c:invertIfNegative val="0"/>
          <c:dPt>
            <c:idx val="2"/>
            <c:invertIfNegative val="0"/>
            <c:bubble3D val="0"/>
            <c:spPr>
              <a:pattFill prst="dkDnDiag">
                <a:fgClr>
                  <a:schemeClr val="accent6">
                    <a:lumMod val="40000"/>
                    <a:lumOff val="60000"/>
                  </a:schemeClr>
                </a:fgClr>
                <a:bgClr>
                  <a:schemeClr val="bg1"/>
                </a:bgClr>
              </a:pattFill>
              <a:ln>
                <a:noFill/>
              </a:ln>
              <a:effectLst/>
            </c:spPr>
            <c:extLst xmlns:c16r2="http://schemas.microsoft.com/office/drawing/2015/06/chart">
              <c:ext xmlns:c16="http://schemas.microsoft.com/office/drawing/2014/chart" uri="{C3380CC4-5D6E-409C-BE32-E72D297353CC}">
                <c16:uniqueId val="{00000002-D2B8-48E6-93F8-3DB543698947}"/>
              </c:ext>
            </c:extLst>
          </c:dPt>
          <c:dLbls>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2B8-48E6-93F8-3DB54369894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Hoja1!$A$2:$A$4</c:f>
              <c:strCache>
                <c:ptCount val="3"/>
                <c:pt idx="0">
                  <c:v>2019</c:v>
                </c:pt>
                <c:pt idx="1">
                  <c:v>Presupuesto 
vigente 2020</c:v>
                </c:pt>
                <c:pt idx="2">
                  <c:v>Cierre 2020</c:v>
                </c:pt>
              </c:strCache>
            </c:strRef>
          </c:cat>
          <c:val>
            <c:numRef>
              <c:f>Hoja1!$C$2:$C$4</c:f>
              <c:numCache>
                <c:formatCode>General</c:formatCode>
                <c:ptCount val="3"/>
                <c:pt idx="2">
                  <c:v>3748.3039024199898</c:v>
                </c:pt>
              </c:numCache>
            </c:numRef>
          </c:val>
          <c:extLst xmlns:c16r2="http://schemas.microsoft.com/office/drawing/2015/06/chart">
            <c:ext xmlns:c16="http://schemas.microsoft.com/office/drawing/2014/chart" uri="{C3380CC4-5D6E-409C-BE32-E72D297353CC}">
              <c16:uniqueId val="{00000003-D2B8-48E6-93F8-3DB543698947}"/>
            </c:ext>
          </c:extLst>
        </c:ser>
        <c:dLbls>
          <c:showLegendKey val="0"/>
          <c:showVal val="0"/>
          <c:showCatName val="0"/>
          <c:showSerName val="0"/>
          <c:showPercent val="0"/>
          <c:showBubbleSize val="0"/>
        </c:dLbls>
        <c:gapWidth val="20"/>
        <c:overlap val="100"/>
        <c:axId val="170214528"/>
        <c:axId val="170216064"/>
      </c:barChart>
      <c:catAx>
        <c:axId val="1702145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70216064"/>
        <c:crosses val="autoZero"/>
        <c:auto val="1"/>
        <c:lblAlgn val="ctr"/>
        <c:lblOffset val="100"/>
        <c:noMultiLvlLbl val="0"/>
      </c:catAx>
      <c:valAx>
        <c:axId val="170216064"/>
        <c:scaling>
          <c:orientation val="minMax"/>
          <c:min val="40000"/>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702145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895441404995269E-2"/>
          <c:y val="2.9925043153389608E-2"/>
          <c:w val="0.95410455859500476"/>
          <c:h val="0.81494502376392153"/>
        </c:manualLayout>
      </c:layout>
      <c:barChart>
        <c:barDir val="col"/>
        <c:grouping val="clustered"/>
        <c:varyColors val="0"/>
        <c:ser>
          <c:idx val="0"/>
          <c:order val="0"/>
          <c:spPr>
            <a:solidFill>
              <a:schemeClr val="accent1"/>
            </a:solidFill>
            <a:ln>
              <a:noFill/>
            </a:ln>
            <a:effectLst/>
          </c:spPr>
          <c:invertIfNegative val="0"/>
          <c:cat>
            <c:numRef>
              <c:f>Hoja3!$R$56:$R$62</c:f>
              <c:numCache>
                <c:formatCode>General</c:formatCode>
                <c:ptCount val="7"/>
                <c:pt idx="0">
                  <c:v>2015</c:v>
                </c:pt>
                <c:pt idx="1">
                  <c:v>2016</c:v>
                </c:pt>
                <c:pt idx="2">
                  <c:v>2017</c:v>
                </c:pt>
                <c:pt idx="3">
                  <c:v>2018</c:v>
                </c:pt>
                <c:pt idx="4">
                  <c:v>2019</c:v>
                </c:pt>
                <c:pt idx="5">
                  <c:v>2020</c:v>
                </c:pt>
                <c:pt idx="6">
                  <c:v>2021</c:v>
                </c:pt>
              </c:numCache>
            </c:numRef>
          </c:cat>
          <c:val>
            <c:numRef>
              <c:f>Hoja3!$S$56:$S$62</c:f>
              <c:numCache>
                <c:formatCode>General</c:formatCode>
                <c:ptCount val="7"/>
                <c:pt idx="0">
                  <c:v>3.1</c:v>
                </c:pt>
                <c:pt idx="1">
                  <c:v>3.2</c:v>
                </c:pt>
                <c:pt idx="2">
                  <c:v>3.7</c:v>
                </c:pt>
                <c:pt idx="3">
                  <c:v>3.6</c:v>
                </c:pt>
                <c:pt idx="4">
                  <c:v>2.8</c:v>
                </c:pt>
                <c:pt idx="5">
                  <c:v>-3.3</c:v>
                </c:pt>
                <c:pt idx="6">
                  <c:v>6</c:v>
                </c:pt>
              </c:numCache>
            </c:numRef>
          </c:val>
          <c:extLst xmlns:c16r2="http://schemas.microsoft.com/office/drawing/2015/06/chart">
            <c:ext xmlns:c16="http://schemas.microsoft.com/office/drawing/2014/chart" uri="{C3380CC4-5D6E-409C-BE32-E72D297353CC}">
              <c16:uniqueId val="{00000000-FB15-4874-8A17-9C6CA010AA50}"/>
            </c:ext>
          </c:extLst>
        </c:ser>
        <c:dLbls>
          <c:showLegendKey val="0"/>
          <c:showVal val="0"/>
          <c:showCatName val="0"/>
          <c:showSerName val="0"/>
          <c:showPercent val="0"/>
          <c:showBubbleSize val="0"/>
        </c:dLbls>
        <c:gapWidth val="70"/>
        <c:overlap val="-27"/>
        <c:axId val="163627392"/>
        <c:axId val="163628928"/>
      </c:barChart>
      <c:lineChart>
        <c:grouping val="standard"/>
        <c:varyColors val="0"/>
        <c:ser>
          <c:idx val="1"/>
          <c:order val="1"/>
          <c:spPr>
            <a:ln w="28575" cap="rnd">
              <a:solidFill>
                <a:srgbClr val="FF0000"/>
              </a:solidFill>
              <a:round/>
            </a:ln>
            <a:effectLst/>
          </c:spPr>
          <c:marker>
            <c:symbol val="circle"/>
            <c:size val="6"/>
            <c:spPr>
              <a:solidFill>
                <a:srgbClr val="FF0000"/>
              </a:solidFill>
              <a:ln w="9525">
                <a:solidFill>
                  <a:srgbClr val="FF0000"/>
                </a:solidFill>
              </a:ln>
              <a:effectLst/>
            </c:spPr>
          </c:marker>
          <c:dLbls>
            <c:dLbl>
              <c:idx val="5"/>
              <c:layout>
                <c:manualLayout>
                  <c:x val="-0.12915122103673093"/>
                  <c:y val="2.1445697666169997E-2"/>
                </c:manualLayout>
              </c:layout>
              <c:tx>
                <c:rich>
                  <a:bodyPr/>
                  <a:lstStyle/>
                  <a:p>
                    <a:r>
                      <a:rPr lang="en-US"/>
                      <a:t>-3.2</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B15-4874-8A17-9C6CA010AA5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Hoja3!$R$56:$R$62</c:f>
              <c:numCache>
                <c:formatCode>General</c:formatCode>
                <c:ptCount val="7"/>
                <c:pt idx="0">
                  <c:v>2015</c:v>
                </c:pt>
                <c:pt idx="1">
                  <c:v>2016</c:v>
                </c:pt>
                <c:pt idx="2">
                  <c:v>2017</c:v>
                </c:pt>
                <c:pt idx="3">
                  <c:v>2018</c:v>
                </c:pt>
                <c:pt idx="4">
                  <c:v>2019</c:v>
                </c:pt>
                <c:pt idx="5">
                  <c:v>2020</c:v>
                </c:pt>
                <c:pt idx="6">
                  <c:v>2021</c:v>
                </c:pt>
              </c:numCache>
            </c:numRef>
          </c:cat>
          <c:val>
            <c:numRef>
              <c:f>Hoja3!$T$56:$T$62</c:f>
              <c:numCache>
                <c:formatCode>General</c:formatCode>
                <c:ptCount val="7"/>
                <c:pt idx="0">
                  <c:v>3.1</c:v>
                </c:pt>
                <c:pt idx="1">
                  <c:v>3.2</c:v>
                </c:pt>
                <c:pt idx="2">
                  <c:v>3.7</c:v>
                </c:pt>
                <c:pt idx="3">
                  <c:v>3.6</c:v>
                </c:pt>
                <c:pt idx="4">
                  <c:v>2.8</c:v>
                </c:pt>
                <c:pt idx="5">
                  <c:v>-3.3</c:v>
                </c:pt>
                <c:pt idx="6">
                  <c:v>6</c:v>
                </c:pt>
              </c:numCache>
            </c:numRef>
          </c:val>
          <c:smooth val="1"/>
          <c:extLst xmlns:c16r2="http://schemas.microsoft.com/office/drawing/2015/06/chart">
            <c:ext xmlns:c16="http://schemas.microsoft.com/office/drawing/2014/chart" uri="{C3380CC4-5D6E-409C-BE32-E72D297353CC}">
              <c16:uniqueId val="{00000002-FB15-4874-8A17-9C6CA010AA50}"/>
            </c:ext>
          </c:extLst>
        </c:ser>
        <c:dLbls>
          <c:showLegendKey val="0"/>
          <c:showVal val="0"/>
          <c:showCatName val="0"/>
          <c:showSerName val="0"/>
          <c:showPercent val="0"/>
          <c:showBubbleSize val="0"/>
        </c:dLbls>
        <c:marker val="1"/>
        <c:smooth val="0"/>
        <c:axId val="163632256"/>
        <c:axId val="163630464"/>
      </c:lineChart>
      <c:catAx>
        <c:axId val="1636273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3628928"/>
        <c:crosses val="autoZero"/>
        <c:auto val="1"/>
        <c:lblAlgn val="ctr"/>
        <c:lblOffset val="100"/>
        <c:noMultiLvlLbl val="0"/>
      </c:catAx>
      <c:valAx>
        <c:axId val="163628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63627392"/>
        <c:crosses val="autoZero"/>
        <c:crossBetween val="between"/>
      </c:valAx>
      <c:valAx>
        <c:axId val="163630464"/>
        <c:scaling>
          <c:orientation val="minMax"/>
        </c:scaling>
        <c:delete val="1"/>
        <c:axPos val="r"/>
        <c:numFmt formatCode="General" sourceLinked="1"/>
        <c:majorTickMark val="out"/>
        <c:minorTickMark val="none"/>
        <c:tickLblPos val="nextTo"/>
        <c:crossAx val="163632256"/>
        <c:crosses val="max"/>
        <c:crossBetween val="between"/>
      </c:valAx>
      <c:catAx>
        <c:axId val="163632256"/>
        <c:scaling>
          <c:orientation val="minMax"/>
        </c:scaling>
        <c:delete val="1"/>
        <c:axPos val="b"/>
        <c:numFmt formatCode="General" sourceLinked="1"/>
        <c:majorTickMark val="out"/>
        <c:minorTickMark val="none"/>
        <c:tickLblPos val="nextTo"/>
        <c:crossAx val="16363046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75511176022352"/>
          <c:y val="5.3397960086449876E-2"/>
          <c:w val="0.80887533337566686"/>
          <c:h val="0.83952216647076405"/>
        </c:manualLayout>
      </c:layout>
      <c:barChart>
        <c:barDir val="bar"/>
        <c:grouping val="clustered"/>
        <c:varyColors val="0"/>
        <c:ser>
          <c:idx val="0"/>
          <c:order val="0"/>
          <c:tx>
            <c:strRef>
              <c:f>Hoja1!$B$1</c:f>
              <c:strCache>
                <c:ptCount val="1"/>
                <c:pt idx="0">
                  <c:v>2018</c:v>
                </c:pt>
              </c:strCache>
            </c:strRef>
          </c:tx>
          <c:spPr>
            <a:solidFill>
              <a:srgbClr val="93164F"/>
            </a:solidFill>
            <a:ln w="6350">
              <a:solidFill>
                <a:schemeClr val="tx1"/>
              </a:solidFill>
            </a:ln>
            <a:effectLst/>
          </c:spPr>
          <c:invertIfNegative val="0"/>
          <c:dLbls>
            <c:dLbl>
              <c:idx val="0"/>
              <c:layout>
                <c:manualLayout>
                  <c:x val="-0.11285535456252463"/>
                  <c:y val="-9.80905379751139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AFC-4E5F-83D6-7D9CC34B751D}"/>
                </c:ext>
              </c:extLst>
            </c:dLbl>
            <c:dLbl>
              <c:idx val="2"/>
              <c:layout>
                <c:manualLayout>
                  <c:x val="4.4978217731964648E-17"/>
                  <c:y val="6.55151876116736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AFC-4E5F-83D6-7D9CC34B751D}"/>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93164F"/>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Hoja1!$A$2:$A$9</c:f>
              <c:strCache>
                <c:ptCount val="8"/>
                <c:pt idx="0">
                  <c:v>Inversión Financiera</c:v>
                </c:pt>
                <c:pt idx="1">
                  <c:v>Bienes y Servicios </c:v>
                </c:pt>
                <c:pt idx="2">
                  <c:v>Prestaciones a la SS</c:v>
                </c:pt>
                <c:pt idx="3">
                  <c:v>Trans Corrientes</c:v>
                </c:pt>
                <c:pt idx="4">
                  <c:v>Trans de Capital</c:v>
                </c:pt>
                <c:pt idx="5">
                  <c:v>Inversión Real Directa</c:v>
                </c:pt>
                <c:pt idx="6">
                  <c:v>Intereses</c:v>
                </c:pt>
                <c:pt idx="7">
                  <c:v>Remuneraciones</c:v>
                </c:pt>
              </c:strCache>
            </c:strRef>
          </c:cat>
          <c:val>
            <c:numRef>
              <c:f>Hoja1!$B$2:$B$9</c:f>
              <c:numCache>
                <c:formatCode>#,##0.0</c:formatCode>
                <c:ptCount val="8"/>
                <c:pt idx="0">
                  <c:v>-16.777964320000009</c:v>
                </c:pt>
                <c:pt idx="1">
                  <c:v>1277.7990235199995</c:v>
                </c:pt>
                <c:pt idx="2">
                  <c:v>-33.898434810000253</c:v>
                </c:pt>
                <c:pt idx="3">
                  <c:v>602.33797738000249</c:v>
                </c:pt>
                <c:pt idx="4">
                  <c:v>445.09206534999794</c:v>
                </c:pt>
                <c:pt idx="5">
                  <c:v>1793.5637077699994</c:v>
                </c:pt>
                <c:pt idx="6">
                  <c:v>480.46776879000026</c:v>
                </c:pt>
                <c:pt idx="7">
                  <c:v>966.65690931999052</c:v>
                </c:pt>
              </c:numCache>
            </c:numRef>
          </c:val>
          <c:extLst xmlns:c16r2="http://schemas.microsoft.com/office/drawing/2015/06/chart">
            <c:ext xmlns:c16="http://schemas.microsoft.com/office/drawing/2014/chart" uri="{C3380CC4-5D6E-409C-BE32-E72D297353CC}">
              <c16:uniqueId val="{00000002-6AFC-4E5F-83D6-7D9CC34B751D}"/>
            </c:ext>
          </c:extLst>
        </c:ser>
        <c:ser>
          <c:idx val="1"/>
          <c:order val="1"/>
          <c:tx>
            <c:strRef>
              <c:f>Hoja1!$C$1</c:f>
              <c:strCache>
                <c:ptCount val="1"/>
                <c:pt idx="0">
                  <c:v>2019</c:v>
                </c:pt>
              </c:strCache>
            </c:strRef>
          </c:tx>
          <c:spPr>
            <a:solidFill>
              <a:srgbClr val="FF7154"/>
            </a:solidFill>
            <a:ln>
              <a:solidFill>
                <a:schemeClr val="tx1">
                  <a:lumMod val="95000"/>
                  <a:lumOff val="5000"/>
                </a:schemeClr>
              </a:solidFill>
            </a:ln>
            <a:effectLst/>
          </c:spPr>
          <c:invertIfNegative val="0"/>
          <c:dLbls>
            <c:dLbl>
              <c:idx val="0"/>
              <c:layout>
                <c:manualLayout>
                  <c:x val="-0.11776212590697993"/>
                  <c:y val="-1.210803705716658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6AFC-4E5F-83D6-7D9CC34B751D}"/>
                </c:ext>
              </c:extLst>
            </c:dLbl>
            <c:dLbl>
              <c:idx val="7"/>
              <c:layout>
                <c:manualLayout>
                  <c:x val="-1.4720314033366225E-2"/>
                  <c:y val="5.350454788657029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6AFC-4E5F-83D6-7D9CC34B751D}"/>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Hoja1!$A$2:$A$9</c:f>
              <c:strCache>
                <c:ptCount val="8"/>
                <c:pt idx="0">
                  <c:v>Inversión Financiera</c:v>
                </c:pt>
                <c:pt idx="1">
                  <c:v>Bienes y Servicios </c:v>
                </c:pt>
                <c:pt idx="2">
                  <c:v>Prestaciones a la SS</c:v>
                </c:pt>
                <c:pt idx="3">
                  <c:v>Trans Corrientes</c:v>
                </c:pt>
                <c:pt idx="4">
                  <c:v>Trans de Capital</c:v>
                </c:pt>
                <c:pt idx="5">
                  <c:v>Inversión Real Directa</c:v>
                </c:pt>
                <c:pt idx="6">
                  <c:v>Intereses</c:v>
                </c:pt>
                <c:pt idx="7">
                  <c:v>Remuneraciones</c:v>
                </c:pt>
              </c:strCache>
            </c:strRef>
          </c:cat>
          <c:val>
            <c:numRef>
              <c:f>Hoja1!$C$2:$C$9</c:f>
              <c:numCache>
                <c:formatCode>#,##0.0</c:formatCode>
                <c:ptCount val="8"/>
                <c:pt idx="0">
                  <c:v>-30.550631679999995</c:v>
                </c:pt>
                <c:pt idx="1">
                  <c:v>270.22419308000099</c:v>
                </c:pt>
                <c:pt idx="2">
                  <c:v>435.65193931999966</c:v>
                </c:pt>
                <c:pt idx="3">
                  <c:v>499.38889639000081</c:v>
                </c:pt>
                <c:pt idx="4">
                  <c:v>878.96838692000165</c:v>
                </c:pt>
                <c:pt idx="5">
                  <c:v>1082.2471292900004</c:v>
                </c:pt>
                <c:pt idx="6">
                  <c:v>1206.1237212699998</c:v>
                </c:pt>
                <c:pt idx="7">
                  <c:v>2740.6627985800042</c:v>
                </c:pt>
              </c:numCache>
            </c:numRef>
          </c:val>
          <c:extLst xmlns:c16r2="http://schemas.microsoft.com/office/drawing/2015/06/chart">
            <c:ext xmlns:c16="http://schemas.microsoft.com/office/drawing/2014/chart" uri="{C3380CC4-5D6E-409C-BE32-E72D297353CC}">
              <c16:uniqueId val="{00000003-6AFC-4E5F-83D6-7D9CC34B751D}"/>
            </c:ext>
          </c:extLst>
        </c:ser>
        <c:dLbls>
          <c:showLegendKey val="0"/>
          <c:showVal val="0"/>
          <c:showCatName val="0"/>
          <c:showSerName val="0"/>
          <c:showPercent val="0"/>
          <c:showBubbleSize val="0"/>
        </c:dLbls>
        <c:gapWidth val="53"/>
        <c:axId val="172537728"/>
        <c:axId val="172539264"/>
      </c:barChart>
      <c:catAx>
        <c:axId val="17253772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72539264"/>
        <c:crosses val="autoZero"/>
        <c:auto val="1"/>
        <c:lblAlgn val="l"/>
        <c:lblOffset val="100"/>
        <c:noMultiLvlLbl val="0"/>
      </c:catAx>
      <c:valAx>
        <c:axId val="172539264"/>
        <c:scaling>
          <c:orientation val="minMax"/>
          <c:max val="3000"/>
          <c:min val="-4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72537728"/>
        <c:crosses val="autoZero"/>
        <c:crossBetween val="between"/>
        <c:majorUnit val="1000"/>
        <c:minorUnit val="500"/>
      </c:valAx>
      <c:spPr>
        <a:pattFill prst="ltDnDiag">
          <a:fgClr>
            <a:schemeClr val="dk1">
              <a:lumMod val="15000"/>
              <a:lumOff val="85000"/>
            </a:schemeClr>
          </a:fgClr>
          <a:bgClr>
            <a:schemeClr val="lt1"/>
          </a:bgClr>
        </a:pattFill>
        <a:ln>
          <a:noFill/>
        </a:ln>
        <a:effectLst>
          <a:outerShdw blurRad="50800" dist="38100" dir="2700000" algn="tl" rotWithShape="0">
            <a:prstClr val="black">
              <a:alpha val="40000"/>
            </a:prstClr>
          </a:outerShdw>
        </a:effectLst>
      </c:spPr>
    </c:plotArea>
    <c:legend>
      <c:legendPos val="b"/>
      <c:layout>
        <c:manualLayout>
          <c:xMode val="edge"/>
          <c:yMode val="edge"/>
          <c:x val="0.6178084891007859"/>
          <c:y val="0.54264480984820718"/>
          <c:w val="0.25274779195289498"/>
          <c:h val="0.16010538697906665"/>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lt1"/>
    </a:solidFill>
    <a:ln w="9525" cap="flat" cmpd="sng" algn="ctr">
      <a:noFill/>
      <a:round/>
    </a:ln>
    <a:effectLst/>
  </c:spPr>
  <c:txPr>
    <a:bodyPr/>
    <a:lstStyle/>
    <a:p>
      <a:pPr>
        <a:defRPr/>
      </a:pPr>
      <a:endParaRPr lang="es-E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bg2">
                    <a:lumMod val="25000"/>
                  </a:schemeClr>
                </a:solidFill>
                <a:latin typeface="Times New Roman" panose="02020603050405020304" pitchFamily="18" charset="0"/>
                <a:ea typeface="+mn-ea"/>
                <a:cs typeface="Times New Roman" panose="02020603050405020304" pitchFamily="18" charset="0"/>
              </a:defRPr>
            </a:pPr>
            <a:r>
              <a:rPr lang="es-GT" sz="1100" b="1">
                <a:solidFill>
                  <a:schemeClr val="bg2">
                    <a:lumMod val="25000"/>
                  </a:schemeClr>
                </a:solidFill>
                <a:latin typeface="Times New Roman" panose="02020603050405020304" pitchFamily="18" charset="0"/>
                <a:cs typeface="Times New Roman" panose="02020603050405020304" pitchFamily="18" charset="0"/>
              </a:rPr>
              <a:t>Ejecución de gasto 2018-2019</a:t>
            </a:r>
          </a:p>
          <a:p>
            <a:pPr>
              <a:defRPr sz="1400" b="0" i="0" u="none" strike="noStrike" kern="1200" spc="0" baseline="0">
                <a:solidFill>
                  <a:schemeClr val="bg2">
                    <a:lumMod val="25000"/>
                  </a:schemeClr>
                </a:solidFill>
                <a:latin typeface="Times New Roman" panose="02020603050405020304" pitchFamily="18" charset="0"/>
                <a:ea typeface="+mn-ea"/>
                <a:cs typeface="Times New Roman" panose="02020603050405020304" pitchFamily="18" charset="0"/>
              </a:defRPr>
            </a:pPr>
            <a:r>
              <a:rPr lang="es-GT" sz="1100">
                <a:solidFill>
                  <a:schemeClr val="bg2">
                    <a:lumMod val="25000"/>
                  </a:schemeClr>
                </a:solidFill>
                <a:latin typeface="Times New Roman" panose="02020603050405020304" pitchFamily="18" charset="0"/>
                <a:cs typeface="Times New Roman" panose="02020603050405020304" pitchFamily="18" charset="0"/>
              </a:rPr>
              <a:t>Variación interanual acumulada</a:t>
            </a:r>
          </a:p>
        </c:rich>
      </c:tx>
      <c:layout>
        <c:manualLayout>
          <c:xMode val="edge"/>
          <c:yMode val="edge"/>
          <c:x val="0.21949983298492787"/>
          <c:y val="1.8823529411764704E-2"/>
        </c:manualLayout>
      </c:layout>
      <c:overlay val="0"/>
      <c:spPr>
        <a:noFill/>
        <a:ln>
          <a:noFill/>
        </a:ln>
        <a:effectLst/>
      </c:spPr>
    </c:title>
    <c:autoTitleDeleted val="0"/>
    <c:plotArea>
      <c:layout>
        <c:manualLayout>
          <c:layoutTarget val="inner"/>
          <c:xMode val="edge"/>
          <c:yMode val="edge"/>
          <c:x val="7.7975338090466667E-2"/>
          <c:y val="0.18105931169148157"/>
          <c:w val="0.8842434494760798"/>
          <c:h val="0.65213598888374247"/>
        </c:manualLayout>
      </c:layout>
      <c:barChart>
        <c:barDir val="col"/>
        <c:grouping val="clustered"/>
        <c:varyColors val="0"/>
        <c:ser>
          <c:idx val="1"/>
          <c:order val="1"/>
          <c:tx>
            <c:strRef>
              <c:f>Sheet1!$C$1</c:f>
              <c:strCache>
                <c:ptCount val="1"/>
                <c:pt idx="0">
                  <c:v>2019</c:v>
                </c:pt>
              </c:strCache>
            </c:strRef>
          </c:tx>
          <c:spPr>
            <a:solidFill>
              <a:srgbClr val="A7693A"/>
            </a:solidFill>
            <a:ln w="22225">
              <a:solidFill>
                <a:srgbClr val="663300"/>
              </a:solidFill>
            </a:ln>
            <a:effectLst>
              <a:outerShdw blurRad="50800" dist="38100" dir="2700000" algn="tl" rotWithShape="0">
                <a:prstClr val="black">
                  <a:alpha val="40000"/>
                </a:prstClr>
              </a:outerShdw>
            </a:effectLst>
            <a:scene3d>
              <a:camera prst="orthographicFront"/>
              <a:lightRig rig="threePt" dir="t"/>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6633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Sheet1!$C$2:$C$13</c:f>
              <c:numCache>
                <c:formatCode>0.0</c:formatCode>
                <c:ptCount val="12"/>
                <c:pt idx="0">
                  <c:v>20.866803141310708</c:v>
                </c:pt>
                <c:pt idx="1">
                  <c:v>18.899999999999999</c:v>
                </c:pt>
                <c:pt idx="2">
                  <c:v>18.484635705486021</c:v>
                </c:pt>
                <c:pt idx="3">
                  <c:v>20.695779749635633</c:v>
                </c:pt>
                <c:pt idx="4">
                  <c:v>17.709367513757801</c:v>
                </c:pt>
                <c:pt idx="5">
                  <c:v>16.571610945689287</c:v>
                </c:pt>
                <c:pt idx="6">
                  <c:v>14.090536125922192</c:v>
                </c:pt>
                <c:pt idx="7">
                  <c:v>13.393679389225133</c:v>
                </c:pt>
                <c:pt idx="8">
                  <c:v>13.330184769919384</c:v>
                </c:pt>
                <c:pt idx="9">
                  <c:v>13.528990604418723</c:v>
                </c:pt>
                <c:pt idx="10">
                  <c:v>11.67897031749745</c:v>
                </c:pt>
                <c:pt idx="11">
                  <c:v>10.045446771352839</c:v>
                </c:pt>
              </c:numCache>
            </c:numRef>
          </c:val>
          <c:extLst xmlns:c16r2="http://schemas.microsoft.com/office/drawing/2015/06/chart">
            <c:ext xmlns:c16="http://schemas.microsoft.com/office/drawing/2014/chart" uri="{C3380CC4-5D6E-409C-BE32-E72D297353CC}">
              <c16:uniqueId val="{00000001-CCC3-41F0-9BE0-E224B0652950}"/>
            </c:ext>
          </c:extLst>
        </c:ser>
        <c:dLbls>
          <c:showLegendKey val="0"/>
          <c:showVal val="0"/>
          <c:showCatName val="0"/>
          <c:showSerName val="0"/>
          <c:showPercent val="0"/>
          <c:showBubbleSize val="0"/>
        </c:dLbls>
        <c:gapWidth val="69"/>
        <c:axId val="170436096"/>
        <c:axId val="170437632"/>
      </c:barChart>
      <c:lineChart>
        <c:grouping val="standard"/>
        <c:varyColors val="0"/>
        <c:ser>
          <c:idx val="0"/>
          <c:order val="0"/>
          <c:tx>
            <c:strRef>
              <c:f>Sheet1!$B$1</c:f>
              <c:strCache>
                <c:ptCount val="1"/>
                <c:pt idx="0">
                  <c:v>2018</c:v>
                </c:pt>
              </c:strCache>
            </c:strRef>
          </c:tx>
          <c:spPr>
            <a:ln w="44450" cap="rnd" cmpd="dbl">
              <a:solidFill>
                <a:srgbClr val="FFCD00"/>
              </a:solidFill>
              <a:prstDash val="solid"/>
              <a:round/>
            </a:ln>
            <a:effectLst/>
          </c:spPr>
          <c:marker>
            <c:symbol val="diamond"/>
            <c:size val="8"/>
            <c:spPr>
              <a:solidFill>
                <a:srgbClr val="FFCD00"/>
              </a:solidFill>
              <a:ln w="9525">
                <a:solidFill>
                  <a:schemeClr val="tx1">
                    <a:lumMod val="95000"/>
                    <a:lumOff val="5000"/>
                  </a:schemeClr>
                </a:solidFill>
              </a:ln>
              <a:effectLst/>
            </c:spPr>
          </c:marker>
          <c:dLbls>
            <c:dLbl>
              <c:idx val="0"/>
              <c:layout>
                <c:manualLayout>
                  <c:x val="-5.6809204877211063E-2"/>
                  <c:y val="-4.011746178786475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CC3-41F0-9BE0-E224B0652950}"/>
                </c:ext>
              </c:extLst>
            </c:dLbl>
            <c:dLbl>
              <c:idx val="3"/>
              <c:layout>
                <c:manualLayout>
                  <c:x val="-4.937331056183665E-2"/>
                  <c:y val="-4.011746178786475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CC3-41F0-9BE0-E224B0652950}"/>
                </c:ext>
              </c:extLst>
            </c:dLbl>
            <c:dLbl>
              <c:idx val="5"/>
              <c:layout>
                <c:manualLayout>
                  <c:x val="-4.937331056183665E-2"/>
                  <c:y val="-4.011746178786475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CC3-41F0-9BE0-E224B0652950}"/>
                </c:ext>
              </c:extLst>
            </c:dLbl>
            <c:dLbl>
              <c:idx val="6"/>
              <c:layout>
                <c:manualLayout>
                  <c:x val="-4.937331056183665E-2"/>
                  <c:y val="-4.011746178786475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CC3-41F0-9BE0-E224B0652950}"/>
                </c:ext>
              </c:extLst>
            </c:dLbl>
            <c:dLbl>
              <c:idx val="7"/>
              <c:layout>
                <c:manualLayout>
                  <c:x val="-4.937331056183665E-2"/>
                  <c:y val="-4.011746178786475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CC3-41F0-9BE0-E224B0652950}"/>
                </c:ext>
              </c:extLst>
            </c:dLbl>
            <c:dLbl>
              <c:idx val="8"/>
              <c:layout>
                <c:manualLayout>
                  <c:x val="-4.5938654886068145E-2"/>
                  <c:y val="-4.011746178786475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CC3-41F0-9BE0-E224B0652950}"/>
                </c:ext>
              </c:extLst>
            </c:dLbl>
            <c:dLbl>
              <c:idx val="9"/>
              <c:layout>
                <c:manualLayout>
                  <c:x val="-4.937331056183665E-2"/>
                  <c:y val="-4.01174617878648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CC3-41F0-9BE0-E224B0652950}"/>
                </c:ext>
              </c:extLst>
            </c:dLbl>
            <c:dLbl>
              <c:idx val="10"/>
              <c:layout>
                <c:manualLayout>
                  <c:x val="-4.937331056183665E-2"/>
                  <c:y val="-3.54115794349235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CC3-41F0-9BE0-E224B0652950}"/>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C000"/>
                    </a:solidFill>
                    <a:latin typeface="Times New Roman" panose="02020603050405020304" pitchFamily="18" charset="0"/>
                    <a:ea typeface="+mn-ea"/>
                    <a:cs typeface="Times New Roman" panose="02020603050405020304" pitchFamily="18" charset="0"/>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Sheet1!$B$2:$B$13</c:f>
              <c:numCache>
                <c:formatCode>0.0</c:formatCode>
                <c:ptCount val="12"/>
                <c:pt idx="0">
                  <c:v>-0.22252011232963298</c:v>
                </c:pt>
                <c:pt idx="1">
                  <c:v>1.1312445590619973</c:v>
                </c:pt>
                <c:pt idx="2">
                  <c:v>1.5810766724032135</c:v>
                </c:pt>
                <c:pt idx="3">
                  <c:v>2.8665747024958108</c:v>
                </c:pt>
                <c:pt idx="4">
                  <c:v>2.732595882154996</c:v>
                </c:pt>
                <c:pt idx="5">
                  <c:v>6.0668103809264409</c:v>
                </c:pt>
                <c:pt idx="6">
                  <c:v>6.5538563524536215</c:v>
                </c:pt>
                <c:pt idx="7">
                  <c:v>7.4836107723496497</c:v>
                </c:pt>
                <c:pt idx="8">
                  <c:v>7.3913120026542884</c:v>
                </c:pt>
                <c:pt idx="9">
                  <c:v>7.5665582874258774</c:v>
                </c:pt>
                <c:pt idx="10">
                  <c:v>8.9492279079340449</c:v>
                </c:pt>
                <c:pt idx="11">
                  <c:v>5.7000749927528886</c:v>
                </c:pt>
              </c:numCache>
            </c:numRef>
          </c:val>
          <c:smooth val="1"/>
          <c:extLst xmlns:c16r2="http://schemas.microsoft.com/office/drawing/2015/06/chart">
            <c:ext xmlns:c16="http://schemas.microsoft.com/office/drawing/2014/chart" uri="{C3380CC4-5D6E-409C-BE32-E72D297353CC}">
              <c16:uniqueId val="{00000000-CCC3-41F0-9BE0-E224B0652950}"/>
            </c:ext>
          </c:extLst>
        </c:ser>
        <c:dLbls>
          <c:showLegendKey val="0"/>
          <c:showVal val="0"/>
          <c:showCatName val="0"/>
          <c:showSerName val="0"/>
          <c:showPercent val="0"/>
          <c:showBubbleSize val="0"/>
        </c:dLbls>
        <c:marker val="1"/>
        <c:smooth val="0"/>
        <c:axId val="170436096"/>
        <c:axId val="170437632"/>
      </c:lineChart>
      <c:catAx>
        <c:axId val="1704360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ES"/>
          </a:p>
        </c:txPr>
        <c:crossAx val="170437632"/>
        <c:crosses val="autoZero"/>
        <c:auto val="1"/>
        <c:lblAlgn val="ctr"/>
        <c:lblOffset val="100"/>
        <c:noMultiLvlLbl val="0"/>
      </c:catAx>
      <c:valAx>
        <c:axId val="170437632"/>
        <c:scaling>
          <c:orientation val="minMax"/>
          <c:max val="24"/>
          <c:min val="-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ES"/>
          </a:p>
        </c:txPr>
        <c:crossAx val="170436096"/>
        <c:crosses val="autoZero"/>
        <c:crossBetween val="between"/>
      </c:valAx>
      <c:spPr>
        <a:noFill/>
        <a:ln>
          <a:noFill/>
        </a:ln>
        <a:effectLst/>
      </c:spPr>
    </c:plotArea>
    <c:legend>
      <c:legendPos val="b"/>
      <c:layout>
        <c:manualLayout>
          <c:xMode val="edge"/>
          <c:yMode val="edge"/>
          <c:x val="0.59724199853689075"/>
          <c:y val="0.21470532654006486"/>
          <c:w val="0.34819159969764213"/>
          <c:h val="7.94123205187586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193241469816275E-2"/>
          <c:y val="1.5386826646669167E-2"/>
          <c:w val="0.91734379556722079"/>
          <c:h val="0.82825240594925631"/>
        </c:manualLayout>
      </c:layout>
      <c:barChart>
        <c:barDir val="col"/>
        <c:grouping val="clustered"/>
        <c:varyColors val="0"/>
        <c:ser>
          <c:idx val="1"/>
          <c:order val="1"/>
          <c:tx>
            <c:strRef>
              <c:f>Sheet1!$C$1</c:f>
              <c:strCache>
                <c:ptCount val="1"/>
                <c:pt idx="0">
                  <c:v>2020</c:v>
                </c:pt>
              </c:strCache>
            </c:strRef>
          </c:tx>
          <c:spPr>
            <a:solidFill>
              <a:schemeClr val="accent1">
                <a:lumMod val="50000"/>
              </a:schemeClr>
            </a:solidFill>
            <a:ln>
              <a:solidFill>
                <a:schemeClr val="tx1"/>
              </a:solidFill>
            </a:ln>
            <a:effectLst>
              <a:outerShdw blurRad="50800" dist="38100" dir="2700000" algn="tl" rotWithShape="0">
                <a:prstClr val="black">
                  <a:alpha val="40000"/>
                </a:prstClr>
              </a:outerShdw>
            </a:effectLst>
          </c:spPr>
          <c:invertIfNegative val="0"/>
          <c:dLbls>
            <c:dLbl>
              <c:idx val="0"/>
              <c:layout>
                <c:manualLayout>
                  <c:x val="0"/>
                  <c:y val="0.1111111111111110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1CD8-49CA-AEC6-325B260F3769}"/>
                </c:ext>
              </c:extLst>
            </c:dLbl>
            <c:dLbl>
              <c:idx val="2"/>
              <c:layout>
                <c:manualLayout>
                  <c:x val="2.3148148148148147E-3"/>
                  <c:y val="7.53968253968253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1CD8-49CA-AEC6-325B260F3769}"/>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1CD8-49CA-AEC6-325B260F3769}"/>
                </c:ext>
              </c:extLst>
            </c:dLbl>
            <c:dLbl>
              <c:idx val="4"/>
              <c:layout>
                <c:manualLayout>
                  <c:x val="-4.2437781360066642E-17"/>
                  <c:y val="7.14285714285713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1CD8-49CA-AEC6-325B260F3769}"/>
                </c:ext>
              </c:extLst>
            </c:dLbl>
            <c:dLbl>
              <c:idx val="5"/>
              <c:layout>
                <c:manualLayout>
                  <c:x val="0"/>
                  <c:y val="6.74603174603174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1CD8-49CA-AEC6-325B260F3769}"/>
                </c:ext>
              </c:extLst>
            </c:dLbl>
            <c:dLbl>
              <c:idx val="6"/>
              <c:layout>
                <c:manualLayout>
                  <c:x val="0"/>
                  <c:y val="7.93650793650793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1CD8-49CA-AEC6-325B260F3769}"/>
                </c:ext>
              </c:extLst>
            </c:dLbl>
            <c:dLbl>
              <c:idx val="7"/>
              <c:layout>
                <c:manualLayout>
                  <c:x val="0"/>
                  <c:y val="8.33333333333333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1CD8-49CA-AEC6-325B260F3769}"/>
                </c:ext>
              </c:extLst>
            </c:dLbl>
            <c:dLbl>
              <c:idx val="8"/>
              <c:layout>
                <c:manualLayout>
                  <c:x val="0"/>
                  <c:y val="0.111111111111111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1CD8-49CA-AEC6-325B260F3769}"/>
                </c:ext>
              </c:extLst>
            </c:dLbl>
            <c:dLbl>
              <c:idx val="9"/>
              <c:layout>
                <c:manualLayout>
                  <c:x val="-2.3148148148148997E-3"/>
                  <c:y val="9.92063492063492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1CD8-49CA-AEC6-325B260F3769}"/>
                </c:ext>
              </c:extLst>
            </c:dLbl>
            <c:dLbl>
              <c:idx val="10"/>
              <c:layout>
                <c:manualLayout>
                  <c:x val="-1.6975112544026657E-16"/>
                  <c:y val="7.14285714285713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1CD8-49CA-AEC6-325B260F3769}"/>
                </c:ext>
              </c:extLst>
            </c:dLbl>
            <c:dLbl>
              <c:idx val="11"/>
              <c:layout>
                <c:manualLayout>
                  <c:x val="0"/>
                  <c:y val="6.74603174603174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1CD8-49CA-AEC6-325B260F376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Sheet1!$C$2:$C$13</c:f>
              <c:numCache>
                <c:formatCode>0.0</c:formatCode>
                <c:ptCount val="12"/>
                <c:pt idx="0">
                  <c:v>5.0361704047982698</c:v>
                </c:pt>
                <c:pt idx="1">
                  <c:v>0.2287739492482217</c:v>
                </c:pt>
                <c:pt idx="2">
                  <c:v>2.359727921686769</c:v>
                </c:pt>
                <c:pt idx="3">
                  <c:v>-1.6368588902494281</c:v>
                </c:pt>
                <c:pt idx="4">
                  <c:v>4.1616794933846677</c:v>
                </c:pt>
                <c:pt idx="5">
                  <c:v>8.9897106938321656</c:v>
                </c:pt>
                <c:pt idx="6">
                  <c:v>10.002644105726375</c:v>
                </c:pt>
                <c:pt idx="7">
                  <c:v>11.996377355081307</c:v>
                </c:pt>
                <c:pt idx="8">
                  <c:v>14.384526296729348</c:v>
                </c:pt>
                <c:pt idx="9">
                  <c:v>14.266815045548498</c:v>
                </c:pt>
                <c:pt idx="10">
                  <c:v>14.997263354670991</c:v>
                </c:pt>
                <c:pt idx="11">
                  <c:v>16.642508986226574</c:v>
                </c:pt>
              </c:numCache>
            </c:numRef>
          </c:val>
          <c:extLst xmlns:c16r2="http://schemas.microsoft.com/office/drawing/2015/06/chart">
            <c:ext xmlns:c16="http://schemas.microsoft.com/office/drawing/2014/chart" uri="{C3380CC4-5D6E-409C-BE32-E72D297353CC}">
              <c16:uniqueId val="{00000001-1CD8-49CA-AEC6-325B260F3769}"/>
            </c:ext>
          </c:extLst>
        </c:ser>
        <c:dLbls>
          <c:showLegendKey val="0"/>
          <c:showVal val="0"/>
          <c:showCatName val="0"/>
          <c:showSerName val="0"/>
          <c:showPercent val="0"/>
          <c:showBubbleSize val="0"/>
        </c:dLbls>
        <c:gapWidth val="99"/>
        <c:axId val="172799488"/>
        <c:axId val="172801024"/>
      </c:barChart>
      <c:lineChart>
        <c:grouping val="standard"/>
        <c:varyColors val="0"/>
        <c:ser>
          <c:idx val="0"/>
          <c:order val="0"/>
          <c:tx>
            <c:strRef>
              <c:f>Sheet1!$B$1</c:f>
              <c:strCache>
                <c:ptCount val="1"/>
                <c:pt idx="0">
                  <c:v>2019</c:v>
                </c:pt>
              </c:strCache>
            </c:strRef>
          </c:tx>
          <c:spPr>
            <a:ln w="57150" cap="rnd">
              <a:solidFill>
                <a:schemeClr val="accent1"/>
              </a:solidFill>
              <a:prstDash val="sysDot"/>
              <a:round/>
            </a:ln>
            <a:effectLst>
              <a:outerShdw blurRad="50800" dist="38100" dir="5400000" algn="t" rotWithShape="0">
                <a:prstClr val="black">
                  <a:alpha val="40000"/>
                </a:prstClr>
              </a:outerShdw>
            </a:effectLst>
          </c:spPr>
          <c:marker>
            <c:symbol val="none"/>
          </c:marker>
          <c:dLbls>
            <c:dLbl>
              <c:idx val="0"/>
              <c:layout>
                <c:manualLayout>
                  <c:x val="-3.9351851851851853E-2"/>
                  <c:y val="-3.9682539682539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CD8-49CA-AEC6-325B260F3769}"/>
                </c:ext>
              </c:extLst>
            </c:dLbl>
            <c:dLbl>
              <c:idx val="1"/>
              <c:layout>
                <c:manualLayout>
                  <c:x val="-3.0092592592592615E-2"/>
                  <c:y val="-3.57142857142857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CD8-49CA-AEC6-325B260F3769}"/>
                </c:ext>
              </c:extLst>
            </c:dLbl>
            <c:dLbl>
              <c:idx val="2"/>
              <c:layout>
                <c:manualLayout>
                  <c:x val="-4.1666666666666706E-2"/>
                  <c:y val="4.76190476190475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CD8-49CA-AEC6-325B260F3769}"/>
                </c:ext>
              </c:extLst>
            </c:dLbl>
            <c:dLbl>
              <c:idx val="3"/>
              <c:layout>
                <c:manualLayout>
                  <c:x val="-3.4722222222222265E-2"/>
                  <c:y val="-4.3650793650793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CD8-49CA-AEC6-325B260F3769}"/>
                </c:ext>
              </c:extLst>
            </c:dLbl>
            <c:dLbl>
              <c:idx val="4"/>
              <c:layout>
                <c:manualLayout>
                  <c:x val="-3.2407407407407447E-2"/>
                  <c:y val="5.95238095238094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CD8-49CA-AEC6-325B260F3769}"/>
                </c:ext>
              </c:extLst>
            </c:dLbl>
            <c:dLbl>
              <c:idx val="5"/>
              <c:layout>
                <c:manualLayout>
                  <c:x val="-3.2407407407407489E-2"/>
                  <c:y val="-3.9682539682539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CD8-49CA-AEC6-325B260F3769}"/>
                </c:ext>
              </c:extLst>
            </c:dLbl>
            <c:dLbl>
              <c:idx val="6"/>
              <c:layout>
                <c:manualLayout>
                  <c:x val="-3.0092592592592591E-2"/>
                  <c:y val="-3.9682539682539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CD8-49CA-AEC6-325B260F3769}"/>
                </c:ext>
              </c:extLst>
            </c:dLbl>
            <c:dLbl>
              <c:idx val="7"/>
              <c:layout>
                <c:manualLayout>
                  <c:x val="-3.9351851851851936E-2"/>
                  <c:y val="-2.3809523809523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CD8-49CA-AEC6-325B260F3769}"/>
                </c:ext>
              </c:extLst>
            </c:dLbl>
            <c:dLbl>
              <c:idx val="8"/>
              <c:layout>
                <c:manualLayout>
                  <c:x val="-3.9351851851851936E-2"/>
                  <c:y val="-4.3650793650793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CD8-49CA-AEC6-325B260F3769}"/>
                </c:ext>
              </c:extLst>
            </c:dLbl>
            <c:dLbl>
              <c:idx val="9"/>
              <c:layout>
                <c:manualLayout>
                  <c:x val="-4.1666666666666755E-2"/>
                  <c:y val="-4.76190476190476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CD8-49CA-AEC6-325B260F3769}"/>
                </c:ext>
              </c:extLst>
            </c:dLbl>
            <c:dLbl>
              <c:idx val="10"/>
              <c:layout>
                <c:manualLayout>
                  <c:x val="6.9444444444444441E-3"/>
                  <c:y val="-1.19047619047619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CD8-49CA-AEC6-325B260F3769}"/>
                </c:ext>
              </c:extLst>
            </c:dLbl>
            <c:dLbl>
              <c:idx val="11"/>
              <c:layout>
                <c:manualLayout>
                  <c:x val="6.9444444444444441E-3"/>
                  <c:y val="-1.19047619047619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CD8-49CA-AEC6-325B260F3769}"/>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Sheet1!$B$2:$B$13</c:f>
              <c:numCache>
                <c:formatCode>0.0</c:formatCode>
                <c:ptCount val="12"/>
                <c:pt idx="0">
                  <c:v>20.866803141310683</c:v>
                </c:pt>
                <c:pt idx="1">
                  <c:v>18.890720629817309</c:v>
                </c:pt>
                <c:pt idx="2">
                  <c:v>18.484673678534875</c:v>
                </c:pt>
                <c:pt idx="3">
                  <c:v>20.695807104236977</c:v>
                </c:pt>
                <c:pt idx="4">
                  <c:v>17.709388468156902</c:v>
                </c:pt>
                <c:pt idx="5">
                  <c:v>16.571627777925187</c:v>
                </c:pt>
                <c:pt idx="6">
                  <c:v>14.052939752280864</c:v>
                </c:pt>
                <c:pt idx="7">
                  <c:v>13.393702045079038</c:v>
                </c:pt>
                <c:pt idx="8">
                  <c:v>13.330204815833028</c:v>
                </c:pt>
                <c:pt idx="9">
                  <c:v>13.529119841028276</c:v>
                </c:pt>
                <c:pt idx="10">
                  <c:v>11.678930023569151</c:v>
                </c:pt>
                <c:pt idx="11">
                  <c:v>10.045435053713803</c:v>
                </c:pt>
              </c:numCache>
            </c:numRef>
          </c:val>
          <c:smooth val="1"/>
          <c:extLst xmlns:c16r2="http://schemas.microsoft.com/office/drawing/2015/06/chart">
            <c:ext xmlns:c16="http://schemas.microsoft.com/office/drawing/2014/chart" uri="{C3380CC4-5D6E-409C-BE32-E72D297353CC}">
              <c16:uniqueId val="{00000000-1CD8-49CA-AEC6-325B260F3769}"/>
            </c:ext>
          </c:extLst>
        </c:ser>
        <c:ser>
          <c:idx val="2"/>
          <c:order val="2"/>
          <c:tx>
            <c:strRef>
              <c:f>Sheet1!$D$1</c:f>
              <c:strCache>
                <c:ptCount val="1"/>
                <c:pt idx="0">
                  <c:v>2020 Sin COVID-19</c:v>
                </c:pt>
              </c:strCache>
            </c:strRef>
          </c:tx>
          <c:spPr>
            <a:ln w="38100" cap="rnd">
              <a:solidFill>
                <a:schemeClr val="accent3"/>
              </a:solidFill>
              <a:prstDash val="sysDash"/>
              <a:round/>
            </a:ln>
            <a:effectLst>
              <a:outerShdw blurRad="50800" dist="38100" dir="5400000" algn="t" rotWithShape="0">
                <a:prstClr val="black">
                  <a:alpha val="40000"/>
                </a:prstClr>
              </a:outerShdw>
            </a:effectLst>
          </c:spPr>
          <c:marker>
            <c:symbol val="none"/>
          </c:marker>
          <c:dLbls>
            <c:dLbl>
              <c:idx val="0"/>
              <c:layout>
                <c:manualLayout>
                  <c:x val="-3.7037037037037035E-2"/>
                  <c:y val="-3.17460317460318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CD8-49CA-AEC6-325B260F3769}"/>
                </c:ext>
              </c:extLst>
            </c:dLbl>
            <c:dLbl>
              <c:idx val="1"/>
              <c:layout>
                <c:manualLayout>
                  <c:x val="-2.0833333333333353E-2"/>
                  <c:y val="5.15873015873015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CD8-49CA-AEC6-325B260F3769}"/>
                </c:ext>
              </c:extLst>
            </c:dLbl>
            <c:dLbl>
              <c:idx val="2"/>
              <c:layout>
                <c:manualLayout>
                  <c:x val="-3.7037037037037035E-2"/>
                  <c:y val="-3.57142857142856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CD8-49CA-AEC6-325B260F3769}"/>
                </c:ext>
              </c:extLst>
            </c:dLbl>
            <c:dLbl>
              <c:idx val="3"/>
              <c:layout>
                <c:manualLayout>
                  <c:x val="-3.7037037037037077E-2"/>
                  <c:y val="4.76190476190474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1CD8-49CA-AEC6-325B260F3769}"/>
                </c:ext>
              </c:extLst>
            </c:dLbl>
            <c:dLbl>
              <c:idx val="4"/>
              <c:layout>
                <c:manualLayout>
                  <c:x val="-3.7037037037037035E-2"/>
                  <c:y val="-2.77777777777779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1CD8-49CA-AEC6-325B260F3769}"/>
                </c:ext>
              </c:extLst>
            </c:dLbl>
            <c:dLbl>
              <c:idx val="5"/>
              <c:layout>
                <c:manualLayout>
                  <c:x val="-3.9351851851851853E-2"/>
                  <c:y val="4.3650793650793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1CD8-49CA-AEC6-325B260F3769}"/>
                </c:ext>
              </c:extLst>
            </c:dLbl>
            <c:dLbl>
              <c:idx val="6"/>
              <c:layout>
                <c:manualLayout>
                  <c:x val="-3.4722222222222224E-2"/>
                  <c:y val="3.9682539682539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1CD8-49CA-AEC6-325B260F3769}"/>
                </c:ext>
              </c:extLst>
            </c:dLbl>
            <c:dLbl>
              <c:idx val="7"/>
              <c:layout>
                <c:manualLayout>
                  <c:x val="-3.4722222222222224E-2"/>
                  <c:y val="3.9682539682539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1CD8-49CA-AEC6-325B260F3769}"/>
                </c:ext>
              </c:extLst>
            </c:dLbl>
            <c:dLbl>
              <c:idx val="8"/>
              <c:layout>
                <c:manualLayout>
                  <c:x val="-3.7037037037037035E-2"/>
                  <c:y val="3.9682539682539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1CD8-49CA-AEC6-325B260F3769}"/>
                </c:ext>
              </c:extLst>
            </c:dLbl>
            <c:dLbl>
              <c:idx val="9"/>
              <c:layout>
                <c:manualLayout>
                  <c:x val="-3.7037037037037125E-2"/>
                  <c:y val="3.96825396825395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1CD8-49CA-AEC6-325B260F3769}"/>
                </c:ext>
              </c:extLst>
            </c:dLbl>
            <c:dLbl>
              <c:idx val="10"/>
              <c:layout>
                <c:manualLayout>
                  <c:x val="-3.7037037037037035E-2"/>
                  <c:y val="4.36507936507935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1CD8-49CA-AEC6-325B260F3769}"/>
                </c:ext>
              </c:extLst>
            </c:dLbl>
            <c:dLbl>
              <c:idx val="11"/>
              <c:layout>
                <c:manualLayout>
                  <c:x val="-3.0092592592592591E-2"/>
                  <c:y val="6.74603174603174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1CD8-49CA-AEC6-325B260F376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Sheet1!$D$2:$D$13</c:f>
              <c:numCache>
                <c:formatCode>0.0</c:formatCode>
                <c:ptCount val="12"/>
                <c:pt idx="0">
                  <c:v>5.0361704047982698</c:v>
                </c:pt>
                <c:pt idx="1">
                  <c:v>0.2287739492482217</c:v>
                </c:pt>
                <c:pt idx="2">
                  <c:v>2.359727921686769</c:v>
                </c:pt>
                <c:pt idx="3">
                  <c:v>-1.6368588902494281</c:v>
                </c:pt>
                <c:pt idx="4">
                  <c:v>-2.6718823699915504</c:v>
                </c:pt>
                <c:pt idx="5">
                  <c:v>-1.5843190889725918</c:v>
                </c:pt>
                <c:pt idx="6">
                  <c:v>-0.92163042603394274</c:v>
                </c:pt>
                <c:pt idx="7">
                  <c:v>-1.4874847440868706</c:v>
                </c:pt>
                <c:pt idx="8">
                  <c:v>-2.2661301888656595</c:v>
                </c:pt>
                <c:pt idx="9">
                  <c:v>-2.5752595439989818</c:v>
                </c:pt>
                <c:pt idx="10">
                  <c:v>-1.3970811289979395</c:v>
                </c:pt>
                <c:pt idx="11">
                  <c:v>0.32144916015735703</c:v>
                </c:pt>
              </c:numCache>
            </c:numRef>
          </c:val>
          <c:smooth val="1"/>
          <c:extLst xmlns:c16r2="http://schemas.microsoft.com/office/drawing/2015/06/chart">
            <c:ext xmlns:c16="http://schemas.microsoft.com/office/drawing/2014/chart" uri="{C3380CC4-5D6E-409C-BE32-E72D297353CC}">
              <c16:uniqueId val="{00000002-1CD8-49CA-AEC6-325B260F3769}"/>
            </c:ext>
          </c:extLst>
        </c:ser>
        <c:dLbls>
          <c:showLegendKey val="0"/>
          <c:showVal val="0"/>
          <c:showCatName val="0"/>
          <c:showSerName val="0"/>
          <c:showPercent val="0"/>
          <c:showBubbleSize val="0"/>
        </c:dLbls>
        <c:marker val="1"/>
        <c:smooth val="0"/>
        <c:axId val="172799488"/>
        <c:axId val="172801024"/>
      </c:lineChart>
      <c:catAx>
        <c:axId val="17279948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72801024"/>
        <c:crosses val="autoZero"/>
        <c:auto val="1"/>
        <c:lblAlgn val="ctr"/>
        <c:lblOffset val="100"/>
        <c:noMultiLvlLbl val="0"/>
      </c:catAx>
      <c:valAx>
        <c:axId val="17280102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7279948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1791867162438033"/>
          <c:y val="0.93303524559430073"/>
          <c:w val="0.57640310586176724"/>
          <c:h val="6.295775528058993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lt1"/>
    </a:solidFill>
    <a:ln w="9525" cap="flat" cmpd="sng" algn="ctr">
      <a:noFill/>
      <a:round/>
    </a:ln>
    <a:effectLst/>
  </c:spPr>
  <c:txPr>
    <a:bodyPr/>
    <a:lstStyle/>
    <a:p>
      <a:pPr>
        <a:defRPr/>
      </a:pPr>
      <a:endParaRPr lang="es-E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111333769893601E-2"/>
          <c:y val="6.7748261722232125E-2"/>
          <c:w val="0.89786937904192066"/>
          <c:h val="0.61537854657096369"/>
        </c:manualLayout>
      </c:layout>
      <c:barChart>
        <c:barDir val="col"/>
        <c:grouping val="clustered"/>
        <c:varyColors val="0"/>
        <c:ser>
          <c:idx val="2"/>
          <c:order val="1"/>
          <c:tx>
            <c:strRef>
              <c:f>Sheet1!$D$1</c:f>
              <c:strCache>
                <c:ptCount val="1"/>
                <c:pt idx="0">
                  <c:v>Promedio</c:v>
                </c:pt>
              </c:strCache>
            </c:strRef>
          </c:tx>
          <c:spPr>
            <a:solidFill>
              <a:schemeClr val="accent3"/>
            </a:solidFill>
            <a:ln w="12700">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bg2">
                        <a:lumMod val="25000"/>
                      </a:schemeClr>
                    </a:solidFill>
                    <a:latin typeface="Times New Roman" panose="02020603050405020304" pitchFamily="18" charset="0"/>
                    <a:ea typeface="+mn-ea"/>
                    <a:cs typeface="Times New Roman" panose="02020603050405020304" pitchFamily="18" charset="0"/>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Cultura y Deportes</c:v>
                </c:pt>
                <c:pt idx="1">
                  <c:v>Comunicaciones</c:v>
                </c:pt>
                <c:pt idx="2">
                  <c:v>Desarrollo Social</c:v>
                </c:pt>
                <c:pt idx="3">
                  <c:v>Agricultura</c:v>
                </c:pt>
                <c:pt idx="4">
                  <c:v>Economía</c:v>
                </c:pt>
                <c:pt idx="5">
                  <c:v>Finanzas</c:v>
                </c:pt>
                <c:pt idx="6">
                  <c:v>Secretarías</c:v>
                </c:pt>
                <c:pt idx="7">
                  <c:v>Ambiente</c:v>
                </c:pt>
                <c:pt idx="8">
                  <c:v>Gobernación</c:v>
                </c:pt>
                <c:pt idx="9">
                  <c:v>Salud Pública</c:v>
                </c:pt>
                <c:pt idx="10">
                  <c:v>Energía</c:v>
                </c:pt>
                <c:pt idx="11">
                  <c:v>PGN</c:v>
                </c:pt>
                <c:pt idx="12">
                  <c:v>Obligaciones</c:v>
                </c:pt>
                <c:pt idx="13">
                  <c:v>Presidencia </c:v>
                </c:pt>
                <c:pt idx="14">
                  <c:v>Trabajo</c:v>
                </c:pt>
                <c:pt idx="15">
                  <c:v>Relaciones Exteriores</c:v>
                </c:pt>
                <c:pt idx="16">
                  <c:v>Educación</c:v>
                </c:pt>
                <c:pt idx="17">
                  <c:v>Defensa</c:v>
                </c:pt>
                <c:pt idx="18">
                  <c:v>Deuda Pública</c:v>
                </c:pt>
              </c:strCache>
            </c:strRef>
          </c:cat>
          <c:val>
            <c:numRef>
              <c:f>Sheet1!$D$2:$D$20</c:f>
              <c:numCache>
                <c:formatCode>0.0%</c:formatCode>
                <c:ptCount val="19"/>
                <c:pt idx="0">
                  <c:v>0.72065295079432867</c:v>
                </c:pt>
                <c:pt idx="1">
                  <c:v>0.75381128559142907</c:v>
                </c:pt>
                <c:pt idx="2">
                  <c:v>0.76353224933215225</c:v>
                </c:pt>
                <c:pt idx="3">
                  <c:v>0.84146688607083531</c:v>
                </c:pt>
                <c:pt idx="4">
                  <c:v>0.86826421471365589</c:v>
                </c:pt>
                <c:pt idx="5">
                  <c:v>0.88202045515605076</c:v>
                </c:pt>
                <c:pt idx="6">
                  <c:v>0.8834411927182414</c:v>
                </c:pt>
                <c:pt idx="7">
                  <c:v>0.89639507441304644</c:v>
                </c:pt>
                <c:pt idx="8">
                  <c:v>0.89693473553772129</c:v>
                </c:pt>
                <c:pt idx="9">
                  <c:v>0.90020100032238271</c:v>
                </c:pt>
                <c:pt idx="10">
                  <c:v>0.92333960253442271</c:v>
                </c:pt>
                <c:pt idx="11">
                  <c:v>0.93012408556021353</c:v>
                </c:pt>
                <c:pt idx="12">
                  <c:v>0.9384720643654838</c:v>
                </c:pt>
                <c:pt idx="13">
                  <c:v>0.94356055539198136</c:v>
                </c:pt>
                <c:pt idx="14">
                  <c:v>0.94718650904175128</c:v>
                </c:pt>
                <c:pt idx="15">
                  <c:v>0.94965050821363306</c:v>
                </c:pt>
                <c:pt idx="16">
                  <c:v>0.95201951661492079</c:v>
                </c:pt>
                <c:pt idx="17">
                  <c:v>0.96687436026141726</c:v>
                </c:pt>
                <c:pt idx="18">
                  <c:v>0.98732513254327703</c:v>
                </c:pt>
              </c:numCache>
            </c:numRef>
          </c:val>
          <c:extLst xmlns:c16r2="http://schemas.microsoft.com/office/drawing/2015/06/chart">
            <c:ext xmlns:c16="http://schemas.microsoft.com/office/drawing/2014/chart" uri="{C3380CC4-5D6E-409C-BE32-E72D297353CC}">
              <c16:uniqueId val="{00000002-3C77-456C-8DE6-BEB34B4DA7A3}"/>
            </c:ext>
          </c:extLst>
        </c:ser>
        <c:dLbls>
          <c:showLegendKey val="0"/>
          <c:showVal val="0"/>
          <c:showCatName val="0"/>
          <c:showSerName val="0"/>
          <c:showPercent val="0"/>
          <c:showBubbleSize val="0"/>
        </c:dLbls>
        <c:gapWidth val="46"/>
        <c:axId val="172837120"/>
        <c:axId val="172847104"/>
      </c:barChart>
      <c:lineChart>
        <c:grouping val="standard"/>
        <c:varyColors val="0"/>
        <c:ser>
          <c:idx val="1"/>
          <c:order val="0"/>
          <c:tx>
            <c:strRef>
              <c:f>Sheet1!$C$1</c:f>
              <c:strCache>
                <c:ptCount val="1"/>
                <c:pt idx="0">
                  <c:v>Ejecución Institucional 2019</c:v>
                </c:pt>
              </c:strCache>
            </c:strRef>
          </c:tx>
          <c:spPr>
            <a:ln w="28575" cap="rnd">
              <a:solidFill>
                <a:schemeClr val="accent2"/>
              </a:solidFill>
              <a:round/>
            </a:ln>
            <a:effectLst/>
          </c:spPr>
          <c:marker>
            <c:symbol val="none"/>
          </c:marker>
          <c:dLbls>
            <c:dLbl>
              <c:idx val="14"/>
              <c:layout>
                <c:manualLayout>
                  <c:x val="-0.49267408819132408"/>
                  <c:y val="-7.773347951759195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r>
                      <a:rPr lang="en-US" sz="1000" b="1">
                        <a:solidFill>
                          <a:schemeClr val="accent2">
                            <a:lumMod val="75000"/>
                          </a:schemeClr>
                        </a:solidFill>
                        <a:latin typeface="Times New Roman" panose="02020603050405020304" pitchFamily="18" charset="0"/>
                        <a:cs typeface="Times New Roman" panose="02020603050405020304" pitchFamily="18" charset="0"/>
                      </a:rPr>
                      <a:t>Ejecución Institucional 2019; </a:t>
                    </a:r>
                    <a:fld id="{0936F9FA-A5E0-44A3-9D7A-C4C68370B533}" type="VALUE">
                      <a:rPr lang="en-US" sz="1000" b="1">
                        <a:solidFill>
                          <a:schemeClr val="accent2">
                            <a:lumMod val="75000"/>
                          </a:schemeClr>
                        </a:solidFill>
                        <a:latin typeface="Times New Roman" panose="02020603050405020304" pitchFamily="18" charset="0"/>
                        <a:cs typeface="Times New Roman" panose="02020603050405020304" pitchFamily="18" charset="0"/>
                      </a:rPr>
                      <a:pPr>
                        <a:defRPr sz="10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t>[VALOR]</a:t>
                    </a:fld>
                    <a:endParaRPr lang="en-US" sz="1000" b="1">
                      <a:solidFill>
                        <a:schemeClr val="accent2">
                          <a:lumMod val="75000"/>
                        </a:schemeClr>
                      </a:solidFill>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40640037182852146"/>
                      <c:h val="5.53771403574553E-2"/>
                    </c:manualLayout>
                  </c15:layout>
                  <c15:dlblFieldTable/>
                  <c15:showDataLabelsRange val="0"/>
                </c:ext>
                <c:ext xmlns:c16="http://schemas.microsoft.com/office/drawing/2014/chart" uri="{C3380CC4-5D6E-409C-BE32-E72D297353CC}">
                  <c16:uniqueId val="{00000000-1FFC-4039-9B89-61DA423B38D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Sheet1!$A$2:$A$20</c:f>
              <c:strCache>
                <c:ptCount val="19"/>
                <c:pt idx="0">
                  <c:v>Cultura y Deportes</c:v>
                </c:pt>
                <c:pt idx="1">
                  <c:v>Comunicaciones</c:v>
                </c:pt>
                <c:pt idx="2">
                  <c:v>Desarrollo Social</c:v>
                </c:pt>
                <c:pt idx="3">
                  <c:v>Agricultura</c:v>
                </c:pt>
                <c:pt idx="4">
                  <c:v>Economía</c:v>
                </c:pt>
                <c:pt idx="5">
                  <c:v>Finanzas</c:v>
                </c:pt>
                <c:pt idx="6">
                  <c:v>Secretarías</c:v>
                </c:pt>
                <c:pt idx="7">
                  <c:v>Ambiente</c:v>
                </c:pt>
                <c:pt idx="8">
                  <c:v>Gobernación</c:v>
                </c:pt>
                <c:pt idx="9">
                  <c:v>Salud Pública</c:v>
                </c:pt>
                <c:pt idx="10">
                  <c:v>Energía</c:v>
                </c:pt>
                <c:pt idx="11">
                  <c:v>PGN</c:v>
                </c:pt>
                <c:pt idx="12">
                  <c:v>Obligaciones</c:v>
                </c:pt>
                <c:pt idx="13">
                  <c:v>Presidencia </c:v>
                </c:pt>
                <c:pt idx="14">
                  <c:v>Trabajo</c:v>
                </c:pt>
                <c:pt idx="15">
                  <c:v>Relaciones Exteriores</c:v>
                </c:pt>
                <c:pt idx="16">
                  <c:v>Educación</c:v>
                </c:pt>
                <c:pt idx="17">
                  <c:v>Defensa</c:v>
                </c:pt>
                <c:pt idx="18">
                  <c:v>Deuda Pública</c:v>
                </c:pt>
              </c:strCache>
            </c:strRef>
          </c:cat>
          <c:val>
            <c:numRef>
              <c:f>Sheet1!$C$2:$C$20</c:f>
              <c:numCache>
                <c:formatCode>0.0%</c:formatCode>
                <c:ptCount val="19"/>
                <c:pt idx="0">
                  <c:v>0.93786185623851215</c:v>
                </c:pt>
                <c:pt idx="1">
                  <c:v>0.93786185623851215</c:v>
                </c:pt>
                <c:pt idx="2">
                  <c:v>0.93786185623851215</c:v>
                </c:pt>
                <c:pt idx="3">
                  <c:v>0.93786185623851215</c:v>
                </c:pt>
                <c:pt idx="4">
                  <c:v>0.93786185623851215</c:v>
                </c:pt>
                <c:pt idx="5">
                  <c:v>0.93786185623851215</c:v>
                </c:pt>
                <c:pt idx="6">
                  <c:v>0.93786185623851215</c:v>
                </c:pt>
                <c:pt idx="7">
                  <c:v>0.93786185623851215</c:v>
                </c:pt>
                <c:pt idx="8">
                  <c:v>0.93786185623851215</c:v>
                </c:pt>
                <c:pt idx="9">
                  <c:v>0.93786185623851215</c:v>
                </c:pt>
                <c:pt idx="10">
                  <c:v>0.93786185623851215</c:v>
                </c:pt>
                <c:pt idx="11">
                  <c:v>0.93786185623851215</c:v>
                </c:pt>
                <c:pt idx="12">
                  <c:v>0.93786185623851215</c:v>
                </c:pt>
                <c:pt idx="13">
                  <c:v>0.93786185623851215</c:v>
                </c:pt>
                <c:pt idx="14">
                  <c:v>0.93786185623851215</c:v>
                </c:pt>
                <c:pt idx="15">
                  <c:v>0.93786185623851215</c:v>
                </c:pt>
                <c:pt idx="16">
                  <c:v>0.93786185623851215</c:v>
                </c:pt>
                <c:pt idx="17">
                  <c:v>0.93786185623851215</c:v>
                </c:pt>
                <c:pt idx="18">
                  <c:v>0.93786185623851215</c:v>
                </c:pt>
              </c:numCache>
            </c:numRef>
          </c:val>
          <c:smooth val="0"/>
          <c:extLst xmlns:c16r2="http://schemas.microsoft.com/office/drawing/2015/06/chart">
            <c:ext xmlns:c16="http://schemas.microsoft.com/office/drawing/2014/chart" uri="{C3380CC4-5D6E-409C-BE32-E72D297353CC}">
              <c16:uniqueId val="{00000001-3C77-456C-8DE6-BEB34B4DA7A3}"/>
            </c:ext>
          </c:extLst>
        </c:ser>
        <c:ser>
          <c:idx val="3"/>
          <c:order val="2"/>
          <c:tx>
            <c:strRef>
              <c:f>Sheet1!$E$1</c:f>
              <c:strCache>
                <c:ptCount val="1"/>
                <c:pt idx="0">
                  <c:v>2020</c:v>
                </c:pt>
              </c:strCache>
            </c:strRef>
          </c:tx>
          <c:spPr>
            <a:ln w="28575" cap="rnd">
              <a:noFill/>
              <a:round/>
            </a:ln>
            <a:effectLst/>
          </c:spPr>
          <c:marker>
            <c:symbol val="circle"/>
            <c:size val="9"/>
            <c:spPr>
              <a:solidFill>
                <a:schemeClr val="accent4"/>
              </a:solidFill>
              <a:ln w="9525">
                <a:solidFill>
                  <a:schemeClr val="tx1"/>
                </a:solidFill>
              </a:ln>
              <a:effectLst/>
            </c:spPr>
          </c:marker>
          <c:cat>
            <c:strRef>
              <c:f>Sheet1!$A$2:$A$20</c:f>
              <c:strCache>
                <c:ptCount val="19"/>
                <c:pt idx="0">
                  <c:v>Cultura y Deportes</c:v>
                </c:pt>
                <c:pt idx="1">
                  <c:v>Comunicaciones</c:v>
                </c:pt>
                <c:pt idx="2">
                  <c:v>Desarrollo Social</c:v>
                </c:pt>
                <c:pt idx="3">
                  <c:v>Agricultura</c:v>
                </c:pt>
                <c:pt idx="4">
                  <c:v>Economía</c:v>
                </c:pt>
                <c:pt idx="5">
                  <c:v>Finanzas</c:v>
                </c:pt>
                <c:pt idx="6">
                  <c:v>Secretarías</c:v>
                </c:pt>
                <c:pt idx="7">
                  <c:v>Ambiente</c:v>
                </c:pt>
                <c:pt idx="8">
                  <c:v>Gobernación</c:v>
                </c:pt>
                <c:pt idx="9">
                  <c:v>Salud Pública</c:v>
                </c:pt>
                <c:pt idx="10">
                  <c:v>Energía</c:v>
                </c:pt>
                <c:pt idx="11">
                  <c:v>PGN</c:v>
                </c:pt>
                <c:pt idx="12">
                  <c:v>Obligaciones</c:v>
                </c:pt>
                <c:pt idx="13">
                  <c:v>Presidencia </c:v>
                </c:pt>
                <c:pt idx="14">
                  <c:v>Trabajo</c:v>
                </c:pt>
                <c:pt idx="15">
                  <c:v>Relaciones Exteriores</c:v>
                </c:pt>
                <c:pt idx="16">
                  <c:v>Educación</c:v>
                </c:pt>
                <c:pt idx="17">
                  <c:v>Defensa</c:v>
                </c:pt>
                <c:pt idx="18">
                  <c:v>Deuda Pública</c:v>
                </c:pt>
              </c:strCache>
            </c:strRef>
          </c:cat>
          <c:val>
            <c:numRef>
              <c:f>Sheet1!$E$2:$E$20</c:f>
              <c:numCache>
                <c:formatCode>0.0%</c:formatCode>
                <c:ptCount val="19"/>
                <c:pt idx="0">
                  <c:v>0.6538861047835991</c:v>
                </c:pt>
                <c:pt idx="1">
                  <c:v>0.69560919350852624</c:v>
                </c:pt>
                <c:pt idx="2">
                  <c:v>0.96087152771247486</c:v>
                </c:pt>
                <c:pt idx="3">
                  <c:v>0.70721441623086145</c:v>
                </c:pt>
                <c:pt idx="4">
                  <c:v>0.96704188273741309</c:v>
                </c:pt>
                <c:pt idx="5">
                  <c:v>0.75920429935028477</c:v>
                </c:pt>
                <c:pt idx="6">
                  <c:v>0.80582442318514347</c:v>
                </c:pt>
                <c:pt idx="7">
                  <c:v>0.82541467528816415</c:v>
                </c:pt>
                <c:pt idx="8">
                  <c:v>0.84654619813736853</c:v>
                </c:pt>
                <c:pt idx="9">
                  <c:v>0.86507794715732755</c:v>
                </c:pt>
                <c:pt idx="10">
                  <c:v>0.78088868737247796</c:v>
                </c:pt>
                <c:pt idx="11">
                  <c:v>0.91170042255573369</c:v>
                </c:pt>
                <c:pt idx="12">
                  <c:v>0.91642223761837305</c:v>
                </c:pt>
                <c:pt idx="13">
                  <c:v>0.88064935064935068</c:v>
                </c:pt>
                <c:pt idx="14">
                  <c:v>0.9100549827217147</c:v>
                </c:pt>
                <c:pt idx="15">
                  <c:v>0.91604624316139927</c:v>
                </c:pt>
                <c:pt idx="16">
                  <c:v>0.9406173021335632</c:v>
                </c:pt>
                <c:pt idx="17">
                  <c:v>0.94838882759246101</c:v>
                </c:pt>
                <c:pt idx="18">
                  <c:v>0.91901717883786194</c:v>
                </c:pt>
              </c:numCache>
            </c:numRef>
          </c:val>
          <c:smooth val="0"/>
          <c:extLst xmlns:c16r2="http://schemas.microsoft.com/office/drawing/2015/06/chart">
            <c:ext xmlns:c16="http://schemas.microsoft.com/office/drawing/2014/chart" uri="{C3380CC4-5D6E-409C-BE32-E72D297353CC}">
              <c16:uniqueId val="{00000003-3C77-456C-8DE6-BEB34B4DA7A3}"/>
            </c:ext>
          </c:extLst>
        </c:ser>
        <c:ser>
          <c:idx val="4"/>
          <c:order val="3"/>
          <c:tx>
            <c:strRef>
              <c:f>Sheet1!$F$1</c:f>
              <c:strCache>
                <c:ptCount val="1"/>
                <c:pt idx="0">
                  <c:v>Ejecución Institucional 2020</c:v>
                </c:pt>
              </c:strCache>
            </c:strRef>
          </c:tx>
          <c:spPr>
            <a:ln w="28575" cap="rnd">
              <a:solidFill>
                <a:schemeClr val="accent5"/>
              </a:solidFill>
              <a:round/>
            </a:ln>
            <a:effectLst/>
          </c:spPr>
          <c:marker>
            <c:symbol val="none"/>
          </c:marker>
          <c:dLbls>
            <c:dLbl>
              <c:idx val="17"/>
              <c:layout>
                <c:manualLayout>
                  <c:x val="-0.11340645298690243"/>
                  <c:y val="-0.10518809056872883"/>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1050" b="1" i="0">
                        <a:solidFill>
                          <a:schemeClr val="accent1">
                            <a:lumMod val="50000"/>
                          </a:schemeClr>
                        </a:solidFill>
                        <a:latin typeface="Times New Roman" panose="02020603050405020304" pitchFamily="18" charset="0"/>
                        <a:cs typeface="Times New Roman" panose="02020603050405020304" pitchFamily="18" charset="0"/>
                      </a:rPr>
                      <a:t>Ejecución</a:t>
                    </a:r>
                    <a:r>
                      <a:rPr lang="en-US" sz="1050" b="1" i="0" baseline="0">
                        <a:solidFill>
                          <a:schemeClr val="accent1">
                            <a:lumMod val="50000"/>
                          </a:schemeClr>
                        </a:solidFill>
                        <a:latin typeface="Times New Roman" panose="02020603050405020304" pitchFamily="18" charset="0"/>
                        <a:cs typeface="Times New Roman" panose="02020603050405020304" pitchFamily="18" charset="0"/>
                      </a:rPr>
                      <a:t> Institucional 2020; </a:t>
                    </a:r>
                    <a:fld id="{531417C3-D16C-4632-BCF7-7DF806487218}" type="VALUE">
                      <a:rPr lang="en-US" sz="1050" b="1" i="0">
                        <a:solidFill>
                          <a:schemeClr val="accent1">
                            <a:lumMod val="50000"/>
                          </a:schemeClr>
                        </a:solidFill>
                        <a:latin typeface="Times New Roman" panose="02020603050405020304" pitchFamily="18" charset="0"/>
                        <a:cs typeface="Times New Roman" panose="02020603050405020304" pitchFamily="18" charset="0"/>
                      </a:rPr>
                      <a:pPr>
                        <a:defRPr sz="105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t>[VALOR]</a:t>
                    </a:fld>
                    <a:endParaRPr lang="en-US" sz="1050" b="1" i="0" baseline="0">
                      <a:solidFill>
                        <a:schemeClr val="accent1">
                          <a:lumMod val="50000"/>
                        </a:schemeClr>
                      </a:solidFill>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39508039612394846"/>
                      <c:h val="4.9812800855767517E-2"/>
                    </c:manualLayout>
                  </c15:layout>
                  <c15:dlblFieldTable/>
                  <c15:showDataLabelsRange val="0"/>
                </c:ext>
                <c:ext xmlns:c16="http://schemas.microsoft.com/office/drawing/2014/chart" uri="{C3380CC4-5D6E-409C-BE32-E72D297353CC}">
                  <c16:uniqueId val="{00000014-1FFC-4039-9B89-61DA423B38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Sheet1!$A$2:$A$20</c:f>
              <c:strCache>
                <c:ptCount val="19"/>
                <c:pt idx="0">
                  <c:v>Cultura y Deportes</c:v>
                </c:pt>
                <c:pt idx="1">
                  <c:v>Comunicaciones</c:v>
                </c:pt>
                <c:pt idx="2">
                  <c:v>Desarrollo Social</c:v>
                </c:pt>
                <c:pt idx="3">
                  <c:v>Agricultura</c:v>
                </c:pt>
                <c:pt idx="4">
                  <c:v>Economía</c:v>
                </c:pt>
                <c:pt idx="5">
                  <c:v>Finanzas</c:v>
                </c:pt>
                <c:pt idx="6">
                  <c:v>Secretarías</c:v>
                </c:pt>
                <c:pt idx="7">
                  <c:v>Ambiente</c:v>
                </c:pt>
                <c:pt idx="8">
                  <c:v>Gobernación</c:v>
                </c:pt>
                <c:pt idx="9">
                  <c:v>Salud Pública</c:v>
                </c:pt>
                <c:pt idx="10">
                  <c:v>Energía</c:v>
                </c:pt>
                <c:pt idx="11">
                  <c:v>PGN</c:v>
                </c:pt>
                <c:pt idx="12">
                  <c:v>Obligaciones</c:v>
                </c:pt>
                <c:pt idx="13">
                  <c:v>Presidencia </c:v>
                </c:pt>
                <c:pt idx="14">
                  <c:v>Trabajo</c:v>
                </c:pt>
                <c:pt idx="15">
                  <c:v>Relaciones Exteriores</c:v>
                </c:pt>
                <c:pt idx="16">
                  <c:v>Educación</c:v>
                </c:pt>
                <c:pt idx="17">
                  <c:v>Defensa</c:v>
                </c:pt>
                <c:pt idx="18">
                  <c:v>Deuda Pública</c:v>
                </c:pt>
              </c:strCache>
            </c:strRef>
          </c:cat>
          <c:val>
            <c:numRef>
              <c:f>Sheet1!$F$2:$F$20</c:f>
              <c:numCache>
                <c:formatCode>0.0%</c:formatCode>
                <c:ptCount val="19"/>
                <c:pt idx="0">
                  <c:v>0.89666661469967901</c:v>
                </c:pt>
                <c:pt idx="1">
                  <c:v>0.89666661469967901</c:v>
                </c:pt>
                <c:pt idx="2">
                  <c:v>0.89666661469967901</c:v>
                </c:pt>
                <c:pt idx="3">
                  <c:v>0.89666661469967901</c:v>
                </c:pt>
                <c:pt idx="4">
                  <c:v>0.89666661469967901</c:v>
                </c:pt>
                <c:pt idx="5">
                  <c:v>0.89666661469967901</c:v>
                </c:pt>
                <c:pt idx="6">
                  <c:v>0.89666661469967901</c:v>
                </c:pt>
                <c:pt idx="7">
                  <c:v>0.89666661469967901</c:v>
                </c:pt>
                <c:pt idx="8">
                  <c:v>0.89666661469967912</c:v>
                </c:pt>
                <c:pt idx="9">
                  <c:v>0.89666661469967901</c:v>
                </c:pt>
                <c:pt idx="10">
                  <c:v>0.89666661469967901</c:v>
                </c:pt>
                <c:pt idx="11">
                  <c:v>0.89666661469967901</c:v>
                </c:pt>
                <c:pt idx="12">
                  <c:v>0.89666661469967901</c:v>
                </c:pt>
                <c:pt idx="13">
                  <c:v>0.89666661469967912</c:v>
                </c:pt>
                <c:pt idx="14">
                  <c:v>0.89666661469967901</c:v>
                </c:pt>
                <c:pt idx="15">
                  <c:v>0.89666661469967912</c:v>
                </c:pt>
                <c:pt idx="16">
                  <c:v>0.89666661469967901</c:v>
                </c:pt>
                <c:pt idx="17">
                  <c:v>0.89666661469967901</c:v>
                </c:pt>
                <c:pt idx="18">
                  <c:v>0.89666661469967901</c:v>
                </c:pt>
              </c:numCache>
            </c:numRef>
          </c:val>
          <c:smooth val="0"/>
          <c:extLst xmlns:c16r2="http://schemas.microsoft.com/office/drawing/2015/06/chart">
            <c:ext xmlns:c16="http://schemas.microsoft.com/office/drawing/2014/chart" uri="{C3380CC4-5D6E-409C-BE32-E72D297353CC}">
              <c16:uniqueId val="{00000004-3C77-456C-8DE6-BEB34B4DA7A3}"/>
            </c:ext>
          </c:extLst>
        </c:ser>
        <c:dLbls>
          <c:showLegendKey val="0"/>
          <c:showVal val="0"/>
          <c:showCatName val="0"/>
          <c:showSerName val="0"/>
          <c:showPercent val="0"/>
          <c:showBubbleSize val="0"/>
        </c:dLbls>
        <c:marker val="1"/>
        <c:smooth val="0"/>
        <c:axId val="172837120"/>
        <c:axId val="172847104"/>
      </c:lineChart>
      <c:catAx>
        <c:axId val="17283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72847104"/>
        <c:crosses val="autoZero"/>
        <c:auto val="1"/>
        <c:lblAlgn val="ctr"/>
        <c:lblOffset val="100"/>
        <c:noMultiLvlLbl val="0"/>
      </c:catAx>
      <c:valAx>
        <c:axId val="172847104"/>
        <c:scaling>
          <c:orientation val="minMax"/>
          <c:max val="1"/>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172837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s-GT" sz="1100" b="0" baseline="0">
                <a:solidFill>
                  <a:schemeClr val="accent3">
                    <a:lumMod val="50000"/>
                  </a:schemeClr>
                </a:solidFill>
              </a:rPr>
              <a:t>Cifras en millones de quetzales</a:t>
            </a:r>
            <a:endParaRPr lang="es-GT" sz="1100" b="0">
              <a:solidFill>
                <a:schemeClr val="accent3">
                  <a:lumMod val="50000"/>
                </a:schemeClr>
              </a:solidFill>
            </a:endParaRPr>
          </a:p>
        </c:rich>
      </c:tx>
      <c:layout>
        <c:manualLayout>
          <c:xMode val="edge"/>
          <c:yMode val="edge"/>
          <c:x val="0.33399296442111409"/>
          <c:y val="0"/>
        </c:manualLayout>
      </c:layout>
      <c:overlay val="0"/>
      <c:spPr>
        <a:noFill/>
        <a:ln>
          <a:noFill/>
        </a:ln>
        <a:effectLst/>
      </c:spPr>
    </c:title>
    <c:autoTitleDeleted val="0"/>
    <c:plotArea>
      <c:layout>
        <c:manualLayout>
          <c:layoutTarget val="inner"/>
          <c:xMode val="edge"/>
          <c:yMode val="edge"/>
          <c:x val="8.9149351122776319E-2"/>
          <c:y val="0.10453791299676957"/>
          <c:w val="0.88538768591426076"/>
          <c:h val="0.71576484880735136"/>
        </c:manualLayout>
      </c:layout>
      <c:barChart>
        <c:barDir val="col"/>
        <c:grouping val="stacked"/>
        <c:varyColors val="0"/>
        <c:ser>
          <c:idx val="0"/>
          <c:order val="0"/>
          <c:tx>
            <c:strRef>
              <c:f>Sheet1!$B$1</c:f>
              <c:strCache>
                <c:ptCount val="1"/>
                <c:pt idx="0">
                  <c:v>Daños</c:v>
                </c:pt>
              </c:strCache>
            </c:strRef>
          </c:tx>
          <c:spPr>
            <a:solidFill>
              <a:schemeClr val="accent1"/>
            </a:solidFill>
            <a:ln w="12700">
              <a:solidFill>
                <a:schemeClr val="accent1">
                  <a:lumMod val="50000"/>
                </a:schemeClr>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Público</c:v>
                </c:pt>
                <c:pt idx="1">
                  <c:v>Privado</c:v>
                </c:pt>
                <c:pt idx="2">
                  <c:v>Total</c:v>
                </c:pt>
              </c:strCache>
            </c:strRef>
          </c:cat>
          <c:val>
            <c:numRef>
              <c:f>Sheet1!$B$2:$B$4</c:f>
              <c:numCache>
                <c:formatCode>"Q"#,##0.0</c:formatCode>
                <c:ptCount val="3"/>
                <c:pt idx="0">
                  <c:v>958.56</c:v>
                </c:pt>
                <c:pt idx="1">
                  <c:v>2123.663</c:v>
                </c:pt>
                <c:pt idx="2">
                  <c:v>3082.223</c:v>
                </c:pt>
              </c:numCache>
            </c:numRef>
          </c:val>
          <c:extLst xmlns:c16r2="http://schemas.microsoft.com/office/drawing/2015/06/chart">
            <c:ext xmlns:c16="http://schemas.microsoft.com/office/drawing/2014/chart" uri="{C3380CC4-5D6E-409C-BE32-E72D297353CC}">
              <c16:uniqueId val="{00000000-3B5A-4B73-892D-C613754475D4}"/>
            </c:ext>
          </c:extLst>
        </c:ser>
        <c:ser>
          <c:idx val="1"/>
          <c:order val="1"/>
          <c:tx>
            <c:strRef>
              <c:f>Sheet1!$C$1</c:f>
              <c:strCache>
                <c:ptCount val="1"/>
                <c:pt idx="0">
                  <c:v>Pérdidas</c:v>
                </c:pt>
              </c:strCache>
            </c:strRef>
          </c:tx>
          <c:spPr>
            <a:solidFill>
              <a:schemeClr val="accent2"/>
            </a:solidFill>
            <a:ln w="12700">
              <a:solidFill>
                <a:schemeClr val="accent2">
                  <a:lumMod val="50000"/>
                </a:schemeClr>
              </a:solidFill>
            </a:ln>
            <a:effectLst>
              <a:outerShdw blurRad="50800" dist="38100" dir="2700000" algn="tl" rotWithShape="0">
                <a:prstClr val="black">
                  <a:alpha val="40000"/>
                </a:prstClr>
              </a:outerShdw>
            </a:effectLst>
          </c:spPr>
          <c:invertIfNegative val="0"/>
          <c:dLbls>
            <c:dLbl>
              <c:idx val="0"/>
              <c:layout>
                <c:manualLayout>
                  <c:x val="0.10648148148148144"/>
                  <c:y val="1.98412698412696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B5A-4B73-892D-C613754475D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Público</c:v>
                </c:pt>
                <c:pt idx="1">
                  <c:v>Privado</c:v>
                </c:pt>
                <c:pt idx="2">
                  <c:v>Total</c:v>
                </c:pt>
              </c:strCache>
            </c:strRef>
          </c:cat>
          <c:val>
            <c:numRef>
              <c:f>Sheet1!$C$2:$C$4</c:f>
              <c:numCache>
                <c:formatCode>"Q"#,##0.0</c:formatCode>
                <c:ptCount val="3"/>
                <c:pt idx="0">
                  <c:v>13.999000000000001</c:v>
                </c:pt>
                <c:pt idx="1">
                  <c:v>1860.261</c:v>
                </c:pt>
                <c:pt idx="2">
                  <c:v>1874.26</c:v>
                </c:pt>
              </c:numCache>
            </c:numRef>
          </c:val>
          <c:extLst xmlns:c16r2="http://schemas.microsoft.com/office/drawing/2015/06/chart">
            <c:ext xmlns:c16="http://schemas.microsoft.com/office/drawing/2014/chart" uri="{C3380CC4-5D6E-409C-BE32-E72D297353CC}">
              <c16:uniqueId val="{00000001-3B5A-4B73-892D-C613754475D4}"/>
            </c:ext>
          </c:extLst>
        </c:ser>
        <c:ser>
          <c:idx val="2"/>
          <c:order val="2"/>
          <c:tx>
            <c:strRef>
              <c:f>Sheet1!$D$1</c:f>
              <c:strCache>
                <c:ptCount val="1"/>
                <c:pt idx="0">
                  <c:v>Costos Adicionales</c:v>
                </c:pt>
              </c:strCache>
            </c:strRef>
          </c:tx>
          <c:spPr>
            <a:solidFill>
              <a:schemeClr val="accent3"/>
            </a:solidFill>
            <a:ln w="12700">
              <a:solidFill>
                <a:schemeClr val="tx2">
                  <a:lumMod val="50000"/>
                </a:schemeClr>
              </a:solidFill>
            </a:ln>
            <a:effectLst>
              <a:outerShdw blurRad="50800" dist="38100" dir="2700000" algn="tl" rotWithShape="0">
                <a:prstClr val="black">
                  <a:alpha val="40000"/>
                </a:prstClr>
              </a:outerShdw>
            </a:effectLst>
          </c:spPr>
          <c:invertIfNegative val="0"/>
          <c:dLbls>
            <c:dLbl>
              <c:idx val="0"/>
              <c:layout>
                <c:manualLayout>
                  <c:x val="0.10648148148148144"/>
                  <c:y val="-3.57142857142857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B5A-4B73-892D-C613754475D4}"/>
                </c:ext>
              </c:extLst>
            </c:dLbl>
            <c:dLbl>
              <c:idx val="1"/>
              <c:layout>
                <c:manualLayout>
                  <c:x val="0"/>
                  <c:y val="1.19047619047619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B5A-4B73-892D-C613754475D4}"/>
                </c:ext>
              </c:extLst>
            </c:dLbl>
            <c:dLbl>
              <c:idx val="2"/>
              <c:layout>
                <c:manualLayout>
                  <c:x val="0"/>
                  <c:y val="7.93650793650793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B5A-4B73-892D-C613754475D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2">
                        <a:lumMod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Público</c:v>
                </c:pt>
                <c:pt idx="1">
                  <c:v>Privado</c:v>
                </c:pt>
                <c:pt idx="2">
                  <c:v>Total</c:v>
                </c:pt>
              </c:strCache>
            </c:strRef>
          </c:cat>
          <c:val>
            <c:numRef>
              <c:f>Sheet1!$D$2:$D$4</c:f>
              <c:numCache>
                <c:formatCode>"Q"#,##0.0</c:formatCode>
                <c:ptCount val="3"/>
                <c:pt idx="0">
                  <c:v>95.694999999999993</c:v>
                </c:pt>
                <c:pt idx="1">
                  <c:v>544.85900000000004</c:v>
                </c:pt>
                <c:pt idx="2">
                  <c:v>640.55400000000009</c:v>
                </c:pt>
              </c:numCache>
            </c:numRef>
          </c:val>
          <c:extLst xmlns:c16r2="http://schemas.microsoft.com/office/drawing/2015/06/chart">
            <c:ext xmlns:c16="http://schemas.microsoft.com/office/drawing/2014/chart" uri="{C3380CC4-5D6E-409C-BE32-E72D297353CC}">
              <c16:uniqueId val="{00000002-3B5A-4B73-892D-C613754475D4}"/>
            </c:ext>
          </c:extLst>
        </c:ser>
        <c:dLbls>
          <c:showLegendKey val="0"/>
          <c:showVal val="0"/>
          <c:showCatName val="0"/>
          <c:showSerName val="0"/>
          <c:showPercent val="0"/>
          <c:showBubbleSize val="0"/>
        </c:dLbls>
        <c:gapWidth val="127"/>
        <c:overlap val="100"/>
        <c:axId val="173057920"/>
        <c:axId val="173059456"/>
      </c:barChart>
      <c:lineChart>
        <c:grouping val="stacked"/>
        <c:varyColors val="0"/>
        <c:ser>
          <c:idx val="3"/>
          <c:order val="3"/>
          <c:tx>
            <c:strRef>
              <c:f>Sheet1!$E$1</c:f>
              <c:strCache>
                <c:ptCount val="1"/>
                <c:pt idx="0">
                  <c:v>Total</c:v>
                </c:pt>
              </c:strCache>
            </c:strRef>
          </c:tx>
          <c:spPr>
            <a:ln w="22225" cap="rnd">
              <a:solidFill>
                <a:schemeClr val="accent4"/>
              </a:solidFill>
              <a:round/>
            </a:ln>
            <a:effectLst/>
          </c:spPr>
          <c:marker>
            <c:symbol val="circle"/>
            <c:size val="10"/>
            <c:spPr>
              <a:solidFill>
                <a:schemeClr val="lt1"/>
              </a:solidFill>
              <a:ln w="22225">
                <a:solidFill>
                  <a:schemeClr val="accent4"/>
                </a:solidFill>
                <a:round/>
              </a:ln>
              <a:effectLst/>
            </c:spPr>
          </c:marker>
          <c:dPt>
            <c:idx val="1"/>
            <c:bubble3D val="0"/>
            <c:spPr>
              <a:ln w="22225" cap="rnd">
                <a:noFill/>
                <a:round/>
              </a:ln>
              <a:effectLst/>
            </c:spPr>
            <c:extLst xmlns:c16r2="http://schemas.microsoft.com/office/drawing/2015/06/chart">
              <c:ext xmlns:c16="http://schemas.microsoft.com/office/drawing/2014/chart" uri="{C3380CC4-5D6E-409C-BE32-E72D297353CC}">
                <c16:uniqueId val="{00000005-3B5A-4B73-892D-C613754475D4}"/>
              </c:ext>
            </c:extLst>
          </c:dPt>
          <c:dPt>
            <c:idx val="2"/>
            <c:bubble3D val="0"/>
            <c:spPr>
              <a:ln w="22225" cap="rnd">
                <a:noFill/>
                <a:round/>
              </a:ln>
              <a:effectLst/>
            </c:spPr>
            <c:extLst xmlns:c16r2="http://schemas.microsoft.com/office/drawing/2015/06/chart">
              <c:ext xmlns:c16="http://schemas.microsoft.com/office/drawing/2014/chart" uri="{C3380CC4-5D6E-409C-BE32-E72D297353CC}">
                <c16:uniqueId val="{00000004-3B5A-4B73-892D-C613754475D4}"/>
              </c:ext>
            </c:extLst>
          </c:dPt>
          <c:dLbls>
            <c:dLbl>
              <c:idx val="0"/>
              <c:layout>
                <c:manualLayout>
                  <c:x val="-6.7129629629629636E-2"/>
                  <c:y val="-5.95238095238095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B5A-4B73-892D-C613754475D4}"/>
                </c:ext>
              </c:extLst>
            </c:dLbl>
            <c:dLbl>
              <c:idx val="1"/>
              <c:layout>
                <c:manualLayout>
                  <c:x val="-6.712962962962972E-2"/>
                  <c:y val="-5.95238095238095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B5A-4B73-892D-C613754475D4}"/>
                </c:ext>
              </c:extLst>
            </c:dLbl>
            <c:dLbl>
              <c:idx val="2"/>
              <c:layout>
                <c:manualLayout>
                  <c:x val="-6.7129629629629636E-2"/>
                  <c:y val="-5.95238095238095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B5A-4B73-892D-C613754475D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7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Público</c:v>
                </c:pt>
                <c:pt idx="1">
                  <c:v>Privado</c:v>
                </c:pt>
                <c:pt idx="2">
                  <c:v>Total</c:v>
                </c:pt>
              </c:strCache>
            </c:strRef>
          </c:cat>
          <c:val>
            <c:numRef>
              <c:f>Sheet1!$E$2:$E$4</c:f>
              <c:numCache>
                <c:formatCode>"Q"#,##0.0</c:formatCode>
                <c:ptCount val="3"/>
                <c:pt idx="0">
                  <c:v>1068.2539999999999</c:v>
                </c:pt>
                <c:pt idx="1">
                  <c:v>4528.7830000000004</c:v>
                </c:pt>
                <c:pt idx="2">
                  <c:v>5597.0370000000003</c:v>
                </c:pt>
              </c:numCache>
            </c:numRef>
          </c:val>
          <c:smooth val="0"/>
          <c:extLst xmlns:c16r2="http://schemas.microsoft.com/office/drawing/2015/06/chart">
            <c:ext xmlns:c16="http://schemas.microsoft.com/office/drawing/2014/chart" uri="{C3380CC4-5D6E-409C-BE32-E72D297353CC}">
              <c16:uniqueId val="{00000003-3B5A-4B73-892D-C613754475D4}"/>
            </c:ext>
          </c:extLst>
        </c:ser>
        <c:dLbls>
          <c:showLegendKey val="0"/>
          <c:showVal val="0"/>
          <c:showCatName val="0"/>
          <c:showSerName val="0"/>
          <c:showPercent val="0"/>
          <c:showBubbleSize val="0"/>
        </c:dLbls>
        <c:marker val="1"/>
        <c:smooth val="0"/>
        <c:axId val="173057920"/>
        <c:axId val="173059456"/>
      </c:lineChart>
      <c:catAx>
        <c:axId val="17305792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73059456"/>
        <c:crosses val="autoZero"/>
        <c:auto val="1"/>
        <c:lblAlgn val="ctr"/>
        <c:lblOffset val="100"/>
        <c:noMultiLvlLbl val="0"/>
      </c:catAx>
      <c:valAx>
        <c:axId val="173059456"/>
        <c:scaling>
          <c:orientation val="minMax"/>
        </c:scaling>
        <c:delete val="0"/>
        <c:axPos val="l"/>
        <c:majorGridlines>
          <c:spPr>
            <a:ln w="9525" cap="flat" cmpd="sng" algn="ctr">
              <a:solidFill>
                <a:schemeClr val="dk1">
                  <a:lumMod val="15000"/>
                  <a:lumOff val="85000"/>
                </a:schemeClr>
              </a:solidFill>
              <a:round/>
            </a:ln>
            <a:effectLst/>
          </c:spPr>
        </c:majorGridlines>
        <c:numFmt formatCode="&quot;Q&quot;#,##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73057920"/>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6844397054534849"/>
          <c:y val="0.93710325578126441"/>
          <c:w val="0.66311205890930303"/>
          <c:h val="6.289674421873549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accent1">
        <a:lumMod val="20000"/>
        <a:lumOff val="80000"/>
      </a:schemeClr>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722222222222224E-2"/>
          <c:y val="6.701187937861712E-2"/>
          <c:w val="0.94907407407407407"/>
          <c:h val="0.83057171158509235"/>
        </c:manualLayout>
      </c:layout>
      <c:lineChart>
        <c:grouping val="standard"/>
        <c:varyColors val="0"/>
        <c:ser>
          <c:idx val="0"/>
          <c:order val="0"/>
          <c:tx>
            <c:strRef>
              <c:f>Hoja1!$B$1</c:f>
              <c:strCache>
                <c:ptCount val="1"/>
                <c:pt idx="0">
                  <c:v>Déficit Fiscal</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Hoja1!$A$2:$A$12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Hoja1!$B$2:$B$12</c:f>
              <c:numCache>
                <c:formatCode>0.0</c:formatCode>
                <c:ptCount val="11"/>
                <c:pt idx="0">
                  <c:v>3.2773081046877532</c:v>
                </c:pt>
                <c:pt idx="1">
                  <c:v>2.8041566240577911</c:v>
                </c:pt>
                <c:pt idx="2">
                  <c:v>2.4162115429175528</c:v>
                </c:pt>
                <c:pt idx="3">
                  <c:v>2.1638208167817825</c:v>
                </c:pt>
                <c:pt idx="4">
                  <c:v>1.9212819848946259</c:v>
                </c:pt>
                <c:pt idx="5">
                  <c:v>1.4720918689385398</c:v>
                </c:pt>
                <c:pt idx="6">
                  <c:v>1.1100889548581254</c:v>
                </c:pt>
                <c:pt idx="7">
                  <c:v>1.3849889282705481</c:v>
                </c:pt>
                <c:pt idx="8">
                  <c:v>1.8859233801356057</c:v>
                </c:pt>
                <c:pt idx="9">
                  <c:v>2.2495064776907974</c:v>
                </c:pt>
                <c:pt idx="10">
                  <c:v>4.9278251598013965</c:v>
                </c:pt>
              </c:numCache>
            </c:numRef>
          </c:val>
          <c:smooth val="0"/>
          <c:extLst xmlns:c16r2="http://schemas.microsoft.com/office/drawing/2015/06/chart">
            <c:ext xmlns:c16="http://schemas.microsoft.com/office/drawing/2014/chart" uri="{C3380CC4-5D6E-409C-BE32-E72D297353CC}">
              <c16:uniqueId val="{00000000-38A8-46A5-B401-4BE3A79FBEF5}"/>
            </c:ext>
          </c:extLst>
        </c:ser>
        <c:dLbls>
          <c:dLblPos val="ctr"/>
          <c:showLegendKey val="0"/>
          <c:showVal val="1"/>
          <c:showCatName val="0"/>
          <c:showSerName val="0"/>
          <c:showPercent val="0"/>
          <c:showBubbleSize val="0"/>
        </c:dLbls>
        <c:marker val="1"/>
        <c:smooth val="0"/>
        <c:axId val="172895232"/>
        <c:axId val="172910464"/>
      </c:lineChart>
      <c:catAx>
        <c:axId val="17289523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72910464"/>
        <c:crosses val="autoZero"/>
        <c:auto val="1"/>
        <c:lblAlgn val="ctr"/>
        <c:lblOffset val="100"/>
        <c:noMultiLvlLbl val="0"/>
      </c:catAx>
      <c:valAx>
        <c:axId val="172910464"/>
        <c:scaling>
          <c:orientation val="minMax"/>
        </c:scaling>
        <c:delete val="1"/>
        <c:axPos val="l"/>
        <c:numFmt formatCode="0.0" sourceLinked="1"/>
        <c:majorTickMark val="none"/>
        <c:minorTickMark val="none"/>
        <c:tickLblPos val="nextTo"/>
        <c:crossAx val="172895232"/>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s-E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709600324349699"/>
          <c:y val="3.1475757507388943E-2"/>
          <c:w val="0.75812203075502493"/>
          <c:h val="0.77748643919510074"/>
        </c:manualLayout>
      </c:layout>
      <c:barChart>
        <c:barDir val="col"/>
        <c:grouping val="stacked"/>
        <c:varyColors val="0"/>
        <c:ser>
          <c:idx val="0"/>
          <c:order val="0"/>
          <c:tx>
            <c:strRef>
              <c:f>Hoja1!$B$1</c:f>
              <c:strCache>
                <c:ptCount val="1"/>
                <c:pt idx="0">
                  <c:v>SAT</c:v>
                </c:pt>
              </c:strCache>
            </c:strRef>
          </c:tx>
          <c:spPr>
            <a:solidFill>
              <a:schemeClr val="accent1"/>
            </a:solidFill>
            <a:ln>
              <a:noFill/>
            </a:ln>
            <a:effectLst/>
          </c:spPr>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325-48BA-AC02-2AC983EB35E9}"/>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325-48BA-AC02-2AC983EB35E9}"/>
                </c:ext>
              </c:extLst>
            </c:dLbl>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325-48BA-AC02-2AC983EB35E9}"/>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Hoja1!$A$2:$A$4</c:f>
              <c:strCache>
                <c:ptCount val="3"/>
                <c:pt idx="0">
                  <c:v>Observado 20</c:v>
                </c:pt>
                <c:pt idx="1">
                  <c:v>Observado 21</c:v>
                </c:pt>
                <c:pt idx="2">
                  <c:v>Meta </c:v>
                </c:pt>
              </c:strCache>
            </c:strRef>
          </c:cat>
          <c:val>
            <c:numRef>
              <c:f>Hoja1!$B$2:$B$4</c:f>
              <c:numCache>
                <c:formatCode>#,##0.0</c:formatCode>
                <c:ptCount val="3"/>
                <c:pt idx="0">
                  <c:v>28263.384073820005</c:v>
                </c:pt>
                <c:pt idx="1">
                  <c:v>35855.622922689996</c:v>
                </c:pt>
                <c:pt idx="2">
                  <c:v>30382.788430149998</c:v>
                </c:pt>
              </c:numCache>
            </c:numRef>
          </c:val>
          <c:extLst xmlns:c16r2="http://schemas.microsoft.com/office/drawing/2015/06/chart">
            <c:ext xmlns:c16="http://schemas.microsoft.com/office/drawing/2014/chart" uri="{C3380CC4-5D6E-409C-BE32-E72D297353CC}">
              <c16:uniqueId val="{00000003-1325-48BA-AC02-2AC983EB35E9}"/>
            </c:ext>
          </c:extLst>
        </c:ser>
        <c:ser>
          <c:idx val="1"/>
          <c:order val="1"/>
          <c:tx>
            <c:strRef>
              <c:f>Hoja1!$C$1</c:f>
              <c:strCache>
                <c:ptCount val="1"/>
                <c:pt idx="0">
                  <c:v>No administrado por SAT</c:v>
                </c:pt>
              </c:strCache>
            </c:strRef>
          </c:tx>
          <c:spPr>
            <a:solidFill>
              <a:srgbClr val="FF0000"/>
            </a:solidFill>
            <a:ln>
              <a:noFill/>
            </a:ln>
            <a:effectLst/>
          </c:spPr>
          <c:invertIfNegative val="0"/>
          <c:dLbls>
            <c:dLbl>
              <c:idx val="0"/>
              <c:layout>
                <c:manualLayout>
                  <c:x val="0"/>
                  <c:y val="-4.01146131805157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325-48BA-AC02-2AC983EB35E9}"/>
                </c:ext>
              </c:extLst>
            </c:dLbl>
            <c:dLbl>
              <c:idx val="1"/>
              <c:layout>
                <c:manualLayout>
                  <c:x val="-9.0333193138944519E-17"/>
                  <c:y val="-5.15759312320916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325-48BA-AC02-2AC983EB35E9}"/>
                </c:ext>
              </c:extLst>
            </c:dLbl>
            <c:dLbl>
              <c:idx val="2"/>
              <c:layout>
                <c:manualLayout>
                  <c:x val="0"/>
                  <c:y val="-5.15759312320916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325-48BA-AC02-2AC983EB35E9}"/>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Hoja1!$A$2:$A$4</c:f>
              <c:strCache>
                <c:ptCount val="3"/>
                <c:pt idx="0">
                  <c:v>Observado 20</c:v>
                </c:pt>
                <c:pt idx="1">
                  <c:v>Observado 21</c:v>
                </c:pt>
                <c:pt idx="2">
                  <c:v>Meta </c:v>
                </c:pt>
              </c:strCache>
            </c:strRef>
          </c:cat>
          <c:val>
            <c:numRef>
              <c:f>Hoja1!$C$2:$C$4</c:f>
              <c:numCache>
                <c:formatCode>#,##0.0</c:formatCode>
                <c:ptCount val="3"/>
                <c:pt idx="0">
                  <c:v>201.67924748000002</c:v>
                </c:pt>
                <c:pt idx="1">
                  <c:v>163.66019180000001</c:v>
                </c:pt>
                <c:pt idx="2">
                  <c:v>287.71174417160762</c:v>
                </c:pt>
              </c:numCache>
            </c:numRef>
          </c:val>
          <c:extLst xmlns:c16r2="http://schemas.microsoft.com/office/drawing/2015/06/chart">
            <c:ext xmlns:c16="http://schemas.microsoft.com/office/drawing/2014/chart" uri="{C3380CC4-5D6E-409C-BE32-E72D297353CC}">
              <c16:uniqueId val="{00000007-1325-48BA-AC02-2AC983EB35E9}"/>
            </c:ext>
          </c:extLst>
        </c:ser>
        <c:dLbls>
          <c:showLegendKey val="0"/>
          <c:showVal val="0"/>
          <c:showCatName val="0"/>
          <c:showSerName val="0"/>
          <c:showPercent val="0"/>
          <c:showBubbleSize val="0"/>
        </c:dLbls>
        <c:gapWidth val="25"/>
        <c:overlap val="100"/>
        <c:axId val="210268928"/>
        <c:axId val="210271616"/>
      </c:barChart>
      <c:catAx>
        <c:axId val="2102689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10271616"/>
        <c:crosses val="autoZero"/>
        <c:auto val="1"/>
        <c:lblAlgn val="ctr"/>
        <c:lblOffset val="100"/>
        <c:noMultiLvlLbl val="0"/>
      </c:catAx>
      <c:valAx>
        <c:axId val="210271616"/>
        <c:scaling>
          <c:orientation val="minMax"/>
          <c:min val="10000"/>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1026892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2291171050427208"/>
          <c:y val="0.9298530183727034"/>
          <c:w val="0.67661287350167698"/>
          <c:h val="6.690489119894496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cap="none" spc="0" normalizeH="0" baseline="0">
                <a:solidFill>
                  <a:schemeClr val="tx1"/>
                </a:solidFill>
                <a:effectLst/>
                <a:latin typeface="Times New Roman" panose="02020603050405020304" pitchFamily="18" charset="0"/>
                <a:ea typeface="+mj-ea"/>
                <a:cs typeface="Times New Roman" panose="02020603050405020304" pitchFamily="18" charset="0"/>
              </a:defRPr>
            </a:pPr>
            <a:r>
              <a:rPr lang="es-GT" sz="800">
                <a:solidFill>
                  <a:schemeClr val="tx1"/>
                </a:solidFill>
              </a:rPr>
              <a:t>IVA doméstico </a:t>
            </a:r>
          </a:p>
          <a:p>
            <a:pPr>
              <a:defRPr sz="800" b="1" i="0" u="none" strike="noStrike" kern="1200" cap="none" spc="0" normalizeH="0" baseline="0">
                <a:solidFill>
                  <a:schemeClr val="tx1"/>
                </a:solidFill>
                <a:effectLst/>
                <a:latin typeface="Times New Roman" panose="02020603050405020304" pitchFamily="18" charset="0"/>
                <a:ea typeface="+mj-ea"/>
                <a:cs typeface="Times New Roman" panose="02020603050405020304" pitchFamily="18" charset="0"/>
              </a:defRPr>
            </a:pPr>
            <a:r>
              <a:rPr lang="es-GT" sz="800">
                <a:solidFill>
                  <a:schemeClr val="tx1"/>
                </a:solidFill>
              </a:rPr>
              <a:t>Millones de quetzales</a:t>
            </a:r>
          </a:p>
        </c:rich>
      </c:tx>
      <c:layout>
        <c:manualLayout>
          <c:xMode val="edge"/>
          <c:yMode val="edge"/>
          <c:x val="0.29437961993474815"/>
          <c:y val="0"/>
        </c:manualLayout>
      </c:layout>
      <c:overlay val="0"/>
      <c:spPr>
        <a:noFill/>
        <a:ln>
          <a:noFill/>
        </a:ln>
        <a:effectLst/>
      </c:spPr>
    </c:title>
    <c:autoTitleDeleted val="0"/>
    <c:plotArea>
      <c:layout>
        <c:manualLayout>
          <c:layoutTarget val="inner"/>
          <c:xMode val="edge"/>
          <c:yMode val="edge"/>
          <c:x val="0.15934117221962935"/>
          <c:y val="0.18706770658407035"/>
          <c:w val="0.81675825416660397"/>
          <c:h val="0.59747036359791517"/>
        </c:manualLayout>
      </c:layout>
      <c:lineChart>
        <c:grouping val="standard"/>
        <c:varyColors val="0"/>
        <c:ser>
          <c:idx val="0"/>
          <c:order val="0"/>
          <c:tx>
            <c:strRef>
              <c:f>Hoja1!$B$1</c:f>
              <c:strCache>
                <c:ptCount val="1"/>
                <c:pt idx="0">
                  <c:v>Obs</c:v>
                </c:pt>
              </c:strCache>
            </c:strRef>
          </c:tx>
          <c:spPr>
            <a:ln>
              <a:solidFill>
                <a:srgbClr val="C00000"/>
              </a:solidFill>
            </a:ln>
            <a:effectLst/>
          </c:spPr>
          <c:marker>
            <c:symbol val="circle"/>
            <c:size val="6"/>
            <c:spPr>
              <a:solidFill>
                <a:schemeClr val="bg1"/>
              </a:solidFill>
            </c:spPr>
          </c:marker>
          <c:dLbls>
            <c:dLbl>
              <c:idx val="3"/>
              <c:layout>
                <c:manualLayout>
                  <c:x val="-9.3875726419311661E-2"/>
                  <c:y val="-8.21394460362942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213-41E3-97DB-518B9230EBD8}"/>
                </c:ext>
              </c:extLst>
            </c:dLbl>
            <c:dLbl>
              <c:idx val="4"/>
              <c:layout>
                <c:manualLayout>
                  <c:x val="-9.8345999105945547E-2"/>
                  <c:y val="-0.1076090417064630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C5E-4551-BCFF-AF689BD43F8A}"/>
                </c:ext>
              </c:extLst>
            </c:dLbl>
            <c:dLbl>
              <c:idx val="5"/>
              <c:layout>
                <c:manualLayout>
                  <c:x val="-2.4909626573835178E-2"/>
                  <c:y val="-8.21394460362942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C5E-4551-BCFF-AF689BD43F8A}"/>
                </c:ext>
              </c:extLst>
            </c:dLbl>
            <c:numFmt formatCode="#,##0.0" sourceLinked="0"/>
            <c:spPr>
              <a:noFill/>
              <a:ln>
                <a:noFill/>
              </a:ln>
              <a:effectLst/>
            </c:spPr>
            <c:txPr>
              <a:bodyPr wrap="square" lIns="38100" tIns="19050" rIns="38100" bIns="19050" anchor="ctr">
                <a:spAutoFit/>
              </a:bodyPr>
              <a:lstStyle/>
              <a:p>
                <a:pPr>
                  <a:defRPr sz="800" b="1">
                    <a:solidFill>
                      <a:srgbClr val="FF0000"/>
                    </a:solidFill>
                  </a:defRPr>
                </a:pPr>
                <a:endParaRPr lang="es-E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Enero</c:v>
                </c:pt>
                <c:pt idx="1">
                  <c:v>Feb</c:v>
                </c:pt>
                <c:pt idx="2">
                  <c:v>Mar</c:v>
                </c:pt>
                <c:pt idx="3">
                  <c:v>Abr</c:v>
                </c:pt>
                <c:pt idx="4">
                  <c:v>May</c:v>
                </c:pt>
                <c:pt idx="5">
                  <c:v>Jun</c:v>
                </c:pt>
              </c:strCache>
            </c:strRef>
          </c:cat>
          <c:val>
            <c:numRef>
              <c:f>Hoja1!$B$2:$B$7</c:f>
              <c:numCache>
                <c:formatCode>_(* #,##0.00_);_(* \(#,##0.00\);_(* "-"??_);_(@_)</c:formatCode>
                <c:ptCount val="6"/>
                <c:pt idx="0">
                  <c:v>1783.26978343</c:v>
                </c:pt>
                <c:pt idx="1">
                  <c:v>1305.67516069</c:v>
                </c:pt>
                <c:pt idx="2">
                  <c:v>1248.5375669</c:v>
                </c:pt>
                <c:pt idx="3">
                  <c:v>1362.78040895</c:v>
                </c:pt>
                <c:pt idx="4">
                  <c:v>1289.8672116300002</c:v>
                </c:pt>
                <c:pt idx="5">
                  <c:v>1329.93324968</c:v>
                </c:pt>
              </c:numCache>
            </c:numRef>
          </c:val>
          <c:smooth val="1"/>
          <c:extLst xmlns:c16r2="http://schemas.microsoft.com/office/drawing/2015/06/chart">
            <c:ext xmlns:c16="http://schemas.microsoft.com/office/drawing/2014/chart" uri="{C3380CC4-5D6E-409C-BE32-E72D297353CC}">
              <c16:uniqueId val="{00000001-4213-41E3-97DB-518B9230EBD8}"/>
            </c:ext>
          </c:extLst>
        </c:ser>
        <c:ser>
          <c:idx val="1"/>
          <c:order val="1"/>
          <c:tx>
            <c:strRef>
              <c:f>Hoja1!$C$1</c:f>
              <c:strCache>
                <c:ptCount val="1"/>
                <c:pt idx="0">
                  <c:v>Meta</c:v>
                </c:pt>
              </c:strCache>
            </c:strRef>
          </c:tx>
          <c:spPr>
            <a:ln>
              <a:solidFill>
                <a:schemeClr val="tx1"/>
              </a:solidFill>
              <a:prstDash val="sysDot"/>
            </a:ln>
            <a:effectLst>
              <a:glow rad="50800">
                <a:schemeClr val="accent6">
                  <a:satMod val="175000"/>
                  <a:alpha val="40000"/>
                </a:schemeClr>
              </a:glow>
            </a:effectLst>
          </c:spPr>
          <c:marker>
            <c:symbol val="star"/>
            <c:size val="6"/>
            <c:spPr>
              <a:solidFill>
                <a:schemeClr val="bg1"/>
              </a:solidFill>
              <a:ln>
                <a:solidFill>
                  <a:schemeClr val="tx1"/>
                </a:solidFill>
              </a:ln>
              <a:effectLst>
                <a:glow rad="50800">
                  <a:schemeClr val="accent6">
                    <a:satMod val="175000"/>
                    <a:alpha val="40000"/>
                  </a:schemeClr>
                </a:glow>
              </a:effectLst>
            </c:spPr>
          </c:marker>
          <c:dLbls>
            <c:dLbl>
              <c:idx val="3"/>
              <c:layout>
                <c:manualLayout>
                  <c:x val="-8.4935181046043806E-2"/>
                  <c:y val="8.8506844953836358E-2"/>
                </c:manualLayout>
              </c:layout>
              <c:numFmt formatCode="#,##0.0" sourceLinked="0"/>
              <c:spPr>
                <a:noFill/>
                <a:ln>
                  <a:noFill/>
                </a:ln>
                <a:effectLst/>
              </c:spPr>
              <c:txPr>
                <a:bodyPr wrap="square" lIns="38100" tIns="19050" rIns="38100" bIns="19050" anchor="ctr">
                  <a:noAutofit/>
                </a:bodyPr>
                <a:lstStyle/>
                <a:p>
                  <a:pPr>
                    <a:defRPr sz="800" b="1"/>
                  </a:pPr>
                  <a:endParaRPr lang="es-E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3410818059901655"/>
                      <c:h val="9.0417064629099014E-2"/>
                    </c:manualLayout>
                  </c15:layout>
                </c:ext>
                <c:ext xmlns:c16="http://schemas.microsoft.com/office/drawing/2014/chart" uri="{C3380CC4-5D6E-409C-BE32-E72D297353CC}">
                  <c16:uniqueId val="{00000002-4213-41E3-97DB-518B9230EBD8}"/>
                </c:ext>
              </c:extLst>
            </c:dLbl>
            <c:dLbl>
              <c:idx val="5"/>
              <c:layout>
                <c:manualLayout>
                  <c:x val="-2.4909626573835178E-2"/>
                  <c:y val="-7.06781279847182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C5E-4551-BCFF-AF689BD43F8A}"/>
                </c:ext>
              </c:extLst>
            </c:dLbl>
            <c:numFmt formatCode="#,##0.0" sourceLinked="0"/>
            <c:spPr>
              <a:noFill/>
              <a:ln>
                <a:noFill/>
              </a:ln>
              <a:effectLst/>
            </c:spPr>
            <c:txPr>
              <a:bodyPr wrap="square" lIns="38100" tIns="19050" rIns="38100" bIns="19050" anchor="ctr">
                <a:spAutoFit/>
              </a:bodyPr>
              <a:lstStyle/>
              <a:p>
                <a:pPr>
                  <a:defRPr sz="800" b="1"/>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Enero</c:v>
                </c:pt>
                <c:pt idx="1">
                  <c:v>Feb</c:v>
                </c:pt>
                <c:pt idx="2">
                  <c:v>Mar</c:v>
                </c:pt>
                <c:pt idx="3">
                  <c:v>Abr</c:v>
                </c:pt>
                <c:pt idx="4">
                  <c:v>May</c:v>
                </c:pt>
                <c:pt idx="5">
                  <c:v>Jun</c:v>
                </c:pt>
              </c:strCache>
            </c:strRef>
          </c:cat>
          <c:val>
            <c:numRef>
              <c:f>Hoja1!$C$2:$C$7</c:f>
              <c:numCache>
                <c:formatCode>_(* #,##0.00_);_(* \(#,##0.00\);_(* "-"??_);_(@_)</c:formatCode>
                <c:ptCount val="6"/>
                <c:pt idx="0">
                  <c:v>1713.81485163</c:v>
                </c:pt>
                <c:pt idx="1">
                  <c:v>1256.34319355</c:v>
                </c:pt>
                <c:pt idx="2">
                  <c:v>1277.316438221312</c:v>
                </c:pt>
                <c:pt idx="3">
                  <c:v>1187.2072146635221</c:v>
                </c:pt>
                <c:pt idx="4">
                  <c:v>1033.5488965951658</c:v>
                </c:pt>
                <c:pt idx="5">
                  <c:v>1083.9363004900001</c:v>
                </c:pt>
              </c:numCache>
            </c:numRef>
          </c:val>
          <c:smooth val="1"/>
          <c:extLst xmlns:c16r2="http://schemas.microsoft.com/office/drawing/2015/06/chart">
            <c:ext xmlns:c16="http://schemas.microsoft.com/office/drawing/2014/chart" uri="{C3380CC4-5D6E-409C-BE32-E72D297353CC}">
              <c16:uniqueId val="{00000003-4213-41E3-97DB-518B9230EBD8}"/>
            </c:ext>
          </c:extLst>
        </c:ser>
        <c:dLbls>
          <c:showLegendKey val="0"/>
          <c:showVal val="0"/>
          <c:showCatName val="0"/>
          <c:showSerName val="0"/>
          <c:showPercent val="0"/>
          <c:showBubbleSize val="0"/>
        </c:dLbls>
        <c:marker val="1"/>
        <c:smooth val="0"/>
        <c:axId val="172998656"/>
        <c:axId val="173000192"/>
      </c:lineChart>
      <c:catAx>
        <c:axId val="1729986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es-ES"/>
          </a:p>
        </c:txPr>
        <c:crossAx val="173000192"/>
        <c:crosses val="autoZero"/>
        <c:auto val="1"/>
        <c:lblAlgn val="ctr"/>
        <c:lblOffset val="100"/>
        <c:noMultiLvlLbl val="0"/>
      </c:catAx>
      <c:valAx>
        <c:axId val="173000192"/>
        <c:scaling>
          <c:orientation val="minMax"/>
          <c:min val="1000"/>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es-ES"/>
          </a:p>
        </c:txPr>
        <c:crossAx val="17299865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1.6704036269047044E-2"/>
          <c:y val="0.89006437713201147"/>
          <c:w val="0.98329596373095296"/>
          <c:h val="9.4054503931994174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lt1"/>
    </a:solidFill>
    <a:ln w="9525" cap="flat" cmpd="sng" algn="ctr">
      <a:noFill/>
      <a:round/>
    </a:ln>
    <a:effectLst/>
  </c:spPr>
  <c:txPr>
    <a:bodyPr/>
    <a:lstStyle/>
    <a:p>
      <a:pPr>
        <a:defRPr>
          <a:effectLst/>
          <a:latin typeface="Times New Roman" panose="02020603050405020304" pitchFamily="18" charset="0"/>
          <a:cs typeface="Times New Roman" panose="02020603050405020304" pitchFamily="18" charset="0"/>
        </a:defRPr>
      </a:pPr>
      <a:endParaRPr lang="es-E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s-GT" sz="800">
                <a:solidFill>
                  <a:schemeClr val="tx1"/>
                </a:solidFill>
              </a:rPr>
              <a:t>IVA importaciones</a:t>
            </a:r>
          </a:p>
          <a:p>
            <a:pPr>
              <a:defRPr sz="8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s-GT" sz="800">
                <a:solidFill>
                  <a:schemeClr val="tx1"/>
                </a:solidFill>
              </a:rPr>
              <a:t>Millones de quetzales</a:t>
            </a:r>
          </a:p>
        </c:rich>
      </c:tx>
      <c:layout>
        <c:manualLayout>
          <c:xMode val="edge"/>
          <c:yMode val="edge"/>
          <c:x val="0.3254969325153374"/>
          <c:y val="0"/>
        </c:manualLayout>
      </c:layout>
      <c:overlay val="0"/>
      <c:spPr>
        <a:noFill/>
        <a:ln>
          <a:noFill/>
        </a:ln>
        <a:effectLst/>
      </c:spPr>
    </c:title>
    <c:autoTitleDeleted val="0"/>
    <c:plotArea>
      <c:layout>
        <c:manualLayout>
          <c:layoutTarget val="inner"/>
          <c:xMode val="edge"/>
          <c:yMode val="edge"/>
          <c:x val="0.15934117221962935"/>
          <c:y val="0.16179124528865171"/>
          <c:w val="0.81675825416660397"/>
          <c:h val="0.62274682489333388"/>
        </c:manualLayout>
      </c:layout>
      <c:lineChart>
        <c:grouping val="standard"/>
        <c:varyColors val="0"/>
        <c:ser>
          <c:idx val="0"/>
          <c:order val="0"/>
          <c:tx>
            <c:strRef>
              <c:f>Hoja1!$B$1</c:f>
              <c:strCache>
                <c:ptCount val="1"/>
                <c:pt idx="0">
                  <c:v>Obs</c:v>
                </c:pt>
              </c:strCache>
            </c:strRef>
          </c:tx>
          <c:spPr>
            <a:ln>
              <a:solidFill>
                <a:srgbClr val="C00000"/>
              </a:solidFill>
            </a:ln>
            <a:effectLst/>
          </c:spPr>
          <c:marker>
            <c:symbol val="circle"/>
            <c:size val="5"/>
            <c:spPr>
              <a:solidFill>
                <a:schemeClr val="bg1"/>
              </a:solidFill>
            </c:spPr>
          </c:marker>
          <c:dLbls>
            <c:numFmt formatCode="#,##0.0" sourceLinked="0"/>
            <c:spPr>
              <a:noFill/>
              <a:ln>
                <a:noFill/>
              </a:ln>
              <a:effectLst/>
            </c:spPr>
            <c:txPr>
              <a:bodyPr wrap="square" lIns="38100" tIns="19050" rIns="38100" bIns="19050" anchor="ctr">
                <a:spAutoFit/>
              </a:bodyPr>
              <a:lstStyle/>
              <a:p>
                <a:pPr>
                  <a:defRPr b="1">
                    <a:solidFill>
                      <a:srgbClr val="FF0000"/>
                    </a:solidFill>
                  </a:defRPr>
                </a:pPr>
                <a:endParaRPr lang="es-E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Enero</c:v>
                </c:pt>
                <c:pt idx="1">
                  <c:v>Feb</c:v>
                </c:pt>
                <c:pt idx="2">
                  <c:v>Mar</c:v>
                </c:pt>
                <c:pt idx="3">
                  <c:v>Abr</c:v>
                </c:pt>
                <c:pt idx="4">
                  <c:v>May</c:v>
                </c:pt>
                <c:pt idx="5">
                  <c:v>Jun</c:v>
                </c:pt>
              </c:strCache>
            </c:strRef>
          </c:cat>
          <c:val>
            <c:numRef>
              <c:f>Hoja1!$B$2:$B$7</c:f>
              <c:numCache>
                <c:formatCode>#,##0.0</c:formatCode>
                <c:ptCount val="6"/>
                <c:pt idx="0">
                  <c:v>1291.2720185799999</c:v>
                </c:pt>
                <c:pt idx="1">
                  <c:v>1365.0249397800001</c:v>
                </c:pt>
                <c:pt idx="2" formatCode="General">
                  <c:v>1627.61941723</c:v>
                </c:pt>
                <c:pt idx="3" formatCode="General">
                  <c:v>1550.31562773</c:v>
                </c:pt>
                <c:pt idx="4" formatCode="General">
                  <c:v>1600.8261482</c:v>
                </c:pt>
                <c:pt idx="5" formatCode="General">
                  <c:v>1614.2593027600001</c:v>
                </c:pt>
              </c:numCache>
            </c:numRef>
          </c:val>
          <c:smooth val="1"/>
          <c:extLst xmlns:c16r2="http://schemas.microsoft.com/office/drawing/2015/06/chart">
            <c:ext xmlns:c16="http://schemas.microsoft.com/office/drawing/2014/chart" uri="{C3380CC4-5D6E-409C-BE32-E72D297353CC}">
              <c16:uniqueId val="{00000000-F5BB-4DD5-A9BE-0ECA6CB00C0E}"/>
            </c:ext>
          </c:extLst>
        </c:ser>
        <c:ser>
          <c:idx val="1"/>
          <c:order val="1"/>
          <c:tx>
            <c:strRef>
              <c:f>Hoja1!$C$1</c:f>
              <c:strCache>
                <c:ptCount val="1"/>
                <c:pt idx="0">
                  <c:v>Meta</c:v>
                </c:pt>
              </c:strCache>
            </c:strRef>
          </c:tx>
          <c:spPr>
            <a:ln>
              <a:solidFill>
                <a:schemeClr val="tx1"/>
              </a:solidFill>
            </a:ln>
            <a:effectLst>
              <a:glow rad="50800">
                <a:schemeClr val="accent6">
                  <a:satMod val="175000"/>
                  <a:alpha val="40000"/>
                </a:schemeClr>
              </a:glow>
            </a:effectLst>
          </c:spPr>
          <c:marker>
            <c:symbol val="star"/>
            <c:size val="6"/>
            <c:spPr>
              <a:solidFill>
                <a:schemeClr val="bg1"/>
              </a:solidFill>
              <a:ln>
                <a:solidFill>
                  <a:schemeClr val="tx1"/>
                </a:solidFill>
                <a:prstDash val="sysDot"/>
              </a:ln>
              <a:effectLst>
                <a:glow rad="50800">
                  <a:schemeClr val="accent6">
                    <a:satMod val="175000"/>
                    <a:alpha val="40000"/>
                  </a:schemeClr>
                </a:glow>
              </a:effectLst>
            </c:spPr>
          </c:marker>
          <c:dLbls>
            <c:numFmt formatCode="#,##0.0" sourceLinked="0"/>
            <c:spPr>
              <a:noFill/>
              <a:ln>
                <a:noFill/>
              </a:ln>
              <a:effectLst/>
            </c:spPr>
            <c:txPr>
              <a:bodyPr wrap="square" lIns="38100" tIns="19050" rIns="38100" bIns="19050" anchor="ctr">
                <a:spAutoFit/>
              </a:bodyPr>
              <a:lstStyle/>
              <a:p>
                <a:pPr>
                  <a:defRPr b="1"/>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Enero</c:v>
                </c:pt>
                <c:pt idx="1">
                  <c:v>Feb</c:v>
                </c:pt>
                <c:pt idx="2">
                  <c:v>Mar</c:v>
                </c:pt>
                <c:pt idx="3">
                  <c:v>Abr</c:v>
                </c:pt>
                <c:pt idx="4">
                  <c:v>May</c:v>
                </c:pt>
                <c:pt idx="5">
                  <c:v>Jun</c:v>
                </c:pt>
              </c:strCache>
            </c:strRef>
          </c:cat>
          <c:val>
            <c:numRef>
              <c:f>Hoja1!$C$2:$C$7</c:f>
              <c:numCache>
                <c:formatCode>#,##0.0</c:formatCode>
                <c:ptCount val="6"/>
                <c:pt idx="0">
                  <c:v>1359.27860212</c:v>
                </c:pt>
                <c:pt idx="1">
                  <c:v>1359.3726979600001</c:v>
                </c:pt>
                <c:pt idx="2" formatCode="General">
                  <c:v>1255.3298079699998</c:v>
                </c:pt>
                <c:pt idx="3" formatCode="General">
                  <c:v>1165.0886189999999</c:v>
                </c:pt>
                <c:pt idx="4" formatCode="General">
                  <c:v>1143.661437</c:v>
                </c:pt>
                <c:pt idx="5" formatCode="General">
                  <c:v>1175.40595613</c:v>
                </c:pt>
              </c:numCache>
            </c:numRef>
          </c:val>
          <c:smooth val="1"/>
          <c:extLst xmlns:c16r2="http://schemas.microsoft.com/office/drawing/2015/06/chart">
            <c:ext xmlns:c16="http://schemas.microsoft.com/office/drawing/2014/chart" uri="{C3380CC4-5D6E-409C-BE32-E72D297353CC}">
              <c16:uniqueId val="{00000001-F5BB-4DD5-A9BE-0ECA6CB00C0E}"/>
            </c:ext>
          </c:extLst>
        </c:ser>
        <c:dLbls>
          <c:showLegendKey val="0"/>
          <c:showVal val="0"/>
          <c:showCatName val="0"/>
          <c:showSerName val="0"/>
          <c:showPercent val="0"/>
          <c:showBubbleSize val="0"/>
        </c:dLbls>
        <c:marker val="1"/>
        <c:smooth val="0"/>
        <c:axId val="210309120"/>
        <c:axId val="210310656"/>
      </c:lineChart>
      <c:catAx>
        <c:axId val="21030912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10310656"/>
        <c:crosses val="autoZero"/>
        <c:auto val="1"/>
        <c:lblAlgn val="ctr"/>
        <c:lblOffset val="100"/>
        <c:noMultiLvlLbl val="0"/>
      </c:catAx>
      <c:valAx>
        <c:axId val="210310656"/>
        <c:scaling>
          <c:orientation val="minMax"/>
          <c:min val="1000"/>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10309120"/>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7.3766900292665408E-4"/>
          <c:y val="0.89006437713201147"/>
          <c:w val="0.9992623309970734"/>
          <c:h val="9.740362573372690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lt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E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Serie 1</c:v>
                </c:pt>
              </c:strCache>
            </c:strRef>
          </c:tx>
          <c:spPr>
            <a:solidFill>
              <a:schemeClr val="accent1"/>
            </a:solidFill>
            <a:ln>
              <a:noFill/>
            </a:ln>
            <a:effectLst/>
          </c:spPr>
          <c:invertIfNegative val="0"/>
          <c:dPt>
            <c:idx val="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B-F82E-4894-ABA3-924B1BEEADD5}"/>
              </c:ext>
            </c:extLst>
          </c:dPt>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C-F82E-4894-ABA3-924B1BEEADD5}"/>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D-F82E-4894-ABA3-924B1BEEADD5}"/>
              </c:ext>
            </c:extLst>
          </c:dPt>
          <c:dLbls>
            <c:dLbl>
              <c:idx val="7"/>
              <c:layout>
                <c:manualLayout>
                  <c:x val="2.254791431792559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82E-4894-ABA3-924B1BEEADD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Hoja1!$A$2:$A$18</c:f>
              <c:strCache>
                <c:ptCount val="17"/>
                <c:pt idx="0">
                  <c:v>Transporte, Almacenamiento y Comunicaciones</c:v>
                </c:pt>
                <c:pt idx="1">
                  <c:v>Organizaciones y Órganos Extraterritoriales</c:v>
                </c:pt>
                <c:pt idx="2">
                  <c:v>Suministro de Electricidad, Gas y Agua</c:v>
                </c:pt>
                <c:pt idx="3">
                  <c:v>Hoteles y Restaurantes</c:v>
                </c:pt>
                <c:pt idx="4">
                  <c:v>Administración Publica y Defensa; Planes de Seguridad Social</c:v>
                </c:pt>
                <c:pt idx="5">
                  <c:v>Construcción</c:v>
                </c:pt>
                <c:pt idx="6">
                  <c:v>Intermediación Financiera</c:v>
                </c:pt>
                <c:pt idx="7">
                  <c:v>Industrias</c:v>
                </c:pt>
                <c:pt idx="8">
                  <c:v>Enseñanza</c:v>
                </c:pt>
                <c:pt idx="9">
                  <c:v>Comercio al por Mayor y Menor</c:v>
                </c:pt>
                <c:pt idx="10">
                  <c:v>Servicios Sociales y de Salud</c:v>
                </c:pt>
                <c:pt idx="11">
                  <c:v>Actividades Inmobiliarias, Empresariales y de Alquiler</c:v>
                </c:pt>
                <c:pt idx="12">
                  <c:v>Empleados en Relación de Dependencia, Estudiantes y Jubilados</c:v>
                </c:pt>
                <c:pt idx="13">
                  <c:v>Agricultura, Ganadería, Caza y Silvicultura</c:v>
                </c:pt>
                <c:pt idx="14">
                  <c:v>Otras Actividades</c:v>
                </c:pt>
                <c:pt idx="15">
                  <c:v>Explotación de Minas y Canteras</c:v>
                </c:pt>
                <c:pt idx="16">
                  <c:v>Otras Actividades de Servicios Comunitarios, Sociales y Profesionales</c:v>
                </c:pt>
              </c:strCache>
            </c:strRef>
          </c:cat>
          <c:val>
            <c:numRef>
              <c:f>Hoja1!$B$2:$B$18</c:f>
              <c:numCache>
                <c:formatCode>0%</c:formatCode>
                <c:ptCount val="17"/>
                <c:pt idx="0">
                  <c:v>-0.30878616897214561</c:v>
                </c:pt>
                <c:pt idx="1">
                  <c:v>-0.18602645459325884</c:v>
                </c:pt>
                <c:pt idx="2">
                  <c:v>-5.2072198399791714E-2</c:v>
                </c:pt>
                <c:pt idx="3">
                  <c:v>-5.0048325650287051E-4</c:v>
                </c:pt>
                <c:pt idx="4">
                  <c:v>6.8623259044680696E-2</c:v>
                </c:pt>
                <c:pt idx="5">
                  <c:v>6.9305691585000773E-2</c:v>
                </c:pt>
                <c:pt idx="6">
                  <c:v>7.4289612868865262E-2</c:v>
                </c:pt>
                <c:pt idx="7">
                  <c:v>0.19807115452260993</c:v>
                </c:pt>
                <c:pt idx="8">
                  <c:v>0.20077342694276701</c:v>
                </c:pt>
                <c:pt idx="9">
                  <c:v>0.28584219023942281</c:v>
                </c:pt>
                <c:pt idx="10">
                  <c:v>0.35779819389127843</c:v>
                </c:pt>
                <c:pt idx="11">
                  <c:v>0.4094306569942685</c:v>
                </c:pt>
                <c:pt idx="12">
                  <c:v>0.45653322525575946</c:v>
                </c:pt>
                <c:pt idx="13">
                  <c:v>0.76923319208580643</c:v>
                </c:pt>
                <c:pt idx="14">
                  <c:v>1.0333712354239326</c:v>
                </c:pt>
                <c:pt idx="15">
                  <c:v>1.2327517640046732</c:v>
                </c:pt>
                <c:pt idx="16">
                  <c:v>1.3057403503973677</c:v>
                </c:pt>
              </c:numCache>
            </c:numRef>
          </c:val>
          <c:extLst xmlns:c16r2="http://schemas.microsoft.com/office/drawing/2015/06/chart">
            <c:ext xmlns:c16="http://schemas.microsoft.com/office/drawing/2014/chart" uri="{C3380CC4-5D6E-409C-BE32-E72D297353CC}">
              <c16:uniqueId val="{00000000-F82E-4894-ABA3-924B1BEEADD5}"/>
            </c:ext>
          </c:extLst>
        </c:ser>
        <c:dLbls>
          <c:showLegendKey val="0"/>
          <c:showVal val="0"/>
          <c:showCatName val="0"/>
          <c:showSerName val="0"/>
          <c:showPercent val="0"/>
          <c:showBubbleSize val="0"/>
        </c:dLbls>
        <c:gapWidth val="30"/>
        <c:axId val="210347520"/>
        <c:axId val="210349056"/>
      </c:barChart>
      <c:catAx>
        <c:axId val="21034752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10349056"/>
        <c:crosses val="autoZero"/>
        <c:auto val="1"/>
        <c:lblAlgn val="ctr"/>
        <c:lblOffset val="100"/>
        <c:noMultiLvlLbl val="0"/>
      </c:catAx>
      <c:valAx>
        <c:axId val="210349056"/>
        <c:scaling>
          <c:orientation val="minMax"/>
          <c:min val="-0.70000000000000007"/>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1034752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605500902553428E-2"/>
          <c:y val="4.0308127164577816E-2"/>
          <c:w val="0.91063576416905478"/>
          <c:h val="0.76107968752426658"/>
        </c:manualLayout>
      </c:layout>
      <c:lineChart>
        <c:grouping val="standard"/>
        <c:varyColors val="0"/>
        <c:ser>
          <c:idx val="0"/>
          <c:order val="0"/>
          <c:tx>
            <c:v>World production</c:v>
          </c:tx>
          <c:spPr>
            <a:ln>
              <a:solidFill>
                <a:schemeClr val="accent1"/>
              </a:solidFill>
            </a:ln>
          </c:spPr>
          <c:marker>
            <c:symbol val="none"/>
          </c:marker>
          <c:cat>
            <c:multiLvlStrRef>
              <c:f>'[Fig6 (1).xlsx]6'!$B$28:$C$55</c:f>
              <c:multiLvlStrCache>
                <c:ptCount val="28"/>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pt idx="20">
                    <c:v>Q1</c:v>
                  </c:pt>
                  <c:pt idx="21">
                    <c:v>Q2</c:v>
                  </c:pt>
                  <c:pt idx="22">
                    <c:v>Q3</c:v>
                  </c:pt>
                  <c:pt idx="23">
                    <c:v>Q4</c:v>
                  </c:pt>
                  <c:pt idx="24">
                    <c:v>Q1</c:v>
                  </c:pt>
                  <c:pt idx="25">
                    <c:v>Q2</c:v>
                  </c:pt>
                  <c:pt idx="26">
                    <c:v>Q3</c:v>
                  </c:pt>
                  <c:pt idx="27">
                    <c:v>Q4</c:v>
                  </c:pt>
                </c:lvl>
                <c:lvl>
                  <c:pt idx="0">
                    <c:v>2016</c:v>
                  </c:pt>
                  <c:pt idx="4">
                    <c:v>2017</c:v>
                  </c:pt>
                  <c:pt idx="8">
                    <c:v>2018</c:v>
                  </c:pt>
                  <c:pt idx="12">
                    <c:v>2019</c:v>
                  </c:pt>
                  <c:pt idx="16">
                    <c:v>2020</c:v>
                  </c:pt>
                  <c:pt idx="20">
                    <c:v>2021</c:v>
                  </c:pt>
                  <c:pt idx="24">
                    <c:v>2022</c:v>
                  </c:pt>
                </c:lvl>
              </c:multiLvlStrCache>
            </c:multiLvlStrRef>
          </c:cat>
          <c:val>
            <c:numRef>
              <c:f>'[Fig6 (1).xlsx]6'!$E$28:$E$55</c:f>
              <c:numCache>
                <c:formatCode>0.00</c:formatCode>
                <c:ptCount val="28"/>
                <c:pt idx="0">
                  <c:v>97.214821118000003</c:v>
                </c:pt>
                <c:pt idx="1">
                  <c:v>96.616043203999993</c:v>
                </c:pt>
                <c:pt idx="2">
                  <c:v>97.262708919999994</c:v>
                </c:pt>
                <c:pt idx="3">
                  <c:v>98.672421549999996</c:v>
                </c:pt>
                <c:pt idx="4">
                  <c:v>97.257418119999997</c:v>
                </c:pt>
                <c:pt idx="5">
                  <c:v>97.571481003000002</c:v>
                </c:pt>
                <c:pt idx="6">
                  <c:v>98.615645954000001</c:v>
                </c:pt>
                <c:pt idx="7">
                  <c:v>99.081488617999995</c:v>
                </c:pt>
                <c:pt idx="8">
                  <c:v>99.455304010000006</c:v>
                </c:pt>
                <c:pt idx="9">
                  <c:v>99.953538226999996</c:v>
                </c:pt>
                <c:pt idx="10">
                  <c:v>101.60389517</c:v>
                </c:pt>
                <c:pt idx="11">
                  <c:v>102.36172157999999</c:v>
                </c:pt>
                <c:pt idx="12">
                  <c:v>100.26468015</c:v>
                </c:pt>
                <c:pt idx="13">
                  <c:v>100.46182485999999</c:v>
                </c:pt>
                <c:pt idx="14">
                  <c:v>100.15216024999999</c:v>
                </c:pt>
                <c:pt idx="15">
                  <c:v>101.65513604</c:v>
                </c:pt>
                <c:pt idx="16">
                  <c:v>100.77637412999999</c:v>
                </c:pt>
                <c:pt idx="17">
                  <c:v>92.479770083999995</c:v>
                </c:pt>
                <c:pt idx="18">
                  <c:v>90.955811806</c:v>
                </c:pt>
                <c:pt idx="19">
                  <c:v>92.813353864999996</c:v>
                </c:pt>
                <c:pt idx="20">
                  <c:v>93.194113056000006</c:v>
                </c:pt>
                <c:pt idx="21">
                  <c:v>95.378486592000002</c:v>
                </c:pt>
                <c:pt idx="22">
                  <c:v>98.618354812999996</c:v>
                </c:pt>
                <c:pt idx="23">
                  <c:v>99.447192539</c:v>
                </c:pt>
                <c:pt idx="24">
                  <c:v>99.214304733999995</c:v>
                </c:pt>
                <c:pt idx="25">
                  <c:v>101.10080245</c:v>
                </c:pt>
                <c:pt idx="26">
                  <c:v>101.84451736</c:v>
                </c:pt>
                <c:pt idx="27">
                  <c:v>102.28669704000001</c:v>
                </c:pt>
              </c:numCache>
            </c:numRef>
          </c:val>
          <c:smooth val="0"/>
          <c:extLst xmlns:c16r2="http://schemas.microsoft.com/office/drawing/2015/06/chart">
            <c:ext xmlns:c16="http://schemas.microsoft.com/office/drawing/2014/chart" uri="{C3380CC4-5D6E-409C-BE32-E72D297353CC}">
              <c16:uniqueId val="{00000000-599B-4689-9971-E6289A864D9B}"/>
            </c:ext>
          </c:extLst>
        </c:ser>
        <c:ser>
          <c:idx val="1"/>
          <c:order val="1"/>
          <c:tx>
            <c:v>World consumption</c:v>
          </c:tx>
          <c:spPr>
            <a:ln>
              <a:solidFill>
                <a:schemeClr val="accent6"/>
              </a:solidFill>
            </a:ln>
          </c:spPr>
          <c:marker>
            <c:symbol val="none"/>
          </c:marker>
          <c:cat>
            <c:multiLvlStrRef>
              <c:f>'[Fig6 (1).xlsx]6'!$B$28:$C$55</c:f>
              <c:multiLvlStrCache>
                <c:ptCount val="28"/>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pt idx="20">
                    <c:v>Q1</c:v>
                  </c:pt>
                  <c:pt idx="21">
                    <c:v>Q2</c:v>
                  </c:pt>
                  <c:pt idx="22">
                    <c:v>Q3</c:v>
                  </c:pt>
                  <c:pt idx="23">
                    <c:v>Q4</c:v>
                  </c:pt>
                  <c:pt idx="24">
                    <c:v>Q1</c:v>
                  </c:pt>
                  <c:pt idx="25">
                    <c:v>Q2</c:v>
                  </c:pt>
                  <c:pt idx="26">
                    <c:v>Q3</c:v>
                  </c:pt>
                  <c:pt idx="27">
                    <c:v>Q4</c:v>
                  </c:pt>
                </c:lvl>
                <c:lvl>
                  <c:pt idx="0">
                    <c:v>2016</c:v>
                  </c:pt>
                  <c:pt idx="4">
                    <c:v>2017</c:v>
                  </c:pt>
                  <c:pt idx="8">
                    <c:v>2018</c:v>
                  </c:pt>
                  <c:pt idx="12">
                    <c:v>2019</c:v>
                  </c:pt>
                  <c:pt idx="16">
                    <c:v>2020</c:v>
                  </c:pt>
                  <c:pt idx="20">
                    <c:v>2021</c:v>
                  </c:pt>
                  <c:pt idx="24">
                    <c:v>2022</c:v>
                  </c:pt>
                </c:lvl>
              </c:multiLvlStrCache>
            </c:multiLvlStrRef>
          </c:cat>
          <c:val>
            <c:numRef>
              <c:f>'[Fig6 (1).xlsx]6'!$G$28:$G$55</c:f>
              <c:numCache>
                <c:formatCode>0.00</c:formatCode>
                <c:ptCount val="28"/>
                <c:pt idx="0">
                  <c:v>95.945315867000005</c:v>
                </c:pt>
                <c:pt idx="1">
                  <c:v>96.398417351000006</c:v>
                </c:pt>
                <c:pt idx="2">
                  <c:v>97.365875036999995</c:v>
                </c:pt>
                <c:pt idx="3">
                  <c:v>97.44515973</c:v>
                </c:pt>
                <c:pt idx="4">
                  <c:v>97.226113503999997</c:v>
                </c:pt>
                <c:pt idx="5">
                  <c:v>99.089732549000004</c:v>
                </c:pt>
                <c:pt idx="6">
                  <c:v>99.528885529999997</c:v>
                </c:pt>
                <c:pt idx="7">
                  <c:v>99.879524119999999</c:v>
                </c:pt>
                <c:pt idx="8">
                  <c:v>99.354574210999999</c:v>
                </c:pt>
                <c:pt idx="9">
                  <c:v>99.736057747999993</c:v>
                </c:pt>
                <c:pt idx="10">
                  <c:v>100.85216414</c:v>
                </c:pt>
                <c:pt idx="11">
                  <c:v>100.25474918</c:v>
                </c:pt>
                <c:pt idx="12">
                  <c:v>100.25338578</c:v>
                </c:pt>
                <c:pt idx="13">
                  <c:v>100.64528082</c:v>
                </c:pt>
                <c:pt idx="14">
                  <c:v>102.14416531000001</c:v>
                </c:pt>
                <c:pt idx="15">
                  <c:v>101.70051586</c:v>
                </c:pt>
                <c:pt idx="16">
                  <c:v>95.297896074999997</c:v>
                </c:pt>
                <c:pt idx="17">
                  <c:v>84.779616465999993</c:v>
                </c:pt>
                <c:pt idx="18">
                  <c:v>93.214214276999996</c:v>
                </c:pt>
                <c:pt idx="19">
                  <c:v>95.323682926000004</c:v>
                </c:pt>
                <c:pt idx="20">
                  <c:v>95.262159198999996</c:v>
                </c:pt>
                <c:pt idx="21">
                  <c:v>96.841556729999994</c:v>
                </c:pt>
                <c:pt idx="22">
                  <c:v>98.712129441000002</c:v>
                </c:pt>
                <c:pt idx="23">
                  <c:v>99.790820866999994</c:v>
                </c:pt>
                <c:pt idx="24">
                  <c:v>99.901488251999993</c:v>
                </c:pt>
                <c:pt idx="25">
                  <c:v>100.93272182</c:v>
                </c:pt>
                <c:pt idx="26">
                  <c:v>102.06489813</c:v>
                </c:pt>
                <c:pt idx="27">
                  <c:v>102.33570844</c:v>
                </c:pt>
              </c:numCache>
            </c:numRef>
          </c:val>
          <c:smooth val="0"/>
          <c:extLst xmlns:c16r2="http://schemas.microsoft.com/office/drawing/2015/06/chart">
            <c:ext xmlns:c16="http://schemas.microsoft.com/office/drawing/2014/chart" uri="{C3380CC4-5D6E-409C-BE32-E72D297353CC}">
              <c16:uniqueId val="{00000001-599B-4689-9971-E6289A864D9B}"/>
            </c:ext>
          </c:extLst>
        </c:ser>
        <c:dLbls>
          <c:showLegendKey val="0"/>
          <c:showVal val="0"/>
          <c:showCatName val="0"/>
          <c:showSerName val="0"/>
          <c:showPercent val="0"/>
          <c:showBubbleSize val="0"/>
        </c:dLbls>
        <c:marker val="1"/>
        <c:smooth val="0"/>
        <c:axId val="163400704"/>
        <c:axId val="163418880"/>
      </c:lineChart>
      <c:scatterChart>
        <c:scatterStyle val="lineMarker"/>
        <c:varyColors val="0"/>
        <c:ser>
          <c:idx val="3"/>
          <c:order val="2"/>
          <c:tx>
            <c:strRef>
              <c:f>'[Fig6 (1).xlsx]6'!$C$58</c:f>
              <c:strCache>
                <c:ptCount val="1"/>
                <c:pt idx="0">
                  <c:v>Forecast</c:v>
                </c:pt>
              </c:strCache>
            </c:strRef>
          </c:tx>
          <c:spPr>
            <a:ln w="9525" cap="flat">
              <a:solidFill>
                <a:schemeClr val="bg1">
                  <a:lumMod val="65000"/>
                </a:schemeClr>
              </a:solidFill>
              <a:prstDash val="lgDash"/>
            </a:ln>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99B-4689-9971-E6289A864D9B}"/>
                </c:ext>
              </c:extLst>
            </c:dLbl>
            <c:dLbl>
              <c:idx val="1"/>
              <c:layout>
                <c:manualLayout>
                  <c:x val="-1.7852771807200069E-3"/>
                  <c:y val="0.5416507100313529"/>
                </c:manualLayout>
              </c:layout>
              <c:tx>
                <c:rich>
                  <a:bodyPr/>
                  <a:lstStyle/>
                  <a:p>
                    <a:r>
                      <a:rPr lang="en-US" sz="700" b="0">
                        <a:latin typeface="Times New Roman" panose="02020603050405020304" pitchFamily="18" charset="0"/>
                        <a:cs typeface="Times New Roman" panose="02020603050405020304" pitchFamily="18" charset="0"/>
                      </a:rPr>
                      <a:t>Pronóstico</a:t>
                    </a:r>
                  </a:p>
                </c:rich>
              </c:tx>
              <c:showLegendKey val="0"/>
              <c:showVal val="0"/>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9B-4689-9971-E6289A864D9B}"/>
                </c:ext>
              </c:extLst>
            </c:dLbl>
            <c:spPr>
              <a:noFill/>
              <a:ln>
                <a:noFill/>
              </a:ln>
              <a:effectLst/>
            </c:spPr>
            <c:txPr>
              <a:bodyPr wrap="square" lIns="38100" tIns="19050" rIns="38100" bIns="19050" anchor="ctr">
                <a:spAutoFit/>
              </a:bodyPr>
              <a:lstStyle/>
              <a:p>
                <a:pPr>
                  <a:defRPr sz="900" baseline="0"/>
                </a:pPr>
                <a:endParaRPr lang="es-E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'[Fig6 (1).xlsx]6'!$B$59:$B$60</c:f>
              <c:numCache>
                <c:formatCode>General</c:formatCode>
                <c:ptCount val="2"/>
                <c:pt idx="0">
                  <c:v>21.5</c:v>
                </c:pt>
                <c:pt idx="1">
                  <c:v>21.5</c:v>
                </c:pt>
              </c:numCache>
            </c:numRef>
          </c:xVal>
          <c:yVal>
            <c:numRef>
              <c:f>'[Fig6 (1).xlsx]6'!$C$59:$C$60</c:f>
              <c:numCache>
                <c:formatCode>0</c:formatCode>
                <c:ptCount val="2"/>
                <c:pt idx="0">
                  <c:v>70</c:v>
                </c:pt>
                <c:pt idx="1">
                  <c:v>105</c:v>
                </c:pt>
              </c:numCache>
            </c:numRef>
          </c:yVal>
          <c:smooth val="0"/>
          <c:extLst xmlns:c16r2="http://schemas.microsoft.com/office/drawing/2015/06/chart">
            <c:ext xmlns:c16="http://schemas.microsoft.com/office/drawing/2014/chart" uri="{C3380CC4-5D6E-409C-BE32-E72D297353CC}">
              <c16:uniqueId val="{00000004-599B-4689-9971-E6289A864D9B}"/>
            </c:ext>
          </c:extLst>
        </c:ser>
        <c:dLbls>
          <c:showLegendKey val="0"/>
          <c:showVal val="0"/>
          <c:showCatName val="0"/>
          <c:showSerName val="0"/>
          <c:showPercent val="0"/>
          <c:showBubbleSize val="0"/>
        </c:dLbls>
        <c:axId val="163400704"/>
        <c:axId val="163418880"/>
      </c:scatterChart>
      <c:catAx>
        <c:axId val="163400704"/>
        <c:scaling>
          <c:orientation val="minMax"/>
        </c:scaling>
        <c:delete val="0"/>
        <c:axPos val="b"/>
        <c:numFmt formatCode="yyyy" sourceLinked="0"/>
        <c:majorTickMark val="out"/>
        <c:minorTickMark val="none"/>
        <c:tickLblPos val="nextTo"/>
        <c:txPr>
          <a:bodyPr/>
          <a:lstStyle/>
          <a:p>
            <a:pPr>
              <a:defRPr sz="500" b="1" baseline="0">
                <a:latin typeface="Times New Roman" panose="02020603050405020304" pitchFamily="18" charset="0"/>
                <a:cs typeface="Times New Roman" panose="02020603050405020304" pitchFamily="18" charset="0"/>
              </a:defRPr>
            </a:pPr>
            <a:endParaRPr lang="es-ES"/>
          </a:p>
        </c:txPr>
        <c:crossAx val="163418880"/>
        <c:crosses val="autoZero"/>
        <c:auto val="0"/>
        <c:lblAlgn val="ctr"/>
        <c:lblOffset val="100"/>
        <c:tickLblSkip val="4"/>
        <c:tickMarkSkip val="4"/>
        <c:noMultiLvlLbl val="0"/>
      </c:catAx>
      <c:valAx>
        <c:axId val="163418880"/>
        <c:scaling>
          <c:orientation val="minMax"/>
          <c:max val="105"/>
          <c:min val="75"/>
        </c:scaling>
        <c:delete val="0"/>
        <c:axPos val="l"/>
        <c:majorGridlines>
          <c:spPr>
            <a:ln>
              <a:solidFill>
                <a:schemeClr val="bg1">
                  <a:lumMod val="75000"/>
                </a:schemeClr>
              </a:solidFill>
            </a:ln>
          </c:spPr>
        </c:majorGridlines>
        <c:numFmt formatCode="0" sourceLinked="0"/>
        <c:majorTickMark val="out"/>
        <c:minorTickMark val="none"/>
        <c:tickLblPos val="nextTo"/>
        <c:spPr>
          <a:ln>
            <a:noFill/>
          </a:ln>
        </c:spPr>
        <c:txPr>
          <a:bodyPr/>
          <a:lstStyle/>
          <a:p>
            <a:pPr>
              <a:defRPr sz="700" baseline="0">
                <a:latin typeface="Times New Roman" panose="02020603050405020304" pitchFamily="18" charset="0"/>
                <a:cs typeface="Times New Roman" panose="02020603050405020304" pitchFamily="18" charset="0"/>
              </a:defRPr>
            </a:pPr>
            <a:endParaRPr lang="es-ES"/>
          </a:p>
        </c:txPr>
        <c:crossAx val="163400704"/>
        <c:crosses val="autoZero"/>
        <c:crossBetween val="midCat"/>
      </c:valAx>
      <c:spPr>
        <a:ln>
          <a:solidFill>
            <a:schemeClr val="bg1">
              <a:lumMod val="85000"/>
            </a:schemeClr>
          </a:solidFill>
        </a:ln>
      </c:spPr>
    </c:plotArea>
    <c:plotVisOnly val="1"/>
    <c:dispBlanksAs val="gap"/>
    <c:showDLblsOverMax val="0"/>
  </c:chart>
  <c:spPr>
    <a:ln>
      <a:noFill/>
    </a:ln>
  </c:spPr>
  <c:txPr>
    <a:bodyPr/>
    <a:lstStyle/>
    <a:p>
      <a:pPr>
        <a:defRPr sz="1000">
          <a:latin typeface="Arial" pitchFamily="34" charset="0"/>
          <a:cs typeface="Arial" pitchFamily="34" charset="0"/>
        </a:defRPr>
      </a:pPr>
      <a:endParaRPr lang="es-ES"/>
    </a:p>
  </c:txPr>
  <c:externalData r:id="rId1">
    <c:autoUpdate val="0"/>
  </c:externalData>
  <c:userShapes r:id="rId2"/>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883527981821061E-2"/>
          <c:y val="5.0621260929590427E-2"/>
          <c:w val="0.94011647201817894"/>
          <c:h val="0.82507401139974856"/>
        </c:manualLayout>
      </c:layout>
      <c:barChart>
        <c:barDir val="col"/>
        <c:grouping val="clustered"/>
        <c:varyColors val="0"/>
        <c:ser>
          <c:idx val="1"/>
          <c:order val="1"/>
          <c:tx>
            <c:strRef>
              <c:f>Sheet1!$C$1</c:f>
              <c:strCache>
                <c:ptCount val="1"/>
                <c:pt idx="0">
                  <c:v>2021</c:v>
                </c:pt>
              </c:strCache>
            </c:strRef>
          </c:tx>
          <c:spPr>
            <a:solidFill>
              <a:schemeClr val="accent2"/>
            </a:solidFill>
            <a:ln w="12700">
              <a:solidFill>
                <a:schemeClr val="tx1"/>
              </a:solidFill>
            </a:ln>
            <a:effectLst/>
          </c:spPr>
          <c:invertIfNegative val="0"/>
          <c:dLbls>
            <c:dLbl>
              <c:idx val="0"/>
              <c:layout>
                <c:manualLayout>
                  <c:x val="-2.6845637583892742E-3"/>
                  <c:y val="2.30096640589047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F9A-4814-812D-0FCEDDC45628}"/>
                </c:ext>
              </c:extLst>
            </c:dLbl>
            <c:dLbl>
              <c:idx val="1"/>
              <c:layout>
                <c:manualLayout>
                  <c:x val="0"/>
                  <c:y val="9.203865623561895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F9A-4814-812D-0FCEDDC45628}"/>
                </c:ext>
              </c:extLst>
            </c:dLbl>
            <c:dLbl>
              <c:idx val="2"/>
              <c:layout>
                <c:manualLayout>
                  <c:x val="0"/>
                  <c:y val="-1.38057984353429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F9A-4814-812D-0FCEDDC4562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Sheet1!$C$2:$C$13</c:f>
              <c:numCache>
                <c:formatCode>0.0</c:formatCode>
                <c:ptCount val="12"/>
                <c:pt idx="0">
                  <c:v>3.1102606665003307</c:v>
                </c:pt>
                <c:pt idx="1">
                  <c:v>5.5930681844471142</c:v>
                </c:pt>
                <c:pt idx="2">
                  <c:v>1.7155335821042561</c:v>
                </c:pt>
                <c:pt idx="3">
                  <c:v>10.781770871480134</c:v>
                </c:pt>
                <c:pt idx="4">
                  <c:v>6.3012889804766159</c:v>
                </c:pt>
                <c:pt idx="5">
                  <c:v>0.27194604153937263</c:v>
                </c:pt>
              </c:numCache>
            </c:numRef>
          </c:val>
          <c:extLst xmlns:c16r2="http://schemas.microsoft.com/office/drawing/2015/06/chart">
            <c:ext xmlns:c16="http://schemas.microsoft.com/office/drawing/2014/chart" uri="{C3380CC4-5D6E-409C-BE32-E72D297353CC}">
              <c16:uniqueId val="{00000003-4F9A-4814-812D-0FCEDDC45628}"/>
            </c:ext>
          </c:extLst>
        </c:ser>
        <c:dLbls>
          <c:showLegendKey val="0"/>
          <c:showVal val="0"/>
          <c:showCatName val="0"/>
          <c:showSerName val="0"/>
          <c:showPercent val="0"/>
          <c:showBubbleSize val="0"/>
        </c:dLbls>
        <c:gapWidth val="97"/>
        <c:overlap val="-27"/>
        <c:axId val="210443264"/>
        <c:axId val="210457344"/>
      </c:barChart>
      <c:lineChart>
        <c:grouping val="standard"/>
        <c:varyColors val="0"/>
        <c:ser>
          <c:idx val="0"/>
          <c:order val="0"/>
          <c:tx>
            <c:strRef>
              <c:f>Sheet1!$B$1</c:f>
              <c:strCache>
                <c:ptCount val="1"/>
                <c:pt idx="0">
                  <c:v>2020</c:v>
                </c:pt>
              </c:strCache>
            </c:strRef>
          </c:tx>
          <c:spPr>
            <a:ln w="22225" cap="rnd">
              <a:solidFill>
                <a:schemeClr val="accent1"/>
              </a:solidFill>
              <a:round/>
            </a:ln>
            <a:effectLst/>
          </c:spPr>
          <c:marker>
            <c:symbol val="circle"/>
            <c:size val="6"/>
            <c:spPr>
              <a:solidFill>
                <a:schemeClr val="lt1"/>
              </a:solidFill>
              <a:ln w="15875">
                <a:solidFill>
                  <a:schemeClr val="accent1"/>
                </a:solidFill>
                <a:round/>
              </a:ln>
              <a:effectLst/>
            </c:spPr>
          </c:marker>
          <c:dLbls>
            <c:dLbl>
              <c:idx val="0"/>
              <c:layout>
                <c:manualLayout>
                  <c:x val="-4.0268456375838924E-2"/>
                  <c:y val="-3.63552692130695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F9A-4814-812D-0FCEDDC45628}"/>
                </c:ext>
              </c:extLst>
            </c:dLbl>
            <c:dLbl>
              <c:idx val="2"/>
              <c:layout>
                <c:manualLayout>
                  <c:x val="-3.7583892617449662E-2"/>
                  <c:y val="9.24988495167971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F9A-4814-812D-0FCEDDC4562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E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Sheet1!$B$2:$B$13</c:f>
              <c:numCache>
                <c:formatCode>0.0</c:formatCode>
                <c:ptCount val="12"/>
                <c:pt idx="0">
                  <c:v>5.0362282956783133</c:v>
                </c:pt>
                <c:pt idx="1">
                  <c:v>0.22874767424281295</c:v>
                </c:pt>
                <c:pt idx="2">
                  <c:v>2.3597448839590918</c:v>
                </c:pt>
                <c:pt idx="3">
                  <c:v>-1.6368421755264873</c:v>
                </c:pt>
                <c:pt idx="4">
                  <c:v>4.1616915886161001</c:v>
                </c:pt>
                <c:pt idx="5">
                  <c:v>8.9897091455984679</c:v>
                </c:pt>
                <c:pt idx="6">
                  <c:v>10.002632069817707</c:v>
                </c:pt>
                <c:pt idx="7">
                  <c:v>11.996376755431104</c:v>
                </c:pt>
                <c:pt idx="8">
                  <c:v>14.384517456341861</c:v>
                </c:pt>
                <c:pt idx="9">
                  <c:v>14.266816513910975</c:v>
                </c:pt>
                <c:pt idx="10">
                  <c:v>14.997270890933212</c:v>
                </c:pt>
                <c:pt idx="11">
                  <c:v>16.63057780778243</c:v>
                </c:pt>
              </c:numCache>
            </c:numRef>
          </c:val>
          <c:smooth val="0"/>
          <c:extLst xmlns:c16r2="http://schemas.microsoft.com/office/drawing/2015/06/chart">
            <c:ext xmlns:c16="http://schemas.microsoft.com/office/drawing/2014/chart" uri="{C3380CC4-5D6E-409C-BE32-E72D297353CC}">
              <c16:uniqueId val="{00000000-4F9A-4814-812D-0FCEDDC45628}"/>
            </c:ext>
          </c:extLst>
        </c:ser>
        <c:dLbls>
          <c:showLegendKey val="0"/>
          <c:showVal val="0"/>
          <c:showCatName val="0"/>
          <c:showSerName val="0"/>
          <c:showPercent val="0"/>
          <c:showBubbleSize val="0"/>
        </c:dLbls>
        <c:marker val="1"/>
        <c:smooth val="0"/>
        <c:axId val="210443264"/>
        <c:axId val="210457344"/>
      </c:lineChart>
      <c:catAx>
        <c:axId val="2104432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10457344"/>
        <c:crosses val="autoZero"/>
        <c:auto val="1"/>
        <c:lblAlgn val="ctr"/>
        <c:lblOffset val="100"/>
        <c:noMultiLvlLbl val="0"/>
      </c:catAx>
      <c:valAx>
        <c:axId val="21045734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10443264"/>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4647508323204567"/>
          <c:y val="6.1780404462787757E-2"/>
          <c:w val="0.28348993288590602"/>
          <c:h val="7.80679854042634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lt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75511176022352"/>
          <c:y val="5.589430894308943E-2"/>
          <c:w val="0.80887533337566686"/>
          <c:h val="0.83702547852250186"/>
        </c:manualLayout>
      </c:layout>
      <c:barChart>
        <c:barDir val="col"/>
        <c:grouping val="clustered"/>
        <c:varyColors val="0"/>
        <c:ser>
          <c:idx val="0"/>
          <c:order val="0"/>
          <c:tx>
            <c:strRef>
              <c:f>Hoja1!$B$1</c:f>
              <c:strCache>
                <c:ptCount val="1"/>
                <c:pt idx="0">
                  <c:v>Ejecución</c:v>
                </c:pt>
              </c:strCache>
            </c:strRef>
          </c:tx>
          <c:spPr>
            <a:solidFill>
              <a:schemeClr val="accent6">
                <a:lumMod val="75000"/>
              </a:schemeClr>
            </a:solidFill>
            <a:ln w="19050">
              <a:solidFill>
                <a:schemeClr val="tx1"/>
              </a:solidFill>
            </a:ln>
            <a:effectLst/>
          </c:spPr>
          <c:invertIfNegative val="0"/>
          <c:dLbls>
            <c:dLbl>
              <c:idx val="1"/>
              <c:layout>
                <c:manualLayout>
                  <c:x val="0"/>
                  <c:y val="-2.468631969784264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F7D-4E0D-B083-13912415F8B8}"/>
                </c:ext>
              </c:extLst>
            </c:dLbl>
            <c:dLbl>
              <c:idx val="2"/>
              <c:layout>
                <c:manualLayout>
                  <c:x val="4.9067713444553487E-3"/>
                  <c:y val="-7.4339030791882718E-4"/>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F7D-4E0D-B083-13912415F8B8}"/>
                </c:ext>
              </c:extLst>
            </c:dLbl>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Enero</c:v>
                </c:pt>
                <c:pt idx="1">
                  <c:v>Febrero</c:v>
                </c:pt>
                <c:pt idx="2">
                  <c:v>Marzo</c:v>
                </c:pt>
                <c:pt idx="3">
                  <c:v>Abril</c:v>
                </c:pt>
                <c:pt idx="4">
                  <c:v>Mayo</c:v>
                </c:pt>
                <c:pt idx="5">
                  <c:v>Junio</c:v>
                </c:pt>
              </c:strCache>
            </c:strRef>
          </c:cat>
          <c:val>
            <c:numRef>
              <c:f>Hoja1!$B$2:$B$7</c:f>
              <c:numCache>
                <c:formatCode>#,##0.0</c:formatCode>
                <c:ptCount val="6"/>
                <c:pt idx="0">
                  <c:v>4.03</c:v>
                </c:pt>
                <c:pt idx="1">
                  <c:v>22.38</c:v>
                </c:pt>
                <c:pt idx="2">
                  <c:v>139.29</c:v>
                </c:pt>
                <c:pt idx="3">
                  <c:v>1010.3</c:v>
                </c:pt>
                <c:pt idx="4">
                  <c:v>1099.79</c:v>
                </c:pt>
                <c:pt idx="5">
                  <c:v>1218.47</c:v>
                </c:pt>
              </c:numCache>
            </c:numRef>
          </c:val>
          <c:extLst xmlns:c16r2="http://schemas.microsoft.com/office/drawing/2015/06/chart">
            <c:ext xmlns:c16="http://schemas.microsoft.com/office/drawing/2014/chart" uri="{C3380CC4-5D6E-409C-BE32-E72D297353CC}">
              <c16:uniqueId val="{00000000-1F7D-4E0D-B083-13912415F8B8}"/>
            </c:ext>
          </c:extLst>
        </c:ser>
        <c:dLbls>
          <c:showLegendKey val="0"/>
          <c:showVal val="0"/>
          <c:showCatName val="0"/>
          <c:showSerName val="0"/>
          <c:showPercent val="0"/>
          <c:showBubbleSize val="0"/>
        </c:dLbls>
        <c:gapWidth val="53"/>
        <c:overlap val="-43"/>
        <c:axId val="210478976"/>
        <c:axId val="210480512"/>
      </c:barChart>
      <c:catAx>
        <c:axId val="21047897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10480512"/>
        <c:crosses val="autoZero"/>
        <c:auto val="1"/>
        <c:lblAlgn val="ctr"/>
        <c:lblOffset val="100"/>
        <c:noMultiLvlLbl val="0"/>
      </c:catAx>
      <c:valAx>
        <c:axId val="210480512"/>
        <c:scaling>
          <c:orientation val="minMax"/>
          <c:max val="1300"/>
          <c:min val="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10478976"/>
        <c:crosses val="autoZero"/>
        <c:crossBetween val="between"/>
      </c:valAx>
      <c:spPr>
        <a:pattFill prst="ltDnDiag">
          <a:fgClr>
            <a:schemeClr val="dk1">
              <a:lumMod val="15000"/>
              <a:lumOff val="85000"/>
            </a:schemeClr>
          </a:fgClr>
          <a:bgClr>
            <a:schemeClr val="lt1"/>
          </a:bgClr>
        </a:pattFill>
        <a:ln>
          <a:noFill/>
        </a:ln>
        <a:effectLst>
          <a:outerShdw blurRad="50800" dist="38100" dir="2700000" algn="tl" rotWithShape="0">
            <a:prstClr val="black">
              <a:alpha val="40000"/>
            </a:prstClr>
          </a:outerShdw>
        </a:effectLst>
      </c:spPr>
    </c:plotArea>
    <c:legend>
      <c:legendPos val="b"/>
      <c:layout>
        <c:manualLayout>
          <c:xMode val="edge"/>
          <c:yMode val="edge"/>
          <c:x val="0.21054646751099193"/>
          <c:y val="0.11648822098457208"/>
          <c:w val="0.35291199493095743"/>
          <c:h val="9.7342919787465593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lt1"/>
    </a:solidFill>
    <a:ln w="9525" cap="flat" cmpd="sng" algn="ctr">
      <a:noFill/>
      <a:round/>
    </a:ln>
    <a:effectLst/>
  </c:spPr>
  <c:txPr>
    <a:bodyPr/>
    <a:lstStyle/>
    <a:p>
      <a:pPr>
        <a:defRPr/>
      </a:pPr>
      <a:endParaRPr lang="es-E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Resultado Presupuestario</c:v>
                </c:pt>
              </c:strCache>
            </c:strRef>
          </c:tx>
          <c:spPr>
            <a:solidFill>
              <a:schemeClr val="accent1"/>
            </a:solidFill>
            <a:ln w="19050">
              <a:solidFill>
                <a:schemeClr val="tx1"/>
              </a:solidFill>
            </a:ln>
            <a:effectLst/>
          </c:spPr>
          <c:invertIfNegative val="0"/>
          <c:dPt>
            <c:idx val="0"/>
            <c:invertIfNegative val="0"/>
            <c:bubble3D val="0"/>
            <c:spPr>
              <a:solidFill>
                <a:schemeClr val="accent5">
                  <a:lumMod val="75000"/>
                </a:schemeClr>
              </a:solidFill>
              <a:ln w="19050">
                <a:solidFill>
                  <a:schemeClr val="tx1"/>
                </a:solidFill>
              </a:ln>
              <a:effectLst/>
            </c:spPr>
            <c:extLst xmlns:c16r2="http://schemas.microsoft.com/office/drawing/2015/06/chart">
              <c:ext xmlns:c16="http://schemas.microsoft.com/office/drawing/2014/chart" uri="{C3380CC4-5D6E-409C-BE32-E72D297353CC}">
                <c16:uniqueId val="{00000004-37FA-4FF0-BC18-0B52D33951FC}"/>
              </c:ext>
            </c:extLst>
          </c:dPt>
          <c:dPt>
            <c:idx val="1"/>
            <c:invertIfNegative val="0"/>
            <c:bubble3D val="0"/>
            <c:spPr>
              <a:solidFill>
                <a:schemeClr val="accent5">
                  <a:lumMod val="75000"/>
                </a:schemeClr>
              </a:solidFill>
              <a:ln w="19050">
                <a:solidFill>
                  <a:schemeClr val="tx1"/>
                </a:solidFill>
              </a:ln>
              <a:effectLst/>
            </c:spPr>
            <c:extLst xmlns:c16r2="http://schemas.microsoft.com/office/drawing/2015/06/chart">
              <c:ext xmlns:c16="http://schemas.microsoft.com/office/drawing/2014/chart" uri="{C3380CC4-5D6E-409C-BE32-E72D297353CC}">
                <c16:uniqueId val="{00000005-37FA-4FF0-BC18-0B52D33951FC}"/>
              </c:ext>
            </c:extLst>
          </c:dPt>
          <c:dPt>
            <c:idx val="2"/>
            <c:invertIfNegative val="0"/>
            <c:bubble3D val="0"/>
            <c:spPr>
              <a:solidFill>
                <a:schemeClr val="accent5">
                  <a:lumMod val="75000"/>
                </a:schemeClr>
              </a:solidFill>
              <a:ln w="19050">
                <a:solidFill>
                  <a:schemeClr val="tx1"/>
                </a:solidFill>
              </a:ln>
              <a:effectLst/>
            </c:spPr>
            <c:extLst xmlns:c16r2="http://schemas.microsoft.com/office/drawing/2015/06/chart">
              <c:ext xmlns:c16="http://schemas.microsoft.com/office/drawing/2014/chart" uri="{C3380CC4-5D6E-409C-BE32-E72D297353CC}">
                <c16:uniqueId val="{00000006-37FA-4FF0-BC18-0B52D33951FC}"/>
              </c:ext>
            </c:extLst>
          </c:dPt>
          <c:dPt>
            <c:idx val="3"/>
            <c:invertIfNegative val="0"/>
            <c:bubble3D val="0"/>
            <c:spPr>
              <a:solidFill>
                <a:srgbClr val="C00000"/>
              </a:solidFill>
              <a:ln w="19050">
                <a:solidFill>
                  <a:schemeClr val="tx1"/>
                </a:solidFill>
              </a:ln>
              <a:effectLst/>
            </c:spPr>
            <c:extLst xmlns:c16r2="http://schemas.microsoft.com/office/drawing/2015/06/chart">
              <c:ext xmlns:c16="http://schemas.microsoft.com/office/drawing/2014/chart" uri="{C3380CC4-5D6E-409C-BE32-E72D297353CC}">
                <c16:uniqueId val="{00000003-37FA-4FF0-BC18-0B52D33951FC}"/>
              </c:ext>
            </c:extLst>
          </c:dPt>
          <c:dLbls>
            <c:dLbl>
              <c:idx val="0"/>
              <c:layout>
                <c:manualLayout>
                  <c:x val="-4.1330853482124787E-3"/>
                  <c:y val="1.13845493011566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7FA-4FF0-BC18-0B52D33951FC}"/>
                </c:ext>
              </c:extLst>
            </c:dLbl>
            <c:dLbl>
              <c:idx val="1"/>
              <c:layout>
                <c:manualLayout>
                  <c:x val="-7.5772356055171686E-17"/>
                  <c:y val="0.31881033468053477"/>
                </c:manualLayout>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7FA-4FF0-BC18-0B52D33951FC}"/>
                </c:ext>
              </c:extLst>
            </c:dLbl>
            <c:dLbl>
              <c:idx val="2"/>
              <c:layout>
                <c:manualLayout>
                  <c:x val="-7.5772356055171686E-17"/>
                  <c:y val="0.46050301098122576"/>
                </c:manualLayout>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7FA-4FF0-BC18-0B52D33951FC}"/>
                </c:ext>
              </c:extLst>
            </c:dLbl>
            <c:dLbl>
              <c:idx val="3"/>
              <c:layout>
                <c:manualLayout>
                  <c:x val="4.1330853482122887E-3"/>
                  <c:y val="-3.2470991051273095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7FA-4FF0-BC18-0B52D33951FC}"/>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Hoja1!$A$2:$A$5</c:f>
              <c:numCache>
                <c:formatCode>General</c:formatCode>
                <c:ptCount val="4"/>
                <c:pt idx="0">
                  <c:v>2018</c:v>
                </c:pt>
                <c:pt idx="1">
                  <c:v>2019</c:v>
                </c:pt>
                <c:pt idx="2">
                  <c:v>2020</c:v>
                </c:pt>
                <c:pt idx="3">
                  <c:v>2021</c:v>
                </c:pt>
              </c:numCache>
            </c:numRef>
          </c:cat>
          <c:val>
            <c:numRef>
              <c:f>Hoja1!$B$2:$B$5</c:f>
              <c:numCache>
                <c:formatCode>#,##0.0</c:formatCode>
                <c:ptCount val="4"/>
                <c:pt idx="0">
                  <c:v>-609.84532320000017</c:v>
                </c:pt>
                <c:pt idx="1">
                  <c:v>-4447.819266479999</c:v>
                </c:pt>
                <c:pt idx="2">
                  <c:v>-9381.8726234399983</c:v>
                </c:pt>
                <c:pt idx="3">
                  <c:v>-1813.5555357900002</c:v>
                </c:pt>
              </c:numCache>
            </c:numRef>
          </c:val>
          <c:extLst xmlns:c16r2="http://schemas.microsoft.com/office/drawing/2015/06/chart">
            <c:ext xmlns:c16="http://schemas.microsoft.com/office/drawing/2014/chart" uri="{C3380CC4-5D6E-409C-BE32-E72D297353CC}">
              <c16:uniqueId val="{00000000-37FA-4FF0-BC18-0B52D33951FC}"/>
            </c:ext>
          </c:extLst>
        </c:ser>
        <c:dLbls>
          <c:showLegendKey val="0"/>
          <c:showVal val="0"/>
          <c:showCatName val="0"/>
          <c:showSerName val="0"/>
          <c:showPercent val="0"/>
          <c:showBubbleSize val="0"/>
        </c:dLbls>
        <c:gapWidth val="43"/>
        <c:overlap val="-27"/>
        <c:axId val="210761216"/>
        <c:axId val="210762752"/>
      </c:barChart>
      <c:catAx>
        <c:axId val="2107612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210762752"/>
        <c:crosses val="autoZero"/>
        <c:auto val="1"/>
        <c:lblAlgn val="ctr"/>
        <c:lblOffset val="100"/>
        <c:noMultiLvlLbl val="0"/>
      </c:catAx>
      <c:valAx>
        <c:axId val="21076275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2107612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s-E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907523510971789E-2"/>
          <c:y val="3.7021916846381453E-2"/>
          <c:w val="0.95336990595611282"/>
          <c:h val="0.88773960579768285"/>
        </c:manualLayout>
      </c:layout>
      <c:ofPieChart>
        <c:ofPieType val="bar"/>
        <c:varyColors val="1"/>
        <c:ser>
          <c:idx val="0"/>
          <c:order val="0"/>
          <c:tx>
            <c:strRef>
              <c:f>Hoja1!$B$1</c:f>
              <c:strCache>
                <c:ptCount val="1"/>
                <c:pt idx="0">
                  <c:v>Ventas</c:v>
                </c:pt>
              </c:strCache>
            </c:strRef>
          </c:tx>
          <c:spPr>
            <a:ln w="9525">
              <a:solidFill>
                <a:schemeClr val="tx1"/>
              </a:solidFill>
            </a:ln>
          </c:spPr>
          <c:dPt>
            <c:idx val="0"/>
            <c:bubble3D val="0"/>
            <c:spPr>
              <a:solidFill>
                <a:schemeClr val="accent1"/>
              </a:solidFill>
              <a:ln w="9525">
                <a:solidFill>
                  <a:schemeClr val="tx1"/>
                </a:solidFill>
              </a:ln>
              <a:effectLst/>
            </c:spPr>
            <c:extLst xmlns:c16r2="http://schemas.microsoft.com/office/drawing/2015/06/chart">
              <c:ext xmlns:c16="http://schemas.microsoft.com/office/drawing/2014/chart" uri="{C3380CC4-5D6E-409C-BE32-E72D297353CC}">
                <c16:uniqueId val="{00000001-BF3B-4BC9-A06C-8E2751F442D7}"/>
              </c:ext>
            </c:extLst>
          </c:dPt>
          <c:dPt>
            <c:idx val="1"/>
            <c:bubble3D val="0"/>
            <c:spPr>
              <a:solidFill>
                <a:schemeClr val="accent2"/>
              </a:solidFill>
              <a:ln w="9525">
                <a:solidFill>
                  <a:schemeClr val="tx1"/>
                </a:solidFill>
              </a:ln>
              <a:effectLst/>
            </c:spPr>
            <c:extLst xmlns:c16r2="http://schemas.microsoft.com/office/drawing/2015/06/chart">
              <c:ext xmlns:c16="http://schemas.microsoft.com/office/drawing/2014/chart" uri="{C3380CC4-5D6E-409C-BE32-E72D297353CC}">
                <c16:uniqueId val="{00000003-BFC6-45BE-878A-602FB6382970}"/>
              </c:ext>
            </c:extLst>
          </c:dPt>
          <c:dPt>
            <c:idx val="2"/>
            <c:bubble3D val="0"/>
            <c:spPr>
              <a:solidFill>
                <a:schemeClr val="accent3"/>
              </a:solidFill>
              <a:ln w="9525">
                <a:solidFill>
                  <a:schemeClr val="tx1"/>
                </a:solidFill>
              </a:ln>
              <a:effectLst/>
            </c:spPr>
            <c:extLst xmlns:c16r2="http://schemas.microsoft.com/office/drawing/2015/06/chart">
              <c:ext xmlns:c16="http://schemas.microsoft.com/office/drawing/2014/chart" uri="{C3380CC4-5D6E-409C-BE32-E72D297353CC}">
                <c16:uniqueId val="{00000003-BF3B-4BC9-A06C-8E2751F442D7}"/>
              </c:ext>
            </c:extLst>
          </c:dPt>
          <c:dPt>
            <c:idx val="3"/>
            <c:bubble3D val="0"/>
            <c:spPr>
              <a:solidFill>
                <a:schemeClr val="accent4"/>
              </a:solidFill>
              <a:ln w="9525">
                <a:solidFill>
                  <a:schemeClr val="tx1"/>
                </a:solidFill>
              </a:ln>
              <a:effectLst/>
            </c:spPr>
            <c:extLst xmlns:c16r2="http://schemas.microsoft.com/office/drawing/2015/06/chart">
              <c:ext xmlns:c16="http://schemas.microsoft.com/office/drawing/2014/chart" uri="{C3380CC4-5D6E-409C-BE32-E72D297353CC}">
                <c16:uniqueId val="{00000004-BF3B-4BC9-A06C-8E2751F442D7}"/>
              </c:ext>
            </c:extLst>
          </c:dPt>
          <c:dPt>
            <c:idx val="4"/>
            <c:bubble3D val="0"/>
            <c:spPr>
              <a:solidFill>
                <a:schemeClr val="accent5"/>
              </a:solidFill>
              <a:ln w="9525">
                <a:solidFill>
                  <a:schemeClr val="tx1"/>
                </a:solidFill>
              </a:ln>
              <a:effectLst/>
            </c:spPr>
            <c:extLst xmlns:c16r2="http://schemas.microsoft.com/office/drawing/2015/06/chart">
              <c:ext xmlns:c16="http://schemas.microsoft.com/office/drawing/2014/chart" uri="{C3380CC4-5D6E-409C-BE32-E72D297353CC}">
                <c16:uniqueId val="{00000002-BF3B-4BC9-A06C-8E2751F442D7}"/>
              </c:ext>
            </c:extLst>
          </c:dPt>
          <c:dLbls>
            <c:dLbl>
              <c:idx val="0"/>
              <c:layout>
                <c:manualLayout>
                  <c:x val="7.053296136772684E-2"/>
                  <c:y val="1.2051033752473506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5372266254736592"/>
                      <c:h val="0.38642980106141323"/>
                    </c:manualLayout>
                  </c15:layout>
                </c:ext>
                <c:ext xmlns:c16="http://schemas.microsoft.com/office/drawing/2014/chart" uri="{C3380CC4-5D6E-409C-BE32-E72D297353CC}">
                  <c16:uniqueId val="{00000001-BF3B-4BC9-A06C-8E2751F442D7}"/>
                </c:ext>
              </c:extLst>
            </c:dLbl>
            <c:dLbl>
              <c:idx val="2"/>
              <c:layout>
                <c:manualLayout>
                  <c:x val="-1.0102629872127199E-2"/>
                  <c:y val="-6.055075217030415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34137435667516647"/>
                      <c:h val="0.31050564830754496"/>
                    </c:manualLayout>
                  </c15:layout>
                </c:ext>
                <c:ext xmlns:c16="http://schemas.microsoft.com/office/drawing/2014/chart" uri="{C3380CC4-5D6E-409C-BE32-E72D297353CC}">
                  <c16:uniqueId val="{00000003-BF3B-4BC9-A06C-8E2751F442D7}"/>
                </c:ext>
              </c:extLst>
            </c:dLbl>
            <c:dLbl>
              <c:idx val="3"/>
              <c:layout>
                <c:manualLayout>
                  <c:x val="-3.5052913759444681E-3"/>
                  <c:y val="9.082646606431635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5736467994881423"/>
                      <c:h val="0.23742041947214551"/>
                    </c:manualLayout>
                  </c15:layout>
                </c:ext>
                <c:ext xmlns:c16="http://schemas.microsoft.com/office/drawing/2014/chart" uri="{C3380CC4-5D6E-409C-BE32-E72D297353CC}">
                  <c16:uniqueId val="{00000004-BF3B-4BC9-A06C-8E2751F442D7}"/>
                </c:ext>
              </c:extLst>
            </c:dLbl>
            <c:dLbl>
              <c:idx val="4"/>
              <c:layout>
                <c:manualLayout>
                  <c:x val="-0.25119810201660736"/>
                  <c:y val="2.4266331197604183E-3"/>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en-US" baseline="0"/>
                      <a:t>Colocado; </a:t>
                    </a:r>
                    <a:fld id="{14440AE3-803B-49C6-B442-9C18A3160028}" type="VALUE">
                      <a:rPr lang="en-US" baseline="0"/>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[VALOR]</a:t>
                    </a:fld>
                    <a:r>
                      <a:rPr lang="en-US" baseline="0"/>
                      <a:t>; </a:t>
                    </a:r>
                    <a:fld id="{D772D526-C043-4554-ACEF-591B569B5B3A}" type="PERCENTAGE">
                      <a:rPr lang="en-US" baseline="0"/>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[PORCENTAJE]</a:t>
                    </a:fld>
                    <a:endParaRPr lang="en-US" baseline="0"/>
                  </a:p>
                </c:rich>
              </c:tx>
              <c:spPr>
                <a:noFill/>
                <a:ln>
                  <a:noFill/>
                </a:ln>
                <a:effectLst/>
              </c:spPr>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1708185053380782"/>
                      <c:h val="0.22014902567968134"/>
                    </c:manualLayout>
                  </c15:layout>
                  <c15:dlblFieldTable/>
                  <c15:showDataLabelsRange val="0"/>
                </c:ext>
                <c:ext xmlns:c16="http://schemas.microsoft.com/office/drawing/2014/chart" uri="{C3380CC4-5D6E-409C-BE32-E72D297353CC}">
                  <c16:uniqueId val="{00000002-BF3B-4BC9-A06C-8E2751F442D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Hoja1!$A$2:$A$5</c:f>
              <c:strCache>
                <c:ptCount val="4"/>
                <c:pt idx="0">
                  <c:v>Por Colocar</c:v>
                </c:pt>
                <c:pt idx="1">
                  <c:v>Colocado</c:v>
                </c:pt>
                <c:pt idx="2">
                  <c:v>Nuevo Endeudamiento</c:v>
                </c:pt>
                <c:pt idx="3">
                  <c:v>Roll Over</c:v>
                </c:pt>
              </c:strCache>
            </c:strRef>
          </c:cat>
          <c:val>
            <c:numRef>
              <c:f>Hoja1!$B$2:$B$5</c:f>
              <c:numCache>
                <c:formatCode>General</c:formatCode>
                <c:ptCount val="4"/>
                <c:pt idx="0" formatCode="#,##0.0">
                  <c:v>11953.400549450002</c:v>
                </c:pt>
                <c:pt idx="2" formatCode="#,##0.0">
                  <c:v>11187.961450549999</c:v>
                </c:pt>
                <c:pt idx="3" formatCode="#,##0.0">
                  <c:v>1337.1079999999999</c:v>
                </c:pt>
              </c:numCache>
            </c:numRef>
          </c:val>
          <c:extLst xmlns:c16r2="http://schemas.microsoft.com/office/drawing/2015/06/chart">
            <c:ext xmlns:c16="http://schemas.microsoft.com/office/drawing/2014/chart" uri="{C3380CC4-5D6E-409C-BE32-E72D297353CC}">
              <c16:uniqueId val="{00000000-BF3B-4BC9-A06C-8E2751F442D7}"/>
            </c:ext>
          </c:extLst>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Tasa de rendimiento </c:v>
                </c:pt>
              </c:strCache>
            </c:strRef>
          </c:tx>
          <c:spPr>
            <a:solidFill>
              <a:schemeClr val="accent6">
                <a:lumMod val="50000"/>
              </a:schemeClr>
            </a:solidFill>
            <a:ln>
              <a:noFill/>
            </a:ln>
            <a:effectLst/>
            <a:scene3d>
              <a:camera prst="orthographicFront"/>
              <a:lightRig rig="threePt" dir="t"/>
            </a:scene3d>
            <a:sp3d>
              <a:bevelT/>
              <a:bevelB prst="angle"/>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Sheet1!$B$2:$B$13</c:f>
              <c:numCache>
                <c:formatCode>0.0%</c:formatCode>
                <c:ptCount val="12"/>
                <c:pt idx="0">
                  <c:v>8.5999999999999993E-2</c:v>
                </c:pt>
                <c:pt idx="1">
                  <c:v>9.0999999999999998E-2</c:v>
                </c:pt>
                <c:pt idx="2">
                  <c:v>8.5000000000000006E-2</c:v>
                </c:pt>
                <c:pt idx="3">
                  <c:v>9.0999999999999998E-2</c:v>
                </c:pt>
                <c:pt idx="4">
                  <c:v>7.3999999999999996E-2</c:v>
                </c:pt>
                <c:pt idx="5">
                  <c:v>7.4999999999999997E-2</c:v>
                </c:pt>
                <c:pt idx="6">
                  <c:v>6.83E-2</c:v>
                </c:pt>
                <c:pt idx="7">
                  <c:v>6.8926308257704724E-2</c:v>
                </c:pt>
                <c:pt idx="8">
                  <c:v>6.5000000000000002E-2</c:v>
                </c:pt>
                <c:pt idx="9">
                  <c:v>6.6548999999999997E-2</c:v>
                </c:pt>
                <c:pt idx="10">
                  <c:v>5.0715530576102168E-2</c:v>
                </c:pt>
                <c:pt idx="11">
                  <c:v>5.1024627500101373E-2</c:v>
                </c:pt>
              </c:numCache>
            </c:numRef>
          </c:val>
          <c:extLst xmlns:c16r2="http://schemas.microsoft.com/office/drawing/2015/06/chart">
            <c:ext xmlns:c16="http://schemas.microsoft.com/office/drawing/2014/chart" uri="{C3380CC4-5D6E-409C-BE32-E72D297353CC}">
              <c16:uniqueId val="{00000000-14AC-4B10-9A22-6EB22B50DA3E}"/>
            </c:ext>
          </c:extLst>
        </c:ser>
        <c:dLbls>
          <c:showLegendKey val="0"/>
          <c:showVal val="0"/>
          <c:showCatName val="0"/>
          <c:showSerName val="0"/>
          <c:showPercent val="0"/>
          <c:showBubbleSize val="0"/>
        </c:dLbls>
        <c:gapWidth val="63"/>
        <c:axId val="210238080"/>
        <c:axId val="211440000"/>
      </c:barChart>
      <c:lineChart>
        <c:grouping val="stacked"/>
        <c:varyColors val="0"/>
        <c:ser>
          <c:idx val="1"/>
          <c:order val="1"/>
          <c:tx>
            <c:strRef>
              <c:f>Sheet1!$C$1</c:f>
              <c:strCache>
                <c:ptCount val="1"/>
                <c:pt idx="0">
                  <c:v>Plazo en años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3.9351851851851853E-2"/>
                  <c:y val="2.7777777777777814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4AC-4B10-9A22-6EB22B50DA3E}"/>
                </c:ext>
              </c:extLst>
            </c:dLbl>
            <c:dLbl>
              <c:idx val="1"/>
              <c:layout>
                <c:manualLayout>
                  <c:x val="-3.9351851851851853E-2"/>
                  <c:y val="-3.968253968253968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4AC-4B10-9A22-6EB22B50DA3E}"/>
                </c:ext>
              </c:extLst>
            </c:dLbl>
            <c:dLbl>
              <c:idx val="2"/>
              <c:layout>
                <c:manualLayout>
                  <c:x val="-3.9351851851851895E-2"/>
                  <c:y val="2.3809523809523808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4AC-4B10-9A22-6EB22B50DA3E}"/>
                </c:ext>
              </c:extLst>
            </c:dLbl>
            <c:dLbl>
              <c:idx val="3"/>
              <c:layout>
                <c:manualLayout>
                  <c:x val="-3.7037037037037077E-2"/>
                  <c:y val="-3.1746031746031744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4AC-4B10-9A22-6EB22B50DA3E}"/>
                </c:ext>
              </c:extLst>
            </c:dLbl>
            <c:dLbl>
              <c:idx val="4"/>
              <c:layout>
                <c:manualLayout>
                  <c:x val="-3.9351851851851936E-2"/>
                  <c:y val="3.17460317460317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4AC-4B10-9A22-6EB22B50DA3E}"/>
                </c:ext>
              </c:extLst>
            </c:dLbl>
            <c:dLbl>
              <c:idx val="5"/>
              <c:layout>
                <c:manualLayout>
                  <c:x val="-4.1763452025072638E-2"/>
                  <c:y val="-5.46620443570305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4AC-4B10-9A22-6EB22B50DA3E}"/>
                </c:ext>
              </c:extLst>
            </c:dLbl>
            <c:dLbl>
              <c:idx val="6"/>
              <c:layout>
                <c:manualLayout>
                  <c:x val="-4.1666689926786446E-2"/>
                  <c:y val="-7.49499838730413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4AC-4B10-9A22-6EB22B50DA3E}"/>
                </c:ext>
              </c:extLst>
            </c:dLbl>
            <c:dLbl>
              <c:idx val="7"/>
              <c:layout>
                <c:manualLayout>
                  <c:x val="-3.4722222222222307E-2"/>
                  <c:y val="-3.96825396825397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4AC-4B10-9A22-6EB22B50DA3E}"/>
                </c:ext>
              </c:extLst>
            </c:dLbl>
            <c:dLbl>
              <c:idx val="8"/>
              <c:layout>
                <c:manualLayout>
                  <c:x val="-3.7036995685712899E-2"/>
                  <c:y val="-8.19930665355458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4AC-4B10-9A22-6EB22B50DA3E}"/>
                </c:ext>
              </c:extLst>
            </c:dLbl>
            <c:dLbl>
              <c:idx val="9"/>
              <c:layout>
                <c:manualLayout>
                  <c:x val="-4.4078299145609283E-2"/>
                  <c:y val="-5.46620443570305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4AC-4B10-9A22-6EB22B50DA3E}"/>
                </c:ext>
              </c:extLst>
            </c:dLbl>
            <c:dLbl>
              <c:idx val="10"/>
              <c:layout>
                <c:manualLayout>
                  <c:x val="-3.0334731731734527E-2"/>
                  <c:y val="-6.21255557034173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4AC-4B10-9A22-6EB22B50DA3E}"/>
                </c:ext>
              </c:extLst>
            </c:dLbl>
            <c:dLbl>
              <c:idx val="11"/>
              <c:layout>
                <c:manualLayout>
                  <c:x val="-2.5995509866477608E-2"/>
                  <c:y val="-6.87482096820395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398-4917-9877-0C0FB34010F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4">
                        <a:lumMod val="7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Sheet1!$C$2:$C$13</c:f>
              <c:numCache>
                <c:formatCode>0.0</c:formatCode>
                <c:ptCount val="12"/>
                <c:pt idx="0">
                  <c:v>11.8</c:v>
                </c:pt>
                <c:pt idx="1">
                  <c:v>12.7</c:v>
                </c:pt>
                <c:pt idx="2">
                  <c:v>11.2</c:v>
                </c:pt>
                <c:pt idx="3">
                  <c:v>14.1</c:v>
                </c:pt>
                <c:pt idx="4">
                  <c:v>12.6</c:v>
                </c:pt>
                <c:pt idx="5">
                  <c:v>14.1</c:v>
                </c:pt>
                <c:pt idx="6">
                  <c:v>11.23</c:v>
                </c:pt>
                <c:pt idx="7">
                  <c:v>15.373917049070641</c:v>
                </c:pt>
                <c:pt idx="8">
                  <c:v>12.2</c:v>
                </c:pt>
                <c:pt idx="9">
                  <c:v>16.400006433582242</c:v>
                </c:pt>
                <c:pt idx="10">
                  <c:v>16.266137962547582</c:v>
                </c:pt>
                <c:pt idx="11">
                  <c:v>15.78299393089056</c:v>
                </c:pt>
              </c:numCache>
            </c:numRef>
          </c:val>
          <c:smooth val="0"/>
          <c:extLst xmlns:c16r2="http://schemas.microsoft.com/office/drawing/2015/06/chart">
            <c:ext xmlns:c16="http://schemas.microsoft.com/office/drawing/2014/chart" uri="{C3380CC4-5D6E-409C-BE32-E72D297353CC}">
              <c16:uniqueId val="{00000001-14AC-4B10-9A22-6EB22B50DA3E}"/>
            </c:ext>
          </c:extLst>
        </c:ser>
        <c:dLbls>
          <c:showLegendKey val="0"/>
          <c:showVal val="0"/>
          <c:showCatName val="0"/>
          <c:showSerName val="0"/>
          <c:showPercent val="0"/>
          <c:showBubbleSize val="0"/>
        </c:dLbls>
        <c:marker val="1"/>
        <c:smooth val="0"/>
        <c:axId val="211444096"/>
        <c:axId val="211441920"/>
      </c:lineChart>
      <c:catAx>
        <c:axId val="21023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211440000"/>
        <c:crosses val="autoZero"/>
        <c:auto val="1"/>
        <c:lblAlgn val="ctr"/>
        <c:lblOffset val="100"/>
        <c:noMultiLvlLbl val="0"/>
      </c:catAx>
      <c:valAx>
        <c:axId val="21144000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r>
                  <a:rPr lang="es-GT" b="1">
                    <a:solidFill>
                      <a:schemeClr val="tx1">
                        <a:lumMod val="85000"/>
                        <a:lumOff val="15000"/>
                      </a:schemeClr>
                    </a:solidFill>
                  </a:rPr>
                  <a:t>Rendimiento</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crossAx val="210238080"/>
        <c:crosses val="autoZero"/>
        <c:crossBetween val="between"/>
      </c:valAx>
      <c:valAx>
        <c:axId val="211441920"/>
        <c:scaling>
          <c:orientation val="minMax"/>
        </c:scaling>
        <c:delete val="0"/>
        <c:axPos val="r"/>
        <c:title>
          <c:tx>
            <c:rich>
              <a:bodyPr rot="5400000" spcFirstLastPara="1" vertOverflow="ellipsis" wrap="square" anchor="ctr" anchorCtr="1"/>
              <a:lstStyle/>
              <a:p>
                <a:pPr>
                  <a:defRPr sz="10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r>
                  <a:rPr lang="es-GT" b="1">
                    <a:solidFill>
                      <a:schemeClr val="tx1">
                        <a:lumMod val="85000"/>
                        <a:lumOff val="15000"/>
                      </a:schemeClr>
                    </a:solidFill>
                  </a:rPr>
                  <a:t>Plazo</a:t>
                </a:r>
                <a:r>
                  <a:rPr lang="es-GT" b="1" baseline="0">
                    <a:solidFill>
                      <a:schemeClr val="tx1">
                        <a:lumMod val="85000"/>
                        <a:lumOff val="15000"/>
                      </a:schemeClr>
                    </a:solidFill>
                  </a:rPr>
                  <a:t> en años</a:t>
                </a:r>
                <a:endParaRPr lang="es-GT" b="1">
                  <a:solidFill>
                    <a:schemeClr val="tx1">
                      <a:lumMod val="85000"/>
                      <a:lumOff val="15000"/>
                    </a:schemeClr>
                  </a:solidFill>
                </a:endParaRP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crossAx val="211444096"/>
        <c:crosses val="max"/>
        <c:crossBetween val="between"/>
      </c:valAx>
      <c:catAx>
        <c:axId val="211444096"/>
        <c:scaling>
          <c:orientation val="minMax"/>
        </c:scaling>
        <c:delete val="1"/>
        <c:axPos val="b"/>
        <c:numFmt formatCode="General" sourceLinked="1"/>
        <c:majorTickMark val="none"/>
        <c:minorTickMark val="none"/>
        <c:tickLblPos val="nextTo"/>
        <c:crossAx val="2114419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Tasa de rendimiento </c:v>
                </c:pt>
              </c:strCache>
            </c:strRef>
          </c:tx>
          <c:spPr>
            <a:solidFill>
              <a:schemeClr val="accent1">
                <a:lumMod val="50000"/>
              </a:schemeClr>
            </a:solidFill>
            <a:ln>
              <a:noFill/>
            </a:ln>
            <a:effectLst/>
            <a:scene3d>
              <a:camera prst="orthographicFront"/>
              <a:lightRig rig="threePt" dir="t"/>
            </a:scene3d>
            <a:sp3d>
              <a:bevelT/>
              <a:bevelB prst="angle"/>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2011</c:v>
                </c:pt>
                <c:pt idx="1">
                  <c:v>2012</c:v>
                </c:pt>
                <c:pt idx="2">
                  <c:v>2014</c:v>
                </c:pt>
                <c:pt idx="3">
                  <c:v>2018</c:v>
                </c:pt>
                <c:pt idx="4">
                  <c:v>2020</c:v>
                </c:pt>
                <c:pt idx="5">
                  <c:v>2021</c:v>
                </c:pt>
              </c:numCache>
            </c:numRef>
          </c:cat>
          <c:val>
            <c:numRef>
              <c:f>Sheet1!$B$2:$B$7</c:f>
              <c:numCache>
                <c:formatCode>0.0%</c:formatCode>
                <c:ptCount val="6"/>
                <c:pt idx="0">
                  <c:v>5.16E-2</c:v>
                </c:pt>
                <c:pt idx="1">
                  <c:v>5.9700000000000003E-2</c:v>
                </c:pt>
                <c:pt idx="2">
                  <c:v>4.8800000000000003E-2</c:v>
                </c:pt>
                <c:pt idx="3">
                  <c:v>4.2500000000000003E-2</c:v>
                </c:pt>
                <c:pt idx="4">
                  <c:v>4.5499999999999999E-2</c:v>
                </c:pt>
                <c:pt idx="5">
                  <c:v>4.1041000000000001E-2</c:v>
                </c:pt>
              </c:numCache>
            </c:numRef>
          </c:val>
          <c:extLst xmlns:c16r2="http://schemas.microsoft.com/office/drawing/2015/06/chart">
            <c:ext xmlns:c16="http://schemas.microsoft.com/office/drawing/2014/chart" uri="{C3380CC4-5D6E-409C-BE32-E72D297353CC}">
              <c16:uniqueId val="{00000000-DAEE-4AC8-AE79-5E9D61B0F015}"/>
            </c:ext>
          </c:extLst>
        </c:ser>
        <c:dLbls>
          <c:showLegendKey val="0"/>
          <c:showVal val="0"/>
          <c:showCatName val="0"/>
          <c:showSerName val="0"/>
          <c:showPercent val="0"/>
          <c:showBubbleSize val="0"/>
        </c:dLbls>
        <c:gapWidth val="63"/>
        <c:axId val="211484032"/>
        <c:axId val="211653760"/>
      </c:barChart>
      <c:lineChart>
        <c:grouping val="stacked"/>
        <c:varyColors val="0"/>
        <c:ser>
          <c:idx val="1"/>
          <c:order val="1"/>
          <c:tx>
            <c:strRef>
              <c:f>Sheet1!$C$1</c:f>
              <c:strCache>
                <c:ptCount val="1"/>
                <c:pt idx="0">
                  <c:v>Plazo en años</c:v>
                </c:pt>
              </c:strCache>
            </c:strRef>
          </c:tx>
          <c:spPr>
            <a:ln w="28575" cap="rnd">
              <a:noFill/>
              <a:round/>
            </a:ln>
            <a:effectLst/>
          </c:spPr>
          <c:marker>
            <c:symbol val="circle"/>
            <c:size val="9"/>
            <c:spPr>
              <a:solidFill>
                <a:schemeClr val="bg2">
                  <a:lumMod val="90000"/>
                </a:schemeClr>
              </a:solidFill>
              <a:ln w="19050">
                <a:solidFill>
                  <a:schemeClr val="bg1">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2011</c:v>
                </c:pt>
                <c:pt idx="1">
                  <c:v>2012</c:v>
                </c:pt>
                <c:pt idx="2">
                  <c:v>2014</c:v>
                </c:pt>
                <c:pt idx="3">
                  <c:v>2018</c:v>
                </c:pt>
                <c:pt idx="4">
                  <c:v>2020</c:v>
                </c:pt>
                <c:pt idx="5">
                  <c:v>2021</c:v>
                </c:pt>
              </c:numCache>
            </c:numRef>
          </c:cat>
          <c:val>
            <c:numRef>
              <c:f>Sheet1!$C$2:$C$7</c:f>
              <c:numCache>
                <c:formatCode>0.0</c:formatCode>
                <c:ptCount val="6"/>
                <c:pt idx="0">
                  <c:v>11</c:v>
                </c:pt>
                <c:pt idx="1">
                  <c:v>15</c:v>
                </c:pt>
                <c:pt idx="2">
                  <c:v>7</c:v>
                </c:pt>
                <c:pt idx="3">
                  <c:v>5</c:v>
                </c:pt>
                <c:pt idx="4">
                  <c:v>15</c:v>
                </c:pt>
                <c:pt idx="5">
                  <c:v>15</c:v>
                </c:pt>
              </c:numCache>
            </c:numRef>
          </c:val>
          <c:smooth val="0"/>
          <c:extLst xmlns:c16r2="http://schemas.microsoft.com/office/drawing/2015/06/chart">
            <c:ext xmlns:c16="http://schemas.microsoft.com/office/drawing/2014/chart" uri="{C3380CC4-5D6E-409C-BE32-E72D297353CC}">
              <c16:uniqueId val="{0000000D-DAEE-4AC8-AE79-5E9D61B0F015}"/>
            </c:ext>
          </c:extLst>
        </c:ser>
        <c:dLbls>
          <c:showLegendKey val="0"/>
          <c:showVal val="0"/>
          <c:showCatName val="0"/>
          <c:showSerName val="0"/>
          <c:showPercent val="0"/>
          <c:showBubbleSize val="0"/>
        </c:dLbls>
        <c:marker val="1"/>
        <c:smooth val="0"/>
        <c:axId val="211674240"/>
        <c:axId val="211655680"/>
      </c:lineChart>
      <c:catAx>
        <c:axId val="21148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211653760"/>
        <c:crosses val="autoZero"/>
        <c:auto val="1"/>
        <c:lblAlgn val="ctr"/>
        <c:lblOffset val="100"/>
        <c:noMultiLvlLbl val="0"/>
      </c:catAx>
      <c:valAx>
        <c:axId val="21165376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r>
                  <a:rPr lang="es-GT" b="1">
                    <a:solidFill>
                      <a:schemeClr val="tx1">
                        <a:lumMod val="85000"/>
                        <a:lumOff val="15000"/>
                      </a:schemeClr>
                    </a:solidFill>
                  </a:rPr>
                  <a:t>Rendimiento</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crossAx val="211484032"/>
        <c:crosses val="autoZero"/>
        <c:crossBetween val="between"/>
      </c:valAx>
      <c:valAx>
        <c:axId val="211655680"/>
        <c:scaling>
          <c:orientation val="minMax"/>
        </c:scaling>
        <c:delete val="0"/>
        <c:axPos val="r"/>
        <c:title>
          <c:tx>
            <c:rich>
              <a:bodyPr rot="5400000" spcFirstLastPara="1" vertOverflow="ellipsis" wrap="square" anchor="ctr" anchorCtr="1"/>
              <a:lstStyle/>
              <a:p>
                <a:pPr>
                  <a:defRPr sz="10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r>
                  <a:rPr lang="es-GT" b="1">
                    <a:solidFill>
                      <a:schemeClr val="tx1">
                        <a:lumMod val="85000"/>
                        <a:lumOff val="15000"/>
                      </a:schemeClr>
                    </a:solidFill>
                  </a:rPr>
                  <a:t>Plazo</a:t>
                </a:r>
                <a:r>
                  <a:rPr lang="es-GT" b="1" baseline="0">
                    <a:solidFill>
                      <a:schemeClr val="tx1">
                        <a:lumMod val="85000"/>
                        <a:lumOff val="15000"/>
                      </a:schemeClr>
                    </a:solidFill>
                  </a:rPr>
                  <a:t> en años</a:t>
                </a:r>
                <a:endParaRPr lang="es-GT" b="1">
                  <a:solidFill>
                    <a:schemeClr val="tx1">
                      <a:lumMod val="85000"/>
                      <a:lumOff val="15000"/>
                    </a:schemeClr>
                  </a:solidFill>
                </a:endParaRP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crossAx val="211674240"/>
        <c:crosses val="max"/>
        <c:crossBetween val="between"/>
      </c:valAx>
      <c:catAx>
        <c:axId val="211674240"/>
        <c:scaling>
          <c:orientation val="minMax"/>
        </c:scaling>
        <c:delete val="1"/>
        <c:axPos val="b"/>
        <c:numFmt formatCode="General" sourceLinked="1"/>
        <c:majorTickMark val="none"/>
        <c:minorTickMark val="none"/>
        <c:tickLblPos val="nextTo"/>
        <c:crossAx val="2116556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2235535775419"/>
          <c:y val="2.6773345970120203E-2"/>
          <c:w val="0.89427764464224579"/>
          <c:h val="0.82720745344768498"/>
        </c:manualLayout>
      </c:layout>
      <c:barChart>
        <c:barDir val="col"/>
        <c:grouping val="stacked"/>
        <c:varyColors val="0"/>
        <c:ser>
          <c:idx val="0"/>
          <c:order val="0"/>
          <c:tx>
            <c:strRef>
              <c:f>Hoja1!$B$1</c:f>
              <c:strCache>
                <c:ptCount val="1"/>
                <c:pt idx="0">
                  <c:v>Recaudación</c:v>
                </c:pt>
              </c:strCache>
            </c:strRef>
          </c:tx>
          <c:spPr>
            <a:solidFill>
              <a:schemeClr val="accent1"/>
            </a:solidFill>
            <a:ln>
              <a:noFill/>
            </a:ln>
            <a:effectLst/>
          </c:spPr>
          <c:invertIfNegative val="0"/>
          <c:dLbls>
            <c:dLbl>
              <c:idx val="0"/>
              <c:layout>
                <c:manualLayout>
                  <c:x val="6.6334991708126038E-3"/>
                  <c:y val="-7.7310659361496156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776-46F5-93A2-EE1EDBE49676}"/>
                </c:ext>
              </c:extLst>
            </c:dLbl>
            <c:dLbl>
              <c:idx val="1"/>
              <c:layout>
                <c:manualLayout>
                  <c:x val="2.717391304347826E-3"/>
                  <c:y val="-0.11761923295709709"/>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776-46F5-93A2-EE1EDBE49676}"/>
                </c:ext>
              </c:extLst>
            </c:dLbl>
            <c:dLbl>
              <c:idx val="2"/>
              <c:layout>
                <c:manualLayout>
                  <c:x val="5.114900718931773E-3"/>
                  <c:y val="-0.2306537728411325"/>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776-46F5-93A2-EE1EDBE49676}"/>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Hoja1!$A$2:$A$4</c:f>
              <c:strCache>
                <c:ptCount val="3"/>
                <c:pt idx="0">
                  <c:v>2020</c:v>
                </c:pt>
                <c:pt idx="1">
                  <c:v>Presupuesto 
vigente 2021</c:v>
                </c:pt>
                <c:pt idx="2">
                  <c:v>Cierre 
estimado 2021</c:v>
                </c:pt>
              </c:strCache>
            </c:strRef>
          </c:cat>
          <c:val>
            <c:numRef>
              <c:f>Hoja1!$B$2:$B$4</c:f>
              <c:numCache>
                <c:formatCode>#,##0.00</c:formatCode>
                <c:ptCount val="3"/>
                <c:pt idx="0">
                  <c:v>60279.5</c:v>
                </c:pt>
                <c:pt idx="1">
                  <c:v>64027.7</c:v>
                </c:pt>
                <c:pt idx="2">
                  <c:v>70768.399999999994</c:v>
                </c:pt>
              </c:numCache>
            </c:numRef>
          </c:val>
          <c:extLst xmlns:c16r2="http://schemas.microsoft.com/office/drawing/2015/06/chart">
            <c:ext xmlns:c16="http://schemas.microsoft.com/office/drawing/2014/chart" uri="{C3380CC4-5D6E-409C-BE32-E72D297353CC}">
              <c16:uniqueId val="{00000000-C856-4813-BB4C-0D4CEDEBDF99}"/>
            </c:ext>
          </c:extLst>
        </c:ser>
        <c:dLbls>
          <c:showLegendKey val="0"/>
          <c:showVal val="0"/>
          <c:showCatName val="0"/>
          <c:showSerName val="0"/>
          <c:showPercent val="0"/>
          <c:showBubbleSize val="0"/>
        </c:dLbls>
        <c:gapWidth val="20"/>
        <c:overlap val="100"/>
        <c:axId val="173108224"/>
        <c:axId val="211616512"/>
      </c:barChart>
      <c:catAx>
        <c:axId val="17310822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11616512"/>
        <c:crosses val="autoZero"/>
        <c:auto val="1"/>
        <c:lblAlgn val="ctr"/>
        <c:lblOffset val="100"/>
        <c:noMultiLvlLbl val="0"/>
      </c:catAx>
      <c:valAx>
        <c:axId val="211616512"/>
        <c:scaling>
          <c:orientation val="minMax"/>
          <c:min val="55000"/>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73108224"/>
        <c:crosses val="autoZero"/>
        <c:crossBetween val="between"/>
        <c:majorUnit val="400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061606882473025E-2"/>
          <c:y val="4.3650793650793648E-2"/>
          <c:w val="0.93447543015456402"/>
          <c:h val="0.84594915819102423"/>
        </c:manualLayout>
      </c:layout>
      <c:lineChart>
        <c:grouping val="stacked"/>
        <c:varyColors val="0"/>
        <c:ser>
          <c:idx val="0"/>
          <c:order val="0"/>
          <c:tx>
            <c:strRef>
              <c:f>Hoja1!$B$1</c:f>
              <c:strCache>
                <c:ptCount val="1"/>
                <c:pt idx="0">
                  <c:v>Déficit fiscal</c:v>
                </c:pt>
              </c:strCache>
            </c:strRef>
          </c:tx>
          <c:spPr>
            <a:ln w="60325" cap="flat" cmpd="dbl" algn="ctr">
              <a:solidFill>
                <a:schemeClr val="accent1"/>
              </a:solidFill>
              <a:miter lim="800000"/>
            </a:ln>
            <a:effectLst/>
          </c:spPr>
          <c:marker>
            <c:symbol val="none"/>
          </c:marker>
          <c:dPt>
            <c:idx val="8"/>
            <c:bubble3D val="0"/>
            <c:spPr>
              <a:ln w="60325" cap="flat" cmpd="dbl" algn="ctr">
                <a:solidFill>
                  <a:srgbClr val="FF0000"/>
                </a:solidFill>
                <a:miter lim="800000"/>
              </a:ln>
              <a:effectLst/>
            </c:spPr>
            <c:extLst xmlns:c16r2="http://schemas.microsoft.com/office/drawing/2015/06/chart">
              <c:ext xmlns:c16="http://schemas.microsoft.com/office/drawing/2014/chart" uri="{C3380CC4-5D6E-409C-BE32-E72D297353CC}">
                <c16:uniqueId val="{00000003-4DBE-44FC-8A45-D93A1AAD4299}"/>
              </c:ext>
            </c:extLst>
          </c:dPt>
          <c:dPt>
            <c:idx val="9"/>
            <c:bubble3D val="0"/>
            <c:spPr>
              <a:ln w="60325" cap="flat" cmpd="dbl" algn="ctr">
                <a:solidFill>
                  <a:schemeClr val="accent3">
                    <a:lumMod val="50000"/>
                  </a:schemeClr>
                </a:solidFill>
                <a:miter lim="800000"/>
              </a:ln>
              <a:effectLst/>
            </c:spPr>
            <c:extLst xmlns:c16r2="http://schemas.microsoft.com/office/drawing/2015/06/chart">
              <c:ext xmlns:c16="http://schemas.microsoft.com/office/drawing/2014/chart" uri="{C3380CC4-5D6E-409C-BE32-E72D297353CC}">
                <c16:uniqueId val="{00000001-4DBE-44FC-8A45-D93A1AAD4299}"/>
              </c:ext>
            </c:extLst>
          </c:dPt>
          <c:dLbls>
            <c:dLbl>
              <c:idx val="1"/>
              <c:layout>
                <c:manualLayout>
                  <c:x val="-2.591444298629338E-2"/>
                  <c:y val="-7.33830146231721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DBE-44FC-8A45-D93A1AAD4299}"/>
                </c:ext>
              </c:extLst>
            </c:dLbl>
            <c:dLbl>
              <c:idx val="7"/>
              <c:layout>
                <c:manualLayout>
                  <c:x val="-4.4432961504811901E-2"/>
                  <c:y val="-6.14782527184102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DBE-44FC-8A45-D93A1AAD4299}"/>
                </c:ext>
              </c:extLst>
            </c:dLbl>
            <c:dLbl>
              <c:idx val="8"/>
              <c:spPr>
                <a:noFill/>
                <a:ln>
                  <a:noFill/>
                </a:ln>
                <a:effectLst/>
              </c:spPr>
              <c:txPr>
                <a:bodyPr rot="0" spcFirstLastPara="1" vertOverflow="ellipsis" vert="horz" wrap="square" anchor="ctr" anchorCtr="1"/>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ES"/>
                </a:p>
              </c:txPr>
              <c:dLblPos val="t"/>
              <c:showLegendKey val="0"/>
              <c:showVal val="1"/>
              <c:showCatName val="0"/>
              <c:showSerName val="0"/>
              <c:showPercent val="0"/>
              <c:showBubbleSize val="0"/>
            </c:dLbl>
            <c:dLbl>
              <c:idx val="9"/>
              <c:layout>
                <c:manualLayout>
                  <c:x val="-2.3599628171478565E-2"/>
                  <c:y val="4.1696350456192979E-2"/>
                </c:manualLayout>
              </c:layout>
              <c:spPr>
                <a:noFill/>
                <a:ln>
                  <a:noFill/>
                </a:ln>
                <a:effectLst/>
              </c:spPr>
              <c:txPr>
                <a:bodyPr rot="0" spcFirstLastPara="1" vertOverflow="ellipsis" vert="horz" wrap="square" anchor="ctr" anchorCtr="1"/>
                <a:lstStyle/>
                <a:p>
                  <a:pPr>
                    <a:defRPr sz="9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E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DBE-44FC-8A45-D93A1AAD4299}"/>
                </c:ext>
              </c:extLst>
            </c:dLbl>
            <c:spPr>
              <a:noFill/>
              <a:ln>
                <a:noFill/>
              </a:ln>
              <a:effectLst/>
            </c:spPr>
            <c:txPr>
              <a:bodyPr rot="0" spcFirstLastPara="1" vertOverflow="ellipsis" vert="horz" wrap="square" anchor="ctr" anchorCtr="1"/>
              <a:lstStyle/>
              <a:p>
                <a:pPr>
                  <a:defRPr sz="9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Hoja1!$A$2:$A$11</c:f>
              <c:strCache>
                <c:ptCount val="10"/>
                <c:pt idx="0">
                  <c:v>2012</c:v>
                </c:pt>
                <c:pt idx="1">
                  <c:v>2013</c:v>
                </c:pt>
                <c:pt idx="2">
                  <c:v>2014</c:v>
                </c:pt>
                <c:pt idx="3">
                  <c:v>2015</c:v>
                </c:pt>
                <c:pt idx="4">
                  <c:v>2016</c:v>
                </c:pt>
                <c:pt idx="5">
                  <c:v>2017</c:v>
                </c:pt>
                <c:pt idx="6">
                  <c:v>2018</c:v>
                </c:pt>
                <c:pt idx="7">
                  <c:v>2019</c:v>
                </c:pt>
                <c:pt idx="8">
                  <c:v>2020</c:v>
                </c:pt>
                <c:pt idx="9">
                  <c:v>2021*</c:v>
                </c:pt>
              </c:strCache>
            </c:strRef>
          </c:cat>
          <c:val>
            <c:numRef>
              <c:f>Hoja1!$B$2:$B$11</c:f>
              <c:numCache>
                <c:formatCode>General</c:formatCode>
                <c:ptCount val="10"/>
                <c:pt idx="0">
                  <c:v>4.3</c:v>
                </c:pt>
                <c:pt idx="1">
                  <c:v>2.2000000000000002</c:v>
                </c:pt>
                <c:pt idx="2">
                  <c:v>1.9</c:v>
                </c:pt>
                <c:pt idx="3">
                  <c:v>1.5</c:v>
                </c:pt>
                <c:pt idx="4">
                  <c:v>1.1000000000000001</c:v>
                </c:pt>
                <c:pt idx="5">
                  <c:v>1.4</c:v>
                </c:pt>
                <c:pt idx="6">
                  <c:v>1.9</c:v>
                </c:pt>
                <c:pt idx="7">
                  <c:v>2.2000000000000002</c:v>
                </c:pt>
                <c:pt idx="8">
                  <c:v>4.9000000000000004</c:v>
                </c:pt>
                <c:pt idx="9" formatCode="0.0">
                  <c:v>2.2999999999999998</c:v>
                </c:pt>
              </c:numCache>
            </c:numRef>
          </c:val>
          <c:smooth val="1"/>
          <c:extLst xmlns:c16r2="http://schemas.microsoft.com/office/drawing/2015/06/chart">
            <c:ext xmlns:c16="http://schemas.microsoft.com/office/drawing/2014/chart" uri="{C3380CC4-5D6E-409C-BE32-E72D297353CC}">
              <c16:uniqueId val="{00000000-4F13-4A7C-AD71-AC4212039C48}"/>
            </c:ext>
          </c:extLst>
        </c:ser>
        <c:dLbls>
          <c:showLegendKey val="0"/>
          <c:showVal val="0"/>
          <c:showCatName val="0"/>
          <c:showSerName val="0"/>
          <c:showPercent val="0"/>
          <c:showBubbleSize val="0"/>
        </c:dLbls>
        <c:marker val="1"/>
        <c:smooth val="0"/>
        <c:axId val="211919232"/>
        <c:axId val="211920768"/>
      </c:lineChart>
      <c:catAx>
        <c:axId val="211919232"/>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11920768"/>
        <c:crosses val="autoZero"/>
        <c:auto val="1"/>
        <c:lblAlgn val="ctr"/>
        <c:lblOffset val="100"/>
        <c:noMultiLvlLbl val="0"/>
      </c:catAx>
      <c:valAx>
        <c:axId val="211920768"/>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11919232"/>
        <c:crosses val="autoZero"/>
        <c:crossBetween val="between"/>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3482000208351"/>
          <c:y val="0.12307135765332704"/>
          <c:w val="0.85559731798540983"/>
          <c:h val="0.55572109666067027"/>
        </c:manualLayout>
      </c:layout>
      <c:lineChart>
        <c:grouping val="standard"/>
        <c:varyColors val="0"/>
        <c:ser>
          <c:idx val="0"/>
          <c:order val="0"/>
          <c:tx>
            <c:strRef>
              <c:f>Hoja1!$B$1</c:f>
              <c:strCache>
                <c:ptCount val="1"/>
                <c:pt idx="0">
                  <c:v>% de población que ha recibido por lo menos 1 dosis</c:v>
                </c:pt>
              </c:strCache>
            </c:strRef>
          </c:tx>
          <c:spPr>
            <a:ln w="28575" cap="rnd">
              <a:solidFill>
                <a:schemeClr val="accent1"/>
              </a:solidFill>
              <a:round/>
            </a:ln>
            <a:effectLst/>
          </c:spPr>
          <c:marker>
            <c:symbol val="circle"/>
            <c:size val="6"/>
            <c:spPr>
              <a:solidFill>
                <a:schemeClr val="accent1"/>
              </a:solidFill>
              <a:ln w="9525">
                <a:solidFill>
                  <a:schemeClr val="accent1"/>
                </a:solidFill>
              </a:ln>
              <a:effectLst/>
            </c:spPr>
          </c:marker>
          <c:dPt>
            <c:idx val="14"/>
            <c:marker>
              <c:spPr>
                <a:solidFill>
                  <a:srgbClr val="C00000"/>
                </a:solidFill>
                <a:ln w="15875">
                  <a:solidFill>
                    <a:srgbClr val="FF0000"/>
                  </a:solidFill>
                </a:ln>
                <a:effectLst/>
              </c:spPr>
            </c:marker>
            <c:bubble3D val="0"/>
            <c:extLst xmlns:c16r2="http://schemas.microsoft.com/office/drawing/2015/06/chart">
              <c:ext xmlns:c16="http://schemas.microsoft.com/office/drawing/2014/chart" uri="{C3380CC4-5D6E-409C-BE32-E72D297353CC}">
                <c16:uniqueId val="{00000001-ACCC-485C-8D3A-A14D52D6CA0C}"/>
              </c:ext>
            </c:extLst>
          </c:dPt>
          <c:dLbls>
            <c:dLbl>
              <c:idx val="4"/>
              <c:layout>
                <c:manualLayout>
                  <c:x val="-4.6832923545252356E-2"/>
                  <c:y val="-4.166676839813628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191-4B1A-9678-19D764253606}"/>
                </c:ext>
              </c:extLst>
            </c:dLbl>
            <c:dLbl>
              <c:idx val="11"/>
              <c:layout>
                <c:manualLayout>
                  <c:x val="-7.9615970026929023E-2"/>
                  <c:y val="-4.651162790697674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CCC-485C-8D3A-A14D52D6CA0C}"/>
                </c:ext>
              </c:extLst>
            </c:dLbl>
            <c:dLbl>
              <c:idx val="14"/>
              <c:layout>
                <c:manualLayout>
                  <c:x val="-1.8733169418101096E-2"/>
                  <c:y val="-6.201550387596901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CCC-485C-8D3A-A14D52D6CA0C}"/>
                </c:ext>
              </c:extLst>
            </c:dLbl>
            <c:dLbl>
              <c:idx val="29"/>
              <c:layout>
                <c:manualLayout>
                  <c:x val="-7.7274323849666399E-2"/>
                  <c:y val="-4.629629629629629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91-4B1A-9678-19D764253606}"/>
                </c:ext>
              </c:extLst>
            </c:dLbl>
            <c:dLbl>
              <c:idx val="51"/>
              <c:layout>
                <c:manualLayout>
                  <c:x val="0"/>
                  <c:y val="-6.4814814814814825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7.2005619950825425E-2"/>
                      <c:h val="9.8819626713327502E-2"/>
                    </c:manualLayout>
                  </c15:layout>
                </c:ext>
                <c:ext xmlns:c16="http://schemas.microsoft.com/office/drawing/2014/chart" uri="{C3380CC4-5D6E-409C-BE32-E72D297353CC}">
                  <c16:uniqueId val="{00000002-A191-4B1A-9678-19D76425360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Hoja1!$A$2:$A$16</c:f>
              <c:strCache>
                <c:ptCount val="15"/>
                <c:pt idx="0">
                  <c:v>25 febrero 2021</c:v>
                </c:pt>
                <c:pt idx="1">
                  <c:v>27 febrero 2021</c:v>
                </c:pt>
                <c:pt idx="2">
                  <c:v>01 marzo 2021</c:v>
                </c:pt>
                <c:pt idx="3">
                  <c:v>15 marzo 2021</c:v>
                </c:pt>
                <c:pt idx="4">
                  <c:v>31 marzo 2021</c:v>
                </c:pt>
                <c:pt idx="5">
                  <c:v>15 abril 2021</c:v>
                </c:pt>
                <c:pt idx="6">
                  <c:v>30 abril 2021</c:v>
                </c:pt>
                <c:pt idx="7">
                  <c:v>15 de mayo 2021</c:v>
                </c:pt>
                <c:pt idx="8">
                  <c:v>31 de mayo 2021</c:v>
                </c:pt>
                <c:pt idx="9">
                  <c:v>15 de junio</c:v>
                </c:pt>
                <c:pt idx="10">
                  <c:v>30 de junio</c:v>
                </c:pt>
                <c:pt idx="11">
                  <c:v>15 de julio</c:v>
                </c:pt>
                <c:pt idx="12">
                  <c:v>31 de julio</c:v>
                </c:pt>
                <c:pt idx="13">
                  <c:v>15 de agosto</c:v>
                </c:pt>
                <c:pt idx="14">
                  <c:v>25 de agosto</c:v>
                </c:pt>
              </c:strCache>
            </c:strRef>
          </c:cat>
          <c:val>
            <c:numRef>
              <c:f>Hoja1!$B$2:$B$16</c:f>
              <c:numCache>
                <c:formatCode>0.00%</c:formatCode>
                <c:ptCount val="15"/>
                <c:pt idx="0" formatCode="0.0%">
                  <c:v>0</c:v>
                </c:pt>
                <c:pt idx="1">
                  <c:v>1E-4</c:v>
                </c:pt>
                <c:pt idx="2">
                  <c:v>1E-4</c:v>
                </c:pt>
                <c:pt idx="3">
                  <c:v>2.3E-3</c:v>
                </c:pt>
                <c:pt idx="4">
                  <c:v>5.8999999999999999E-3</c:v>
                </c:pt>
                <c:pt idx="5">
                  <c:v>8.3999999999999995E-3</c:v>
                </c:pt>
                <c:pt idx="6">
                  <c:v>9.2999999999999992E-3</c:v>
                </c:pt>
                <c:pt idx="7">
                  <c:v>1.4999999999999999E-2</c:v>
                </c:pt>
                <c:pt idx="8">
                  <c:v>2.3900000000000001E-2</c:v>
                </c:pt>
                <c:pt idx="9">
                  <c:v>3.1399999999999997E-2</c:v>
                </c:pt>
                <c:pt idx="10">
                  <c:v>4.3200000000000002E-2</c:v>
                </c:pt>
                <c:pt idx="11">
                  <c:v>5.2600000000000001E-2</c:v>
                </c:pt>
                <c:pt idx="12">
                  <c:v>0.1</c:v>
                </c:pt>
                <c:pt idx="13">
                  <c:v>0.1487</c:v>
                </c:pt>
                <c:pt idx="14">
                  <c:v>0.17219999999999999</c:v>
                </c:pt>
              </c:numCache>
            </c:numRef>
          </c:val>
          <c:smooth val="0"/>
          <c:extLst xmlns:c16r2="http://schemas.microsoft.com/office/drawing/2015/06/chart">
            <c:ext xmlns:c16="http://schemas.microsoft.com/office/drawing/2014/chart" uri="{C3380CC4-5D6E-409C-BE32-E72D297353CC}">
              <c16:uniqueId val="{00000000-A191-4B1A-9678-19D764253606}"/>
            </c:ext>
          </c:extLst>
        </c:ser>
        <c:dLbls>
          <c:showLegendKey val="0"/>
          <c:showVal val="0"/>
          <c:showCatName val="0"/>
          <c:showSerName val="0"/>
          <c:showPercent val="0"/>
          <c:showBubbleSize val="0"/>
        </c:dLbls>
        <c:marker val="1"/>
        <c:smooth val="0"/>
        <c:axId val="211529088"/>
        <c:axId val="211534976"/>
      </c:lineChart>
      <c:catAx>
        <c:axId val="21152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11534976"/>
        <c:crosses val="autoZero"/>
        <c:auto val="1"/>
        <c:lblAlgn val="ctr"/>
        <c:lblOffset val="100"/>
        <c:noMultiLvlLbl val="0"/>
      </c:catAx>
      <c:valAx>
        <c:axId val="211534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11529088"/>
        <c:crosses val="autoZero"/>
        <c:crossBetween val="between"/>
      </c:valAx>
      <c:spPr>
        <a:noFill/>
        <a:ln>
          <a:noFill/>
        </a:ln>
        <a:effectLst/>
      </c:spPr>
    </c:plotArea>
    <c:plotVisOnly val="1"/>
    <c:dispBlanksAs val="gap"/>
    <c:showDLblsOverMax val="0"/>
  </c:chart>
  <c:spPr>
    <a:solidFill>
      <a:schemeClr val="accent1">
        <a:lumMod val="20000"/>
        <a:lumOff val="80000"/>
      </a:schemeClr>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US" sz="1100" b="0">
                <a:solidFill>
                  <a:sysClr val="windowText" lastClr="000000"/>
                </a:solidFill>
              </a:rPr>
              <a:t>Millones de quetzales</a:t>
            </a:r>
          </a:p>
        </c:rich>
      </c:tx>
      <c:layout>
        <c:manualLayout>
          <c:xMode val="edge"/>
          <c:yMode val="edge"/>
          <c:x val="0.37939231554389041"/>
          <c:y val="0"/>
        </c:manualLayout>
      </c:layout>
      <c:overlay val="0"/>
      <c:spPr>
        <a:noFill/>
        <a:ln>
          <a:noFill/>
        </a:ln>
        <a:effectLst/>
      </c:spPr>
    </c:title>
    <c:autoTitleDeleted val="0"/>
    <c:plotArea>
      <c:layout>
        <c:manualLayout>
          <c:layoutTarget val="inner"/>
          <c:xMode val="edge"/>
          <c:yMode val="edge"/>
          <c:x val="0.10487642169728784"/>
          <c:y val="7.7956505436820409E-2"/>
          <c:w val="0.86966061533974914"/>
          <c:h val="0.78724116258418697"/>
        </c:manualLayout>
      </c:layout>
      <c:barChart>
        <c:barDir val="col"/>
        <c:grouping val="stacked"/>
        <c:varyColors val="0"/>
        <c:ser>
          <c:idx val="0"/>
          <c:order val="0"/>
          <c:tx>
            <c:strRef>
              <c:f>Hoja1!$B$1</c:f>
              <c:strCache>
                <c:ptCount val="1"/>
                <c:pt idx="0">
                  <c:v>Tributarios</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2021</c:v>
                </c:pt>
                <c:pt idx="1">
                  <c:v>2022</c:v>
                </c:pt>
                <c:pt idx="2">
                  <c:v>2023</c:v>
                </c:pt>
                <c:pt idx="3">
                  <c:v>2024</c:v>
                </c:pt>
                <c:pt idx="4">
                  <c:v>2025</c:v>
                </c:pt>
                <c:pt idx="5">
                  <c:v>2026</c:v>
                </c:pt>
              </c:strCache>
            </c:strRef>
          </c:cat>
          <c:val>
            <c:numRef>
              <c:f>Hoja1!$B$2:$B$7</c:f>
              <c:numCache>
                <c:formatCode>#,##0.0</c:formatCode>
                <c:ptCount val="6"/>
                <c:pt idx="0">
                  <c:v>70768.374014756802</c:v>
                </c:pt>
                <c:pt idx="1">
                  <c:v>74367.98983883686</c:v>
                </c:pt>
                <c:pt idx="2">
                  <c:v>80382.851896636392</c:v>
                </c:pt>
                <c:pt idx="3">
                  <c:v>85984.027467708744</c:v>
                </c:pt>
                <c:pt idx="4">
                  <c:v>92034.433481087864</c:v>
                </c:pt>
                <c:pt idx="5">
                  <c:v>98618.671756291966</c:v>
                </c:pt>
              </c:numCache>
            </c:numRef>
          </c:val>
          <c:extLst xmlns:c16r2="http://schemas.microsoft.com/office/drawing/2015/06/chart">
            <c:ext xmlns:c16="http://schemas.microsoft.com/office/drawing/2014/chart" uri="{C3380CC4-5D6E-409C-BE32-E72D297353CC}">
              <c16:uniqueId val="{00000000-E23A-4F6B-AF80-5013DA8923C6}"/>
            </c:ext>
          </c:extLst>
        </c:ser>
        <c:ser>
          <c:idx val="1"/>
          <c:order val="1"/>
          <c:tx>
            <c:strRef>
              <c:f>Hoja1!$C$1</c:f>
              <c:strCache>
                <c:ptCount val="1"/>
                <c:pt idx="0">
                  <c:v>No tributarios y capital</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2021</c:v>
                </c:pt>
                <c:pt idx="1">
                  <c:v>2022</c:v>
                </c:pt>
                <c:pt idx="2">
                  <c:v>2023</c:v>
                </c:pt>
                <c:pt idx="3">
                  <c:v>2024</c:v>
                </c:pt>
                <c:pt idx="4">
                  <c:v>2025</c:v>
                </c:pt>
                <c:pt idx="5">
                  <c:v>2026</c:v>
                </c:pt>
              </c:strCache>
            </c:strRef>
          </c:cat>
          <c:val>
            <c:numRef>
              <c:f>Hoja1!$C$2:$C$7</c:f>
              <c:numCache>
                <c:formatCode>#,##0.0</c:formatCode>
                <c:ptCount val="6"/>
                <c:pt idx="0">
                  <c:v>3932.9575817378827</c:v>
                </c:pt>
                <c:pt idx="1">
                  <c:v>5262.6430094191783</c:v>
                </c:pt>
                <c:pt idx="2">
                  <c:v>5619.0093899990516</c:v>
                </c:pt>
                <c:pt idx="3">
                  <c:v>6022.879561927738</c:v>
                </c:pt>
                <c:pt idx="4">
                  <c:v>6366.2736812603434</c:v>
                </c:pt>
                <c:pt idx="5">
                  <c:v>6685.738656994592</c:v>
                </c:pt>
              </c:numCache>
            </c:numRef>
          </c:val>
          <c:extLst xmlns:c16r2="http://schemas.microsoft.com/office/drawing/2015/06/chart">
            <c:ext xmlns:c16="http://schemas.microsoft.com/office/drawing/2014/chart" uri="{C3380CC4-5D6E-409C-BE32-E72D297353CC}">
              <c16:uniqueId val="{00000001-E23A-4F6B-AF80-5013DA8923C6}"/>
            </c:ext>
          </c:extLst>
        </c:ser>
        <c:dLbls>
          <c:showLegendKey val="0"/>
          <c:showVal val="0"/>
          <c:showCatName val="0"/>
          <c:showSerName val="0"/>
          <c:showPercent val="0"/>
          <c:showBubbleSize val="0"/>
        </c:dLbls>
        <c:gapWidth val="10"/>
        <c:overlap val="100"/>
        <c:axId val="213646720"/>
        <c:axId val="213652608"/>
      </c:barChart>
      <c:catAx>
        <c:axId val="21364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13652608"/>
        <c:crosses val="autoZero"/>
        <c:auto val="1"/>
        <c:lblAlgn val="ctr"/>
        <c:lblOffset val="100"/>
        <c:noMultiLvlLbl val="0"/>
      </c:catAx>
      <c:valAx>
        <c:axId val="213652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213646720"/>
        <c:crosses val="autoZero"/>
        <c:crossBetween val="between"/>
      </c:valAx>
      <c:spPr>
        <a:noFill/>
        <a:ln>
          <a:noFill/>
        </a:ln>
        <a:effectLst/>
      </c:spPr>
    </c:plotArea>
    <c:legend>
      <c:legendPos val="b"/>
      <c:layout>
        <c:manualLayout>
          <c:xMode val="edge"/>
          <c:yMode val="edge"/>
          <c:x val="0.29008001603966171"/>
          <c:y val="0.93209777731346599"/>
          <c:w val="0.39206200787401574"/>
          <c:h val="6.79022226865339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39450556485312E-2"/>
          <c:y val="2.4111087615598957E-2"/>
          <c:w val="0.8373708737936556"/>
          <c:h val="0.90155303945035514"/>
        </c:manualLayout>
      </c:layout>
      <c:lineChart>
        <c:grouping val="standard"/>
        <c:varyColors val="0"/>
        <c:ser>
          <c:idx val="5"/>
          <c:order val="0"/>
          <c:tx>
            <c:v>Historical spot price</c:v>
          </c:tx>
          <c:spPr>
            <a:ln>
              <a:solidFill>
                <a:schemeClr val="tx2"/>
              </a:solidFill>
            </a:ln>
          </c:spPr>
          <c:marker>
            <c:symbol val="none"/>
          </c:marker>
          <c:cat>
            <c:numRef>
              <c:f>'[Fig1.xlsx]1'!$B$27:$B$110</c:f>
              <c:numCache>
                <c:formatCode>mmm\ yyyy</c:formatCode>
                <c:ptCount val="84"/>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pt idx="72">
                  <c:v>44562</c:v>
                </c:pt>
                <c:pt idx="73">
                  <c:v>44593</c:v>
                </c:pt>
                <c:pt idx="74">
                  <c:v>44621</c:v>
                </c:pt>
                <c:pt idx="75">
                  <c:v>44652</c:v>
                </c:pt>
                <c:pt idx="76">
                  <c:v>44682</c:v>
                </c:pt>
                <c:pt idx="77">
                  <c:v>44713</c:v>
                </c:pt>
                <c:pt idx="78">
                  <c:v>44743</c:v>
                </c:pt>
                <c:pt idx="79">
                  <c:v>44774</c:v>
                </c:pt>
                <c:pt idx="80">
                  <c:v>44805</c:v>
                </c:pt>
                <c:pt idx="81">
                  <c:v>44835</c:v>
                </c:pt>
                <c:pt idx="82">
                  <c:v>44866</c:v>
                </c:pt>
                <c:pt idx="83">
                  <c:v>44896</c:v>
                </c:pt>
              </c:numCache>
            </c:numRef>
          </c:cat>
          <c:val>
            <c:numRef>
              <c:f>'[Fig1.xlsx]1'!$C$27:$C$110</c:f>
              <c:numCache>
                <c:formatCode>0.00</c:formatCode>
                <c:ptCount val="84"/>
                <c:pt idx="0">
                  <c:v>31.683</c:v>
                </c:pt>
                <c:pt idx="1">
                  <c:v>30.323</c:v>
                </c:pt>
                <c:pt idx="2">
                  <c:v>37.545000000000002</c:v>
                </c:pt>
                <c:pt idx="3">
                  <c:v>40.753999999999998</c:v>
                </c:pt>
                <c:pt idx="4">
                  <c:v>46.712000000000003</c:v>
                </c:pt>
                <c:pt idx="5">
                  <c:v>48.756999999999998</c:v>
                </c:pt>
                <c:pt idx="6">
                  <c:v>44.651000000000003</c:v>
                </c:pt>
                <c:pt idx="7">
                  <c:v>44.723999999999997</c:v>
                </c:pt>
                <c:pt idx="8">
                  <c:v>45.182000000000002</c:v>
                </c:pt>
                <c:pt idx="9">
                  <c:v>49.774999999999999</c:v>
                </c:pt>
                <c:pt idx="10">
                  <c:v>45.661000000000001</c:v>
                </c:pt>
                <c:pt idx="11">
                  <c:v>51.972000000000001</c:v>
                </c:pt>
                <c:pt idx="12">
                  <c:v>52.503999999999998</c:v>
                </c:pt>
                <c:pt idx="13">
                  <c:v>53.468000000000004</c:v>
                </c:pt>
                <c:pt idx="14">
                  <c:v>49.328000000000003</c:v>
                </c:pt>
                <c:pt idx="15">
                  <c:v>51.06</c:v>
                </c:pt>
                <c:pt idx="16">
                  <c:v>48.475999999999999</c:v>
                </c:pt>
                <c:pt idx="17">
                  <c:v>45.177999999999997</c:v>
                </c:pt>
                <c:pt idx="18">
                  <c:v>46.63</c:v>
                </c:pt>
                <c:pt idx="19">
                  <c:v>48.036999999999999</c:v>
                </c:pt>
                <c:pt idx="20">
                  <c:v>49.822000000000003</c:v>
                </c:pt>
                <c:pt idx="21">
                  <c:v>51.578000000000003</c:v>
                </c:pt>
                <c:pt idx="22">
                  <c:v>56.639000000000003</c:v>
                </c:pt>
                <c:pt idx="23">
                  <c:v>57.881</c:v>
                </c:pt>
                <c:pt idx="24">
                  <c:v>63.698</c:v>
                </c:pt>
                <c:pt idx="25">
                  <c:v>62.228999999999999</c:v>
                </c:pt>
                <c:pt idx="26">
                  <c:v>62.725000000000001</c:v>
                </c:pt>
                <c:pt idx="27">
                  <c:v>66.254000000000005</c:v>
                </c:pt>
                <c:pt idx="28">
                  <c:v>69.977999999999994</c:v>
                </c:pt>
                <c:pt idx="29">
                  <c:v>67.873000000000005</c:v>
                </c:pt>
                <c:pt idx="30">
                  <c:v>70.980999999999995</c:v>
                </c:pt>
                <c:pt idx="31">
                  <c:v>68.055000000000007</c:v>
                </c:pt>
                <c:pt idx="32">
                  <c:v>70.230999999999995</c:v>
                </c:pt>
                <c:pt idx="33">
                  <c:v>70.748999999999995</c:v>
                </c:pt>
                <c:pt idx="34">
                  <c:v>56.963000000000001</c:v>
                </c:pt>
                <c:pt idx="35">
                  <c:v>49.523000000000003</c:v>
                </c:pt>
                <c:pt idx="36">
                  <c:v>51.375999999999998</c:v>
                </c:pt>
                <c:pt idx="37">
                  <c:v>54.954000000000001</c:v>
                </c:pt>
                <c:pt idx="38">
                  <c:v>58.151000000000003</c:v>
                </c:pt>
                <c:pt idx="39">
                  <c:v>63.862000000000002</c:v>
                </c:pt>
                <c:pt idx="40">
                  <c:v>60.826999999999998</c:v>
                </c:pt>
                <c:pt idx="41">
                  <c:v>54.656999999999996</c:v>
                </c:pt>
                <c:pt idx="42">
                  <c:v>57.353999999999999</c:v>
                </c:pt>
                <c:pt idx="43">
                  <c:v>54.805</c:v>
                </c:pt>
                <c:pt idx="44">
                  <c:v>56.947000000000003</c:v>
                </c:pt>
                <c:pt idx="45">
                  <c:v>53.963000000000001</c:v>
                </c:pt>
                <c:pt idx="46">
                  <c:v>57.027000000000001</c:v>
                </c:pt>
                <c:pt idx="47">
                  <c:v>59.877000000000002</c:v>
                </c:pt>
                <c:pt idx="48">
                  <c:v>57.52</c:v>
                </c:pt>
                <c:pt idx="49">
                  <c:v>50.54</c:v>
                </c:pt>
                <c:pt idx="50">
                  <c:v>29.21</c:v>
                </c:pt>
                <c:pt idx="51">
                  <c:v>16.55</c:v>
                </c:pt>
                <c:pt idx="52">
                  <c:v>28.56</c:v>
                </c:pt>
                <c:pt idx="53">
                  <c:v>38.31</c:v>
                </c:pt>
                <c:pt idx="54">
                  <c:v>40.71</c:v>
                </c:pt>
                <c:pt idx="55">
                  <c:v>42.34</c:v>
                </c:pt>
                <c:pt idx="56">
                  <c:v>39.630000000000003</c:v>
                </c:pt>
                <c:pt idx="57">
                  <c:v>39.4</c:v>
                </c:pt>
                <c:pt idx="58">
                  <c:v>40.94</c:v>
                </c:pt>
                <c:pt idx="59">
                  <c:v>47.02</c:v>
                </c:pt>
                <c:pt idx="60">
                  <c:v>52</c:v>
                </c:pt>
                <c:pt idx="61">
                  <c:v>59.04</c:v>
                </c:pt>
                <c:pt idx="62">
                  <c:v>62.33</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numCache>
            </c:numRef>
          </c:val>
          <c:smooth val="0"/>
          <c:extLst xmlns:c16r2="http://schemas.microsoft.com/office/drawing/2015/06/chart">
            <c:ext xmlns:c16="http://schemas.microsoft.com/office/drawing/2014/chart" uri="{C3380CC4-5D6E-409C-BE32-E72D297353CC}">
              <c16:uniqueId val="{00000000-8E1E-4ACC-ACB2-EB9A09BA071E}"/>
            </c:ext>
          </c:extLst>
        </c:ser>
        <c:ser>
          <c:idx val="6"/>
          <c:order val="1"/>
          <c:tx>
            <c:v>STEO price forecast</c:v>
          </c:tx>
          <c:spPr>
            <a:ln>
              <a:solidFill>
                <a:schemeClr val="accent1"/>
              </a:solidFill>
              <a:prstDash val="solid"/>
            </a:ln>
          </c:spPr>
          <c:marker>
            <c:symbol val="none"/>
          </c:marker>
          <c:cat>
            <c:numRef>
              <c:f>'[Fig1.xlsx]1'!$B$27:$B$110</c:f>
              <c:numCache>
                <c:formatCode>mmm\ yyyy</c:formatCode>
                <c:ptCount val="84"/>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pt idx="72">
                  <c:v>44562</c:v>
                </c:pt>
                <c:pt idx="73">
                  <c:v>44593</c:v>
                </c:pt>
                <c:pt idx="74">
                  <c:v>44621</c:v>
                </c:pt>
                <c:pt idx="75">
                  <c:v>44652</c:v>
                </c:pt>
                <c:pt idx="76">
                  <c:v>44682</c:v>
                </c:pt>
                <c:pt idx="77">
                  <c:v>44713</c:v>
                </c:pt>
                <c:pt idx="78">
                  <c:v>44743</c:v>
                </c:pt>
                <c:pt idx="79">
                  <c:v>44774</c:v>
                </c:pt>
                <c:pt idx="80">
                  <c:v>44805</c:v>
                </c:pt>
                <c:pt idx="81">
                  <c:v>44835</c:v>
                </c:pt>
                <c:pt idx="82">
                  <c:v>44866</c:v>
                </c:pt>
                <c:pt idx="83">
                  <c:v>44896</c:v>
                </c:pt>
              </c:numCache>
            </c:numRef>
          </c:cat>
          <c:val>
            <c:numRef>
              <c:f>'[Fig1.xlsx]1'!$D$27:$D$110</c:f>
              <c:numCache>
                <c:formatCode>0.00</c:formatCode>
                <c:ptCount val="84"/>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62.33</c:v>
                </c:pt>
                <c:pt idx="63">
                  <c:v>61.5</c:v>
                </c:pt>
                <c:pt idx="64">
                  <c:v>62.5</c:v>
                </c:pt>
                <c:pt idx="65">
                  <c:v>61.5</c:v>
                </c:pt>
                <c:pt idx="66">
                  <c:v>60.5</c:v>
                </c:pt>
                <c:pt idx="67">
                  <c:v>59.5</c:v>
                </c:pt>
                <c:pt idx="68">
                  <c:v>57.5</c:v>
                </c:pt>
                <c:pt idx="69">
                  <c:v>56.5</c:v>
                </c:pt>
                <c:pt idx="70">
                  <c:v>56.5</c:v>
                </c:pt>
                <c:pt idx="71">
                  <c:v>56.5</c:v>
                </c:pt>
                <c:pt idx="72">
                  <c:v>58.5</c:v>
                </c:pt>
                <c:pt idx="73">
                  <c:v>58.5</c:v>
                </c:pt>
                <c:pt idx="74">
                  <c:v>58.5</c:v>
                </c:pt>
                <c:pt idx="75">
                  <c:v>55.5</c:v>
                </c:pt>
                <c:pt idx="76">
                  <c:v>55.5</c:v>
                </c:pt>
                <c:pt idx="77">
                  <c:v>55.5</c:v>
                </c:pt>
                <c:pt idx="78">
                  <c:v>56</c:v>
                </c:pt>
                <c:pt idx="79">
                  <c:v>56</c:v>
                </c:pt>
                <c:pt idx="80">
                  <c:v>56</c:v>
                </c:pt>
                <c:pt idx="81">
                  <c:v>57</c:v>
                </c:pt>
                <c:pt idx="82">
                  <c:v>57</c:v>
                </c:pt>
                <c:pt idx="83">
                  <c:v>57</c:v>
                </c:pt>
              </c:numCache>
            </c:numRef>
          </c:val>
          <c:smooth val="0"/>
          <c:extLst xmlns:c16r2="http://schemas.microsoft.com/office/drawing/2015/06/chart">
            <c:ext xmlns:c16="http://schemas.microsoft.com/office/drawing/2014/chart" uri="{C3380CC4-5D6E-409C-BE32-E72D297353CC}">
              <c16:uniqueId val="{00000001-8E1E-4ACC-ACB2-EB9A09BA071E}"/>
            </c:ext>
          </c:extLst>
        </c:ser>
        <c:ser>
          <c:idx val="8"/>
          <c:order val="2"/>
          <c:tx>
            <c:strRef>
              <c:f>'[Fig1.xlsx]1'!$B$144</c:f>
              <c:strCache>
                <c:ptCount val="1"/>
                <c:pt idx="0">
                  <c:v>#¡REF!</c:v>
                </c:pt>
              </c:strCache>
            </c:strRef>
          </c:tx>
          <c:marker>
            <c:symbol val="none"/>
          </c:marker>
          <c:cat>
            <c:numRef>
              <c:f>'[Fig1.xlsx]1'!$B$27:$B$110</c:f>
              <c:numCache>
                <c:formatCode>mmm\ yyyy</c:formatCode>
                <c:ptCount val="84"/>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pt idx="72">
                  <c:v>44562</c:v>
                </c:pt>
                <c:pt idx="73">
                  <c:v>44593</c:v>
                </c:pt>
                <c:pt idx="74">
                  <c:v>44621</c:v>
                </c:pt>
                <c:pt idx="75">
                  <c:v>44652</c:v>
                </c:pt>
                <c:pt idx="76">
                  <c:v>44682</c:v>
                </c:pt>
                <c:pt idx="77">
                  <c:v>44713</c:v>
                </c:pt>
                <c:pt idx="78">
                  <c:v>44743</c:v>
                </c:pt>
                <c:pt idx="79">
                  <c:v>44774</c:v>
                </c:pt>
                <c:pt idx="80">
                  <c:v>44805</c:v>
                </c:pt>
                <c:pt idx="81">
                  <c:v>44835</c:v>
                </c:pt>
                <c:pt idx="82">
                  <c:v>44866</c:v>
                </c:pt>
                <c:pt idx="83">
                  <c:v>44896</c:v>
                </c:pt>
              </c:numCache>
            </c:numRef>
          </c:cat>
          <c:val>
            <c:numRef>
              <c:f>'[Fig1.xlsx]1'!$F$27:$F$110</c:f>
              <c:numCache>
                <c:formatCode>0.00</c:formatCode>
                <c:ptCount val="84"/>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56.319723892752201</c:v>
                </c:pt>
                <c:pt idx="66">
                  <c:v>53.036892563527203</c:v>
                </c:pt>
                <c:pt idx="67">
                  <c:v>50.870565855157402</c:v>
                </c:pt>
                <c:pt idx="68">
                  <c:v>48.715591409737698</c:v>
                </c:pt>
                <c:pt idx="69">
                  <c:v>46.938100106288999</c:v>
                </c:pt>
                <c:pt idx="70">
                  <c:v>45.4429316462437</c:v>
                </c:pt>
                <c:pt idx="71">
                  <c:v>44.074050615231499</c:v>
                </c:pt>
                <c:pt idx="72">
                  <c:v>43.004301526981898</c:v>
                </c:pt>
                <c:pt idx="73">
                  <c:v>#N/A</c:v>
                </c:pt>
                <c:pt idx="74">
                  <c:v>41.261502728845301</c:v>
                </c:pt>
                <c:pt idx="75">
                  <c:v>#N/A</c:v>
                </c:pt>
                <c:pt idx="76">
                  <c:v>#N/A</c:v>
                </c:pt>
                <c:pt idx="77">
                  <c:v>39.270077167079499</c:v>
                </c:pt>
                <c:pt idx="78">
                  <c:v>#N/A</c:v>
                </c:pt>
                <c:pt idx="79">
                  <c:v>#N/A</c:v>
                </c:pt>
                <c:pt idx="80">
                  <c:v>#N/A</c:v>
                </c:pt>
                <c:pt idx="81">
                  <c:v>#N/A</c:v>
                </c:pt>
                <c:pt idx="82">
                  <c:v>#N/A</c:v>
                </c:pt>
                <c:pt idx="83">
                  <c:v>36.490579482061598</c:v>
                </c:pt>
              </c:numCache>
            </c:numRef>
          </c:val>
          <c:smooth val="0"/>
          <c:extLst xmlns:c16r2="http://schemas.microsoft.com/office/drawing/2015/06/chart">
            <c:ext xmlns:c16="http://schemas.microsoft.com/office/drawing/2014/chart" uri="{C3380CC4-5D6E-409C-BE32-E72D297353CC}">
              <c16:uniqueId val="{00000002-8E1E-4ACC-ACB2-EB9A09BA071E}"/>
            </c:ext>
          </c:extLst>
        </c:ser>
        <c:ser>
          <c:idx val="9"/>
          <c:order val="3"/>
          <c:tx>
            <c:strRef>
              <c:f>'[Fig1.xlsx]1'!$B$145</c:f>
              <c:strCache>
                <c:ptCount val="1"/>
                <c:pt idx="0">
                  <c:v>#¡REF!</c:v>
                </c:pt>
              </c:strCache>
            </c:strRef>
          </c:tx>
          <c:marker>
            <c:symbol val="none"/>
          </c:marker>
          <c:cat>
            <c:numRef>
              <c:f>'[Fig1.xlsx]1'!$B$27:$B$110</c:f>
              <c:numCache>
                <c:formatCode>mmm\ yyyy</c:formatCode>
                <c:ptCount val="84"/>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pt idx="72">
                  <c:v>44562</c:v>
                </c:pt>
                <c:pt idx="73">
                  <c:v>44593</c:v>
                </c:pt>
                <c:pt idx="74">
                  <c:v>44621</c:v>
                </c:pt>
                <c:pt idx="75">
                  <c:v>44652</c:v>
                </c:pt>
                <c:pt idx="76">
                  <c:v>44682</c:v>
                </c:pt>
                <c:pt idx="77">
                  <c:v>44713</c:v>
                </c:pt>
                <c:pt idx="78">
                  <c:v>44743</c:v>
                </c:pt>
                <c:pt idx="79">
                  <c:v>44774</c:v>
                </c:pt>
                <c:pt idx="80">
                  <c:v>44805</c:v>
                </c:pt>
                <c:pt idx="81">
                  <c:v>44835</c:v>
                </c:pt>
                <c:pt idx="82">
                  <c:v>44866</c:v>
                </c:pt>
                <c:pt idx="83">
                  <c:v>44896</c:v>
                </c:pt>
              </c:numCache>
            </c:numRef>
          </c:cat>
          <c:val>
            <c:numRef>
              <c:f>'[Fig1.xlsx]1'!$G$27:$G$110</c:f>
              <c:numCache>
                <c:formatCode>0.00</c:formatCode>
                <c:ptCount val="84"/>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69.654847955113098</c:v>
                </c:pt>
                <c:pt idx="66">
                  <c:v>73.212271276015201</c:v>
                </c:pt>
                <c:pt idx="67">
                  <c:v>75.635801051500906</c:v>
                </c:pt>
                <c:pt idx="68">
                  <c:v>78.082934398964795</c:v>
                </c:pt>
                <c:pt idx="69">
                  <c:v>79.859498076984806</c:v>
                </c:pt>
                <c:pt idx="70">
                  <c:v>82.211349173627397</c:v>
                </c:pt>
                <c:pt idx="71">
                  <c:v>83.483367043092798</c:v>
                </c:pt>
                <c:pt idx="72">
                  <c:v>85.126332919708005</c:v>
                </c:pt>
                <c:pt idx="73">
                  <c:v>#N/A</c:v>
                </c:pt>
                <c:pt idx="74">
                  <c:v>87.813084487629993</c:v>
                </c:pt>
                <c:pt idx="75">
                  <c:v>#N/A</c:v>
                </c:pt>
                <c:pt idx="76">
                  <c:v>#N/A</c:v>
                </c:pt>
                <c:pt idx="77">
                  <c:v>90.040670173696</c:v>
                </c:pt>
                <c:pt idx="78">
                  <c:v>#N/A</c:v>
                </c:pt>
                <c:pt idx="79">
                  <c:v>#N/A</c:v>
                </c:pt>
                <c:pt idx="80">
                  <c:v>#N/A</c:v>
                </c:pt>
                <c:pt idx="81">
                  <c:v>#N/A</c:v>
                </c:pt>
                <c:pt idx="82">
                  <c:v>#N/A</c:v>
                </c:pt>
                <c:pt idx="83">
                  <c:v>92.295141957783997</c:v>
                </c:pt>
              </c:numCache>
            </c:numRef>
          </c:val>
          <c:smooth val="0"/>
          <c:extLst xmlns:c16r2="http://schemas.microsoft.com/office/drawing/2015/06/chart">
            <c:ext xmlns:c16="http://schemas.microsoft.com/office/drawing/2014/chart" uri="{C3380CC4-5D6E-409C-BE32-E72D297353CC}">
              <c16:uniqueId val="{00000003-8E1E-4ACC-ACB2-EB9A09BA071E}"/>
            </c:ext>
          </c:extLst>
        </c:ser>
        <c:ser>
          <c:idx val="0"/>
          <c:order val="4"/>
          <c:tx>
            <c:v>Historical spot price</c:v>
          </c:tx>
          <c:spPr>
            <a:ln>
              <a:solidFill>
                <a:schemeClr val="tx2"/>
              </a:solidFill>
            </a:ln>
          </c:spPr>
          <c:marker>
            <c:symbol val="none"/>
          </c:marker>
          <c:cat>
            <c:numRef>
              <c:f>'[Fig1.xlsx]1'!$B$27:$B$110</c:f>
              <c:numCache>
                <c:formatCode>mmm\ yyyy</c:formatCode>
                <c:ptCount val="84"/>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pt idx="72">
                  <c:v>44562</c:v>
                </c:pt>
                <c:pt idx="73">
                  <c:v>44593</c:v>
                </c:pt>
                <c:pt idx="74">
                  <c:v>44621</c:v>
                </c:pt>
                <c:pt idx="75">
                  <c:v>44652</c:v>
                </c:pt>
                <c:pt idx="76">
                  <c:v>44682</c:v>
                </c:pt>
                <c:pt idx="77">
                  <c:v>44713</c:v>
                </c:pt>
                <c:pt idx="78">
                  <c:v>44743</c:v>
                </c:pt>
                <c:pt idx="79">
                  <c:v>44774</c:v>
                </c:pt>
                <c:pt idx="80">
                  <c:v>44805</c:v>
                </c:pt>
                <c:pt idx="81">
                  <c:v>44835</c:v>
                </c:pt>
                <c:pt idx="82">
                  <c:v>44866</c:v>
                </c:pt>
                <c:pt idx="83">
                  <c:v>44896</c:v>
                </c:pt>
              </c:numCache>
            </c:numRef>
          </c:cat>
          <c:val>
            <c:numRef>
              <c:f>'[Fig1.xlsx]1'!$C$27:$C$110</c:f>
              <c:numCache>
                <c:formatCode>0.00</c:formatCode>
                <c:ptCount val="84"/>
                <c:pt idx="0">
                  <c:v>31.683</c:v>
                </c:pt>
                <c:pt idx="1">
                  <c:v>30.323</c:v>
                </c:pt>
                <c:pt idx="2">
                  <c:v>37.545000000000002</c:v>
                </c:pt>
                <c:pt idx="3">
                  <c:v>40.753999999999998</c:v>
                </c:pt>
                <c:pt idx="4">
                  <c:v>46.712000000000003</c:v>
                </c:pt>
                <c:pt idx="5">
                  <c:v>48.756999999999998</c:v>
                </c:pt>
                <c:pt idx="6">
                  <c:v>44.651000000000003</c:v>
                </c:pt>
                <c:pt idx="7">
                  <c:v>44.723999999999997</c:v>
                </c:pt>
                <c:pt idx="8">
                  <c:v>45.182000000000002</c:v>
                </c:pt>
                <c:pt idx="9">
                  <c:v>49.774999999999999</c:v>
                </c:pt>
                <c:pt idx="10">
                  <c:v>45.661000000000001</c:v>
                </c:pt>
                <c:pt idx="11">
                  <c:v>51.972000000000001</c:v>
                </c:pt>
                <c:pt idx="12">
                  <c:v>52.503999999999998</c:v>
                </c:pt>
                <c:pt idx="13">
                  <c:v>53.468000000000004</c:v>
                </c:pt>
                <c:pt idx="14">
                  <c:v>49.328000000000003</c:v>
                </c:pt>
                <c:pt idx="15">
                  <c:v>51.06</c:v>
                </c:pt>
                <c:pt idx="16">
                  <c:v>48.475999999999999</c:v>
                </c:pt>
                <c:pt idx="17">
                  <c:v>45.177999999999997</c:v>
                </c:pt>
                <c:pt idx="18">
                  <c:v>46.63</c:v>
                </c:pt>
                <c:pt idx="19">
                  <c:v>48.036999999999999</c:v>
                </c:pt>
                <c:pt idx="20">
                  <c:v>49.822000000000003</c:v>
                </c:pt>
                <c:pt idx="21">
                  <c:v>51.578000000000003</c:v>
                </c:pt>
                <c:pt idx="22">
                  <c:v>56.639000000000003</c:v>
                </c:pt>
                <c:pt idx="23">
                  <c:v>57.881</c:v>
                </c:pt>
                <c:pt idx="24">
                  <c:v>63.698</c:v>
                </c:pt>
                <c:pt idx="25">
                  <c:v>62.228999999999999</c:v>
                </c:pt>
                <c:pt idx="26">
                  <c:v>62.725000000000001</c:v>
                </c:pt>
                <c:pt idx="27">
                  <c:v>66.254000000000005</c:v>
                </c:pt>
                <c:pt idx="28">
                  <c:v>69.977999999999994</c:v>
                </c:pt>
                <c:pt idx="29">
                  <c:v>67.873000000000005</c:v>
                </c:pt>
                <c:pt idx="30">
                  <c:v>70.980999999999995</c:v>
                </c:pt>
                <c:pt idx="31">
                  <c:v>68.055000000000007</c:v>
                </c:pt>
                <c:pt idx="32">
                  <c:v>70.230999999999995</c:v>
                </c:pt>
                <c:pt idx="33">
                  <c:v>70.748999999999995</c:v>
                </c:pt>
                <c:pt idx="34">
                  <c:v>56.963000000000001</c:v>
                </c:pt>
                <c:pt idx="35">
                  <c:v>49.523000000000003</c:v>
                </c:pt>
                <c:pt idx="36">
                  <c:v>51.375999999999998</c:v>
                </c:pt>
                <c:pt idx="37">
                  <c:v>54.954000000000001</c:v>
                </c:pt>
                <c:pt idx="38">
                  <c:v>58.151000000000003</c:v>
                </c:pt>
                <c:pt idx="39">
                  <c:v>63.862000000000002</c:v>
                </c:pt>
                <c:pt idx="40">
                  <c:v>60.826999999999998</c:v>
                </c:pt>
                <c:pt idx="41">
                  <c:v>54.656999999999996</c:v>
                </c:pt>
                <c:pt idx="42">
                  <c:v>57.353999999999999</c:v>
                </c:pt>
                <c:pt idx="43">
                  <c:v>54.805</c:v>
                </c:pt>
                <c:pt idx="44">
                  <c:v>56.947000000000003</c:v>
                </c:pt>
                <c:pt idx="45">
                  <c:v>53.963000000000001</c:v>
                </c:pt>
                <c:pt idx="46">
                  <c:v>57.027000000000001</c:v>
                </c:pt>
                <c:pt idx="47">
                  <c:v>59.877000000000002</c:v>
                </c:pt>
                <c:pt idx="48">
                  <c:v>57.52</c:v>
                </c:pt>
                <c:pt idx="49">
                  <c:v>50.54</c:v>
                </c:pt>
                <c:pt idx="50">
                  <c:v>29.21</c:v>
                </c:pt>
                <c:pt idx="51">
                  <c:v>16.55</c:v>
                </c:pt>
                <c:pt idx="52">
                  <c:v>28.56</c:v>
                </c:pt>
                <c:pt idx="53">
                  <c:v>38.31</c:v>
                </c:pt>
                <c:pt idx="54">
                  <c:v>40.71</c:v>
                </c:pt>
                <c:pt idx="55">
                  <c:v>42.34</c:v>
                </c:pt>
                <c:pt idx="56">
                  <c:v>39.630000000000003</c:v>
                </c:pt>
                <c:pt idx="57">
                  <c:v>39.4</c:v>
                </c:pt>
                <c:pt idx="58">
                  <c:v>40.94</c:v>
                </c:pt>
                <c:pt idx="59">
                  <c:v>47.02</c:v>
                </c:pt>
                <c:pt idx="60">
                  <c:v>52</c:v>
                </c:pt>
                <c:pt idx="61">
                  <c:v>59.04</c:v>
                </c:pt>
                <c:pt idx="62">
                  <c:v>62.33</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numCache>
            </c:numRef>
          </c:val>
          <c:smooth val="0"/>
          <c:extLst xmlns:c16r2="http://schemas.microsoft.com/office/drawing/2015/06/chart">
            <c:ext xmlns:c16="http://schemas.microsoft.com/office/drawing/2014/chart" uri="{C3380CC4-5D6E-409C-BE32-E72D297353CC}">
              <c16:uniqueId val="{00000004-8E1E-4ACC-ACB2-EB9A09BA071E}"/>
            </c:ext>
          </c:extLst>
        </c:ser>
        <c:ser>
          <c:idx val="1"/>
          <c:order val="5"/>
          <c:tx>
            <c:v>STEO price forecast</c:v>
          </c:tx>
          <c:spPr>
            <a:ln>
              <a:solidFill>
                <a:schemeClr val="accent1"/>
              </a:solidFill>
              <a:prstDash val="solid"/>
            </a:ln>
          </c:spPr>
          <c:marker>
            <c:symbol val="none"/>
          </c:marker>
          <c:cat>
            <c:numRef>
              <c:f>'[Fig1.xlsx]1'!$B$27:$B$110</c:f>
              <c:numCache>
                <c:formatCode>mmm\ yyyy</c:formatCode>
                <c:ptCount val="84"/>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pt idx="72">
                  <c:v>44562</c:v>
                </c:pt>
                <c:pt idx="73">
                  <c:v>44593</c:v>
                </c:pt>
                <c:pt idx="74">
                  <c:v>44621</c:v>
                </c:pt>
                <c:pt idx="75">
                  <c:v>44652</c:v>
                </c:pt>
                <c:pt idx="76">
                  <c:v>44682</c:v>
                </c:pt>
                <c:pt idx="77">
                  <c:v>44713</c:v>
                </c:pt>
                <c:pt idx="78">
                  <c:v>44743</c:v>
                </c:pt>
                <c:pt idx="79">
                  <c:v>44774</c:v>
                </c:pt>
                <c:pt idx="80">
                  <c:v>44805</c:v>
                </c:pt>
                <c:pt idx="81">
                  <c:v>44835</c:v>
                </c:pt>
                <c:pt idx="82">
                  <c:v>44866</c:v>
                </c:pt>
                <c:pt idx="83">
                  <c:v>44896</c:v>
                </c:pt>
              </c:numCache>
            </c:numRef>
          </c:cat>
          <c:val>
            <c:numRef>
              <c:f>'[Fig1.xlsx]1'!$D$27:$D$110</c:f>
              <c:numCache>
                <c:formatCode>0.00</c:formatCode>
                <c:ptCount val="84"/>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62.33</c:v>
                </c:pt>
                <c:pt idx="63">
                  <c:v>61.5</c:v>
                </c:pt>
                <c:pt idx="64">
                  <c:v>62.5</c:v>
                </c:pt>
                <c:pt idx="65">
                  <c:v>61.5</c:v>
                </c:pt>
                <c:pt idx="66">
                  <c:v>60.5</c:v>
                </c:pt>
                <c:pt idx="67">
                  <c:v>59.5</c:v>
                </c:pt>
                <c:pt idx="68">
                  <c:v>57.5</c:v>
                </c:pt>
                <c:pt idx="69">
                  <c:v>56.5</c:v>
                </c:pt>
                <c:pt idx="70">
                  <c:v>56.5</c:v>
                </c:pt>
                <c:pt idx="71">
                  <c:v>56.5</c:v>
                </c:pt>
                <c:pt idx="72">
                  <c:v>58.5</c:v>
                </c:pt>
                <c:pt idx="73">
                  <c:v>58.5</c:v>
                </c:pt>
                <c:pt idx="74">
                  <c:v>58.5</c:v>
                </c:pt>
                <c:pt idx="75">
                  <c:v>55.5</c:v>
                </c:pt>
                <c:pt idx="76">
                  <c:v>55.5</c:v>
                </c:pt>
                <c:pt idx="77">
                  <c:v>55.5</c:v>
                </c:pt>
                <c:pt idx="78">
                  <c:v>56</c:v>
                </c:pt>
                <c:pt idx="79">
                  <c:v>56</c:v>
                </c:pt>
                <c:pt idx="80">
                  <c:v>56</c:v>
                </c:pt>
                <c:pt idx="81">
                  <c:v>57</c:v>
                </c:pt>
                <c:pt idx="82">
                  <c:v>57</c:v>
                </c:pt>
                <c:pt idx="83">
                  <c:v>57</c:v>
                </c:pt>
              </c:numCache>
            </c:numRef>
          </c:val>
          <c:smooth val="0"/>
          <c:extLst xmlns:c16r2="http://schemas.microsoft.com/office/drawing/2015/06/chart">
            <c:ext xmlns:c16="http://schemas.microsoft.com/office/drawing/2014/chart" uri="{C3380CC4-5D6E-409C-BE32-E72D297353CC}">
              <c16:uniqueId val="{00000005-8E1E-4ACC-ACB2-EB9A09BA071E}"/>
            </c:ext>
          </c:extLst>
        </c:ser>
        <c:ser>
          <c:idx val="3"/>
          <c:order val="6"/>
          <c:tx>
            <c:strRef>
              <c:f>'[Fig1.xlsx]1'!$B$144</c:f>
              <c:strCache>
                <c:ptCount val="1"/>
                <c:pt idx="0">
                  <c:v>#¡REF!</c:v>
                </c:pt>
              </c:strCache>
            </c:strRef>
          </c:tx>
          <c:spPr>
            <a:ln>
              <a:solidFill>
                <a:schemeClr val="accent3"/>
              </a:solidFill>
              <a:prstDash val="sysDot"/>
            </a:ln>
          </c:spPr>
          <c:marker>
            <c:symbol val="none"/>
          </c:marker>
          <c:cat>
            <c:numRef>
              <c:f>'[Fig1.xlsx]1'!$B$27:$B$110</c:f>
              <c:numCache>
                <c:formatCode>mmm\ yyyy</c:formatCode>
                <c:ptCount val="84"/>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pt idx="72">
                  <c:v>44562</c:v>
                </c:pt>
                <c:pt idx="73">
                  <c:v>44593</c:v>
                </c:pt>
                <c:pt idx="74">
                  <c:v>44621</c:v>
                </c:pt>
                <c:pt idx="75">
                  <c:v>44652</c:v>
                </c:pt>
                <c:pt idx="76">
                  <c:v>44682</c:v>
                </c:pt>
                <c:pt idx="77">
                  <c:v>44713</c:v>
                </c:pt>
                <c:pt idx="78">
                  <c:v>44743</c:v>
                </c:pt>
                <c:pt idx="79">
                  <c:v>44774</c:v>
                </c:pt>
                <c:pt idx="80">
                  <c:v>44805</c:v>
                </c:pt>
                <c:pt idx="81">
                  <c:v>44835</c:v>
                </c:pt>
                <c:pt idx="82">
                  <c:v>44866</c:v>
                </c:pt>
                <c:pt idx="83">
                  <c:v>44896</c:v>
                </c:pt>
              </c:numCache>
            </c:numRef>
          </c:cat>
          <c:val>
            <c:numRef>
              <c:f>'[Fig1.xlsx]1'!$F$27:$F$110</c:f>
              <c:numCache>
                <c:formatCode>0.00</c:formatCode>
                <c:ptCount val="84"/>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56.319723892752201</c:v>
                </c:pt>
                <c:pt idx="66">
                  <c:v>53.036892563527203</c:v>
                </c:pt>
                <c:pt idx="67">
                  <c:v>50.870565855157402</c:v>
                </c:pt>
                <c:pt idx="68">
                  <c:v>48.715591409737698</c:v>
                </c:pt>
                <c:pt idx="69">
                  <c:v>46.938100106288999</c:v>
                </c:pt>
                <c:pt idx="70">
                  <c:v>45.4429316462437</c:v>
                </c:pt>
                <c:pt idx="71">
                  <c:v>44.074050615231499</c:v>
                </c:pt>
                <c:pt idx="72">
                  <c:v>43.004301526981898</c:v>
                </c:pt>
                <c:pt idx="73">
                  <c:v>#N/A</c:v>
                </c:pt>
                <c:pt idx="74">
                  <c:v>41.261502728845301</c:v>
                </c:pt>
                <c:pt idx="75">
                  <c:v>#N/A</c:v>
                </c:pt>
                <c:pt idx="76">
                  <c:v>#N/A</c:v>
                </c:pt>
                <c:pt idx="77">
                  <c:v>39.270077167079499</c:v>
                </c:pt>
                <c:pt idx="78">
                  <c:v>#N/A</c:v>
                </c:pt>
                <c:pt idx="79">
                  <c:v>#N/A</c:v>
                </c:pt>
                <c:pt idx="80">
                  <c:v>#N/A</c:v>
                </c:pt>
                <c:pt idx="81">
                  <c:v>#N/A</c:v>
                </c:pt>
                <c:pt idx="82">
                  <c:v>#N/A</c:v>
                </c:pt>
                <c:pt idx="83">
                  <c:v>36.490579482061598</c:v>
                </c:pt>
              </c:numCache>
            </c:numRef>
          </c:val>
          <c:smooth val="0"/>
          <c:extLst xmlns:c16r2="http://schemas.microsoft.com/office/drawing/2015/06/chart">
            <c:ext xmlns:c16="http://schemas.microsoft.com/office/drawing/2014/chart" uri="{C3380CC4-5D6E-409C-BE32-E72D297353CC}">
              <c16:uniqueId val="{00000006-8E1E-4ACC-ACB2-EB9A09BA071E}"/>
            </c:ext>
          </c:extLst>
        </c:ser>
        <c:ser>
          <c:idx val="4"/>
          <c:order val="7"/>
          <c:tx>
            <c:strRef>
              <c:f>'[Fig1.xlsx]1'!$B$145</c:f>
              <c:strCache>
                <c:ptCount val="1"/>
                <c:pt idx="0">
                  <c:v>#¡REF!</c:v>
                </c:pt>
              </c:strCache>
            </c:strRef>
          </c:tx>
          <c:spPr>
            <a:ln w="28575">
              <a:solidFill>
                <a:srgbClr val="5D9732"/>
              </a:solidFill>
              <a:prstDash val="sysDot"/>
            </a:ln>
          </c:spPr>
          <c:marker>
            <c:symbol val="none"/>
          </c:marker>
          <c:cat>
            <c:numRef>
              <c:f>'[Fig1.xlsx]1'!$B$27:$B$110</c:f>
              <c:numCache>
                <c:formatCode>mmm\ yyyy</c:formatCode>
                <c:ptCount val="84"/>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pt idx="72">
                  <c:v>44562</c:v>
                </c:pt>
                <c:pt idx="73">
                  <c:v>44593</c:v>
                </c:pt>
                <c:pt idx="74">
                  <c:v>44621</c:v>
                </c:pt>
                <c:pt idx="75">
                  <c:v>44652</c:v>
                </c:pt>
                <c:pt idx="76">
                  <c:v>44682</c:v>
                </c:pt>
                <c:pt idx="77">
                  <c:v>44713</c:v>
                </c:pt>
                <c:pt idx="78">
                  <c:v>44743</c:v>
                </c:pt>
                <c:pt idx="79">
                  <c:v>44774</c:v>
                </c:pt>
                <c:pt idx="80">
                  <c:v>44805</c:v>
                </c:pt>
                <c:pt idx="81">
                  <c:v>44835</c:v>
                </c:pt>
                <c:pt idx="82">
                  <c:v>44866</c:v>
                </c:pt>
                <c:pt idx="83">
                  <c:v>44896</c:v>
                </c:pt>
              </c:numCache>
            </c:numRef>
          </c:cat>
          <c:val>
            <c:numRef>
              <c:f>'[Fig1.xlsx]1'!$G$27:$G$110</c:f>
              <c:numCache>
                <c:formatCode>0.00</c:formatCode>
                <c:ptCount val="84"/>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69.654847955113098</c:v>
                </c:pt>
                <c:pt idx="66">
                  <c:v>73.212271276015201</c:v>
                </c:pt>
                <c:pt idx="67">
                  <c:v>75.635801051500906</c:v>
                </c:pt>
                <c:pt idx="68">
                  <c:v>78.082934398964795</c:v>
                </c:pt>
                <c:pt idx="69">
                  <c:v>79.859498076984806</c:v>
                </c:pt>
                <c:pt idx="70">
                  <c:v>82.211349173627397</c:v>
                </c:pt>
                <c:pt idx="71">
                  <c:v>83.483367043092798</c:v>
                </c:pt>
                <c:pt idx="72">
                  <c:v>85.126332919708005</c:v>
                </c:pt>
                <c:pt idx="73">
                  <c:v>#N/A</c:v>
                </c:pt>
                <c:pt idx="74">
                  <c:v>87.813084487629993</c:v>
                </c:pt>
                <c:pt idx="75">
                  <c:v>#N/A</c:v>
                </c:pt>
                <c:pt idx="76">
                  <c:v>#N/A</c:v>
                </c:pt>
                <c:pt idx="77">
                  <c:v>90.040670173696</c:v>
                </c:pt>
                <c:pt idx="78">
                  <c:v>#N/A</c:v>
                </c:pt>
                <c:pt idx="79">
                  <c:v>#N/A</c:v>
                </c:pt>
                <c:pt idx="80">
                  <c:v>#N/A</c:v>
                </c:pt>
                <c:pt idx="81">
                  <c:v>#N/A</c:v>
                </c:pt>
                <c:pt idx="82">
                  <c:v>#N/A</c:v>
                </c:pt>
                <c:pt idx="83">
                  <c:v>92.295141957783997</c:v>
                </c:pt>
              </c:numCache>
            </c:numRef>
          </c:val>
          <c:smooth val="0"/>
          <c:extLst xmlns:c16r2="http://schemas.microsoft.com/office/drawing/2015/06/chart">
            <c:ext xmlns:c16="http://schemas.microsoft.com/office/drawing/2014/chart" uri="{C3380CC4-5D6E-409C-BE32-E72D297353CC}">
              <c16:uniqueId val="{00000007-8E1E-4ACC-ACB2-EB9A09BA071E}"/>
            </c:ext>
          </c:extLst>
        </c:ser>
        <c:dLbls>
          <c:showLegendKey val="0"/>
          <c:showVal val="0"/>
          <c:showCatName val="0"/>
          <c:showSerName val="0"/>
          <c:showPercent val="0"/>
          <c:showBubbleSize val="0"/>
        </c:dLbls>
        <c:marker val="1"/>
        <c:smooth val="0"/>
        <c:axId val="163802496"/>
        <c:axId val="163808384"/>
        <c:extLst xmlns:c16r2="http://schemas.microsoft.com/office/drawing/2015/06/chart"/>
      </c:lineChart>
      <c:catAx>
        <c:axId val="163802496"/>
        <c:scaling>
          <c:orientation val="minMax"/>
        </c:scaling>
        <c:delete val="0"/>
        <c:axPos val="b"/>
        <c:majorGridlines>
          <c:spPr>
            <a:ln>
              <a:solidFill>
                <a:schemeClr val="bg1">
                  <a:lumMod val="75000"/>
                </a:schemeClr>
              </a:solidFill>
            </a:ln>
          </c:spPr>
        </c:majorGridlines>
        <c:numFmt formatCode="yyyy" sourceLinked="0"/>
        <c:majorTickMark val="out"/>
        <c:minorTickMark val="none"/>
        <c:tickLblPos val="nextTo"/>
        <c:spPr>
          <a:ln>
            <a:solidFill>
              <a:schemeClr val="tx1"/>
            </a:solidFill>
          </a:ln>
        </c:spPr>
        <c:txPr>
          <a:bodyPr/>
          <a:lstStyle/>
          <a:p>
            <a:pPr>
              <a:defRPr sz="700">
                <a:latin typeface="Times New Roman" panose="02020603050405020304" pitchFamily="18" charset="0"/>
                <a:cs typeface="Times New Roman" panose="02020603050405020304" pitchFamily="18" charset="0"/>
              </a:defRPr>
            </a:pPr>
            <a:endParaRPr lang="es-ES"/>
          </a:p>
        </c:txPr>
        <c:crossAx val="163808384"/>
        <c:crosses val="autoZero"/>
        <c:auto val="0"/>
        <c:lblAlgn val="ctr"/>
        <c:lblOffset val="100"/>
        <c:tickLblSkip val="12"/>
        <c:tickMarkSkip val="12"/>
        <c:noMultiLvlLbl val="1"/>
      </c:catAx>
      <c:valAx>
        <c:axId val="163808384"/>
        <c:scaling>
          <c:orientation val="minMax"/>
          <c:max val="120"/>
          <c:min val="0"/>
        </c:scaling>
        <c:delete val="0"/>
        <c:axPos val="l"/>
        <c:majorGridlines>
          <c:spPr>
            <a:ln>
              <a:solidFill>
                <a:schemeClr val="bg1">
                  <a:lumMod val="75000"/>
                </a:schemeClr>
              </a:solidFill>
            </a:ln>
          </c:spPr>
        </c:majorGridlines>
        <c:numFmt formatCode="0" sourceLinked="0"/>
        <c:majorTickMark val="out"/>
        <c:minorTickMark val="none"/>
        <c:tickLblPos val="nextTo"/>
        <c:spPr>
          <a:ln>
            <a:noFill/>
          </a:ln>
        </c:spPr>
        <c:txPr>
          <a:bodyPr/>
          <a:lstStyle/>
          <a:p>
            <a:pPr>
              <a:defRPr sz="700" baseline="0">
                <a:latin typeface="Times New Roman" panose="02020603050405020304" pitchFamily="18" charset="0"/>
                <a:cs typeface="Times New Roman" panose="02020603050405020304" pitchFamily="18" charset="0"/>
              </a:defRPr>
            </a:pPr>
            <a:endParaRPr lang="es-ES"/>
          </a:p>
        </c:txPr>
        <c:crossAx val="163802496"/>
        <c:crosses val="autoZero"/>
        <c:crossBetween val="midCat"/>
        <c:majorUnit val="20"/>
      </c:valAx>
      <c:spPr>
        <a:ln>
          <a:solidFill>
            <a:schemeClr val="bg1">
              <a:lumMod val="85000"/>
            </a:schemeClr>
          </a:solidFill>
        </a:ln>
      </c:spPr>
    </c:plotArea>
    <c:plotVisOnly val="1"/>
    <c:dispBlanksAs val="gap"/>
    <c:showDLblsOverMax val="0"/>
  </c:chart>
  <c:spPr>
    <a:ln>
      <a:noFill/>
    </a:ln>
  </c:spPr>
  <c:txPr>
    <a:bodyPr/>
    <a:lstStyle/>
    <a:p>
      <a:pPr>
        <a:defRPr sz="1000">
          <a:latin typeface="Arial" pitchFamily="34" charset="0"/>
          <a:cs typeface="Arial" pitchFamily="34" charset="0"/>
        </a:defRPr>
      </a:pPr>
      <a:endParaRPr lang="es-ES"/>
    </a:p>
  </c:txPr>
  <c:externalData r:id="rId1">
    <c:autoUpdate val="0"/>
  </c:externalData>
  <c:userShapes r:id="rId2"/>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28772050903996"/>
          <c:y val="6.1111111111111109E-2"/>
          <c:w val="0.8554958120274806"/>
          <c:h val="0.7740166229221348"/>
        </c:manualLayout>
      </c:layout>
      <c:lineChart>
        <c:grouping val="standard"/>
        <c:varyColors val="0"/>
        <c:ser>
          <c:idx val="0"/>
          <c:order val="0"/>
          <c:tx>
            <c:strRef>
              <c:f>Hoja1!$B$1</c:f>
              <c:strCache>
                <c:ptCount val="1"/>
                <c:pt idx="0">
                  <c:v>Carga Tributaria Pasiva</c:v>
                </c:pt>
              </c:strCache>
            </c:strRef>
          </c:tx>
          <c:spPr>
            <a:ln w="22225" cap="rnd">
              <a:solidFill>
                <a:schemeClr val="accent1"/>
              </a:solidFill>
              <a:round/>
            </a:ln>
            <a:effectLst/>
          </c:spPr>
          <c:marker>
            <c:symbol val="circle"/>
            <c:size val="6"/>
            <c:spPr>
              <a:solidFill>
                <a:schemeClr val="lt1"/>
              </a:solidFill>
              <a:ln w="15875">
                <a:solidFill>
                  <a:schemeClr val="accent1"/>
                </a:solidFill>
                <a:round/>
              </a:ln>
              <a:effectLst/>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4E7-48D2-A4E9-5AEC43A708A0}"/>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4E7-48D2-A4E9-5AEC43A708A0}"/>
                </c:ext>
              </c:extLst>
            </c:dLbl>
            <c:dLbl>
              <c:idx val="2"/>
              <c:layout>
                <c:manualLayout>
                  <c:x val="-6.7065073041168655E-2"/>
                  <c:y val="0.1430189747946757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6E8-4E00-BA6A-FCD888120A29}"/>
                </c:ext>
              </c:extLst>
            </c:dLbl>
            <c:numFmt formatCode="0.00%" sourceLinked="0"/>
            <c:spPr>
              <a:noFill/>
              <a:ln>
                <a:noFill/>
              </a:ln>
              <a:effectLst/>
            </c:spPr>
            <c:txPr>
              <a:bodyPr wrap="square" lIns="38100" tIns="19050" rIns="38100" bIns="19050" anchor="ctr">
                <a:spAutoFit/>
              </a:bodyPr>
              <a:lstStyle/>
              <a:p>
                <a:pPr>
                  <a:defRPr sz="900" b="1">
                    <a:solidFill>
                      <a:srgbClr val="0070C0"/>
                    </a:solidFill>
                  </a:defRPr>
                </a:pPr>
                <a:endParaRPr lang="es-E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Hoja1!$A$2:$A$9</c:f>
              <c:strCache>
                <c:ptCount val="8"/>
                <c:pt idx="0">
                  <c:v>2019</c:v>
                </c:pt>
                <c:pt idx="1">
                  <c:v>2020</c:v>
                </c:pt>
                <c:pt idx="2">
                  <c:v>2021</c:v>
                </c:pt>
                <c:pt idx="3">
                  <c:v>2022</c:v>
                </c:pt>
                <c:pt idx="4">
                  <c:v>2023</c:v>
                </c:pt>
                <c:pt idx="5">
                  <c:v>2024</c:v>
                </c:pt>
                <c:pt idx="6">
                  <c:v>2025</c:v>
                </c:pt>
                <c:pt idx="7">
                  <c:v>2026</c:v>
                </c:pt>
              </c:strCache>
            </c:strRef>
          </c:cat>
          <c:val>
            <c:numRef>
              <c:f>Hoja1!$B$2:$B$9</c:f>
              <c:numCache>
                <c:formatCode>General</c:formatCode>
                <c:ptCount val="8"/>
                <c:pt idx="0" formatCode="0.00%">
                  <c:v>0.10601591801170562</c:v>
                </c:pt>
                <c:pt idx="1">
                  <c:v>0.10059378311105577</c:v>
                </c:pt>
                <c:pt idx="2">
                  <c:v>0.10708339389889962</c:v>
                </c:pt>
                <c:pt idx="3">
                  <c:v>0.10508037006615539</c:v>
                </c:pt>
                <c:pt idx="4">
                  <c:v>0.10395175332525294</c:v>
                </c:pt>
                <c:pt idx="5">
                  <c:v>0.10458814736064516</c:v>
                </c:pt>
                <c:pt idx="6">
                  <c:v>0.1050811699712378</c:v>
                </c:pt>
                <c:pt idx="7">
                  <c:v>0.10572963401549197</c:v>
                </c:pt>
              </c:numCache>
            </c:numRef>
          </c:val>
          <c:smooth val="0"/>
          <c:extLst xmlns:c16r2="http://schemas.microsoft.com/office/drawing/2015/06/chart">
            <c:ext xmlns:c16="http://schemas.microsoft.com/office/drawing/2014/chart" uri="{C3380CC4-5D6E-409C-BE32-E72D297353CC}">
              <c16:uniqueId val="{00000002-D4E7-48D2-A4E9-5AEC43A708A0}"/>
            </c:ext>
          </c:extLst>
        </c:ser>
        <c:ser>
          <c:idx val="1"/>
          <c:order val="1"/>
          <c:tx>
            <c:strRef>
              <c:f>Hoja1!$C$1</c:f>
              <c:strCache>
                <c:ptCount val="1"/>
                <c:pt idx="0">
                  <c:v>Carga Tributaria Activa</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dLbl>
              <c:idx val="1"/>
              <c:layout>
                <c:manualLayout>
                  <c:x val="-6.9721115537848599E-2"/>
                  <c:y val="-0.18692213175986816"/>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166-43C5-88AE-0BA0FE3F4A92}"/>
                </c:ext>
              </c:extLst>
            </c:dLbl>
            <c:numFmt formatCode="0.00%" sourceLinked="0"/>
            <c:spPr>
              <a:noFill/>
              <a:ln>
                <a:noFill/>
              </a:ln>
              <a:effectLst/>
            </c:spPr>
            <c:txPr>
              <a:bodyPr wrap="square" lIns="38100" tIns="19050" rIns="38100" bIns="19050" anchor="ctr">
                <a:spAutoFit/>
              </a:bodyPr>
              <a:lstStyle/>
              <a:p>
                <a:pPr>
                  <a:defRPr sz="900" b="1">
                    <a:solidFill>
                      <a:srgbClr val="FF0000"/>
                    </a:solidFill>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Hoja1!$A$2:$A$9</c:f>
              <c:strCache>
                <c:ptCount val="8"/>
                <c:pt idx="0">
                  <c:v>2019</c:v>
                </c:pt>
                <c:pt idx="1">
                  <c:v>2020</c:v>
                </c:pt>
                <c:pt idx="2">
                  <c:v>2021</c:v>
                </c:pt>
                <c:pt idx="3">
                  <c:v>2022</c:v>
                </c:pt>
                <c:pt idx="4">
                  <c:v>2023</c:v>
                </c:pt>
                <c:pt idx="5">
                  <c:v>2024</c:v>
                </c:pt>
                <c:pt idx="6">
                  <c:v>2025</c:v>
                </c:pt>
                <c:pt idx="7">
                  <c:v>2026</c:v>
                </c:pt>
              </c:strCache>
            </c:strRef>
          </c:cat>
          <c:val>
            <c:numRef>
              <c:f>Hoja1!$C$2:$C$9</c:f>
              <c:numCache>
                <c:formatCode>General</c:formatCode>
                <c:ptCount val="8"/>
                <c:pt idx="0" formatCode="0.00%">
                  <c:v>0.10601591801170562</c:v>
                </c:pt>
                <c:pt idx="1">
                  <c:v>0.10059378311105577</c:v>
                </c:pt>
                <c:pt idx="2">
                  <c:v>0.10964670547966743</c:v>
                </c:pt>
                <c:pt idx="3">
                  <c:v>0.10687678792272134</c:v>
                </c:pt>
                <c:pt idx="4">
                  <c:v>0.1086840327303865</c:v>
                </c:pt>
                <c:pt idx="5">
                  <c:v>0.10942406222410947</c:v>
                </c:pt>
                <c:pt idx="6">
                  <c:v>0.11023136030071345</c:v>
                </c:pt>
                <c:pt idx="7">
                  <c:v>0.11102069350962841</c:v>
                </c:pt>
              </c:numCache>
            </c:numRef>
          </c:val>
          <c:smooth val="0"/>
          <c:extLst xmlns:c16r2="http://schemas.microsoft.com/office/drawing/2015/06/chart">
            <c:ext xmlns:c16="http://schemas.microsoft.com/office/drawing/2014/chart" uri="{C3380CC4-5D6E-409C-BE32-E72D297353CC}">
              <c16:uniqueId val="{00000003-D4E7-48D2-A4E9-5AEC43A708A0}"/>
            </c:ext>
          </c:extLst>
        </c:ser>
        <c:dLbls>
          <c:showLegendKey val="0"/>
          <c:showVal val="0"/>
          <c:showCatName val="0"/>
          <c:showSerName val="0"/>
          <c:showPercent val="0"/>
          <c:showBubbleSize val="0"/>
        </c:dLbls>
        <c:marker val="1"/>
        <c:smooth val="0"/>
        <c:axId val="213980672"/>
        <c:axId val="213982208"/>
      </c:lineChart>
      <c:catAx>
        <c:axId val="21398067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13982208"/>
        <c:crosses val="autoZero"/>
        <c:auto val="1"/>
        <c:lblAlgn val="ctr"/>
        <c:lblOffset val="100"/>
        <c:noMultiLvlLbl val="0"/>
      </c:catAx>
      <c:valAx>
        <c:axId val="21398220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13980672"/>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2234170927837208"/>
          <c:y val="0.92852580927384076"/>
          <c:w val="0.75531658144325586"/>
          <c:h val="7.147419072615923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Hoja1!$A$2</c:f>
              <c:strCache>
                <c:ptCount val="1"/>
                <c:pt idx="0">
                  <c:v>Categoría 1</c:v>
                </c:pt>
              </c:strCache>
            </c:strRef>
          </c:tx>
          <c:spPr>
            <a:solidFill>
              <a:schemeClr val="accent5">
                <a:lumMod val="75000"/>
              </a:schemeClr>
            </a:solidFill>
            <a:ln>
              <a:noFill/>
            </a:ln>
            <a:effectLst>
              <a:outerShdw blurRad="50800" dist="38100" dir="18900000" algn="bl" rotWithShape="0">
                <a:prstClr val="black">
                  <a:alpha val="40000"/>
                </a:prstClr>
              </a:outerShdw>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Hoja1!$B$1:$F$1</c:f>
              <c:strCache>
                <c:ptCount val="5"/>
                <c:pt idx="0">
                  <c:v>2022</c:v>
                </c:pt>
                <c:pt idx="1">
                  <c:v>2023</c:v>
                </c:pt>
                <c:pt idx="2">
                  <c:v>2024</c:v>
                </c:pt>
                <c:pt idx="3">
                  <c:v>2025</c:v>
                </c:pt>
                <c:pt idx="4">
                  <c:v>2026</c:v>
                </c:pt>
              </c:strCache>
            </c:strRef>
          </c:cat>
          <c:val>
            <c:numRef>
              <c:f>Hoja1!$B$2:$F$2</c:f>
              <c:numCache>
                <c:formatCode>#,##0.00</c:formatCode>
                <c:ptCount val="5"/>
                <c:pt idx="0">
                  <c:v>103992.5</c:v>
                </c:pt>
                <c:pt idx="1">
                  <c:v>107101.1</c:v>
                </c:pt>
                <c:pt idx="2">
                  <c:v>111879.1</c:v>
                </c:pt>
                <c:pt idx="3">
                  <c:v>116682.7</c:v>
                </c:pt>
                <c:pt idx="4">
                  <c:v>122432.2</c:v>
                </c:pt>
              </c:numCache>
            </c:numRef>
          </c:val>
          <c:extLst xmlns:c16r2="http://schemas.microsoft.com/office/drawing/2015/06/chart">
            <c:ext xmlns:c16="http://schemas.microsoft.com/office/drawing/2014/chart" uri="{C3380CC4-5D6E-409C-BE32-E72D297353CC}">
              <c16:uniqueId val="{00000000-02B1-434F-9747-D9E1C238B534}"/>
            </c:ext>
          </c:extLst>
        </c:ser>
        <c:dLbls>
          <c:showLegendKey val="0"/>
          <c:showVal val="0"/>
          <c:showCatName val="0"/>
          <c:showSerName val="0"/>
          <c:showPercent val="0"/>
          <c:showBubbleSize val="0"/>
        </c:dLbls>
        <c:gapWidth val="50"/>
        <c:overlap val="-27"/>
        <c:axId val="211972096"/>
        <c:axId val="211973632"/>
      </c:barChart>
      <c:catAx>
        <c:axId val="21197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11973632"/>
        <c:crosses val="autoZero"/>
        <c:auto val="1"/>
        <c:lblAlgn val="ctr"/>
        <c:lblOffset val="100"/>
        <c:noMultiLvlLbl val="0"/>
      </c:catAx>
      <c:valAx>
        <c:axId val="211973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119720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34243603889451"/>
          <c:y val="2.5056709540266741E-2"/>
          <c:w val="0.85740193194399283"/>
          <c:h val="0.79158561062220167"/>
        </c:manualLayout>
      </c:layout>
      <c:barChart>
        <c:barDir val="col"/>
        <c:grouping val="clustered"/>
        <c:varyColors val="0"/>
        <c:ser>
          <c:idx val="0"/>
          <c:order val="0"/>
          <c:tx>
            <c:strRef>
              <c:f>Hoja1!$B$1</c:f>
              <c:strCache>
                <c:ptCount val="1"/>
                <c:pt idx="0">
                  <c:v>Serie 1</c:v>
                </c:pt>
              </c:strCache>
            </c:strRef>
          </c:tx>
          <c:spPr>
            <a:solidFill>
              <a:schemeClr val="accent1"/>
            </a:solidFill>
            <a:ln w="15875" cmpd="dbl">
              <a:solidFill>
                <a:schemeClr val="accent5">
                  <a:lumMod val="50000"/>
                </a:schemeClr>
              </a:solidFill>
            </a:ln>
            <a:effectLst/>
          </c:spPr>
          <c:invertIfNegative val="0"/>
          <c:dPt>
            <c:idx val="0"/>
            <c:invertIfNegative val="0"/>
            <c:bubble3D val="0"/>
            <c:spPr>
              <a:solidFill>
                <a:schemeClr val="accent1">
                  <a:lumMod val="50000"/>
                </a:schemeClr>
              </a:solidFill>
              <a:ln w="15875" cmpd="dbl">
                <a:solidFill>
                  <a:schemeClr val="accent5">
                    <a:lumMod val="50000"/>
                  </a:schemeClr>
                </a:solidFill>
              </a:ln>
              <a:effectLst/>
            </c:spPr>
            <c:extLst xmlns:c16r2="http://schemas.microsoft.com/office/drawing/2015/06/chart">
              <c:ext xmlns:c16="http://schemas.microsoft.com/office/drawing/2014/chart" uri="{C3380CC4-5D6E-409C-BE32-E72D297353CC}">
                <c16:uniqueId val="{00000001-62E0-48E2-B051-D07CEAEE1F0E}"/>
              </c:ext>
            </c:extLst>
          </c:dPt>
          <c:dLbls>
            <c:dLbl>
              <c:idx val="0"/>
              <c:spPr>
                <a:noFill/>
                <a:ln>
                  <a:noFill/>
                </a:ln>
                <a:effectLst/>
              </c:spPr>
              <c:txPr>
                <a:bodyPr rot="-5400000" spcFirstLastPara="1" vertOverflow="ellipsis" wrap="square" anchor="ctr" anchorCtr="0"/>
                <a:lstStyle/>
                <a:p>
                  <a:pPr algn="ct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dLblPos val="ctr"/>
              <c:showLegendKey val="0"/>
              <c:showVal val="1"/>
              <c:showCatName val="0"/>
              <c:showSerName val="0"/>
              <c:showPercent val="0"/>
              <c:showBubbleSize val="0"/>
            </c:dLbl>
            <c:dLbl>
              <c:idx val="5"/>
              <c:layout>
                <c:manualLayout>
                  <c:x val="-9.3871651099711846E-4"/>
                  <c:y val="0.40421456959287394"/>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2E0-48E2-B051-D07CEAEE1F0E}"/>
                </c:ext>
              </c:extLst>
            </c:dLbl>
            <c:spPr>
              <a:noFill/>
              <a:ln>
                <a:noFill/>
              </a:ln>
              <a:effectLst/>
            </c:spPr>
            <c:txPr>
              <a:bodyPr rot="-5400000" spcFirstLastPara="1" vertOverflow="ellipsis" wrap="square" anchor="ctr" anchorCtr="0"/>
              <a:lstStyle/>
              <a:p>
                <a:pPr algn="ctr">
                  <a:defRPr sz="9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2021 Est.</c:v>
                </c:pt>
                <c:pt idx="1">
                  <c:v>2022 Proy.</c:v>
                </c:pt>
                <c:pt idx="2">
                  <c:v>2023 Proy.</c:v>
                </c:pt>
                <c:pt idx="3">
                  <c:v>2024 Proy.</c:v>
                </c:pt>
                <c:pt idx="4">
                  <c:v>2025 Proy.</c:v>
                </c:pt>
                <c:pt idx="5">
                  <c:v>2026 Proy.</c:v>
                </c:pt>
              </c:strCache>
            </c:strRef>
          </c:cat>
          <c:val>
            <c:numRef>
              <c:f>Hoja1!$B$2:$B$7</c:f>
              <c:numCache>
                <c:formatCode>#,##0.0</c:formatCode>
                <c:ptCount val="6"/>
                <c:pt idx="0">
                  <c:v>-14757.406140664272</c:v>
                </c:pt>
                <c:pt idx="1">
                  <c:v>-18199.167056645398</c:v>
                </c:pt>
                <c:pt idx="2">
                  <c:v>-18034.271951486386</c:v>
                </c:pt>
                <c:pt idx="3">
                  <c:v>-17459.120697125196</c:v>
                </c:pt>
                <c:pt idx="4">
                  <c:v>-15999.20516432279</c:v>
                </c:pt>
                <c:pt idx="5">
                  <c:v>-15134.461722848733</c:v>
                </c:pt>
              </c:numCache>
            </c:numRef>
          </c:val>
          <c:extLst xmlns:c16r2="http://schemas.microsoft.com/office/drawing/2015/06/chart">
            <c:ext xmlns:c16="http://schemas.microsoft.com/office/drawing/2014/chart" uri="{C3380CC4-5D6E-409C-BE32-E72D297353CC}">
              <c16:uniqueId val="{00000003-62E0-48E2-B051-D07CEAEE1F0E}"/>
            </c:ext>
          </c:extLst>
        </c:ser>
        <c:dLbls>
          <c:showLegendKey val="0"/>
          <c:showVal val="0"/>
          <c:showCatName val="0"/>
          <c:showSerName val="0"/>
          <c:showPercent val="0"/>
          <c:showBubbleSize val="0"/>
        </c:dLbls>
        <c:gapWidth val="78"/>
        <c:axId val="214035840"/>
        <c:axId val="214119552"/>
      </c:barChart>
      <c:catAx>
        <c:axId val="2140358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214119552"/>
        <c:crosses val="autoZero"/>
        <c:auto val="1"/>
        <c:lblAlgn val="ctr"/>
        <c:lblOffset val="100"/>
        <c:noMultiLvlLbl val="0"/>
      </c:catAx>
      <c:valAx>
        <c:axId val="214119552"/>
        <c:scaling>
          <c:orientation val="minMax"/>
          <c:min val="-2500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140358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521517839467154E-2"/>
          <c:y val="2.6539997717676594E-2"/>
          <c:w val="0.8847887171037927"/>
          <c:h val="0.71509471642131694"/>
        </c:manualLayout>
      </c:layout>
      <c:barChart>
        <c:barDir val="col"/>
        <c:grouping val="percentStacked"/>
        <c:varyColors val="0"/>
        <c:ser>
          <c:idx val="0"/>
          <c:order val="0"/>
          <c:tx>
            <c:strRef>
              <c:f>Hoja1!$B$1</c:f>
              <c:strCache>
                <c:ptCount val="1"/>
                <c:pt idx="0">
                  <c:v>Uso de caja</c:v>
                </c:pt>
              </c:strCache>
            </c:strRef>
          </c:tx>
          <c:spPr>
            <a:solidFill>
              <a:schemeClr val="accent1"/>
            </a:solidFill>
            <a:ln>
              <a:noFill/>
            </a:ln>
            <a:effectLst>
              <a:outerShdw blurRad="50800" dist="38100" dir="2700000" algn="tl" rotWithShape="0">
                <a:prstClr val="black">
                  <a:alpha val="40000"/>
                </a:prstClr>
              </a:outerShdw>
            </a:effectLst>
          </c:spPr>
          <c:invertIfNegative val="0"/>
          <c:cat>
            <c:strRef>
              <c:f>Hoja1!$A$2:$A$7</c:f>
              <c:strCache>
                <c:ptCount val="6"/>
                <c:pt idx="0">
                  <c:v>2021 Est.</c:v>
                </c:pt>
                <c:pt idx="1">
                  <c:v>2022</c:v>
                </c:pt>
                <c:pt idx="2">
                  <c:v>2023</c:v>
                </c:pt>
                <c:pt idx="3">
                  <c:v>2024</c:v>
                </c:pt>
                <c:pt idx="4">
                  <c:v>2025</c:v>
                </c:pt>
                <c:pt idx="5">
                  <c:v>2026</c:v>
                </c:pt>
              </c:strCache>
            </c:strRef>
          </c:cat>
          <c:val>
            <c:numRef>
              <c:f>Hoja1!$B$2:$B$7</c:f>
              <c:numCache>
                <c:formatCode>#,##0.0</c:formatCode>
                <c:ptCount val="6"/>
                <c:pt idx="0">
                  <c:v>-4555.9524904077298</c:v>
                </c:pt>
                <c:pt idx="1">
                  <c:v>3787.3440000000001</c:v>
                </c:pt>
                <c:pt idx="2">
                  <c:v>191.03</c:v>
                </c:pt>
                <c:pt idx="3">
                  <c:v>170.25299999999999</c:v>
                </c:pt>
                <c:pt idx="4">
                  <c:v>160.71100000000001</c:v>
                </c:pt>
                <c:pt idx="5">
                  <c:v>153.059</c:v>
                </c:pt>
              </c:numCache>
            </c:numRef>
          </c:val>
          <c:extLst xmlns:c16r2="http://schemas.microsoft.com/office/drawing/2015/06/chart">
            <c:ext xmlns:c16="http://schemas.microsoft.com/office/drawing/2014/chart" uri="{C3380CC4-5D6E-409C-BE32-E72D297353CC}">
              <c16:uniqueId val="{00000000-CA3D-4C11-86A2-E366B346F4A8}"/>
            </c:ext>
          </c:extLst>
        </c:ser>
        <c:ser>
          <c:idx val="1"/>
          <c:order val="1"/>
          <c:tx>
            <c:strRef>
              <c:f>Hoja1!$C$1</c:f>
              <c:strCache>
                <c:ptCount val="1"/>
                <c:pt idx="0">
                  <c:v>Prima de Bonos</c:v>
                </c:pt>
              </c:strCache>
            </c:strRef>
          </c:tx>
          <c:spPr>
            <a:solidFill>
              <a:schemeClr val="accent2"/>
            </a:solidFill>
            <a:ln>
              <a:noFill/>
            </a:ln>
            <a:effectLst>
              <a:outerShdw blurRad="50800" dist="38100" dir="2700000" algn="tl" rotWithShape="0">
                <a:prstClr val="black">
                  <a:alpha val="40000"/>
                </a:prstClr>
              </a:outerShdw>
            </a:effectLst>
          </c:spPr>
          <c:invertIfNegative val="0"/>
          <c:cat>
            <c:strRef>
              <c:f>Hoja1!$A$2:$A$7</c:f>
              <c:strCache>
                <c:ptCount val="6"/>
                <c:pt idx="0">
                  <c:v>2021 Est.</c:v>
                </c:pt>
                <c:pt idx="1">
                  <c:v>2022</c:v>
                </c:pt>
                <c:pt idx="2">
                  <c:v>2023</c:v>
                </c:pt>
                <c:pt idx="3">
                  <c:v>2024</c:v>
                </c:pt>
                <c:pt idx="4">
                  <c:v>2025</c:v>
                </c:pt>
                <c:pt idx="5">
                  <c:v>2026</c:v>
                </c:pt>
              </c:strCache>
            </c:strRef>
          </c:cat>
          <c:val>
            <c:numRef>
              <c:f>Hoja1!$C$2:$C$7</c:f>
              <c:numCache>
                <c:formatCode>General</c:formatCode>
                <c:ptCount val="6"/>
                <c:pt idx="0" formatCode="#,##0.0">
                  <c:v>2609.60292953</c:v>
                </c:pt>
              </c:numCache>
            </c:numRef>
          </c:val>
          <c:extLst xmlns:c16r2="http://schemas.microsoft.com/office/drawing/2015/06/chart">
            <c:ext xmlns:c16="http://schemas.microsoft.com/office/drawing/2014/chart" uri="{C3380CC4-5D6E-409C-BE32-E72D297353CC}">
              <c16:uniqueId val="{00000001-CA3D-4C11-86A2-E366B346F4A8}"/>
            </c:ext>
          </c:extLst>
        </c:ser>
        <c:ser>
          <c:idx val="2"/>
          <c:order val="2"/>
          <c:tx>
            <c:strRef>
              <c:f>Hoja1!$D$1</c:f>
              <c:strCache>
                <c:ptCount val="1"/>
                <c:pt idx="0">
                  <c:v>Colocación de Bonos del Tesoro </c:v>
                </c:pt>
              </c:strCache>
            </c:strRef>
          </c:tx>
          <c:spPr>
            <a:solidFill>
              <a:schemeClr val="accent3"/>
            </a:solidFill>
            <a:ln>
              <a:noFill/>
            </a:ln>
            <a:effectLst>
              <a:outerShdw blurRad="50800" dist="38100" dir="2700000" algn="tl" rotWithShape="0">
                <a:prstClr val="black">
                  <a:alpha val="40000"/>
                </a:prstClr>
              </a:outerShdw>
            </a:effectLst>
          </c:spPr>
          <c:invertIfNegative val="0"/>
          <c:cat>
            <c:strRef>
              <c:f>Hoja1!$A$2:$A$7</c:f>
              <c:strCache>
                <c:ptCount val="6"/>
                <c:pt idx="0">
                  <c:v>2021 Est.</c:v>
                </c:pt>
                <c:pt idx="1">
                  <c:v>2022</c:v>
                </c:pt>
                <c:pt idx="2">
                  <c:v>2023</c:v>
                </c:pt>
                <c:pt idx="3">
                  <c:v>2024</c:v>
                </c:pt>
                <c:pt idx="4">
                  <c:v>2025</c:v>
                </c:pt>
                <c:pt idx="5">
                  <c:v>2026</c:v>
                </c:pt>
              </c:strCache>
            </c:strRef>
          </c:cat>
          <c:val>
            <c:numRef>
              <c:f>Hoja1!$D$2:$D$7</c:f>
              <c:numCache>
                <c:formatCode>#,##0.0</c:formatCode>
                <c:ptCount val="6"/>
                <c:pt idx="0">
                  <c:v>19080.468414492003</c:v>
                </c:pt>
                <c:pt idx="1">
                  <c:v>14970.385356645398</c:v>
                </c:pt>
                <c:pt idx="2">
                  <c:v>17896.824051486386</c:v>
                </c:pt>
                <c:pt idx="3">
                  <c:v>18452.894797125191</c:v>
                </c:pt>
                <c:pt idx="4">
                  <c:v>18015.697764322795</c:v>
                </c:pt>
                <c:pt idx="5">
                  <c:v>21435.819122848734</c:v>
                </c:pt>
              </c:numCache>
            </c:numRef>
          </c:val>
          <c:extLst xmlns:c16r2="http://schemas.microsoft.com/office/drawing/2015/06/chart">
            <c:ext xmlns:c16="http://schemas.microsoft.com/office/drawing/2014/chart" uri="{C3380CC4-5D6E-409C-BE32-E72D297353CC}">
              <c16:uniqueId val="{00000002-CA3D-4C11-86A2-E366B346F4A8}"/>
            </c:ext>
          </c:extLst>
        </c:ser>
        <c:ser>
          <c:idx val="3"/>
          <c:order val="3"/>
          <c:tx>
            <c:strRef>
              <c:f>Hoja1!$E$1</c:f>
              <c:strCache>
                <c:ptCount val="1"/>
                <c:pt idx="0">
                  <c:v>Financiamiento Externo Neto</c:v>
                </c:pt>
              </c:strCache>
            </c:strRef>
          </c:tx>
          <c:spPr>
            <a:solidFill>
              <a:schemeClr val="accent4"/>
            </a:solidFill>
            <a:ln>
              <a:noFill/>
            </a:ln>
            <a:effectLst>
              <a:outerShdw blurRad="50800" dist="38100" dir="2700000" algn="tl" rotWithShape="0">
                <a:prstClr val="black">
                  <a:alpha val="40000"/>
                </a:prstClr>
              </a:outerShdw>
            </a:effectLst>
          </c:spPr>
          <c:invertIfNegative val="0"/>
          <c:cat>
            <c:strRef>
              <c:f>Hoja1!$A$2:$A$7</c:f>
              <c:strCache>
                <c:ptCount val="6"/>
                <c:pt idx="0">
                  <c:v>2021 Est.</c:v>
                </c:pt>
                <c:pt idx="1">
                  <c:v>2022</c:v>
                </c:pt>
                <c:pt idx="2">
                  <c:v>2023</c:v>
                </c:pt>
                <c:pt idx="3">
                  <c:v>2024</c:v>
                </c:pt>
                <c:pt idx="4">
                  <c:v>2025</c:v>
                </c:pt>
                <c:pt idx="5">
                  <c:v>2026</c:v>
                </c:pt>
              </c:strCache>
            </c:strRef>
          </c:cat>
          <c:val>
            <c:numRef>
              <c:f>Hoja1!$E$2:$E$7</c:f>
              <c:numCache>
                <c:formatCode>#,##0.0</c:formatCode>
                <c:ptCount val="6"/>
                <c:pt idx="0">
                  <c:v>-2376.71271295</c:v>
                </c:pt>
                <c:pt idx="1">
                  <c:v>-558.56230000000005</c:v>
                </c:pt>
                <c:pt idx="2">
                  <c:v>-53.582099999999627</c:v>
                </c:pt>
                <c:pt idx="3">
                  <c:v>-1164.0271000000002</c:v>
                </c:pt>
                <c:pt idx="4">
                  <c:v>-2177.2035999999998</c:v>
                </c:pt>
                <c:pt idx="5">
                  <c:v>-6454.4164000000001</c:v>
                </c:pt>
              </c:numCache>
            </c:numRef>
          </c:val>
          <c:extLst xmlns:c16r2="http://schemas.microsoft.com/office/drawing/2015/06/chart">
            <c:ext xmlns:c16="http://schemas.microsoft.com/office/drawing/2014/chart" uri="{C3380CC4-5D6E-409C-BE32-E72D297353CC}">
              <c16:uniqueId val="{00000003-CA3D-4C11-86A2-E366B346F4A8}"/>
            </c:ext>
          </c:extLst>
        </c:ser>
        <c:dLbls>
          <c:showLegendKey val="0"/>
          <c:showVal val="0"/>
          <c:showCatName val="0"/>
          <c:showSerName val="0"/>
          <c:showPercent val="0"/>
          <c:showBubbleSize val="0"/>
        </c:dLbls>
        <c:gapWidth val="55"/>
        <c:overlap val="100"/>
        <c:axId val="185819904"/>
        <c:axId val="185821440"/>
      </c:barChart>
      <c:catAx>
        <c:axId val="1858199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cap="all" spc="120" normalizeH="0" baseline="0">
                <a:solidFill>
                  <a:schemeClr val="bg2">
                    <a:lumMod val="50000"/>
                  </a:schemeClr>
                </a:solidFill>
                <a:latin typeface="Times New Roman" panose="02020603050405020304" pitchFamily="18" charset="0"/>
                <a:ea typeface="+mn-ea"/>
                <a:cs typeface="Times New Roman" panose="02020603050405020304" pitchFamily="18" charset="0"/>
              </a:defRPr>
            </a:pPr>
            <a:endParaRPr lang="es-ES"/>
          </a:p>
        </c:txPr>
        <c:crossAx val="185821440"/>
        <c:crosses val="autoZero"/>
        <c:auto val="1"/>
        <c:lblAlgn val="ctr"/>
        <c:lblOffset val="100"/>
        <c:noMultiLvlLbl val="0"/>
      </c:catAx>
      <c:valAx>
        <c:axId val="185821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ES"/>
          </a:p>
        </c:txPr>
        <c:crossAx val="185819904"/>
        <c:crosses val="autoZero"/>
        <c:crossBetween val="between"/>
      </c:valAx>
      <c:spPr>
        <a:noFill/>
        <a:ln>
          <a:noFill/>
        </a:ln>
        <a:effectLst/>
      </c:spPr>
    </c:plotArea>
    <c:legend>
      <c:legendPos val="r"/>
      <c:layout>
        <c:manualLayout>
          <c:xMode val="edge"/>
          <c:yMode val="edge"/>
          <c:x val="2.216959208223972E-2"/>
          <c:y val="0.89771710601392229"/>
          <c:w val="0.97163240500977643"/>
          <c:h val="0.10093420140664235"/>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es-E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002060"/>
              </a:solidFill>
              <a:round/>
            </a:ln>
            <a:effectLst/>
          </c:spPr>
          <c:marker>
            <c:symbol val="circle"/>
            <c:size val="7"/>
            <c:spPr>
              <a:solidFill>
                <a:srgbClr val="002060"/>
              </a:solidFill>
              <a:ln w="9525">
                <a:solidFill>
                  <a:srgbClr val="002060"/>
                </a:solidFill>
              </a:ln>
              <a:effectLst/>
            </c:spPr>
          </c:marker>
          <c:dLbls>
            <c:dLbl>
              <c:idx val="0"/>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620-47E8-8A2D-E2F3378C0B8C}"/>
                </c:ext>
              </c:extLst>
            </c:dLbl>
            <c:dLbl>
              <c:idx val="1"/>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620-47E8-8A2D-E2F3378C0B8C}"/>
                </c:ext>
              </c:extLst>
            </c:dLbl>
            <c:dLbl>
              <c:idx val="2"/>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620-47E8-8A2D-E2F3378C0B8C}"/>
                </c:ext>
              </c:extLst>
            </c:dLbl>
            <c:dLbl>
              <c:idx val="3"/>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620-47E8-8A2D-E2F3378C0B8C}"/>
                </c:ext>
              </c:extLst>
            </c:dLbl>
            <c:dLbl>
              <c:idx val="4"/>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620-47E8-8A2D-E2F3378C0B8C}"/>
                </c:ext>
              </c:extLst>
            </c:dLbl>
            <c:dLbl>
              <c:idx val="5"/>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620-47E8-8A2D-E2F3378C0B8C}"/>
                </c:ext>
              </c:extLst>
            </c:dLbl>
            <c:dLbl>
              <c:idx val="6"/>
              <c:layout>
                <c:manualLayout>
                  <c:x val="-8.3335448184466934E-2"/>
                  <c:y val="8.71114125452800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620-47E8-8A2D-E2F3378C0B8C}"/>
                </c:ext>
              </c:extLst>
            </c:dLbl>
            <c:dLbl>
              <c:idx val="8"/>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620-47E8-8A2D-E2F3378C0B8C}"/>
                </c:ext>
              </c:extLst>
            </c:dLbl>
            <c:spPr>
              <a:noFill/>
              <a:ln>
                <a:noFill/>
              </a:ln>
              <a:effectLst/>
            </c:spPr>
            <c:txPr>
              <a:bodyPr rot="0" spcFirstLastPara="1" vertOverflow="ellipsis" vert="horz" wrap="square" anchor="ctr" anchorCtr="1"/>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Hoja6!$A$13:$A$21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Hoja6!$H$13:$H$21</c:f>
              <c:numCache>
                <c:formatCode>0.0%</c:formatCode>
                <c:ptCount val="9"/>
                <c:pt idx="0">
                  <c:v>0.248</c:v>
                </c:pt>
                <c:pt idx="1">
                  <c:v>0.25179669716998904</c:v>
                </c:pt>
                <c:pt idx="2">
                  <c:v>0.24792685542017256</c:v>
                </c:pt>
                <c:pt idx="3">
                  <c:v>0.2492017859353958</c:v>
                </c:pt>
                <c:pt idx="4">
                  <c:v>0.25034991891788849</c:v>
                </c:pt>
                <c:pt idx="5">
                  <c:v>0.252</c:v>
                </c:pt>
                <c:pt idx="6">
                  <c:v>0.26500000000000001</c:v>
                </c:pt>
                <c:pt idx="7">
                  <c:v>0.26500000000000001</c:v>
                </c:pt>
                <c:pt idx="8">
                  <c:v>0.316</c:v>
                </c:pt>
              </c:numCache>
            </c:numRef>
          </c:val>
          <c:smooth val="1"/>
          <c:extLst xmlns:c16r2="http://schemas.microsoft.com/office/drawing/2015/06/chart">
            <c:ext xmlns:c16="http://schemas.microsoft.com/office/drawing/2014/chart" uri="{C3380CC4-5D6E-409C-BE32-E72D297353CC}">
              <c16:uniqueId val="{00000008-3620-47E8-8A2D-E2F3378C0B8C}"/>
            </c:ext>
          </c:extLst>
        </c:ser>
        <c:dLbls>
          <c:showLegendKey val="0"/>
          <c:showVal val="0"/>
          <c:showCatName val="0"/>
          <c:showSerName val="0"/>
          <c:showPercent val="0"/>
          <c:showBubbleSize val="0"/>
        </c:dLbls>
        <c:marker val="1"/>
        <c:smooth val="0"/>
        <c:axId val="214182144"/>
        <c:axId val="214183936"/>
      </c:lineChart>
      <c:catAx>
        <c:axId val="21418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14183936"/>
        <c:crosses val="autoZero"/>
        <c:auto val="1"/>
        <c:lblAlgn val="ctr"/>
        <c:lblOffset val="100"/>
        <c:noMultiLvlLbl val="0"/>
      </c:catAx>
      <c:valAx>
        <c:axId val="214183936"/>
        <c:scaling>
          <c:orientation val="minMax"/>
          <c:max val="0.33000000000000007"/>
          <c:min val="0.23"/>
        </c:scaling>
        <c:delete val="1"/>
        <c:axPos val="l"/>
        <c:numFmt formatCode="0.0%" sourceLinked="1"/>
        <c:majorTickMark val="out"/>
        <c:minorTickMark val="none"/>
        <c:tickLblPos val="nextTo"/>
        <c:crossAx val="2141821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Hoja1!$B$1</c:f>
              <c:strCache>
                <c:ptCount val="1"/>
                <c:pt idx="0">
                  <c:v>Serie 1</c:v>
                </c:pt>
              </c:strCache>
            </c:strRef>
          </c:tx>
          <c:spPr>
            <a:ln w="28575" cap="rnd">
              <a:solidFill>
                <a:schemeClr val="accent6">
                  <a:lumMod val="50000"/>
                </a:schemeClr>
              </a:solidFill>
              <a:round/>
            </a:ln>
            <a:effectLst/>
          </c:spPr>
          <c:marker>
            <c:symbol val="circle"/>
            <c:size val="5"/>
            <c:spPr>
              <a:solidFill>
                <a:schemeClr val="accent6">
                  <a:lumMod val="50000"/>
                </a:schemeClr>
              </a:solidFill>
              <a:ln w="9525">
                <a:noFill/>
              </a:ln>
              <a:effectLst/>
            </c:spPr>
          </c:marker>
          <c:dLbls>
            <c:dLbl>
              <c:idx val="1"/>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B27-4827-977A-25A69BE0B773}"/>
                </c:ext>
              </c:extLst>
            </c:dLbl>
            <c:dLbl>
              <c:idx val="2"/>
              <c:layout>
                <c:manualLayout>
                  <c:x val="-0.11952599640590682"/>
                  <c:y val="-5.79260064770129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B27-4827-977A-25A69BE0B773}"/>
                </c:ext>
              </c:extLst>
            </c:dLbl>
            <c:dLbl>
              <c:idx val="3"/>
              <c:layout>
                <c:manualLayout>
                  <c:x val="-8.8654993098299315E-2"/>
                  <c:y val="7.67064503756514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B27-4827-977A-25A69BE0B773}"/>
                </c:ext>
              </c:extLst>
            </c:dLbl>
            <c:dLbl>
              <c:idx val="4"/>
              <c:layout>
                <c:manualLayout>
                  <c:x val="-7.7177508269018744E-2"/>
                  <c:y val="-6.07449856733525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B27-4827-977A-25A69BE0B773}"/>
                </c:ext>
              </c:extLst>
            </c:dLbl>
            <c:dLbl>
              <c:idx val="5"/>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B27-4827-977A-25A69BE0B773}"/>
                </c:ext>
              </c:extLst>
            </c:dLbl>
            <c:dLbl>
              <c:idx val="7"/>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27-4827-977A-25A69BE0B773}"/>
                </c:ext>
              </c:extLst>
            </c:dLbl>
            <c:spPr>
              <a:noFill/>
              <a:ln>
                <a:noFill/>
              </a:ln>
              <a:effectLst/>
            </c:spPr>
            <c:txPr>
              <a:bodyPr rot="0" spcFirstLastPara="1" vertOverflow="ellipsis" vert="horz" wrap="square" anchor="ctr" anchorCtr="1"/>
              <a:lstStyle/>
              <a:p>
                <a:pPr>
                  <a:defRPr sz="8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Hoja1!$B$2:$B$10</c:f>
              <c:numCache>
                <c:formatCode>0.0%</c:formatCode>
                <c:ptCount val="9"/>
                <c:pt idx="0">
                  <c:v>2.1139999999999999</c:v>
                </c:pt>
                <c:pt idx="1">
                  <c:v>2.1280000000000001</c:v>
                </c:pt>
                <c:pt idx="2">
                  <c:v>2.1259999999999999</c:v>
                </c:pt>
                <c:pt idx="3">
                  <c:v>2.2429999999999999</c:v>
                </c:pt>
                <c:pt idx="4">
                  <c:v>2.1850000000000001</c:v>
                </c:pt>
                <c:pt idx="5">
                  <c:v>2.2090000000000001</c:v>
                </c:pt>
                <c:pt idx="6">
                  <c:v>2.343</c:v>
                </c:pt>
                <c:pt idx="7">
                  <c:v>2.3639999999999999</c:v>
                </c:pt>
                <c:pt idx="8">
                  <c:v>2.9529999999999998</c:v>
                </c:pt>
              </c:numCache>
            </c:numRef>
          </c:val>
          <c:smooth val="1"/>
          <c:extLst xmlns:c16r2="http://schemas.microsoft.com/office/drawing/2015/06/chart">
            <c:ext xmlns:c16="http://schemas.microsoft.com/office/drawing/2014/chart" uri="{C3380CC4-5D6E-409C-BE32-E72D297353CC}">
              <c16:uniqueId val="{00000004-8B27-4827-977A-25A69BE0B773}"/>
            </c:ext>
          </c:extLst>
        </c:ser>
        <c:dLbls>
          <c:showLegendKey val="0"/>
          <c:showVal val="0"/>
          <c:showCatName val="0"/>
          <c:showSerName val="0"/>
          <c:showPercent val="0"/>
          <c:showBubbleSize val="0"/>
        </c:dLbls>
        <c:marker val="1"/>
        <c:smooth val="0"/>
        <c:axId val="214223488"/>
        <c:axId val="214229376"/>
      </c:lineChart>
      <c:catAx>
        <c:axId val="21422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14229376"/>
        <c:crosses val="autoZero"/>
        <c:auto val="1"/>
        <c:lblAlgn val="ctr"/>
        <c:lblOffset val="100"/>
        <c:noMultiLvlLbl val="0"/>
      </c:catAx>
      <c:valAx>
        <c:axId val="214229376"/>
        <c:scaling>
          <c:orientation val="minMax"/>
          <c:max val="3.1"/>
          <c:min val="1.9"/>
        </c:scaling>
        <c:delete val="1"/>
        <c:axPos val="l"/>
        <c:numFmt formatCode="0.0%" sourceLinked="1"/>
        <c:majorTickMark val="none"/>
        <c:minorTickMark val="none"/>
        <c:tickLblPos val="nextTo"/>
        <c:crossAx val="2142234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891312094647566E-2"/>
          <c:y val="4.7849020413755307E-2"/>
          <c:w val="0.95926876202694056"/>
          <c:h val="0.73020961775585702"/>
        </c:manualLayout>
      </c:layout>
      <c:barChart>
        <c:barDir val="col"/>
        <c:grouping val="clustered"/>
        <c:varyColors val="0"/>
        <c:ser>
          <c:idx val="0"/>
          <c:order val="0"/>
          <c:tx>
            <c:strRef>
              <c:f>'Deuda otros'!$H$3</c:f>
              <c:strCache>
                <c:ptCount val="1"/>
                <c:pt idx="0">
                  <c:v>2019</c:v>
                </c:pt>
              </c:strCache>
            </c:strRef>
          </c:tx>
          <c:spPr>
            <a:gradFill>
              <a:gsLst>
                <a:gs pos="0">
                  <a:schemeClr val="bg1">
                    <a:lumMod val="50000"/>
                  </a:schemeClr>
                </a:gs>
                <a:gs pos="0">
                  <a:schemeClr val="bg1">
                    <a:lumMod val="50000"/>
                  </a:schemeClr>
                </a:gs>
                <a:gs pos="100000">
                  <a:schemeClr val="bg1">
                    <a:lumMod val="65000"/>
                  </a:schemeClr>
                </a:gs>
                <a:gs pos="100000">
                  <a:schemeClr val="bg2">
                    <a:lumMod val="90000"/>
                  </a:schemeClr>
                </a:gs>
              </a:gsLst>
              <a:lin ang="5400000" scaled="0"/>
            </a:gradFill>
            <a:ln>
              <a:noFill/>
            </a:ln>
            <a:effectLst>
              <a:outerShdw blurRad="50800" dist="38100" dir="5400000" algn="t" rotWithShape="0">
                <a:prstClr val="black">
                  <a:alpha val="40000"/>
                </a:prstClr>
              </a:outerShdw>
            </a:effectLst>
          </c:spPr>
          <c:invertIfNegative val="0"/>
          <c:dLbls>
            <c:dLbl>
              <c:idx val="0"/>
              <c:layout>
                <c:manualLayout>
                  <c:x val="-6.8022220865811339E-3"/>
                  <c:y val="4.395747684151880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B14-49F2-AC85-5EEBCBAC931A}"/>
                </c:ext>
              </c:extLst>
            </c:dLbl>
            <c:dLbl>
              <c:idx val="1"/>
              <c:layout>
                <c:manualLayout>
                  <c:x val="-2.2666339700254819E-3"/>
                  <c:y val="4.38091466599143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B14-49F2-AC85-5EEBCBAC931A}"/>
                </c:ext>
              </c:extLst>
            </c:dLbl>
            <c:dLbl>
              <c:idx val="2"/>
              <c:layout>
                <c:manualLayout>
                  <c:x val="-6.8070235619493158E-3"/>
                  <c:y val="8.79160436395857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B14-49F2-AC85-5EEBCBAC931A}"/>
                </c:ext>
              </c:extLst>
            </c:dLbl>
            <c:dLbl>
              <c:idx val="4"/>
              <c:layout>
                <c:manualLayout>
                  <c:x val="-8.3195993558829699E-17"/>
                  <c:y val="1.31874065459379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B14-49F2-AC85-5EEBCBAC931A}"/>
                </c:ext>
              </c:extLst>
            </c:dLbl>
            <c:dLbl>
              <c:idx val="5"/>
              <c:layout>
                <c:manualLayout>
                  <c:x val="0"/>
                  <c:y val="8.79160436395857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B14-49F2-AC85-5EEBCBAC931A}"/>
                </c:ext>
              </c:extLst>
            </c:dLbl>
            <c:dLbl>
              <c:idx val="6"/>
              <c:layout>
                <c:manualLayout>
                  <c:x val="-8.3195993558829699E-17"/>
                  <c:y val="8.79160436395849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B14-49F2-AC85-5EEBCBAC931A}"/>
                </c:ext>
              </c:extLst>
            </c:dLbl>
            <c:dLbl>
              <c:idx val="7"/>
              <c:layout>
                <c:manualLayout>
                  <c:x val="0"/>
                  <c:y val="1.31874065459377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B14-49F2-AC85-5EEBCBAC931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'Deuda otros'!$G$4:$G$11</c:f>
              <c:strCache>
                <c:ptCount val="8"/>
                <c:pt idx="0">
                  <c:v>Economias avanzadas</c:v>
                </c:pt>
                <c:pt idx="1">
                  <c:v>Latinoamérica y el Caribe</c:v>
                </c:pt>
                <c:pt idx="2">
                  <c:v>E.E.U.U</c:v>
                </c:pt>
                <c:pt idx="3">
                  <c:v>Brasil</c:v>
                </c:pt>
                <c:pt idx="4">
                  <c:v>México</c:v>
                </c:pt>
                <c:pt idx="5">
                  <c:v>Perú</c:v>
                </c:pt>
                <c:pt idx="6">
                  <c:v>Chile</c:v>
                </c:pt>
                <c:pt idx="7">
                  <c:v>Guatemala</c:v>
                </c:pt>
              </c:strCache>
            </c:strRef>
          </c:cat>
          <c:val>
            <c:numRef>
              <c:f>'Deuda otros'!$H$4:$H$11</c:f>
              <c:numCache>
                <c:formatCode>_-* #,##0.0_-;\-* #,##0.0_-;_-* "-"??_-;_-@_-</c:formatCode>
                <c:ptCount val="8"/>
                <c:pt idx="0">
                  <c:v>103.78</c:v>
                </c:pt>
                <c:pt idx="1">
                  <c:v>68.08</c:v>
                </c:pt>
                <c:pt idx="2">
                  <c:v>108.19</c:v>
                </c:pt>
                <c:pt idx="3">
                  <c:v>87.658000000000001</c:v>
                </c:pt>
                <c:pt idx="4">
                  <c:v>53.301000000000002</c:v>
                </c:pt>
                <c:pt idx="5">
                  <c:v>27.094000000000001</c:v>
                </c:pt>
                <c:pt idx="6">
                  <c:v>28.204999999999998</c:v>
                </c:pt>
                <c:pt idx="7">
                  <c:v>26.539456130715767</c:v>
                </c:pt>
              </c:numCache>
            </c:numRef>
          </c:val>
          <c:extLst xmlns:c16r2="http://schemas.microsoft.com/office/drawing/2015/06/chart">
            <c:ext xmlns:c16="http://schemas.microsoft.com/office/drawing/2014/chart" uri="{C3380CC4-5D6E-409C-BE32-E72D297353CC}">
              <c16:uniqueId val="{00000007-2B14-49F2-AC85-5EEBCBAC931A}"/>
            </c:ext>
          </c:extLst>
        </c:ser>
        <c:ser>
          <c:idx val="1"/>
          <c:order val="1"/>
          <c:tx>
            <c:strRef>
              <c:f>'Deuda otros'!$I$3</c:f>
              <c:strCache>
                <c:ptCount val="1"/>
                <c:pt idx="0">
                  <c:v>2020 e/</c:v>
                </c:pt>
              </c:strCache>
            </c:strRef>
          </c:tx>
          <c:spPr>
            <a:gradFill>
              <a:gsLst>
                <a:gs pos="0">
                  <a:schemeClr val="accent4"/>
                </a:gs>
                <a:gs pos="0">
                  <a:schemeClr val="accent5">
                    <a:lumMod val="50000"/>
                  </a:schemeClr>
                </a:gs>
                <a:gs pos="97000">
                  <a:schemeClr val="accent5">
                    <a:lumMod val="75000"/>
                  </a:schemeClr>
                </a:gs>
                <a:gs pos="100000">
                  <a:schemeClr val="accent5">
                    <a:lumMod val="60000"/>
                    <a:lumOff val="40000"/>
                  </a:schemeClr>
                </a:gs>
              </a:gsLst>
              <a:lin ang="5400000" scaled="0"/>
            </a:gradFill>
            <a:ln>
              <a:noFill/>
            </a:ln>
            <a:effectLst>
              <a:outerShdw blurRad="50800" dist="38100" dir="5400000" algn="t" rotWithShape="0">
                <a:prstClr val="black">
                  <a:alpha val="40000"/>
                </a:prstClr>
              </a:outerShdw>
            </a:effectLst>
          </c:spPr>
          <c:invertIfNegative val="0"/>
          <c:dLbls>
            <c:dLbl>
              <c:idx val="0"/>
              <c:layout>
                <c:manualLayout>
                  <c:x val="-9.05897960303877E-3"/>
                  <c:y val="8.791528929514565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B14-49F2-AC85-5EEBCBAC931A}"/>
                </c:ext>
              </c:extLst>
            </c:dLbl>
            <c:dLbl>
              <c:idx val="1"/>
              <c:layout>
                <c:manualLayout>
                  <c:x val="-2.2690078539830704E-3"/>
                  <c:y val="8.79160436395857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B14-49F2-AC85-5EEBCBAC931A}"/>
                </c:ext>
              </c:extLst>
            </c:dLbl>
            <c:dLbl>
              <c:idx val="2"/>
              <c:layout>
                <c:manualLayout>
                  <c:x val="-2.2690078539831329E-3"/>
                  <c:y val="1.31874065459378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B14-49F2-AC85-5EEBCBAC931A}"/>
                </c:ext>
              </c:extLst>
            </c:dLbl>
            <c:dLbl>
              <c:idx val="4"/>
              <c:layout>
                <c:manualLayout>
                  <c:x val="-2.2690078539830912E-3"/>
                  <c:y val="1.31874065459378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B14-49F2-AC85-5EEBCBAC931A}"/>
                </c:ext>
              </c:extLst>
            </c:dLbl>
            <c:dLbl>
              <c:idx val="5"/>
              <c:layout>
                <c:manualLayout>
                  <c:x val="0"/>
                  <c:y val="1.7583208727917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B14-49F2-AC85-5EEBCBAC931A}"/>
                </c:ext>
              </c:extLst>
            </c:dLbl>
            <c:dLbl>
              <c:idx val="6"/>
              <c:layout>
                <c:manualLayout>
                  <c:x val="-2.2666339700254611E-3"/>
                  <c:y val="4.395747684151840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B14-49F2-AC85-5EEBCBAC931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'Deuda otros'!$G$4:$G$11</c:f>
              <c:strCache>
                <c:ptCount val="8"/>
                <c:pt idx="0">
                  <c:v>Economias avanzadas</c:v>
                </c:pt>
                <c:pt idx="1">
                  <c:v>Latinoamérica y el Caribe</c:v>
                </c:pt>
                <c:pt idx="2">
                  <c:v>E.E.U.U</c:v>
                </c:pt>
                <c:pt idx="3">
                  <c:v>Brasil</c:v>
                </c:pt>
                <c:pt idx="4">
                  <c:v>México</c:v>
                </c:pt>
                <c:pt idx="5">
                  <c:v>Perú</c:v>
                </c:pt>
                <c:pt idx="6">
                  <c:v>Chile</c:v>
                </c:pt>
                <c:pt idx="7">
                  <c:v>Guatemala</c:v>
                </c:pt>
              </c:strCache>
            </c:strRef>
          </c:cat>
          <c:val>
            <c:numRef>
              <c:f>'Deuda otros'!$I$4:$I$11</c:f>
              <c:numCache>
                <c:formatCode>_-* #,##0.0_-;\-* #,##0.0_-;_-* "-"??_-;_-@_-</c:formatCode>
                <c:ptCount val="8"/>
                <c:pt idx="0">
                  <c:v>120.122</c:v>
                </c:pt>
                <c:pt idx="1">
                  <c:v>77.231999999999999</c:v>
                </c:pt>
                <c:pt idx="2">
                  <c:v>127.113</c:v>
                </c:pt>
                <c:pt idx="3">
                  <c:v>98.942999999999998</c:v>
                </c:pt>
                <c:pt idx="4">
                  <c:v>60.588999999999999</c:v>
                </c:pt>
                <c:pt idx="5">
                  <c:v>35.363999999999997</c:v>
                </c:pt>
                <c:pt idx="6">
                  <c:v>32.542000000000002</c:v>
                </c:pt>
                <c:pt idx="7">
                  <c:v>31.571482495894877</c:v>
                </c:pt>
              </c:numCache>
            </c:numRef>
          </c:val>
          <c:extLst xmlns:c16r2="http://schemas.microsoft.com/office/drawing/2015/06/chart">
            <c:ext xmlns:c16="http://schemas.microsoft.com/office/drawing/2014/chart" uri="{C3380CC4-5D6E-409C-BE32-E72D297353CC}">
              <c16:uniqueId val="{0000000E-2B14-49F2-AC85-5EEBCBAC931A}"/>
            </c:ext>
          </c:extLst>
        </c:ser>
        <c:ser>
          <c:idx val="2"/>
          <c:order val="2"/>
          <c:tx>
            <c:strRef>
              <c:f>'Deuda otros'!$J$3</c:f>
              <c:strCache>
                <c:ptCount val="1"/>
                <c:pt idx="0">
                  <c:v>2021 py/</c:v>
                </c:pt>
              </c:strCache>
            </c:strRef>
          </c:tx>
          <c:spPr>
            <a:gradFill>
              <a:gsLst>
                <a:gs pos="0">
                  <a:schemeClr val="accent4"/>
                </a:gs>
                <a:gs pos="100000">
                  <a:schemeClr val="accent4">
                    <a:lumMod val="60000"/>
                    <a:lumOff val="40000"/>
                  </a:schemeClr>
                </a:gs>
                <a:gs pos="100000">
                  <a:schemeClr val="accent4">
                    <a:lumMod val="60000"/>
                    <a:lumOff val="40000"/>
                  </a:schemeClr>
                </a:gs>
              </a:gsLst>
              <a:lin ang="5400000" scaled="0"/>
            </a:gradFill>
            <a:ln>
              <a:noFill/>
            </a:ln>
            <a:effectLst>
              <a:outerShdw blurRad="50800" dist="38100" dir="18900000" algn="bl" rotWithShape="0">
                <a:prstClr val="black">
                  <a:alpha val="40000"/>
                </a:prstClr>
              </a:outerShdw>
            </a:effectLst>
          </c:spPr>
          <c:invertIfNegative val="0"/>
          <c:dLbls>
            <c:dLbl>
              <c:idx val="1"/>
              <c:layout>
                <c:manualLayout>
                  <c:x val="4.5332679400509222E-3"/>
                  <c:y val="1.003948013263260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B14-49F2-AC85-5EEBCBAC931A}"/>
                </c:ext>
              </c:extLst>
            </c:dLbl>
            <c:dLbl>
              <c:idx val="3"/>
              <c:layout>
                <c:manualLayout>
                  <c:x val="6.799901910076300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2B14-49F2-AC85-5EEBCBAC931A}"/>
                </c:ext>
              </c:extLst>
            </c:dLbl>
            <c:dLbl>
              <c:idx val="7"/>
              <c:layout>
                <c:manualLayout>
                  <c:x val="4.5332679400509222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2B14-49F2-AC85-5EEBCBAC931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'Deuda otros'!$G$4:$G$11</c:f>
              <c:strCache>
                <c:ptCount val="8"/>
                <c:pt idx="0">
                  <c:v>Economias avanzadas</c:v>
                </c:pt>
                <c:pt idx="1">
                  <c:v>Latinoamérica y el Caribe</c:v>
                </c:pt>
                <c:pt idx="2">
                  <c:v>E.E.U.U</c:v>
                </c:pt>
                <c:pt idx="3">
                  <c:v>Brasil</c:v>
                </c:pt>
                <c:pt idx="4">
                  <c:v>México</c:v>
                </c:pt>
                <c:pt idx="5">
                  <c:v>Perú</c:v>
                </c:pt>
                <c:pt idx="6">
                  <c:v>Chile</c:v>
                </c:pt>
                <c:pt idx="7">
                  <c:v>Guatemala</c:v>
                </c:pt>
              </c:strCache>
            </c:strRef>
          </c:cat>
          <c:val>
            <c:numRef>
              <c:f>'Deuda otros'!$J$4:$J$11</c:f>
              <c:numCache>
                <c:formatCode>_-* #,##0.0_-;\-* #,##0.0_-;_-* "-"??_-;_-@_-</c:formatCode>
                <c:ptCount val="8"/>
                <c:pt idx="0">
                  <c:v>122.514</c:v>
                </c:pt>
                <c:pt idx="1">
                  <c:v>75.474000000000004</c:v>
                </c:pt>
                <c:pt idx="2">
                  <c:v>132.839</c:v>
                </c:pt>
                <c:pt idx="3">
                  <c:v>98.406999999999996</c:v>
                </c:pt>
                <c:pt idx="4">
                  <c:v>60.536999999999999</c:v>
                </c:pt>
                <c:pt idx="5">
                  <c:v>35.363999999999997</c:v>
                </c:pt>
                <c:pt idx="6">
                  <c:v>33.634999999999998</c:v>
                </c:pt>
                <c:pt idx="7">
                  <c:v>31.90229027537395</c:v>
                </c:pt>
              </c:numCache>
            </c:numRef>
          </c:val>
          <c:extLst xmlns:c16r2="http://schemas.microsoft.com/office/drawing/2015/06/chart">
            <c:ext xmlns:c16="http://schemas.microsoft.com/office/drawing/2014/chart" uri="{C3380CC4-5D6E-409C-BE32-E72D297353CC}">
              <c16:uniqueId val="{00000012-2B14-49F2-AC85-5EEBCBAC931A}"/>
            </c:ext>
          </c:extLst>
        </c:ser>
        <c:dLbls>
          <c:showLegendKey val="0"/>
          <c:showVal val="0"/>
          <c:showCatName val="0"/>
          <c:showSerName val="0"/>
          <c:showPercent val="0"/>
          <c:showBubbleSize val="0"/>
        </c:dLbls>
        <c:gapWidth val="70"/>
        <c:overlap val="-30"/>
        <c:axId val="214087552"/>
        <c:axId val="214089088"/>
      </c:barChart>
      <c:catAx>
        <c:axId val="21408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14089088"/>
        <c:crosses val="autoZero"/>
        <c:auto val="1"/>
        <c:lblAlgn val="ctr"/>
        <c:lblOffset val="100"/>
        <c:noMultiLvlLbl val="0"/>
      </c:catAx>
      <c:valAx>
        <c:axId val="214089088"/>
        <c:scaling>
          <c:orientation val="minMax"/>
          <c:min val="20"/>
        </c:scaling>
        <c:delete val="1"/>
        <c:axPos val="l"/>
        <c:numFmt formatCode="_-* #,##0.0_-;\-* #,##0.0_-;_-* &quot;-&quot;??_-;_-@_-" sourceLinked="1"/>
        <c:majorTickMark val="out"/>
        <c:minorTickMark val="none"/>
        <c:tickLblPos val="nextTo"/>
        <c:crossAx val="214087552"/>
        <c:crosses val="autoZero"/>
        <c:crossBetween val="between"/>
      </c:valAx>
    </c:plotArea>
    <c:legend>
      <c:legendPos val="b"/>
      <c:layout>
        <c:manualLayout>
          <c:xMode val="edge"/>
          <c:yMode val="edge"/>
          <c:x val="0.11163263487990878"/>
          <c:y val="0.90049527332511303"/>
          <c:w val="0.81520294348228917"/>
          <c:h val="7.34052609946568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chart>
  <c:spPr>
    <a:ln>
      <a:noFill/>
    </a:ln>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05629373657318"/>
          <c:y val="5.579991596061333E-2"/>
          <c:w val="0.77318349215093607"/>
          <c:h val="0.80011807054515371"/>
        </c:manualLayout>
      </c:layout>
      <c:scatterChart>
        <c:scatterStyle val="lineMarker"/>
        <c:varyColors val="0"/>
        <c:ser>
          <c:idx val="0"/>
          <c:order val="0"/>
          <c:tx>
            <c:strRef>
              <c:f>graf_2!$C$1</c:f>
              <c:strCache>
                <c:ptCount val="1"/>
                <c:pt idx="0">
                  <c:v>Ingresos PIB</c:v>
                </c:pt>
              </c:strCache>
            </c:strRef>
          </c:tx>
          <c:spPr>
            <a:ln w="28575" cap="rnd">
              <a:noFill/>
              <a:round/>
            </a:ln>
            <a:effectLst/>
          </c:spPr>
          <c:marker>
            <c:symbol val="diamond"/>
            <c:size val="6"/>
            <c:spPr>
              <a:solidFill>
                <a:schemeClr val="tx1"/>
              </a:solidFill>
              <a:ln w="9525">
                <a:noFill/>
              </a:ln>
              <a:effectLst/>
            </c:spPr>
          </c:marker>
          <c:dPt>
            <c:idx val="9"/>
            <c:marker>
              <c:spPr>
                <a:solidFill>
                  <a:srgbClr val="C00000"/>
                </a:solidFill>
                <a:ln w="9525">
                  <a:noFill/>
                </a:ln>
                <a:effectLst/>
              </c:spPr>
            </c:marker>
            <c:bubble3D val="0"/>
            <c:extLst xmlns:c16r2="http://schemas.microsoft.com/office/drawing/2015/06/chart">
              <c:ext xmlns:c16="http://schemas.microsoft.com/office/drawing/2014/chart" uri="{C3380CC4-5D6E-409C-BE32-E72D297353CC}">
                <c16:uniqueId val="{00000000-C337-4336-80CA-7992E1986C7E}"/>
              </c:ext>
            </c:extLst>
          </c:dPt>
          <c:dPt>
            <c:idx val="15"/>
            <c:bubble3D val="0"/>
            <c:extLst xmlns:c16r2="http://schemas.microsoft.com/office/drawing/2015/06/chart">
              <c:ext xmlns:c16="http://schemas.microsoft.com/office/drawing/2014/chart" uri="{C3380CC4-5D6E-409C-BE32-E72D297353CC}">
                <c16:uniqueId val="{00000001-C337-4336-80CA-7992E1986C7E}"/>
              </c:ext>
            </c:extLst>
          </c:dPt>
          <c:dLbls>
            <c:dLbl>
              <c:idx val="0"/>
              <c:tx>
                <c:rich>
                  <a:bodyPr/>
                  <a:lstStyle/>
                  <a:p>
                    <a:fld id="{EF535F13-FFFA-4055-85E8-29321B756276}" type="CELLRANGE">
                      <a:rPr lang="en-US"/>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2-C337-4336-80CA-7992E1986C7E}"/>
                </c:ext>
              </c:extLst>
            </c:dLbl>
            <c:dLbl>
              <c:idx val="1"/>
              <c:layout>
                <c:manualLayout>
                  <c:x val="-8.8206511585265483E-3"/>
                  <c:y val="-1.0872049672426E-2"/>
                </c:manualLayout>
              </c:layout>
              <c:tx>
                <c:rich>
                  <a:bodyPr/>
                  <a:lstStyle/>
                  <a:p>
                    <a:fld id="{F9C53233-472C-46F4-AF9C-7D0D4579448F}" type="CELLRANGE">
                      <a:rPr lang="en-US"/>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3-C337-4336-80CA-7992E1986C7E}"/>
                </c:ext>
              </c:extLst>
            </c:dLbl>
            <c:dLbl>
              <c:idx val="2"/>
              <c:tx>
                <c:rich>
                  <a:bodyPr/>
                  <a:lstStyle/>
                  <a:p>
                    <a:fld id="{4BC564BE-3696-40BE-9F86-61A4113ECE77}" type="CELLRANGE">
                      <a:rPr lang="es-GT"/>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C337-4336-80CA-7992E1986C7E}"/>
                </c:ext>
              </c:extLst>
            </c:dLbl>
            <c:dLbl>
              <c:idx val="3"/>
              <c:layout>
                <c:manualLayout>
                  <c:x val="-9.821795065019312E-2"/>
                  <c:y val="-4.4765450509488221E-2"/>
                </c:manualLayout>
              </c:layout>
              <c:tx>
                <c:rich>
                  <a:bodyPr/>
                  <a:lstStyle/>
                  <a:p>
                    <a:fld id="{591D6DCB-21C2-4312-8293-4E1BA287EB93}"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5-C337-4336-80CA-7992E1986C7E}"/>
                </c:ext>
              </c:extLst>
            </c:dLbl>
            <c:dLbl>
              <c:idx val="4"/>
              <c:layout>
                <c:manualLayout>
                  <c:x val="-8.9397299491666568E-2"/>
                  <c:y val="5.0201903379152889E-2"/>
                </c:manualLayout>
              </c:layout>
              <c:tx>
                <c:rich>
                  <a:bodyPr/>
                  <a:lstStyle/>
                  <a:p>
                    <a:fld id="{4F77034E-46D6-4748-B952-FE62F42BD3DE}"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6-C337-4336-80CA-7992E1986C7E}"/>
                </c:ext>
              </c:extLst>
            </c:dLbl>
            <c:dLbl>
              <c:idx val="5"/>
              <c:layout>
                <c:manualLayout>
                  <c:x val="-2.6501481057179553E-2"/>
                  <c:y val="-3.0436317796698177E-2"/>
                </c:manualLayout>
              </c:layout>
              <c:tx>
                <c:rich>
                  <a:bodyPr/>
                  <a:lstStyle/>
                  <a:p>
                    <a:fld id="{761F5276-E92D-4516-B4B6-461D9283B287}" type="CELLRANGE">
                      <a:rPr lang="en-US"/>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7-C337-4336-80CA-7992E1986C7E}"/>
                </c:ext>
              </c:extLst>
            </c:dLbl>
            <c:dLbl>
              <c:idx val="6"/>
              <c:tx>
                <c:rich>
                  <a:bodyPr/>
                  <a:lstStyle/>
                  <a:p>
                    <a:fld id="{7A19A55A-0D8F-453F-8D0D-3B118699956A}" type="CELLRANGE">
                      <a:rPr lang="es-GT"/>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C337-4336-80CA-7992E1986C7E}"/>
                </c:ext>
              </c:extLst>
            </c:dLbl>
            <c:dLbl>
              <c:idx val="7"/>
              <c:layout>
                <c:manualLayout>
                  <c:x val="-8.7830499031235229E-2"/>
                  <c:y val="-4.6478893492060198E-2"/>
                </c:manualLayout>
              </c:layout>
              <c:tx>
                <c:rich>
                  <a:bodyPr/>
                  <a:lstStyle/>
                  <a:p>
                    <a:fld id="{46C800CB-B0B2-4636-A184-C619E5E020D6}"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9-C337-4336-80CA-7992E1986C7E}"/>
                </c:ext>
              </c:extLst>
            </c:dLbl>
            <c:dLbl>
              <c:idx val="8"/>
              <c:tx>
                <c:rich>
                  <a:bodyPr/>
                  <a:lstStyle/>
                  <a:p>
                    <a:fld id="{EDA6B933-A490-48B8-AFFF-47720D13253C}" type="CELLRANGE">
                      <a:rPr lang="en-US"/>
                      <a:pPr/>
                      <a:t>[CELLRANGE]</a:t>
                    </a:fld>
                    <a:endParaRPr lang="es-GT"/>
                  </a:p>
                </c:rich>
              </c:tx>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A-C337-4336-80CA-7992E1986C7E}"/>
                </c:ext>
              </c:extLst>
            </c:dLbl>
            <c:dLbl>
              <c:idx val="9"/>
              <c:layout>
                <c:manualLayout>
                  <c:x val="-7.0532218643800576E-2"/>
                  <c:y val="-6.1073525018127316E-2"/>
                </c:manualLayout>
              </c:layout>
              <c:tx>
                <c:rich>
                  <a:bodyPr/>
                  <a:lstStyle/>
                  <a:p>
                    <a:fld id="{3E9A5302-85E2-487F-A6AC-9E80BE8F224F}"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0-C337-4336-80CA-7992E1986C7E}"/>
                </c:ext>
              </c:extLst>
            </c:dLbl>
            <c:dLbl>
              <c:idx val="10"/>
              <c:layout>
                <c:manualLayout>
                  <c:x val="-0.1703489991339093"/>
                  <c:y val="2.7180124181065E-2"/>
                </c:manualLayout>
              </c:layout>
              <c:tx>
                <c:rich>
                  <a:bodyPr/>
                  <a:lstStyle/>
                  <a:p>
                    <a:fld id="{E9A3E1E3-61A1-4503-A915-0A2A2A5030AC}"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B-C337-4336-80CA-7992E1986C7E}"/>
                </c:ext>
              </c:extLst>
            </c:dLbl>
            <c:dLbl>
              <c:idx val="11"/>
              <c:tx>
                <c:rich>
                  <a:bodyPr/>
                  <a:lstStyle/>
                  <a:p>
                    <a:fld id="{B1594902-E731-48C9-91E6-21C2FC3293C8}" type="CELLRANGE">
                      <a:rPr lang="en-US"/>
                      <a:pPr/>
                      <a:t>[CELLRANGE]</a:t>
                    </a:fld>
                    <a:endParaRPr lang="es-GT"/>
                  </a:p>
                </c:rich>
              </c:tx>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C-C337-4336-80CA-7992E1986C7E}"/>
                </c:ext>
              </c:extLst>
            </c:dLbl>
            <c:dLbl>
              <c:idx val="12"/>
              <c:layout>
                <c:manualLayout>
                  <c:x val="-0.10140449769864354"/>
                  <c:y val="5.0201903379152889E-2"/>
                </c:manualLayout>
              </c:layout>
              <c:tx>
                <c:rich>
                  <a:bodyPr/>
                  <a:lstStyle/>
                  <a:p>
                    <a:fld id="{6E165642-D9DE-4E21-80D0-6B0D5337936F}"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D-C337-4336-80CA-7992E1986C7E}"/>
                </c:ext>
              </c:extLst>
            </c:dLbl>
            <c:dLbl>
              <c:idx val="13"/>
              <c:tx>
                <c:rich>
                  <a:bodyPr/>
                  <a:lstStyle/>
                  <a:p>
                    <a:fld id="{DB0FB100-D1DA-4C64-80B1-56109C9899E2}" type="CELLRANGE">
                      <a:rPr lang="en-US"/>
                      <a:pPr/>
                      <a:t>[CELLRANGE]</a:t>
                    </a:fld>
                    <a:endParaRPr lang="es-GT"/>
                  </a:p>
                </c:rich>
              </c:tx>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E-C337-4336-80CA-7992E1986C7E}"/>
                </c:ext>
              </c:extLst>
            </c:dLbl>
            <c:dLbl>
              <c:idx val="14"/>
              <c:layout>
                <c:manualLayout>
                  <c:x val="-3.091839456670948E-2"/>
                  <c:y val="-5.0727196327830298E-3"/>
                </c:manualLayout>
              </c:layout>
              <c:tx>
                <c:rich>
                  <a:bodyPr/>
                  <a:lstStyle/>
                  <a:p>
                    <a:fld id="{DF5B8AC5-20D1-4B06-A732-8F18EDE78165}" type="CELLRANGE">
                      <a:rPr lang="en-US"/>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F-C337-4336-80CA-7992E1986C7E}"/>
                </c:ext>
              </c:extLst>
            </c:dLbl>
            <c:dLbl>
              <c:idx val="15"/>
              <c:tx>
                <c:rich>
                  <a:bodyPr/>
                  <a:lstStyle/>
                  <a:p>
                    <a:fld id="{C20AB6D8-0D68-4CE1-A4B0-51A0544196AB}" type="CELLRANGE">
                      <a:rPr lang="es-GT"/>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C337-4336-80CA-7992E1986C7E}"/>
                </c:ext>
              </c:extLst>
            </c:dLbl>
            <c:dLbl>
              <c:idx val="16"/>
              <c:layout>
                <c:manualLayout>
                  <c:x val="-9.6498778740804037E-2"/>
                  <c:y val="-4.7036892651666377E-2"/>
                </c:manualLayout>
              </c:layout>
              <c:tx>
                <c:rich>
                  <a:bodyPr/>
                  <a:lstStyle/>
                  <a:p>
                    <a:fld id="{A6D59F15-BEED-493F-A05A-DD0FCC9198D2}"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0-C337-4336-80CA-7992E1986C7E}"/>
                </c:ext>
              </c:extLst>
            </c:dLbl>
            <c:dLbl>
              <c:idx val="17"/>
              <c:layout>
                <c:manualLayout>
                  <c:x val="-9.9816780490108711E-2"/>
                  <c:y val="-5.0201475345701241E-2"/>
                </c:manualLayout>
              </c:layout>
              <c:tx>
                <c:rich>
                  <a:bodyPr/>
                  <a:lstStyle/>
                  <a:p>
                    <a:fld id="{30C2C985-01DD-46BA-B0A3-6954C6D19F74}"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1-C337-4336-80CA-7992E1986C7E}"/>
                </c:ext>
              </c:extLst>
            </c:dLbl>
            <c:dLbl>
              <c:idx val="18"/>
              <c:layout>
                <c:manualLayout>
                  <c:x val="1.7667654038119662E-2"/>
                  <c:y val="0"/>
                </c:manualLayout>
              </c:layout>
              <c:tx>
                <c:rich>
                  <a:bodyPr/>
                  <a:lstStyle/>
                  <a:p>
                    <a:fld id="{31ACB837-D4CE-4A17-A911-233FE284F9FC}" type="CELLRANGE">
                      <a:rPr lang="en-US"/>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2-C337-4336-80CA-7992E1986C7E}"/>
                </c:ext>
              </c:extLst>
            </c:dLbl>
            <c:dLbl>
              <c:idx val="19"/>
              <c:tx>
                <c:rich>
                  <a:bodyPr/>
                  <a:lstStyle/>
                  <a:p>
                    <a:fld id="{99082F5E-5E45-403C-8FD9-63AF199C84E6}" type="CELLRANGE">
                      <a:rPr lang="en-US"/>
                      <a:pPr/>
                      <a:t>[CELLRANGE]</a:t>
                    </a:fld>
                    <a:endParaRPr lang="es-GT"/>
                  </a:p>
                </c:rich>
              </c:tx>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3-C337-4336-80CA-7992E1986C7E}"/>
                </c:ext>
              </c:extLst>
            </c:dLbl>
            <c:dLbl>
              <c:idx val="20"/>
              <c:layout>
                <c:manualLayout>
                  <c:x val="-1.7667654038119703E-2"/>
                  <c:y val="5.0727196327830298E-3"/>
                </c:manualLayout>
              </c:layout>
              <c:tx>
                <c:rich>
                  <a:bodyPr/>
                  <a:lstStyle/>
                  <a:p>
                    <a:fld id="{750FAC44-BA0C-4382-9EEF-705696DC031F}" type="CELLRANGE">
                      <a:rPr lang="en-US"/>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4-C337-4336-80CA-7992E1986C7E}"/>
                </c:ext>
              </c:extLst>
            </c:dLbl>
            <c:dLbl>
              <c:idx val="21"/>
              <c:layout>
                <c:manualLayout>
                  <c:x val="-8.5898186317932224E-2"/>
                  <c:y val="-4.140617385927714E-2"/>
                </c:manualLayout>
              </c:layout>
              <c:tx>
                <c:rich>
                  <a:bodyPr/>
                  <a:lstStyle/>
                  <a:p>
                    <a:fld id="{F79CC769-8885-4337-A5CB-D9BE44FDF6C0}"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5-C337-4336-80CA-7992E1986C7E}"/>
                </c:ext>
              </c:extLst>
            </c:dLbl>
            <c:dLbl>
              <c:idx val="23"/>
              <c:layout>
                <c:manualLayout>
                  <c:x val="-1.7667654038119703E-2"/>
                  <c:y val="-5.0727196327830298E-3"/>
                </c:manualLayout>
              </c:layout>
              <c:tx>
                <c:rich>
                  <a:bodyPr/>
                  <a:lstStyle/>
                  <a:p>
                    <a:fld id="{8B3F572B-9E57-4CEA-AAB5-12891DE8AA2B}" type="CELLRANGE">
                      <a:rPr lang="en-US"/>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6-C337-4336-80CA-7992E1986C7E}"/>
                </c:ext>
              </c:extLst>
            </c:dLbl>
            <c:dLbl>
              <c:idx val="24"/>
              <c:tx>
                <c:rich>
                  <a:bodyPr/>
                  <a:lstStyle/>
                  <a:p>
                    <a:fld id="{87F4713C-BFE9-45B9-8181-406BD38754E5}" type="CELLRANGE">
                      <a:rPr lang="en-US"/>
                      <a:pPr/>
                      <a:t>[CELLRANGE]</a:t>
                    </a:fld>
                    <a:endParaRPr lang="es-GT"/>
                  </a:p>
                </c:rich>
              </c:tx>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7-C337-4336-80CA-7992E1986C7E}"/>
                </c:ext>
              </c:extLst>
            </c:dLbl>
            <c:dLbl>
              <c:idx val="25"/>
              <c:layout>
                <c:manualLayout>
                  <c:x val="-9.0038955786000199E-2"/>
                  <c:y val="-4.6478893492060198E-2"/>
                </c:manualLayout>
              </c:layout>
              <c:tx>
                <c:rich>
                  <a:bodyPr/>
                  <a:lstStyle/>
                  <a:p>
                    <a:fld id="{CA85BA71-B050-4F7B-853D-99D78D0ED108}"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8-C337-4336-80CA-7992E1986C7E}"/>
                </c:ext>
              </c:extLst>
            </c:dLbl>
            <c:dLbl>
              <c:idx val="28"/>
              <c:tx>
                <c:rich>
                  <a:bodyPr/>
                  <a:lstStyle/>
                  <a:p>
                    <a:fld id="{0C5792FD-E88A-425C-88AD-F498031F76A2}" type="CELLRANGE">
                      <a:rPr lang="en-US"/>
                      <a:pPr/>
                      <a:t>[CELLRANGE]</a:t>
                    </a:fld>
                    <a:endParaRPr lang="es-GT"/>
                  </a:p>
                </c:rich>
              </c:tx>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9-C337-4336-80CA-7992E1986C7E}"/>
                </c:ext>
              </c:extLst>
            </c:dLbl>
            <c:dLbl>
              <c:idx val="29"/>
              <c:layout>
                <c:manualLayout>
                  <c:x val="-0.18036483705588721"/>
                  <c:y val="1.5218158898349043E-2"/>
                </c:manualLayout>
              </c:layout>
              <c:tx>
                <c:rich>
                  <a:bodyPr/>
                  <a:lstStyle/>
                  <a:p>
                    <a:fld id="{EF99A42A-9391-40D6-9C54-DBA733FCFC12}"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A-C337-4336-80CA-7992E1986C7E}"/>
                </c:ext>
              </c:extLst>
            </c:dLbl>
            <c:dLbl>
              <c:idx val="30"/>
              <c:layout>
                <c:manualLayout>
                  <c:x val="-8.9100274718108718E-2"/>
                  <c:y val="-5.1551613124843222E-2"/>
                </c:manualLayout>
              </c:layout>
              <c:tx>
                <c:rich>
                  <a:bodyPr/>
                  <a:lstStyle/>
                  <a:p>
                    <a:fld id="{004139C4-367D-4351-8CDE-A7917DAA62C9}"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B-C337-4336-80CA-7992E1986C7E}"/>
                </c:ext>
              </c:extLst>
            </c:dLbl>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0"/>
              </c:ext>
            </c:extLst>
          </c:dLbls>
          <c:xVal>
            <c:numRef>
              <c:f>graf_2!$B$2:$B$19</c:f>
              <c:numCache>
                <c:formatCode>_-* #,##0.0_-;\-* #,##0.0_-;_-* "-"??_-;_-@_-</c:formatCode>
                <c:ptCount val="18"/>
                <c:pt idx="0">
                  <c:v>134.57900000000001</c:v>
                </c:pt>
                <c:pt idx="1">
                  <c:v>68.986000000000004</c:v>
                </c:pt>
                <c:pt idx="2">
                  <c:v>98.406999999999996</c:v>
                </c:pt>
                <c:pt idx="3">
                  <c:v>33.634999999999998</c:v>
                </c:pt>
                <c:pt idx="4">
                  <c:v>64.168999999999997</c:v>
                </c:pt>
                <c:pt idx="5">
                  <c:v>72.483999999999995</c:v>
                </c:pt>
                <c:pt idx="6">
                  <c:v>66.599000000000004</c:v>
                </c:pt>
                <c:pt idx="7">
                  <c:v>65.103999999999999</c:v>
                </c:pt>
                <c:pt idx="8">
                  <c:v>88.224000000000004</c:v>
                </c:pt>
                <c:pt idx="9">
                  <c:v>31.9</c:v>
                </c:pt>
                <c:pt idx="10">
                  <c:v>53.933999999999997</c:v>
                </c:pt>
                <c:pt idx="11">
                  <c:v>96.5</c:v>
                </c:pt>
                <c:pt idx="12">
                  <c:v>60.536999999999999</c:v>
                </c:pt>
                <c:pt idx="13">
                  <c:v>47.642000000000003</c:v>
                </c:pt>
                <c:pt idx="14">
                  <c:v>61.357999999999997</c:v>
                </c:pt>
                <c:pt idx="15">
                  <c:v>35.692999999999998</c:v>
                </c:pt>
                <c:pt idx="16">
                  <c:v>35.363999999999997</c:v>
                </c:pt>
                <c:pt idx="17">
                  <c:v>67.995999999999995</c:v>
                </c:pt>
              </c:numCache>
            </c:numRef>
          </c:xVal>
          <c:yVal>
            <c:numRef>
              <c:f>graf_2!$C$2:$C$19</c:f>
              <c:numCache>
                <c:formatCode>_-* #,##0.0_-;\-* #,##0.0_-;_-* "-"??_-;_-@_-</c:formatCode>
                <c:ptCount val="18"/>
                <c:pt idx="0">
                  <c:v>28.527999999999999</c:v>
                </c:pt>
                <c:pt idx="1">
                  <c:v>27.126999999999999</c:v>
                </c:pt>
                <c:pt idx="2">
                  <c:v>28.603999999999999</c:v>
                </c:pt>
                <c:pt idx="3">
                  <c:v>24.856999999999999</c:v>
                </c:pt>
                <c:pt idx="4">
                  <c:v>26.984999999999999</c:v>
                </c:pt>
                <c:pt idx="5">
                  <c:v>14.673</c:v>
                </c:pt>
                <c:pt idx="6">
                  <c:v>14.239000000000001</c:v>
                </c:pt>
                <c:pt idx="7">
                  <c:v>32.880000000000003</c:v>
                </c:pt>
                <c:pt idx="8">
                  <c:v>25.678000000000001</c:v>
                </c:pt>
                <c:pt idx="9">
                  <c:v>11.09</c:v>
                </c:pt>
                <c:pt idx="10">
                  <c:v>24.614000000000001</c:v>
                </c:pt>
                <c:pt idx="11">
                  <c:v>28.184999999999999</c:v>
                </c:pt>
                <c:pt idx="12">
                  <c:v>23.338999999999999</c:v>
                </c:pt>
                <c:pt idx="13">
                  <c:v>26.774000000000001</c:v>
                </c:pt>
                <c:pt idx="14">
                  <c:v>19.599</c:v>
                </c:pt>
                <c:pt idx="15">
                  <c:v>18.039000000000001</c:v>
                </c:pt>
                <c:pt idx="16">
                  <c:v>18.349</c:v>
                </c:pt>
                <c:pt idx="17">
                  <c:v>28.222999999999999</c:v>
                </c:pt>
              </c:numCache>
            </c:numRef>
          </c:yVal>
          <c:smooth val="0"/>
          <c:extLst xmlns:c16r2="http://schemas.microsoft.com/office/drawing/2015/06/chart">
            <c:ext xmlns:c15="http://schemas.microsoft.com/office/drawing/2012/chart" uri="{02D57815-91ED-43cb-92C2-25804820EDAC}">
              <c15:datalabelsRange>
                <c15:f>graf_2!$E$2:$E$19</c15:f>
                <c15:dlblRangeCache>
                  <c:ptCount val="18"/>
                  <c:pt idx="0">
                    <c:v> BLZ-472 </c:v>
                  </c:pt>
                  <c:pt idx="1">
                    <c:v> BOL-254 </c:v>
                  </c:pt>
                  <c:pt idx="2">
                    <c:v> BRA-344 </c:v>
                  </c:pt>
                  <c:pt idx="3">
                    <c:v> CHL-135 </c:v>
                  </c:pt>
                  <c:pt idx="4">
                    <c:v> COL-238 </c:v>
                  </c:pt>
                  <c:pt idx="5">
                    <c:v> CRI-494 </c:v>
                  </c:pt>
                  <c:pt idx="6">
                    <c:v> DOM-468 </c:v>
                  </c:pt>
                  <c:pt idx="7">
                    <c:v> ECU-198 </c:v>
                  </c:pt>
                  <c:pt idx="8">
                    <c:v> SLV-344 </c:v>
                  </c:pt>
                  <c:pt idx="9">
                    <c:v> GTM-276 </c:v>
                  </c:pt>
                  <c:pt idx="10">
                    <c:v> HND-219 </c:v>
                  </c:pt>
                  <c:pt idx="11">
                    <c:v> JAM-342 </c:v>
                  </c:pt>
                  <c:pt idx="12">
                    <c:v> MEX-259 </c:v>
                  </c:pt>
                  <c:pt idx="13">
                    <c:v> NIC-178 </c:v>
                  </c:pt>
                  <c:pt idx="14">
                    <c:v> PAN-313 </c:v>
                  </c:pt>
                  <c:pt idx="15">
                    <c:v> PRY-198 </c:v>
                  </c:pt>
                  <c:pt idx="16">
                    <c:v> PER-193 </c:v>
                  </c:pt>
                  <c:pt idx="17">
                    <c:v> URY-241 </c:v>
                  </c:pt>
                </c15:dlblRangeCache>
              </c15:datalabelsRange>
            </c:ext>
            <c:ext xmlns:c16="http://schemas.microsoft.com/office/drawing/2014/chart" uri="{C3380CC4-5D6E-409C-BE32-E72D297353CC}">
              <c16:uniqueId val="{0000001C-C337-4336-80CA-7992E1986C7E}"/>
            </c:ext>
          </c:extLst>
        </c:ser>
        <c:dLbls>
          <c:showLegendKey val="0"/>
          <c:showVal val="0"/>
          <c:showCatName val="0"/>
          <c:showSerName val="0"/>
          <c:showPercent val="0"/>
          <c:showBubbleSize val="0"/>
        </c:dLbls>
        <c:axId val="220921216"/>
        <c:axId val="220595328"/>
      </c:scatterChart>
      <c:valAx>
        <c:axId val="220921216"/>
        <c:scaling>
          <c:orientation val="minMax"/>
          <c:max val="160"/>
          <c:min val="25"/>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latin typeface="Times New Roman" panose="02020603050405020304" pitchFamily="18" charset="0"/>
                    <a:cs typeface="Times New Roman" panose="02020603050405020304" pitchFamily="18" charset="0"/>
                  </a:rPr>
                  <a:t>Deuda/PIB (%)</a:t>
                </a:r>
              </a:p>
            </c:rich>
          </c:tx>
          <c:layout>
            <c:manualLayout>
              <c:xMode val="edge"/>
              <c:yMode val="edge"/>
              <c:x val="0.38683711083774946"/>
              <c:y val="0.92794181790294572"/>
            </c:manualLayout>
          </c:layout>
          <c:overlay val="0"/>
          <c:spPr>
            <a:noFill/>
            <a:ln>
              <a:noFill/>
            </a:ln>
            <a:effectLst/>
          </c:spPr>
        </c:title>
        <c:numFmt formatCode="_-* #,##0.0_-;\-* #,##0.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220595328"/>
        <c:crosses val="autoZero"/>
        <c:crossBetween val="midCat"/>
        <c:majorUnit val="25"/>
      </c:valAx>
      <c:valAx>
        <c:axId val="220595328"/>
        <c:scaling>
          <c:orientation val="minMax"/>
          <c:min val="5"/>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latin typeface="Times New Roman" panose="02020603050405020304" pitchFamily="18" charset="0"/>
                    <a:cs typeface="Times New Roman" panose="02020603050405020304" pitchFamily="18" charset="0"/>
                  </a:rPr>
                  <a:t>Ingresos Fiscales/PIB</a:t>
                </a:r>
                <a:r>
                  <a:rPr lang="es-GT" sz="800" baseline="0">
                    <a:latin typeface="Times New Roman" panose="02020603050405020304" pitchFamily="18" charset="0"/>
                    <a:cs typeface="Times New Roman" panose="02020603050405020304" pitchFamily="18" charset="0"/>
                  </a:rPr>
                  <a:t> (%)</a:t>
                </a:r>
                <a:endParaRPr lang="es-GT" sz="800">
                  <a:latin typeface="Times New Roman" panose="02020603050405020304" pitchFamily="18" charset="0"/>
                  <a:cs typeface="Times New Roman" panose="02020603050405020304" pitchFamily="18" charset="0"/>
                </a:endParaRPr>
              </a:p>
            </c:rich>
          </c:tx>
          <c:layout>
            <c:manualLayout>
              <c:xMode val="edge"/>
              <c:yMode val="edge"/>
              <c:x val="1.3250740528589777E-2"/>
              <c:y val="0.2054315646184596"/>
            </c:manualLayout>
          </c:layout>
          <c:overlay val="0"/>
          <c:spPr>
            <a:noFill/>
            <a:ln>
              <a:noFill/>
            </a:ln>
            <a:effectLst/>
          </c:spPr>
        </c:title>
        <c:numFmt formatCode="_-* #,##0.0_-;\-* #,##0.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20921216"/>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05634883779132"/>
          <c:y val="6.0884283750339288E-2"/>
          <c:w val="0.77318349215093607"/>
          <c:h val="0.80011807054515371"/>
        </c:manualLayout>
      </c:layout>
      <c:scatterChart>
        <c:scatterStyle val="lineMarker"/>
        <c:varyColors val="0"/>
        <c:ser>
          <c:idx val="0"/>
          <c:order val="0"/>
          <c:tx>
            <c:strRef>
              <c:f>graf_2!$D$1</c:f>
              <c:strCache>
                <c:ptCount val="1"/>
                <c:pt idx="0">
                  <c:v>Deuda/Ingresos fiscales</c:v>
                </c:pt>
              </c:strCache>
            </c:strRef>
          </c:tx>
          <c:spPr>
            <a:ln w="28575" cap="rnd">
              <a:noFill/>
              <a:round/>
            </a:ln>
            <a:effectLst/>
          </c:spPr>
          <c:marker>
            <c:symbol val="diamond"/>
            <c:size val="6"/>
            <c:spPr>
              <a:solidFill>
                <a:srgbClr val="002060"/>
              </a:solidFill>
              <a:ln w="9525">
                <a:noFill/>
              </a:ln>
              <a:effectLst/>
            </c:spPr>
          </c:marker>
          <c:dPt>
            <c:idx val="9"/>
            <c:marker>
              <c:spPr>
                <a:solidFill>
                  <a:srgbClr val="C00000"/>
                </a:solidFill>
                <a:ln w="9525">
                  <a:noFill/>
                </a:ln>
                <a:effectLst/>
              </c:spPr>
            </c:marker>
            <c:bubble3D val="0"/>
            <c:extLst xmlns:c16r2="http://schemas.microsoft.com/office/drawing/2015/06/chart">
              <c:ext xmlns:c16="http://schemas.microsoft.com/office/drawing/2014/chart" uri="{C3380CC4-5D6E-409C-BE32-E72D297353CC}">
                <c16:uniqueId val="{00000000-098A-47B3-B805-FE7BB6D29C1D}"/>
              </c:ext>
            </c:extLst>
          </c:dPt>
          <c:dPt>
            <c:idx val="15"/>
            <c:bubble3D val="0"/>
            <c:extLst xmlns:c16r2="http://schemas.microsoft.com/office/drawing/2015/06/chart">
              <c:ext xmlns:c16="http://schemas.microsoft.com/office/drawing/2014/chart" uri="{C3380CC4-5D6E-409C-BE32-E72D297353CC}">
                <c16:uniqueId val="{00000001-098A-47B3-B805-FE7BB6D29C1D}"/>
              </c:ext>
            </c:extLst>
          </c:dPt>
          <c:dLbls>
            <c:dLbl>
              <c:idx val="0"/>
              <c:tx>
                <c:rich>
                  <a:bodyPr/>
                  <a:lstStyle/>
                  <a:p>
                    <a:fld id="{2BC9DC6F-5DA3-4BED-90A7-20B1C67433D7}" type="CELLRANGE">
                      <a:rPr lang="en-US"/>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2-098A-47B3-B805-FE7BB6D29C1D}"/>
                </c:ext>
              </c:extLst>
            </c:dLbl>
            <c:dLbl>
              <c:idx val="1"/>
              <c:tx>
                <c:rich>
                  <a:bodyPr/>
                  <a:lstStyle/>
                  <a:p>
                    <a:fld id="{EF705B8A-751A-49D1-85DC-1FBF5FAC12E4}" type="CELLRANGE">
                      <a:rPr lang="es-GT"/>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098A-47B3-B805-FE7BB6D29C1D}"/>
                </c:ext>
              </c:extLst>
            </c:dLbl>
            <c:dLbl>
              <c:idx val="2"/>
              <c:tx>
                <c:rich>
                  <a:bodyPr/>
                  <a:lstStyle/>
                  <a:p>
                    <a:fld id="{08192BE9-864B-4634-B3DF-75F7137BBFEE}" type="CELLRANGE">
                      <a:rPr lang="es-GT"/>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098A-47B3-B805-FE7BB6D29C1D}"/>
                </c:ext>
              </c:extLst>
            </c:dLbl>
            <c:dLbl>
              <c:idx val="3"/>
              <c:tx>
                <c:rich>
                  <a:bodyPr/>
                  <a:lstStyle/>
                  <a:p>
                    <a:fld id="{CA9238A9-C86A-4AC8-9319-A2A2B34088BF}"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5-098A-47B3-B805-FE7BB6D29C1D}"/>
                </c:ext>
              </c:extLst>
            </c:dLbl>
            <c:dLbl>
              <c:idx val="4"/>
              <c:layout>
                <c:manualLayout>
                  <c:x val="-6.3957961055627663E-2"/>
                  <c:y val="3.9288333222874658E-2"/>
                </c:manualLayout>
              </c:layout>
              <c:tx>
                <c:rich>
                  <a:bodyPr/>
                  <a:lstStyle/>
                  <a:p>
                    <a:fld id="{610F9F43-B7EA-497A-B64F-F185C045DEAF}"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6-098A-47B3-B805-FE7BB6D29C1D}"/>
                </c:ext>
              </c:extLst>
            </c:dLbl>
            <c:dLbl>
              <c:idx val="5"/>
              <c:layout>
                <c:manualLayout>
                  <c:x val="-1.324325601959871E-2"/>
                  <c:y val="0"/>
                </c:manualLayout>
              </c:layout>
              <c:tx>
                <c:rich>
                  <a:bodyPr/>
                  <a:lstStyle/>
                  <a:p>
                    <a:fld id="{4A80B664-30FE-4821-BA69-4E79829B8EAC}"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7-098A-47B3-B805-FE7BB6D29C1D}"/>
                </c:ext>
              </c:extLst>
            </c:dLbl>
            <c:dLbl>
              <c:idx val="6"/>
              <c:tx>
                <c:rich>
                  <a:bodyPr/>
                  <a:lstStyle/>
                  <a:p>
                    <a:fld id="{1B8F7247-A8CD-4439-AC64-E7C65CD7608B}"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8-098A-47B3-B805-FE7BB6D29C1D}"/>
                </c:ext>
              </c:extLst>
            </c:dLbl>
            <c:dLbl>
              <c:idx val="7"/>
              <c:layout>
                <c:manualLayout>
                  <c:x val="-6.0609968383029761E-2"/>
                  <c:y val="3.641639370251494E-2"/>
                </c:manualLayout>
              </c:layout>
              <c:tx>
                <c:rich>
                  <a:bodyPr/>
                  <a:lstStyle/>
                  <a:p>
                    <a:fld id="{12F26E58-9A12-4E1F-B685-B917EC050253}"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9-098A-47B3-B805-FE7BB6D29C1D}"/>
                </c:ext>
              </c:extLst>
            </c:dLbl>
            <c:dLbl>
              <c:idx val="8"/>
              <c:tx>
                <c:rich>
                  <a:bodyPr/>
                  <a:lstStyle/>
                  <a:p>
                    <a:fld id="{EBB24B01-E4D9-4BF7-8C0D-A36692176805}" type="CELLRANGE">
                      <a:rPr lang="en-US"/>
                      <a:pPr/>
                      <a:t>[CELLRANGE]</a:t>
                    </a:fld>
                    <a:endParaRPr lang="es-GT"/>
                  </a:p>
                </c:rich>
              </c:tx>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A-098A-47B3-B805-FE7BB6D29C1D}"/>
                </c:ext>
              </c:extLst>
            </c:dLbl>
            <c:dLbl>
              <c:idx val="9"/>
              <c:tx>
                <c:rich>
                  <a:bodyPr/>
                  <a:lstStyle/>
                  <a:p>
                    <a:fld id="{F14DBB21-EF2D-4275-8CAE-B1695580638B}" type="CELLRANGE">
                      <a:rPr lang="en-US"/>
                      <a:pPr/>
                      <a:t>[CELLRANGE]</a:t>
                    </a:fld>
                    <a:endParaRPr lang="es-GT"/>
                  </a:p>
                </c:rich>
              </c:tx>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0-098A-47B3-B805-FE7BB6D29C1D}"/>
                </c:ext>
              </c:extLst>
            </c:dLbl>
            <c:dLbl>
              <c:idx val="10"/>
              <c:layout>
                <c:manualLayout>
                  <c:x val="-7.0761851672406034E-2"/>
                  <c:y val="-3.3857619610601554E-2"/>
                </c:manualLayout>
              </c:layout>
              <c:tx>
                <c:rich>
                  <a:bodyPr/>
                  <a:lstStyle/>
                  <a:p>
                    <a:fld id="{FCB1579F-CFA1-4C71-B604-47BA324E109B}"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B-098A-47B3-B805-FE7BB6D29C1D}"/>
                </c:ext>
              </c:extLst>
            </c:dLbl>
            <c:dLbl>
              <c:idx val="11"/>
              <c:layout>
                <c:manualLayout>
                  <c:x val="-6.8379968984817144E-2"/>
                  <c:y val="5.0148905284266923E-2"/>
                </c:manualLayout>
              </c:layout>
              <c:tx>
                <c:rich>
                  <a:bodyPr/>
                  <a:lstStyle/>
                  <a:p>
                    <a:fld id="{2F73F23D-8604-4750-BC16-A95FD5EF5337}"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C-098A-47B3-B805-FE7BB6D29C1D}"/>
                </c:ext>
              </c:extLst>
            </c:dLbl>
            <c:dLbl>
              <c:idx val="12"/>
              <c:layout>
                <c:manualLayout>
                  <c:x val="-0.12987859622434431"/>
                  <c:y val="-1.0860572061392163E-2"/>
                </c:manualLayout>
              </c:layout>
              <c:tx>
                <c:rich>
                  <a:bodyPr/>
                  <a:lstStyle/>
                  <a:p>
                    <a:fld id="{0BE30CF9-FBDE-4816-B4FD-D1462C81FE23}"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D-098A-47B3-B805-FE7BB6D29C1D}"/>
                </c:ext>
              </c:extLst>
            </c:dLbl>
            <c:dLbl>
              <c:idx val="13"/>
              <c:layout>
                <c:manualLayout>
                  <c:x val="-6.4388283693411652E-2"/>
                  <c:y val="-4.4718191671993618E-2"/>
                </c:manualLayout>
              </c:layout>
              <c:tx>
                <c:rich>
                  <a:bodyPr/>
                  <a:lstStyle/>
                  <a:p>
                    <a:fld id="{9C9C33E2-6DDF-4468-B736-D96D6754B19A}"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E-098A-47B3-B805-FE7BB6D29C1D}"/>
                </c:ext>
              </c:extLst>
            </c:dLbl>
            <c:dLbl>
              <c:idx val="14"/>
              <c:layout>
                <c:manualLayout>
                  <c:x val="-1.7675054293873761E-2"/>
                  <c:y val="-1.0156988749686829E-2"/>
                </c:manualLayout>
              </c:layout>
              <c:tx>
                <c:rich>
                  <a:bodyPr/>
                  <a:lstStyle/>
                  <a:p>
                    <a:fld id="{C98FD604-2056-47FA-8712-F0C04566A40E}" type="CELLRANGE">
                      <a:rPr lang="en-US"/>
                      <a:pPr/>
                      <a:t>[CELLRANGE]</a:t>
                    </a:fld>
                    <a:endParaRPr lang="es-GT"/>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F-098A-47B3-B805-FE7BB6D29C1D}"/>
                </c:ext>
              </c:extLst>
            </c:dLbl>
            <c:dLbl>
              <c:idx val="15"/>
              <c:layout>
                <c:manualLayout>
                  <c:x val="-0.11311719953390396"/>
                  <c:y val="-3.258171618417649E-2"/>
                </c:manualLayout>
              </c:layout>
              <c:tx>
                <c:rich>
                  <a:bodyPr/>
                  <a:lstStyle/>
                  <a:p>
                    <a:fld id="{385C964C-6D18-4C5C-9999-D70A6A8EFEC2}"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1-098A-47B3-B805-FE7BB6D29C1D}"/>
                </c:ext>
              </c:extLst>
            </c:dLbl>
            <c:dLbl>
              <c:idx val="16"/>
              <c:layout>
                <c:manualLayout>
                  <c:x val="-0.10109768740655067"/>
                  <c:y val="2.1721144122784225E-2"/>
                </c:manualLayout>
              </c:layout>
              <c:tx>
                <c:rich>
                  <a:bodyPr/>
                  <a:lstStyle/>
                  <a:p>
                    <a:fld id="{76C1A050-EF41-4C00-AD8F-ED683BD6EF98}"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0-098A-47B3-B805-FE7BB6D29C1D}"/>
                </c:ext>
              </c:extLst>
            </c:dLbl>
            <c:dLbl>
              <c:idx val="17"/>
              <c:tx>
                <c:rich>
                  <a:bodyPr/>
                  <a:lstStyle/>
                  <a:p>
                    <a:fld id="{749DE6F7-EE97-41FB-B448-404F7A7848C2}" type="CELLRANGE">
                      <a:rPr lang="en-US"/>
                      <a:pPr/>
                      <a:t>[CELLRANGE]</a:t>
                    </a:fld>
                    <a:endParaRPr lang="es-GT"/>
                  </a:p>
                </c:rich>
              </c:tx>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1-098A-47B3-B805-FE7BB6D29C1D}"/>
                </c:ext>
              </c:extLst>
            </c:dLbl>
            <c:dLbl>
              <c:idx val="18"/>
              <c:layout>
                <c:manualLayout>
                  <c:x val="-6.4682356507061722E-2"/>
                  <c:y val="4.1500692985988949E-2"/>
                </c:manualLayout>
              </c:layout>
              <c:tx>
                <c:rich>
                  <a:bodyPr/>
                  <a:lstStyle/>
                  <a:p>
                    <a:fld id="{69AAA769-90CD-4160-B86F-50D39F4E8EFC}"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2-098A-47B3-B805-FE7BB6D29C1D}"/>
                </c:ext>
              </c:extLst>
            </c:dLbl>
            <c:dLbl>
              <c:idx val="19"/>
              <c:layout>
                <c:manualLayout>
                  <c:x val="-6.1801861424793603E-2"/>
                  <c:y val="3.7484096552044412E-2"/>
                </c:manualLayout>
              </c:layout>
              <c:tx>
                <c:rich>
                  <a:bodyPr/>
                  <a:lstStyle/>
                  <a:p>
                    <a:fld id="{677D4A7B-6E77-4D0A-B851-29B7A5390044}"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3-098A-47B3-B805-FE7BB6D29C1D}"/>
                </c:ext>
              </c:extLst>
            </c:dLbl>
            <c:dLbl>
              <c:idx val="20"/>
              <c:layout>
                <c:manualLayout>
                  <c:x val="-7.7495293604028764E-2"/>
                  <c:y val="-4.7652695118992623E-2"/>
                </c:manualLayout>
              </c:layout>
              <c:tx>
                <c:rich>
                  <a:bodyPr/>
                  <a:lstStyle/>
                  <a:p>
                    <a:fld id="{3CC0814A-1DD3-4C88-9EB7-751399BF40BB}"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4-098A-47B3-B805-FE7BB6D29C1D}"/>
                </c:ext>
              </c:extLst>
            </c:dLbl>
            <c:dLbl>
              <c:idx val="21"/>
              <c:tx>
                <c:rich>
                  <a:bodyPr/>
                  <a:lstStyle/>
                  <a:p>
                    <a:fld id="{CFFFAE15-435B-44F9-922D-168B337B67D2}" type="CELLRANGE">
                      <a:rPr lang="en-US"/>
                      <a:pPr/>
                      <a:t>[CELLRANGE]</a:t>
                    </a:fld>
                    <a:endParaRPr lang="es-GT"/>
                  </a:p>
                </c:rich>
              </c:tx>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5-098A-47B3-B805-FE7BB6D29C1D}"/>
                </c:ext>
              </c:extLst>
            </c:dLbl>
            <c:dLbl>
              <c:idx val="22"/>
              <c:layout>
                <c:manualLayout>
                  <c:x val="-6.1801861424793637E-2"/>
                  <c:y val="-4.7652695118992623E-2"/>
                </c:manualLayout>
              </c:layout>
              <c:tx>
                <c:rich>
                  <a:bodyPr/>
                  <a:lstStyle/>
                  <a:p>
                    <a:fld id="{68667BEC-1A34-4ADF-B2BB-52351803CBC5}"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6-098A-47B3-B805-FE7BB6D29C1D}"/>
                </c:ext>
              </c:extLst>
            </c:dLbl>
            <c:dLbl>
              <c:idx val="23"/>
              <c:layout>
                <c:manualLayout>
                  <c:x val="-6.0223793647130139E-2"/>
                  <c:y val="-3.641639370251494E-2"/>
                </c:manualLayout>
              </c:layout>
              <c:tx>
                <c:rich>
                  <a:bodyPr/>
                  <a:lstStyle/>
                  <a:p>
                    <a:fld id="{067B347A-E0A6-4B6A-BBD7-DAF56E400CED}"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7-098A-47B3-B805-FE7BB6D29C1D}"/>
                </c:ext>
              </c:extLst>
            </c:dLbl>
            <c:dLbl>
              <c:idx val="24"/>
              <c:layout>
                <c:manualLayout>
                  <c:x val="-6.0234916591818517E-2"/>
                  <c:y val="4.6584992269462965E-2"/>
                </c:manualLayout>
              </c:layout>
              <c:tx>
                <c:rich>
                  <a:bodyPr/>
                  <a:lstStyle/>
                  <a:p>
                    <a:fld id="{AAB2257C-BCB0-4586-8725-CCA27734B589}"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8-098A-47B3-B805-FE7BB6D29C1D}"/>
                </c:ext>
              </c:extLst>
            </c:dLbl>
            <c:dLbl>
              <c:idx val="25"/>
              <c:tx>
                <c:rich>
                  <a:bodyPr/>
                  <a:lstStyle/>
                  <a:p>
                    <a:fld id="{6964BD14-6951-4B6B-A277-902363FB8EE9}"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9-098A-47B3-B805-FE7BB6D29C1D}"/>
                </c:ext>
              </c:extLst>
            </c:dLbl>
            <c:dLbl>
              <c:idx val="28"/>
              <c:tx>
                <c:rich>
                  <a:bodyPr/>
                  <a:lstStyle/>
                  <a:p>
                    <a:fld id="{910B28B9-DB26-4F1B-9B20-0C9091CEA6D0}" type="CELLRANGE">
                      <a:rPr lang="en-US"/>
                      <a:pPr/>
                      <a:t>[CELLRANGE]</a:t>
                    </a:fld>
                    <a:endParaRPr lang="es-GT"/>
                  </a:p>
                </c:rich>
              </c:tx>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A-098A-47B3-B805-FE7BB6D29C1D}"/>
                </c:ext>
              </c:extLst>
            </c:dLbl>
            <c:dLbl>
              <c:idx val="29"/>
              <c:layout>
                <c:manualLayout>
                  <c:x val="-0.11841695470458845"/>
                  <c:y val="-1.0168598566948305E-2"/>
                </c:manualLayout>
              </c:layout>
              <c:tx>
                <c:rich>
                  <a:bodyPr/>
                  <a:lstStyle/>
                  <a:p>
                    <a:fld id="{B4C1EFC6-0EB1-4B58-8105-02E4676282BF}"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B-098A-47B3-B805-FE7BB6D29C1D}"/>
                </c:ext>
              </c:extLst>
            </c:dLbl>
            <c:dLbl>
              <c:idx val="30"/>
              <c:layout>
                <c:manualLayout>
                  <c:x val="-7.1855613055000184E-2"/>
                  <c:y val="-4.7652695118992623E-2"/>
                </c:manualLayout>
              </c:layout>
              <c:tx>
                <c:rich>
                  <a:bodyPr/>
                  <a:lstStyle/>
                  <a:p>
                    <a:fld id="{69A7B184-99E5-4358-92F1-B59FFC31FD7E}" type="CELLRANGE">
                      <a:rPr lang="en-US"/>
                      <a:pPr/>
                      <a:t>[CELLRANGE]</a:t>
                    </a:fld>
                    <a:endParaRPr lang="es-GT"/>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1C-098A-47B3-B805-FE7BB6D29C1D}"/>
                </c:ext>
              </c:extLst>
            </c:dLbl>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0"/>
              </c:ext>
            </c:extLst>
          </c:dLbls>
          <c:xVal>
            <c:numRef>
              <c:f>graf_2!$B$2:$B$19</c:f>
              <c:numCache>
                <c:formatCode>_-* #,##0.0_-;\-* #,##0.0_-;_-* "-"??_-;_-@_-</c:formatCode>
                <c:ptCount val="18"/>
                <c:pt idx="0">
                  <c:v>134.57900000000001</c:v>
                </c:pt>
                <c:pt idx="1">
                  <c:v>68.986000000000004</c:v>
                </c:pt>
                <c:pt idx="2">
                  <c:v>98.406999999999996</c:v>
                </c:pt>
                <c:pt idx="3">
                  <c:v>33.634999999999998</c:v>
                </c:pt>
                <c:pt idx="4">
                  <c:v>64.168999999999997</c:v>
                </c:pt>
                <c:pt idx="5">
                  <c:v>72.483999999999995</c:v>
                </c:pt>
                <c:pt idx="6">
                  <c:v>66.599000000000004</c:v>
                </c:pt>
                <c:pt idx="7">
                  <c:v>65.103999999999999</c:v>
                </c:pt>
                <c:pt idx="8">
                  <c:v>88.224000000000004</c:v>
                </c:pt>
                <c:pt idx="9">
                  <c:v>31.9</c:v>
                </c:pt>
                <c:pt idx="10">
                  <c:v>53.933999999999997</c:v>
                </c:pt>
                <c:pt idx="11">
                  <c:v>96.5</c:v>
                </c:pt>
                <c:pt idx="12">
                  <c:v>60.536999999999999</c:v>
                </c:pt>
                <c:pt idx="13">
                  <c:v>47.642000000000003</c:v>
                </c:pt>
                <c:pt idx="14">
                  <c:v>61.357999999999997</c:v>
                </c:pt>
                <c:pt idx="15">
                  <c:v>35.692999999999998</c:v>
                </c:pt>
                <c:pt idx="16">
                  <c:v>35.363999999999997</c:v>
                </c:pt>
                <c:pt idx="17">
                  <c:v>67.995999999999995</c:v>
                </c:pt>
              </c:numCache>
            </c:numRef>
          </c:xVal>
          <c:yVal>
            <c:numRef>
              <c:f>graf_2!$D$2:$D$19</c:f>
              <c:numCache>
                <c:formatCode>_-* #,##0.0_-;\-* #,##0.0_-;_-* "-"??_-;_-@_-</c:formatCode>
                <c:ptCount val="18"/>
                <c:pt idx="0">
                  <c:v>471.74355019629843</c:v>
                </c:pt>
                <c:pt idx="1">
                  <c:v>254.30751649647956</c:v>
                </c:pt>
                <c:pt idx="2">
                  <c:v>344.03230317438118</c:v>
                </c:pt>
                <c:pt idx="3">
                  <c:v>135.31399605744861</c:v>
                </c:pt>
                <c:pt idx="4">
                  <c:v>237.79507133592736</c:v>
                </c:pt>
                <c:pt idx="5">
                  <c:v>493.99577455189802</c:v>
                </c:pt>
                <c:pt idx="6">
                  <c:v>467.72245241941147</c:v>
                </c:pt>
                <c:pt idx="7">
                  <c:v>198.00486618004865</c:v>
                </c:pt>
                <c:pt idx="8">
                  <c:v>343.57816029285766</c:v>
                </c:pt>
                <c:pt idx="9">
                  <c:v>275.60000000000002</c:v>
                </c:pt>
                <c:pt idx="10">
                  <c:v>219.11920045502558</c:v>
                </c:pt>
                <c:pt idx="11">
                  <c:v>342.38069895334399</c:v>
                </c:pt>
                <c:pt idx="12">
                  <c:v>259.38129311452934</c:v>
                </c:pt>
                <c:pt idx="13">
                  <c:v>177.94128632255172</c:v>
                </c:pt>
                <c:pt idx="14">
                  <c:v>313.0669932139395</c:v>
                </c:pt>
                <c:pt idx="15">
                  <c:v>197.86573535118353</c:v>
                </c:pt>
                <c:pt idx="16">
                  <c:v>192.7298490380947</c:v>
                </c:pt>
                <c:pt idx="17">
                  <c:v>240.92406902171984</c:v>
                </c:pt>
              </c:numCache>
            </c:numRef>
          </c:yVal>
          <c:smooth val="0"/>
          <c:extLst xmlns:c16r2="http://schemas.microsoft.com/office/drawing/2015/06/chart">
            <c:ext xmlns:c15="http://schemas.microsoft.com/office/drawing/2012/chart" uri="{02D57815-91ED-43cb-92C2-25804820EDAC}">
              <c15:datalabelsRange>
                <c15:f>graf_2!$A$2:$A$19</c15:f>
                <c15:dlblRangeCache>
                  <c:ptCount val="18"/>
                  <c:pt idx="0">
                    <c:v>BLZ</c:v>
                  </c:pt>
                  <c:pt idx="1">
                    <c:v>BOL</c:v>
                  </c:pt>
                  <c:pt idx="2">
                    <c:v>BRA</c:v>
                  </c:pt>
                  <c:pt idx="3">
                    <c:v>CHL</c:v>
                  </c:pt>
                  <c:pt idx="4">
                    <c:v>COL</c:v>
                  </c:pt>
                  <c:pt idx="5">
                    <c:v>CRI</c:v>
                  </c:pt>
                  <c:pt idx="6">
                    <c:v>DOM</c:v>
                  </c:pt>
                  <c:pt idx="7">
                    <c:v>ECU</c:v>
                  </c:pt>
                  <c:pt idx="8">
                    <c:v>SLV</c:v>
                  </c:pt>
                  <c:pt idx="9">
                    <c:v>GTM</c:v>
                  </c:pt>
                  <c:pt idx="10">
                    <c:v>HND</c:v>
                  </c:pt>
                  <c:pt idx="11">
                    <c:v>JAM</c:v>
                  </c:pt>
                  <c:pt idx="12">
                    <c:v>MEX</c:v>
                  </c:pt>
                  <c:pt idx="13">
                    <c:v>NIC</c:v>
                  </c:pt>
                  <c:pt idx="14">
                    <c:v>PAN</c:v>
                  </c:pt>
                  <c:pt idx="15">
                    <c:v>PRY</c:v>
                  </c:pt>
                  <c:pt idx="16">
                    <c:v>PER</c:v>
                  </c:pt>
                  <c:pt idx="17">
                    <c:v>URY</c:v>
                  </c:pt>
                </c15:dlblRangeCache>
              </c15:datalabelsRange>
            </c:ext>
            <c:ext xmlns:c16="http://schemas.microsoft.com/office/drawing/2014/chart" uri="{C3380CC4-5D6E-409C-BE32-E72D297353CC}">
              <c16:uniqueId val="{0000001D-098A-47B3-B805-FE7BB6D29C1D}"/>
            </c:ext>
          </c:extLst>
        </c:ser>
        <c:dLbls>
          <c:showLegendKey val="0"/>
          <c:showVal val="0"/>
          <c:showCatName val="0"/>
          <c:showSerName val="0"/>
          <c:showPercent val="0"/>
          <c:showBubbleSize val="0"/>
        </c:dLbls>
        <c:axId val="215160704"/>
        <c:axId val="215171072"/>
      </c:scatterChart>
      <c:valAx>
        <c:axId val="215160704"/>
        <c:scaling>
          <c:orientation val="minMax"/>
          <c:max val="150"/>
          <c:min val="2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latin typeface="Times New Roman" panose="02020603050405020304" pitchFamily="18" charset="0"/>
                    <a:cs typeface="Times New Roman" panose="02020603050405020304" pitchFamily="18" charset="0"/>
                  </a:rPr>
                  <a:t>Deuda/PIB (%)</a:t>
                </a:r>
              </a:p>
            </c:rich>
          </c:tx>
          <c:layout>
            <c:manualLayout>
              <c:xMode val="edge"/>
              <c:yMode val="edge"/>
              <c:x val="0.38683711083774946"/>
              <c:y val="0.92794181790294572"/>
            </c:manualLayout>
          </c:layout>
          <c:overlay val="0"/>
          <c:spPr>
            <a:noFill/>
            <a:ln>
              <a:noFill/>
            </a:ln>
            <a:effectLst/>
          </c:spPr>
        </c:title>
        <c:numFmt formatCode="_-* #,##0.0_-;\-* #,##0.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215171072"/>
        <c:crosses val="autoZero"/>
        <c:crossBetween val="midCat"/>
        <c:majorUnit val="20"/>
      </c:valAx>
      <c:valAx>
        <c:axId val="215171072"/>
        <c:scaling>
          <c:orientation val="minMax"/>
          <c:min val="9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latin typeface="Times New Roman" panose="02020603050405020304" pitchFamily="18" charset="0"/>
                    <a:cs typeface="Times New Roman" panose="02020603050405020304" pitchFamily="18" charset="0"/>
                  </a:rPr>
                  <a:t>Deuda/Ingresos</a:t>
                </a:r>
                <a:r>
                  <a:rPr lang="es-GT" sz="800" baseline="0">
                    <a:latin typeface="Times New Roman" panose="02020603050405020304" pitchFamily="18" charset="0"/>
                    <a:cs typeface="Times New Roman" panose="02020603050405020304" pitchFamily="18" charset="0"/>
                  </a:rPr>
                  <a:t> fiscales (%)</a:t>
                </a:r>
                <a:endParaRPr lang="es-GT" sz="800">
                  <a:latin typeface="Times New Roman" panose="02020603050405020304" pitchFamily="18" charset="0"/>
                  <a:cs typeface="Times New Roman" panose="02020603050405020304" pitchFamily="18" charset="0"/>
                </a:endParaRPr>
              </a:p>
            </c:rich>
          </c:tx>
          <c:layout>
            <c:manualLayout>
              <c:xMode val="edge"/>
              <c:yMode val="edge"/>
              <c:x val="4.4287622597628321E-3"/>
              <c:y val="0.20543141910121634"/>
            </c:manualLayout>
          </c:layout>
          <c:overlay val="0"/>
          <c:spPr>
            <a:noFill/>
            <a:ln>
              <a:noFill/>
            </a:ln>
            <a:effectLst/>
          </c:spPr>
        </c:title>
        <c:numFmt formatCode="_-* #,##0.0_-;\-* #,##0.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15160704"/>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s-GT" sz="1050" b="1">
                <a:solidFill>
                  <a:sysClr val="windowText" lastClr="000000"/>
                </a:solidFill>
                <a:latin typeface="Times New Roman" panose="02020603050405020304" pitchFamily="18" charset="0"/>
                <a:cs typeface="Times New Roman" panose="02020603050405020304" pitchFamily="18" charset="0"/>
              </a:rPr>
              <a:t>Relación deuda/Ingresos fiscales</a:t>
            </a:r>
          </a:p>
          <a:p>
            <a:pPr>
              <a:defRPr sz="1050" b="0" i="0" u="none" strike="noStrike" kern="1200" spc="0" baseline="0">
                <a:solidFill>
                  <a:schemeClr val="tx1">
                    <a:lumMod val="65000"/>
                    <a:lumOff val="35000"/>
                  </a:schemeClr>
                </a:solidFill>
                <a:latin typeface="+mn-lt"/>
                <a:ea typeface="+mn-ea"/>
                <a:cs typeface="+mn-cs"/>
              </a:defRPr>
            </a:pPr>
            <a:r>
              <a:rPr lang="es-GT" sz="1050">
                <a:solidFill>
                  <a:sysClr val="windowText" lastClr="000000"/>
                </a:solidFill>
                <a:latin typeface="Times New Roman" panose="02020603050405020304" pitchFamily="18" charset="0"/>
                <a:cs typeface="Times New Roman" panose="02020603050405020304" pitchFamily="18" charset="0"/>
              </a:rPr>
              <a:t>Porcentaje</a:t>
            </a:r>
            <a:endParaRPr lang="es-GT" sz="1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solidFill>
              <a:schemeClr val="accent2">
                <a:lumMod val="75000"/>
              </a:schemeClr>
            </a:solidFill>
            <a:ln>
              <a:solidFill>
                <a:schemeClr val="tx1">
                  <a:lumMod val="95000"/>
                  <a:lumOff val="5000"/>
                </a:schemeClr>
              </a:solidFill>
            </a:ln>
            <a:effectLst/>
          </c:spPr>
          <c:invertIfNegative val="0"/>
          <c:dPt>
            <c:idx val="0"/>
            <c:invertIfNegative val="0"/>
            <c:bubble3D val="0"/>
            <c:spPr>
              <a:solidFill>
                <a:schemeClr val="accent2"/>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1-D818-4D61-B690-FC7EA8E699A3}"/>
              </c:ext>
            </c:extLst>
          </c:dPt>
          <c:dPt>
            <c:idx val="1"/>
            <c:invertIfNegative val="0"/>
            <c:bubble3D val="0"/>
            <c:spPr>
              <a:solidFill>
                <a:schemeClr val="accent2"/>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3-D818-4D61-B690-FC7EA8E699A3}"/>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dLbl>
            <c:dLbl>
              <c:idx val="3"/>
              <c:tx>
                <c:rich>
                  <a:bodyPr/>
                  <a:lstStyle/>
                  <a:p>
                    <a:r>
                      <a:rPr lang="en-US"/>
                      <a:t>276.9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EA8-41EA-AFAC-E5AEBF99ED40}"/>
                </c:ext>
              </c:extLst>
            </c:dLbl>
            <c:dLbl>
              <c:idx val="4"/>
              <c:tx>
                <c:rich>
                  <a:bodyPr/>
                  <a:lstStyle/>
                  <a:p>
                    <a:r>
                      <a:rPr lang="en-US"/>
                      <a:t>275.5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EA8-41EA-AFAC-E5AEBF99ED40}"/>
                </c:ext>
              </c:extLst>
            </c:dLbl>
            <c:dLbl>
              <c:idx val="5"/>
              <c:tx>
                <c:rich>
                  <a:bodyPr/>
                  <a:lstStyle/>
                  <a:p>
                    <a:r>
                      <a:rPr lang="en-US"/>
                      <a:t>274.0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EA8-41EA-AFAC-E5AEBF99ED40}"/>
                </c:ext>
              </c:extLst>
            </c:dLbl>
            <c:dLbl>
              <c:idx val="6"/>
              <c:tx>
                <c:rich>
                  <a:bodyPr/>
                  <a:lstStyle/>
                  <a:p>
                    <a:r>
                      <a:rPr lang="en-US"/>
                      <a:t>269.9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EA8-41EA-AFAC-E5AEBF99ED40}"/>
                </c:ext>
              </c:extLst>
            </c:dLbl>
            <c:dLbl>
              <c:idx val="7"/>
              <c:tx>
                <c:rich>
                  <a:bodyPr/>
                  <a:lstStyle/>
                  <a:p>
                    <a:r>
                      <a:rPr lang="en-US"/>
                      <a:t>263.7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EA8-41EA-AFAC-E5AEBF99ED4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'Indicadores de deuda'!$X$2:$AE$2</c:f>
              <c:numCache>
                <c:formatCode>General</c:formatCode>
                <c:ptCount val="8"/>
                <c:pt idx="0">
                  <c:v>2019</c:v>
                </c:pt>
                <c:pt idx="1">
                  <c:v>2020</c:v>
                </c:pt>
                <c:pt idx="2">
                  <c:v>2021</c:v>
                </c:pt>
                <c:pt idx="3">
                  <c:v>2022</c:v>
                </c:pt>
                <c:pt idx="4">
                  <c:v>2023</c:v>
                </c:pt>
                <c:pt idx="5">
                  <c:v>2024</c:v>
                </c:pt>
                <c:pt idx="6">
                  <c:v>2025</c:v>
                </c:pt>
                <c:pt idx="7">
                  <c:v>2026</c:v>
                </c:pt>
              </c:numCache>
            </c:numRef>
          </c:cat>
          <c:val>
            <c:numRef>
              <c:f>'Indicadores de deuda'!$X$4:$AE$4</c:f>
              <c:numCache>
                <c:formatCode>_-* #,##0.0_-;\-* #,##0.0_-;_-* "-"??_-;_-@_-</c:formatCode>
                <c:ptCount val="8"/>
                <c:pt idx="0">
                  <c:v>236.38556411563556</c:v>
                </c:pt>
                <c:pt idx="1">
                  <c:v>295.30279961882803</c:v>
                </c:pt>
                <c:pt idx="2">
                  <c:v>275.56962916802212</c:v>
                </c:pt>
                <c:pt idx="3">
                  <c:v>276.61244342649917</c:v>
                </c:pt>
                <c:pt idx="4">
                  <c:v>276.82038515265668</c:v>
                </c:pt>
                <c:pt idx="5">
                  <c:v>277.49939154713582</c:v>
                </c:pt>
                <c:pt idx="6">
                  <c:v>275.52773418229737</c:v>
                </c:pt>
                <c:pt idx="7">
                  <c:v>271.67349017347681</c:v>
                </c:pt>
              </c:numCache>
            </c:numRef>
          </c:val>
          <c:extLst xmlns:c16r2="http://schemas.microsoft.com/office/drawing/2015/06/chart">
            <c:ext xmlns:c16="http://schemas.microsoft.com/office/drawing/2014/chart" uri="{C3380CC4-5D6E-409C-BE32-E72D297353CC}">
              <c16:uniqueId val="{00000004-D818-4D61-B690-FC7EA8E699A3}"/>
            </c:ext>
          </c:extLst>
        </c:ser>
        <c:dLbls>
          <c:showLegendKey val="0"/>
          <c:showVal val="0"/>
          <c:showCatName val="0"/>
          <c:showSerName val="0"/>
          <c:showPercent val="0"/>
          <c:showBubbleSize val="0"/>
        </c:dLbls>
        <c:gapWidth val="40"/>
        <c:overlap val="-27"/>
        <c:axId val="220762880"/>
        <c:axId val="220764416"/>
      </c:barChart>
      <c:catAx>
        <c:axId val="22076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20764416"/>
        <c:crosses val="autoZero"/>
        <c:auto val="1"/>
        <c:lblAlgn val="ctr"/>
        <c:lblOffset val="100"/>
        <c:noMultiLvlLbl val="0"/>
      </c:catAx>
      <c:valAx>
        <c:axId val="220764416"/>
        <c:scaling>
          <c:orientation val="minMax"/>
        </c:scaling>
        <c:delete val="1"/>
        <c:axPos val="l"/>
        <c:numFmt formatCode="_-* #,##0.0_-;\-* #,##0.0_-;_-* &quot;-&quot;??_-;_-@_-" sourceLinked="1"/>
        <c:majorTickMark val="none"/>
        <c:minorTickMark val="none"/>
        <c:tickLblPos val="nextTo"/>
        <c:crossAx val="220762880"/>
        <c:crosses val="autoZero"/>
        <c:crossBetween val="between"/>
      </c:valAx>
    </c:plotArea>
    <c:plotVisOnly val="1"/>
    <c:dispBlanksAs val="gap"/>
    <c:showDLblsOverMax val="0"/>
    <c:extLst xmlns:c16r2="http://schemas.microsoft.com/office/drawing/2015/06/chart"/>
  </c:chart>
  <c:spPr>
    <a:ln>
      <a:noFill/>
    </a:ln>
  </c:spPr>
  <c:txPr>
    <a:bodyPr/>
    <a:lstStyle/>
    <a:p>
      <a:pPr>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79914624439084"/>
          <c:y val="7.9432388024667649E-2"/>
          <c:w val="0.86648624526440454"/>
          <c:h val="0.70899344898960803"/>
        </c:manualLayout>
      </c:layout>
      <c:barChart>
        <c:barDir val="col"/>
        <c:grouping val="clustered"/>
        <c:varyColors val="0"/>
        <c:ser>
          <c:idx val="0"/>
          <c:order val="0"/>
          <c:tx>
            <c:strRef>
              <c:f>'MF_SR_Gráficos '!$B$22</c:f>
              <c:strCache>
                <c:ptCount val="1"/>
                <c:pt idx="0">
                  <c:v>Producto interno bruto</c:v>
                </c:pt>
              </c:strCache>
            </c:strRef>
          </c:tx>
          <c:spPr>
            <a:solidFill>
              <a:srgbClr val="002060"/>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00B0F0"/>
              </a:solidFill>
              <a:ln>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1-C9C6-4871-8654-ECE262395B3C}"/>
              </c:ext>
            </c:extLst>
          </c:dPt>
          <c:dPt>
            <c:idx val="1"/>
            <c:invertIfNegative val="0"/>
            <c:bubble3D val="0"/>
            <c:spPr>
              <a:solidFill>
                <a:srgbClr val="0070C0"/>
              </a:solidFill>
              <a:ln>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3-C9C6-4871-8654-ECE262395B3C}"/>
              </c:ext>
            </c:extLst>
          </c:dPt>
          <c:dPt>
            <c:idx val="3"/>
            <c:invertIfNegative val="0"/>
            <c:bubble3D val="0"/>
            <c:spPr>
              <a:solidFill>
                <a:srgbClr val="FF0000"/>
              </a:solidFill>
              <a:ln>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5-C9C6-4871-8654-ECE262395B3C}"/>
              </c:ext>
            </c:extLst>
          </c:dPt>
          <c:dLbls>
            <c:dLbl>
              <c:idx val="3"/>
              <c:layout>
                <c:manualLayout>
                  <c:x val="0"/>
                  <c:y val="0.1319429108058740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9C6-4871-8654-ECE262395B3C}"/>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'MF_SR_Gráficos '!$C$3:$F$3</c:f>
              <c:numCache>
                <c:formatCode>General</c:formatCode>
                <c:ptCount val="4"/>
                <c:pt idx="0">
                  <c:v>2017</c:v>
                </c:pt>
                <c:pt idx="1">
                  <c:v>2018</c:v>
                </c:pt>
                <c:pt idx="2">
                  <c:v>2019</c:v>
                </c:pt>
                <c:pt idx="3">
                  <c:v>2020</c:v>
                </c:pt>
              </c:numCache>
            </c:numRef>
          </c:cat>
          <c:val>
            <c:numRef>
              <c:f>'MF_SR_Gráficos '!$C$22:$F$22</c:f>
              <c:numCache>
                <c:formatCode>0.0%</c:formatCode>
                <c:ptCount val="4"/>
                <c:pt idx="0">
                  <c:v>3.0798512835156888E-2</c:v>
                </c:pt>
                <c:pt idx="1">
                  <c:v>3.3220982448518122E-2</c:v>
                </c:pt>
                <c:pt idx="2">
                  <c:v>3.8668564018079277E-2</c:v>
                </c:pt>
                <c:pt idx="3">
                  <c:v>-1.5193281207126708E-2</c:v>
                </c:pt>
              </c:numCache>
            </c:numRef>
          </c:val>
          <c:extLst xmlns:c16r2="http://schemas.microsoft.com/office/drawing/2015/06/chart">
            <c:ext xmlns:c16="http://schemas.microsoft.com/office/drawing/2014/chart" uri="{C3380CC4-5D6E-409C-BE32-E72D297353CC}">
              <c16:uniqueId val="{00000006-C9C6-4871-8654-ECE262395B3C}"/>
            </c:ext>
          </c:extLst>
        </c:ser>
        <c:dLbls>
          <c:showLegendKey val="0"/>
          <c:showVal val="0"/>
          <c:showCatName val="0"/>
          <c:showSerName val="0"/>
          <c:showPercent val="0"/>
          <c:showBubbleSize val="0"/>
        </c:dLbls>
        <c:gapWidth val="25"/>
        <c:axId val="163653120"/>
        <c:axId val="163654656"/>
      </c:barChart>
      <c:lineChart>
        <c:grouping val="standard"/>
        <c:varyColors val="0"/>
        <c:ser>
          <c:idx val="1"/>
          <c:order val="1"/>
          <c:spPr>
            <a:ln w="38100" cap="rnd">
              <a:solidFill>
                <a:srgbClr val="FFC000"/>
              </a:solidFill>
              <a:round/>
            </a:ln>
            <a:effectLst/>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9C6-4871-8654-ECE262395B3C}"/>
                </c:ext>
              </c:extLst>
            </c:dLbl>
            <c:dLbl>
              <c:idx val="1"/>
              <c:layout>
                <c:manualLayout>
                  <c:x val="-2.6905652395831092E-2"/>
                  <c:y val="-6.25550819908979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9C6-4871-8654-ECE262395B3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9C6-4871-8654-ECE262395B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'MF_SR_Gráficos '!$C$3:$F$3</c:f>
              <c:numCache>
                <c:formatCode>General</c:formatCode>
                <c:ptCount val="4"/>
                <c:pt idx="0">
                  <c:v>2017</c:v>
                </c:pt>
                <c:pt idx="1">
                  <c:v>2018</c:v>
                </c:pt>
                <c:pt idx="2">
                  <c:v>2019</c:v>
                </c:pt>
                <c:pt idx="3">
                  <c:v>2020</c:v>
                </c:pt>
              </c:numCache>
            </c:numRef>
          </c:cat>
          <c:val>
            <c:numRef>
              <c:f>'MF_SR_Gráficos '!$C$23:$E$23</c:f>
              <c:numCache>
                <c:formatCode>0.0%</c:formatCode>
                <c:ptCount val="3"/>
                <c:pt idx="0">
                  <c:v>3.422935310058476E-2</c:v>
                </c:pt>
                <c:pt idx="1">
                  <c:v>3.422935310058476E-2</c:v>
                </c:pt>
                <c:pt idx="2">
                  <c:v>3.422935310058476E-2</c:v>
                </c:pt>
              </c:numCache>
            </c:numRef>
          </c:val>
          <c:smooth val="0"/>
          <c:extLst xmlns:c16r2="http://schemas.microsoft.com/office/drawing/2015/06/chart">
            <c:ext xmlns:c16="http://schemas.microsoft.com/office/drawing/2014/chart" uri="{C3380CC4-5D6E-409C-BE32-E72D297353CC}">
              <c16:uniqueId val="{0000000A-C9C6-4871-8654-ECE262395B3C}"/>
            </c:ext>
          </c:extLst>
        </c:ser>
        <c:dLbls>
          <c:showLegendKey val="0"/>
          <c:showVal val="0"/>
          <c:showCatName val="0"/>
          <c:showSerName val="0"/>
          <c:showPercent val="0"/>
          <c:showBubbleSize val="0"/>
        </c:dLbls>
        <c:marker val="1"/>
        <c:smooth val="0"/>
        <c:axId val="163653120"/>
        <c:axId val="163654656"/>
      </c:lineChart>
      <c:catAx>
        <c:axId val="1636531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63654656"/>
        <c:crosses val="autoZero"/>
        <c:auto val="1"/>
        <c:lblAlgn val="ctr"/>
        <c:lblOffset val="100"/>
        <c:noMultiLvlLbl val="0"/>
      </c:catAx>
      <c:valAx>
        <c:axId val="163654656"/>
        <c:scaling>
          <c:orientation val="minMax"/>
          <c:max val="4.0000000000000008E-2"/>
          <c:min val="-2.0000000000000004E-2"/>
        </c:scaling>
        <c:delete val="0"/>
        <c:axPos val="l"/>
        <c:majorGridlines>
          <c:spPr>
            <a:ln w="9525" cap="flat" cmpd="sng" algn="ctr">
              <a:solidFill>
                <a:schemeClr val="bg1">
                  <a:lumMod val="75000"/>
                  <a:alpha val="16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a:t>Porcentaje</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63653120"/>
        <c:crosses val="autoZero"/>
        <c:crossBetween val="between"/>
        <c:majorUnit val="2.0000000000000004E-2"/>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1">
    <c:autoUpdate val="0"/>
  </c:externalData>
  <c:userShapes r:id="rId2"/>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s-GT" sz="1050" b="1">
                <a:solidFill>
                  <a:sysClr val="windowText" lastClr="000000"/>
                </a:solidFill>
                <a:latin typeface="Times New Roman" panose="02020603050405020304" pitchFamily="18" charset="0"/>
                <a:cs typeface="Times New Roman" panose="02020603050405020304" pitchFamily="18" charset="0"/>
              </a:rPr>
              <a:t>Relación deuda/PIB</a:t>
            </a:r>
          </a:p>
          <a:p>
            <a:pPr>
              <a:defRPr sz="1050" b="0" i="0" u="none" strike="noStrike" kern="1200" spc="0" baseline="0">
                <a:solidFill>
                  <a:schemeClr val="tx1">
                    <a:lumMod val="65000"/>
                    <a:lumOff val="35000"/>
                  </a:schemeClr>
                </a:solidFill>
                <a:latin typeface="+mn-lt"/>
                <a:ea typeface="+mn-ea"/>
                <a:cs typeface="+mn-cs"/>
              </a:defRPr>
            </a:pPr>
            <a:r>
              <a:rPr lang="es-GT" sz="1000">
                <a:solidFill>
                  <a:sysClr val="windowText" lastClr="000000"/>
                </a:solidFill>
                <a:latin typeface="Times New Roman" panose="02020603050405020304" pitchFamily="18" charset="0"/>
                <a:cs typeface="Times New Roman" panose="02020603050405020304" pitchFamily="18" charset="0"/>
              </a:rPr>
              <a:t>Porcentaje</a:t>
            </a:r>
          </a:p>
        </c:rich>
      </c:tx>
      <c:overlay val="0"/>
      <c:spPr>
        <a:noFill/>
        <a:ln>
          <a:noFill/>
        </a:ln>
        <a:effectLst/>
      </c:spPr>
    </c:title>
    <c:autoTitleDeleted val="0"/>
    <c:plotArea>
      <c:layout/>
      <c:barChart>
        <c:barDir val="col"/>
        <c:grouping val="clustered"/>
        <c:varyColors val="0"/>
        <c:ser>
          <c:idx val="0"/>
          <c:order val="0"/>
          <c:spPr>
            <a:solidFill>
              <a:srgbClr val="002060"/>
            </a:solidFill>
            <a:ln>
              <a:solidFill>
                <a:schemeClr val="tx1">
                  <a:lumMod val="95000"/>
                  <a:lumOff val="5000"/>
                </a:schemeClr>
              </a:solidFill>
            </a:ln>
            <a:effectLst/>
          </c:spPr>
          <c:invertIfNegative val="0"/>
          <c:dPt>
            <c:idx val="0"/>
            <c:invertIfNegative val="0"/>
            <c:bubble3D val="0"/>
            <c:spPr>
              <a:solidFill>
                <a:schemeClr val="accent1"/>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1-76F8-463C-8B3D-486A3C6E000B}"/>
              </c:ext>
            </c:extLst>
          </c:dPt>
          <c:dPt>
            <c:idx val="1"/>
            <c:invertIfNegative val="0"/>
            <c:bubble3D val="0"/>
            <c:spPr>
              <a:solidFill>
                <a:schemeClr val="accent1"/>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3-76F8-463C-8B3D-486A3C6E000B}"/>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dLbl>
            <c:dLbl>
              <c:idx val="4"/>
              <c:tx>
                <c:rich>
                  <a:bodyPr/>
                  <a:lstStyle/>
                  <a:p>
                    <a:r>
                      <a:rPr lang="en-US"/>
                      <a:t>31.7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789-47C6-863E-A168856CE69E}"/>
                </c:ext>
              </c:extLst>
            </c:dLbl>
            <c:dLbl>
              <c:idx val="5"/>
              <c:tx>
                <c:rich>
                  <a:bodyPr/>
                  <a:lstStyle/>
                  <a:p>
                    <a:r>
                      <a:rPr lang="en-US"/>
                      <a:t>31.8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789-47C6-863E-A168856CE69E}"/>
                </c:ext>
              </c:extLst>
            </c:dLbl>
            <c:dLbl>
              <c:idx val="6"/>
              <c:tx>
                <c:rich>
                  <a:bodyPr/>
                  <a:lstStyle/>
                  <a:p>
                    <a:r>
                      <a:rPr lang="en-US"/>
                      <a:t>31.5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789-47C6-863E-A168856CE69E}"/>
                </c:ext>
              </c:extLst>
            </c:dLbl>
            <c:dLbl>
              <c:idx val="7"/>
              <c:tx>
                <c:rich>
                  <a:bodyPr/>
                  <a:lstStyle/>
                  <a:p>
                    <a:r>
                      <a:rPr lang="en-US"/>
                      <a:t>31.0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789-47C6-863E-A168856CE69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'Indicadores de deuda'!$X$2:$AE$2</c:f>
              <c:numCache>
                <c:formatCode>General</c:formatCode>
                <c:ptCount val="8"/>
                <c:pt idx="0">
                  <c:v>2019</c:v>
                </c:pt>
                <c:pt idx="1">
                  <c:v>2020</c:v>
                </c:pt>
                <c:pt idx="2">
                  <c:v>2021</c:v>
                </c:pt>
                <c:pt idx="3">
                  <c:v>2022</c:v>
                </c:pt>
                <c:pt idx="4">
                  <c:v>2023</c:v>
                </c:pt>
                <c:pt idx="5">
                  <c:v>2024</c:v>
                </c:pt>
                <c:pt idx="6">
                  <c:v>2025</c:v>
                </c:pt>
                <c:pt idx="7">
                  <c:v>2026</c:v>
                </c:pt>
              </c:numCache>
            </c:numRef>
          </c:cat>
          <c:val>
            <c:numRef>
              <c:f>'Indicadores de deuda'!$X$3:$AE$3</c:f>
              <c:numCache>
                <c:formatCode>_-* #,##0.0_-;\-* #,##0.0_-;_-* "-"??_-;_-@_-</c:formatCode>
                <c:ptCount val="8"/>
                <c:pt idx="0">
                  <c:v>26.539456130715767</c:v>
                </c:pt>
                <c:pt idx="1">
                  <c:v>31.571482495894877</c:v>
                </c:pt>
                <c:pt idx="2">
                  <c:v>31.90229027537395</c:v>
                </c:pt>
                <c:pt idx="3">
                  <c:v>31.655395330574649</c:v>
                </c:pt>
                <c:pt idx="4">
                  <c:v>31.878451633508085</c:v>
                </c:pt>
                <c:pt idx="5">
                  <c:v>32.182602266563904</c:v>
                </c:pt>
                <c:pt idx="6">
                  <c:v>32.166924741378345</c:v>
                </c:pt>
                <c:pt idx="7">
                  <c:v>31.895631370357012</c:v>
                </c:pt>
              </c:numCache>
            </c:numRef>
          </c:val>
          <c:extLst xmlns:c16r2="http://schemas.microsoft.com/office/drawing/2015/06/chart">
            <c:ext xmlns:c16="http://schemas.microsoft.com/office/drawing/2014/chart" uri="{C3380CC4-5D6E-409C-BE32-E72D297353CC}">
              <c16:uniqueId val="{00000004-76F8-463C-8B3D-486A3C6E000B}"/>
            </c:ext>
          </c:extLst>
        </c:ser>
        <c:dLbls>
          <c:showLegendKey val="0"/>
          <c:showVal val="0"/>
          <c:showCatName val="0"/>
          <c:showSerName val="0"/>
          <c:showPercent val="0"/>
          <c:showBubbleSize val="0"/>
        </c:dLbls>
        <c:gapWidth val="40"/>
        <c:overlap val="-27"/>
        <c:axId val="220810240"/>
        <c:axId val="220820224"/>
      </c:barChart>
      <c:catAx>
        <c:axId val="22081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20820224"/>
        <c:crosses val="autoZero"/>
        <c:auto val="1"/>
        <c:lblAlgn val="ctr"/>
        <c:lblOffset val="100"/>
        <c:noMultiLvlLbl val="0"/>
      </c:catAx>
      <c:valAx>
        <c:axId val="220820224"/>
        <c:scaling>
          <c:orientation val="minMax"/>
        </c:scaling>
        <c:delete val="1"/>
        <c:axPos val="l"/>
        <c:numFmt formatCode="_-* #,##0.0_-;\-* #,##0.0_-;_-* &quot;-&quot;??_-;_-@_-" sourceLinked="1"/>
        <c:majorTickMark val="none"/>
        <c:minorTickMark val="none"/>
        <c:tickLblPos val="nextTo"/>
        <c:crossAx val="2208102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cab!$U$1</c:f>
              <c:strCache>
                <c:ptCount val="1"/>
                <c:pt idx="0">
                  <c:v>Balance Cíclicamente Ajustado</c:v>
                </c:pt>
              </c:strCache>
            </c:strRef>
          </c:tx>
          <c:spPr>
            <a:ln w="28575" cap="rnd">
              <a:solidFill>
                <a:schemeClr val="accent1"/>
              </a:solidFill>
              <a:prstDash val="sysDot"/>
              <a:round/>
            </a:ln>
            <a:effectLst/>
          </c:spPr>
          <c:marker>
            <c:symbol val="none"/>
          </c:marker>
          <c:cat>
            <c:numRef>
              <c:f>cab!$T$18:$T$39</c:f>
              <c:numCache>
                <c:formatCode>0</c:formatCode>
                <c:ptCount val="22"/>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numCache>
            </c:numRef>
          </c:cat>
          <c:val>
            <c:numRef>
              <c:f>cab!$U$18:$U$39</c:f>
              <c:numCache>
                <c:formatCode>0.00%</c:formatCode>
                <c:ptCount val="22"/>
                <c:pt idx="0">
                  <c:v>-1.5162107642674944E-2</c:v>
                </c:pt>
                <c:pt idx="1">
                  <c:v>-2.0664949112061227E-2</c:v>
                </c:pt>
                <c:pt idx="2">
                  <c:v>-1.7234417479801083E-2</c:v>
                </c:pt>
                <c:pt idx="3">
                  <c:v>-1.9130117277894203E-2</c:v>
                </c:pt>
                <c:pt idx="4">
                  <c:v>-3.2974026265864619E-2</c:v>
                </c:pt>
                <c:pt idx="5">
                  <c:v>-3.3054291936786127E-2</c:v>
                </c:pt>
                <c:pt idx="6">
                  <c:v>-2.8652815233289254E-2</c:v>
                </c:pt>
                <c:pt idx="7">
                  <c:v>-2.3801882879464737E-2</c:v>
                </c:pt>
                <c:pt idx="8">
                  <c:v>-2.0851180416417529E-2</c:v>
                </c:pt>
                <c:pt idx="9">
                  <c:v>-1.9096831801205104E-2</c:v>
                </c:pt>
                <c:pt idx="10">
                  <c:v>-1.5589867759064088E-2</c:v>
                </c:pt>
                <c:pt idx="11">
                  <c:v>-1.1437909236545397E-2</c:v>
                </c:pt>
                <c:pt idx="12">
                  <c:v>-1.3964079329203401E-2</c:v>
                </c:pt>
                <c:pt idx="13">
                  <c:v>-1.8189866492838495E-2</c:v>
                </c:pt>
                <c:pt idx="14">
                  <c:v>-2.1023541326240399E-2</c:v>
                </c:pt>
                <c:pt idx="15">
                  <c:v>-4.218650300209259E-2</c:v>
                </c:pt>
                <c:pt idx="16">
                  <c:v>-2.0727214046845327E-2</c:v>
                </c:pt>
                <c:pt idx="17">
                  <c:v>-2.3824086021147082E-2</c:v>
                </c:pt>
                <c:pt idx="18">
                  <c:v>-2.3015423249868557E-2</c:v>
                </c:pt>
                <c:pt idx="19">
                  <c:v>-2.1407588478326058E-2</c:v>
                </c:pt>
                <c:pt idx="20">
                  <c:v>-1.927357927194432E-2</c:v>
                </c:pt>
                <c:pt idx="21">
                  <c:v>-1.8130377273552194E-2</c:v>
                </c:pt>
              </c:numCache>
            </c:numRef>
          </c:val>
          <c:smooth val="0"/>
          <c:extLst xmlns:c16r2="http://schemas.microsoft.com/office/drawing/2015/06/chart">
            <c:ext xmlns:c16="http://schemas.microsoft.com/office/drawing/2014/chart" uri="{C3380CC4-5D6E-409C-BE32-E72D297353CC}">
              <c16:uniqueId val="{00000000-B025-4577-A199-DFB49F32D0A9}"/>
            </c:ext>
          </c:extLst>
        </c:ser>
        <c:ser>
          <c:idx val="1"/>
          <c:order val="1"/>
          <c:tx>
            <c:strRef>
              <c:f>cab!$V$1</c:f>
              <c:strCache>
                <c:ptCount val="1"/>
                <c:pt idx="0">
                  <c:v>Balance Observado</c:v>
                </c:pt>
              </c:strCache>
            </c:strRef>
          </c:tx>
          <c:spPr>
            <a:ln w="15875" cap="rnd">
              <a:solidFill>
                <a:schemeClr val="accent2"/>
              </a:solidFill>
              <a:round/>
            </a:ln>
            <a:effectLst/>
          </c:spPr>
          <c:marker>
            <c:symbol val="none"/>
          </c:marker>
          <c:cat>
            <c:numRef>
              <c:f>cab!$T$18:$T$39</c:f>
              <c:numCache>
                <c:formatCode>0</c:formatCode>
                <c:ptCount val="22"/>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numCache>
            </c:numRef>
          </c:cat>
          <c:val>
            <c:numRef>
              <c:f>cab!$V$18:$V$39</c:f>
              <c:numCache>
                <c:formatCode>0.00%</c:formatCode>
                <c:ptCount val="22"/>
                <c:pt idx="0">
                  <c:v>-1.6701190738962146E-2</c:v>
                </c:pt>
                <c:pt idx="1">
                  <c:v>-1.878487662103966E-2</c:v>
                </c:pt>
                <c:pt idx="2">
                  <c:v>-1.4030116571076601E-2</c:v>
                </c:pt>
                <c:pt idx="3">
                  <c:v>-1.5698117151500927E-2</c:v>
                </c:pt>
                <c:pt idx="4">
                  <c:v>-3.1200424722825939E-2</c:v>
                </c:pt>
                <c:pt idx="5">
                  <c:v>-3.2772540107209876E-2</c:v>
                </c:pt>
                <c:pt idx="6">
                  <c:v>-2.8041106591520589E-2</c:v>
                </c:pt>
                <c:pt idx="7">
                  <c:v>-2.4162494629824512E-2</c:v>
                </c:pt>
                <c:pt idx="8">
                  <c:v>-2.1638208167837049E-2</c:v>
                </c:pt>
                <c:pt idx="9">
                  <c:v>-1.8991894786180956E-2</c:v>
                </c:pt>
                <c:pt idx="10">
                  <c:v>-1.4720918689391184E-2</c:v>
                </c:pt>
                <c:pt idx="11">
                  <c:v>-1.1100889548583756E-2</c:v>
                </c:pt>
                <c:pt idx="12">
                  <c:v>-1.384181336922362E-2</c:v>
                </c:pt>
                <c:pt idx="13">
                  <c:v>-1.8835936658627133E-2</c:v>
                </c:pt>
                <c:pt idx="14">
                  <c:v>-2.2426366434355794E-2</c:v>
                </c:pt>
                <c:pt idx="15">
                  <c:v>-4.9168269586192498E-2</c:v>
                </c:pt>
                <c:pt idx="16">
                  <c:v>-2.28647469618539E-2</c:v>
                </c:pt>
                <c:pt idx="17">
                  <c:v>-2.6154646940147668E-2</c:v>
                </c:pt>
                <c:pt idx="18">
                  <c:v>-2.4148526802045427E-2</c:v>
                </c:pt>
                <c:pt idx="19">
                  <c:v>-2.2007001877905906E-2</c:v>
                </c:pt>
                <c:pt idx="20">
                  <c:v>-1.8982120047850125E-2</c:v>
                </c:pt>
                <c:pt idx="21">
                  <c:v>-1.6873464608222612E-2</c:v>
                </c:pt>
              </c:numCache>
            </c:numRef>
          </c:val>
          <c:smooth val="0"/>
          <c:extLst xmlns:c16r2="http://schemas.microsoft.com/office/drawing/2015/06/chart">
            <c:ext xmlns:c16="http://schemas.microsoft.com/office/drawing/2014/chart" uri="{C3380CC4-5D6E-409C-BE32-E72D297353CC}">
              <c16:uniqueId val="{00000001-B025-4577-A199-DFB49F32D0A9}"/>
            </c:ext>
          </c:extLst>
        </c:ser>
        <c:dLbls>
          <c:showLegendKey val="0"/>
          <c:showVal val="0"/>
          <c:showCatName val="0"/>
          <c:showSerName val="0"/>
          <c:showPercent val="0"/>
          <c:showBubbleSize val="0"/>
        </c:dLbls>
        <c:marker val="1"/>
        <c:smooth val="0"/>
        <c:axId val="242089984"/>
        <c:axId val="242091520"/>
      </c:lineChart>
      <c:catAx>
        <c:axId val="242089984"/>
        <c:scaling>
          <c:orientation val="minMax"/>
        </c:scaling>
        <c:delete val="0"/>
        <c:axPos val="b"/>
        <c:majorGridlines>
          <c:spPr>
            <a:ln w="9525" cap="flat" cmpd="sng" algn="ctr">
              <a:solidFill>
                <a:schemeClr val="tx1">
                  <a:alpha val="5000"/>
                </a:schemeClr>
              </a:solidFill>
              <a:round/>
            </a:ln>
            <a:effectLst/>
          </c:spPr>
        </c:majorGridlines>
        <c:numFmt formatCode="0"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42091520"/>
        <c:crosses val="autoZero"/>
        <c:auto val="1"/>
        <c:lblAlgn val="ctr"/>
        <c:lblOffset val="100"/>
        <c:noMultiLvlLbl val="0"/>
      </c:catAx>
      <c:valAx>
        <c:axId val="242091520"/>
        <c:scaling>
          <c:orientation val="minMax"/>
          <c:max val="0"/>
          <c:min val="-5.7000000000000009E-2"/>
        </c:scaling>
        <c:delete val="0"/>
        <c:axPos val="l"/>
        <c:majorGridlines>
          <c:spPr>
            <a:ln w="9525" cap="flat" cmpd="sng" algn="ctr">
              <a:solidFill>
                <a:schemeClr val="tx1">
                  <a:alpha val="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42089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1">
    <c:autoUpdate val="0"/>
  </c:externalData>
  <c:userShapes r:id="rId2"/>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Hoja1!$B$1</c:f>
              <c:strCache>
                <c:ptCount val="1"/>
                <c:pt idx="0">
                  <c:v>Carga Presupuesto</c:v>
                </c:pt>
              </c:strCache>
            </c:strRef>
          </c:tx>
          <c:spPr>
            <a:ln w="22225" cap="rnd">
              <a:solidFill>
                <a:schemeClr val="accent1"/>
              </a:solidFill>
              <a:round/>
            </a:ln>
            <a:effectLst/>
          </c:spPr>
          <c:marker>
            <c:symbol val="circle"/>
            <c:size val="6"/>
            <c:spPr>
              <a:solidFill>
                <a:schemeClr val="lt1"/>
              </a:solidFill>
              <a:ln w="15875">
                <a:solidFill>
                  <a:schemeClr val="accent1"/>
                </a:solidFill>
                <a:round/>
              </a:ln>
              <a:effectLst/>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228-4952-B5E0-98B52FA0B961}"/>
                </c:ext>
              </c:extLst>
            </c:dLbl>
            <c:dLbl>
              <c:idx val="1"/>
              <c:layout>
                <c:manualLayout>
                  <c:x val="-5.6971514242878531E-2"/>
                  <c:y val="5.7971014492753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228-4952-B5E0-98B52FA0B961}"/>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228-4952-B5E0-98B52FA0B961}"/>
                </c:ext>
              </c:extLst>
            </c:dLbl>
            <c:dLbl>
              <c:idx val="6"/>
              <c:layout>
                <c:manualLayout>
                  <c:x val="-5.8169643428717631E-2"/>
                  <c:y val="5.44251968503935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228-4952-B5E0-98B52FA0B961}"/>
                </c:ext>
              </c:extLst>
            </c:dLbl>
            <c:numFmt formatCode="0.00%" sourceLinked="0"/>
            <c:spPr>
              <a:noFill/>
              <a:ln>
                <a:noFill/>
              </a:ln>
              <a:effectLst/>
            </c:spPr>
            <c:txPr>
              <a:bodyPr rot="0" spcFirstLastPara="1" vertOverflow="ellipsis" vert="horz" wrap="square" anchor="ctr" anchorCtr="1"/>
              <a:lstStyle/>
              <a:p>
                <a:pPr>
                  <a:defRPr sz="700" b="1" i="0" u="none" strike="noStrike" kern="1200" baseline="0">
                    <a:solidFill>
                      <a:srgbClr val="0070C0"/>
                    </a:solidFill>
                    <a:latin typeface="Arial" panose="020B0604020202020204" pitchFamily="34" charset="0"/>
                    <a:ea typeface="+mn-ea"/>
                    <a:cs typeface="Arial" panose="020B0604020202020204" pitchFamily="34" charset="0"/>
                  </a:defRPr>
                </a:pPr>
                <a:endParaRPr lang="es-E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Hoja1!$A$2:$A$9</c:f>
              <c:strCache>
                <c:ptCount val="8"/>
                <c:pt idx="0">
                  <c:v>2019</c:v>
                </c:pt>
                <c:pt idx="1">
                  <c:v>2020</c:v>
                </c:pt>
                <c:pt idx="2">
                  <c:v>2021</c:v>
                </c:pt>
                <c:pt idx="3">
                  <c:v>2022</c:v>
                </c:pt>
                <c:pt idx="4">
                  <c:v>2023</c:v>
                </c:pt>
                <c:pt idx="5">
                  <c:v>2024</c:v>
                </c:pt>
                <c:pt idx="6">
                  <c:v>2025</c:v>
                </c:pt>
                <c:pt idx="7">
                  <c:v>2026</c:v>
                </c:pt>
              </c:strCache>
            </c:strRef>
          </c:cat>
          <c:val>
            <c:numRef>
              <c:f>Hoja1!$B$2:$B$9</c:f>
              <c:numCache>
                <c:formatCode>General</c:formatCode>
                <c:ptCount val="8"/>
                <c:pt idx="0" formatCode="0.00%">
                  <c:v>0.10601591801170562</c:v>
                </c:pt>
                <c:pt idx="1">
                  <c:v>0.10059378311105577</c:v>
                </c:pt>
                <c:pt idx="2">
                  <c:v>0.10964670547966743</c:v>
                </c:pt>
                <c:pt idx="3">
                  <c:v>0.10687678792272134</c:v>
                </c:pt>
                <c:pt idx="4">
                  <c:v>0.1086840327303865</c:v>
                </c:pt>
                <c:pt idx="5">
                  <c:v>0.10942406222410947</c:v>
                </c:pt>
                <c:pt idx="6">
                  <c:v>0.11023136030071345</c:v>
                </c:pt>
                <c:pt idx="7">
                  <c:v>0.11102069350962841</c:v>
                </c:pt>
              </c:numCache>
            </c:numRef>
          </c:val>
          <c:smooth val="0"/>
          <c:extLst xmlns:c16r2="http://schemas.microsoft.com/office/drawing/2015/06/chart">
            <c:ext xmlns:c16="http://schemas.microsoft.com/office/drawing/2014/chart" uri="{C3380CC4-5D6E-409C-BE32-E72D297353CC}">
              <c16:uniqueId val="{00000003-9228-4952-B5E0-98B52FA0B961}"/>
            </c:ext>
          </c:extLst>
        </c:ser>
        <c:ser>
          <c:idx val="1"/>
          <c:order val="1"/>
          <c:tx>
            <c:strRef>
              <c:f>Hoja1!$C$1</c:f>
              <c:strCache>
                <c:ptCount val="1"/>
                <c:pt idx="0">
                  <c:v>Escenario Medio</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228-4952-B5E0-98B52FA0B961}"/>
                </c:ext>
              </c:extLst>
            </c:dLbl>
            <c:numFmt formatCode="0.00%" sourceLinked="0"/>
            <c:spPr>
              <a:noFill/>
              <a:ln>
                <a:noFill/>
              </a:ln>
              <a:effectLst/>
            </c:spPr>
            <c:txPr>
              <a:bodyPr rot="0" spcFirstLastPara="1" vertOverflow="ellipsis" vert="horz" wrap="square" anchor="ctr" anchorCtr="1"/>
              <a:lstStyle/>
              <a:p>
                <a:pPr>
                  <a:defRPr sz="700" b="1" i="0" u="none" strike="noStrike" kern="1200" baseline="0">
                    <a:solidFill>
                      <a:srgbClr val="FF0000"/>
                    </a:solidFill>
                    <a:latin typeface="Arial" panose="020B0604020202020204" pitchFamily="34" charset="0"/>
                    <a:ea typeface="+mn-ea"/>
                    <a:cs typeface="Arial" panose="020B0604020202020204" pitchFamily="34" charset="0"/>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Hoja1!$A$2:$A$9</c:f>
              <c:strCache>
                <c:ptCount val="8"/>
                <c:pt idx="0">
                  <c:v>2019</c:v>
                </c:pt>
                <c:pt idx="1">
                  <c:v>2020</c:v>
                </c:pt>
                <c:pt idx="2">
                  <c:v>2021</c:v>
                </c:pt>
                <c:pt idx="3">
                  <c:v>2022</c:v>
                </c:pt>
                <c:pt idx="4">
                  <c:v>2023</c:v>
                </c:pt>
                <c:pt idx="5">
                  <c:v>2024</c:v>
                </c:pt>
                <c:pt idx="6">
                  <c:v>2025</c:v>
                </c:pt>
                <c:pt idx="7">
                  <c:v>2026</c:v>
                </c:pt>
              </c:strCache>
            </c:strRef>
          </c:cat>
          <c:val>
            <c:numRef>
              <c:f>Hoja1!$C$2:$C$9</c:f>
              <c:numCache>
                <c:formatCode>General</c:formatCode>
                <c:ptCount val="8"/>
                <c:pt idx="0" formatCode="0.00%">
                  <c:v>0.10601591801170562</c:v>
                </c:pt>
                <c:pt idx="1">
                  <c:v>0.10059378311105577</c:v>
                </c:pt>
                <c:pt idx="2">
                  <c:v>0.10974200853782617</c:v>
                </c:pt>
                <c:pt idx="3">
                  <c:v>0.10810045230150751</c:v>
                </c:pt>
                <c:pt idx="4">
                  <c:v>0.10981721257284133</c:v>
                </c:pt>
                <c:pt idx="5">
                  <c:v>0.11057965177739815</c:v>
                </c:pt>
                <c:pt idx="6">
                  <c:v>0.11140333944623709</c:v>
                </c:pt>
                <c:pt idx="7">
                  <c:v>0.11217532725832728</c:v>
                </c:pt>
              </c:numCache>
            </c:numRef>
          </c:val>
          <c:smooth val="0"/>
          <c:extLst xmlns:c16r2="http://schemas.microsoft.com/office/drawing/2015/06/chart">
            <c:ext xmlns:c16="http://schemas.microsoft.com/office/drawing/2014/chart" uri="{C3380CC4-5D6E-409C-BE32-E72D297353CC}">
              <c16:uniqueId val="{00000005-9228-4952-B5E0-98B52FA0B961}"/>
            </c:ext>
          </c:extLst>
        </c:ser>
        <c:dLbls>
          <c:showLegendKey val="0"/>
          <c:showVal val="0"/>
          <c:showCatName val="0"/>
          <c:showSerName val="0"/>
          <c:showPercent val="0"/>
          <c:showBubbleSize val="0"/>
        </c:dLbls>
        <c:marker val="1"/>
        <c:smooth val="0"/>
        <c:axId val="242225920"/>
        <c:axId val="242227456"/>
      </c:lineChart>
      <c:catAx>
        <c:axId val="24222592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42227456"/>
        <c:crosses val="autoZero"/>
        <c:auto val="1"/>
        <c:lblAlgn val="ctr"/>
        <c:lblOffset val="100"/>
        <c:noMultiLvlLbl val="0"/>
      </c:catAx>
      <c:valAx>
        <c:axId val="24222745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4222592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ES"/>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267385992043342E-2"/>
          <c:y val="6.3768115942028983E-2"/>
          <c:w val="0.87674910576207954"/>
          <c:h val="0.77804724409448833"/>
        </c:manualLayout>
      </c:layout>
      <c:lineChart>
        <c:grouping val="standard"/>
        <c:varyColors val="0"/>
        <c:ser>
          <c:idx val="0"/>
          <c:order val="0"/>
          <c:tx>
            <c:strRef>
              <c:f>Hoja1!$B$1</c:f>
              <c:strCache>
                <c:ptCount val="1"/>
                <c:pt idx="0">
                  <c:v>Carga Presupuesto</c:v>
                </c:pt>
              </c:strCache>
            </c:strRef>
          </c:tx>
          <c:spPr>
            <a:ln w="22225" cap="rnd">
              <a:solidFill>
                <a:schemeClr val="accent1"/>
              </a:solidFill>
              <a:round/>
            </a:ln>
            <a:effectLst/>
          </c:spPr>
          <c:marker>
            <c:symbol val="circle"/>
            <c:size val="6"/>
            <c:spPr>
              <a:solidFill>
                <a:schemeClr val="lt1"/>
              </a:solidFill>
              <a:ln w="15875">
                <a:solidFill>
                  <a:schemeClr val="accent1"/>
                </a:solidFill>
                <a:round/>
              </a:ln>
              <a:effectLst/>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A42-4C46-9BFF-806D905A1DA3}"/>
                </c:ext>
              </c:extLst>
            </c:dLbl>
            <c:dLbl>
              <c:idx val="1"/>
              <c:layout>
                <c:manualLayout>
                  <c:x val="-5.6971514242878531E-2"/>
                  <c:y val="5.7971014492753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A42-4C46-9BFF-806D905A1DA3}"/>
                </c:ext>
              </c:extLst>
            </c:dLbl>
            <c:dLbl>
              <c:idx val="6"/>
              <c:layout>
                <c:manualLayout>
                  <c:x val="-5.8169643428717631E-2"/>
                  <c:y val="5.44251968503935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A42-4C46-9BFF-806D905A1DA3}"/>
                </c:ext>
              </c:extLst>
            </c:dLbl>
            <c:numFmt formatCode="0.00%" sourceLinked="0"/>
            <c:spPr>
              <a:noFill/>
              <a:ln>
                <a:noFill/>
              </a:ln>
              <a:effectLst/>
            </c:spPr>
            <c:txPr>
              <a:bodyPr rot="0" spcFirstLastPara="1" vertOverflow="ellipsis" vert="horz" wrap="square" anchor="ctr" anchorCtr="1"/>
              <a:lstStyle/>
              <a:p>
                <a:pPr>
                  <a:defRPr sz="7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E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Hoja1!$A$2:$A$9</c:f>
              <c:strCache>
                <c:ptCount val="8"/>
                <c:pt idx="0">
                  <c:v>2019</c:v>
                </c:pt>
                <c:pt idx="1">
                  <c:v>2020</c:v>
                </c:pt>
                <c:pt idx="2">
                  <c:v>2021</c:v>
                </c:pt>
                <c:pt idx="3">
                  <c:v>2022</c:v>
                </c:pt>
                <c:pt idx="4">
                  <c:v>2023</c:v>
                </c:pt>
                <c:pt idx="5">
                  <c:v>2024</c:v>
                </c:pt>
                <c:pt idx="6">
                  <c:v>2025</c:v>
                </c:pt>
                <c:pt idx="7">
                  <c:v>2026</c:v>
                </c:pt>
              </c:strCache>
            </c:strRef>
          </c:cat>
          <c:val>
            <c:numRef>
              <c:f>Hoja1!$B$2:$B$9</c:f>
              <c:numCache>
                <c:formatCode>General</c:formatCode>
                <c:ptCount val="8"/>
                <c:pt idx="0" formatCode="0.00%">
                  <c:v>0.10601591801170562</c:v>
                </c:pt>
                <c:pt idx="1">
                  <c:v>0.10059378311105577</c:v>
                </c:pt>
                <c:pt idx="2">
                  <c:v>0.10964670547966743</c:v>
                </c:pt>
                <c:pt idx="3">
                  <c:v>0.10687678792272134</c:v>
                </c:pt>
                <c:pt idx="4">
                  <c:v>0.1086840327303865</c:v>
                </c:pt>
                <c:pt idx="5">
                  <c:v>0.10942406222410947</c:v>
                </c:pt>
                <c:pt idx="6">
                  <c:v>0.11023136030071345</c:v>
                </c:pt>
                <c:pt idx="7">
                  <c:v>0.11102069350962841</c:v>
                </c:pt>
              </c:numCache>
            </c:numRef>
          </c:val>
          <c:smooth val="0"/>
          <c:extLst xmlns:c16r2="http://schemas.microsoft.com/office/drawing/2015/06/chart">
            <c:ext xmlns:c16="http://schemas.microsoft.com/office/drawing/2014/chart" uri="{C3380CC4-5D6E-409C-BE32-E72D297353CC}">
              <c16:uniqueId val="{00000003-EA42-4C46-9BFF-806D905A1DA3}"/>
            </c:ext>
          </c:extLst>
        </c:ser>
        <c:ser>
          <c:idx val="1"/>
          <c:order val="1"/>
          <c:tx>
            <c:strRef>
              <c:f>Hoja1!$C$1</c:f>
              <c:strCache>
                <c:ptCount val="1"/>
                <c:pt idx="0">
                  <c:v>Escenario Alto</c:v>
                </c:pt>
              </c:strCache>
            </c:strRef>
          </c:tx>
          <c:spPr>
            <a:ln w="22225" cap="rnd">
              <a:solidFill>
                <a:srgbClr val="FF0000"/>
              </a:solidFill>
              <a:round/>
            </a:ln>
            <a:effectLst/>
          </c:spPr>
          <c:marker>
            <c:symbol val="circle"/>
            <c:size val="6"/>
            <c:spPr>
              <a:solidFill>
                <a:schemeClr val="bg1"/>
              </a:solidFill>
              <a:ln w="15875">
                <a:solidFill>
                  <a:srgbClr val="FF0000"/>
                </a:solidFill>
                <a:round/>
              </a:ln>
              <a:effectLst/>
            </c:spPr>
          </c:marker>
          <c:dLbls>
            <c:dLbl>
              <c:idx val="1"/>
              <c:layout>
                <c:manualLayout>
                  <c:x val="-5.2496665053300147E-2"/>
                  <c:y val="-0.10764897866027616"/>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A42-4C46-9BFF-806D905A1DA3}"/>
                </c:ext>
              </c:extLst>
            </c:dLbl>
            <c:numFmt formatCode="0.00%" sourceLinked="0"/>
            <c:spPr>
              <a:noFill/>
              <a:ln>
                <a:noFill/>
              </a:ln>
              <a:effectLst/>
            </c:spPr>
            <c:txPr>
              <a:bodyPr rot="0" spcFirstLastPara="1" vertOverflow="ellipsis" vert="horz" wrap="square" anchor="ctr" anchorCtr="1"/>
              <a:lstStyle/>
              <a:p>
                <a:pPr>
                  <a:defRPr sz="7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Hoja1!$A$2:$A$9</c:f>
              <c:strCache>
                <c:ptCount val="8"/>
                <c:pt idx="0">
                  <c:v>2019</c:v>
                </c:pt>
                <c:pt idx="1">
                  <c:v>2020</c:v>
                </c:pt>
                <c:pt idx="2">
                  <c:v>2021</c:v>
                </c:pt>
                <c:pt idx="3">
                  <c:v>2022</c:v>
                </c:pt>
                <c:pt idx="4">
                  <c:v>2023</c:v>
                </c:pt>
                <c:pt idx="5">
                  <c:v>2024</c:v>
                </c:pt>
                <c:pt idx="6">
                  <c:v>2025</c:v>
                </c:pt>
                <c:pt idx="7">
                  <c:v>2026</c:v>
                </c:pt>
              </c:strCache>
            </c:strRef>
          </c:cat>
          <c:val>
            <c:numRef>
              <c:f>Hoja1!$C$2:$C$9</c:f>
              <c:numCache>
                <c:formatCode>General</c:formatCode>
                <c:ptCount val="8"/>
                <c:pt idx="0" formatCode="0.00%">
                  <c:v>0.10601591801170562</c:v>
                </c:pt>
                <c:pt idx="1">
                  <c:v>0.10059378311105577</c:v>
                </c:pt>
                <c:pt idx="2">
                  <c:v>0.10983487420816933</c:v>
                </c:pt>
                <c:pt idx="3">
                  <c:v>0.10934079653843182</c:v>
                </c:pt>
                <c:pt idx="4">
                  <c:v>0.11218941449145073</c:v>
                </c:pt>
                <c:pt idx="5">
                  <c:v>0.11416272435908635</c:v>
                </c:pt>
                <c:pt idx="6">
                  <c:v>0.11621698755999343</c:v>
                </c:pt>
                <c:pt idx="7">
                  <c:v>0.11821372088846997</c:v>
                </c:pt>
              </c:numCache>
            </c:numRef>
          </c:val>
          <c:smooth val="0"/>
          <c:extLst xmlns:c16r2="http://schemas.microsoft.com/office/drawing/2015/06/chart">
            <c:ext xmlns:c16="http://schemas.microsoft.com/office/drawing/2014/chart" uri="{C3380CC4-5D6E-409C-BE32-E72D297353CC}">
              <c16:uniqueId val="{00000005-EA42-4C46-9BFF-806D905A1DA3}"/>
            </c:ext>
          </c:extLst>
        </c:ser>
        <c:dLbls>
          <c:showLegendKey val="0"/>
          <c:showVal val="0"/>
          <c:showCatName val="0"/>
          <c:showSerName val="0"/>
          <c:showPercent val="0"/>
          <c:showBubbleSize val="0"/>
        </c:dLbls>
        <c:marker val="1"/>
        <c:smooth val="0"/>
        <c:axId val="215152896"/>
        <c:axId val="242573312"/>
      </c:lineChart>
      <c:catAx>
        <c:axId val="21515289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42573312"/>
        <c:crosses val="autoZero"/>
        <c:auto val="1"/>
        <c:lblAlgn val="ctr"/>
        <c:lblOffset val="100"/>
        <c:noMultiLvlLbl val="0"/>
      </c:catAx>
      <c:valAx>
        <c:axId val="24257331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1515289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6853557473231887"/>
          <c:y val="0.92708113659705593"/>
          <c:w val="0.46292885053536226"/>
          <c:h val="7.2918863402944192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ES"/>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sz="1200" b="1">
                <a:solidFill>
                  <a:sysClr val="windowText" lastClr="000000"/>
                </a:solidFill>
              </a:rPr>
              <a:t>Impuestos</a:t>
            </a:r>
            <a:r>
              <a:rPr lang="en-US" sz="1200" b="1" baseline="0">
                <a:solidFill>
                  <a:sysClr val="windowText" lastClr="000000"/>
                </a:solidFill>
              </a:rPr>
              <a:t> según Estandares Intarnacionales </a:t>
            </a:r>
          </a:p>
          <a:p>
            <a:pPr>
              <a:defRPr sz="20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sz="1200" b="1" baseline="0">
                <a:solidFill>
                  <a:sysClr val="windowText" lastClr="000000"/>
                </a:solidFill>
              </a:rPr>
              <a:t>Para el año 2020</a:t>
            </a:r>
          </a:p>
          <a:p>
            <a:pPr>
              <a:defRPr sz="20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sz="1100" baseline="0">
                <a:solidFill>
                  <a:sysClr val="windowText" lastClr="000000"/>
                </a:solidFill>
              </a:rPr>
              <a:t>Como porcentajes del PIB</a:t>
            </a:r>
            <a:endParaRPr lang="en-US" sz="1100">
              <a:solidFill>
                <a:sysClr val="windowText" lastClr="000000"/>
              </a:solidFill>
            </a:endParaRPr>
          </a:p>
        </c:rich>
      </c:tx>
      <c:layout>
        <c:manualLayout>
          <c:xMode val="edge"/>
          <c:yMode val="edge"/>
          <c:x val="0.25681703849518805"/>
          <c:y val="0"/>
        </c:manualLayout>
      </c:layout>
      <c:overlay val="0"/>
      <c:spPr>
        <a:noFill/>
        <a:ln>
          <a:noFill/>
        </a:ln>
        <a:effectLst/>
      </c:spPr>
    </c:title>
    <c:autoTitleDeleted val="0"/>
    <c:plotArea>
      <c:layout>
        <c:manualLayout>
          <c:layoutTarget val="inner"/>
          <c:xMode val="edge"/>
          <c:yMode val="edge"/>
          <c:x val="0.48137193788276472"/>
          <c:y val="0.30574187660504704"/>
          <c:w val="0.51399843248760568"/>
          <c:h val="0.67719591654816746"/>
        </c:manualLayout>
      </c:layout>
      <c:barChart>
        <c:barDir val="bar"/>
        <c:grouping val="clustered"/>
        <c:varyColors val="1"/>
        <c:ser>
          <c:idx val="1"/>
          <c:order val="0"/>
          <c:tx>
            <c:strRef>
              <c:f>Hoja1!$C$1</c:f>
              <c:strCache>
                <c:ptCount val="1"/>
                <c:pt idx="0">
                  <c:v>Gobierno General</c:v>
                </c:pt>
              </c:strCache>
            </c:strRef>
          </c:tx>
          <c:spPr>
            <a:solidFill>
              <a:schemeClr val="accent5"/>
            </a:solidFill>
            <a:ln>
              <a:solidFill>
                <a:sysClr val="windowText" lastClr="000000"/>
              </a:solidFill>
            </a:ln>
            <a:effectLst>
              <a:outerShdw blurRad="50800" dist="38100" dir="18900000" algn="bl" rotWithShape="0">
                <a:prstClr val="black">
                  <a:alpha val="40000"/>
                </a:prstClr>
              </a:outerShdw>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Hoja1!$A$2:$A$8</c:f>
              <c:strCache>
                <c:ptCount val="7"/>
                <c:pt idx="0">
                  <c:v>Total Impuestos</c:v>
                </c:pt>
                <c:pt idx="1">
                  <c:v>Impuestos sobre los bienes y servicios</c:v>
                </c:pt>
                <c:pt idx="2">
                  <c:v>Impuestos sobre el ingreso, las utilidades y las ganancias de capital</c:v>
                </c:pt>
                <c:pt idx="3">
                  <c:v>Impuestos sobre el comercio y las transacciones internacionales</c:v>
                </c:pt>
                <c:pt idx="4">
                  <c:v>Impuestos sobre la propiedad</c:v>
                </c:pt>
                <c:pt idx="5">
                  <c:v>Otros impuestos</c:v>
                </c:pt>
                <c:pt idx="6">
                  <c:v>Impuestos sobre la nómina y la fuerza de trabajo</c:v>
                </c:pt>
              </c:strCache>
            </c:strRef>
          </c:cat>
          <c:val>
            <c:numRef>
              <c:f>Hoja1!$C$2:$C$8</c:f>
              <c:numCache>
                <c:formatCode>_(* #,##0.00_);_(* \(#,##0.00\);_(* "-"??_);_(@_)</c:formatCode>
                <c:ptCount val="7"/>
                <c:pt idx="0">
                  <c:v>10.469000379446259</c:v>
                </c:pt>
                <c:pt idx="1">
                  <c:v>6.066107812934538</c:v>
                </c:pt>
                <c:pt idx="2">
                  <c:v>3.6074744367535985</c:v>
                </c:pt>
                <c:pt idx="3">
                  <c:v>0.43159406964346375</c:v>
                </c:pt>
                <c:pt idx="4">
                  <c:v>0.20411519908029493</c:v>
                </c:pt>
                <c:pt idx="5">
                  <c:v>8.5045592739320219E-2</c:v>
                </c:pt>
                <c:pt idx="6">
                  <c:v>7.4663268295044258E-2</c:v>
                </c:pt>
              </c:numCache>
            </c:numRef>
          </c:val>
          <c:extLst xmlns:c16r2="http://schemas.microsoft.com/office/drawing/2015/06/chart">
            <c:ext xmlns:c16="http://schemas.microsoft.com/office/drawing/2014/chart" uri="{C3380CC4-5D6E-409C-BE32-E72D297353CC}">
              <c16:uniqueId val="{00000000-0619-454C-8613-FFF404C1AE4E}"/>
            </c:ext>
          </c:extLst>
        </c:ser>
        <c:ser>
          <c:idx val="0"/>
          <c:order val="1"/>
          <c:tx>
            <c:strRef>
              <c:f>Hoja1!$B$1</c:f>
              <c:strCache>
                <c:ptCount val="1"/>
                <c:pt idx="0">
                  <c:v>Gobierno Central Presupuestario</c:v>
                </c:pt>
              </c:strCache>
            </c:strRef>
          </c:tx>
          <c:spPr>
            <a:solidFill>
              <a:schemeClr val="accent6"/>
            </a:solidFill>
            <a:ln>
              <a:solidFill>
                <a:sysClr val="windowText" lastClr="000000"/>
              </a:solidFill>
            </a:ln>
            <a:effectLst>
              <a:outerShdw blurRad="50800" dist="38100" dir="18900000" algn="bl" rotWithShape="0">
                <a:prstClr val="black">
                  <a:alpha val="40000"/>
                </a:prstClr>
              </a:out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1-0619-454C-8613-FFF404C1AE4E}"/>
              </c:ext>
            </c:extLst>
          </c:dPt>
          <c:dPt>
            <c:idx val="1"/>
            <c:invertIfNegative val="0"/>
            <c:bubble3D val="0"/>
            <c:extLst xmlns:c16r2="http://schemas.microsoft.com/office/drawing/2015/06/chart">
              <c:ext xmlns:c16="http://schemas.microsoft.com/office/drawing/2014/chart" uri="{C3380CC4-5D6E-409C-BE32-E72D297353CC}">
                <c16:uniqueId val="{00000002-0619-454C-8613-FFF404C1AE4E}"/>
              </c:ext>
            </c:extLst>
          </c:dPt>
          <c:dPt>
            <c:idx val="2"/>
            <c:invertIfNegative val="0"/>
            <c:bubble3D val="0"/>
            <c:extLst xmlns:c16r2="http://schemas.microsoft.com/office/drawing/2015/06/chart">
              <c:ext xmlns:c16="http://schemas.microsoft.com/office/drawing/2014/chart" uri="{C3380CC4-5D6E-409C-BE32-E72D297353CC}">
                <c16:uniqueId val="{00000003-0619-454C-8613-FFF404C1AE4E}"/>
              </c:ext>
            </c:extLst>
          </c:dPt>
          <c:dPt>
            <c:idx val="3"/>
            <c:invertIfNegative val="0"/>
            <c:bubble3D val="0"/>
            <c:extLst xmlns:c16r2="http://schemas.microsoft.com/office/drawing/2015/06/chart">
              <c:ext xmlns:c16="http://schemas.microsoft.com/office/drawing/2014/chart" uri="{C3380CC4-5D6E-409C-BE32-E72D297353CC}">
                <c16:uniqueId val="{00000004-0619-454C-8613-FFF404C1AE4E}"/>
              </c:ext>
            </c:extLst>
          </c:dPt>
          <c:dPt>
            <c:idx val="4"/>
            <c:invertIfNegative val="0"/>
            <c:bubble3D val="0"/>
            <c:extLst xmlns:c16r2="http://schemas.microsoft.com/office/drawing/2015/06/chart">
              <c:ext xmlns:c16="http://schemas.microsoft.com/office/drawing/2014/chart" uri="{C3380CC4-5D6E-409C-BE32-E72D297353CC}">
                <c16:uniqueId val="{00000005-0619-454C-8613-FFF404C1AE4E}"/>
              </c:ext>
            </c:extLst>
          </c:dPt>
          <c:dPt>
            <c:idx val="5"/>
            <c:invertIfNegative val="0"/>
            <c:bubble3D val="0"/>
            <c:extLst xmlns:c16r2="http://schemas.microsoft.com/office/drawing/2015/06/chart">
              <c:ext xmlns:c16="http://schemas.microsoft.com/office/drawing/2014/chart" uri="{C3380CC4-5D6E-409C-BE32-E72D297353CC}">
                <c16:uniqueId val="{00000006-0619-454C-8613-FFF404C1AE4E}"/>
              </c:ext>
            </c:extLst>
          </c:dPt>
          <c:dLbls>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accent6">
                        <a:lumMod val="7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Hoja1!$A$2:$A$8</c:f>
              <c:strCache>
                <c:ptCount val="7"/>
                <c:pt idx="0">
                  <c:v>Total Impuestos</c:v>
                </c:pt>
                <c:pt idx="1">
                  <c:v>Impuestos sobre los bienes y servicios</c:v>
                </c:pt>
                <c:pt idx="2">
                  <c:v>Impuestos sobre el ingreso, las utilidades y las ganancias de capital</c:v>
                </c:pt>
                <c:pt idx="3">
                  <c:v>Impuestos sobre el comercio y las transacciones internacionales</c:v>
                </c:pt>
                <c:pt idx="4">
                  <c:v>Impuestos sobre la propiedad</c:v>
                </c:pt>
                <c:pt idx="5">
                  <c:v>Otros impuestos</c:v>
                </c:pt>
                <c:pt idx="6">
                  <c:v>Impuestos sobre la nómina y la fuerza de trabajo</c:v>
                </c:pt>
              </c:strCache>
            </c:strRef>
          </c:cat>
          <c:val>
            <c:numRef>
              <c:f>Hoja1!$B$2:$B$8</c:f>
              <c:numCache>
                <c:formatCode>0.0</c:formatCode>
                <c:ptCount val="7"/>
                <c:pt idx="0">
                  <c:v>9.9697562427206226</c:v>
                </c:pt>
                <c:pt idx="1">
                  <c:v>5.8651339067607031</c:v>
                </c:pt>
                <c:pt idx="2">
                  <c:v>3.6074744367535985</c:v>
                </c:pt>
                <c:pt idx="3">
                  <c:v>0.43143382372088307</c:v>
                </c:pt>
                <c:pt idx="4">
                  <c:v>2.0588983188203169E-3</c:v>
                </c:pt>
                <c:pt idx="5">
                  <c:v>6.3655177166619809E-2</c:v>
                </c:pt>
                <c:pt idx="6">
                  <c:v>0</c:v>
                </c:pt>
              </c:numCache>
            </c:numRef>
          </c:val>
          <c:extLst xmlns:c16r2="http://schemas.microsoft.com/office/drawing/2015/06/chart">
            <c:ext xmlns:c16="http://schemas.microsoft.com/office/drawing/2014/chart" uri="{C3380CC4-5D6E-409C-BE32-E72D297353CC}">
              <c16:uniqueId val="{00000007-0619-454C-8613-FFF404C1AE4E}"/>
            </c:ext>
          </c:extLst>
        </c:ser>
        <c:dLbls>
          <c:showLegendKey val="0"/>
          <c:showVal val="0"/>
          <c:showCatName val="0"/>
          <c:showSerName val="0"/>
          <c:showPercent val="0"/>
          <c:showBubbleSize val="0"/>
        </c:dLbls>
        <c:gapWidth val="50"/>
        <c:axId val="243302400"/>
        <c:axId val="243303936"/>
      </c:barChart>
      <c:catAx>
        <c:axId val="243302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243303936"/>
        <c:crosses val="autoZero"/>
        <c:auto val="1"/>
        <c:lblAlgn val="ctr"/>
        <c:lblOffset val="100"/>
        <c:noMultiLvlLbl val="0"/>
      </c:catAx>
      <c:valAx>
        <c:axId val="243303936"/>
        <c:scaling>
          <c:orientation val="minMax"/>
        </c:scaling>
        <c:delete val="1"/>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 #,##0.00_);_(* \(#,##0.00\);_(* &quot;-&quot;??_);_(@_)" sourceLinked="1"/>
        <c:majorTickMark val="none"/>
        <c:minorTickMark val="none"/>
        <c:tickLblPos val="nextTo"/>
        <c:crossAx val="243302400"/>
        <c:crosses val="autoZero"/>
        <c:crossBetween val="between"/>
      </c:valAx>
      <c:spPr>
        <a:noFill/>
        <a:ln>
          <a:noFill/>
        </a:ln>
        <a:effectLst/>
      </c:spPr>
    </c:plotArea>
    <c:legend>
      <c:legendPos val="r"/>
      <c:layout>
        <c:manualLayout>
          <c:xMode val="edge"/>
          <c:yMode val="edge"/>
          <c:x val="0.28951625838436862"/>
          <c:y val="0.21766199036441203"/>
          <c:w val="0.52761337124526098"/>
          <c:h val="7.411986724799896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2">
    <c:autoUpdate val="0"/>
  </c:externalData>
  <c:userShapes r:id="rId3"/>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sz="1200" b="1">
                <a:solidFill>
                  <a:sysClr val="windowText" lastClr="000000"/>
                </a:solidFill>
              </a:rPr>
              <a:t>Contribuciones Sociales Según los Estandares</a:t>
            </a:r>
            <a:r>
              <a:rPr lang="en-US" sz="1200" b="1" baseline="0">
                <a:solidFill>
                  <a:sysClr val="windowText" lastClr="000000"/>
                </a:solidFill>
              </a:rPr>
              <a:t> Internacionales</a:t>
            </a:r>
          </a:p>
          <a:p>
            <a:pPr>
              <a:defRPr sz="20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sz="1200" b="1" baseline="0">
                <a:solidFill>
                  <a:sysClr val="windowText" lastClr="000000"/>
                </a:solidFill>
              </a:rPr>
              <a:t>Para el año 2020</a:t>
            </a:r>
          </a:p>
          <a:p>
            <a:pPr>
              <a:defRPr sz="20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sz="1100" baseline="0">
                <a:solidFill>
                  <a:sysClr val="windowText" lastClr="000000"/>
                </a:solidFill>
              </a:rPr>
              <a:t>Como porcentajes del PIB</a:t>
            </a:r>
            <a:endParaRPr lang="en-US" sz="1100">
              <a:solidFill>
                <a:sysClr val="windowText" lastClr="000000"/>
              </a:solidFill>
            </a:endParaRPr>
          </a:p>
        </c:rich>
      </c:tx>
      <c:layout>
        <c:manualLayout>
          <c:xMode val="edge"/>
          <c:yMode val="edge"/>
          <c:x val="0.11916666666666667"/>
          <c:y val="0"/>
        </c:manualLayout>
      </c:layout>
      <c:overlay val="0"/>
      <c:spPr>
        <a:noFill/>
        <a:ln>
          <a:noFill/>
        </a:ln>
        <a:effectLst/>
      </c:spPr>
    </c:title>
    <c:autoTitleDeleted val="0"/>
    <c:plotArea>
      <c:layout>
        <c:manualLayout>
          <c:layoutTarget val="inner"/>
          <c:xMode val="edge"/>
          <c:yMode val="edge"/>
          <c:x val="0"/>
          <c:y val="0.22194521678855425"/>
          <c:w val="1"/>
          <c:h val="0.63622279515945468"/>
        </c:manualLayout>
      </c:layout>
      <c:lineChart>
        <c:grouping val="standard"/>
        <c:varyColors val="1"/>
        <c:ser>
          <c:idx val="0"/>
          <c:order val="0"/>
          <c:tx>
            <c:strRef>
              <c:f>Hoja1!$B$1</c:f>
              <c:strCache>
                <c:ptCount val="1"/>
                <c:pt idx="0">
                  <c:v>Gobierno Central Presupuestario</c:v>
                </c:pt>
              </c:strCache>
            </c:strRef>
          </c:tx>
          <c:spPr>
            <a:ln w="38100" cap="rnd">
              <a:noFill/>
              <a:round/>
            </a:ln>
            <a:effectLst>
              <a:outerShdw blurRad="50800" dist="38100" dir="18900000" algn="bl" rotWithShape="0">
                <a:prstClr val="black">
                  <a:alpha val="40000"/>
                </a:prstClr>
              </a:outerShdw>
            </a:effectLst>
          </c:spPr>
          <c:marker>
            <c:symbol val="circle"/>
            <c:size val="25"/>
            <c:spPr>
              <a:solidFill>
                <a:schemeClr val="accent6"/>
              </a:solidFill>
              <a:ln>
                <a:noFill/>
              </a:ln>
              <a:effectLst>
                <a:outerShdw blurRad="50800" dist="38100" dir="18900000" algn="bl" rotWithShape="0">
                  <a:prstClr val="black">
                    <a:alpha val="40000"/>
                  </a:prstClr>
                </a:outerShdw>
              </a:effectLst>
              <a:scene3d>
                <a:camera prst="orthographicFront"/>
                <a:lightRig rig="threePt" dir="t"/>
              </a:scene3d>
              <a:sp3d prstMaterial="dkEdge">
                <a:bevelT/>
                <a:bevelB/>
              </a:sp3d>
            </c:spPr>
          </c:marker>
          <c:dPt>
            <c:idx val="0"/>
            <c:bubble3D val="0"/>
            <c:spPr>
              <a:ln w="25400" cap="rnd">
                <a:noFill/>
                <a:round/>
              </a:ln>
              <a:effectLst>
                <a:outerShdw blurRad="50800" dist="38100" dir="18900000" algn="bl" rotWithShape="0">
                  <a:prstClr val="black">
                    <a:alpha val="40000"/>
                  </a:prstClr>
                </a:outerShdw>
              </a:effectLst>
            </c:spPr>
            <c:extLst xmlns:c16r2="http://schemas.microsoft.com/office/drawing/2015/06/chart">
              <c:ext xmlns:c16="http://schemas.microsoft.com/office/drawing/2014/chart" uri="{C3380CC4-5D6E-409C-BE32-E72D297353CC}">
                <c16:uniqueId val="{00000001-2A6D-4774-BFB6-CD168038357E}"/>
              </c:ext>
            </c:extLst>
          </c:dPt>
          <c:dPt>
            <c:idx val="1"/>
            <c:bubble3D val="0"/>
            <c:extLst xmlns:c16r2="http://schemas.microsoft.com/office/drawing/2015/06/chart">
              <c:ext xmlns:c16="http://schemas.microsoft.com/office/drawing/2014/chart" uri="{C3380CC4-5D6E-409C-BE32-E72D297353CC}">
                <c16:uniqueId val="{00000002-2A6D-4774-BFB6-CD168038357E}"/>
              </c:ext>
            </c:extLst>
          </c:dPt>
          <c:dPt>
            <c:idx val="2"/>
            <c:bubble3D val="0"/>
            <c:extLst xmlns:c16r2="http://schemas.microsoft.com/office/drawing/2015/06/chart">
              <c:ext xmlns:c16="http://schemas.microsoft.com/office/drawing/2014/chart" uri="{C3380CC4-5D6E-409C-BE32-E72D297353CC}">
                <c16:uniqueId val="{00000003-2A6D-4774-BFB6-CD168038357E}"/>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Total Otros ingresos</c:v>
                </c:pt>
                <c:pt idx="1">
                  <c:v>Contribuciones a la seguridad social</c:v>
                </c:pt>
                <c:pt idx="2">
                  <c:v>Otras contribuciones sociales</c:v>
                </c:pt>
              </c:strCache>
            </c:strRef>
          </c:cat>
          <c:val>
            <c:numRef>
              <c:f>Hoja1!$B$2:$B$4</c:f>
              <c:numCache>
                <c:formatCode>_(* #,##0.00_);_(* \(#,##0.00\);_(* "-"??_);_(@_)</c:formatCode>
                <c:ptCount val="3"/>
                <c:pt idx="0">
                  <c:v>0.81418890855119785</c:v>
                </c:pt>
                <c:pt idx="1">
                  <c:v>0</c:v>
                </c:pt>
                <c:pt idx="2">
                  <c:v>0.81418890855119785</c:v>
                </c:pt>
              </c:numCache>
            </c:numRef>
          </c:val>
          <c:smooth val="0"/>
          <c:extLst xmlns:c16r2="http://schemas.microsoft.com/office/drawing/2015/06/chart">
            <c:ext xmlns:c16="http://schemas.microsoft.com/office/drawing/2014/chart" uri="{C3380CC4-5D6E-409C-BE32-E72D297353CC}">
              <c16:uniqueId val="{00000004-2A6D-4774-BFB6-CD168038357E}"/>
            </c:ext>
          </c:extLst>
        </c:ser>
        <c:ser>
          <c:idx val="1"/>
          <c:order val="1"/>
          <c:tx>
            <c:strRef>
              <c:f>Hoja1!$C$1</c:f>
              <c:strCache>
                <c:ptCount val="1"/>
                <c:pt idx="0">
                  <c:v>Gobierno General</c:v>
                </c:pt>
              </c:strCache>
            </c:strRef>
          </c:tx>
          <c:spPr>
            <a:ln w="38100" cap="rnd">
              <a:noFill/>
              <a:round/>
            </a:ln>
            <a:effectLst>
              <a:outerShdw blurRad="50800" dist="38100" dir="19560000" algn="bl" rotWithShape="0">
                <a:prstClr val="black">
                  <a:alpha val="40000"/>
                </a:prstClr>
              </a:outerShdw>
            </a:effectLst>
          </c:spPr>
          <c:marker>
            <c:symbol val="circle"/>
            <c:size val="26"/>
            <c:spPr>
              <a:solidFill>
                <a:schemeClr val="bg1">
                  <a:lumMod val="65000"/>
                </a:schemeClr>
              </a:solidFill>
              <a:ln>
                <a:noFill/>
              </a:ln>
              <a:effectLst>
                <a:outerShdw blurRad="50800" dist="38100" dir="19560000" algn="bl" rotWithShape="0">
                  <a:prstClr val="black">
                    <a:alpha val="40000"/>
                  </a:prstClr>
                </a:outerShdw>
              </a:effectLst>
              <a:scene3d>
                <a:camera prst="orthographicFront"/>
                <a:lightRig rig="threePt" dir="t"/>
              </a:scene3d>
              <a:sp3d prstMaterial="dkEdge">
                <a:bevelT/>
                <a:bevelB prst="relaxedInset"/>
              </a:sp3d>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7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Total Otros ingresos</c:v>
                </c:pt>
                <c:pt idx="1">
                  <c:v>Contribuciones a la seguridad social</c:v>
                </c:pt>
                <c:pt idx="2">
                  <c:v>Otras contribuciones sociales</c:v>
                </c:pt>
              </c:strCache>
            </c:strRef>
          </c:cat>
          <c:val>
            <c:numRef>
              <c:f>Hoja1!$C$2:$C$4</c:f>
              <c:numCache>
                <c:formatCode>_(* #,##0.00_);_(* \(#,##0.00\);_(* "-"??_);_(@_)</c:formatCode>
                <c:ptCount val="3"/>
                <c:pt idx="0">
                  <c:v>2.7863019259216055</c:v>
                </c:pt>
                <c:pt idx="1">
                  <c:v>1.7920783827870572</c:v>
                </c:pt>
                <c:pt idx="2">
                  <c:v>0.9942235431345483</c:v>
                </c:pt>
              </c:numCache>
            </c:numRef>
          </c:val>
          <c:smooth val="0"/>
          <c:extLst xmlns:c16r2="http://schemas.microsoft.com/office/drawing/2015/06/chart">
            <c:ext xmlns:c16="http://schemas.microsoft.com/office/drawing/2014/chart" uri="{C3380CC4-5D6E-409C-BE32-E72D297353CC}">
              <c16:uniqueId val="{00000005-2A6D-4774-BFB6-CD168038357E}"/>
            </c:ext>
          </c:extLst>
        </c:ser>
        <c:dLbls>
          <c:showLegendKey val="0"/>
          <c:showVal val="1"/>
          <c:showCatName val="0"/>
          <c:showSerName val="0"/>
          <c:showPercent val="0"/>
          <c:showBubbleSize val="0"/>
        </c:dLbls>
        <c:hiLowLines>
          <c:spPr>
            <a:ln w="25400">
              <a:solidFill>
                <a:schemeClr val="accent5"/>
              </a:solidFill>
              <a:prstDash val="dash"/>
            </a:ln>
            <a:effectLst>
              <a:outerShdw blurRad="50800" dist="38100" dir="18900000" algn="bl" rotWithShape="0">
                <a:prstClr val="black">
                  <a:alpha val="40000"/>
                </a:prstClr>
              </a:outerShdw>
            </a:effectLst>
          </c:spPr>
        </c:hiLowLines>
        <c:marker val="1"/>
        <c:smooth val="0"/>
        <c:axId val="242846336"/>
        <c:axId val="242852224"/>
      </c:lineChart>
      <c:catAx>
        <c:axId val="242846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242852224"/>
        <c:crosses val="autoZero"/>
        <c:auto val="1"/>
        <c:lblAlgn val="ctr"/>
        <c:lblOffset val="100"/>
        <c:tickMarkSkip val="1"/>
        <c:noMultiLvlLbl val="0"/>
      </c:catAx>
      <c:valAx>
        <c:axId val="242852224"/>
        <c:scaling>
          <c:orientation val="minMax"/>
          <c:min val="-0.60000000000000009"/>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 #,##0.0_-;\-* #,##0.0_-;_-* &quot;-&quot;?_-;_-@_-"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42846336"/>
        <c:crosses val="autoZero"/>
        <c:crossBetween val="between"/>
      </c:valAx>
      <c:spPr>
        <a:noFill/>
        <a:ln>
          <a:noFill/>
        </a:ln>
        <a:effectLst/>
      </c:spPr>
    </c:plotArea>
    <c:legend>
      <c:legendPos val="b"/>
      <c:layout>
        <c:manualLayout>
          <c:xMode val="edge"/>
          <c:yMode val="edge"/>
          <c:x val="0.2213642825896763"/>
          <c:y val="0.92153632873042202"/>
          <c:w val="0.5481358375285057"/>
          <c:h val="6.685779321832557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userShapes r:id="rId2"/>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sz="1200" b="1">
                <a:solidFill>
                  <a:sysClr val="windowText" lastClr="000000"/>
                </a:solidFill>
              </a:rPr>
              <a:t>Otros Ingresos Según los Estandares</a:t>
            </a:r>
            <a:r>
              <a:rPr lang="en-US" sz="1200" b="1" baseline="0">
                <a:solidFill>
                  <a:sysClr val="windowText" lastClr="000000"/>
                </a:solidFill>
              </a:rPr>
              <a:t> Internacionales</a:t>
            </a:r>
          </a:p>
          <a:p>
            <a:pPr>
              <a:defRPr sz="20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sz="1200" b="1" baseline="0">
                <a:solidFill>
                  <a:sysClr val="windowText" lastClr="000000"/>
                </a:solidFill>
              </a:rPr>
              <a:t>Para el año 2020</a:t>
            </a:r>
          </a:p>
          <a:p>
            <a:pPr>
              <a:defRPr sz="20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sz="1100" baseline="0">
                <a:solidFill>
                  <a:sysClr val="windowText" lastClr="000000"/>
                </a:solidFill>
              </a:rPr>
              <a:t>Como porcentajes del PIB</a:t>
            </a:r>
            <a:endParaRPr lang="en-US" sz="1100">
              <a:solidFill>
                <a:sysClr val="windowText" lastClr="000000"/>
              </a:solidFill>
            </a:endParaRPr>
          </a:p>
        </c:rich>
      </c:tx>
      <c:layout>
        <c:manualLayout>
          <c:xMode val="edge"/>
          <c:yMode val="edge"/>
          <c:x val="0.18629629629629629"/>
          <c:y val="0"/>
        </c:manualLayout>
      </c:layout>
      <c:overlay val="0"/>
      <c:spPr>
        <a:noFill/>
        <a:ln>
          <a:noFill/>
        </a:ln>
        <a:effectLst/>
      </c:spPr>
    </c:title>
    <c:autoTitleDeleted val="0"/>
    <c:plotArea>
      <c:layout>
        <c:manualLayout>
          <c:layoutTarget val="inner"/>
          <c:xMode val="edge"/>
          <c:yMode val="edge"/>
          <c:x val="0"/>
          <c:y val="0.2505658744574501"/>
          <c:w val="1"/>
          <c:h val="0.55760110695951215"/>
        </c:manualLayout>
      </c:layout>
      <c:barChart>
        <c:barDir val="col"/>
        <c:grouping val="clustered"/>
        <c:varyColors val="1"/>
        <c:ser>
          <c:idx val="0"/>
          <c:order val="0"/>
          <c:tx>
            <c:strRef>
              <c:f>Hoja1!$B$1</c:f>
              <c:strCache>
                <c:ptCount val="1"/>
                <c:pt idx="0">
                  <c:v>Gobierno Central Presupuestario</c:v>
                </c:pt>
              </c:strCache>
            </c:strRef>
          </c:tx>
          <c:spPr>
            <a:solidFill>
              <a:schemeClr val="accent1"/>
            </a:solidFill>
            <a:ln>
              <a:solidFill>
                <a:schemeClr val="tx1"/>
              </a:solidFill>
            </a:ln>
            <a:effectLst>
              <a:outerShdw blurRad="50800" dist="38100" dir="18900000" algn="bl" rotWithShape="0">
                <a:prstClr val="black">
                  <a:alpha val="40000"/>
                </a:prstClr>
              </a:out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0-938B-4C44-880E-BD959453D584}"/>
              </c:ext>
            </c:extLst>
          </c:dPt>
          <c:dPt>
            <c:idx val="1"/>
            <c:invertIfNegative val="0"/>
            <c:bubble3D val="0"/>
            <c:extLst xmlns:c16r2="http://schemas.microsoft.com/office/drawing/2015/06/chart">
              <c:ext xmlns:c16="http://schemas.microsoft.com/office/drawing/2014/chart" uri="{C3380CC4-5D6E-409C-BE32-E72D297353CC}">
                <c16:uniqueId val="{00000001-938B-4C44-880E-BD959453D584}"/>
              </c:ext>
            </c:extLst>
          </c:dPt>
          <c:dPt>
            <c:idx val="2"/>
            <c:invertIfNegative val="0"/>
            <c:bubble3D val="0"/>
            <c:extLst xmlns:c16r2="http://schemas.microsoft.com/office/drawing/2015/06/chart">
              <c:ext xmlns:c16="http://schemas.microsoft.com/office/drawing/2014/chart" uri="{C3380CC4-5D6E-409C-BE32-E72D297353CC}">
                <c16:uniqueId val="{00000002-938B-4C44-880E-BD959453D584}"/>
              </c:ext>
            </c:extLst>
          </c:dPt>
          <c:dPt>
            <c:idx val="3"/>
            <c:invertIfNegative val="0"/>
            <c:bubble3D val="0"/>
            <c:extLst xmlns:c16r2="http://schemas.microsoft.com/office/drawing/2015/06/chart">
              <c:ext xmlns:c16="http://schemas.microsoft.com/office/drawing/2014/chart" uri="{C3380CC4-5D6E-409C-BE32-E72D297353CC}">
                <c16:uniqueId val="{00000003-938B-4C44-880E-BD959453D584}"/>
              </c:ext>
            </c:extLst>
          </c:dPt>
          <c:dPt>
            <c:idx val="4"/>
            <c:invertIfNegative val="0"/>
            <c:bubble3D val="0"/>
            <c:extLst xmlns:c16r2="http://schemas.microsoft.com/office/drawing/2015/06/chart">
              <c:ext xmlns:c16="http://schemas.microsoft.com/office/drawing/2014/chart" uri="{C3380CC4-5D6E-409C-BE32-E72D297353CC}">
                <c16:uniqueId val="{00000004-938B-4C44-880E-BD959453D584}"/>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Total Otros ingresos</c:v>
                </c:pt>
                <c:pt idx="1">
                  <c:v>Venta de bienes y servicios</c:v>
                </c:pt>
                <c:pt idx="2">
                  <c:v>Rentas de la propiedad</c:v>
                </c:pt>
                <c:pt idx="3">
                  <c:v>Multas, sanciones pecuniarias y depósitos en caución transferidos</c:v>
                </c:pt>
                <c:pt idx="4">
                  <c:v>Transferencias no clasificadas en otra parte</c:v>
                </c:pt>
              </c:strCache>
            </c:strRef>
          </c:cat>
          <c:val>
            <c:numRef>
              <c:f>Hoja1!$B$2:$B$6</c:f>
              <c:numCache>
                <c:formatCode>_(* #,##0.00_);_(* \(#,##0.00\);_(* "-"??_);_(@_)</c:formatCode>
                <c:ptCount val="5"/>
                <c:pt idx="0">
                  <c:v>0.26232765133138503</c:v>
                </c:pt>
                <c:pt idx="1">
                  <c:v>0.10223424693583472</c:v>
                </c:pt>
                <c:pt idx="2">
                  <c:v>4.7212182032117911E-2</c:v>
                </c:pt>
                <c:pt idx="3">
                  <c:v>8.3131999053072864E-2</c:v>
                </c:pt>
                <c:pt idx="4">
                  <c:v>2.9749223310359556E-2</c:v>
                </c:pt>
              </c:numCache>
            </c:numRef>
          </c:val>
          <c:extLst xmlns:c16r2="http://schemas.microsoft.com/office/drawing/2015/06/chart">
            <c:ext xmlns:c16="http://schemas.microsoft.com/office/drawing/2014/chart" uri="{C3380CC4-5D6E-409C-BE32-E72D297353CC}">
              <c16:uniqueId val="{00000005-938B-4C44-880E-BD959453D584}"/>
            </c:ext>
          </c:extLst>
        </c:ser>
        <c:ser>
          <c:idx val="1"/>
          <c:order val="1"/>
          <c:tx>
            <c:strRef>
              <c:f>Hoja1!$C$1</c:f>
              <c:strCache>
                <c:ptCount val="1"/>
                <c:pt idx="0">
                  <c:v>Gobierno General</c:v>
                </c:pt>
              </c:strCache>
            </c:strRef>
          </c:tx>
          <c:spPr>
            <a:solidFill>
              <a:schemeClr val="accent3"/>
            </a:solidFill>
            <a:ln>
              <a:solidFill>
                <a:schemeClr val="tx1"/>
              </a:solidFill>
            </a:ln>
            <a:effectLst>
              <a:outerShdw blurRad="50800" dist="38100" dir="18900000" algn="bl" rotWithShape="0">
                <a:prstClr val="black">
                  <a:alpha val="40000"/>
                </a:prstClr>
              </a:outerShdw>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7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Total Otros ingresos</c:v>
                </c:pt>
                <c:pt idx="1">
                  <c:v>Venta de bienes y servicios</c:v>
                </c:pt>
                <c:pt idx="2">
                  <c:v>Rentas de la propiedad</c:v>
                </c:pt>
                <c:pt idx="3">
                  <c:v>Multas, sanciones pecuniarias y depósitos en caución transferidos</c:v>
                </c:pt>
                <c:pt idx="4">
                  <c:v>Transferencias no clasificadas en otra parte</c:v>
                </c:pt>
              </c:strCache>
            </c:strRef>
          </c:cat>
          <c:val>
            <c:numRef>
              <c:f>Hoja1!$C$2:$C$6</c:f>
              <c:numCache>
                <c:formatCode>_(* #,##0.00_);_(* \(#,##0.00\);_(* "-"??_);_(@_)</c:formatCode>
                <c:ptCount val="5"/>
                <c:pt idx="0">
                  <c:v>1.1184549631411396</c:v>
                </c:pt>
                <c:pt idx="1">
                  <c:v>0.51911957952150711</c:v>
                </c:pt>
                <c:pt idx="2">
                  <c:v>0.35066170567224031</c:v>
                </c:pt>
                <c:pt idx="3">
                  <c:v>0.13623900804817951</c:v>
                </c:pt>
                <c:pt idx="4">
                  <c:v>0.11243466989921261</c:v>
                </c:pt>
              </c:numCache>
            </c:numRef>
          </c:val>
          <c:extLst xmlns:c16r2="http://schemas.microsoft.com/office/drawing/2015/06/chart">
            <c:ext xmlns:c16="http://schemas.microsoft.com/office/drawing/2014/chart" uri="{C3380CC4-5D6E-409C-BE32-E72D297353CC}">
              <c16:uniqueId val="{00000006-938B-4C44-880E-BD959453D584}"/>
            </c:ext>
          </c:extLst>
        </c:ser>
        <c:dLbls>
          <c:showLegendKey val="0"/>
          <c:showVal val="1"/>
          <c:showCatName val="0"/>
          <c:showSerName val="0"/>
          <c:showPercent val="0"/>
          <c:showBubbleSize val="0"/>
        </c:dLbls>
        <c:gapWidth val="107"/>
        <c:axId val="242635904"/>
        <c:axId val="242637440"/>
      </c:barChart>
      <c:catAx>
        <c:axId val="242635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242637440"/>
        <c:crosses val="autoZero"/>
        <c:auto val="1"/>
        <c:lblAlgn val="ctr"/>
        <c:lblOffset val="100"/>
        <c:noMultiLvlLbl val="0"/>
      </c:catAx>
      <c:valAx>
        <c:axId val="242637440"/>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 #,##0.00_);_(* \(#,##0.00\);_(* &quot;-&quot;??_);_(@_)" sourceLinked="1"/>
        <c:majorTickMark val="none"/>
        <c:minorTickMark val="none"/>
        <c:tickLblPos val="nextTo"/>
        <c:crossAx val="242635904"/>
        <c:crosses val="autoZero"/>
        <c:crossBetween val="between"/>
      </c:valAx>
      <c:spPr>
        <a:noFill/>
        <a:ln>
          <a:noFill/>
        </a:ln>
        <a:effectLst/>
      </c:spPr>
    </c:plotArea>
    <c:legend>
      <c:legendPos val="r"/>
      <c:layout>
        <c:manualLayout>
          <c:xMode val="edge"/>
          <c:yMode val="edge"/>
          <c:x val="0.66615781994333567"/>
          <c:y val="0.23882843090361508"/>
          <c:w val="0.33384218005666433"/>
          <c:h val="0.14213802453578933"/>
        </c:manualLayout>
      </c:layout>
      <c:overlay val="0"/>
    </c:legend>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userShapes r:id="rId2"/>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s-GT" sz="1200" b="1" i="0" baseline="0">
                <a:solidFill>
                  <a:schemeClr val="tx1"/>
                </a:solidFill>
                <a:effectLst/>
              </a:rPr>
              <a:t>Gastos según los Estandares Internacionales</a:t>
            </a:r>
          </a:p>
          <a:p>
            <a:pPr>
              <a:defRPr sz="20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s-GT" sz="1200" b="1" i="0" baseline="0">
                <a:solidFill>
                  <a:schemeClr val="tx1"/>
                </a:solidFill>
                <a:effectLst/>
              </a:rPr>
              <a:t>Para el año 2020</a:t>
            </a:r>
            <a:endParaRPr lang="es-GT" sz="1200" b="1">
              <a:solidFill>
                <a:schemeClr val="tx1"/>
              </a:solidFill>
              <a:effectLst/>
            </a:endParaRPr>
          </a:p>
          <a:p>
            <a:pPr>
              <a:defRPr sz="20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sz="1100" b="0" i="0" baseline="0">
                <a:solidFill>
                  <a:schemeClr val="tx1"/>
                </a:solidFill>
                <a:effectLst/>
              </a:rPr>
              <a:t>Como porecentajes del PIB</a:t>
            </a:r>
            <a:endParaRPr lang="es-GT" sz="1100">
              <a:solidFill>
                <a:schemeClr val="tx1"/>
              </a:solidFill>
              <a:effectLst/>
            </a:endParaRPr>
          </a:p>
        </c:rich>
      </c:tx>
      <c:layout>
        <c:manualLayout>
          <c:xMode val="edge"/>
          <c:yMode val="edge"/>
          <c:x val="0.24475722649293344"/>
          <c:y val="0"/>
        </c:manualLayout>
      </c:layout>
      <c:overlay val="0"/>
      <c:spPr>
        <a:noFill/>
        <a:ln>
          <a:noFill/>
        </a:ln>
        <a:effectLst/>
      </c:spPr>
    </c:title>
    <c:autoTitleDeleted val="0"/>
    <c:plotArea>
      <c:layout>
        <c:manualLayout>
          <c:layoutTarget val="inner"/>
          <c:xMode val="edge"/>
          <c:yMode val="edge"/>
          <c:x val="0.28083297888159237"/>
          <c:y val="0.2433816310984924"/>
          <c:w val="0.71916702111840758"/>
          <c:h val="0.75661836890150769"/>
        </c:manualLayout>
      </c:layout>
      <c:barChart>
        <c:barDir val="bar"/>
        <c:grouping val="clustered"/>
        <c:varyColors val="0"/>
        <c:ser>
          <c:idx val="1"/>
          <c:order val="0"/>
          <c:tx>
            <c:strRef>
              <c:f>Hoja1!$C$1</c:f>
              <c:strCache>
                <c:ptCount val="1"/>
                <c:pt idx="0">
                  <c:v>Gobierno General</c:v>
                </c:pt>
              </c:strCache>
            </c:strRef>
          </c:tx>
          <c:spPr>
            <a:solidFill>
              <a:schemeClr val="accent5">
                <a:lumMod val="60000"/>
                <a:lumOff val="40000"/>
              </a:schemeClr>
            </a:solidFill>
            <a:ln>
              <a:solidFill>
                <a:schemeClr val="tx1"/>
              </a:solidFill>
            </a:ln>
            <a:effectLst>
              <a:outerShdw blurRad="50800" dist="38100" dir="18900000" algn="b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Hoja1!$A$2:$A$9</c:f>
              <c:strCache>
                <c:ptCount val="8"/>
                <c:pt idx="0">
                  <c:v>Total Gastos</c:v>
                </c:pt>
                <c:pt idx="1">
                  <c:v>Remuneración a los empleados</c:v>
                </c:pt>
                <c:pt idx="2">
                  <c:v>Prestaciones sociales</c:v>
                </c:pt>
                <c:pt idx="3">
                  <c:v>Uso de bienes y servicios</c:v>
                </c:pt>
                <c:pt idx="4">
                  <c:v>Intereses</c:v>
                </c:pt>
                <c:pt idx="5">
                  <c:v>Otros gastos</c:v>
                </c:pt>
                <c:pt idx="6">
                  <c:v>Subsidios</c:v>
                </c:pt>
                <c:pt idx="7">
                  <c:v>Donaciones</c:v>
                </c:pt>
              </c:strCache>
            </c:strRef>
          </c:cat>
          <c:val>
            <c:numRef>
              <c:f>Hoja1!$C$2:$C$9</c:f>
              <c:numCache>
                <c:formatCode>#,##0.0</c:formatCode>
                <c:ptCount val="8"/>
                <c:pt idx="0">
                  <c:v>16.058950592358027</c:v>
                </c:pt>
                <c:pt idx="1">
                  <c:v>7.6384992119359243</c:v>
                </c:pt>
                <c:pt idx="2">
                  <c:v>2.8596650295156132</c:v>
                </c:pt>
                <c:pt idx="3">
                  <c:v>2.5075450087987941</c:v>
                </c:pt>
                <c:pt idx="4">
                  <c:v>1.5193195351990356</c:v>
                </c:pt>
                <c:pt idx="5">
                  <c:v>1.033201984919832</c:v>
                </c:pt>
                <c:pt idx="6">
                  <c:v>0.46270672822623277</c:v>
                </c:pt>
                <c:pt idx="7">
                  <c:v>3.8013093762597761E-2</c:v>
                </c:pt>
              </c:numCache>
            </c:numRef>
          </c:val>
          <c:extLst xmlns:c16r2="http://schemas.microsoft.com/office/drawing/2015/06/chart">
            <c:ext xmlns:c16="http://schemas.microsoft.com/office/drawing/2014/chart" uri="{C3380CC4-5D6E-409C-BE32-E72D297353CC}">
              <c16:uniqueId val="{00000000-B55A-44F1-BA86-E276F4970492}"/>
            </c:ext>
          </c:extLst>
        </c:ser>
        <c:ser>
          <c:idx val="0"/>
          <c:order val="1"/>
          <c:tx>
            <c:strRef>
              <c:f>Hoja1!$B$1</c:f>
              <c:strCache>
                <c:ptCount val="1"/>
                <c:pt idx="0">
                  <c:v>Gobierno Central Presupuestario</c:v>
                </c:pt>
              </c:strCache>
            </c:strRef>
          </c:tx>
          <c:spPr>
            <a:solidFill>
              <a:srgbClr val="FFC000"/>
            </a:solidFill>
            <a:ln>
              <a:solidFill>
                <a:schemeClr val="tx1"/>
              </a:solidFill>
            </a:ln>
            <a:effectLst>
              <a:outerShdw blurRad="50800" dist="38100" dir="18900000" algn="bl" rotWithShape="0">
                <a:prstClr val="black">
                  <a:alpha val="40000"/>
                </a:prstClr>
              </a:out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1-B55A-44F1-BA86-E276F4970492}"/>
              </c:ext>
            </c:extLst>
          </c:dPt>
          <c:dPt>
            <c:idx val="1"/>
            <c:invertIfNegative val="0"/>
            <c:bubble3D val="0"/>
            <c:extLst xmlns:c16r2="http://schemas.microsoft.com/office/drawing/2015/06/chart">
              <c:ext xmlns:c16="http://schemas.microsoft.com/office/drawing/2014/chart" uri="{C3380CC4-5D6E-409C-BE32-E72D297353CC}">
                <c16:uniqueId val="{00000002-B55A-44F1-BA86-E276F4970492}"/>
              </c:ext>
            </c:extLst>
          </c:dPt>
          <c:dPt>
            <c:idx val="2"/>
            <c:invertIfNegative val="0"/>
            <c:bubble3D val="0"/>
            <c:extLst xmlns:c16r2="http://schemas.microsoft.com/office/drawing/2015/06/chart">
              <c:ext xmlns:c16="http://schemas.microsoft.com/office/drawing/2014/chart" uri="{C3380CC4-5D6E-409C-BE32-E72D297353CC}">
                <c16:uniqueId val="{00000003-B55A-44F1-BA86-E276F4970492}"/>
              </c:ext>
            </c:extLst>
          </c:dPt>
          <c:dPt>
            <c:idx val="3"/>
            <c:invertIfNegative val="0"/>
            <c:bubble3D val="0"/>
            <c:extLst xmlns:c16r2="http://schemas.microsoft.com/office/drawing/2015/06/chart">
              <c:ext xmlns:c16="http://schemas.microsoft.com/office/drawing/2014/chart" uri="{C3380CC4-5D6E-409C-BE32-E72D297353CC}">
                <c16:uniqueId val="{00000004-B55A-44F1-BA86-E276F4970492}"/>
              </c:ext>
            </c:extLst>
          </c:dPt>
          <c:dPt>
            <c:idx val="4"/>
            <c:invertIfNegative val="0"/>
            <c:bubble3D val="0"/>
            <c:extLst xmlns:c16r2="http://schemas.microsoft.com/office/drawing/2015/06/chart">
              <c:ext xmlns:c16="http://schemas.microsoft.com/office/drawing/2014/chart" uri="{C3380CC4-5D6E-409C-BE32-E72D297353CC}">
                <c16:uniqueId val="{00000005-B55A-44F1-BA86-E276F4970492}"/>
              </c:ext>
            </c:extLst>
          </c:dPt>
          <c:dPt>
            <c:idx val="5"/>
            <c:invertIfNegative val="0"/>
            <c:bubble3D val="0"/>
            <c:extLst xmlns:c16r2="http://schemas.microsoft.com/office/drawing/2015/06/chart">
              <c:ext xmlns:c16="http://schemas.microsoft.com/office/drawing/2014/chart" uri="{C3380CC4-5D6E-409C-BE32-E72D297353CC}">
                <c16:uniqueId val="{00000006-B55A-44F1-BA86-E276F4970492}"/>
              </c:ext>
            </c:extLst>
          </c:dPt>
          <c:dPt>
            <c:idx val="6"/>
            <c:invertIfNegative val="0"/>
            <c:bubble3D val="0"/>
            <c:extLst xmlns:c16r2="http://schemas.microsoft.com/office/drawing/2015/06/chart">
              <c:ext xmlns:c16="http://schemas.microsoft.com/office/drawing/2014/chart" uri="{C3380CC4-5D6E-409C-BE32-E72D297353CC}">
                <c16:uniqueId val="{00000007-B55A-44F1-BA86-E276F4970492}"/>
              </c:ext>
            </c:extLst>
          </c:dPt>
          <c:dPt>
            <c:idx val="7"/>
            <c:invertIfNegative val="0"/>
            <c:bubble3D val="0"/>
            <c:extLst xmlns:c16r2="http://schemas.microsoft.com/office/drawing/2015/06/chart">
              <c:ext xmlns:c16="http://schemas.microsoft.com/office/drawing/2014/chart" uri="{C3380CC4-5D6E-409C-BE32-E72D297353CC}">
                <c16:uniqueId val="{00000008-B55A-44F1-BA86-E276F4970492}"/>
              </c:ext>
            </c:extLst>
          </c:dPt>
          <c:dLbls>
            <c:spPr>
              <a:noFill/>
              <a:ln>
                <a:noFill/>
              </a:ln>
              <a:effectLst/>
            </c:spPr>
            <c:txPr>
              <a:bodyPr rot="0" spcFirstLastPara="1" vertOverflow="ellipsis" vert="horz" wrap="square" anchor="ctr" anchorCtr="1"/>
              <a:lstStyle/>
              <a:p>
                <a:pPr>
                  <a:defRPr sz="900" b="1" i="0" u="none" strike="noStrike" kern="1200" baseline="0">
                    <a:solidFill>
                      <a:schemeClr val="accent4">
                        <a:lumMod val="75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Hoja1!$A$2:$A$9</c:f>
              <c:strCache>
                <c:ptCount val="8"/>
                <c:pt idx="0">
                  <c:v>Total Gastos</c:v>
                </c:pt>
                <c:pt idx="1">
                  <c:v>Remuneración a los empleados</c:v>
                </c:pt>
                <c:pt idx="2">
                  <c:v>Prestaciones sociales</c:v>
                </c:pt>
                <c:pt idx="3">
                  <c:v>Uso de bienes y servicios</c:v>
                </c:pt>
                <c:pt idx="4">
                  <c:v>Intereses</c:v>
                </c:pt>
                <c:pt idx="5">
                  <c:v>Otros gastos</c:v>
                </c:pt>
                <c:pt idx="6">
                  <c:v>Subsidios</c:v>
                </c:pt>
                <c:pt idx="7">
                  <c:v>Donaciones</c:v>
                </c:pt>
              </c:strCache>
            </c:strRef>
          </c:cat>
          <c:val>
            <c:numRef>
              <c:f>Hoja1!$B$2:$B$9</c:f>
              <c:numCache>
                <c:formatCode>#,##0.0</c:formatCode>
                <c:ptCount val="8"/>
                <c:pt idx="0">
                  <c:v>14.931410632296744</c:v>
                </c:pt>
                <c:pt idx="1">
                  <c:v>4.9789569691088946</c:v>
                </c:pt>
                <c:pt idx="2">
                  <c:v>1.982315385956833</c:v>
                </c:pt>
                <c:pt idx="3">
                  <c:v>1.5221876617348662</c:v>
                </c:pt>
                <c:pt idx="4">
                  <c:v>1.6983060458186026</c:v>
                </c:pt>
                <c:pt idx="5">
                  <c:v>0.94386490326430916</c:v>
                </c:pt>
                <c:pt idx="6">
                  <c:v>0.44589442651357486</c:v>
                </c:pt>
                <c:pt idx="7">
                  <c:v>3.3598852398996635</c:v>
                </c:pt>
              </c:numCache>
            </c:numRef>
          </c:val>
          <c:extLst xmlns:c16r2="http://schemas.microsoft.com/office/drawing/2015/06/chart">
            <c:ext xmlns:c16="http://schemas.microsoft.com/office/drawing/2014/chart" uri="{C3380CC4-5D6E-409C-BE32-E72D297353CC}">
              <c16:uniqueId val="{00000009-B55A-44F1-BA86-E276F4970492}"/>
            </c:ext>
          </c:extLst>
        </c:ser>
        <c:dLbls>
          <c:showLegendKey val="0"/>
          <c:showVal val="1"/>
          <c:showCatName val="0"/>
          <c:showSerName val="0"/>
          <c:showPercent val="0"/>
          <c:showBubbleSize val="0"/>
        </c:dLbls>
        <c:gapWidth val="50"/>
        <c:axId val="243238400"/>
        <c:axId val="243239936"/>
      </c:barChart>
      <c:catAx>
        <c:axId val="24323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43239936"/>
        <c:crosses val="autoZero"/>
        <c:auto val="1"/>
        <c:lblAlgn val="ctr"/>
        <c:lblOffset val="100"/>
        <c:noMultiLvlLbl val="0"/>
      </c:catAx>
      <c:valAx>
        <c:axId val="243239936"/>
        <c:scaling>
          <c:orientation val="minMax"/>
        </c:scaling>
        <c:delete val="1"/>
        <c:axPos val="b"/>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crossAx val="243238400"/>
        <c:crosses val="autoZero"/>
        <c:crossBetween val="between"/>
      </c:valAx>
      <c:spPr>
        <a:noFill/>
        <a:ln>
          <a:noFill/>
        </a:ln>
        <a:effectLst/>
      </c:spPr>
    </c:plotArea>
    <c:legend>
      <c:legendPos val="r"/>
      <c:layout>
        <c:manualLayout>
          <c:xMode val="edge"/>
          <c:yMode val="edge"/>
          <c:x val="0.70810501454116659"/>
          <c:y val="0.25936663998239945"/>
          <c:w val="0.29189498545883347"/>
          <c:h val="0.149005441002194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userShapes r:id="rId2"/>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200" cap="none" spc="0" baseline="0">
                <a:solidFill>
                  <a:schemeClr val="tx1"/>
                </a:solidFill>
                <a:latin typeface="Times New Roman" panose="02020603050405020304" pitchFamily="18" charset="0"/>
              </a:rPr>
              <a:t>Inversión bruta en activos no financieros 2018-2020</a:t>
            </a:r>
          </a:p>
          <a:p>
            <a:pPr>
              <a:defRPr sz="1800" b="1" i="0" u="none" strike="noStrike" kern="1200" cap="all" spc="150" baseline="0">
                <a:solidFill>
                  <a:schemeClr val="tx1">
                    <a:lumMod val="50000"/>
                    <a:lumOff val="50000"/>
                  </a:schemeClr>
                </a:solidFill>
                <a:latin typeface="+mn-lt"/>
                <a:ea typeface="+mn-ea"/>
                <a:cs typeface="+mn-cs"/>
              </a:defRPr>
            </a:pPr>
            <a:r>
              <a:rPr lang="en-US" sz="1050" b="0" cap="none" spc="0" baseline="0">
                <a:solidFill>
                  <a:schemeClr val="tx1"/>
                </a:solidFill>
                <a:latin typeface="Times New Roman" panose="02020603050405020304" pitchFamily="18" charset="0"/>
              </a:rPr>
              <a:t>Como porecentajes del PIB</a:t>
            </a:r>
          </a:p>
        </c:rich>
      </c:tx>
      <c:layout>
        <c:manualLayout>
          <c:xMode val="edge"/>
          <c:yMode val="edge"/>
          <c:x val="0.18640595068008689"/>
          <c:y val="0"/>
        </c:manualLayout>
      </c:layout>
      <c:overlay val="0"/>
      <c:spPr>
        <a:noFill/>
        <a:ln>
          <a:noFill/>
        </a:ln>
        <a:effectLst/>
      </c:spPr>
    </c:title>
    <c:autoTitleDeleted val="0"/>
    <c:plotArea>
      <c:layout>
        <c:manualLayout>
          <c:layoutTarget val="inner"/>
          <c:xMode val="edge"/>
          <c:yMode val="edge"/>
          <c:x val="7.6005030621172351E-2"/>
          <c:y val="0.10112736099705329"/>
          <c:w val="0.92399501730306499"/>
          <c:h val="0.6779243756340273"/>
        </c:manualLayout>
      </c:layout>
      <c:barChart>
        <c:barDir val="col"/>
        <c:grouping val="clustered"/>
        <c:varyColors val="0"/>
        <c:ser>
          <c:idx val="0"/>
          <c:order val="0"/>
          <c:tx>
            <c:strRef>
              <c:f>Hoja1!$A$2</c:f>
              <c:strCache>
                <c:ptCount val="1"/>
                <c:pt idx="0">
                  <c:v>Gobierno Central Presupuestario</c:v>
                </c:pt>
              </c:strCache>
            </c:strRef>
          </c:tx>
          <c:spPr>
            <a:solidFill>
              <a:schemeClr val="accent6"/>
            </a:solidFill>
            <a:ln w="12700">
              <a:solidFill>
                <a:schemeClr val="tx1"/>
              </a:solidFill>
            </a:ln>
            <a:effectLst>
              <a:outerShdw blurRad="50800" dist="38100" dir="18900000" algn="b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Hoja1!$B$1:$D$1</c:f>
              <c:strCache>
                <c:ptCount val="3"/>
                <c:pt idx="0">
                  <c:v>2018</c:v>
                </c:pt>
                <c:pt idx="1">
                  <c:v>2019</c:v>
                </c:pt>
                <c:pt idx="2">
                  <c:v>2020</c:v>
                </c:pt>
              </c:strCache>
            </c:strRef>
          </c:cat>
          <c:val>
            <c:numRef>
              <c:f>Hoja1!$B$2:$D$2</c:f>
              <c:numCache>
                <c:formatCode>_-* #,##0.0_-;\-* #,##0.0_-;_-* "-"??_-;_-@_-</c:formatCode>
                <c:ptCount val="3"/>
                <c:pt idx="0">
                  <c:v>0.70963325356871221</c:v>
                </c:pt>
                <c:pt idx="1">
                  <c:v>0.84076828149641492</c:v>
                </c:pt>
                <c:pt idx="2">
                  <c:v>0.48867336507014231</c:v>
                </c:pt>
              </c:numCache>
            </c:numRef>
          </c:val>
          <c:extLst xmlns:c16r2="http://schemas.microsoft.com/office/drawing/2015/06/chart">
            <c:ext xmlns:c16="http://schemas.microsoft.com/office/drawing/2014/chart" uri="{C3380CC4-5D6E-409C-BE32-E72D297353CC}">
              <c16:uniqueId val="{00000000-5784-4EA0-9313-41A911D28435}"/>
            </c:ext>
          </c:extLst>
        </c:ser>
        <c:ser>
          <c:idx val="1"/>
          <c:order val="1"/>
          <c:tx>
            <c:strRef>
              <c:f>Hoja1!$A$3</c:f>
              <c:strCache>
                <c:ptCount val="1"/>
                <c:pt idx="0">
                  <c:v>Gobierno General</c:v>
                </c:pt>
              </c:strCache>
            </c:strRef>
          </c:tx>
          <c:spPr>
            <a:solidFill>
              <a:schemeClr val="accent5"/>
            </a:solidFill>
            <a:ln w="12700">
              <a:solidFill>
                <a:schemeClr val="tx1"/>
              </a:solidFill>
            </a:ln>
            <a:effectLst>
              <a:outerShdw blurRad="50800" dist="38100" dir="18900000" algn="b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Hoja1!$B$1:$D$1</c:f>
              <c:strCache>
                <c:ptCount val="3"/>
                <c:pt idx="0">
                  <c:v>2018</c:v>
                </c:pt>
                <c:pt idx="1">
                  <c:v>2019</c:v>
                </c:pt>
                <c:pt idx="2">
                  <c:v>2020</c:v>
                </c:pt>
              </c:strCache>
            </c:strRef>
          </c:cat>
          <c:val>
            <c:numRef>
              <c:f>Hoja1!$B$3:$D$3</c:f>
              <c:numCache>
                <c:formatCode>_-* #,##0.0_-;\-* #,##0.0_-;_-* "-"??_-;_-@_-</c:formatCode>
                <c:ptCount val="3"/>
                <c:pt idx="0">
                  <c:v>2.173595411675469</c:v>
                </c:pt>
                <c:pt idx="1">
                  <c:v>2.5795877950390054</c:v>
                </c:pt>
                <c:pt idx="2">
                  <c:v>1.9147229263832628</c:v>
                </c:pt>
              </c:numCache>
            </c:numRef>
          </c:val>
          <c:extLst xmlns:c16r2="http://schemas.microsoft.com/office/drawing/2015/06/chart">
            <c:ext xmlns:c16="http://schemas.microsoft.com/office/drawing/2014/chart" uri="{C3380CC4-5D6E-409C-BE32-E72D297353CC}">
              <c16:uniqueId val="{00000001-5784-4EA0-9313-41A911D28435}"/>
            </c:ext>
          </c:extLst>
        </c:ser>
        <c:dLbls>
          <c:dLblPos val="ctr"/>
          <c:showLegendKey val="0"/>
          <c:showVal val="1"/>
          <c:showCatName val="0"/>
          <c:showSerName val="0"/>
          <c:showPercent val="0"/>
          <c:showBubbleSize val="0"/>
        </c:dLbls>
        <c:gapWidth val="150"/>
        <c:axId val="243349760"/>
        <c:axId val="243359744"/>
      </c:barChart>
      <c:catAx>
        <c:axId val="243349760"/>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43359744"/>
        <c:crosses val="autoZero"/>
        <c:auto val="1"/>
        <c:lblAlgn val="ctr"/>
        <c:lblOffset val="100"/>
        <c:noMultiLvlLbl val="0"/>
      </c:catAx>
      <c:valAx>
        <c:axId val="243359744"/>
        <c:scaling>
          <c:orientation val="minMax"/>
        </c:scaling>
        <c:delete val="1"/>
        <c:axPos val="l"/>
        <c:majorGridlines>
          <c:spPr>
            <a:ln w="9525" cap="flat" cmpd="sng" algn="ctr">
              <a:solidFill>
                <a:schemeClr val="tx1">
                  <a:lumMod val="15000"/>
                  <a:lumOff val="85000"/>
                  <a:alpha val="32000"/>
                </a:schemeClr>
              </a:solidFill>
              <a:round/>
            </a:ln>
            <a:effectLst/>
          </c:spPr>
        </c:majorGridlines>
        <c:numFmt formatCode="_-* #,##0.0_-;\-* #,##0.0_-;_-* &quot;-&quot;??_-;_-@_-" sourceLinked="1"/>
        <c:majorTickMark val="none"/>
        <c:minorTickMark val="none"/>
        <c:tickLblPos val="nextTo"/>
        <c:crossAx val="243349760"/>
        <c:crosses val="autoZero"/>
        <c:crossBetween val="between"/>
      </c:valAx>
      <c:spPr>
        <a:noFill/>
        <a:ln>
          <a:noFill/>
        </a:ln>
        <a:effectLst/>
      </c:spPr>
    </c:plotArea>
    <c:legend>
      <c:legendPos val="b"/>
      <c:layout>
        <c:manualLayout>
          <c:xMode val="edge"/>
          <c:yMode val="edge"/>
          <c:x val="0.22773872143117993"/>
          <c:y val="0.87058958504420059"/>
          <c:w val="0.57241980228468192"/>
          <c:h val="0.129410414955799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200" cap="none" spc="0" baseline="0">
                <a:solidFill>
                  <a:schemeClr val="tx1"/>
                </a:solidFill>
                <a:latin typeface="Times New Roman" panose="02020603050405020304" pitchFamily="18" charset="0"/>
              </a:rPr>
              <a:t>Erogaciones por Funciones del Gobierno </a:t>
            </a:r>
          </a:p>
          <a:p>
            <a:pPr>
              <a:defRPr sz="1800" b="1" i="0" u="none" strike="noStrike" kern="1200" cap="all" spc="150" baseline="0">
                <a:solidFill>
                  <a:schemeClr val="tx1">
                    <a:lumMod val="50000"/>
                    <a:lumOff val="50000"/>
                  </a:schemeClr>
                </a:solidFill>
                <a:latin typeface="+mn-lt"/>
                <a:ea typeface="+mn-ea"/>
                <a:cs typeface="+mn-cs"/>
              </a:defRPr>
            </a:pPr>
            <a:r>
              <a:rPr lang="en-US" sz="1200" cap="none" spc="0" baseline="0">
                <a:solidFill>
                  <a:schemeClr val="tx1"/>
                </a:solidFill>
                <a:latin typeface="Times New Roman" panose="02020603050405020304" pitchFamily="18" charset="0"/>
              </a:rPr>
              <a:t>Para el año 2020</a:t>
            </a:r>
          </a:p>
          <a:p>
            <a:pPr>
              <a:defRPr sz="1800" b="1" i="0" u="none" strike="noStrike" kern="1200" cap="all" spc="150" baseline="0">
                <a:solidFill>
                  <a:schemeClr val="tx1">
                    <a:lumMod val="50000"/>
                    <a:lumOff val="50000"/>
                  </a:schemeClr>
                </a:solidFill>
                <a:latin typeface="+mn-lt"/>
                <a:ea typeface="+mn-ea"/>
                <a:cs typeface="+mn-cs"/>
              </a:defRPr>
            </a:pPr>
            <a:r>
              <a:rPr lang="en-US" sz="1100" b="0" cap="none" spc="0" baseline="0">
                <a:solidFill>
                  <a:schemeClr val="tx1"/>
                </a:solidFill>
                <a:latin typeface="Times New Roman" panose="02020603050405020304" pitchFamily="18" charset="0"/>
              </a:rPr>
              <a:t>Como porecentajes del PIB</a:t>
            </a:r>
          </a:p>
        </c:rich>
      </c:tx>
      <c:layout>
        <c:manualLayout>
          <c:xMode val="edge"/>
          <c:yMode val="edge"/>
          <c:x val="0.25457428195890491"/>
          <c:y val="0"/>
        </c:manualLayout>
      </c:layout>
      <c:overlay val="0"/>
      <c:spPr>
        <a:noFill/>
        <a:ln>
          <a:noFill/>
        </a:ln>
        <a:effectLst/>
      </c:spPr>
    </c:title>
    <c:autoTitleDeleted val="0"/>
    <c:plotArea>
      <c:layout>
        <c:manualLayout>
          <c:layoutTarget val="inner"/>
          <c:xMode val="edge"/>
          <c:yMode val="edge"/>
          <c:x val="0.39149353600690712"/>
          <c:y val="0.20442212623907449"/>
          <c:w val="0.60385681119033285"/>
          <c:h val="0.79557787376092548"/>
        </c:manualLayout>
      </c:layout>
      <c:barChart>
        <c:barDir val="bar"/>
        <c:grouping val="clustered"/>
        <c:varyColors val="0"/>
        <c:ser>
          <c:idx val="1"/>
          <c:order val="0"/>
          <c:tx>
            <c:strRef>
              <c:f>Hoja1!$C$1</c:f>
              <c:strCache>
                <c:ptCount val="1"/>
                <c:pt idx="0">
                  <c:v>Gobierno General</c:v>
                </c:pt>
              </c:strCache>
            </c:strRef>
          </c:tx>
          <c:spPr>
            <a:solidFill>
              <a:schemeClr val="accent3"/>
            </a:solidFill>
            <a:ln w="12700">
              <a:solidFill>
                <a:schemeClr val="tx1"/>
              </a:solidFill>
            </a:ln>
            <a:effectLst>
              <a:outerShdw blurRad="50800" dist="38100" dir="18900000" algn="bl" rotWithShape="0">
                <a:prstClr val="black">
                  <a:alpha val="40000"/>
                </a:prstClr>
              </a:out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1-5666-4597-989D-DDF62AB9C682}"/>
              </c:ext>
            </c:extLst>
          </c:dPt>
          <c:dPt>
            <c:idx val="1"/>
            <c:invertIfNegative val="0"/>
            <c:bubble3D val="0"/>
            <c:extLst xmlns:c16r2="http://schemas.microsoft.com/office/drawing/2015/06/chart">
              <c:ext xmlns:c16="http://schemas.microsoft.com/office/drawing/2014/chart" uri="{C3380CC4-5D6E-409C-BE32-E72D297353CC}">
                <c16:uniqueId val="{00000003-5666-4597-989D-DDF62AB9C682}"/>
              </c:ext>
            </c:extLst>
          </c:dPt>
          <c:dPt>
            <c:idx val="2"/>
            <c:invertIfNegative val="0"/>
            <c:bubble3D val="0"/>
            <c:extLst xmlns:c16r2="http://schemas.microsoft.com/office/drawing/2015/06/chart">
              <c:ext xmlns:c16="http://schemas.microsoft.com/office/drawing/2014/chart" uri="{C3380CC4-5D6E-409C-BE32-E72D297353CC}">
                <c16:uniqueId val="{00000005-5666-4597-989D-DDF62AB9C682}"/>
              </c:ext>
            </c:extLst>
          </c:dPt>
          <c:dPt>
            <c:idx val="3"/>
            <c:invertIfNegative val="0"/>
            <c:bubble3D val="0"/>
            <c:extLst xmlns:c16r2="http://schemas.microsoft.com/office/drawing/2015/06/chart">
              <c:ext xmlns:c16="http://schemas.microsoft.com/office/drawing/2014/chart" uri="{C3380CC4-5D6E-409C-BE32-E72D297353CC}">
                <c16:uniqueId val="{00000007-5666-4597-989D-DDF62AB9C682}"/>
              </c:ext>
            </c:extLst>
          </c:dPt>
          <c:dPt>
            <c:idx val="4"/>
            <c:invertIfNegative val="0"/>
            <c:bubble3D val="0"/>
            <c:extLst xmlns:c16r2="http://schemas.microsoft.com/office/drawing/2015/06/chart">
              <c:ext xmlns:c16="http://schemas.microsoft.com/office/drawing/2014/chart" uri="{C3380CC4-5D6E-409C-BE32-E72D297353CC}">
                <c16:uniqueId val="{00000009-5666-4597-989D-DDF62AB9C682}"/>
              </c:ext>
            </c:extLst>
          </c:dPt>
          <c:dPt>
            <c:idx val="5"/>
            <c:invertIfNegative val="0"/>
            <c:bubble3D val="0"/>
            <c:extLst xmlns:c16r2="http://schemas.microsoft.com/office/drawing/2015/06/chart">
              <c:ext xmlns:c16="http://schemas.microsoft.com/office/drawing/2014/chart" uri="{C3380CC4-5D6E-409C-BE32-E72D297353CC}">
                <c16:uniqueId val="{0000000B-5666-4597-989D-DDF62AB9C682}"/>
              </c:ext>
            </c:extLst>
          </c:dPt>
          <c:dPt>
            <c:idx val="6"/>
            <c:invertIfNegative val="0"/>
            <c:bubble3D val="0"/>
            <c:extLst xmlns:c16r2="http://schemas.microsoft.com/office/drawing/2015/06/chart">
              <c:ext xmlns:c16="http://schemas.microsoft.com/office/drawing/2014/chart" uri="{C3380CC4-5D6E-409C-BE32-E72D297353CC}">
                <c16:uniqueId val="{0000000D-5666-4597-989D-DDF62AB9C682}"/>
              </c:ext>
            </c:extLst>
          </c:dPt>
          <c:dPt>
            <c:idx val="7"/>
            <c:invertIfNegative val="0"/>
            <c:bubble3D val="0"/>
            <c:extLst xmlns:c16r2="http://schemas.microsoft.com/office/drawing/2015/06/chart">
              <c:ext xmlns:c16="http://schemas.microsoft.com/office/drawing/2014/chart" uri="{C3380CC4-5D6E-409C-BE32-E72D297353CC}">
                <c16:uniqueId val="{0000000F-5666-4597-989D-DDF62AB9C682}"/>
              </c:ext>
            </c:extLst>
          </c:dPt>
          <c:dPt>
            <c:idx val="8"/>
            <c:invertIfNegative val="0"/>
            <c:bubble3D val="0"/>
            <c:extLst xmlns:c16r2="http://schemas.microsoft.com/office/drawing/2015/06/chart">
              <c:ext xmlns:c16="http://schemas.microsoft.com/office/drawing/2014/chart" uri="{C3380CC4-5D6E-409C-BE32-E72D297353CC}">
                <c16:uniqueId val="{00000011-5666-4597-989D-DDF62AB9C682}"/>
              </c:ext>
            </c:extLst>
          </c:dPt>
          <c:dPt>
            <c:idx val="9"/>
            <c:invertIfNegative val="0"/>
            <c:bubble3D val="0"/>
            <c:extLst xmlns:c16r2="http://schemas.microsoft.com/office/drawing/2015/06/chart">
              <c:ext xmlns:c16="http://schemas.microsoft.com/office/drawing/2014/chart" uri="{C3380CC4-5D6E-409C-BE32-E72D297353CC}">
                <c16:uniqueId val="{00000013-5666-4597-989D-DDF62AB9C682}"/>
              </c:ext>
            </c:extLst>
          </c:dPt>
          <c:dPt>
            <c:idx val="10"/>
            <c:invertIfNegative val="0"/>
            <c:bubble3D val="0"/>
            <c:extLst xmlns:c16r2="http://schemas.microsoft.com/office/drawing/2015/06/chart">
              <c:ext xmlns:c16="http://schemas.microsoft.com/office/drawing/2014/chart" uri="{C3380CC4-5D6E-409C-BE32-E72D297353CC}">
                <c16:uniqueId val="{00000015-5666-4597-989D-DDF62AB9C682}"/>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3">
                        <a:lumMod val="75000"/>
                      </a:schemeClr>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Hoja1!$A$2:$A$12</c:f>
              <c:strCache>
                <c:ptCount val="11"/>
                <c:pt idx="0">
                  <c:v>Total de Erogación</c:v>
                </c:pt>
                <c:pt idx="1">
                  <c:v>Protección social</c:v>
                </c:pt>
                <c:pt idx="2">
                  <c:v>Servicios públicos generales</c:v>
                </c:pt>
                <c:pt idx="3">
                  <c:v>Educación</c:v>
                </c:pt>
                <c:pt idx="4">
                  <c:v>Salud</c:v>
                </c:pt>
                <c:pt idx="5">
                  <c:v>Orden público y seguridad</c:v>
                </c:pt>
                <c:pt idx="6">
                  <c:v>Asuntos económicos</c:v>
                </c:pt>
                <c:pt idx="7">
                  <c:v>Vivienda y servicios comunitarios</c:v>
                </c:pt>
                <c:pt idx="8">
                  <c:v>Protección del medio ambiente</c:v>
                </c:pt>
                <c:pt idx="9">
                  <c:v>Defensa</c:v>
                </c:pt>
                <c:pt idx="10">
                  <c:v>Actividades recreativas, cultura y religión</c:v>
                </c:pt>
              </c:strCache>
            </c:strRef>
          </c:cat>
          <c:val>
            <c:numRef>
              <c:f>Hoja1!$C$2:$C$12</c:f>
              <c:numCache>
                <c:formatCode>0.0</c:formatCode>
                <c:ptCount val="11"/>
                <c:pt idx="0">
                  <c:v>17.973597347348765</c:v>
                </c:pt>
                <c:pt idx="1">
                  <c:v>4.0567738443690322</c:v>
                </c:pt>
                <c:pt idx="2">
                  <c:v>3.5823915396417916</c:v>
                </c:pt>
                <c:pt idx="3">
                  <c:v>3.4303494451853025</c:v>
                </c:pt>
                <c:pt idx="4">
                  <c:v>2.2220138753367316</c:v>
                </c:pt>
                <c:pt idx="5">
                  <c:v>1.8505146843860409</c:v>
                </c:pt>
                <c:pt idx="6">
                  <c:v>1.4988980646019552</c:v>
                </c:pt>
                <c:pt idx="7">
                  <c:v>0.45649295252012517</c:v>
                </c:pt>
                <c:pt idx="8">
                  <c:v>0.35413104397946588</c:v>
                </c:pt>
                <c:pt idx="9">
                  <c:v>0.28103180120071436</c:v>
                </c:pt>
                <c:pt idx="10">
                  <c:v>0.24100009612760195</c:v>
                </c:pt>
              </c:numCache>
            </c:numRef>
          </c:val>
          <c:extLst xmlns:c16r2="http://schemas.microsoft.com/office/drawing/2015/06/chart">
            <c:ext xmlns:c16="http://schemas.microsoft.com/office/drawing/2014/chart" uri="{C3380CC4-5D6E-409C-BE32-E72D297353CC}">
              <c16:uniqueId val="{00000016-5666-4597-989D-DDF62AB9C682}"/>
            </c:ext>
          </c:extLst>
        </c:ser>
        <c:ser>
          <c:idx val="0"/>
          <c:order val="1"/>
          <c:tx>
            <c:strRef>
              <c:f>Hoja1!$B$1</c:f>
              <c:strCache>
                <c:ptCount val="1"/>
                <c:pt idx="0">
                  <c:v>Gobierno Central Presupuestario</c:v>
                </c:pt>
              </c:strCache>
            </c:strRef>
          </c:tx>
          <c:spPr>
            <a:solidFill>
              <a:schemeClr val="accent6"/>
            </a:solidFill>
            <a:ln w="12700">
              <a:solidFill>
                <a:schemeClr val="tx1"/>
              </a:solidFill>
            </a:ln>
            <a:effectLst>
              <a:outerShdw blurRad="50800" dist="38100" dir="18900000" algn="b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Hoja1!$A$2:$A$12</c:f>
              <c:strCache>
                <c:ptCount val="11"/>
                <c:pt idx="0">
                  <c:v>Total de Erogación</c:v>
                </c:pt>
                <c:pt idx="1">
                  <c:v>Protección social</c:v>
                </c:pt>
                <c:pt idx="2">
                  <c:v>Servicios públicos generales</c:v>
                </c:pt>
                <c:pt idx="3">
                  <c:v>Educación</c:v>
                </c:pt>
                <c:pt idx="4">
                  <c:v>Salud</c:v>
                </c:pt>
                <c:pt idx="5">
                  <c:v>Orden público y seguridad</c:v>
                </c:pt>
                <c:pt idx="6">
                  <c:v>Asuntos económicos</c:v>
                </c:pt>
                <c:pt idx="7">
                  <c:v>Vivienda y servicios comunitarios</c:v>
                </c:pt>
                <c:pt idx="8">
                  <c:v>Protección del medio ambiente</c:v>
                </c:pt>
                <c:pt idx="9">
                  <c:v>Defensa</c:v>
                </c:pt>
                <c:pt idx="10">
                  <c:v>Actividades recreativas, cultura y religión</c:v>
                </c:pt>
              </c:strCache>
            </c:strRef>
          </c:cat>
          <c:val>
            <c:numRef>
              <c:f>Hoja1!$B$2:$B$12</c:f>
              <c:numCache>
                <c:formatCode>0.0</c:formatCode>
                <c:ptCount val="11"/>
                <c:pt idx="0">
                  <c:v>15.420083997366882</c:v>
                </c:pt>
                <c:pt idx="1">
                  <c:v>3.0693427055322022</c:v>
                </c:pt>
                <c:pt idx="2">
                  <c:v>2.8485900249227032</c:v>
                </c:pt>
                <c:pt idx="3">
                  <c:v>3.3314018095443556</c:v>
                </c:pt>
                <c:pt idx="4">
                  <c:v>1.2066155134548657</c:v>
                </c:pt>
                <c:pt idx="5">
                  <c:v>1.7385491897946839</c:v>
                </c:pt>
                <c:pt idx="6">
                  <c:v>1.2079493820896605</c:v>
                </c:pt>
                <c:pt idx="7">
                  <c:v>1.3712126742048536</c:v>
                </c:pt>
                <c:pt idx="8">
                  <c:v>0.21646512832552969</c:v>
                </c:pt>
                <c:pt idx="9">
                  <c:v>0.28058406879032011</c:v>
                </c:pt>
                <c:pt idx="10">
                  <c:v>0.14937350070770952</c:v>
                </c:pt>
              </c:numCache>
            </c:numRef>
          </c:val>
          <c:extLst xmlns:c16r2="http://schemas.microsoft.com/office/drawing/2015/06/chart">
            <c:ext xmlns:c16="http://schemas.microsoft.com/office/drawing/2014/chart" uri="{C3380CC4-5D6E-409C-BE32-E72D297353CC}">
              <c16:uniqueId val="{00000017-5666-4597-989D-DDF62AB9C682}"/>
            </c:ext>
          </c:extLst>
        </c:ser>
        <c:dLbls>
          <c:showLegendKey val="0"/>
          <c:showVal val="0"/>
          <c:showCatName val="0"/>
          <c:showSerName val="0"/>
          <c:showPercent val="0"/>
          <c:showBubbleSize val="0"/>
        </c:dLbls>
        <c:gapWidth val="72"/>
        <c:axId val="243428352"/>
        <c:axId val="243450624"/>
      </c:barChart>
      <c:catAx>
        <c:axId val="243428352"/>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243450624"/>
        <c:crosses val="autoZero"/>
        <c:auto val="1"/>
        <c:lblAlgn val="ctr"/>
        <c:lblOffset val="100"/>
        <c:noMultiLvlLbl val="0"/>
      </c:catAx>
      <c:valAx>
        <c:axId val="243450624"/>
        <c:scaling>
          <c:orientation val="minMax"/>
        </c:scaling>
        <c:delete val="1"/>
        <c:axPos val="b"/>
        <c:majorGridlines>
          <c:spPr>
            <a:ln w="9525" cap="flat" cmpd="sng" algn="ctr">
              <a:solidFill>
                <a:schemeClr val="tx1">
                  <a:lumMod val="15000"/>
                  <a:lumOff val="85000"/>
                  <a:alpha val="32000"/>
                </a:schemeClr>
              </a:solidFill>
              <a:round/>
            </a:ln>
            <a:effectLst/>
          </c:spPr>
        </c:majorGridlines>
        <c:numFmt formatCode="0.0" sourceLinked="1"/>
        <c:majorTickMark val="out"/>
        <c:minorTickMark val="none"/>
        <c:tickLblPos val="nextTo"/>
        <c:crossAx val="243428352"/>
        <c:crosses val="autoZero"/>
        <c:crossBetween val="between"/>
      </c:valAx>
      <c:spPr>
        <a:noFill/>
        <a:ln>
          <a:noFill/>
        </a:ln>
        <a:effectLst/>
      </c:spPr>
    </c:plotArea>
    <c:legend>
      <c:legendPos val="r"/>
      <c:layout>
        <c:manualLayout>
          <c:xMode val="edge"/>
          <c:yMode val="edge"/>
          <c:x val="0.69452433890381482"/>
          <c:y val="0.17133310399306884"/>
          <c:w val="0.30324700052119069"/>
          <c:h val="8.18353820880303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a:t>Consumo</a:t>
            </a:r>
          </a:p>
        </c:rich>
      </c:tx>
      <c:overlay val="0"/>
      <c:spPr>
        <a:noFill/>
        <a:ln>
          <a:noFill/>
        </a:ln>
        <a:effectLst/>
      </c:spPr>
    </c:title>
    <c:autoTitleDeleted val="0"/>
    <c:plotArea>
      <c:layout>
        <c:manualLayout>
          <c:layoutTarget val="inner"/>
          <c:xMode val="edge"/>
          <c:yMode val="edge"/>
          <c:x val="0.2117465381482487"/>
          <c:y val="0.16759517177344477"/>
          <c:w val="0.75764661960358393"/>
          <c:h val="0.52101492188128284"/>
        </c:manualLayout>
      </c:layout>
      <c:barChart>
        <c:barDir val="col"/>
        <c:grouping val="stacked"/>
        <c:varyColors val="0"/>
        <c:ser>
          <c:idx val="0"/>
          <c:order val="0"/>
          <c:tx>
            <c:strRef>
              <c:f>'MF_SR_Gráficos '!$B$44</c:f>
              <c:strCache>
                <c:ptCount val="1"/>
                <c:pt idx="0">
                  <c:v>Privado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'MF_SR_Gráficos '!$C$39:$G$39</c:f>
              <c:numCache>
                <c:formatCode>General</c:formatCode>
                <c:ptCount val="5"/>
                <c:pt idx="0">
                  <c:v>2016</c:v>
                </c:pt>
                <c:pt idx="1">
                  <c:v>2017</c:v>
                </c:pt>
                <c:pt idx="2">
                  <c:v>2018</c:v>
                </c:pt>
                <c:pt idx="3">
                  <c:v>2019</c:v>
                </c:pt>
                <c:pt idx="4">
                  <c:v>2020</c:v>
                </c:pt>
              </c:numCache>
            </c:numRef>
          </c:cat>
          <c:val>
            <c:numRef>
              <c:f>'MF_SR_Gráficos '!$C$44:$G$44</c:f>
              <c:numCache>
                <c:formatCode>0.0%</c:formatCode>
                <c:ptCount val="5"/>
                <c:pt idx="0">
                  <c:v>0.89528647873694489</c:v>
                </c:pt>
                <c:pt idx="1">
                  <c:v>0.89639042010212799</c:v>
                </c:pt>
                <c:pt idx="2">
                  <c:v>0.89354655964141572</c:v>
                </c:pt>
                <c:pt idx="3">
                  <c:v>0.89542331722297275</c:v>
                </c:pt>
                <c:pt idx="4">
                  <c:v>0.89287634918226644</c:v>
                </c:pt>
              </c:numCache>
            </c:numRef>
          </c:val>
          <c:extLst xmlns:c16r2="http://schemas.microsoft.com/office/drawing/2015/06/chart">
            <c:ext xmlns:c16="http://schemas.microsoft.com/office/drawing/2014/chart" uri="{C3380CC4-5D6E-409C-BE32-E72D297353CC}">
              <c16:uniqueId val="{00000000-E406-4252-8583-26311428C116}"/>
            </c:ext>
          </c:extLst>
        </c:ser>
        <c:ser>
          <c:idx val="1"/>
          <c:order val="1"/>
          <c:tx>
            <c:strRef>
              <c:f>'MF_SR_Gráficos '!$B$45</c:f>
              <c:strCache>
                <c:ptCount val="1"/>
                <c:pt idx="0">
                  <c:v>Público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'MF_SR_Gráficos '!$C$39:$G$39</c:f>
              <c:numCache>
                <c:formatCode>General</c:formatCode>
                <c:ptCount val="5"/>
                <c:pt idx="0">
                  <c:v>2016</c:v>
                </c:pt>
                <c:pt idx="1">
                  <c:v>2017</c:v>
                </c:pt>
                <c:pt idx="2">
                  <c:v>2018</c:v>
                </c:pt>
                <c:pt idx="3">
                  <c:v>2019</c:v>
                </c:pt>
                <c:pt idx="4">
                  <c:v>2020</c:v>
                </c:pt>
              </c:numCache>
            </c:numRef>
          </c:cat>
          <c:val>
            <c:numRef>
              <c:f>'MF_SR_Gráficos '!$C$45:$G$45</c:f>
              <c:numCache>
                <c:formatCode>0.0%</c:formatCode>
                <c:ptCount val="5"/>
                <c:pt idx="0">
                  <c:v>0.10471352126305518</c:v>
                </c:pt>
                <c:pt idx="1">
                  <c:v>0.10360957989787203</c:v>
                </c:pt>
                <c:pt idx="2">
                  <c:v>0.10645344035858435</c:v>
                </c:pt>
                <c:pt idx="3">
                  <c:v>0.10457668277702725</c:v>
                </c:pt>
                <c:pt idx="4">
                  <c:v>0.10712365081773365</c:v>
                </c:pt>
              </c:numCache>
            </c:numRef>
          </c:val>
          <c:extLst xmlns:c16r2="http://schemas.microsoft.com/office/drawing/2015/06/chart">
            <c:ext xmlns:c16="http://schemas.microsoft.com/office/drawing/2014/chart" uri="{C3380CC4-5D6E-409C-BE32-E72D297353CC}">
              <c16:uniqueId val="{00000001-E406-4252-8583-26311428C116}"/>
            </c:ext>
          </c:extLst>
        </c:ser>
        <c:dLbls>
          <c:showLegendKey val="0"/>
          <c:showVal val="0"/>
          <c:showCatName val="0"/>
          <c:showSerName val="0"/>
          <c:showPercent val="0"/>
          <c:showBubbleSize val="0"/>
        </c:dLbls>
        <c:gapWidth val="25"/>
        <c:overlap val="100"/>
        <c:axId val="163694848"/>
        <c:axId val="163696640"/>
      </c:barChart>
      <c:catAx>
        <c:axId val="16369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63696640"/>
        <c:crosses val="autoZero"/>
        <c:auto val="1"/>
        <c:lblAlgn val="ctr"/>
        <c:lblOffset val="100"/>
        <c:noMultiLvlLbl val="0"/>
      </c:catAx>
      <c:valAx>
        <c:axId val="163696640"/>
        <c:scaling>
          <c:orientation val="minMax"/>
          <c:max val="1"/>
          <c:min val="0.8"/>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a:t>Proporción del consumo</a:t>
                </a:r>
              </a:p>
            </c:rich>
          </c:tx>
          <c:layout>
            <c:manualLayout>
              <c:xMode val="edge"/>
              <c:yMode val="edge"/>
              <c:x val="2.1767702306602833E-2"/>
              <c:y val="0.18451443569553805"/>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63694848"/>
        <c:crosses val="autoZero"/>
        <c:crossBetween val="between"/>
        <c:majorUnit val="0.1"/>
      </c:valAx>
      <c:spPr>
        <a:noFill/>
        <a:ln>
          <a:noFill/>
        </a:ln>
        <a:effectLst/>
      </c:spPr>
    </c:plotArea>
    <c:legend>
      <c:legendPos val="b"/>
      <c:layout>
        <c:manualLayout>
          <c:xMode val="edge"/>
          <c:yMode val="edge"/>
          <c:x val="0.22832081334660753"/>
          <c:y val="0.77773858267716534"/>
          <c:w val="0.56585927836606631"/>
          <c:h val="7.3450714494021574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a:t>Formación brutal de capital</a:t>
            </a:r>
          </a:p>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b="1"/>
          </a:p>
        </c:rich>
      </c:tx>
      <c:overlay val="0"/>
      <c:spPr>
        <a:noFill/>
        <a:ln>
          <a:noFill/>
        </a:ln>
        <a:effectLst/>
      </c:spPr>
    </c:title>
    <c:autoTitleDeleted val="0"/>
    <c:plotArea>
      <c:layout>
        <c:manualLayout>
          <c:layoutTarget val="inner"/>
          <c:xMode val="edge"/>
          <c:yMode val="edge"/>
          <c:x val="0.20424674007382543"/>
          <c:y val="0.17310825380137426"/>
          <c:w val="0.78235509405945758"/>
          <c:h val="0.52953577432034482"/>
        </c:manualLayout>
      </c:layout>
      <c:barChart>
        <c:barDir val="col"/>
        <c:grouping val="stacked"/>
        <c:varyColors val="0"/>
        <c:ser>
          <c:idx val="0"/>
          <c:order val="0"/>
          <c:tx>
            <c:strRef>
              <c:f>'MF_SR_Gráficos '!$B$64</c:f>
              <c:strCache>
                <c:ptCount val="1"/>
                <c:pt idx="0">
                  <c:v>Privada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'MF_SR_Gráficos '!$F$50:$J$50</c:f>
              <c:numCache>
                <c:formatCode>#,##0_);\(#,##0\)</c:formatCode>
                <c:ptCount val="5"/>
                <c:pt idx="0">
                  <c:v>2016</c:v>
                </c:pt>
                <c:pt idx="1">
                  <c:v>2017</c:v>
                </c:pt>
                <c:pt idx="2">
                  <c:v>2018</c:v>
                </c:pt>
                <c:pt idx="3">
                  <c:v>2019</c:v>
                </c:pt>
                <c:pt idx="4">
                  <c:v>2020</c:v>
                </c:pt>
              </c:numCache>
            </c:numRef>
          </c:cat>
          <c:val>
            <c:numRef>
              <c:f>'MF_SR_Gráficos '!$F$64:$J$64</c:f>
              <c:numCache>
                <c:formatCode>0.0%</c:formatCode>
                <c:ptCount val="5"/>
                <c:pt idx="0">
                  <c:v>0.92475042320425238</c:v>
                </c:pt>
                <c:pt idx="1">
                  <c:v>0.9195813896316416</c:v>
                </c:pt>
                <c:pt idx="2">
                  <c:v>0.88903462160032809</c:v>
                </c:pt>
                <c:pt idx="3">
                  <c:v>0.8645294980374274</c:v>
                </c:pt>
                <c:pt idx="4">
                  <c:v>0.90030835211888338</c:v>
                </c:pt>
              </c:numCache>
            </c:numRef>
          </c:val>
          <c:extLst xmlns:c16r2="http://schemas.microsoft.com/office/drawing/2015/06/chart">
            <c:ext xmlns:c16="http://schemas.microsoft.com/office/drawing/2014/chart" uri="{C3380CC4-5D6E-409C-BE32-E72D297353CC}">
              <c16:uniqueId val="{00000000-34EA-4BA1-9607-977AE0A4CCBF}"/>
            </c:ext>
          </c:extLst>
        </c:ser>
        <c:ser>
          <c:idx val="1"/>
          <c:order val="1"/>
          <c:tx>
            <c:strRef>
              <c:f>'MF_SR_Gráficos '!$B$65</c:f>
              <c:strCache>
                <c:ptCount val="1"/>
                <c:pt idx="0">
                  <c:v>Pública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'MF_SR_Gráficos '!$F$50:$J$50</c:f>
              <c:numCache>
                <c:formatCode>#,##0_);\(#,##0\)</c:formatCode>
                <c:ptCount val="5"/>
                <c:pt idx="0">
                  <c:v>2016</c:v>
                </c:pt>
                <c:pt idx="1">
                  <c:v>2017</c:v>
                </c:pt>
                <c:pt idx="2">
                  <c:v>2018</c:v>
                </c:pt>
                <c:pt idx="3">
                  <c:v>2019</c:v>
                </c:pt>
                <c:pt idx="4">
                  <c:v>2020</c:v>
                </c:pt>
              </c:numCache>
            </c:numRef>
          </c:cat>
          <c:val>
            <c:numRef>
              <c:f>'MF_SR_Gráficos '!$F$65:$J$65</c:f>
              <c:numCache>
                <c:formatCode>0.0%</c:formatCode>
                <c:ptCount val="5"/>
                <c:pt idx="0">
                  <c:v>7.5249576795747716E-2</c:v>
                </c:pt>
                <c:pt idx="1">
                  <c:v>8.0418610368358401E-2</c:v>
                </c:pt>
                <c:pt idx="2">
                  <c:v>0.11096537839967195</c:v>
                </c:pt>
                <c:pt idx="3">
                  <c:v>0.13547050196257254</c:v>
                </c:pt>
                <c:pt idx="4">
                  <c:v>9.9691647881116577E-2</c:v>
                </c:pt>
              </c:numCache>
            </c:numRef>
          </c:val>
          <c:extLst xmlns:c16r2="http://schemas.microsoft.com/office/drawing/2015/06/chart">
            <c:ext xmlns:c16="http://schemas.microsoft.com/office/drawing/2014/chart" uri="{C3380CC4-5D6E-409C-BE32-E72D297353CC}">
              <c16:uniqueId val="{00000001-34EA-4BA1-9607-977AE0A4CCBF}"/>
            </c:ext>
          </c:extLst>
        </c:ser>
        <c:dLbls>
          <c:showLegendKey val="0"/>
          <c:showVal val="0"/>
          <c:showCatName val="0"/>
          <c:showSerName val="0"/>
          <c:showPercent val="0"/>
          <c:showBubbleSize val="0"/>
        </c:dLbls>
        <c:gapWidth val="25"/>
        <c:overlap val="100"/>
        <c:axId val="163941760"/>
        <c:axId val="163947648"/>
      </c:barChart>
      <c:catAx>
        <c:axId val="163941760"/>
        <c:scaling>
          <c:orientation val="minMax"/>
        </c:scaling>
        <c:delete val="0"/>
        <c:axPos val="b"/>
        <c:numFmt formatCode="#,##0_);\(#,##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63947648"/>
        <c:crosses val="autoZero"/>
        <c:auto val="1"/>
        <c:lblAlgn val="ctr"/>
        <c:lblOffset val="100"/>
        <c:noMultiLvlLbl val="0"/>
      </c:catAx>
      <c:valAx>
        <c:axId val="163947648"/>
        <c:scaling>
          <c:orientation val="minMax"/>
          <c:max val="1"/>
          <c:min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a:t>Proporción de la FBK</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163941760"/>
        <c:crosses val="autoZero"/>
        <c:crossBetween val="between"/>
        <c:majorUnit val="0.1"/>
      </c:valAx>
      <c:spPr>
        <a:noFill/>
        <a:ln>
          <a:noFill/>
        </a:ln>
        <a:effectLst/>
      </c:spPr>
    </c:plotArea>
    <c:legend>
      <c:legendPos val="b"/>
      <c:layout>
        <c:manualLayout>
          <c:xMode val="edge"/>
          <c:yMode val="edge"/>
          <c:x val="0.25490196078431371"/>
          <c:y val="0.76912288050671018"/>
          <c:w val="0.58057163810406054"/>
          <c:h val="0.1205448436120444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81C0B2-2EA8-40C5-A6BA-B48D6A1A6D43}" type="doc">
      <dgm:prSet loTypeId="urn:microsoft.com/office/officeart/2009/3/layout/HorizontalOrganizationChart" loCatId="hierarchy" qsTypeId="urn:microsoft.com/office/officeart/2005/8/quickstyle/simple1" qsCatId="simple" csTypeId="urn:microsoft.com/office/officeart/2005/8/colors/colorful4" csCatId="colorful" phldr="1"/>
      <dgm:spPr/>
      <dgm:t>
        <a:bodyPr/>
        <a:lstStyle/>
        <a:p>
          <a:endParaRPr lang="es-ES"/>
        </a:p>
      </dgm:t>
    </dgm:pt>
    <dgm:pt modelId="{7A80290F-F723-432A-AD4F-4F7D47BF18A6}">
      <dgm:prSet phldrT="[Texto]" custT="1"/>
      <dgm:spPr/>
      <dgm:t>
        <a:bodyPr/>
        <a:lstStyle/>
        <a:p>
          <a:r>
            <a:rPr lang="es-ES" sz="800">
              <a:latin typeface="Times New Roman" panose="02020603050405020304" pitchFamily="18" charset="0"/>
              <a:cs typeface="Times New Roman" panose="02020603050405020304" pitchFamily="18" charset="0"/>
            </a:rPr>
            <a:t>Sector Público</a:t>
          </a:r>
        </a:p>
      </dgm:t>
    </dgm:pt>
    <dgm:pt modelId="{1F1683BE-9315-4255-B400-9BF4AC7A9A1A}" type="parTrans" cxnId="{C78FEE63-483B-4BF4-8FD7-CD636B5B8A54}">
      <dgm:prSet/>
      <dgm:spPr/>
      <dgm:t>
        <a:bodyPr/>
        <a:lstStyle/>
        <a:p>
          <a:endParaRPr lang="es-ES" sz="800">
            <a:latin typeface="Times New Roman" panose="02020603050405020304" pitchFamily="18" charset="0"/>
            <a:cs typeface="Times New Roman" panose="02020603050405020304" pitchFamily="18" charset="0"/>
          </a:endParaRPr>
        </a:p>
      </dgm:t>
    </dgm:pt>
    <dgm:pt modelId="{946A2467-F1C9-4A22-B60E-A720D674450F}" type="sibTrans" cxnId="{C78FEE63-483B-4BF4-8FD7-CD636B5B8A54}">
      <dgm:prSet/>
      <dgm:spPr/>
      <dgm:t>
        <a:bodyPr/>
        <a:lstStyle/>
        <a:p>
          <a:endParaRPr lang="es-ES" sz="800">
            <a:latin typeface="Times New Roman" panose="02020603050405020304" pitchFamily="18" charset="0"/>
            <a:cs typeface="Times New Roman" panose="02020603050405020304" pitchFamily="18" charset="0"/>
          </a:endParaRPr>
        </a:p>
      </dgm:t>
    </dgm:pt>
    <dgm:pt modelId="{8B890290-C711-4278-9C0F-810D40A8CBA9}">
      <dgm:prSet phldrT="[Texto]" custT="1"/>
      <dgm:spPr/>
      <dgm:t>
        <a:bodyPr/>
        <a:lstStyle/>
        <a:p>
          <a:r>
            <a:rPr lang="es-ES" sz="800">
              <a:latin typeface="Times New Roman" panose="02020603050405020304" pitchFamily="18" charset="0"/>
              <a:cs typeface="Times New Roman" panose="02020603050405020304" pitchFamily="18" charset="0"/>
            </a:rPr>
            <a:t>Gobierno General</a:t>
          </a:r>
        </a:p>
      </dgm:t>
    </dgm:pt>
    <dgm:pt modelId="{A8703346-FEE3-492F-B8B3-8E7F3B9860C8}" type="parTrans" cxnId="{9C78567F-242A-4E5B-B790-E7655DAE0CD5}">
      <dgm:prSet/>
      <dgm:spPr/>
      <dgm:t>
        <a:bodyPr/>
        <a:lstStyle/>
        <a:p>
          <a:endParaRPr lang="es-ES" sz="800">
            <a:latin typeface="Times New Roman" panose="02020603050405020304" pitchFamily="18" charset="0"/>
            <a:cs typeface="Times New Roman" panose="02020603050405020304" pitchFamily="18" charset="0"/>
          </a:endParaRPr>
        </a:p>
      </dgm:t>
    </dgm:pt>
    <dgm:pt modelId="{D19BDAA3-C51A-4D7D-B6F9-C2C87C7A9145}" type="sibTrans" cxnId="{9C78567F-242A-4E5B-B790-E7655DAE0CD5}">
      <dgm:prSet/>
      <dgm:spPr/>
      <dgm:t>
        <a:bodyPr/>
        <a:lstStyle/>
        <a:p>
          <a:endParaRPr lang="es-ES" sz="800">
            <a:latin typeface="Times New Roman" panose="02020603050405020304" pitchFamily="18" charset="0"/>
            <a:cs typeface="Times New Roman" panose="02020603050405020304" pitchFamily="18" charset="0"/>
          </a:endParaRPr>
        </a:p>
      </dgm:t>
    </dgm:pt>
    <dgm:pt modelId="{749A17C7-FF49-4F8F-918A-3614BC07C9AD}">
      <dgm:prSet phldrT="[Texto]" custT="1"/>
      <dgm:spPr/>
      <dgm:t>
        <a:bodyPr/>
        <a:lstStyle/>
        <a:p>
          <a:r>
            <a:rPr lang="es-ES" sz="800">
              <a:latin typeface="Times New Roman" panose="02020603050405020304" pitchFamily="18" charset="0"/>
              <a:cs typeface="Times New Roman" panose="02020603050405020304" pitchFamily="18" charset="0"/>
            </a:rPr>
            <a:t>Gobierno Central</a:t>
          </a:r>
        </a:p>
      </dgm:t>
    </dgm:pt>
    <dgm:pt modelId="{D5E5A1DB-4AAD-4710-B9DA-A4EB5BA77E76}" type="parTrans" cxnId="{A8780999-31C7-4EE8-9E2D-056D651C88B7}">
      <dgm:prSet/>
      <dgm:spPr/>
      <dgm:t>
        <a:bodyPr/>
        <a:lstStyle/>
        <a:p>
          <a:endParaRPr lang="es-ES" sz="800">
            <a:latin typeface="Times New Roman" panose="02020603050405020304" pitchFamily="18" charset="0"/>
            <a:cs typeface="Times New Roman" panose="02020603050405020304" pitchFamily="18" charset="0"/>
          </a:endParaRPr>
        </a:p>
      </dgm:t>
    </dgm:pt>
    <dgm:pt modelId="{4F9B0E16-7AFC-447D-87C0-19D9204D5B39}" type="sibTrans" cxnId="{A8780999-31C7-4EE8-9E2D-056D651C88B7}">
      <dgm:prSet/>
      <dgm:spPr/>
      <dgm:t>
        <a:bodyPr/>
        <a:lstStyle/>
        <a:p>
          <a:endParaRPr lang="es-ES" sz="800">
            <a:latin typeface="Times New Roman" panose="02020603050405020304" pitchFamily="18" charset="0"/>
            <a:cs typeface="Times New Roman" panose="02020603050405020304" pitchFamily="18" charset="0"/>
          </a:endParaRPr>
        </a:p>
      </dgm:t>
    </dgm:pt>
    <dgm:pt modelId="{C66FEA0C-BE51-4437-9032-158E4B88A06C}">
      <dgm:prSet phldrT="[Texto]" custT="1"/>
      <dgm:spPr/>
      <dgm:t>
        <a:bodyPr/>
        <a:lstStyle/>
        <a:p>
          <a:r>
            <a:rPr lang="es-ES" sz="800">
              <a:latin typeface="Times New Roman" panose="02020603050405020304" pitchFamily="18" charset="0"/>
              <a:cs typeface="Times New Roman" panose="02020603050405020304" pitchFamily="18" charset="0"/>
            </a:rPr>
            <a:t>Gobierno Locales</a:t>
          </a:r>
        </a:p>
      </dgm:t>
    </dgm:pt>
    <dgm:pt modelId="{AEF87CCA-F7E3-48EB-B011-CA779D93D72E}" type="parTrans" cxnId="{33ADCFF1-1DC3-4B66-80DF-0ED44B8B6ACD}">
      <dgm:prSet/>
      <dgm:spPr/>
      <dgm:t>
        <a:bodyPr/>
        <a:lstStyle/>
        <a:p>
          <a:endParaRPr lang="es-ES" sz="800">
            <a:latin typeface="Times New Roman" panose="02020603050405020304" pitchFamily="18" charset="0"/>
            <a:cs typeface="Times New Roman" panose="02020603050405020304" pitchFamily="18" charset="0"/>
          </a:endParaRPr>
        </a:p>
      </dgm:t>
    </dgm:pt>
    <dgm:pt modelId="{F1C2C07B-1F04-4BA5-91AD-EF309EB33C4F}" type="sibTrans" cxnId="{33ADCFF1-1DC3-4B66-80DF-0ED44B8B6ACD}">
      <dgm:prSet/>
      <dgm:spPr/>
      <dgm:t>
        <a:bodyPr/>
        <a:lstStyle/>
        <a:p>
          <a:endParaRPr lang="es-ES" sz="800">
            <a:latin typeface="Times New Roman" panose="02020603050405020304" pitchFamily="18" charset="0"/>
            <a:cs typeface="Times New Roman" panose="02020603050405020304" pitchFamily="18" charset="0"/>
          </a:endParaRPr>
        </a:p>
      </dgm:t>
    </dgm:pt>
    <dgm:pt modelId="{37665383-F808-496E-A886-FCD23A382442}">
      <dgm:prSet phldrT="[Texto]" custT="1"/>
      <dgm:spPr/>
      <dgm:t>
        <a:bodyPr/>
        <a:lstStyle/>
        <a:p>
          <a:r>
            <a:rPr lang="es-ES" sz="800">
              <a:latin typeface="Times New Roman" panose="02020603050405020304" pitchFamily="18" charset="0"/>
              <a:cs typeface="Times New Roman" panose="02020603050405020304" pitchFamily="18" charset="0"/>
            </a:rPr>
            <a:t>No financieras</a:t>
          </a:r>
        </a:p>
      </dgm:t>
    </dgm:pt>
    <dgm:pt modelId="{F3F23B5D-511A-4971-8759-B142278FB6E5}" type="parTrans" cxnId="{CBDBE37A-CC18-46EF-B332-8A8CEF16C275}">
      <dgm:prSet/>
      <dgm:spPr/>
      <dgm:t>
        <a:bodyPr/>
        <a:lstStyle/>
        <a:p>
          <a:endParaRPr lang="es-ES" sz="800">
            <a:latin typeface="Times New Roman" panose="02020603050405020304" pitchFamily="18" charset="0"/>
            <a:cs typeface="Times New Roman" panose="02020603050405020304" pitchFamily="18" charset="0"/>
          </a:endParaRPr>
        </a:p>
      </dgm:t>
    </dgm:pt>
    <dgm:pt modelId="{96F0C225-0EE9-48EE-A2CD-2DFD084E9551}" type="sibTrans" cxnId="{CBDBE37A-CC18-46EF-B332-8A8CEF16C275}">
      <dgm:prSet/>
      <dgm:spPr/>
      <dgm:t>
        <a:bodyPr/>
        <a:lstStyle/>
        <a:p>
          <a:endParaRPr lang="es-ES" sz="800">
            <a:latin typeface="Times New Roman" panose="02020603050405020304" pitchFamily="18" charset="0"/>
            <a:cs typeface="Times New Roman" panose="02020603050405020304" pitchFamily="18" charset="0"/>
          </a:endParaRPr>
        </a:p>
      </dgm:t>
    </dgm:pt>
    <dgm:pt modelId="{4CBC2F9A-FA95-4886-BE3B-544D55F769C7}">
      <dgm:prSet phldrT="[Texto]" custT="1"/>
      <dgm:spPr/>
      <dgm:t>
        <a:bodyPr/>
        <a:lstStyle/>
        <a:p>
          <a:r>
            <a:rPr lang="es-ES" sz="800">
              <a:latin typeface="Times New Roman" panose="02020603050405020304" pitchFamily="18" charset="0"/>
              <a:cs typeface="Times New Roman" panose="02020603050405020304" pitchFamily="18" charset="0"/>
            </a:rPr>
            <a:t>Financieras</a:t>
          </a:r>
        </a:p>
      </dgm:t>
    </dgm:pt>
    <dgm:pt modelId="{EB8329EE-98BF-4AEE-8B35-A2C4DA43A9EA}" type="parTrans" cxnId="{9AB1C6E8-040C-4E22-9F2C-B1A0FDF64E0C}">
      <dgm:prSet/>
      <dgm:spPr/>
      <dgm:t>
        <a:bodyPr/>
        <a:lstStyle/>
        <a:p>
          <a:endParaRPr lang="es-ES" sz="800">
            <a:latin typeface="Times New Roman" panose="02020603050405020304" pitchFamily="18" charset="0"/>
            <a:cs typeface="Times New Roman" panose="02020603050405020304" pitchFamily="18" charset="0"/>
          </a:endParaRPr>
        </a:p>
      </dgm:t>
    </dgm:pt>
    <dgm:pt modelId="{DEBE0399-1F49-4677-AAA9-6C48391FBAD2}" type="sibTrans" cxnId="{9AB1C6E8-040C-4E22-9F2C-B1A0FDF64E0C}">
      <dgm:prSet/>
      <dgm:spPr/>
      <dgm:t>
        <a:bodyPr/>
        <a:lstStyle/>
        <a:p>
          <a:endParaRPr lang="es-ES" sz="800">
            <a:latin typeface="Times New Roman" panose="02020603050405020304" pitchFamily="18" charset="0"/>
            <a:cs typeface="Times New Roman" panose="02020603050405020304" pitchFamily="18" charset="0"/>
          </a:endParaRPr>
        </a:p>
      </dgm:t>
    </dgm:pt>
    <dgm:pt modelId="{7FD84D5B-2308-4A2C-A067-2EDC4BE32B99}">
      <dgm:prSet phldrT="[Texto]" custT="1"/>
      <dgm:spPr>
        <a:noFill/>
        <a:ln w="25400">
          <a:solidFill>
            <a:srgbClr val="FF0000"/>
          </a:solidFill>
          <a:prstDash val="sysDash"/>
        </a:ln>
      </dgm:spPr>
      <dgm:t>
        <a:bodyPr/>
        <a:lstStyle/>
        <a:p>
          <a:r>
            <a:rPr lang="es-ES" sz="800">
              <a:solidFill>
                <a:sysClr val="windowText" lastClr="000000"/>
              </a:solidFill>
              <a:latin typeface="Times New Roman" panose="02020603050405020304" pitchFamily="18" charset="0"/>
              <a:cs typeface="Times New Roman" panose="02020603050405020304" pitchFamily="18" charset="0"/>
            </a:rPr>
            <a:t>Presupuestario</a:t>
          </a:r>
        </a:p>
      </dgm:t>
    </dgm:pt>
    <dgm:pt modelId="{9473C394-755B-4F60-9E08-CD6D5C14CF46}" type="parTrans" cxnId="{6D4935D6-4373-4252-922C-D5ADDDF31213}">
      <dgm:prSet/>
      <dgm:spPr/>
      <dgm:t>
        <a:bodyPr/>
        <a:lstStyle/>
        <a:p>
          <a:endParaRPr lang="es-ES" sz="800">
            <a:latin typeface="Times New Roman" panose="02020603050405020304" pitchFamily="18" charset="0"/>
            <a:cs typeface="Times New Roman" panose="02020603050405020304" pitchFamily="18" charset="0"/>
          </a:endParaRPr>
        </a:p>
      </dgm:t>
    </dgm:pt>
    <dgm:pt modelId="{97CE79FC-A527-4B00-B6C7-4DBC8B8B9BE5}" type="sibTrans" cxnId="{6D4935D6-4373-4252-922C-D5ADDDF31213}">
      <dgm:prSet/>
      <dgm:spPr/>
      <dgm:t>
        <a:bodyPr/>
        <a:lstStyle/>
        <a:p>
          <a:endParaRPr lang="es-ES" sz="800">
            <a:latin typeface="Times New Roman" panose="02020603050405020304" pitchFamily="18" charset="0"/>
            <a:cs typeface="Times New Roman" panose="02020603050405020304" pitchFamily="18" charset="0"/>
          </a:endParaRPr>
        </a:p>
      </dgm:t>
    </dgm:pt>
    <dgm:pt modelId="{4416514E-C43C-4E86-B2FB-0FCC10ADE048}">
      <dgm:prSet phldrT="[Texto]" custT="1"/>
      <dgm:spPr/>
      <dgm:t>
        <a:bodyPr/>
        <a:lstStyle/>
        <a:p>
          <a:r>
            <a:rPr lang="es-ES" sz="800">
              <a:latin typeface="Times New Roman" panose="02020603050405020304" pitchFamily="18" charset="0"/>
              <a:cs typeface="Times New Roman" panose="02020603050405020304" pitchFamily="18" charset="0"/>
            </a:rPr>
            <a:t>Extrapresupuestario </a:t>
          </a:r>
        </a:p>
      </dgm:t>
    </dgm:pt>
    <dgm:pt modelId="{22FDBEB1-A98C-40F7-BDFE-78F3BC242C58}" type="parTrans" cxnId="{5CCF14AC-E2A7-4025-BAE6-354F781E93BE}">
      <dgm:prSet/>
      <dgm:spPr/>
      <dgm:t>
        <a:bodyPr/>
        <a:lstStyle/>
        <a:p>
          <a:endParaRPr lang="es-ES" sz="800">
            <a:latin typeface="Times New Roman" panose="02020603050405020304" pitchFamily="18" charset="0"/>
            <a:cs typeface="Times New Roman" panose="02020603050405020304" pitchFamily="18" charset="0"/>
          </a:endParaRPr>
        </a:p>
      </dgm:t>
    </dgm:pt>
    <dgm:pt modelId="{4D2681D1-1B20-4FE4-96F2-C9AF07CB3374}" type="sibTrans" cxnId="{5CCF14AC-E2A7-4025-BAE6-354F781E93BE}">
      <dgm:prSet/>
      <dgm:spPr/>
      <dgm:t>
        <a:bodyPr/>
        <a:lstStyle/>
        <a:p>
          <a:endParaRPr lang="es-ES" sz="800">
            <a:latin typeface="Times New Roman" panose="02020603050405020304" pitchFamily="18" charset="0"/>
            <a:cs typeface="Times New Roman" panose="02020603050405020304" pitchFamily="18" charset="0"/>
          </a:endParaRPr>
        </a:p>
      </dgm:t>
    </dgm:pt>
    <dgm:pt modelId="{A03B4039-2F9E-4251-9CAC-D9CB403361A5}">
      <dgm:prSet phldrT="[Texto]" custT="1"/>
      <dgm:spPr/>
      <dgm:t>
        <a:bodyPr/>
        <a:lstStyle/>
        <a:p>
          <a:r>
            <a:rPr lang="es-ES" sz="800">
              <a:latin typeface="Times New Roman" panose="02020603050405020304" pitchFamily="18" charset="0"/>
              <a:cs typeface="Times New Roman" panose="02020603050405020304" pitchFamily="18" charset="0"/>
            </a:rPr>
            <a:t>De deposito</a:t>
          </a:r>
        </a:p>
      </dgm:t>
    </dgm:pt>
    <dgm:pt modelId="{ECDEF5A3-57FB-4DD0-A5FC-AFAF2C64C6A3}" type="parTrans" cxnId="{2E15E630-F9BD-46DE-80D3-E89DD2A86EA4}">
      <dgm:prSet/>
      <dgm:spPr/>
      <dgm:t>
        <a:bodyPr/>
        <a:lstStyle/>
        <a:p>
          <a:endParaRPr lang="es-ES" sz="800">
            <a:latin typeface="Times New Roman" panose="02020603050405020304" pitchFamily="18" charset="0"/>
            <a:cs typeface="Times New Roman" panose="02020603050405020304" pitchFamily="18" charset="0"/>
          </a:endParaRPr>
        </a:p>
      </dgm:t>
    </dgm:pt>
    <dgm:pt modelId="{1C7F6FDF-4081-40B2-9068-E772875ABE20}" type="sibTrans" cxnId="{2E15E630-F9BD-46DE-80D3-E89DD2A86EA4}">
      <dgm:prSet/>
      <dgm:spPr/>
      <dgm:t>
        <a:bodyPr/>
        <a:lstStyle/>
        <a:p>
          <a:endParaRPr lang="es-ES" sz="800">
            <a:latin typeface="Times New Roman" panose="02020603050405020304" pitchFamily="18" charset="0"/>
            <a:cs typeface="Times New Roman" panose="02020603050405020304" pitchFamily="18" charset="0"/>
          </a:endParaRPr>
        </a:p>
      </dgm:t>
    </dgm:pt>
    <dgm:pt modelId="{1212D7EE-AE55-4627-8584-507D5756A0D2}">
      <dgm:prSet phldrT="[Texto]" custT="1"/>
      <dgm:spPr/>
      <dgm:t>
        <a:bodyPr/>
        <a:lstStyle/>
        <a:p>
          <a:r>
            <a:rPr lang="es-ES" sz="800">
              <a:latin typeface="Times New Roman" panose="02020603050405020304" pitchFamily="18" charset="0"/>
              <a:cs typeface="Times New Roman" panose="02020603050405020304" pitchFamily="18" charset="0"/>
            </a:rPr>
            <a:t>Otras sociedades públicas financieras</a:t>
          </a:r>
        </a:p>
      </dgm:t>
    </dgm:pt>
    <dgm:pt modelId="{6687F422-3A96-46A1-BD7C-B076209F75EB}" type="parTrans" cxnId="{80B7D812-8507-4436-A149-B034D4344D86}">
      <dgm:prSet/>
      <dgm:spPr/>
      <dgm:t>
        <a:bodyPr/>
        <a:lstStyle/>
        <a:p>
          <a:endParaRPr lang="es-ES" sz="800">
            <a:latin typeface="Times New Roman" panose="02020603050405020304" pitchFamily="18" charset="0"/>
            <a:cs typeface="Times New Roman" panose="02020603050405020304" pitchFamily="18" charset="0"/>
          </a:endParaRPr>
        </a:p>
      </dgm:t>
    </dgm:pt>
    <dgm:pt modelId="{9168B082-77BC-49D2-B1C4-5C3FAB645F74}" type="sibTrans" cxnId="{80B7D812-8507-4436-A149-B034D4344D86}">
      <dgm:prSet/>
      <dgm:spPr/>
      <dgm:t>
        <a:bodyPr/>
        <a:lstStyle/>
        <a:p>
          <a:endParaRPr lang="es-ES" sz="800">
            <a:latin typeface="Times New Roman" panose="02020603050405020304" pitchFamily="18" charset="0"/>
            <a:cs typeface="Times New Roman" panose="02020603050405020304" pitchFamily="18" charset="0"/>
          </a:endParaRPr>
        </a:p>
      </dgm:t>
    </dgm:pt>
    <dgm:pt modelId="{6C721F52-F250-4DF2-B82D-2E51E3E00B09}">
      <dgm:prSet phldrT="[Texto]" custT="1"/>
      <dgm:spPr>
        <a:solidFill>
          <a:schemeClr val="bg2">
            <a:lumMod val="75000"/>
          </a:schemeClr>
        </a:solidFill>
      </dgm:spPr>
      <dgm:t>
        <a:bodyPr/>
        <a:lstStyle/>
        <a:p>
          <a:r>
            <a:rPr lang="es-ES" sz="800">
              <a:latin typeface="Times New Roman" panose="02020603050405020304" pitchFamily="18" charset="0"/>
              <a:cs typeface="Times New Roman" panose="02020603050405020304" pitchFamily="18" charset="0"/>
            </a:rPr>
            <a:t>Banco Central</a:t>
          </a:r>
        </a:p>
      </dgm:t>
    </dgm:pt>
    <dgm:pt modelId="{50B6BE6C-C6FF-40DB-BFEE-FDF74C70F023}" type="parTrans" cxnId="{8703AA4C-6684-4193-8240-28CB5520CE39}">
      <dgm:prSet/>
      <dgm:spPr/>
      <dgm:t>
        <a:bodyPr/>
        <a:lstStyle/>
        <a:p>
          <a:endParaRPr lang="es-ES" sz="800">
            <a:latin typeface="Times New Roman" panose="02020603050405020304" pitchFamily="18" charset="0"/>
            <a:cs typeface="Times New Roman" panose="02020603050405020304" pitchFamily="18" charset="0"/>
          </a:endParaRPr>
        </a:p>
      </dgm:t>
    </dgm:pt>
    <dgm:pt modelId="{9A761B00-AD44-48ED-A7F6-26CC29618C91}" type="sibTrans" cxnId="{8703AA4C-6684-4193-8240-28CB5520CE39}">
      <dgm:prSet/>
      <dgm:spPr/>
      <dgm:t>
        <a:bodyPr/>
        <a:lstStyle/>
        <a:p>
          <a:endParaRPr lang="es-ES" sz="800">
            <a:latin typeface="Times New Roman" panose="02020603050405020304" pitchFamily="18" charset="0"/>
            <a:cs typeface="Times New Roman" panose="02020603050405020304" pitchFamily="18" charset="0"/>
          </a:endParaRPr>
        </a:p>
      </dgm:t>
    </dgm:pt>
    <dgm:pt modelId="{26E5B6AE-6237-457C-BA45-F608C598A1A2}">
      <dgm:prSet phldrT="[Texto]" custT="1"/>
      <dgm:spPr>
        <a:solidFill>
          <a:schemeClr val="bg2">
            <a:lumMod val="75000"/>
          </a:schemeClr>
        </a:solidFill>
      </dgm:spPr>
      <dgm:t>
        <a:bodyPr/>
        <a:lstStyle/>
        <a:p>
          <a:r>
            <a:rPr lang="es-ES" sz="800">
              <a:latin typeface="Times New Roman" panose="02020603050405020304" pitchFamily="18" charset="0"/>
              <a:cs typeface="Times New Roman" panose="02020603050405020304" pitchFamily="18" charset="0"/>
            </a:rPr>
            <a:t>De deposito distintas del Banco Central</a:t>
          </a:r>
        </a:p>
      </dgm:t>
    </dgm:pt>
    <dgm:pt modelId="{18B3CD19-0020-4C67-9584-FA5A4AA4B36D}" type="parTrans" cxnId="{97CFA0FE-D389-4D22-874C-BA22076E805C}">
      <dgm:prSet/>
      <dgm:spPr/>
      <dgm:t>
        <a:bodyPr/>
        <a:lstStyle/>
        <a:p>
          <a:endParaRPr lang="es-ES" sz="800">
            <a:latin typeface="Times New Roman" panose="02020603050405020304" pitchFamily="18" charset="0"/>
            <a:cs typeface="Times New Roman" panose="02020603050405020304" pitchFamily="18" charset="0"/>
          </a:endParaRPr>
        </a:p>
      </dgm:t>
    </dgm:pt>
    <dgm:pt modelId="{8D7B8DA7-F652-4C76-ADBC-7FFAA4A0B0CA}" type="sibTrans" cxnId="{97CFA0FE-D389-4D22-874C-BA22076E805C}">
      <dgm:prSet/>
      <dgm:spPr/>
      <dgm:t>
        <a:bodyPr/>
        <a:lstStyle/>
        <a:p>
          <a:endParaRPr lang="es-ES" sz="800">
            <a:latin typeface="Times New Roman" panose="02020603050405020304" pitchFamily="18" charset="0"/>
            <a:cs typeface="Times New Roman" panose="02020603050405020304" pitchFamily="18" charset="0"/>
          </a:endParaRPr>
        </a:p>
      </dgm:t>
    </dgm:pt>
    <dgm:pt modelId="{EF977685-AAB3-4B0D-9FAB-16494B0B4298}">
      <dgm:prSet phldrT="[Texto]" custT="1"/>
      <dgm:spPr/>
      <dgm:t>
        <a:bodyPr/>
        <a:lstStyle/>
        <a:p>
          <a:r>
            <a:rPr lang="es-ES" sz="800">
              <a:latin typeface="Times New Roman" panose="02020603050405020304" pitchFamily="18" charset="0"/>
              <a:cs typeface="Times New Roman" panose="02020603050405020304" pitchFamily="18" charset="0"/>
            </a:rPr>
            <a:t>Sociedades Públicas</a:t>
          </a:r>
        </a:p>
      </dgm:t>
    </dgm:pt>
    <dgm:pt modelId="{05748153-11C5-408F-A69A-51687CD0541C}" type="sibTrans" cxnId="{709570A5-4A20-476F-BE25-7E618E839A3A}">
      <dgm:prSet/>
      <dgm:spPr/>
      <dgm:t>
        <a:bodyPr/>
        <a:lstStyle/>
        <a:p>
          <a:endParaRPr lang="es-ES" sz="800">
            <a:latin typeface="Times New Roman" panose="02020603050405020304" pitchFamily="18" charset="0"/>
            <a:cs typeface="Times New Roman" panose="02020603050405020304" pitchFamily="18" charset="0"/>
          </a:endParaRPr>
        </a:p>
      </dgm:t>
    </dgm:pt>
    <dgm:pt modelId="{6AF030DF-12F2-4F57-A02B-63E7EE6BD6C8}" type="parTrans" cxnId="{709570A5-4A20-476F-BE25-7E618E839A3A}">
      <dgm:prSet/>
      <dgm:spPr/>
      <dgm:t>
        <a:bodyPr/>
        <a:lstStyle/>
        <a:p>
          <a:endParaRPr lang="es-ES" sz="800">
            <a:latin typeface="Times New Roman" panose="02020603050405020304" pitchFamily="18" charset="0"/>
            <a:cs typeface="Times New Roman" panose="02020603050405020304" pitchFamily="18" charset="0"/>
          </a:endParaRPr>
        </a:p>
      </dgm:t>
    </dgm:pt>
    <dgm:pt modelId="{2D598BD1-8082-4599-B4C7-7DE2BDDFAD07}">
      <dgm:prSet phldrT="[Texto]" custT="1"/>
      <dgm:spPr/>
      <dgm:t>
        <a:bodyPr/>
        <a:lstStyle/>
        <a:p>
          <a:r>
            <a:rPr lang="es-ES" sz="800">
              <a:latin typeface="Times New Roman" panose="02020603050405020304" pitchFamily="18" charset="0"/>
              <a:cs typeface="Times New Roman" panose="02020603050405020304" pitchFamily="18" charset="0"/>
            </a:rPr>
            <a:t>Fondos de Seguridad Social</a:t>
          </a:r>
        </a:p>
      </dgm:t>
    </dgm:pt>
    <dgm:pt modelId="{A2954519-7A96-4331-B451-8017F60C5B14}" type="parTrans" cxnId="{C37F901F-AE6F-4049-96FA-E18B1E561482}">
      <dgm:prSet/>
      <dgm:spPr/>
      <dgm:t>
        <a:bodyPr/>
        <a:lstStyle/>
        <a:p>
          <a:endParaRPr lang="es-GT" sz="800">
            <a:latin typeface="Times New Roman" panose="02020603050405020304" pitchFamily="18" charset="0"/>
            <a:cs typeface="Times New Roman" panose="02020603050405020304" pitchFamily="18" charset="0"/>
          </a:endParaRPr>
        </a:p>
      </dgm:t>
    </dgm:pt>
    <dgm:pt modelId="{FDFE5A17-6AA9-46BC-AC2B-62099EF4154E}" type="sibTrans" cxnId="{C37F901F-AE6F-4049-96FA-E18B1E561482}">
      <dgm:prSet/>
      <dgm:spPr/>
      <dgm:t>
        <a:bodyPr/>
        <a:lstStyle/>
        <a:p>
          <a:endParaRPr lang="es-GT" sz="800">
            <a:latin typeface="Times New Roman" panose="02020603050405020304" pitchFamily="18" charset="0"/>
            <a:cs typeface="Times New Roman" panose="02020603050405020304" pitchFamily="18" charset="0"/>
          </a:endParaRPr>
        </a:p>
      </dgm:t>
    </dgm:pt>
    <dgm:pt modelId="{8B13E9F7-7C1C-48E6-B0DF-490629487ADE}" type="pres">
      <dgm:prSet presAssocID="{D681C0B2-2EA8-40C5-A6BA-B48D6A1A6D43}" presName="hierChild1" presStyleCnt="0">
        <dgm:presLayoutVars>
          <dgm:orgChart val="1"/>
          <dgm:chPref val="1"/>
          <dgm:dir/>
          <dgm:animOne val="branch"/>
          <dgm:animLvl val="lvl"/>
          <dgm:resizeHandles/>
        </dgm:presLayoutVars>
      </dgm:prSet>
      <dgm:spPr/>
      <dgm:t>
        <a:bodyPr/>
        <a:lstStyle/>
        <a:p>
          <a:endParaRPr lang="es-ES"/>
        </a:p>
      </dgm:t>
    </dgm:pt>
    <dgm:pt modelId="{D076E14A-C3DE-4E5E-BF66-C5B201F2EE79}" type="pres">
      <dgm:prSet presAssocID="{7A80290F-F723-432A-AD4F-4F7D47BF18A6}" presName="hierRoot1" presStyleCnt="0">
        <dgm:presLayoutVars>
          <dgm:hierBranch val="init"/>
        </dgm:presLayoutVars>
      </dgm:prSet>
      <dgm:spPr/>
    </dgm:pt>
    <dgm:pt modelId="{123ECE54-D00B-4838-8D97-E5CB60231E1C}" type="pres">
      <dgm:prSet presAssocID="{7A80290F-F723-432A-AD4F-4F7D47BF18A6}" presName="rootComposite1" presStyleCnt="0"/>
      <dgm:spPr/>
    </dgm:pt>
    <dgm:pt modelId="{E18B77E1-D918-44F8-9EFB-9C8FFAF46C71}" type="pres">
      <dgm:prSet presAssocID="{7A80290F-F723-432A-AD4F-4F7D47BF18A6}" presName="rootText1" presStyleLbl="node0" presStyleIdx="0" presStyleCnt="1">
        <dgm:presLayoutVars>
          <dgm:chPref val="3"/>
        </dgm:presLayoutVars>
      </dgm:prSet>
      <dgm:spPr/>
      <dgm:t>
        <a:bodyPr/>
        <a:lstStyle/>
        <a:p>
          <a:endParaRPr lang="es-ES"/>
        </a:p>
      </dgm:t>
    </dgm:pt>
    <dgm:pt modelId="{506EBAA1-CBFC-4679-9702-07ED8E9101B5}" type="pres">
      <dgm:prSet presAssocID="{7A80290F-F723-432A-AD4F-4F7D47BF18A6}" presName="rootConnector1" presStyleLbl="node1" presStyleIdx="0" presStyleCnt="0"/>
      <dgm:spPr/>
      <dgm:t>
        <a:bodyPr/>
        <a:lstStyle/>
        <a:p>
          <a:endParaRPr lang="es-ES"/>
        </a:p>
      </dgm:t>
    </dgm:pt>
    <dgm:pt modelId="{5BF44E3D-243A-4020-A201-0037E0B815B7}" type="pres">
      <dgm:prSet presAssocID="{7A80290F-F723-432A-AD4F-4F7D47BF18A6}" presName="hierChild2" presStyleCnt="0"/>
      <dgm:spPr/>
    </dgm:pt>
    <dgm:pt modelId="{7DAC3CED-1027-4BBC-B944-55C01DF9EF65}" type="pres">
      <dgm:prSet presAssocID="{A8703346-FEE3-492F-B8B3-8E7F3B9860C8}" presName="Name64" presStyleLbl="parChTrans1D2" presStyleIdx="0" presStyleCnt="2"/>
      <dgm:spPr/>
      <dgm:t>
        <a:bodyPr/>
        <a:lstStyle/>
        <a:p>
          <a:endParaRPr lang="es-ES"/>
        </a:p>
      </dgm:t>
    </dgm:pt>
    <dgm:pt modelId="{C2A8DFB4-7A96-4C01-80B0-198E9A472CA8}" type="pres">
      <dgm:prSet presAssocID="{8B890290-C711-4278-9C0F-810D40A8CBA9}" presName="hierRoot2" presStyleCnt="0">
        <dgm:presLayoutVars>
          <dgm:hierBranch val="init"/>
        </dgm:presLayoutVars>
      </dgm:prSet>
      <dgm:spPr/>
    </dgm:pt>
    <dgm:pt modelId="{FDA00097-DCD4-4A84-8D1E-34A6BD2F4B56}" type="pres">
      <dgm:prSet presAssocID="{8B890290-C711-4278-9C0F-810D40A8CBA9}" presName="rootComposite" presStyleCnt="0"/>
      <dgm:spPr/>
    </dgm:pt>
    <dgm:pt modelId="{C2E37E83-D23E-4766-B5FC-A0C604557FDD}" type="pres">
      <dgm:prSet presAssocID="{8B890290-C711-4278-9C0F-810D40A8CBA9}" presName="rootText" presStyleLbl="node2" presStyleIdx="0" presStyleCnt="2" custLinFactNeighborX="2501" custLinFactNeighborY="16401">
        <dgm:presLayoutVars>
          <dgm:chPref val="3"/>
        </dgm:presLayoutVars>
      </dgm:prSet>
      <dgm:spPr/>
      <dgm:t>
        <a:bodyPr/>
        <a:lstStyle/>
        <a:p>
          <a:endParaRPr lang="es-ES"/>
        </a:p>
      </dgm:t>
    </dgm:pt>
    <dgm:pt modelId="{D204D452-A5C0-4DD0-94BB-52A6370ACE61}" type="pres">
      <dgm:prSet presAssocID="{8B890290-C711-4278-9C0F-810D40A8CBA9}" presName="rootConnector" presStyleLbl="node2" presStyleIdx="0" presStyleCnt="2"/>
      <dgm:spPr/>
      <dgm:t>
        <a:bodyPr/>
        <a:lstStyle/>
        <a:p>
          <a:endParaRPr lang="es-ES"/>
        </a:p>
      </dgm:t>
    </dgm:pt>
    <dgm:pt modelId="{75105966-18A5-4A44-8B38-9D63BE35A1DA}" type="pres">
      <dgm:prSet presAssocID="{8B890290-C711-4278-9C0F-810D40A8CBA9}" presName="hierChild4" presStyleCnt="0"/>
      <dgm:spPr/>
    </dgm:pt>
    <dgm:pt modelId="{6A6CECDF-39CF-475E-A21B-E1FC4508ACC6}" type="pres">
      <dgm:prSet presAssocID="{D5E5A1DB-4AAD-4710-B9DA-A4EB5BA77E76}" presName="Name64" presStyleLbl="parChTrans1D3" presStyleIdx="0" presStyleCnt="5"/>
      <dgm:spPr/>
      <dgm:t>
        <a:bodyPr/>
        <a:lstStyle/>
        <a:p>
          <a:endParaRPr lang="es-ES"/>
        </a:p>
      </dgm:t>
    </dgm:pt>
    <dgm:pt modelId="{03412193-23FA-47E7-B717-49B2CAFE47E3}" type="pres">
      <dgm:prSet presAssocID="{749A17C7-FF49-4F8F-918A-3614BC07C9AD}" presName="hierRoot2" presStyleCnt="0">
        <dgm:presLayoutVars>
          <dgm:hierBranch val="init"/>
        </dgm:presLayoutVars>
      </dgm:prSet>
      <dgm:spPr/>
    </dgm:pt>
    <dgm:pt modelId="{0E625FB6-7C76-4CD6-9810-1947D509894B}" type="pres">
      <dgm:prSet presAssocID="{749A17C7-FF49-4F8F-918A-3614BC07C9AD}" presName="rootComposite" presStyleCnt="0"/>
      <dgm:spPr/>
    </dgm:pt>
    <dgm:pt modelId="{C00D715B-C124-4542-B479-98C28121950B}" type="pres">
      <dgm:prSet presAssocID="{749A17C7-FF49-4F8F-918A-3614BC07C9AD}" presName="rootText" presStyleLbl="node3" presStyleIdx="0" presStyleCnt="5">
        <dgm:presLayoutVars>
          <dgm:chPref val="3"/>
        </dgm:presLayoutVars>
      </dgm:prSet>
      <dgm:spPr/>
      <dgm:t>
        <a:bodyPr/>
        <a:lstStyle/>
        <a:p>
          <a:endParaRPr lang="es-ES"/>
        </a:p>
      </dgm:t>
    </dgm:pt>
    <dgm:pt modelId="{813A1062-54AE-46E5-A654-5F0B0FBE59A3}" type="pres">
      <dgm:prSet presAssocID="{749A17C7-FF49-4F8F-918A-3614BC07C9AD}" presName="rootConnector" presStyleLbl="node3" presStyleIdx="0" presStyleCnt="5"/>
      <dgm:spPr/>
      <dgm:t>
        <a:bodyPr/>
        <a:lstStyle/>
        <a:p>
          <a:endParaRPr lang="es-ES"/>
        </a:p>
      </dgm:t>
    </dgm:pt>
    <dgm:pt modelId="{D38B3FDC-9CA5-4886-A45F-7A6E2F4DBE03}" type="pres">
      <dgm:prSet presAssocID="{749A17C7-FF49-4F8F-918A-3614BC07C9AD}" presName="hierChild4" presStyleCnt="0"/>
      <dgm:spPr/>
    </dgm:pt>
    <dgm:pt modelId="{2B408CD7-063E-4396-A87B-24CB4997EAA6}" type="pres">
      <dgm:prSet presAssocID="{9473C394-755B-4F60-9E08-CD6D5C14CF46}" presName="Name64" presStyleLbl="parChTrans1D4" presStyleIdx="0" presStyleCnt="6"/>
      <dgm:spPr/>
      <dgm:t>
        <a:bodyPr/>
        <a:lstStyle/>
        <a:p>
          <a:endParaRPr lang="es-ES"/>
        </a:p>
      </dgm:t>
    </dgm:pt>
    <dgm:pt modelId="{E6608DA3-BB3F-426E-9655-A0B088AB0CD7}" type="pres">
      <dgm:prSet presAssocID="{7FD84D5B-2308-4A2C-A067-2EDC4BE32B99}" presName="hierRoot2" presStyleCnt="0">
        <dgm:presLayoutVars>
          <dgm:hierBranch val="init"/>
        </dgm:presLayoutVars>
      </dgm:prSet>
      <dgm:spPr/>
    </dgm:pt>
    <dgm:pt modelId="{4DB82F5F-013F-49D9-B73E-463A4AF80F07}" type="pres">
      <dgm:prSet presAssocID="{7FD84D5B-2308-4A2C-A067-2EDC4BE32B99}" presName="rootComposite" presStyleCnt="0"/>
      <dgm:spPr/>
    </dgm:pt>
    <dgm:pt modelId="{064AA238-DCFD-449F-A6BF-A232C90F81AE}" type="pres">
      <dgm:prSet presAssocID="{7FD84D5B-2308-4A2C-A067-2EDC4BE32B99}" presName="rootText" presStyleLbl="node4" presStyleIdx="0" presStyleCnt="6" custLinFactNeighborX="0" custLinFactNeighborY="8552">
        <dgm:presLayoutVars>
          <dgm:chPref val="3"/>
        </dgm:presLayoutVars>
      </dgm:prSet>
      <dgm:spPr/>
      <dgm:t>
        <a:bodyPr/>
        <a:lstStyle/>
        <a:p>
          <a:endParaRPr lang="es-ES"/>
        </a:p>
      </dgm:t>
    </dgm:pt>
    <dgm:pt modelId="{C79D10E1-A7B3-42FA-8FD9-A1CC58219907}" type="pres">
      <dgm:prSet presAssocID="{7FD84D5B-2308-4A2C-A067-2EDC4BE32B99}" presName="rootConnector" presStyleLbl="node4" presStyleIdx="0" presStyleCnt="6"/>
      <dgm:spPr/>
      <dgm:t>
        <a:bodyPr/>
        <a:lstStyle/>
        <a:p>
          <a:endParaRPr lang="es-ES"/>
        </a:p>
      </dgm:t>
    </dgm:pt>
    <dgm:pt modelId="{EE456222-D57E-4139-9708-7915B98DC144}" type="pres">
      <dgm:prSet presAssocID="{7FD84D5B-2308-4A2C-A067-2EDC4BE32B99}" presName="hierChild4" presStyleCnt="0"/>
      <dgm:spPr/>
    </dgm:pt>
    <dgm:pt modelId="{E8765DF8-DFB8-4A33-AF62-8569A2827B5D}" type="pres">
      <dgm:prSet presAssocID="{7FD84D5B-2308-4A2C-A067-2EDC4BE32B99}" presName="hierChild5" presStyleCnt="0"/>
      <dgm:spPr/>
    </dgm:pt>
    <dgm:pt modelId="{1679104F-1A26-4774-9A3C-6239A6C532C8}" type="pres">
      <dgm:prSet presAssocID="{22FDBEB1-A98C-40F7-BDFE-78F3BC242C58}" presName="Name64" presStyleLbl="parChTrans1D4" presStyleIdx="1" presStyleCnt="6"/>
      <dgm:spPr/>
      <dgm:t>
        <a:bodyPr/>
        <a:lstStyle/>
        <a:p>
          <a:endParaRPr lang="es-ES"/>
        </a:p>
      </dgm:t>
    </dgm:pt>
    <dgm:pt modelId="{D2EDA742-25E7-4488-834A-1E8980440247}" type="pres">
      <dgm:prSet presAssocID="{4416514E-C43C-4E86-B2FB-0FCC10ADE048}" presName="hierRoot2" presStyleCnt="0">
        <dgm:presLayoutVars>
          <dgm:hierBranch val="init"/>
        </dgm:presLayoutVars>
      </dgm:prSet>
      <dgm:spPr/>
    </dgm:pt>
    <dgm:pt modelId="{C8D6AD9D-7A79-401E-865F-CAB04ABB4889}" type="pres">
      <dgm:prSet presAssocID="{4416514E-C43C-4E86-B2FB-0FCC10ADE048}" presName="rootComposite" presStyleCnt="0"/>
      <dgm:spPr/>
    </dgm:pt>
    <dgm:pt modelId="{B77273A7-CA45-4B53-89BA-E5E48B2AA818}" type="pres">
      <dgm:prSet presAssocID="{4416514E-C43C-4E86-B2FB-0FCC10ADE048}" presName="rootText" presStyleLbl="node4" presStyleIdx="1" presStyleCnt="6">
        <dgm:presLayoutVars>
          <dgm:chPref val="3"/>
        </dgm:presLayoutVars>
      </dgm:prSet>
      <dgm:spPr/>
      <dgm:t>
        <a:bodyPr/>
        <a:lstStyle/>
        <a:p>
          <a:endParaRPr lang="es-ES"/>
        </a:p>
      </dgm:t>
    </dgm:pt>
    <dgm:pt modelId="{23BEC719-C373-4211-8E8F-768E6CCB466D}" type="pres">
      <dgm:prSet presAssocID="{4416514E-C43C-4E86-B2FB-0FCC10ADE048}" presName="rootConnector" presStyleLbl="node4" presStyleIdx="1" presStyleCnt="6"/>
      <dgm:spPr/>
      <dgm:t>
        <a:bodyPr/>
        <a:lstStyle/>
        <a:p>
          <a:endParaRPr lang="es-ES"/>
        </a:p>
      </dgm:t>
    </dgm:pt>
    <dgm:pt modelId="{BFC05F8D-BC1B-48F7-A2D6-7457C3422153}" type="pres">
      <dgm:prSet presAssocID="{4416514E-C43C-4E86-B2FB-0FCC10ADE048}" presName="hierChild4" presStyleCnt="0"/>
      <dgm:spPr/>
    </dgm:pt>
    <dgm:pt modelId="{DAD8C6B7-C0B5-45CA-A519-80534351A1DF}" type="pres">
      <dgm:prSet presAssocID="{4416514E-C43C-4E86-B2FB-0FCC10ADE048}" presName="hierChild5" presStyleCnt="0"/>
      <dgm:spPr/>
    </dgm:pt>
    <dgm:pt modelId="{403DFC19-6B04-4763-B05D-2F02B75CD170}" type="pres">
      <dgm:prSet presAssocID="{749A17C7-FF49-4F8F-918A-3614BC07C9AD}" presName="hierChild5" presStyleCnt="0"/>
      <dgm:spPr/>
    </dgm:pt>
    <dgm:pt modelId="{D590DF14-4555-4653-B2A5-EC57F25B4580}" type="pres">
      <dgm:prSet presAssocID="{AEF87CCA-F7E3-48EB-B011-CA779D93D72E}" presName="Name64" presStyleLbl="parChTrans1D3" presStyleIdx="1" presStyleCnt="5"/>
      <dgm:spPr/>
      <dgm:t>
        <a:bodyPr/>
        <a:lstStyle/>
        <a:p>
          <a:endParaRPr lang="es-ES"/>
        </a:p>
      </dgm:t>
    </dgm:pt>
    <dgm:pt modelId="{261E42D6-081F-40D4-B26B-873838E847D1}" type="pres">
      <dgm:prSet presAssocID="{C66FEA0C-BE51-4437-9032-158E4B88A06C}" presName="hierRoot2" presStyleCnt="0">
        <dgm:presLayoutVars>
          <dgm:hierBranch val="init"/>
        </dgm:presLayoutVars>
      </dgm:prSet>
      <dgm:spPr/>
    </dgm:pt>
    <dgm:pt modelId="{4A98F2B6-4559-4C2F-9984-52B131CC56B3}" type="pres">
      <dgm:prSet presAssocID="{C66FEA0C-BE51-4437-9032-158E4B88A06C}" presName="rootComposite" presStyleCnt="0"/>
      <dgm:spPr/>
    </dgm:pt>
    <dgm:pt modelId="{CA4DB0E3-AF48-47D0-81BE-EA86C1A8AE09}" type="pres">
      <dgm:prSet presAssocID="{C66FEA0C-BE51-4437-9032-158E4B88A06C}" presName="rootText" presStyleLbl="node3" presStyleIdx="1" presStyleCnt="5">
        <dgm:presLayoutVars>
          <dgm:chPref val="3"/>
        </dgm:presLayoutVars>
      </dgm:prSet>
      <dgm:spPr/>
      <dgm:t>
        <a:bodyPr/>
        <a:lstStyle/>
        <a:p>
          <a:endParaRPr lang="es-ES"/>
        </a:p>
      </dgm:t>
    </dgm:pt>
    <dgm:pt modelId="{474DFA6E-AA4B-4E48-A0DE-A456A231CBF4}" type="pres">
      <dgm:prSet presAssocID="{C66FEA0C-BE51-4437-9032-158E4B88A06C}" presName="rootConnector" presStyleLbl="node3" presStyleIdx="1" presStyleCnt="5"/>
      <dgm:spPr/>
      <dgm:t>
        <a:bodyPr/>
        <a:lstStyle/>
        <a:p>
          <a:endParaRPr lang="es-ES"/>
        </a:p>
      </dgm:t>
    </dgm:pt>
    <dgm:pt modelId="{63026ED3-9AA9-44D0-8358-9300247BEC76}" type="pres">
      <dgm:prSet presAssocID="{C66FEA0C-BE51-4437-9032-158E4B88A06C}" presName="hierChild4" presStyleCnt="0"/>
      <dgm:spPr/>
    </dgm:pt>
    <dgm:pt modelId="{5420307B-9593-4498-9E7E-DCC0DE7C0F94}" type="pres">
      <dgm:prSet presAssocID="{C66FEA0C-BE51-4437-9032-158E4B88A06C}" presName="hierChild5" presStyleCnt="0"/>
      <dgm:spPr/>
    </dgm:pt>
    <dgm:pt modelId="{5FE86B7E-2210-4B31-94FC-022235CBEBAF}" type="pres">
      <dgm:prSet presAssocID="{A2954519-7A96-4331-B451-8017F60C5B14}" presName="Name64" presStyleLbl="parChTrans1D3" presStyleIdx="2" presStyleCnt="5"/>
      <dgm:spPr/>
      <dgm:t>
        <a:bodyPr/>
        <a:lstStyle/>
        <a:p>
          <a:endParaRPr lang="es-ES"/>
        </a:p>
      </dgm:t>
    </dgm:pt>
    <dgm:pt modelId="{EC5C2168-9FC2-4D9A-A2A7-702AB213FCA2}" type="pres">
      <dgm:prSet presAssocID="{2D598BD1-8082-4599-B4C7-7DE2BDDFAD07}" presName="hierRoot2" presStyleCnt="0">
        <dgm:presLayoutVars>
          <dgm:hierBranch val="init"/>
        </dgm:presLayoutVars>
      </dgm:prSet>
      <dgm:spPr/>
    </dgm:pt>
    <dgm:pt modelId="{8A5DD1F6-57FB-4154-954D-FB09488D043F}" type="pres">
      <dgm:prSet presAssocID="{2D598BD1-8082-4599-B4C7-7DE2BDDFAD07}" presName="rootComposite" presStyleCnt="0"/>
      <dgm:spPr/>
    </dgm:pt>
    <dgm:pt modelId="{E8AE2972-A4F0-4BF3-84FA-BE7FB6D8608C}" type="pres">
      <dgm:prSet presAssocID="{2D598BD1-8082-4599-B4C7-7DE2BDDFAD07}" presName="rootText" presStyleLbl="node3" presStyleIdx="2" presStyleCnt="5">
        <dgm:presLayoutVars>
          <dgm:chPref val="3"/>
        </dgm:presLayoutVars>
      </dgm:prSet>
      <dgm:spPr/>
      <dgm:t>
        <a:bodyPr/>
        <a:lstStyle/>
        <a:p>
          <a:endParaRPr lang="es-ES"/>
        </a:p>
      </dgm:t>
    </dgm:pt>
    <dgm:pt modelId="{3AEE0574-DF44-4CDD-8C86-1C8DD393BBDE}" type="pres">
      <dgm:prSet presAssocID="{2D598BD1-8082-4599-B4C7-7DE2BDDFAD07}" presName="rootConnector" presStyleLbl="node3" presStyleIdx="2" presStyleCnt="5"/>
      <dgm:spPr/>
      <dgm:t>
        <a:bodyPr/>
        <a:lstStyle/>
        <a:p>
          <a:endParaRPr lang="es-ES"/>
        </a:p>
      </dgm:t>
    </dgm:pt>
    <dgm:pt modelId="{4AE1BF3C-27EC-4BA6-81BE-A971E2496437}" type="pres">
      <dgm:prSet presAssocID="{2D598BD1-8082-4599-B4C7-7DE2BDDFAD07}" presName="hierChild4" presStyleCnt="0"/>
      <dgm:spPr/>
    </dgm:pt>
    <dgm:pt modelId="{E512CB78-EAF5-4C5C-995E-9B7B64D168A4}" type="pres">
      <dgm:prSet presAssocID="{2D598BD1-8082-4599-B4C7-7DE2BDDFAD07}" presName="hierChild5" presStyleCnt="0"/>
      <dgm:spPr/>
    </dgm:pt>
    <dgm:pt modelId="{A4653B7A-0F4A-415D-ADAD-FD1096835B09}" type="pres">
      <dgm:prSet presAssocID="{8B890290-C711-4278-9C0F-810D40A8CBA9}" presName="hierChild5" presStyleCnt="0"/>
      <dgm:spPr/>
    </dgm:pt>
    <dgm:pt modelId="{FBF4DE84-CDE1-4559-B9C5-A7E0DB11BAEE}" type="pres">
      <dgm:prSet presAssocID="{6AF030DF-12F2-4F57-A02B-63E7EE6BD6C8}" presName="Name64" presStyleLbl="parChTrans1D2" presStyleIdx="1" presStyleCnt="2"/>
      <dgm:spPr/>
      <dgm:t>
        <a:bodyPr/>
        <a:lstStyle/>
        <a:p>
          <a:endParaRPr lang="es-ES"/>
        </a:p>
      </dgm:t>
    </dgm:pt>
    <dgm:pt modelId="{3DBA6DAC-3944-4BB6-AC75-D71B2107F2E7}" type="pres">
      <dgm:prSet presAssocID="{EF977685-AAB3-4B0D-9FAB-16494B0B4298}" presName="hierRoot2" presStyleCnt="0">
        <dgm:presLayoutVars>
          <dgm:hierBranch val="init"/>
        </dgm:presLayoutVars>
      </dgm:prSet>
      <dgm:spPr/>
    </dgm:pt>
    <dgm:pt modelId="{3F96AE3A-654B-4652-9481-0D87599333E0}" type="pres">
      <dgm:prSet presAssocID="{EF977685-AAB3-4B0D-9FAB-16494B0B4298}" presName="rootComposite" presStyleCnt="0"/>
      <dgm:spPr/>
    </dgm:pt>
    <dgm:pt modelId="{C53339F6-34CF-4143-9420-20B347D1402D}" type="pres">
      <dgm:prSet presAssocID="{EF977685-AAB3-4B0D-9FAB-16494B0B4298}" presName="rootText" presStyleLbl="node2" presStyleIdx="1" presStyleCnt="2">
        <dgm:presLayoutVars>
          <dgm:chPref val="3"/>
        </dgm:presLayoutVars>
      </dgm:prSet>
      <dgm:spPr/>
      <dgm:t>
        <a:bodyPr/>
        <a:lstStyle/>
        <a:p>
          <a:endParaRPr lang="es-ES"/>
        </a:p>
      </dgm:t>
    </dgm:pt>
    <dgm:pt modelId="{86DDC91E-5F32-49BC-ADA1-6C44229FD759}" type="pres">
      <dgm:prSet presAssocID="{EF977685-AAB3-4B0D-9FAB-16494B0B4298}" presName="rootConnector" presStyleLbl="node2" presStyleIdx="1" presStyleCnt="2"/>
      <dgm:spPr/>
      <dgm:t>
        <a:bodyPr/>
        <a:lstStyle/>
        <a:p>
          <a:endParaRPr lang="es-ES"/>
        </a:p>
      </dgm:t>
    </dgm:pt>
    <dgm:pt modelId="{3A1DA897-5B77-4A8B-92C7-CFB9299350D3}" type="pres">
      <dgm:prSet presAssocID="{EF977685-AAB3-4B0D-9FAB-16494B0B4298}" presName="hierChild4" presStyleCnt="0"/>
      <dgm:spPr/>
    </dgm:pt>
    <dgm:pt modelId="{FFA0E9B9-D6DD-4B25-98BE-3A33D3B48ADC}" type="pres">
      <dgm:prSet presAssocID="{F3F23B5D-511A-4971-8759-B142278FB6E5}" presName="Name64" presStyleLbl="parChTrans1D3" presStyleIdx="3" presStyleCnt="5"/>
      <dgm:spPr/>
      <dgm:t>
        <a:bodyPr/>
        <a:lstStyle/>
        <a:p>
          <a:endParaRPr lang="es-ES"/>
        </a:p>
      </dgm:t>
    </dgm:pt>
    <dgm:pt modelId="{4A024ADF-6F30-4CF7-8FC4-6784D8455D77}" type="pres">
      <dgm:prSet presAssocID="{37665383-F808-496E-A886-FCD23A382442}" presName="hierRoot2" presStyleCnt="0">
        <dgm:presLayoutVars>
          <dgm:hierBranch val="init"/>
        </dgm:presLayoutVars>
      </dgm:prSet>
      <dgm:spPr/>
    </dgm:pt>
    <dgm:pt modelId="{69D7BF58-C63C-4DF9-A1F2-BA510BD1601B}" type="pres">
      <dgm:prSet presAssocID="{37665383-F808-496E-A886-FCD23A382442}" presName="rootComposite" presStyleCnt="0"/>
      <dgm:spPr/>
    </dgm:pt>
    <dgm:pt modelId="{E98524A6-E30C-429E-BB49-2951905627FB}" type="pres">
      <dgm:prSet presAssocID="{37665383-F808-496E-A886-FCD23A382442}" presName="rootText" presStyleLbl="node3" presStyleIdx="3" presStyleCnt="5">
        <dgm:presLayoutVars>
          <dgm:chPref val="3"/>
        </dgm:presLayoutVars>
      </dgm:prSet>
      <dgm:spPr/>
      <dgm:t>
        <a:bodyPr/>
        <a:lstStyle/>
        <a:p>
          <a:endParaRPr lang="es-ES"/>
        </a:p>
      </dgm:t>
    </dgm:pt>
    <dgm:pt modelId="{313BA963-BF97-47F7-9B3E-92269D2B4A49}" type="pres">
      <dgm:prSet presAssocID="{37665383-F808-496E-A886-FCD23A382442}" presName="rootConnector" presStyleLbl="node3" presStyleIdx="3" presStyleCnt="5"/>
      <dgm:spPr/>
      <dgm:t>
        <a:bodyPr/>
        <a:lstStyle/>
        <a:p>
          <a:endParaRPr lang="es-ES"/>
        </a:p>
      </dgm:t>
    </dgm:pt>
    <dgm:pt modelId="{684267C3-44FE-4827-A0FC-D25CA7B3EB66}" type="pres">
      <dgm:prSet presAssocID="{37665383-F808-496E-A886-FCD23A382442}" presName="hierChild4" presStyleCnt="0"/>
      <dgm:spPr/>
    </dgm:pt>
    <dgm:pt modelId="{27830B76-F625-458A-B5A9-91813783F81A}" type="pres">
      <dgm:prSet presAssocID="{37665383-F808-496E-A886-FCD23A382442}" presName="hierChild5" presStyleCnt="0"/>
      <dgm:spPr/>
    </dgm:pt>
    <dgm:pt modelId="{4528BD30-3E14-484B-81DD-661B608069B0}" type="pres">
      <dgm:prSet presAssocID="{EB8329EE-98BF-4AEE-8B35-A2C4DA43A9EA}" presName="Name64" presStyleLbl="parChTrans1D3" presStyleIdx="4" presStyleCnt="5"/>
      <dgm:spPr/>
      <dgm:t>
        <a:bodyPr/>
        <a:lstStyle/>
        <a:p>
          <a:endParaRPr lang="es-ES"/>
        </a:p>
      </dgm:t>
    </dgm:pt>
    <dgm:pt modelId="{C207AC9B-07C6-4A2F-A100-BD00B4655D2D}" type="pres">
      <dgm:prSet presAssocID="{4CBC2F9A-FA95-4886-BE3B-544D55F769C7}" presName="hierRoot2" presStyleCnt="0">
        <dgm:presLayoutVars>
          <dgm:hierBranch val="init"/>
        </dgm:presLayoutVars>
      </dgm:prSet>
      <dgm:spPr/>
    </dgm:pt>
    <dgm:pt modelId="{3621922C-7706-4FDE-8F37-F5A8E2B4B88B}" type="pres">
      <dgm:prSet presAssocID="{4CBC2F9A-FA95-4886-BE3B-544D55F769C7}" presName="rootComposite" presStyleCnt="0"/>
      <dgm:spPr/>
    </dgm:pt>
    <dgm:pt modelId="{FDAEFF29-6A7F-4B14-8172-865BFFC16BE3}" type="pres">
      <dgm:prSet presAssocID="{4CBC2F9A-FA95-4886-BE3B-544D55F769C7}" presName="rootText" presStyleLbl="node3" presStyleIdx="4" presStyleCnt="5">
        <dgm:presLayoutVars>
          <dgm:chPref val="3"/>
        </dgm:presLayoutVars>
      </dgm:prSet>
      <dgm:spPr/>
      <dgm:t>
        <a:bodyPr/>
        <a:lstStyle/>
        <a:p>
          <a:endParaRPr lang="es-ES"/>
        </a:p>
      </dgm:t>
    </dgm:pt>
    <dgm:pt modelId="{50298AE8-184B-4D88-95D5-84FDC4557ADC}" type="pres">
      <dgm:prSet presAssocID="{4CBC2F9A-FA95-4886-BE3B-544D55F769C7}" presName="rootConnector" presStyleLbl="node3" presStyleIdx="4" presStyleCnt="5"/>
      <dgm:spPr/>
      <dgm:t>
        <a:bodyPr/>
        <a:lstStyle/>
        <a:p>
          <a:endParaRPr lang="es-ES"/>
        </a:p>
      </dgm:t>
    </dgm:pt>
    <dgm:pt modelId="{BA6C0390-9C65-42EA-AE49-29545FE25B5E}" type="pres">
      <dgm:prSet presAssocID="{4CBC2F9A-FA95-4886-BE3B-544D55F769C7}" presName="hierChild4" presStyleCnt="0"/>
      <dgm:spPr/>
    </dgm:pt>
    <dgm:pt modelId="{46A81296-56FD-47B7-B3D9-9CE5D47FC1CE}" type="pres">
      <dgm:prSet presAssocID="{ECDEF5A3-57FB-4DD0-A5FC-AFAF2C64C6A3}" presName="Name64" presStyleLbl="parChTrans1D4" presStyleIdx="2" presStyleCnt="6"/>
      <dgm:spPr/>
      <dgm:t>
        <a:bodyPr/>
        <a:lstStyle/>
        <a:p>
          <a:endParaRPr lang="es-ES"/>
        </a:p>
      </dgm:t>
    </dgm:pt>
    <dgm:pt modelId="{679AE4A7-0356-4780-864D-316B2CB09638}" type="pres">
      <dgm:prSet presAssocID="{A03B4039-2F9E-4251-9CAC-D9CB403361A5}" presName="hierRoot2" presStyleCnt="0">
        <dgm:presLayoutVars>
          <dgm:hierBranch val="init"/>
        </dgm:presLayoutVars>
      </dgm:prSet>
      <dgm:spPr/>
    </dgm:pt>
    <dgm:pt modelId="{B7275CAF-4DCA-46AA-A775-D20F43A00FD2}" type="pres">
      <dgm:prSet presAssocID="{A03B4039-2F9E-4251-9CAC-D9CB403361A5}" presName="rootComposite" presStyleCnt="0"/>
      <dgm:spPr/>
    </dgm:pt>
    <dgm:pt modelId="{A84E6B68-569E-4654-A0D7-2C3E0526497E}" type="pres">
      <dgm:prSet presAssocID="{A03B4039-2F9E-4251-9CAC-D9CB403361A5}" presName="rootText" presStyleLbl="node4" presStyleIdx="2" presStyleCnt="6">
        <dgm:presLayoutVars>
          <dgm:chPref val="3"/>
        </dgm:presLayoutVars>
      </dgm:prSet>
      <dgm:spPr/>
      <dgm:t>
        <a:bodyPr/>
        <a:lstStyle/>
        <a:p>
          <a:endParaRPr lang="es-ES"/>
        </a:p>
      </dgm:t>
    </dgm:pt>
    <dgm:pt modelId="{CBD99398-6D7B-483C-AE7B-F39A6AE33802}" type="pres">
      <dgm:prSet presAssocID="{A03B4039-2F9E-4251-9CAC-D9CB403361A5}" presName="rootConnector" presStyleLbl="node4" presStyleIdx="2" presStyleCnt="6"/>
      <dgm:spPr/>
      <dgm:t>
        <a:bodyPr/>
        <a:lstStyle/>
        <a:p>
          <a:endParaRPr lang="es-ES"/>
        </a:p>
      </dgm:t>
    </dgm:pt>
    <dgm:pt modelId="{F123952B-0B2D-4E9D-B7EF-101DC738789C}" type="pres">
      <dgm:prSet presAssocID="{A03B4039-2F9E-4251-9CAC-D9CB403361A5}" presName="hierChild4" presStyleCnt="0"/>
      <dgm:spPr/>
    </dgm:pt>
    <dgm:pt modelId="{CA223E9C-FBE6-4338-A105-A106869441DC}" type="pres">
      <dgm:prSet presAssocID="{50B6BE6C-C6FF-40DB-BFEE-FDF74C70F023}" presName="Name64" presStyleLbl="parChTrans1D4" presStyleIdx="3" presStyleCnt="6"/>
      <dgm:spPr/>
      <dgm:t>
        <a:bodyPr/>
        <a:lstStyle/>
        <a:p>
          <a:endParaRPr lang="es-ES"/>
        </a:p>
      </dgm:t>
    </dgm:pt>
    <dgm:pt modelId="{AA9A4F45-5F1E-4FA9-BB7E-4416F82EE6B6}" type="pres">
      <dgm:prSet presAssocID="{6C721F52-F250-4DF2-B82D-2E51E3E00B09}" presName="hierRoot2" presStyleCnt="0">
        <dgm:presLayoutVars>
          <dgm:hierBranch val="init"/>
        </dgm:presLayoutVars>
      </dgm:prSet>
      <dgm:spPr/>
    </dgm:pt>
    <dgm:pt modelId="{DDDE7B49-3C8D-43D2-B89B-113ADE3062B6}" type="pres">
      <dgm:prSet presAssocID="{6C721F52-F250-4DF2-B82D-2E51E3E00B09}" presName="rootComposite" presStyleCnt="0"/>
      <dgm:spPr/>
    </dgm:pt>
    <dgm:pt modelId="{1A98B21A-74AF-44C4-BCE8-EA4AE4819FA0}" type="pres">
      <dgm:prSet presAssocID="{6C721F52-F250-4DF2-B82D-2E51E3E00B09}" presName="rootText" presStyleLbl="node4" presStyleIdx="3" presStyleCnt="6">
        <dgm:presLayoutVars>
          <dgm:chPref val="3"/>
        </dgm:presLayoutVars>
      </dgm:prSet>
      <dgm:spPr/>
      <dgm:t>
        <a:bodyPr/>
        <a:lstStyle/>
        <a:p>
          <a:endParaRPr lang="es-ES"/>
        </a:p>
      </dgm:t>
    </dgm:pt>
    <dgm:pt modelId="{2B3BD7B8-1ECC-4D83-9A1F-BEA55644AAA5}" type="pres">
      <dgm:prSet presAssocID="{6C721F52-F250-4DF2-B82D-2E51E3E00B09}" presName="rootConnector" presStyleLbl="node4" presStyleIdx="3" presStyleCnt="6"/>
      <dgm:spPr/>
      <dgm:t>
        <a:bodyPr/>
        <a:lstStyle/>
        <a:p>
          <a:endParaRPr lang="es-ES"/>
        </a:p>
      </dgm:t>
    </dgm:pt>
    <dgm:pt modelId="{E4638B37-3484-4EEE-AAFD-E924679E7F2F}" type="pres">
      <dgm:prSet presAssocID="{6C721F52-F250-4DF2-B82D-2E51E3E00B09}" presName="hierChild4" presStyleCnt="0"/>
      <dgm:spPr/>
    </dgm:pt>
    <dgm:pt modelId="{284129F9-EEA7-474E-AB52-14AEE957FE63}" type="pres">
      <dgm:prSet presAssocID="{6C721F52-F250-4DF2-B82D-2E51E3E00B09}" presName="hierChild5" presStyleCnt="0"/>
      <dgm:spPr/>
    </dgm:pt>
    <dgm:pt modelId="{ED70C387-B693-436A-B055-E34D5BD2CA6F}" type="pres">
      <dgm:prSet presAssocID="{18B3CD19-0020-4C67-9584-FA5A4AA4B36D}" presName="Name64" presStyleLbl="parChTrans1D4" presStyleIdx="4" presStyleCnt="6"/>
      <dgm:spPr/>
      <dgm:t>
        <a:bodyPr/>
        <a:lstStyle/>
        <a:p>
          <a:endParaRPr lang="es-ES"/>
        </a:p>
      </dgm:t>
    </dgm:pt>
    <dgm:pt modelId="{A277577E-57C3-4EA6-A884-39707506E0FB}" type="pres">
      <dgm:prSet presAssocID="{26E5B6AE-6237-457C-BA45-F608C598A1A2}" presName="hierRoot2" presStyleCnt="0">
        <dgm:presLayoutVars>
          <dgm:hierBranch val="init"/>
        </dgm:presLayoutVars>
      </dgm:prSet>
      <dgm:spPr/>
    </dgm:pt>
    <dgm:pt modelId="{11454442-8852-4321-AB47-EC9FE72EA95F}" type="pres">
      <dgm:prSet presAssocID="{26E5B6AE-6237-457C-BA45-F608C598A1A2}" presName="rootComposite" presStyleCnt="0"/>
      <dgm:spPr/>
    </dgm:pt>
    <dgm:pt modelId="{D62CFA3B-B1E1-4F9D-B056-7DC377E1228E}" type="pres">
      <dgm:prSet presAssocID="{26E5B6AE-6237-457C-BA45-F608C598A1A2}" presName="rootText" presStyleLbl="node4" presStyleIdx="4" presStyleCnt="6">
        <dgm:presLayoutVars>
          <dgm:chPref val="3"/>
        </dgm:presLayoutVars>
      </dgm:prSet>
      <dgm:spPr/>
      <dgm:t>
        <a:bodyPr/>
        <a:lstStyle/>
        <a:p>
          <a:endParaRPr lang="es-ES"/>
        </a:p>
      </dgm:t>
    </dgm:pt>
    <dgm:pt modelId="{96F0B95A-CA6F-44AD-A250-310351D30DFB}" type="pres">
      <dgm:prSet presAssocID="{26E5B6AE-6237-457C-BA45-F608C598A1A2}" presName="rootConnector" presStyleLbl="node4" presStyleIdx="4" presStyleCnt="6"/>
      <dgm:spPr/>
      <dgm:t>
        <a:bodyPr/>
        <a:lstStyle/>
        <a:p>
          <a:endParaRPr lang="es-ES"/>
        </a:p>
      </dgm:t>
    </dgm:pt>
    <dgm:pt modelId="{BE79AE2C-C20F-49A7-9252-2A577CE492CF}" type="pres">
      <dgm:prSet presAssocID="{26E5B6AE-6237-457C-BA45-F608C598A1A2}" presName="hierChild4" presStyleCnt="0"/>
      <dgm:spPr/>
    </dgm:pt>
    <dgm:pt modelId="{3E544FAF-800C-4023-B5E3-E360E68F97AC}" type="pres">
      <dgm:prSet presAssocID="{26E5B6AE-6237-457C-BA45-F608C598A1A2}" presName="hierChild5" presStyleCnt="0"/>
      <dgm:spPr/>
    </dgm:pt>
    <dgm:pt modelId="{1BADEB0C-E429-42AA-B3A6-067061334BF6}" type="pres">
      <dgm:prSet presAssocID="{A03B4039-2F9E-4251-9CAC-D9CB403361A5}" presName="hierChild5" presStyleCnt="0"/>
      <dgm:spPr/>
    </dgm:pt>
    <dgm:pt modelId="{2E1E5B69-FF44-4818-B3B3-4F6D292A0BC5}" type="pres">
      <dgm:prSet presAssocID="{6687F422-3A96-46A1-BD7C-B076209F75EB}" presName="Name64" presStyleLbl="parChTrans1D4" presStyleIdx="5" presStyleCnt="6"/>
      <dgm:spPr/>
      <dgm:t>
        <a:bodyPr/>
        <a:lstStyle/>
        <a:p>
          <a:endParaRPr lang="es-ES"/>
        </a:p>
      </dgm:t>
    </dgm:pt>
    <dgm:pt modelId="{EA057FF7-B65D-40F2-B953-16ACD7F51829}" type="pres">
      <dgm:prSet presAssocID="{1212D7EE-AE55-4627-8584-507D5756A0D2}" presName="hierRoot2" presStyleCnt="0">
        <dgm:presLayoutVars>
          <dgm:hierBranch val="init"/>
        </dgm:presLayoutVars>
      </dgm:prSet>
      <dgm:spPr/>
    </dgm:pt>
    <dgm:pt modelId="{C1CE07B2-7080-41CE-90CB-2B39592561C2}" type="pres">
      <dgm:prSet presAssocID="{1212D7EE-AE55-4627-8584-507D5756A0D2}" presName="rootComposite" presStyleCnt="0"/>
      <dgm:spPr/>
    </dgm:pt>
    <dgm:pt modelId="{F251FBAD-BE3B-4FBF-A3ED-B1A75F3E8976}" type="pres">
      <dgm:prSet presAssocID="{1212D7EE-AE55-4627-8584-507D5756A0D2}" presName="rootText" presStyleLbl="node4" presStyleIdx="5" presStyleCnt="6">
        <dgm:presLayoutVars>
          <dgm:chPref val="3"/>
        </dgm:presLayoutVars>
      </dgm:prSet>
      <dgm:spPr/>
      <dgm:t>
        <a:bodyPr/>
        <a:lstStyle/>
        <a:p>
          <a:endParaRPr lang="es-ES"/>
        </a:p>
      </dgm:t>
    </dgm:pt>
    <dgm:pt modelId="{6271783C-BF93-4BF1-B9A3-CF1B8ACFD0D1}" type="pres">
      <dgm:prSet presAssocID="{1212D7EE-AE55-4627-8584-507D5756A0D2}" presName="rootConnector" presStyleLbl="node4" presStyleIdx="5" presStyleCnt="6"/>
      <dgm:spPr/>
      <dgm:t>
        <a:bodyPr/>
        <a:lstStyle/>
        <a:p>
          <a:endParaRPr lang="es-ES"/>
        </a:p>
      </dgm:t>
    </dgm:pt>
    <dgm:pt modelId="{82BDD2DF-6103-4963-A321-0AECCA46D929}" type="pres">
      <dgm:prSet presAssocID="{1212D7EE-AE55-4627-8584-507D5756A0D2}" presName="hierChild4" presStyleCnt="0"/>
      <dgm:spPr/>
    </dgm:pt>
    <dgm:pt modelId="{688C65C0-F6DC-4230-BF92-7794F61B1303}" type="pres">
      <dgm:prSet presAssocID="{1212D7EE-AE55-4627-8584-507D5756A0D2}" presName="hierChild5" presStyleCnt="0"/>
      <dgm:spPr/>
    </dgm:pt>
    <dgm:pt modelId="{BD15454D-D3CC-469E-9318-341AECCA38BF}" type="pres">
      <dgm:prSet presAssocID="{4CBC2F9A-FA95-4886-BE3B-544D55F769C7}" presName="hierChild5" presStyleCnt="0"/>
      <dgm:spPr/>
    </dgm:pt>
    <dgm:pt modelId="{97813B70-D50A-4AA1-B870-9800B9333613}" type="pres">
      <dgm:prSet presAssocID="{EF977685-AAB3-4B0D-9FAB-16494B0B4298}" presName="hierChild5" presStyleCnt="0"/>
      <dgm:spPr/>
    </dgm:pt>
    <dgm:pt modelId="{41B9C6D2-BA0F-4645-8100-DC04F06149ED}" type="pres">
      <dgm:prSet presAssocID="{7A80290F-F723-432A-AD4F-4F7D47BF18A6}" presName="hierChild3" presStyleCnt="0"/>
      <dgm:spPr/>
    </dgm:pt>
  </dgm:ptLst>
  <dgm:cxnLst>
    <dgm:cxn modelId="{7D678A77-9B14-4A71-BC65-3CBC866AE2DB}" type="presOf" srcId="{4416514E-C43C-4E86-B2FB-0FCC10ADE048}" destId="{23BEC719-C373-4211-8E8F-768E6CCB466D}" srcOrd="1" destOrd="0" presId="urn:microsoft.com/office/officeart/2009/3/layout/HorizontalOrganizationChart"/>
    <dgm:cxn modelId="{709570A5-4A20-476F-BE25-7E618E839A3A}" srcId="{7A80290F-F723-432A-AD4F-4F7D47BF18A6}" destId="{EF977685-AAB3-4B0D-9FAB-16494B0B4298}" srcOrd="1" destOrd="0" parTransId="{6AF030DF-12F2-4F57-A02B-63E7EE6BD6C8}" sibTransId="{05748153-11C5-408F-A69A-51687CD0541C}"/>
    <dgm:cxn modelId="{9C78567F-242A-4E5B-B790-E7655DAE0CD5}" srcId="{7A80290F-F723-432A-AD4F-4F7D47BF18A6}" destId="{8B890290-C711-4278-9C0F-810D40A8CBA9}" srcOrd="0" destOrd="0" parTransId="{A8703346-FEE3-492F-B8B3-8E7F3B9860C8}" sibTransId="{D19BDAA3-C51A-4D7D-B6F9-C2C87C7A9145}"/>
    <dgm:cxn modelId="{8184DDF9-0271-464B-A4CC-5F74F1E0FD3A}" type="presOf" srcId="{37665383-F808-496E-A886-FCD23A382442}" destId="{E98524A6-E30C-429E-BB49-2951905627FB}" srcOrd="0" destOrd="0" presId="urn:microsoft.com/office/officeart/2009/3/layout/HorizontalOrganizationChart"/>
    <dgm:cxn modelId="{C46853EE-E9E9-40FA-BEF4-7F6FCC874F40}" type="presOf" srcId="{1212D7EE-AE55-4627-8584-507D5756A0D2}" destId="{F251FBAD-BE3B-4FBF-A3ED-B1A75F3E8976}" srcOrd="0" destOrd="0" presId="urn:microsoft.com/office/officeart/2009/3/layout/HorizontalOrganizationChart"/>
    <dgm:cxn modelId="{78036EC5-5D10-48DB-A468-7F616016918B}" type="presOf" srcId="{D681C0B2-2EA8-40C5-A6BA-B48D6A1A6D43}" destId="{8B13E9F7-7C1C-48E6-B0DF-490629487ADE}" srcOrd="0" destOrd="0" presId="urn:microsoft.com/office/officeart/2009/3/layout/HorizontalOrganizationChart"/>
    <dgm:cxn modelId="{A274CCA9-CEE0-46F3-B832-EBDA7EAA161F}" type="presOf" srcId="{F3F23B5D-511A-4971-8759-B142278FB6E5}" destId="{FFA0E9B9-D6DD-4B25-98BE-3A33D3B48ADC}" srcOrd="0" destOrd="0" presId="urn:microsoft.com/office/officeart/2009/3/layout/HorizontalOrganizationChart"/>
    <dgm:cxn modelId="{E64A42CE-3093-4CB4-8CAE-04E7F646AA74}" type="presOf" srcId="{7FD84D5B-2308-4A2C-A067-2EDC4BE32B99}" destId="{C79D10E1-A7B3-42FA-8FD9-A1CC58219907}" srcOrd="1" destOrd="0" presId="urn:microsoft.com/office/officeart/2009/3/layout/HorizontalOrganizationChart"/>
    <dgm:cxn modelId="{D17695DB-CE81-4F6A-94EB-422A72BB7390}" type="presOf" srcId="{7FD84D5B-2308-4A2C-A067-2EDC4BE32B99}" destId="{064AA238-DCFD-449F-A6BF-A232C90F81AE}" srcOrd="0" destOrd="0" presId="urn:microsoft.com/office/officeart/2009/3/layout/HorizontalOrganizationChart"/>
    <dgm:cxn modelId="{3E1AD60F-7994-488F-AF40-3422B874276D}" type="presOf" srcId="{EF977685-AAB3-4B0D-9FAB-16494B0B4298}" destId="{C53339F6-34CF-4143-9420-20B347D1402D}" srcOrd="0" destOrd="0" presId="urn:microsoft.com/office/officeart/2009/3/layout/HorizontalOrganizationChart"/>
    <dgm:cxn modelId="{9AB1C6E8-040C-4E22-9F2C-B1A0FDF64E0C}" srcId="{EF977685-AAB3-4B0D-9FAB-16494B0B4298}" destId="{4CBC2F9A-FA95-4886-BE3B-544D55F769C7}" srcOrd="1" destOrd="0" parTransId="{EB8329EE-98BF-4AEE-8B35-A2C4DA43A9EA}" sibTransId="{DEBE0399-1F49-4677-AAA9-6C48391FBAD2}"/>
    <dgm:cxn modelId="{0EE212A6-D493-4D5A-A83B-32FC38FA79A0}" type="presOf" srcId="{26E5B6AE-6237-457C-BA45-F608C598A1A2}" destId="{D62CFA3B-B1E1-4F9D-B056-7DC377E1228E}" srcOrd="0" destOrd="0" presId="urn:microsoft.com/office/officeart/2009/3/layout/HorizontalOrganizationChart"/>
    <dgm:cxn modelId="{D07A7020-3B74-4474-ACE8-925018B3AB46}" type="presOf" srcId="{A03B4039-2F9E-4251-9CAC-D9CB403361A5}" destId="{A84E6B68-569E-4654-A0D7-2C3E0526497E}" srcOrd="0" destOrd="0" presId="urn:microsoft.com/office/officeart/2009/3/layout/HorizontalOrganizationChart"/>
    <dgm:cxn modelId="{7B0E2BA1-8EF9-4B16-AA2B-58AA127E2AFD}" type="presOf" srcId="{26E5B6AE-6237-457C-BA45-F608C598A1A2}" destId="{96F0B95A-CA6F-44AD-A250-310351D30DFB}" srcOrd="1" destOrd="0" presId="urn:microsoft.com/office/officeart/2009/3/layout/HorizontalOrganizationChart"/>
    <dgm:cxn modelId="{8B9E5A1E-C1A5-422B-8540-F4A5C5740E5D}" type="presOf" srcId="{EB8329EE-98BF-4AEE-8B35-A2C4DA43A9EA}" destId="{4528BD30-3E14-484B-81DD-661B608069B0}" srcOrd="0" destOrd="0" presId="urn:microsoft.com/office/officeart/2009/3/layout/HorizontalOrganizationChart"/>
    <dgm:cxn modelId="{80B7D812-8507-4436-A149-B034D4344D86}" srcId="{4CBC2F9A-FA95-4886-BE3B-544D55F769C7}" destId="{1212D7EE-AE55-4627-8584-507D5756A0D2}" srcOrd="1" destOrd="0" parTransId="{6687F422-3A96-46A1-BD7C-B076209F75EB}" sibTransId="{9168B082-77BC-49D2-B1C4-5C3FAB645F74}"/>
    <dgm:cxn modelId="{D7428E1F-2011-42FE-A3DB-559BFA2DE1CD}" type="presOf" srcId="{22FDBEB1-A98C-40F7-BDFE-78F3BC242C58}" destId="{1679104F-1A26-4774-9A3C-6239A6C532C8}" srcOrd="0" destOrd="0" presId="urn:microsoft.com/office/officeart/2009/3/layout/HorizontalOrganizationChart"/>
    <dgm:cxn modelId="{5B9DA1C1-F92C-4912-B2AD-E8FF1098963E}" type="presOf" srcId="{6AF030DF-12F2-4F57-A02B-63E7EE6BD6C8}" destId="{FBF4DE84-CDE1-4559-B9C5-A7E0DB11BAEE}" srcOrd="0" destOrd="0" presId="urn:microsoft.com/office/officeart/2009/3/layout/HorizontalOrganizationChart"/>
    <dgm:cxn modelId="{2BE83CC7-9894-4AF0-A274-9161DF94DD94}" type="presOf" srcId="{ECDEF5A3-57FB-4DD0-A5FC-AFAF2C64C6A3}" destId="{46A81296-56FD-47B7-B3D9-9CE5D47FC1CE}" srcOrd="0" destOrd="0" presId="urn:microsoft.com/office/officeart/2009/3/layout/HorizontalOrganizationChart"/>
    <dgm:cxn modelId="{33ADCFF1-1DC3-4B66-80DF-0ED44B8B6ACD}" srcId="{8B890290-C711-4278-9C0F-810D40A8CBA9}" destId="{C66FEA0C-BE51-4437-9032-158E4B88A06C}" srcOrd="1" destOrd="0" parTransId="{AEF87CCA-F7E3-48EB-B011-CA779D93D72E}" sibTransId="{F1C2C07B-1F04-4BA5-91AD-EF309EB33C4F}"/>
    <dgm:cxn modelId="{C78FEE63-483B-4BF4-8FD7-CD636B5B8A54}" srcId="{D681C0B2-2EA8-40C5-A6BA-B48D6A1A6D43}" destId="{7A80290F-F723-432A-AD4F-4F7D47BF18A6}" srcOrd="0" destOrd="0" parTransId="{1F1683BE-9315-4255-B400-9BF4AC7A9A1A}" sibTransId="{946A2467-F1C9-4A22-B60E-A720D674450F}"/>
    <dgm:cxn modelId="{F7C6F8F3-3E15-448A-800D-4B9C41AF867A}" type="presOf" srcId="{37665383-F808-496E-A886-FCD23A382442}" destId="{313BA963-BF97-47F7-9B3E-92269D2B4A49}" srcOrd="1" destOrd="0" presId="urn:microsoft.com/office/officeart/2009/3/layout/HorizontalOrganizationChart"/>
    <dgm:cxn modelId="{92412C28-B3FC-4F99-B092-C65635E3B391}" type="presOf" srcId="{8B890290-C711-4278-9C0F-810D40A8CBA9}" destId="{C2E37E83-D23E-4766-B5FC-A0C604557FDD}" srcOrd="0" destOrd="0" presId="urn:microsoft.com/office/officeart/2009/3/layout/HorizontalOrganizationChart"/>
    <dgm:cxn modelId="{C37F901F-AE6F-4049-96FA-E18B1E561482}" srcId="{8B890290-C711-4278-9C0F-810D40A8CBA9}" destId="{2D598BD1-8082-4599-B4C7-7DE2BDDFAD07}" srcOrd="2" destOrd="0" parTransId="{A2954519-7A96-4331-B451-8017F60C5B14}" sibTransId="{FDFE5A17-6AA9-46BC-AC2B-62099EF4154E}"/>
    <dgm:cxn modelId="{2D758039-4793-4B1A-B006-5781083BD394}" type="presOf" srcId="{50B6BE6C-C6FF-40DB-BFEE-FDF74C70F023}" destId="{CA223E9C-FBE6-4338-A105-A106869441DC}" srcOrd="0" destOrd="0" presId="urn:microsoft.com/office/officeart/2009/3/layout/HorizontalOrganizationChart"/>
    <dgm:cxn modelId="{B04A794E-C534-4E16-8D1E-E22FEE7A25BB}" type="presOf" srcId="{6C721F52-F250-4DF2-B82D-2E51E3E00B09}" destId="{1A98B21A-74AF-44C4-BCE8-EA4AE4819FA0}" srcOrd="0" destOrd="0" presId="urn:microsoft.com/office/officeart/2009/3/layout/HorizontalOrganizationChart"/>
    <dgm:cxn modelId="{1E8AA204-6965-44EC-9E85-F2C2D583B08D}" type="presOf" srcId="{6687F422-3A96-46A1-BD7C-B076209F75EB}" destId="{2E1E5B69-FF44-4818-B3B3-4F6D292A0BC5}" srcOrd="0" destOrd="0" presId="urn:microsoft.com/office/officeart/2009/3/layout/HorizontalOrganizationChart"/>
    <dgm:cxn modelId="{E74FDB1A-8F93-4238-ABE4-39B1E2547210}" type="presOf" srcId="{18B3CD19-0020-4C67-9584-FA5A4AA4B36D}" destId="{ED70C387-B693-436A-B055-E34D5BD2CA6F}" srcOrd="0" destOrd="0" presId="urn:microsoft.com/office/officeart/2009/3/layout/HorizontalOrganizationChart"/>
    <dgm:cxn modelId="{E30FB170-D082-4EA6-B41B-EEA72CAAFFAB}" type="presOf" srcId="{9473C394-755B-4F60-9E08-CD6D5C14CF46}" destId="{2B408CD7-063E-4396-A87B-24CB4997EAA6}" srcOrd="0" destOrd="0" presId="urn:microsoft.com/office/officeart/2009/3/layout/HorizontalOrganizationChart"/>
    <dgm:cxn modelId="{2862D9AC-FFD4-47B1-917D-8C29C5D8A36B}" type="presOf" srcId="{A8703346-FEE3-492F-B8B3-8E7F3B9860C8}" destId="{7DAC3CED-1027-4BBC-B944-55C01DF9EF65}" srcOrd="0" destOrd="0" presId="urn:microsoft.com/office/officeart/2009/3/layout/HorizontalOrganizationChart"/>
    <dgm:cxn modelId="{CBDBE37A-CC18-46EF-B332-8A8CEF16C275}" srcId="{EF977685-AAB3-4B0D-9FAB-16494B0B4298}" destId="{37665383-F808-496E-A886-FCD23A382442}" srcOrd="0" destOrd="0" parTransId="{F3F23B5D-511A-4971-8759-B142278FB6E5}" sibTransId="{96F0C225-0EE9-48EE-A2CD-2DFD084E9551}"/>
    <dgm:cxn modelId="{C8388A27-E681-4E2E-88EC-0D1F202B935E}" type="presOf" srcId="{4416514E-C43C-4E86-B2FB-0FCC10ADE048}" destId="{B77273A7-CA45-4B53-89BA-E5E48B2AA818}" srcOrd="0" destOrd="0" presId="urn:microsoft.com/office/officeart/2009/3/layout/HorizontalOrganizationChart"/>
    <dgm:cxn modelId="{1F20227C-994F-416D-B609-07B9C860CE03}" type="presOf" srcId="{2D598BD1-8082-4599-B4C7-7DE2BDDFAD07}" destId="{E8AE2972-A4F0-4BF3-84FA-BE7FB6D8608C}" srcOrd="0" destOrd="0" presId="urn:microsoft.com/office/officeart/2009/3/layout/HorizontalOrganizationChart"/>
    <dgm:cxn modelId="{8D58ABEA-325F-4778-ADB5-CA2BCA6CBD02}" type="presOf" srcId="{2D598BD1-8082-4599-B4C7-7DE2BDDFAD07}" destId="{3AEE0574-DF44-4CDD-8C86-1C8DD393BBDE}" srcOrd="1" destOrd="0" presId="urn:microsoft.com/office/officeart/2009/3/layout/HorizontalOrganizationChart"/>
    <dgm:cxn modelId="{5CCF14AC-E2A7-4025-BAE6-354F781E93BE}" srcId="{749A17C7-FF49-4F8F-918A-3614BC07C9AD}" destId="{4416514E-C43C-4E86-B2FB-0FCC10ADE048}" srcOrd="1" destOrd="0" parTransId="{22FDBEB1-A98C-40F7-BDFE-78F3BC242C58}" sibTransId="{4D2681D1-1B20-4FE4-96F2-C9AF07CB3374}"/>
    <dgm:cxn modelId="{C2B44D91-C947-4987-B881-FFA7D7121F94}" type="presOf" srcId="{C66FEA0C-BE51-4437-9032-158E4B88A06C}" destId="{474DFA6E-AA4B-4E48-A0DE-A456A231CBF4}" srcOrd="1" destOrd="0" presId="urn:microsoft.com/office/officeart/2009/3/layout/HorizontalOrganizationChart"/>
    <dgm:cxn modelId="{54039281-6E99-4DE0-B1EA-BF5D9101BC2E}" type="presOf" srcId="{1212D7EE-AE55-4627-8584-507D5756A0D2}" destId="{6271783C-BF93-4BF1-B9A3-CF1B8ACFD0D1}" srcOrd="1" destOrd="0" presId="urn:microsoft.com/office/officeart/2009/3/layout/HorizontalOrganizationChart"/>
    <dgm:cxn modelId="{A8780999-31C7-4EE8-9E2D-056D651C88B7}" srcId="{8B890290-C711-4278-9C0F-810D40A8CBA9}" destId="{749A17C7-FF49-4F8F-918A-3614BC07C9AD}" srcOrd="0" destOrd="0" parTransId="{D5E5A1DB-4AAD-4710-B9DA-A4EB5BA77E76}" sibTransId="{4F9B0E16-7AFC-447D-87C0-19D9204D5B39}"/>
    <dgm:cxn modelId="{63CA97A8-815B-44F5-9597-72ECAF421BE2}" type="presOf" srcId="{749A17C7-FF49-4F8F-918A-3614BC07C9AD}" destId="{C00D715B-C124-4542-B479-98C28121950B}" srcOrd="0" destOrd="0" presId="urn:microsoft.com/office/officeart/2009/3/layout/HorizontalOrganizationChart"/>
    <dgm:cxn modelId="{39FEDCE3-7049-40BF-88E1-8E7E0A9FFD4D}" type="presOf" srcId="{A03B4039-2F9E-4251-9CAC-D9CB403361A5}" destId="{CBD99398-6D7B-483C-AE7B-F39A6AE33802}" srcOrd="1" destOrd="0" presId="urn:microsoft.com/office/officeart/2009/3/layout/HorizontalOrganizationChart"/>
    <dgm:cxn modelId="{EACC4205-E71D-4C10-A401-4258164E833E}" type="presOf" srcId="{4CBC2F9A-FA95-4886-BE3B-544D55F769C7}" destId="{50298AE8-184B-4D88-95D5-84FDC4557ADC}" srcOrd="1" destOrd="0" presId="urn:microsoft.com/office/officeart/2009/3/layout/HorizontalOrganizationChart"/>
    <dgm:cxn modelId="{97CFA0FE-D389-4D22-874C-BA22076E805C}" srcId="{A03B4039-2F9E-4251-9CAC-D9CB403361A5}" destId="{26E5B6AE-6237-457C-BA45-F608C598A1A2}" srcOrd="1" destOrd="0" parTransId="{18B3CD19-0020-4C67-9584-FA5A4AA4B36D}" sibTransId="{8D7B8DA7-F652-4C76-ADBC-7FFAA4A0B0CA}"/>
    <dgm:cxn modelId="{BCF8A49B-81EE-40CE-88FD-718C238C907E}" type="presOf" srcId="{4CBC2F9A-FA95-4886-BE3B-544D55F769C7}" destId="{FDAEFF29-6A7F-4B14-8172-865BFFC16BE3}" srcOrd="0" destOrd="0" presId="urn:microsoft.com/office/officeart/2009/3/layout/HorizontalOrganizationChart"/>
    <dgm:cxn modelId="{971A5A5B-33F7-4ED4-9555-C2966C11C1D3}" type="presOf" srcId="{8B890290-C711-4278-9C0F-810D40A8CBA9}" destId="{D204D452-A5C0-4DD0-94BB-52A6370ACE61}" srcOrd="1" destOrd="0" presId="urn:microsoft.com/office/officeart/2009/3/layout/HorizontalOrganizationChart"/>
    <dgm:cxn modelId="{8703AA4C-6684-4193-8240-28CB5520CE39}" srcId="{A03B4039-2F9E-4251-9CAC-D9CB403361A5}" destId="{6C721F52-F250-4DF2-B82D-2E51E3E00B09}" srcOrd="0" destOrd="0" parTransId="{50B6BE6C-C6FF-40DB-BFEE-FDF74C70F023}" sibTransId="{9A761B00-AD44-48ED-A7F6-26CC29618C91}"/>
    <dgm:cxn modelId="{6CB7C11A-66B5-4A01-B15F-8B894E63A1DA}" type="presOf" srcId="{A2954519-7A96-4331-B451-8017F60C5B14}" destId="{5FE86B7E-2210-4B31-94FC-022235CBEBAF}" srcOrd="0" destOrd="0" presId="urn:microsoft.com/office/officeart/2009/3/layout/HorizontalOrganizationChart"/>
    <dgm:cxn modelId="{BE37ED2A-838A-424C-9B95-3BA5FB45EA66}" type="presOf" srcId="{7A80290F-F723-432A-AD4F-4F7D47BF18A6}" destId="{506EBAA1-CBFC-4679-9702-07ED8E9101B5}" srcOrd="1" destOrd="0" presId="urn:microsoft.com/office/officeart/2009/3/layout/HorizontalOrganizationChart"/>
    <dgm:cxn modelId="{2E15E630-F9BD-46DE-80D3-E89DD2A86EA4}" srcId="{4CBC2F9A-FA95-4886-BE3B-544D55F769C7}" destId="{A03B4039-2F9E-4251-9CAC-D9CB403361A5}" srcOrd="0" destOrd="0" parTransId="{ECDEF5A3-57FB-4DD0-A5FC-AFAF2C64C6A3}" sibTransId="{1C7F6FDF-4081-40B2-9068-E772875ABE20}"/>
    <dgm:cxn modelId="{062F867E-04BA-4733-9C8A-0F15810AEFA5}" type="presOf" srcId="{C66FEA0C-BE51-4437-9032-158E4B88A06C}" destId="{CA4DB0E3-AF48-47D0-81BE-EA86C1A8AE09}" srcOrd="0" destOrd="0" presId="urn:microsoft.com/office/officeart/2009/3/layout/HorizontalOrganizationChart"/>
    <dgm:cxn modelId="{5F00E3AA-7ED9-4781-9F96-E3A81436E5D4}" type="presOf" srcId="{EF977685-AAB3-4B0D-9FAB-16494B0B4298}" destId="{86DDC91E-5F32-49BC-ADA1-6C44229FD759}" srcOrd="1" destOrd="0" presId="urn:microsoft.com/office/officeart/2009/3/layout/HorizontalOrganizationChart"/>
    <dgm:cxn modelId="{3BCC5352-BA67-4BE7-82AB-547684DE29E4}" type="presOf" srcId="{7A80290F-F723-432A-AD4F-4F7D47BF18A6}" destId="{E18B77E1-D918-44F8-9EFB-9C8FFAF46C71}" srcOrd="0" destOrd="0" presId="urn:microsoft.com/office/officeart/2009/3/layout/HorizontalOrganizationChart"/>
    <dgm:cxn modelId="{2D376647-9C8F-4EE3-95B6-9EF8F05E642F}" type="presOf" srcId="{749A17C7-FF49-4F8F-918A-3614BC07C9AD}" destId="{813A1062-54AE-46E5-A654-5F0B0FBE59A3}" srcOrd="1" destOrd="0" presId="urn:microsoft.com/office/officeart/2009/3/layout/HorizontalOrganizationChart"/>
    <dgm:cxn modelId="{6D4935D6-4373-4252-922C-D5ADDDF31213}" srcId="{749A17C7-FF49-4F8F-918A-3614BC07C9AD}" destId="{7FD84D5B-2308-4A2C-A067-2EDC4BE32B99}" srcOrd="0" destOrd="0" parTransId="{9473C394-755B-4F60-9E08-CD6D5C14CF46}" sibTransId="{97CE79FC-A527-4B00-B6C7-4DBC8B8B9BE5}"/>
    <dgm:cxn modelId="{AD63C410-573D-4D49-A503-256D0F1C28AB}" type="presOf" srcId="{6C721F52-F250-4DF2-B82D-2E51E3E00B09}" destId="{2B3BD7B8-1ECC-4D83-9A1F-BEA55644AAA5}" srcOrd="1" destOrd="0" presId="urn:microsoft.com/office/officeart/2009/3/layout/HorizontalOrganizationChart"/>
    <dgm:cxn modelId="{74E313C8-DDF0-476C-A6F4-8C1123775B14}" type="presOf" srcId="{AEF87CCA-F7E3-48EB-B011-CA779D93D72E}" destId="{D590DF14-4555-4653-B2A5-EC57F25B4580}" srcOrd="0" destOrd="0" presId="urn:microsoft.com/office/officeart/2009/3/layout/HorizontalOrganizationChart"/>
    <dgm:cxn modelId="{C3E16AB2-A1DD-4289-BA59-EB7BEA63F10A}" type="presOf" srcId="{D5E5A1DB-4AAD-4710-B9DA-A4EB5BA77E76}" destId="{6A6CECDF-39CF-475E-A21B-E1FC4508ACC6}" srcOrd="0" destOrd="0" presId="urn:microsoft.com/office/officeart/2009/3/layout/HorizontalOrganizationChart"/>
    <dgm:cxn modelId="{EA5D3865-0AF4-4B7A-A021-EFAAAE2DAC3B}" type="presParOf" srcId="{8B13E9F7-7C1C-48E6-B0DF-490629487ADE}" destId="{D076E14A-C3DE-4E5E-BF66-C5B201F2EE79}" srcOrd="0" destOrd="0" presId="urn:microsoft.com/office/officeart/2009/3/layout/HorizontalOrganizationChart"/>
    <dgm:cxn modelId="{DF439B37-D352-45D7-BBCE-A25861DD7109}" type="presParOf" srcId="{D076E14A-C3DE-4E5E-BF66-C5B201F2EE79}" destId="{123ECE54-D00B-4838-8D97-E5CB60231E1C}" srcOrd="0" destOrd="0" presId="urn:microsoft.com/office/officeart/2009/3/layout/HorizontalOrganizationChart"/>
    <dgm:cxn modelId="{A592F8C6-399F-4060-8862-F1F688773046}" type="presParOf" srcId="{123ECE54-D00B-4838-8D97-E5CB60231E1C}" destId="{E18B77E1-D918-44F8-9EFB-9C8FFAF46C71}" srcOrd="0" destOrd="0" presId="urn:microsoft.com/office/officeart/2009/3/layout/HorizontalOrganizationChart"/>
    <dgm:cxn modelId="{33A16289-4F4E-461F-907A-99FBF5D032F7}" type="presParOf" srcId="{123ECE54-D00B-4838-8D97-E5CB60231E1C}" destId="{506EBAA1-CBFC-4679-9702-07ED8E9101B5}" srcOrd="1" destOrd="0" presId="urn:microsoft.com/office/officeart/2009/3/layout/HorizontalOrganizationChart"/>
    <dgm:cxn modelId="{CE686402-1D43-444E-96E0-C7A329F8869C}" type="presParOf" srcId="{D076E14A-C3DE-4E5E-BF66-C5B201F2EE79}" destId="{5BF44E3D-243A-4020-A201-0037E0B815B7}" srcOrd="1" destOrd="0" presId="urn:microsoft.com/office/officeart/2009/3/layout/HorizontalOrganizationChart"/>
    <dgm:cxn modelId="{4036701C-E636-477C-A8EE-8C1A717584D2}" type="presParOf" srcId="{5BF44E3D-243A-4020-A201-0037E0B815B7}" destId="{7DAC3CED-1027-4BBC-B944-55C01DF9EF65}" srcOrd="0" destOrd="0" presId="urn:microsoft.com/office/officeart/2009/3/layout/HorizontalOrganizationChart"/>
    <dgm:cxn modelId="{FAE9E053-1A45-4219-9ED3-50E6781EFB3F}" type="presParOf" srcId="{5BF44E3D-243A-4020-A201-0037E0B815B7}" destId="{C2A8DFB4-7A96-4C01-80B0-198E9A472CA8}" srcOrd="1" destOrd="0" presId="urn:microsoft.com/office/officeart/2009/3/layout/HorizontalOrganizationChart"/>
    <dgm:cxn modelId="{85E88AA6-89B5-4237-9676-C633D3AEF353}" type="presParOf" srcId="{C2A8DFB4-7A96-4C01-80B0-198E9A472CA8}" destId="{FDA00097-DCD4-4A84-8D1E-34A6BD2F4B56}" srcOrd="0" destOrd="0" presId="urn:microsoft.com/office/officeart/2009/3/layout/HorizontalOrganizationChart"/>
    <dgm:cxn modelId="{A35DC174-8DC1-459E-BB46-A0BCBF434AFD}" type="presParOf" srcId="{FDA00097-DCD4-4A84-8D1E-34A6BD2F4B56}" destId="{C2E37E83-D23E-4766-B5FC-A0C604557FDD}" srcOrd="0" destOrd="0" presId="urn:microsoft.com/office/officeart/2009/3/layout/HorizontalOrganizationChart"/>
    <dgm:cxn modelId="{FAC948CC-6699-4C27-8E13-EED95CC9C6F8}" type="presParOf" srcId="{FDA00097-DCD4-4A84-8D1E-34A6BD2F4B56}" destId="{D204D452-A5C0-4DD0-94BB-52A6370ACE61}" srcOrd="1" destOrd="0" presId="urn:microsoft.com/office/officeart/2009/3/layout/HorizontalOrganizationChart"/>
    <dgm:cxn modelId="{0515AEFB-D6DE-43C2-9ECF-7464A175C039}" type="presParOf" srcId="{C2A8DFB4-7A96-4C01-80B0-198E9A472CA8}" destId="{75105966-18A5-4A44-8B38-9D63BE35A1DA}" srcOrd="1" destOrd="0" presId="urn:microsoft.com/office/officeart/2009/3/layout/HorizontalOrganizationChart"/>
    <dgm:cxn modelId="{8243CFE2-D2A0-4941-9791-1BE949364082}" type="presParOf" srcId="{75105966-18A5-4A44-8B38-9D63BE35A1DA}" destId="{6A6CECDF-39CF-475E-A21B-E1FC4508ACC6}" srcOrd="0" destOrd="0" presId="urn:microsoft.com/office/officeart/2009/3/layout/HorizontalOrganizationChart"/>
    <dgm:cxn modelId="{57BD0732-8F92-403A-BC88-B76F323D5AF1}" type="presParOf" srcId="{75105966-18A5-4A44-8B38-9D63BE35A1DA}" destId="{03412193-23FA-47E7-B717-49B2CAFE47E3}" srcOrd="1" destOrd="0" presId="urn:microsoft.com/office/officeart/2009/3/layout/HorizontalOrganizationChart"/>
    <dgm:cxn modelId="{2E598A09-F00C-4714-8AD3-1CC1A7B3597A}" type="presParOf" srcId="{03412193-23FA-47E7-B717-49B2CAFE47E3}" destId="{0E625FB6-7C76-4CD6-9810-1947D509894B}" srcOrd="0" destOrd="0" presId="urn:microsoft.com/office/officeart/2009/3/layout/HorizontalOrganizationChart"/>
    <dgm:cxn modelId="{3ED3B35A-8F09-4B16-B3EE-F502CE4EC5C4}" type="presParOf" srcId="{0E625FB6-7C76-4CD6-9810-1947D509894B}" destId="{C00D715B-C124-4542-B479-98C28121950B}" srcOrd="0" destOrd="0" presId="urn:microsoft.com/office/officeart/2009/3/layout/HorizontalOrganizationChart"/>
    <dgm:cxn modelId="{CEAC92DA-6C8E-4571-9DEF-F5526C511079}" type="presParOf" srcId="{0E625FB6-7C76-4CD6-9810-1947D509894B}" destId="{813A1062-54AE-46E5-A654-5F0B0FBE59A3}" srcOrd="1" destOrd="0" presId="urn:microsoft.com/office/officeart/2009/3/layout/HorizontalOrganizationChart"/>
    <dgm:cxn modelId="{7ED78994-479E-4027-97AE-B5593BB85F8A}" type="presParOf" srcId="{03412193-23FA-47E7-B717-49B2CAFE47E3}" destId="{D38B3FDC-9CA5-4886-A45F-7A6E2F4DBE03}" srcOrd="1" destOrd="0" presId="urn:microsoft.com/office/officeart/2009/3/layout/HorizontalOrganizationChart"/>
    <dgm:cxn modelId="{8E5D7C8E-96D4-402A-896A-FC0631CB8299}" type="presParOf" srcId="{D38B3FDC-9CA5-4886-A45F-7A6E2F4DBE03}" destId="{2B408CD7-063E-4396-A87B-24CB4997EAA6}" srcOrd="0" destOrd="0" presId="urn:microsoft.com/office/officeart/2009/3/layout/HorizontalOrganizationChart"/>
    <dgm:cxn modelId="{06002630-09C9-4F61-ACDB-35F5F01BC956}" type="presParOf" srcId="{D38B3FDC-9CA5-4886-A45F-7A6E2F4DBE03}" destId="{E6608DA3-BB3F-426E-9655-A0B088AB0CD7}" srcOrd="1" destOrd="0" presId="urn:microsoft.com/office/officeart/2009/3/layout/HorizontalOrganizationChart"/>
    <dgm:cxn modelId="{64B7A113-E57C-4683-BAE8-160C4FCE3AF5}" type="presParOf" srcId="{E6608DA3-BB3F-426E-9655-A0B088AB0CD7}" destId="{4DB82F5F-013F-49D9-B73E-463A4AF80F07}" srcOrd="0" destOrd="0" presId="urn:microsoft.com/office/officeart/2009/3/layout/HorizontalOrganizationChart"/>
    <dgm:cxn modelId="{56FFE33D-D713-490B-9307-E05FAEC723AD}" type="presParOf" srcId="{4DB82F5F-013F-49D9-B73E-463A4AF80F07}" destId="{064AA238-DCFD-449F-A6BF-A232C90F81AE}" srcOrd="0" destOrd="0" presId="urn:microsoft.com/office/officeart/2009/3/layout/HorizontalOrganizationChart"/>
    <dgm:cxn modelId="{4CCE91F9-9609-4BF4-A47F-8FF914EDE4E1}" type="presParOf" srcId="{4DB82F5F-013F-49D9-B73E-463A4AF80F07}" destId="{C79D10E1-A7B3-42FA-8FD9-A1CC58219907}" srcOrd="1" destOrd="0" presId="urn:microsoft.com/office/officeart/2009/3/layout/HorizontalOrganizationChart"/>
    <dgm:cxn modelId="{C9E3EB12-46AA-437C-BD88-289ECA70FDF1}" type="presParOf" srcId="{E6608DA3-BB3F-426E-9655-A0B088AB0CD7}" destId="{EE456222-D57E-4139-9708-7915B98DC144}" srcOrd="1" destOrd="0" presId="urn:microsoft.com/office/officeart/2009/3/layout/HorizontalOrganizationChart"/>
    <dgm:cxn modelId="{028A9EEF-9FB8-4284-A3A7-8BC1969D6C77}" type="presParOf" srcId="{E6608DA3-BB3F-426E-9655-A0B088AB0CD7}" destId="{E8765DF8-DFB8-4A33-AF62-8569A2827B5D}" srcOrd="2" destOrd="0" presId="urn:microsoft.com/office/officeart/2009/3/layout/HorizontalOrganizationChart"/>
    <dgm:cxn modelId="{8B7D1D75-2C92-4144-BEB7-CCA1F1A5C1BE}" type="presParOf" srcId="{D38B3FDC-9CA5-4886-A45F-7A6E2F4DBE03}" destId="{1679104F-1A26-4774-9A3C-6239A6C532C8}" srcOrd="2" destOrd="0" presId="urn:microsoft.com/office/officeart/2009/3/layout/HorizontalOrganizationChart"/>
    <dgm:cxn modelId="{9444E829-BA0B-4AD4-ABFA-B55A2D60F6AC}" type="presParOf" srcId="{D38B3FDC-9CA5-4886-A45F-7A6E2F4DBE03}" destId="{D2EDA742-25E7-4488-834A-1E8980440247}" srcOrd="3" destOrd="0" presId="urn:microsoft.com/office/officeart/2009/3/layout/HorizontalOrganizationChart"/>
    <dgm:cxn modelId="{384ED10B-27CF-4AF6-8694-3BB7AE008AA7}" type="presParOf" srcId="{D2EDA742-25E7-4488-834A-1E8980440247}" destId="{C8D6AD9D-7A79-401E-865F-CAB04ABB4889}" srcOrd="0" destOrd="0" presId="urn:microsoft.com/office/officeart/2009/3/layout/HorizontalOrganizationChart"/>
    <dgm:cxn modelId="{14F8E1B9-77EC-4F08-BCC4-AFD139A44A27}" type="presParOf" srcId="{C8D6AD9D-7A79-401E-865F-CAB04ABB4889}" destId="{B77273A7-CA45-4B53-89BA-E5E48B2AA818}" srcOrd="0" destOrd="0" presId="urn:microsoft.com/office/officeart/2009/3/layout/HorizontalOrganizationChart"/>
    <dgm:cxn modelId="{AE2E1CA1-C535-4A91-B4CB-09F96B1F8819}" type="presParOf" srcId="{C8D6AD9D-7A79-401E-865F-CAB04ABB4889}" destId="{23BEC719-C373-4211-8E8F-768E6CCB466D}" srcOrd="1" destOrd="0" presId="urn:microsoft.com/office/officeart/2009/3/layout/HorizontalOrganizationChart"/>
    <dgm:cxn modelId="{A53F8DD1-DD6E-4557-8AF0-BEA88BA2E01F}" type="presParOf" srcId="{D2EDA742-25E7-4488-834A-1E8980440247}" destId="{BFC05F8D-BC1B-48F7-A2D6-7457C3422153}" srcOrd="1" destOrd="0" presId="urn:microsoft.com/office/officeart/2009/3/layout/HorizontalOrganizationChart"/>
    <dgm:cxn modelId="{9A5F7A5B-BF71-4DC1-BAD5-0E9963C1707A}" type="presParOf" srcId="{D2EDA742-25E7-4488-834A-1E8980440247}" destId="{DAD8C6B7-C0B5-45CA-A519-80534351A1DF}" srcOrd="2" destOrd="0" presId="urn:microsoft.com/office/officeart/2009/3/layout/HorizontalOrganizationChart"/>
    <dgm:cxn modelId="{635DDDE9-F620-4477-9646-4DA4540F3401}" type="presParOf" srcId="{03412193-23FA-47E7-B717-49B2CAFE47E3}" destId="{403DFC19-6B04-4763-B05D-2F02B75CD170}" srcOrd="2" destOrd="0" presId="urn:microsoft.com/office/officeart/2009/3/layout/HorizontalOrganizationChart"/>
    <dgm:cxn modelId="{5E44AB68-9731-4197-BF7F-00256A1AAF3E}" type="presParOf" srcId="{75105966-18A5-4A44-8B38-9D63BE35A1DA}" destId="{D590DF14-4555-4653-B2A5-EC57F25B4580}" srcOrd="2" destOrd="0" presId="urn:microsoft.com/office/officeart/2009/3/layout/HorizontalOrganizationChart"/>
    <dgm:cxn modelId="{7604CB87-6B6D-4A32-9ADC-55B94856162E}" type="presParOf" srcId="{75105966-18A5-4A44-8B38-9D63BE35A1DA}" destId="{261E42D6-081F-40D4-B26B-873838E847D1}" srcOrd="3" destOrd="0" presId="urn:microsoft.com/office/officeart/2009/3/layout/HorizontalOrganizationChart"/>
    <dgm:cxn modelId="{BDDBFE87-38A3-4BDA-8C0C-42FE34903A32}" type="presParOf" srcId="{261E42D6-081F-40D4-B26B-873838E847D1}" destId="{4A98F2B6-4559-4C2F-9984-52B131CC56B3}" srcOrd="0" destOrd="0" presId="urn:microsoft.com/office/officeart/2009/3/layout/HorizontalOrganizationChart"/>
    <dgm:cxn modelId="{4FC58D9A-A423-415C-9ED7-8EC2AA3A9A09}" type="presParOf" srcId="{4A98F2B6-4559-4C2F-9984-52B131CC56B3}" destId="{CA4DB0E3-AF48-47D0-81BE-EA86C1A8AE09}" srcOrd="0" destOrd="0" presId="urn:microsoft.com/office/officeart/2009/3/layout/HorizontalOrganizationChart"/>
    <dgm:cxn modelId="{F186C7D3-2C97-4DFE-B278-3932CC76BDDF}" type="presParOf" srcId="{4A98F2B6-4559-4C2F-9984-52B131CC56B3}" destId="{474DFA6E-AA4B-4E48-A0DE-A456A231CBF4}" srcOrd="1" destOrd="0" presId="urn:microsoft.com/office/officeart/2009/3/layout/HorizontalOrganizationChart"/>
    <dgm:cxn modelId="{B1E14216-313C-4298-9520-3970C396EBED}" type="presParOf" srcId="{261E42D6-081F-40D4-B26B-873838E847D1}" destId="{63026ED3-9AA9-44D0-8358-9300247BEC76}" srcOrd="1" destOrd="0" presId="urn:microsoft.com/office/officeart/2009/3/layout/HorizontalOrganizationChart"/>
    <dgm:cxn modelId="{C50AF349-818D-4C98-A642-3066D7A5183C}" type="presParOf" srcId="{261E42D6-081F-40D4-B26B-873838E847D1}" destId="{5420307B-9593-4498-9E7E-DCC0DE7C0F94}" srcOrd="2" destOrd="0" presId="urn:microsoft.com/office/officeart/2009/3/layout/HorizontalOrganizationChart"/>
    <dgm:cxn modelId="{7458327B-B99D-42B9-A2C7-F3857E0DC2CB}" type="presParOf" srcId="{75105966-18A5-4A44-8B38-9D63BE35A1DA}" destId="{5FE86B7E-2210-4B31-94FC-022235CBEBAF}" srcOrd="4" destOrd="0" presId="urn:microsoft.com/office/officeart/2009/3/layout/HorizontalOrganizationChart"/>
    <dgm:cxn modelId="{38E08132-280E-431B-863A-3F2F207E4BEB}" type="presParOf" srcId="{75105966-18A5-4A44-8B38-9D63BE35A1DA}" destId="{EC5C2168-9FC2-4D9A-A2A7-702AB213FCA2}" srcOrd="5" destOrd="0" presId="urn:microsoft.com/office/officeart/2009/3/layout/HorizontalOrganizationChart"/>
    <dgm:cxn modelId="{30EDBC2B-80ED-418D-B542-8F1B7EFC730C}" type="presParOf" srcId="{EC5C2168-9FC2-4D9A-A2A7-702AB213FCA2}" destId="{8A5DD1F6-57FB-4154-954D-FB09488D043F}" srcOrd="0" destOrd="0" presId="urn:microsoft.com/office/officeart/2009/3/layout/HorizontalOrganizationChart"/>
    <dgm:cxn modelId="{3FCD67A4-8BB3-4986-B872-82816B5FA2D3}" type="presParOf" srcId="{8A5DD1F6-57FB-4154-954D-FB09488D043F}" destId="{E8AE2972-A4F0-4BF3-84FA-BE7FB6D8608C}" srcOrd="0" destOrd="0" presId="urn:microsoft.com/office/officeart/2009/3/layout/HorizontalOrganizationChart"/>
    <dgm:cxn modelId="{776830A0-5BCD-41FB-AFAA-CCD6ECE47900}" type="presParOf" srcId="{8A5DD1F6-57FB-4154-954D-FB09488D043F}" destId="{3AEE0574-DF44-4CDD-8C86-1C8DD393BBDE}" srcOrd="1" destOrd="0" presId="urn:microsoft.com/office/officeart/2009/3/layout/HorizontalOrganizationChart"/>
    <dgm:cxn modelId="{CEE360D7-753A-4064-86DC-78403CCB59A8}" type="presParOf" srcId="{EC5C2168-9FC2-4D9A-A2A7-702AB213FCA2}" destId="{4AE1BF3C-27EC-4BA6-81BE-A971E2496437}" srcOrd="1" destOrd="0" presId="urn:microsoft.com/office/officeart/2009/3/layout/HorizontalOrganizationChart"/>
    <dgm:cxn modelId="{D947AF11-41A8-4A62-8A8A-74DBD41E7752}" type="presParOf" srcId="{EC5C2168-9FC2-4D9A-A2A7-702AB213FCA2}" destId="{E512CB78-EAF5-4C5C-995E-9B7B64D168A4}" srcOrd="2" destOrd="0" presId="urn:microsoft.com/office/officeart/2009/3/layout/HorizontalOrganizationChart"/>
    <dgm:cxn modelId="{72EC14F2-B088-41E1-B4DF-FC658557E757}" type="presParOf" srcId="{C2A8DFB4-7A96-4C01-80B0-198E9A472CA8}" destId="{A4653B7A-0F4A-415D-ADAD-FD1096835B09}" srcOrd="2" destOrd="0" presId="urn:microsoft.com/office/officeart/2009/3/layout/HorizontalOrganizationChart"/>
    <dgm:cxn modelId="{ED4D00E9-77ED-4F02-BED5-611935316EF3}" type="presParOf" srcId="{5BF44E3D-243A-4020-A201-0037E0B815B7}" destId="{FBF4DE84-CDE1-4559-B9C5-A7E0DB11BAEE}" srcOrd="2" destOrd="0" presId="urn:microsoft.com/office/officeart/2009/3/layout/HorizontalOrganizationChart"/>
    <dgm:cxn modelId="{197F7E31-B503-4AE3-BFF8-67DFD648D931}" type="presParOf" srcId="{5BF44E3D-243A-4020-A201-0037E0B815B7}" destId="{3DBA6DAC-3944-4BB6-AC75-D71B2107F2E7}" srcOrd="3" destOrd="0" presId="urn:microsoft.com/office/officeart/2009/3/layout/HorizontalOrganizationChart"/>
    <dgm:cxn modelId="{F3D784EB-6022-4512-ADDA-D75DDB98F96A}" type="presParOf" srcId="{3DBA6DAC-3944-4BB6-AC75-D71B2107F2E7}" destId="{3F96AE3A-654B-4652-9481-0D87599333E0}" srcOrd="0" destOrd="0" presId="urn:microsoft.com/office/officeart/2009/3/layout/HorizontalOrganizationChart"/>
    <dgm:cxn modelId="{44561445-CDC1-4ACC-943C-51429D2AA2D7}" type="presParOf" srcId="{3F96AE3A-654B-4652-9481-0D87599333E0}" destId="{C53339F6-34CF-4143-9420-20B347D1402D}" srcOrd="0" destOrd="0" presId="urn:microsoft.com/office/officeart/2009/3/layout/HorizontalOrganizationChart"/>
    <dgm:cxn modelId="{8ECB21F4-7E54-43CB-91B8-5491C22E7677}" type="presParOf" srcId="{3F96AE3A-654B-4652-9481-0D87599333E0}" destId="{86DDC91E-5F32-49BC-ADA1-6C44229FD759}" srcOrd="1" destOrd="0" presId="urn:microsoft.com/office/officeart/2009/3/layout/HorizontalOrganizationChart"/>
    <dgm:cxn modelId="{685DABE6-2047-44E6-9549-CD2221D60D3F}" type="presParOf" srcId="{3DBA6DAC-3944-4BB6-AC75-D71B2107F2E7}" destId="{3A1DA897-5B77-4A8B-92C7-CFB9299350D3}" srcOrd="1" destOrd="0" presId="urn:microsoft.com/office/officeart/2009/3/layout/HorizontalOrganizationChart"/>
    <dgm:cxn modelId="{BA56BFF2-1ACB-4EF8-95D4-A4CE770CD2A1}" type="presParOf" srcId="{3A1DA897-5B77-4A8B-92C7-CFB9299350D3}" destId="{FFA0E9B9-D6DD-4B25-98BE-3A33D3B48ADC}" srcOrd="0" destOrd="0" presId="urn:microsoft.com/office/officeart/2009/3/layout/HorizontalOrganizationChart"/>
    <dgm:cxn modelId="{A7997C09-B254-4E5B-8870-EA9379044AEE}" type="presParOf" srcId="{3A1DA897-5B77-4A8B-92C7-CFB9299350D3}" destId="{4A024ADF-6F30-4CF7-8FC4-6784D8455D77}" srcOrd="1" destOrd="0" presId="urn:microsoft.com/office/officeart/2009/3/layout/HorizontalOrganizationChart"/>
    <dgm:cxn modelId="{0B2ED52A-D110-453A-85C8-8F80C26D38A0}" type="presParOf" srcId="{4A024ADF-6F30-4CF7-8FC4-6784D8455D77}" destId="{69D7BF58-C63C-4DF9-A1F2-BA510BD1601B}" srcOrd="0" destOrd="0" presId="urn:microsoft.com/office/officeart/2009/3/layout/HorizontalOrganizationChart"/>
    <dgm:cxn modelId="{A58338A8-1C95-43EE-8E30-632A61A4CB56}" type="presParOf" srcId="{69D7BF58-C63C-4DF9-A1F2-BA510BD1601B}" destId="{E98524A6-E30C-429E-BB49-2951905627FB}" srcOrd="0" destOrd="0" presId="urn:microsoft.com/office/officeart/2009/3/layout/HorizontalOrganizationChart"/>
    <dgm:cxn modelId="{675C0F85-DA60-4836-8926-3AC1E082723C}" type="presParOf" srcId="{69D7BF58-C63C-4DF9-A1F2-BA510BD1601B}" destId="{313BA963-BF97-47F7-9B3E-92269D2B4A49}" srcOrd="1" destOrd="0" presId="urn:microsoft.com/office/officeart/2009/3/layout/HorizontalOrganizationChart"/>
    <dgm:cxn modelId="{B4A57D60-403C-49D2-B7FA-EB1D82D41F6E}" type="presParOf" srcId="{4A024ADF-6F30-4CF7-8FC4-6784D8455D77}" destId="{684267C3-44FE-4827-A0FC-D25CA7B3EB66}" srcOrd="1" destOrd="0" presId="urn:microsoft.com/office/officeart/2009/3/layout/HorizontalOrganizationChart"/>
    <dgm:cxn modelId="{26C5F240-49FE-4C23-994E-10D953DBE05B}" type="presParOf" srcId="{4A024ADF-6F30-4CF7-8FC4-6784D8455D77}" destId="{27830B76-F625-458A-B5A9-91813783F81A}" srcOrd="2" destOrd="0" presId="urn:microsoft.com/office/officeart/2009/3/layout/HorizontalOrganizationChart"/>
    <dgm:cxn modelId="{80F10EA9-58F3-424F-B3C4-379227809FAC}" type="presParOf" srcId="{3A1DA897-5B77-4A8B-92C7-CFB9299350D3}" destId="{4528BD30-3E14-484B-81DD-661B608069B0}" srcOrd="2" destOrd="0" presId="urn:microsoft.com/office/officeart/2009/3/layout/HorizontalOrganizationChart"/>
    <dgm:cxn modelId="{4A8CC5BC-9365-4F82-AF72-C2A0EBE21600}" type="presParOf" srcId="{3A1DA897-5B77-4A8B-92C7-CFB9299350D3}" destId="{C207AC9B-07C6-4A2F-A100-BD00B4655D2D}" srcOrd="3" destOrd="0" presId="urn:microsoft.com/office/officeart/2009/3/layout/HorizontalOrganizationChart"/>
    <dgm:cxn modelId="{168D6C41-5117-4B7F-8E2F-53D1CD557AD3}" type="presParOf" srcId="{C207AC9B-07C6-4A2F-A100-BD00B4655D2D}" destId="{3621922C-7706-4FDE-8F37-F5A8E2B4B88B}" srcOrd="0" destOrd="0" presId="urn:microsoft.com/office/officeart/2009/3/layout/HorizontalOrganizationChart"/>
    <dgm:cxn modelId="{718135EA-9136-45AB-9DA6-6AF2641B8345}" type="presParOf" srcId="{3621922C-7706-4FDE-8F37-F5A8E2B4B88B}" destId="{FDAEFF29-6A7F-4B14-8172-865BFFC16BE3}" srcOrd="0" destOrd="0" presId="urn:microsoft.com/office/officeart/2009/3/layout/HorizontalOrganizationChart"/>
    <dgm:cxn modelId="{C11B383A-9743-44AF-9080-7C4BBB43A4A3}" type="presParOf" srcId="{3621922C-7706-4FDE-8F37-F5A8E2B4B88B}" destId="{50298AE8-184B-4D88-95D5-84FDC4557ADC}" srcOrd="1" destOrd="0" presId="urn:microsoft.com/office/officeart/2009/3/layout/HorizontalOrganizationChart"/>
    <dgm:cxn modelId="{CD132CF6-FC85-4F81-8D47-10088D0674BD}" type="presParOf" srcId="{C207AC9B-07C6-4A2F-A100-BD00B4655D2D}" destId="{BA6C0390-9C65-42EA-AE49-29545FE25B5E}" srcOrd="1" destOrd="0" presId="urn:microsoft.com/office/officeart/2009/3/layout/HorizontalOrganizationChart"/>
    <dgm:cxn modelId="{AA4C48ED-53B3-4769-A80D-4AAD637F1E5E}" type="presParOf" srcId="{BA6C0390-9C65-42EA-AE49-29545FE25B5E}" destId="{46A81296-56FD-47B7-B3D9-9CE5D47FC1CE}" srcOrd="0" destOrd="0" presId="urn:microsoft.com/office/officeart/2009/3/layout/HorizontalOrganizationChart"/>
    <dgm:cxn modelId="{AC7058FF-B343-46D2-B614-99F6FC86FAB7}" type="presParOf" srcId="{BA6C0390-9C65-42EA-AE49-29545FE25B5E}" destId="{679AE4A7-0356-4780-864D-316B2CB09638}" srcOrd="1" destOrd="0" presId="urn:microsoft.com/office/officeart/2009/3/layout/HorizontalOrganizationChart"/>
    <dgm:cxn modelId="{4C46ED9B-CFDA-413A-9EE2-4B6D8AC6E437}" type="presParOf" srcId="{679AE4A7-0356-4780-864D-316B2CB09638}" destId="{B7275CAF-4DCA-46AA-A775-D20F43A00FD2}" srcOrd="0" destOrd="0" presId="urn:microsoft.com/office/officeart/2009/3/layout/HorizontalOrganizationChart"/>
    <dgm:cxn modelId="{2322C7B8-8F21-4862-B248-3DFA396A8D73}" type="presParOf" srcId="{B7275CAF-4DCA-46AA-A775-D20F43A00FD2}" destId="{A84E6B68-569E-4654-A0D7-2C3E0526497E}" srcOrd="0" destOrd="0" presId="urn:microsoft.com/office/officeart/2009/3/layout/HorizontalOrganizationChart"/>
    <dgm:cxn modelId="{5B88190C-679B-4C95-AB6C-53C2CE9FF430}" type="presParOf" srcId="{B7275CAF-4DCA-46AA-A775-D20F43A00FD2}" destId="{CBD99398-6D7B-483C-AE7B-F39A6AE33802}" srcOrd="1" destOrd="0" presId="urn:microsoft.com/office/officeart/2009/3/layout/HorizontalOrganizationChart"/>
    <dgm:cxn modelId="{46E6EAA2-6974-4F5C-9C0E-FB7CDF4ADEBE}" type="presParOf" srcId="{679AE4A7-0356-4780-864D-316B2CB09638}" destId="{F123952B-0B2D-4E9D-B7EF-101DC738789C}" srcOrd="1" destOrd="0" presId="urn:microsoft.com/office/officeart/2009/3/layout/HorizontalOrganizationChart"/>
    <dgm:cxn modelId="{CA91A88D-CCBD-4C7B-8DDB-39908350385D}" type="presParOf" srcId="{F123952B-0B2D-4E9D-B7EF-101DC738789C}" destId="{CA223E9C-FBE6-4338-A105-A106869441DC}" srcOrd="0" destOrd="0" presId="urn:microsoft.com/office/officeart/2009/3/layout/HorizontalOrganizationChart"/>
    <dgm:cxn modelId="{C1D32811-A79C-4A8D-8B39-E35E3C5FBC29}" type="presParOf" srcId="{F123952B-0B2D-4E9D-B7EF-101DC738789C}" destId="{AA9A4F45-5F1E-4FA9-BB7E-4416F82EE6B6}" srcOrd="1" destOrd="0" presId="urn:microsoft.com/office/officeart/2009/3/layout/HorizontalOrganizationChart"/>
    <dgm:cxn modelId="{C6A850D9-1BBC-4C50-886D-D106A3093CCC}" type="presParOf" srcId="{AA9A4F45-5F1E-4FA9-BB7E-4416F82EE6B6}" destId="{DDDE7B49-3C8D-43D2-B89B-113ADE3062B6}" srcOrd="0" destOrd="0" presId="urn:microsoft.com/office/officeart/2009/3/layout/HorizontalOrganizationChart"/>
    <dgm:cxn modelId="{9E9C8E93-0D3B-416F-8B1F-3A644F2475B4}" type="presParOf" srcId="{DDDE7B49-3C8D-43D2-B89B-113ADE3062B6}" destId="{1A98B21A-74AF-44C4-BCE8-EA4AE4819FA0}" srcOrd="0" destOrd="0" presId="urn:microsoft.com/office/officeart/2009/3/layout/HorizontalOrganizationChart"/>
    <dgm:cxn modelId="{1F05525C-4D51-49DC-ABC3-DBA5399DCDF9}" type="presParOf" srcId="{DDDE7B49-3C8D-43D2-B89B-113ADE3062B6}" destId="{2B3BD7B8-1ECC-4D83-9A1F-BEA55644AAA5}" srcOrd="1" destOrd="0" presId="urn:microsoft.com/office/officeart/2009/3/layout/HorizontalOrganizationChart"/>
    <dgm:cxn modelId="{5A276A40-24ED-40DE-A40C-D8F11BA55358}" type="presParOf" srcId="{AA9A4F45-5F1E-4FA9-BB7E-4416F82EE6B6}" destId="{E4638B37-3484-4EEE-AAFD-E924679E7F2F}" srcOrd="1" destOrd="0" presId="urn:microsoft.com/office/officeart/2009/3/layout/HorizontalOrganizationChart"/>
    <dgm:cxn modelId="{56520235-06EA-418C-B391-C2B84572F3AC}" type="presParOf" srcId="{AA9A4F45-5F1E-4FA9-BB7E-4416F82EE6B6}" destId="{284129F9-EEA7-474E-AB52-14AEE957FE63}" srcOrd="2" destOrd="0" presId="urn:microsoft.com/office/officeart/2009/3/layout/HorizontalOrganizationChart"/>
    <dgm:cxn modelId="{D941EB13-BE81-4490-B5A3-D329F700B42C}" type="presParOf" srcId="{F123952B-0B2D-4E9D-B7EF-101DC738789C}" destId="{ED70C387-B693-436A-B055-E34D5BD2CA6F}" srcOrd="2" destOrd="0" presId="urn:microsoft.com/office/officeart/2009/3/layout/HorizontalOrganizationChart"/>
    <dgm:cxn modelId="{81BED67F-547E-421E-8BA3-C523B8F0F363}" type="presParOf" srcId="{F123952B-0B2D-4E9D-B7EF-101DC738789C}" destId="{A277577E-57C3-4EA6-A884-39707506E0FB}" srcOrd="3" destOrd="0" presId="urn:microsoft.com/office/officeart/2009/3/layout/HorizontalOrganizationChart"/>
    <dgm:cxn modelId="{902360DD-7673-4627-A0D3-1D9F9DCE9C6A}" type="presParOf" srcId="{A277577E-57C3-4EA6-A884-39707506E0FB}" destId="{11454442-8852-4321-AB47-EC9FE72EA95F}" srcOrd="0" destOrd="0" presId="urn:microsoft.com/office/officeart/2009/3/layout/HorizontalOrganizationChart"/>
    <dgm:cxn modelId="{F0302BF5-4F02-4081-9545-8CB634A49B46}" type="presParOf" srcId="{11454442-8852-4321-AB47-EC9FE72EA95F}" destId="{D62CFA3B-B1E1-4F9D-B056-7DC377E1228E}" srcOrd="0" destOrd="0" presId="urn:microsoft.com/office/officeart/2009/3/layout/HorizontalOrganizationChart"/>
    <dgm:cxn modelId="{536A5BC4-2B15-487B-A362-BFE766EF4A79}" type="presParOf" srcId="{11454442-8852-4321-AB47-EC9FE72EA95F}" destId="{96F0B95A-CA6F-44AD-A250-310351D30DFB}" srcOrd="1" destOrd="0" presId="urn:microsoft.com/office/officeart/2009/3/layout/HorizontalOrganizationChart"/>
    <dgm:cxn modelId="{84ACFB67-8226-4734-B21C-0A9B2B86CB75}" type="presParOf" srcId="{A277577E-57C3-4EA6-A884-39707506E0FB}" destId="{BE79AE2C-C20F-49A7-9252-2A577CE492CF}" srcOrd="1" destOrd="0" presId="urn:microsoft.com/office/officeart/2009/3/layout/HorizontalOrganizationChart"/>
    <dgm:cxn modelId="{31AD1EF6-046E-4464-927F-CA932FA223A4}" type="presParOf" srcId="{A277577E-57C3-4EA6-A884-39707506E0FB}" destId="{3E544FAF-800C-4023-B5E3-E360E68F97AC}" srcOrd="2" destOrd="0" presId="urn:microsoft.com/office/officeart/2009/3/layout/HorizontalOrganizationChart"/>
    <dgm:cxn modelId="{04EC5FA8-90D7-465C-85B7-762177612F26}" type="presParOf" srcId="{679AE4A7-0356-4780-864D-316B2CB09638}" destId="{1BADEB0C-E429-42AA-B3A6-067061334BF6}" srcOrd="2" destOrd="0" presId="urn:microsoft.com/office/officeart/2009/3/layout/HorizontalOrganizationChart"/>
    <dgm:cxn modelId="{42161A35-7D97-4CE4-9183-DC270733B9BA}" type="presParOf" srcId="{BA6C0390-9C65-42EA-AE49-29545FE25B5E}" destId="{2E1E5B69-FF44-4818-B3B3-4F6D292A0BC5}" srcOrd="2" destOrd="0" presId="urn:microsoft.com/office/officeart/2009/3/layout/HorizontalOrganizationChart"/>
    <dgm:cxn modelId="{C2269BB3-AEF6-4605-942C-F2B30460EEA8}" type="presParOf" srcId="{BA6C0390-9C65-42EA-AE49-29545FE25B5E}" destId="{EA057FF7-B65D-40F2-B953-16ACD7F51829}" srcOrd="3" destOrd="0" presId="urn:microsoft.com/office/officeart/2009/3/layout/HorizontalOrganizationChart"/>
    <dgm:cxn modelId="{8994BFD8-607C-44C7-A258-213B8458F712}" type="presParOf" srcId="{EA057FF7-B65D-40F2-B953-16ACD7F51829}" destId="{C1CE07B2-7080-41CE-90CB-2B39592561C2}" srcOrd="0" destOrd="0" presId="urn:microsoft.com/office/officeart/2009/3/layout/HorizontalOrganizationChart"/>
    <dgm:cxn modelId="{68F00941-B1A0-4B30-8F37-F9168E67C47C}" type="presParOf" srcId="{C1CE07B2-7080-41CE-90CB-2B39592561C2}" destId="{F251FBAD-BE3B-4FBF-A3ED-B1A75F3E8976}" srcOrd="0" destOrd="0" presId="urn:microsoft.com/office/officeart/2009/3/layout/HorizontalOrganizationChart"/>
    <dgm:cxn modelId="{89F202FA-54FF-43EE-AA1A-03DE76BB4EA4}" type="presParOf" srcId="{C1CE07B2-7080-41CE-90CB-2B39592561C2}" destId="{6271783C-BF93-4BF1-B9A3-CF1B8ACFD0D1}" srcOrd="1" destOrd="0" presId="urn:microsoft.com/office/officeart/2009/3/layout/HorizontalOrganizationChart"/>
    <dgm:cxn modelId="{F22C8FCA-4455-43F0-A3F3-0C72DA718E4F}" type="presParOf" srcId="{EA057FF7-B65D-40F2-B953-16ACD7F51829}" destId="{82BDD2DF-6103-4963-A321-0AECCA46D929}" srcOrd="1" destOrd="0" presId="urn:microsoft.com/office/officeart/2009/3/layout/HorizontalOrganizationChart"/>
    <dgm:cxn modelId="{D5BA3FEA-5476-48A1-AE4A-4F135C7342D3}" type="presParOf" srcId="{EA057FF7-B65D-40F2-B953-16ACD7F51829}" destId="{688C65C0-F6DC-4230-BF92-7794F61B1303}" srcOrd="2" destOrd="0" presId="urn:microsoft.com/office/officeart/2009/3/layout/HorizontalOrganizationChart"/>
    <dgm:cxn modelId="{42B47A4A-FA6A-4D76-B0F0-A7F4E9477BCA}" type="presParOf" srcId="{C207AC9B-07C6-4A2F-A100-BD00B4655D2D}" destId="{BD15454D-D3CC-469E-9318-341AECCA38BF}" srcOrd="2" destOrd="0" presId="urn:microsoft.com/office/officeart/2009/3/layout/HorizontalOrganizationChart"/>
    <dgm:cxn modelId="{C1C9AAB5-15D6-4263-A1F5-F927BB5101EE}" type="presParOf" srcId="{3DBA6DAC-3944-4BB6-AC75-D71B2107F2E7}" destId="{97813B70-D50A-4AA1-B870-9800B9333613}" srcOrd="2" destOrd="0" presId="urn:microsoft.com/office/officeart/2009/3/layout/HorizontalOrganizationChart"/>
    <dgm:cxn modelId="{134ECBF6-AA63-47E1-BCE9-1F21979939FC}" type="presParOf" srcId="{D076E14A-C3DE-4E5E-BF66-C5B201F2EE79}" destId="{41B9C6D2-BA0F-4645-8100-DC04F06149ED}" srcOrd="2" destOrd="0" presId="urn:microsoft.com/office/officeart/2009/3/layout/HorizontalOrganizationChart"/>
  </dgm:cxnLst>
  <dgm:bg/>
  <dgm:whole>
    <a:ln w="9525" cap="flat" cmpd="sng" algn="ctr">
      <a:noFill/>
      <a:prstDash val="solid"/>
      <a:round/>
      <a:headEnd type="none" w="med" len="med"/>
      <a:tailEnd type="none" w="med" len="med"/>
      <a:extLst>
        <a:ext uri="{C807C97D-BFC1-408E-A445-0C87EB9F89A2}">
          <ask:lineSketchStyleProps xmlns:ask="http://schemas.microsoft.com/office/drawing/2018/sketchyshapes" xmlns="">
            <ask:type>
              <ask:lineSketchCurved/>
            </ask:type>
          </ask:lineSketchStyleProps>
        </a:ext>
      </a:extLst>
    </a:ln>
  </dgm:whole>
  <dgm:extLst>
    <a:ext uri="http://schemas.microsoft.com/office/drawing/2008/diagram">
      <dsp:dataModelExt xmlns:dsp="http://schemas.microsoft.com/office/drawing/2008/diagram" relId="rId1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1E5B69-FF44-4818-B3B3-4F6D292A0BC5}">
      <dsp:nvSpPr>
        <dsp:cNvPr id="0" name=""/>
        <dsp:cNvSpPr/>
      </dsp:nvSpPr>
      <dsp:spPr>
        <a:xfrm>
          <a:off x="3289042" y="2154363"/>
          <a:ext cx="193190" cy="207680"/>
        </a:xfrm>
        <a:custGeom>
          <a:avLst/>
          <a:gdLst/>
          <a:ahLst/>
          <a:cxnLst/>
          <a:rect l="0" t="0" r="0" b="0"/>
          <a:pathLst>
            <a:path>
              <a:moveTo>
                <a:pt x="0" y="0"/>
              </a:moveTo>
              <a:lnTo>
                <a:pt x="96595" y="0"/>
              </a:lnTo>
              <a:lnTo>
                <a:pt x="96595" y="207680"/>
              </a:lnTo>
              <a:lnTo>
                <a:pt x="193190" y="20768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70C387-B693-436A-B055-E34D5BD2CA6F}">
      <dsp:nvSpPr>
        <dsp:cNvPr id="0" name=""/>
        <dsp:cNvSpPr/>
      </dsp:nvSpPr>
      <dsp:spPr>
        <a:xfrm>
          <a:off x="4448188" y="1946682"/>
          <a:ext cx="193190" cy="207680"/>
        </a:xfrm>
        <a:custGeom>
          <a:avLst/>
          <a:gdLst/>
          <a:ahLst/>
          <a:cxnLst/>
          <a:rect l="0" t="0" r="0" b="0"/>
          <a:pathLst>
            <a:path>
              <a:moveTo>
                <a:pt x="0" y="0"/>
              </a:moveTo>
              <a:lnTo>
                <a:pt x="96595" y="0"/>
              </a:lnTo>
              <a:lnTo>
                <a:pt x="96595" y="207680"/>
              </a:lnTo>
              <a:lnTo>
                <a:pt x="193190" y="20768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223E9C-FBE6-4338-A105-A106869441DC}">
      <dsp:nvSpPr>
        <dsp:cNvPr id="0" name=""/>
        <dsp:cNvSpPr/>
      </dsp:nvSpPr>
      <dsp:spPr>
        <a:xfrm>
          <a:off x="4448188" y="1739002"/>
          <a:ext cx="193190" cy="207680"/>
        </a:xfrm>
        <a:custGeom>
          <a:avLst/>
          <a:gdLst/>
          <a:ahLst/>
          <a:cxnLst/>
          <a:rect l="0" t="0" r="0" b="0"/>
          <a:pathLst>
            <a:path>
              <a:moveTo>
                <a:pt x="0" y="207680"/>
              </a:moveTo>
              <a:lnTo>
                <a:pt x="96595" y="207680"/>
              </a:lnTo>
              <a:lnTo>
                <a:pt x="96595" y="0"/>
              </a:lnTo>
              <a:lnTo>
                <a:pt x="193190" y="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A81296-56FD-47B7-B3D9-9CE5D47FC1CE}">
      <dsp:nvSpPr>
        <dsp:cNvPr id="0" name=""/>
        <dsp:cNvSpPr/>
      </dsp:nvSpPr>
      <dsp:spPr>
        <a:xfrm>
          <a:off x="3289042" y="1946682"/>
          <a:ext cx="193190" cy="207680"/>
        </a:xfrm>
        <a:custGeom>
          <a:avLst/>
          <a:gdLst/>
          <a:ahLst/>
          <a:cxnLst/>
          <a:rect l="0" t="0" r="0" b="0"/>
          <a:pathLst>
            <a:path>
              <a:moveTo>
                <a:pt x="0" y="207680"/>
              </a:moveTo>
              <a:lnTo>
                <a:pt x="96595" y="207680"/>
              </a:lnTo>
              <a:lnTo>
                <a:pt x="96595" y="0"/>
              </a:lnTo>
              <a:lnTo>
                <a:pt x="193190" y="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28BD30-3E14-484B-81DD-661B608069B0}">
      <dsp:nvSpPr>
        <dsp:cNvPr id="0" name=""/>
        <dsp:cNvSpPr/>
      </dsp:nvSpPr>
      <dsp:spPr>
        <a:xfrm>
          <a:off x="2129896" y="1946682"/>
          <a:ext cx="193190" cy="207680"/>
        </a:xfrm>
        <a:custGeom>
          <a:avLst/>
          <a:gdLst/>
          <a:ahLst/>
          <a:cxnLst/>
          <a:rect l="0" t="0" r="0" b="0"/>
          <a:pathLst>
            <a:path>
              <a:moveTo>
                <a:pt x="0" y="0"/>
              </a:moveTo>
              <a:lnTo>
                <a:pt x="96595" y="0"/>
              </a:lnTo>
              <a:lnTo>
                <a:pt x="96595" y="207680"/>
              </a:lnTo>
              <a:lnTo>
                <a:pt x="193190" y="20768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A0E9B9-D6DD-4B25-98BE-3A33D3B48ADC}">
      <dsp:nvSpPr>
        <dsp:cNvPr id="0" name=""/>
        <dsp:cNvSpPr/>
      </dsp:nvSpPr>
      <dsp:spPr>
        <a:xfrm>
          <a:off x="2129896" y="1739002"/>
          <a:ext cx="193190" cy="207680"/>
        </a:xfrm>
        <a:custGeom>
          <a:avLst/>
          <a:gdLst/>
          <a:ahLst/>
          <a:cxnLst/>
          <a:rect l="0" t="0" r="0" b="0"/>
          <a:pathLst>
            <a:path>
              <a:moveTo>
                <a:pt x="0" y="207680"/>
              </a:moveTo>
              <a:lnTo>
                <a:pt x="96595" y="207680"/>
              </a:lnTo>
              <a:lnTo>
                <a:pt x="96595" y="0"/>
              </a:lnTo>
              <a:lnTo>
                <a:pt x="193190"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F4DE84-CDE1-4559-B9C5-A7E0DB11BAEE}">
      <dsp:nvSpPr>
        <dsp:cNvPr id="0" name=""/>
        <dsp:cNvSpPr/>
      </dsp:nvSpPr>
      <dsp:spPr>
        <a:xfrm>
          <a:off x="970750" y="1427482"/>
          <a:ext cx="193190" cy="519200"/>
        </a:xfrm>
        <a:custGeom>
          <a:avLst/>
          <a:gdLst/>
          <a:ahLst/>
          <a:cxnLst/>
          <a:rect l="0" t="0" r="0" b="0"/>
          <a:pathLst>
            <a:path>
              <a:moveTo>
                <a:pt x="0" y="0"/>
              </a:moveTo>
              <a:lnTo>
                <a:pt x="96595" y="0"/>
              </a:lnTo>
              <a:lnTo>
                <a:pt x="96595" y="519200"/>
              </a:lnTo>
              <a:lnTo>
                <a:pt x="193190" y="51920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E86B7E-2210-4B31-94FC-022235CBEBAF}">
      <dsp:nvSpPr>
        <dsp:cNvPr id="0" name=""/>
        <dsp:cNvSpPr/>
      </dsp:nvSpPr>
      <dsp:spPr>
        <a:xfrm>
          <a:off x="2154055" y="956601"/>
          <a:ext cx="169032" cy="367040"/>
        </a:xfrm>
        <a:custGeom>
          <a:avLst/>
          <a:gdLst/>
          <a:ahLst/>
          <a:cxnLst/>
          <a:rect l="0" t="0" r="0" b="0"/>
          <a:pathLst>
            <a:path>
              <a:moveTo>
                <a:pt x="0" y="0"/>
              </a:moveTo>
              <a:lnTo>
                <a:pt x="72436" y="0"/>
              </a:lnTo>
              <a:lnTo>
                <a:pt x="72436" y="367040"/>
              </a:lnTo>
              <a:lnTo>
                <a:pt x="169032" y="36704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90DF14-4555-4653-B2A5-EC57F25B4580}">
      <dsp:nvSpPr>
        <dsp:cNvPr id="0" name=""/>
        <dsp:cNvSpPr/>
      </dsp:nvSpPr>
      <dsp:spPr>
        <a:xfrm>
          <a:off x="2154055" y="862561"/>
          <a:ext cx="169032" cy="91440"/>
        </a:xfrm>
        <a:custGeom>
          <a:avLst/>
          <a:gdLst/>
          <a:ahLst/>
          <a:cxnLst/>
          <a:rect l="0" t="0" r="0" b="0"/>
          <a:pathLst>
            <a:path>
              <a:moveTo>
                <a:pt x="0" y="94040"/>
              </a:moveTo>
              <a:lnTo>
                <a:pt x="72436" y="94040"/>
              </a:lnTo>
              <a:lnTo>
                <a:pt x="72436" y="45720"/>
              </a:lnTo>
              <a:lnTo>
                <a:pt x="169032"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79104F-1A26-4774-9A3C-6239A6C532C8}">
      <dsp:nvSpPr>
        <dsp:cNvPr id="0" name=""/>
        <dsp:cNvSpPr/>
      </dsp:nvSpPr>
      <dsp:spPr>
        <a:xfrm>
          <a:off x="3289042" y="492920"/>
          <a:ext cx="193190" cy="207680"/>
        </a:xfrm>
        <a:custGeom>
          <a:avLst/>
          <a:gdLst/>
          <a:ahLst/>
          <a:cxnLst/>
          <a:rect l="0" t="0" r="0" b="0"/>
          <a:pathLst>
            <a:path>
              <a:moveTo>
                <a:pt x="0" y="0"/>
              </a:moveTo>
              <a:lnTo>
                <a:pt x="96595" y="0"/>
              </a:lnTo>
              <a:lnTo>
                <a:pt x="96595" y="207680"/>
              </a:lnTo>
              <a:lnTo>
                <a:pt x="193190" y="20768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408CD7-063E-4396-A87B-24CB4997EAA6}">
      <dsp:nvSpPr>
        <dsp:cNvPr id="0" name=""/>
        <dsp:cNvSpPr/>
      </dsp:nvSpPr>
      <dsp:spPr>
        <a:xfrm>
          <a:off x="3289042" y="310435"/>
          <a:ext cx="193190" cy="182484"/>
        </a:xfrm>
        <a:custGeom>
          <a:avLst/>
          <a:gdLst/>
          <a:ahLst/>
          <a:cxnLst/>
          <a:rect l="0" t="0" r="0" b="0"/>
          <a:pathLst>
            <a:path>
              <a:moveTo>
                <a:pt x="0" y="182484"/>
              </a:moveTo>
              <a:lnTo>
                <a:pt x="96595" y="182484"/>
              </a:lnTo>
              <a:lnTo>
                <a:pt x="96595" y="0"/>
              </a:lnTo>
              <a:lnTo>
                <a:pt x="193190" y="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6CECDF-39CF-475E-A21B-E1FC4508ACC6}">
      <dsp:nvSpPr>
        <dsp:cNvPr id="0" name=""/>
        <dsp:cNvSpPr/>
      </dsp:nvSpPr>
      <dsp:spPr>
        <a:xfrm>
          <a:off x="2154055" y="492920"/>
          <a:ext cx="169032" cy="463680"/>
        </a:xfrm>
        <a:custGeom>
          <a:avLst/>
          <a:gdLst/>
          <a:ahLst/>
          <a:cxnLst/>
          <a:rect l="0" t="0" r="0" b="0"/>
          <a:pathLst>
            <a:path>
              <a:moveTo>
                <a:pt x="0" y="463680"/>
              </a:moveTo>
              <a:lnTo>
                <a:pt x="72436" y="463680"/>
              </a:lnTo>
              <a:lnTo>
                <a:pt x="72436" y="0"/>
              </a:lnTo>
              <a:lnTo>
                <a:pt x="169032"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AC3CED-1027-4BBC-B944-55C01DF9EF65}">
      <dsp:nvSpPr>
        <dsp:cNvPr id="0" name=""/>
        <dsp:cNvSpPr/>
      </dsp:nvSpPr>
      <dsp:spPr>
        <a:xfrm>
          <a:off x="970750" y="956601"/>
          <a:ext cx="217349" cy="470880"/>
        </a:xfrm>
        <a:custGeom>
          <a:avLst/>
          <a:gdLst/>
          <a:ahLst/>
          <a:cxnLst/>
          <a:rect l="0" t="0" r="0" b="0"/>
          <a:pathLst>
            <a:path>
              <a:moveTo>
                <a:pt x="0" y="470880"/>
              </a:moveTo>
              <a:lnTo>
                <a:pt x="120754" y="470880"/>
              </a:lnTo>
              <a:lnTo>
                <a:pt x="120754" y="0"/>
              </a:lnTo>
              <a:lnTo>
                <a:pt x="217349"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8B77E1-D918-44F8-9EFB-9C8FFAF46C71}">
      <dsp:nvSpPr>
        <dsp:cNvPr id="0" name=""/>
        <dsp:cNvSpPr/>
      </dsp:nvSpPr>
      <dsp:spPr>
        <a:xfrm>
          <a:off x="4795" y="1280174"/>
          <a:ext cx="965954" cy="29461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latin typeface="Times New Roman" panose="02020603050405020304" pitchFamily="18" charset="0"/>
              <a:cs typeface="Times New Roman" panose="02020603050405020304" pitchFamily="18" charset="0"/>
            </a:rPr>
            <a:t>Sector Público</a:t>
          </a:r>
        </a:p>
      </dsp:txBody>
      <dsp:txXfrm>
        <a:off x="4795" y="1280174"/>
        <a:ext cx="965954" cy="294616"/>
      </dsp:txXfrm>
    </dsp:sp>
    <dsp:sp modelId="{C2E37E83-D23E-4766-B5FC-A0C604557FDD}">
      <dsp:nvSpPr>
        <dsp:cNvPr id="0" name=""/>
        <dsp:cNvSpPr/>
      </dsp:nvSpPr>
      <dsp:spPr>
        <a:xfrm>
          <a:off x="1188100" y="809293"/>
          <a:ext cx="965954" cy="294616"/>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latin typeface="Times New Roman" panose="02020603050405020304" pitchFamily="18" charset="0"/>
              <a:cs typeface="Times New Roman" panose="02020603050405020304" pitchFamily="18" charset="0"/>
            </a:rPr>
            <a:t>Gobierno General</a:t>
          </a:r>
        </a:p>
      </dsp:txBody>
      <dsp:txXfrm>
        <a:off x="1188100" y="809293"/>
        <a:ext cx="965954" cy="294616"/>
      </dsp:txXfrm>
    </dsp:sp>
    <dsp:sp modelId="{C00D715B-C124-4542-B479-98C28121950B}">
      <dsp:nvSpPr>
        <dsp:cNvPr id="0" name=""/>
        <dsp:cNvSpPr/>
      </dsp:nvSpPr>
      <dsp:spPr>
        <a:xfrm>
          <a:off x="2323087" y="345612"/>
          <a:ext cx="965954" cy="29461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latin typeface="Times New Roman" panose="02020603050405020304" pitchFamily="18" charset="0"/>
              <a:cs typeface="Times New Roman" panose="02020603050405020304" pitchFamily="18" charset="0"/>
            </a:rPr>
            <a:t>Gobierno Central</a:t>
          </a:r>
        </a:p>
      </dsp:txBody>
      <dsp:txXfrm>
        <a:off x="2323087" y="345612"/>
        <a:ext cx="965954" cy="294616"/>
      </dsp:txXfrm>
    </dsp:sp>
    <dsp:sp modelId="{064AA238-DCFD-449F-A6BF-A232C90F81AE}">
      <dsp:nvSpPr>
        <dsp:cNvPr id="0" name=""/>
        <dsp:cNvSpPr/>
      </dsp:nvSpPr>
      <dsp:spPr>
        <a:xfrm>
          <a:off x="3482233" y="163127"/>
          <a:ext cx="965954" cy="294616"/>
        </a:xfrm>
        <a:prstGeom prst="rect">
          <a:avLst/>
        </a:prstGeom>
        <a:noFill/>
        <a:ln w="25400" cap="flat" cmpd="sng" algn="ctr">
          <a:solidFill>
            <a:srgbClr val="FF0000"/>
          </a:solidFill>
          <a:prstDash val="sysDash"/>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latin typeface="Times New Roman" panose="02020603050405020304" pitchFamily="18" charset="0"/>
              <a:cs typeface="Times New Roman" panose="02020603050405020304" pitchFamily="18" charset="0"/>
            </a:rPr>
            <a:t>Presupuestario</a:t>
          </a:r>
        </a:p>
      </dsp:txBody>
      <dsp:txXfrm>
        <a:off x="3482233" y="163127"/>
        <a:ext cx="965954" cy="294616"/>
      </dsp:txXfrm>
    </dsp:sp>
    <dsp:sp modelId="{B77273A7-CA45-4B53-89BA-E5E48B2AA818}">
      <dsp:nvSpPr>
        <dsp:cNvPr id="0" name=""/>
        <dsp:cNvSpPr/>
      </dsp:nvSpPr>
      <dsp:spPr>
        <a:xfrm>
          <a:off x="3482233" y="553292"/>
          <a:ext cx="965954" cy="2946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latin typeface="Times New Roman" panose="02020603050405020304" pitchFamily="18" charset="0"/>
              <a:cs typeface="Times New Roman" panose="02020603050405020304" pitchFamily="18" charset="0"/>
            </a:rPr>
            <a:t>Extrapresupuestario </a:t>
          </a:r>
        </a:p>
      </dsp:txBody>
      <dsp:txXfrm>
        <a:off x="3482233" y="553292"/>
        <a:ext cx="965954" cy="294616"/>
      </dsp:txXfrm>
    </dsp:sp>
    <dsp:sp modelId="{CA4DB0E3-AF48-47D0-81BE-EA86C1A8AE09}">
      <dsp:nvSpPr>
        <dsp:cNvPr id="0" name=""/>
        <dsp:cNvSpPr/>
      </dsp:nvSpPr>
      <dsp:spPr>
        <a:xfrm>
          <a:off x="2323087" y="760973"/>
          <a:ext cx="965954" cy="29461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latin typeface="Times New Roman" panose="02020603050405020304" pitchFamily="18" charset="0"/>
              <a:cs typeface="Times New Roman" panose="02020603050405020304" pitchFamily="18" charset="0"/>
            </a:rPr>
            <a:t>Gobierno Locales</a:t>
          </a:r>
        </a:p>
      </dsp:txBody>
      <dsp:txXfrm>
        <a:off x="2323087" y="760973"/>
        <a:ext cx="965954" cy="294616"/>
      </dsp:txXfrm>
    </dsp:sp>
    <dsp:sp modelId="{E8AE2972-A4F0-4BF3-84FA-BE7FB6D8608C}">
      <dsp:nvSpPr>
        <dsp:cNvPr id="0" name=""/>
        <dsp:cNvSpPr/>
      </dsp:nvSpPr>
      <dsp:spPr>
        <a:xfrm>
          <a:off x="2323087" y="1176333"/>
          <a:ext cx="965954" cy="29461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latin typeface="Times New Roman" panose="02020603050405020304" pitchFamily="18" charset="0"/>
              <a:cs typeface="Times New Roman" panose="02020603050405020304" pitchFamily="18" charset="0"/>
            </a:rPr>
            <a:t>Fondos de Seguridad Social</a:t>
          </a:r>
        </a:p>
      </dsp:txBody>
      <dsp:txXfrm>
        <a:off x="2323087" y="1176333"/>
        <a:ext cx="965954" cy="294616"/>
      </dsp:txXfrm>
    </dsp:sp>
    <dsp:sp modelId="{C53339F6-34CF-4143-9420-20B347D1402D}">
      <dsp:nvSpPr>
        <dsp:cNvPr id="0" name=""/>
        <dsp:cNvSpPr/>
      </dsp:nvSpPr>
      <dsp:spPr>
        <a:xfrm>
          <a:off x="1163941" y="1799374"/>
          <a:ext cx="965954" cy="294616"/>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latin typeface="Times New Roman" panose="02020603050405020304" pitchFamily="18" charset="0"/>
              <a:cs typeface="Times New Roman" panose="02020603050405020304" pitchFamily="18" charset="0"/>
            </a:rPr>
            <a:t>Sociedades Públicas</a:t>
          </a:r>
        </a:p>
      </dsp:txBody>
      <dsp:txXfrm>
        <a:off x="1163941" y="1799374"/>
        <a:ext cx="965954" cy="294616"/>
      </dsp:txXfrm>
    </dsp:sp>
    <dsp:sp modelId="{E98524A6-E30C-429E-BB49-2951905627FB}">
      <dsp:nvSpPr>
        <dsp:cNvPr id="0" name=""/>
        <dsp:cNvSpPr/>
      </dsp:nvSpPr>
      <dsp:spPr>
        <a:xfrm>
          <a:off x="2323087" y="1591694"/>
          <a:ext cx="965954" cy="29461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latin typeface="Times New Roman" panose="02020603050405020304" pitchFamily="18" charset="0"/>
              <a:cs typeface="Times New Roman" panose="02020603050405020304" pitchFamily="18" charset="0"/>
            </a:rPr>
            <a:t>No financieras</a:t>
          </a:r>
        </a:p>
      </dsp:txBody>
      <dsp:txXfrm>
        <a:off x="2323087" y="1591694"/>
        <a:ext cx="965954" cy="294616"/>
      </dsp:txXfrm>
    </dsp:sp>
    <dsp:sp modelId="{FDAEFF29-6A7F-4B14-8172-865BFFC16BE3}">
      <dsp:nvSpPr>
        <dsp:cNvPr id="0" name=""/>
        <dsp:cNvSpPr/>
      </dsp:nvSpPr>
      <dsp:spPr>
        <a:xfrm>
          <a:off x="2323087" y="2007055"/>
          <a:ext cx="965954" cy="29461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latin typeface="Times New Roman" panose="02020603050405020304" pitchFamily="18" charset="0"/>
              <a:cs typeface="Times New Roman" panose="02020603050405020304" pitchFamily="18" charset="0"/>
            </a:rPr>
            <a:t>Financieras</a:t>
          </a:r>
        </a:p>
      </dsp:txBody>
      <dsp:txXfrm>
        <a:off x="2323087" y="2007055"/>
        <a:ext cx="965954" cy="294616"/>
      </dsp:txXfrm>
    </dsp:sp>
    <dsp:sp modelId="{A84E6B68-569E-4654-A0D7-2C3E0526497E}">
      <dsp:nvSpPr>
        <dsp:cNvPr id="0" name=""/>
        <dsp:cNvSpPr/>
      </dsp:nvSpPr>
      <dsp:spPr>
        <a:xfrm>
          <a:off x="3482233" y="1799374"/>
          <a:ext cx="965954" cy="2946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latin typeface="Times New Roman" panose="02020603050405020304" pitchFamily="18" charset="0"/>
              <a:cs typeface="Times New Roman" panose="02020603050405020304" pitchFamily="18" charset="0"/>
            </a:rPr>
            <a:t>De deposito</a:t>
          </a:r>
        </a:p>
      </dsp:txBody>
      <dsp:txXfrm>
        <a:off x="3482233" y="1799374"/>
        <a:ext cx="965954" cy="294616"/>
      </dsp:txXfrm>
    </dsp:sp>
    <dsp:sp modelId="{1A98B21A-74AF-44C4-BCE8-EA4AE4819FA0}">
      <dsp:nvSpPr>
        <dsp:cNvPr id="0" name=""/>
        <dsp:cNvSpPr/>
      </dsp:nvSpPr>
      <dsp:spPr>
        <a:xfrm>
          <a:off x="4641379" y="1591694"/>
          <a:ext cx="965954" cy="294616"/>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latin typeface="Times New Roman" panose="02020603050405020304" pitchFamily="18" charset="0"/>
              <a:cs typeface="Times New Roman" panose="02020603050405020304" pitchFamily="18" charset="0"/>
            </a:rPr>
            <a:t>Banco Central</a:t>
          </a:r>
        </a:p>
      </dsp:txBody>
      <dsp:txXfrm>
        <a:off x="4641379" y="1591694"/>
        <a:ext cx="965954" cy="294616"/>
      </dsp:txXfrm>
    </dsp:sp>
    <dsp:sp modelId="{D62CFA3B-B1E1-4F9D-B056-7DC377E1228E}">
      <dsp:nvSpPr>
        <dsp:cNvPr id="0" name=""/>
        <dsp:cNvSpPr/>
      </dsp:nvSpPr>
      <dsp:spPr>
        <a:xfrm>
          <a:off x="4641379" y="2007055"/>
          <a:ext cx="965954" cy="294616"/>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latin typeface="Times New Roman" panose="02020603050405020304" pitchFamily="18" charset="0"/>
              <a:cs typeface="Times New Roman" panose="02020603050405020304" pitchFamily="18" charset="0"/>
            </a:rPr>
            <a:t>De deposito distintas del Banco Central</a:t>
          </a:r>
        </a:p>
      </dsp:txBody>
      <dsp:txXfrm>
        <a:off x="4641379" y="2007055"/>
        <a:ext cx="965954" cy="294616"/>
      </dsp:txXfrm>
    </dsp:sp>
    <dsp:sp modelId="{F251FBAD-BE3B-4FBF-A3ED-B1A75F3E8976}">
      <dsp:nvSpPr>
        <dsp:cNvPr id="0" name=""/>
        <dsp:cNvSpPr/>
      </dsp:nvSpPr>
      <dsp:spPr>
        <a:xfrm>
          <a:off x="3482233" y="2214735"/>
          <a:ext cx="965954" cy="2946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latin typeface="Times New Roman" panose="02020603050405020304" pitchFamily="18" charset="0"/>
              <a:cs typeface="Times New Roman" panose="02020603050405020304" pitchFamily="18" charset="0"/>
            </a:rPr>
            <a:t>Otras sociedades públicas financieras</a:t>
          </a:r>
        </a:p>
      </dsp:txBody>
      <dsp:txXfrm>
        <a:off x="3482233" y="2214735"/>
        <a:ext cx="965954" cy="294616"/>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0.86045</cdr:x>
      <cdr:y>0</cdr:y>
    </cdr:from>
    <cdr:to>
      <cdr:x>0.99935</cdr:x>
      <cdr:y>0.9624</cdr:y>
    </cdr:to>
    <cdr:sp macro="" textlink="">
      <cdr:nvSpPr>
        <cdr:cNvPr id="2" name="Rectángulo redondeado 1"/>
        <cdr:cNvSpPr/>
      </cdr:nvSpPr>
      <cdr:spPr>
        <a:xfrm xmlns:a="http://schemas.openxmlformats.org/drawingml/2006/main">
          <a:off x="3964553" y="-1216550"/>
          <a:ext cx="639997" cy="2035037"/>
        </a:xfrm>
        <a:prstGeom xmlns:a="http://schemas.openxmlformats.org/drawingml/2006/main" prst="roundRect">
          <a:avLst/>
        </a:prstGeom>
        <a:solidFill xmlns:a="http://schemas.openxmlformats.org/drawingml/2006/main">
          <a:schemeClr val="accent2">
            <a:alpha val="14000"/>
          </a:schemeClr>
        </a:solidFill>
        <a:ln xmlns:a="http://schemas.openxmlformats.org/drawingml/2006/main" w="3175">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GT"/>
        </a:p>
      </cdr:txBody>
    </cdr:sp>
  </cdr:relSizeAnchor>
  <cdr:relSizeAnchor xmlns:cdr="http://schemas.openxmlformats.org/drawingml/2006/chartDrawing">
    <cdr:from>
      <cdr:x>0.86045</cdr:x>
      <cdr:y>0.69565</cdr:y>
    </cdr:from>
    <cdr:to>
      <cdr:x>1</cdr:x>
      <cdr:y>0.85358</cdr:y>
    </cdr:to>
    <cdr:sp macro="" textlink="">
      <cdr:nvSpPr>
        <cdr:cNvPr id="3" name="Cuadro de texto 2"/>
        <cdr:cNvSpPr txBox="1"/>
      </cdr:nvSpPr>
      <cdr:spPr>
        <a:xfrm xmlns:a="http://schemas.openxmlformats.org/drawingml/2006/main">
          <a:off x="3964553" y="1470988"/>
          <a:ext cx="643007" cy="3339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GT" sz="800">
              <a:solidFill>
                <a:schemeClr val="tx1">
                  <a:lumMod val="65000"/>
                  <a:lumOff val="35000"/>
                </a:schemeClr>
              </a:solidFill>
              <a:latin typeface="Times New Roman" panose="02020603050405020304" pitchFamily="18" charset="0"/>
              <a:cs typeface="Times New Roman" panose="02020603050405020304" pitchFamily="18" charset="0"/>
            </a:rPr>
            <a:t>Proyección              del FMI</a:t>
          </a: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0.89961</cdr:y>
    </cdr:from>
    <cdr:to>
      <cdr:x>0.98596</cdr:x>
      <cdr:y>0.98547</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0" y="2167331"/>
          <a:ext cx="3180521" cy="20685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a:lnSpc>
              <a:spcPct val="107000"/>
            </a:lnSpc>
            <a:spcBef>
              <a:spcPts val="0"/>
            </a:spcBef>
            <a:spcAft>
              <a:spcPts val="80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Dirección</a:t>
          </a:r>
          <a:r>
            <a:rPr lang="es-GT" sz="800" baseline="0">
              <a:effectLst/>
              <a:latin typeface="Times New Roman" panose="02020603050405020304" pitchFamily="18" charset="0"/>
              <a:ea typeface="Times New Roman" panose="02020603050405020304" pitchFamily="18" charset="0"/>
              <a:cs typeface="Times New Roman" panose="02020603050405020304" pitchFamily="18" charset="0"/>
            </a:rPr>
            <a:t> de Análisis y Política Fiscal </a:t>
          </a:r>
          <a:endParaRPr lang="es-GT" sz="800">
            <a:effectLst/>
            <a:latin typeface="Times New Roman" panose="02020603050405020304" pitchFamily="18" charset="0"/>
            <a:ea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0.93</cdr:y>
    </cdr:from>
    <cdr:to>
      <cdr:x>1</cdr:x>
      <cdr:y>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0" y="2329732"/>
          <a:ext cx="3359785" cy="17534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07000"/>
            </a:lnSpc>
            <a:spcBef>
              <a:spcPts val="0"/>
            </a:spcBef>
            <a:spcAft>
              <a:spcPts val="80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Dirección de Análisis y Política</a:t>
          </a:r>
          <a:r>
            <a:rPr lang="es-GT" sz="800" baseline="0">
              <a:effectLst/>
              <a:latin typeface="Times New Roman" panose="02020603050405020304" pitchFamily="18" charset="0"/>
              <a:ea typeface="Times New Roman" panose="02020603050405020304" pitchFamily="18" charset="0"/>
              <a:cs typeface="Times New Roman" panose="02020603050405020304" pitchFamily="18" charset="0"/>
            </a:rPr>
            <a:t> Fiscal</a:t>
          </a:r>
          <a:endParaRPr lang="es-GT" sz="800">
            <a:effectLst/>
            <a:latin typeface="Times New Roman" panose="02020603050405020304" pitchFamily="18" charset="0"/>
            <a:ea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cdr:x>
      <cdr:y>0.89745</cdr:y>
    </cdr:from>
    <cdr:to>
      <cdr:x>1</cdr:x>
      <cdr:y>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0" y="1619031"/>
          <a:ext cx="2806700" cy="18500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none" lIns="91440" tIns="45720" rIns="91440" bIns="45720" anchor="t" anchorCtr="0">
          <a:noAutofit/>
        </a:bodyPr>
        <a:lstStyle xmlns:a="http://schemas.openxmlformats.org/drawingml/2006/main"/>
        <a:p xmlns:a="http://schemas.openxmlformats.org/drawingml/2006/main">
          <a:pPr marL="0" marR="0">
            <a:lnSpc>
              <a:spcPct val="100000"/>
            </a:lnSpc>
            <a:spcBef>
              <a:spcPts val="0"/>
            </a:spcBef>
            <a:spcAft>
              <a:spcPts val="300"/>
            </a:spcAft>
          </a:pPr>
          <a:r>
            <a:rPr lang="es-US" sz="600">
              <a:effectLst/>
              <a:latin typeface="Times New Roman" panose="02020603050405020304" pitchFamily="18" charset="0"/>
              <a:ea typeface="Calibri" panose="020F0502020204030204" pitchFamily="34" charset="0"/>
              <a:cs typeface="Times New Roman" panose="02020603050405020304" pitchFamily="18" charset="0"/>
            </a:rPr>
            <a:t>*/Recaudación ajustada marzo y abril</a:t>
          </a:r>
          <a:endParaRPr lang="es-GT" sz="600">
            <a:effectLst/>
            <a:latin typeface="Times New Roman" panose="02020603050405020304" pitchFamily="18" charset="0"/>
            <a:ea typeface="+mn-ea"/>
            <a:cs typeface="Times New Roman" panose="02020603050405020304" pitchFamily="18" charset="0"/>
          </a:endParaRPr>
        </a:p>
        <a:p xmlns:a="http://schemas.openxmlformats.org/drawingml/2006/main">
          <a:pPr marL="0" marR="0">
            <a:lnSpc>
              <a:spcPct val="107000"/>
            </a:lnSpc>
            <a:spcBef>
              <a:spcPts val="0"/>
            </a:spcBef>
            <a:spcAft>
              <a:spcPts val="800"/>
            </a:spcAft>
          </a:pPr>
          <a:endParaRPr lang="es-US" sz="5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0.72896</cdr:x>
      <cdr:y>0.05042</cdr:y>
    </cdr:from>
    <cdr:to>
      <cdr:x>0.95911</cdr:x>
      <cdr:y>0.74627</cdr:y>
    </cdr:to>
    <cdr:sp macro="" textlink="">
      <cdr:nvSpPr>
        <cdr:cNvPr id="2" name="Rectángulo 1">
          <a:extLst xmlns:a="http://schemas.openxmlformats.org/drawingml/2006/main">
            <a:ext uri="{FF2B5EF4-FFF2-40B4-BE49-F238E27FC236}">
              <a16:creationId xmlns="" xmlns:a16="http://schemas.microsoft.com/office/drawing/2014/main" id="{4E00C542-8B14-4788-949B-7990F0E347D1}"/>
            </a:ext>
          </a:extLst>
        </cdr:cNvPr>
        <cdr:cNvSpPr/>
      </cdr:nvSpPr>
      <cdr:spPr>
        <a:xfrm xmlns:a="http://schemas.openxmlformats.org/drawingml/2006/main">
          <a:off x="3701186" y="132728"/>
          <a:ext cx="1168551" cy="1831804"/>
        </a:xfrm>
        <a:prstGeom xmlns:a="http://schemas.openxmlformats.org/drawingml/2006/main" prst="rect">
          <a:avLst/>
        </a:prstGeom>
        <a:solidFill xmlns:a="http://schemas.openxmlformats.org/drawingml/2006/main">
          <a:schemeClr val="accent1">
            <a:alpha val="1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GT"/>
        </a:p>
      </cdr:txBody>
    </cdr:sp>
  </cdr:relSizeAnchor>
</c:userShapes>
</file>

<file path=word/drawings/drawing14.xml><?xml version="1.0" encoding="utf-8"?>
<c:userShapes xmlns:c="http://schemas.openxmlformats.org/drawingml/2006/chart">
  <cdr:relSizeAnchor xmlns:cdr="http://schemas.openxmlformats.org/drawingml/2006/chartDrawing">
    <cdr:from>
      <cdr:x>0.4812</cdr:x>
      <cdr:y>0.87711</cdr:y>
    </cdr:from>
    <cdr:to>
      <cdr:x>1</cdr:x>
      <cdr:y>0.87711</cdr:y>
    </cdr:to>
    <cdr:cxnSp macro="">
      <cdr:nvCxnSpPr>
        <cdr:cNvPr id="3" name="Conector recto 2"/>
        <cdr:cNvCxnSpPr/>
      </cdr:nvCxnSpPr>
      <cdr:spPr>
        <a:xfrm xmlns:a="http://schemas.openxmlformats.org/drawingml/2006/main">
          <a:off x="2640037" y="2553684"/>
          <a:ext cx="2846363" cy="0"/>
        </a:xfrm>
        <a:prstGeom xmlns:a="http://schemas.openxmlformats.org/drawingml/2006/main" prst="line">
          <a:avLst/>
        </a:prstGeom>
        <a:ln xmlns:a="http://schemas.openxmlformats.org/drawingml/2006/main" w="19050">
          <a:prstDash val="sysDash"/>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userShapes>
</file>

<file path=word/drawings/drawing15.xml><?xml version="1.0" encoding="utf-8"?>
<c:userShapes xmlns:c="http://schemas.openxmlformats.org/drawingml/2006/chart">
  <cdr:relSizeAnchor xmlns:cdr="http://schemas.openxmlformats.org/drawingml/2006/chartDrawing">
    <cdr:from>
      <cdr:x>0.37425</cdr:x>
      <cdr:y>0.22442</cdr:y>
    </cdr:from>
    <cdr:to>
      <cdr:x>0.37425</cdr:x>
      <cdr:y>0.86258</cdr:y>
    </cdr:to>
    <cdr:cxnSp macro="">
      <cdr:nvCxnSpPr>
        <cdr:cNvPr id="3" name="Conector recto 2"/>
        <cdr:cNvCxnSpPr/>
      </cdr:nvCxnSpPr>
      <cdr:spPr>
        <a:xfrm xmlns:a="http://schemas.openxmlformats.org/drawingml/2006/main">
          <a:off x="2087529" y="676331"/>
          <a:ext cx="0" cy="1923221"/>
        </a:xfrm>
        <a:prstGeom xmlns:a="http://schemas.openxmlformats.org/drawingml/2006/main" prst="line">
          <a:avLst/>
        </a:prstGeom>
        <a:ln xmlns:a="http://schemas.openxmlformats.org/drawingml/2006/main">
          <a:prstDash val="sysDash"/>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userShapes>
</file>

<file path=word/drawings/drawing16.xml><?xml version="1.0" encoding="utf-8"?>
<c:userShapes xmlns:c="http://schemas.openxmlformats.org/drawingml/2006/chart">
  <cdr:relSizeAnchor xmlns:cdr="http://schemas.openxmlformats.org/drawingml/2006/chartDrawing">
    <cdr:from>
      <cdr:x>0.19533</cdr:x>
      <cdr:y>0.24209</cdr:y>
    </cdr:from>
    <cdr:to>
      <cdr:x>0.19533</cdr:x>
      <cdr:y>0.81562</cdr:y>
    </cdr:to>
    <cdr:cxnSp macro="">
      <cdr:nvCxnSpPr>
        <cdr:cNvPr id="3" name="Conector recto 2"/>
        <cdr:cNvCxnSpPr/>
      </cdr:nvCxnSpPr>
      <cdr:spPr>
        <a:xfrm xmlns:a="http://schemas.openxmlformats.org/drawingml/2006/main">
          <a:off x="1092750" y="537131"/>
          <a:ext cx="0" cy="1272485"/>
        </a:xfrm>
        <a:prstGeom xmlns:a="http://schemas.openxmlformats.org/drawingml/2006/main" prst="line">
          <a:avLst/>
        </a:prstGeom>
        <a:ln xmlns:a="http://schemas.openxmlformats.org/drawingml/2006/main">
          <a:prstDash val="sysDash"/>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userShapes>
</file>

<file path=word/drawings/drawing17.xml><?xml version="1.0" encoding="utf-8"?>
<c:userShapes xmlns:c="http://schemas.openxmlformats.org/drawingml/2006/chart">
  <cdr:relSizeAnchor xmlns:cdr="http://schemas.openxmlformats.org/drawingml/2006/chartDrawing">
    <cdr:from>
      <cdr:x>0.28414</cdr:x>
      <cdr:y>0.90295</cdr:y>
    </cdr:from>
    <cdr:to>
      <cdr:x>0.98721</cdr:x>
      <cdr:y>0.90295</cdr:y>
    </cdr:to>
    <cdr:cxnSp macro="">
      <cdr:nvCxnSpPr>
        <cdr:cNvPr id="3" name="Conector recto 2"/>
        <cdr:cNvCxnSpPr/>
      </cdr:nvCxnSpPr>
      <cdr:spPr>
        <a:xfrm xmlns:a="http://schemas.openxmlformats.org/drawingml/2006/main">
          <a:off x="1643362" y="2216670"/>
          <a:ext cx="4066228" cy="0"/>
        </a:xfrm>
        <a:prstGeom xmlns:a="http://schemas.openxmlformats.org/drawingml/2006/main" prst="line">
          <a:avLst/>
        </a:prstGeom>
        <a:ln xmlns:a="http://schemas.openxmlformats.org/drawingml/2006/main">
          <a:prstDash val="sysDash"/>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userShapes>
</file>

<file path=word/drawings/drawing18.xml><?xml version="1.0" encoding="utf-8"?>
<c:userShapes xmlns:c="http://schemas.openxmlformats.org/drawingml/2006/chart">
  <cdr:relSizeAnchor xmlns:cdr="http://schemas.openxmlformats.org/drawingml/2006/chartDrawing">
    <cdr:from>
      <cdr:x>0.39252</cdr:x>
      <cdr:y>0.92042</cdr:y>
    </cdr:from>
    <cdr:to>
      <cdr:x>1</cdr:x>
      <cdr:y>0.92042</cdr:y>
    </cdr:to>
    <cdr:cxnSp macro="">
      <cdr:nvCxnSpPr>
        <cdr:cNvPr id="3" name="Conector recto 2"/>
        <cdr:cNvCxnSpPr/>
      </cdr:nvCxnSpPr>
      <cdr:spPr>
        <a:xfrm xmlns:a="http://schemas.openxmlformats.org/drawingml/2006/main">
          <a:off x="2236763" y="3249637"/>
          <a:ext cx="3461727" cy="0"/>
        </a:xfrm>
        <a:prstGeom xmlns:a="http://schemas.openxmlformats.org/drawingml/2006/main" prst="line">
          <a:avLst/>
        </a:prstGeom>
        <a:ln xmlns:a="http://schemas.openxmlformats.org/drawingml/2006/main">
          <a:prstDash val="sysDash"/>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0.1144</cdr:x>
      <cdr:y>0.52483</cdr:y>
    </cdr:from>
    <cdr:to>
      <cdr:x>0.38642</cdr:x>
      <cdr:y>0.75259</cdr:y>
    </cdr:to>
    <cdr:sp macro="" textlink="">
      <cdr:nvSpPr>
        <cdr:cNvPr id="2" name="TextBox 1"/>
        <cdr:cNvSpPr txBox="1"/>
      </cdr:nvSpPr>
      <cdr:spPr>
        <a:xfrm xmlns:a="http://schemas.openxmlformats.org/drawingml/2006/main">
          <a:off x="320156" y="842838"/>
          <a:ext cx="761221" cy="36576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700" b="1" baseline="0">
              <a:solidFill>
                <a:schemeClr val="accent1">
                  <a:lumMod val="75000"/>
                </a:schemeClr>
              </a:solidFill>
              <a:latin typeface="Times New Roman" panose="02020603050405020304" pitchFamily="18" charset="0"/>
              <a:cs typeface="Times New Roman" panose="02020603050405020304" pitchFamily="18" charset="0"/>
            </a:rPr>
            <a:t>Producción</a:t>
          </a:r>
        </a:p>
        <a:p xmlns:a="http://schemas.openxmlformats.org/drawingml/2006/main">
          <a:r>
            <a:rPr lang="en-US" sz="700" b="1" baseline="0">
              <a:solidFill>
                <a:schemeClr val="accent6"/>
              </a:solidFill>
              <a:latin typeface="Times New Roman" panose="02020603050405020304" pitchFamily="18" charset="0"/>
              <a:cs typeface="Times New Roman" panose="02020603050405020304" pitchFamily="18" charset="0"/>
            </a:rPr>
            <a:t>Consumo</a:t>
          </a:r>
          <a:endParaRPr lang="en-US" sz="700" b="1">
            <a:solidFill>
              <a:schemeClr val="accent6"/>
            </a:solidFill>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0.13763</cdr:x>
      <cdr:y>0.67302</cdr:y>
    </cdr:from>
    <cdr:to>
      <cdr:x>0.30488</cdr:x>
      <cdr:y>0.96189</cdr:y>
    </cdr:to>
    <cdr:sp macro="" textlink="">
      <cdr:nvSpPr>
        <cdr:cNvPr id="9" name="TextBox 8"/>
        <cdr:cNvSpPr txBox="1"/>
      </cdr:nvSpPr>
      <cdr:spPr>
        <a:xfrm xmlns:a="http://schemas.openxmlformats.org/drawingml/2006/main">
          <a:off x="752476" y="213042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0.1957</cdr:x>
      <cdr:y>0.65898</cdr:y>
    </cdr:from>
    <cdr:to>
      <cdr:x>0.36295</cdr:x>
      <cdr:y>0.94784</cdr:y>
    </cdr:to>
    <cdr:sp macro="" textlink="">
      <cdr:nvSpPr>
        <cdr:cNvPr id="10" name="TextBox 9"/>
        <cdr:cNvSpPr txBox="1"/>
      </cdr:nvSpPr>
      <cdr:spPr>
        <a:xfrm xmlns:a="http://schemas.openxmlformats.org/drawingml/2006/main">
          <a:off x="1069976" y="208597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0.13763</cdr:x>
      <cdr:y>0.67302</cdr:y>
    </cdr:from>
    <cdr:to>
      <cdr:x>0.30488</cdr:x>
      <cdr:y>0.96189</cdr:y>
    </cdr:to>
    <cdr:sp macro="" textlink="">
      <cdr:nvSpPr>
        <cdr:cNvPr id="19" name="TextBox 8"/>
        <cdr:cNvSpPr txBox="1"/>
      </cdr:nvSpPr>
      <cdr:spPr>
        <a:xfrm xmlns:a="http://schemas.openxmlformats.org/drawingml/2006/main">
          <a:off x="752476" y="213042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0.1957</cdr:x>
      <cdr:y>0.65898</cdr:y>
    </cdr:from>
    <cdr:to>
      <cdr:x>0.36295</cdr:x>
      <cdr:y>0.94784</cdr:y>
    </cdr:to>
    <cdr:sp macro="" textlink="">
      <cdr:nvSpPr>
        <cdr:cNvPr id="20" name="TextBox 9"/>
        <cdr:cNvSpPr txBox="1"/>
      </cdr:nvSpPr>
      <cdr:spPr>
        <a:xfrm xmlns:a="http://schemas.openxmlformats.org/drawingml/2006/main">
          <a:off x="1069976" y="208597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0.7034</cdr:x>
      <cdr:y>0.04082</cdr:y>
    </cdr:from>
    <cdr:to>
      <cdr:x>0.92897</cdr:x>
      <cdr:y>0.86744</cdr:y>
    </cdr:to>
    <cdr:sp macro="" textlink="">
      <cdr:nvSpPr>
        <cdr:cNvPr id="2" name="Rectángulo 1"/>
        <cdr:cNvSpPr/>
      </cdr:nvSpPr>
      <cdr:spPr>
        <a:xfrm xmlns:a="http://schemas.openxmlformats.org/drawingml/2006/main">
          <a:off x="1884454" y="63609"/>
          <a:ext cx="604317" cy="1288114"/>
        </a:xfrm>
        <a:prstGeom xmlns:a="http://schemas.openxmlformats.org/drawingml/2006/main" prst="rect">
          <a:avLst/>
        </a:prstGeom>
        <a:solidFill xmlns:a="http://schemas.openxmlformats.org/drawingml/2006/main">
          <a:schemeClr val="accent1">
            <a:alpha val="17000"/>
          </a:schemeClr>
        </a:solidFill>
        <a:ln xmlns:a="http://schemas.openxmlformats.org/drawingml/2006/main" w="3175"/>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GT"/>
        </a:p>
      </cdr:txBody>
    </cdr:sp>
  </cdr:relSizeAnchor>
</c:userShapes>
</file>

<file path=word/drawings/drawing4.xml><?xml version="1.0" encoding="utf-8"?>
<c:userShapes xmlns:c="http://schemas.openxmlformats.org/drawingml/2006/chart">
  <cdr:relSizeAnchor xmlns:cdr="http://schemas.openxmlformats.org/drawingml/2006/chartDrawing">
    <cdr:from>
      <cdr:x>0.01692</cdr:x>
      <cdr:y>0.86721</cdr:y>
    </cdr:from>
    <cdr:to>
      <cdr:x>0.97293</cdr:x>
      <cdr:y>0.97974</cdr:y>
    </cdr:to>
    <cdr:sp macro="" textlink="">
      <cdr:nvSpPr>
        <cdr:cNvPr id="2" name="CuadroTexto 1">
          <a:extLst xmlns:a="http://schemas.openxmlformats.org/drawingml/2006/main">
            <a:ext uri="{FF2B5EF4-FFF2-40B4-BE49-F238E27FC236}">
              <a16:creationId xmlns="" xmlns:a16="http://schemas.microsoft.com/office/drawing/2014/main" id="{8CB5C484-43CA-4EC9-A7A2-106068487C42}"/>
            </a:ext>
          </a:extLst>
        </cdr:cNvPr>
        <cdr:cNvSpPr txBox="1"/>
      </cdr:nvSpPr>
      <cdr:spPr>
        <a:xfrm xmlns:a="http://schemas.openxmlformats.org/drawingml/2006/main">
          <a:off x="74028" y="2032000"/>
          <a:ext cx="4182687" cy="2636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Times New Roman" panose="02020603050405020304" pitchFamily="18" charset="0"/>
              <a:cs typeface="Times New Roman" panose="02020603050405020304" pitchFamily="18" charset="0"/>
            </a:rPr>
            <a:t>Fuente: Dirección de Análisis</a:t>
          </a:r>
          <a:r>
            <a:rPr lang="en-US" sz="800" baseline="0">
              <a:latin typeface="Times New Roman" panose="02020603050405020304" pitchFamily="18" charset="0"/>
              <a:cs typeface="Times New Roman" panose="02020603050405020304" pitchFamily="18" charset="0"/>
            </a:rPr>
            <a:t> y Política Fiscal </a:t>
          </a:r>
          <a:r>
            <a:rPr lang="en-US" sz="800">
              <a:latin typeface="Times New Roman" panose="02020603050405020304" pitchFamily="18" charset="0"/>
              <a:cs typeface="Times New Roman" panose="02020603050405020304" pitchFamily="18" charset="0"/>
            </a:rPr>
            <a:t>con información del BANGUAT.</a:t>
          </a:r>
        </a:p>
      </cdr:txBody>
    </cdr:sp>
  </cdr:relSizeAnchor>
</c:userShapes>
</file>

<file path=word/drawings/drawing5.xml><?xml version="1.0" encoding="utf-8"?>
<c:userShapes xmlns:c="http://schemas.openxmlformats.org/drawingml/2006/chart">
  <cdr:relSizeAnchor xmlns:cdr="http://schemas.openxmlformats.org/drawingml/2006/chartDrawing">
    <cdr:from>
      <cdr:x>0.02207</cdr:x>
      <cdr:y>0.85663</cdr:y>
    </cdr:from>
    <cdr:to>
      <cdr:x>0.96482</cdr:x>
      <cdr:y>1</cdr:y>
    </cdr:to>
    <cdr:sp macro="" textlink="">
      <cdr:nvSpPr>
        <cdr:cNvPr id="2" name="CuadroTexto 1">
          <a:extLst xmlns:a="http://schemas.openxmlformats.org/drawingml/2006/main">
            <a:ext uri="{FF2B5EF4-FFF2-40B4-BE49-F238E27FC236}">
              <a16:creationId xmlns="" xmlns:a16="http://schemas.microsoft.com/office/drawing/2014/main" id="{37DBFF07-D937-4DEE-9196-554A20A976AA}"/>
            </a:ext>
          </a:extLst>
        </cdr:cNvPr>
        <cdr:cNvSpPr txBox="1"/>
      </cdr:nvSpPr>
      <cdr:spPr>
        <a:xfrm xmlns:a="http://schemas.openxmlformats.org/drawingml/2006/main">
          <a:off x="100741" y="2363209"/>
          <a:ext cx="4303059" cy="3922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Times New Roman" panose="02020603050405020304" pitchFamily="18" charset="0"/>
              <a:cs typeface="Times New Roman" panose="02020603050405020304" pitchFamily="18" charset="0"/>
            </a:rPr>
            <a:t>Fuente: Dirección de Análisis y Política Fiscal con información de BANGUAT.</a:t>
          </a:r>
        </a:p>
      </cdr:txBody>
    </cdr:sp>
  </cdr:relSizeAnchor>
</c:userShapes>
</file>

<file path=word/drawings/drawing6.xml><?xml version="1.0" encoding="utf-8"?>
<c:userShapes xmlns:c="http://schemas.openxmlformats.org/drawingml/2006/chart">
  <cdr:relSizeAnchor xmlns:cdr="http://schemas.openxmlformats.org/drawingml/2006/chartDrawing">
    <cdr:from>
      <cdr:x>0.01963</cdr:x>
      <cdr:y>0.86924</cdr:y>
    </cdr:from>
    <cdr:to>
      <cdr:x>1</cdr:x>
      <cdr:y>1</cdr:y>
    </cdr:to>
    <cdr:sp macro="" textlink="">
      <cdr:nvSpPr>
        <cdr:cNvPr id="2" name="CuadroTexto 1">
          <a:extLst xmlns:a="http://schemas.openxmlformats.org/drawingml/2006/main">
            <a:ext uri="{FF2B5EF4-FFF2-40B4-BE49-F238E27FC236}">
              <a16:creationId xmlns="" xmlns:a16="http://schemas.microsoft.com/office/drawing/2014/main" id="{E8203EB1-F5E4-440B-B65F-3EE64CB6B236}"/>
            </a:ext>
          </a:extLst>
        </cdr:cNvPr>
        <cdr:cNvSpPr txBox="1"/>
      </cdr:nvSpPr>
      <cdr:spPr>
        <a:xfrm xmlns:a="http://schemas.openxmlformats.org/drawingml/2006/main">
          <a:off x="50857" y="2407135"/>
          <a:ext cx="2539943" cy="3621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Times New Roman" panose="02020603050405020304" pitchFamily="18" charset="0"/>
              <a:cs typeface="Times New Roman" panose="02020603050405020304" pitchFamily="18" charset="0"/>
            </a:rPr>
            <a:t>Fuente: Dirección de Análisis y Política Fiscal </a:t>
          </a:r>
          <a:r>
            <a:rPr lang="en-US" sz="800" baseline="0">
              <a:latin typeface="Times New Roman" panose="02020603050405020304" pitchFamily="18" charset="0"/>
              <a:cs typeface="Times New Roman" panose="02020603050405020304" pitchFamily="18" charset="0"/>
            </a:rPr>
            <a:t>con información del BANGUAT</a:t>
          </a:r>
          <a:endParaRPr lang="en-US" sz="800">
            <a:latin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0.18072</cdr:x>
      <cdr:y>0.38655</cdr:y>
    </cdr:from>
    <cdr:to>
      <cdr:x>0.89873</cdr:x>
      <cdr:y>0.59985</cdr:y>
    </cdr:to>
    <cdr:sp macro="" textlink="">
      <cdr:nvSpPr>
        <cdr:cNvPr id="2" name="Rectángulo 1">
          <a:extLst xmlns:a="http://schemas.openxmlformats.org/drawingml/2006/main">
            <a:ext uri="{FF2B5EF4-FFF2-40B4-BE49-F238E27FC236}">
              <a16:creationId xmlns="" xmlns:a16="http://schemas.microsoft.com/office/drawing/2014/main" id="{499F110E-B384-423B-ADB1-91DEFB85D64E}"/>
            </a:ext>
          </a:extLst>
        </cdr:cNvPr>
        <cdr:cNvSpPr/>
      </cdr:nvSpPr>
      <cdr:spPr>
        <a:xfrm xmlns:a="http://schemas.openxmlformats.org/drawingml/2006/main">
          <a:off x="526733" y="880719"/>
          <a:ext cx="2092747" cy="485978"/>
        </a:xfrm>
        <a:prstGeom xmlns:a="http://schemas.openxmlformats.org/drawingml/2006/main" prst="rect">
          <a:avLst/>
        </a:prstGeom>
        <a:solidFill xmlns:a="http://schemas.openxmlformats.org/drawingml/2006/main">
          <a:schemeClr val="accent1">
            <a:alpha val="12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8.xml><?xml version="1.0" encoding="utf-8"?>
<c:userShapes xmlns:c="http://schemas.openxmlformats.org/drawingml/2006/chart">
  <cdr:relSizeAnchor xmlns:cdr="http://schemas.openxmlformats.org/drawingml/2006/chartDrawing">
    <cdr:from>
      <cdr:x>0.00211</cdr:x>
      <cdr:y>0.92077</cdr:y>
    </cdr:from>
    <cdr:to>
      <cdr:x>0.34063</cdr:x>
      <cdr:y>1</cdr:y>
    </cdr:to>
    <cdr:sp macro="" textlink="">
      <cdr:nvSpPr>
        <cdr:cNvPr id="4" name="1 CuadroTexto">
          <a:extLst xmlns:a="http://schemas.openxmlformats.org/drawingml/2006/main">
            <a:ext uri="{FF2B5EF4-FFF2-40B4-BE49-F238E27FC236}">
              <a16:creationId xmlns="" xmlns:a16="http://schemas.microsoft.com/office/drawing/2014/main" id="{D284C0F9-3305-4307-9918-FBB8D915ACD6}"/>
            </a:ext>
          </a:extLst>
        </cdr:cNvPr>
        <cdr:cNvSpPr txBox="1"/>
      </cdr:nvSpPr>
      <cdr:spPr>
        <a:xfrm xmlns:a="http://schemas.openxmlformats.org/drawingml/2006/main">
          <a:off x="11102" y="2215971"/>
          <a:ext cx="1777721" cy="1906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GT" sz="800">
              <a:latin typeface="Times New Roman" panose="02020603050405020304" pitchFamily="18" charset="0"/>
              <a:cs typeface="Times New Roman" panose="02020603050405020304" pitchFamily="18" charset="0"/>
            </a:rPr>
            <a:t>Fuente: Banco</a:t>
          </a:r>
          <a:r>
            <a:rPr lang="es-GT" sz="800" baseline="0">
              <a:latin typeface="Times New Roman" panose="02020603050405020304" pitchFamily="18" charset="0"/>
              <a:cs typeface="Times New Roman" panose="02020603050405020304" pitchFamily="18" charset="0"/>
            </a:rPr>
            <a:t> de Guatemala</a:t>
          </a:r>
          <a:r>
            <a:rPr lang="es-GT" sz="800">
              <a:latin typeface="Times New Roman" panose="02020603050405020304" pitchFamily="18" charset="0"/>
              <a:cs typeface="Times New Roman" panose="02020603050405020304" pitchFamily="18" charset="0"/>
            </a:rPr>
            <a:t>.</a:t>
          </a: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0.901</cdr:y>
    </cdr:from>
    <cdr:to>
      <cdr:x>0.15875</cdr:x>
      <cdr:y>1</cdr:y>
    </cdr:to>
    <cdr:sp macro="" textlink="">
      <cdr:nvSpPr>
        <cdr:cNvPr id="2" name="Cuadro de texto 1">
          <a:extLst xmlns:a="http://schemas.openxmlformats.org/drawingml/2006/main">
            <a:ext uri="{FF2B5EF4-FFF2-40B4-BE49-F238E27FC236}">
              <a16:creationId xmlns="" xmlns:a16="http://schemas.microsoft.com/office/drawing/2014/main" id="{45E2A1A5-13E9-4590-B640-34097773E360}"/>
            </a:ext>
          </a:extLst>
        </cdr:cNvPr>
        <cdr:cNvSpPr txBox="1"/>
      </cdr:nvSpPr>
      <cdr:spPr>
        <a:xfrm xmlns:a="http://schemas.openxmlformats.org/drawingml/2006/main">
          <a:off x="0" y="1946153"/>
          <a:ext cx="914384" cy="21384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GT" sz="800">
              <a:effectLst/>
              <a:latin typeface="Times New Roman" panose="02020603050405020304" pitchFamily="18" charset="0"/>
              <a:ea typeface="+mn-ea"/>
              <a:cs typeface="Times New Roman" panose="02020603050405020304" pitchFamily="18" charset="0"/>
            </a:rPr>
            <a:t> Fuente: Dirección de Análisis y Política Fiscal con información del BANGUAT</a:t>
          </a:r>
          <a:endParaRPr lang="es-GT" sz="8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Sec16</b:Tag>
    <b:SourceType>JournalArticle</b:SourceType>
    <b:Guid>{B503CE69-BB9C-4F99-A104-3CA31E5034BC}</b:Guid>
    <b:Author>
      <b:Author>
        <b:Corporate>Secretaría Ejecutiva del Consejo Monetario Centroamericano</b:Corporate>
      </b:Author>
    </b:Author>
    <b:Title>Propuesta de actualización del índice de tipo de cambio efectivo real (ITCER)</b:Title>
    <b:JournalName>Notas Económicas Regionales</b:JournalName>
    <b:Year>2016</b:Year>
    <b:RefOrder>1</b:RefOrder>
  </b:Source>
  <b:Source>
    <b:Tag>Jul07</b:Tag>
    <b:SourceType>JournalArticle</b:SourceType>
    <b:Guid>{814BC1F0-6944-4008-B3E4-CDDAAF1F1DE3}</b:Guid>
    <b:Title>The Fan Chart; The Techinal Details Of The New Implementation</b:Title>
    <b:JournalName>Borradores de Economía No. 468</b:JournalName>
    <b:Year>2007</b:Year>
    <b:Author>
      <b:Author>
        <b:NameList>
          <b:Person>
            <b:Last>Julio</b:Last>
            <b:Middle>Manuel</b:Middle>
            <b:First>Juan</b:First>
          </b:Person>
        </b:NameList>
      </b:Author>
    </b:Author>
    <b:RefOrder>1</b:RefOrder>
  </b:Source>
</b:Sources>
</file>

<file path=customXml/itemProps1.xml><?xml version="1.0" encoding="utf-8"?>
<ds:datastoreItem xmlns:ds="http://schemas.openxmlformats.org/officeDocument/2006/customXml" ds:itemID="{0AAA36E3-F9A6-4D4F-8866-4925FC98E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65880</Words>
  <Characters>362343</Characters>
  <Application>Microsoft Office Word</Application>
  <DocSecurity>0</DocSecurity>
  <Lines>3019</Lines>
  <Paragraphs>854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427369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Raymundo Rodas Anleu</dc:creator>
  <cp:lastModifiedBy>René Augusto Castro González</cp:lastModifiedBy>
  <cp:revision>3</cp:revision>
  <cp:lastPrinted>2021-06-02T14:27:00Z</cp:lastPrinted>
  <dcterms:created xsi:type="dcterms:W3CDTF">2021-09-06T19:25:00Z</dcterms:created>
  <dcterms:modified xsi:type="dcterms:W3CDTF">2021-09-06T19:26:00Z</dcterms:modified>
</cp:coreProperties>
</file>