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01" w:rsidRDefault="001B1F01" w:rsidP="001B1F01">
      <w:pPr>
        <w:spacing w:after="0" w:line="240" w:lineRule="auto"/>
        <w:jc w:val="center"/>
        <w:rPr>
          <w:b/>
          <w:sz w:val="28"/>
          <w:szCs w:val="24"/>
        </w:rPr>
      </w:pPr>
      <w:bookmarkStart w:id="0" w:name="_GoBack"/>
      <w:bookmarkEnd w:id="0"/>
      <w:r>
        <w:rPr>
          <w:b/>
          <w:sz w:val="28"/>
          <w:szCs w:val="24"/>
        </w:rPr>
        <w:t>FICHA T</w:t>
      </w:r>
      <w:r>
        <w:rPr>
          <w:rFonts w:cstheme="minorHAnsi"/>
          <w:b/>
          <w:sz w:val="28"/>
          <w:szCs w:val="24"/>
        </w:rPr>
        <w:t>É</w:t>
      </w:r>
      <w:r w:rsidRPr="00F715E3">
        <w:rPr>
          <w:b/>
          <w:sz w:val="28"/>
          <w:szCs w:val="24"/>
        </w:rPr>
        <w:t>CNICA DE L</w:t>
      </w:r>
      <w:r>
        <w:rPr>
          <w:b/>
          <w:sz w:val="28"/>
          <w:szCs w:val="24"/>
        </w:rPr>
        <w:t>A DISCUSI</w:t>
      </w:r>
      <w:r>
        <w:rPr>
          <w:rFonts w:cstheme="minorHAnsi"/>
          <w:b/>
          <w:sz w:val="28"/>
          <w:szCs w:val="24"/>
        </w:rPr>
        <w:t>Ó</w:t>
      </w:r>
      <w:r>
        <w:rPr>
          <w:b/>
          <w:sz w:val="28"/>
          <w:szCs w:val="24"/>
        </w:rPr>
        <w:t xml:space="preserve">N “PRESUPUESTO MULTIANUAL </w:t>
      </w:r>
      <w:r w:rsidRPr="00F715E3">
        <w:rPr>
          <w:b/>
          <w:sz w:val="28"/>
          <w:szCs w:val="24"/>
        </w:rPr>
        <w:t>201</w:t>
      </w:r>
      <w:r w:rsidR="005827E1">
        <w:rPr>
          <w:b/>
          <w:sz w:val="28"/>
          <w:szCs w:val="24"/>
        </w:rPr>
        <w:t xml:space="preserve">8-2022, </w:t>
      </w:r>
      <w:r>
        <w:rPr>
          <w:b/>
          <w:sz w:val="28"/>
          <w:szCs w:val="24"/>
        </w:rPr>
        <w:t>RUTA PA</w:t>
      </w:r>
      <w:r>
        <w:rPr>
          <w:rFonts w:cstheme="minorHAnsi"/>
          <w:b/>
          <w:sz w:val="28"/>
          <w:szCs w:val="24"/>
        </w:rPr>
        <w:t>Í</w:t>
      </w:r>
      <w:r>
        <w:rPr>
          <w:b/>
          <w:sz w:val="28"/>
          <w:szCs w:val="24"/>
        </w:rPr>
        <w:t>S 5 A</w:t>
      </w:r>
      <w:r>
        <w:rPr>
          <w:rFonts w:cstheme="minorHAnsi"/>
          <w:b/>
          <w:sz w:val="28"/>
          <w:szCs w:val="24"/>
        </w:rPr>
        <w:t>Ñ</w:t>
      </w:r>
      <w:r>
        <w:rPr>
          <w:b/>
          <w:sz w:val="28"/>
          <w:szCs w:val="24"/>
        </w:rPr>
        <w:t>OS</w:t>
      </w:r>
      <w:r w:rsidRPr="00F715E3">
        <w:rPr>
          <w:b/>
          <w:sz w:val="28"/>
          <w:szCs w:val="24"/>
        </w:rPr>
        <w:t xml:space="preserve">” </w:t>
      </w:r>
    </w:p>
    <w:p w:rsidR="00906836" w:rsidRDefault="00DD00D6" w:rsidP="00906836">
      <w:pPr>
        <w:spacing w:after="0" w:line="240" w:lineRule="auto"/>
        <w:rPr>
          <w:b/>
          <w:sz w:val="28"/>
          <w:szCs w:val="24"/>
        </w:rPr>
      </w:pPr>
      <w:r>
        <w:rPr>
          <w:b/>
          <w:sz w:val="28"/>
          <w:szCs w:val="24"/>
        </w:rPr>
        <w:t>Entidad</w:t>
      </w:r>
      <w:r w:rsidR="00D235E8">
        <w:rPr>
          <w:b/>
          <w:sz w:val="28"/>
          <w:szCs w:val="24"/>
        </w:rPr>
        <w:t>:</w:t>
      </w:r>
      <w:r w:rsidR="00E94239">
        <w:rPr>
          <w:b/>
          <w:sz w:val="28"/>
          <w:szCs w:val="24"/>
        </w:rPr>
        <w:t xml:space="preserve"> MINISTERIO DE TRABAJO </w:t>
      </w:r>
      <w:r w:rsidR="0094401D">
        <w:rPr>
          <w:b/>
          <w:sz w:val="28"/>
          <w:szCs w:val="24"/>
        </w:rPr>
        <w:t>Y PREVISI</w:t>
      </w:r>
      <w:r w:rsidR="0094401D">
        <w:rPr>
          <w:rFonts w:cstheme="minorHAnsi"/>
          <w:b/>
          <w:sz w:val="28"/>
          <w:szCs w:val="24"/>
        </w:rPr>
        <w:t>Ó</w:t>
      </w:r>
      <w:r w:rsidR="0094401D">
        <w:rPr>
          <w:b/>
          <w:sz w:val="28"/>
          <w:szCs w:val="24"/>
        </w:rPr>
        <w:t>N SOCIAL</w:t>
      </w:r>
    </w:p>
    <w:p w:rsidR="00906836" w:rsidRDefault="00DD00D6" w:rsidP="00906836">
      <w:pPr>
        <w:spacing w:after="0" w:line="240" w:lineRule="auto"/>
        <w:rPr>
          <w:b/>
          <w:sz w:val="28"/>
          <w:szCs w:val="24"/>
        </w:rPr>
      </w:pPr>
      <w:r>
        <w:rPr>
          <w:b/>
          <w:sz w:val="28"/>
          <w:szCs w:val="24"/>
        </w:rPr>
        <w:t>Sector: Fecha: 01 de junio</w:t>
      </w:r>
      <w:r w:rsidR="0085279A">
        <w:rPr>
          <w:b/>
          <w:sz w:val="28"/>
          <w:szCs w:val="24"/>
        </w:rPr>
        <w:t xml:space="preserve"> de 2017</w:t>
      </w:r>
    </w:p>
    <w:p w:rsidR="002A36D8" w:rsidRDefault="002A36D8" w:rsidP="00906836">
      <w:pPr>
        <w:spacing w:after="0" w:line="240" w:lineRule="auto"/>
        <w:rPr>
          <w:b/>
          <w:sz w:val="28"/>
          <w:szCs w:val="24"/>
        </w:rPr>
      </w:pPr>
    </w:p>
    <w:tbl>
      <w:tblPr>
        <w:tblStyle w:val="Tablaconcuadrcula"/>
        <w:tblW w:w="0" w:type="auto"/>
        <w:jc w:val="center"/>
        <w:tblLook w:val="04A0" w:firstRow="1" w:lastRow="0" w:firstColumn="1" w:lastColumn="0" w:noHBand="0" w:noVBand="1"/>
      </w:tblPr>
      <w:tblGrid>
        <w:gridCol w:w="8978"/>
      </w:tblGrid>
      <w:tr w:rsidR="002A36D8" w:rsidRPr="00976D92" w:rsidTr="0094401D">
        <w:trPr>
          <w:trHeight w:val="332"/>
          <w:tblHeader/>
          <w:jc w:val="center"/>
        </w:trPr>
        <w:tc>
          <w:tcPr>
            <w:tcW w:w="8978" w:type="dxa"/>
            <w:shd w:val="clear" w:color="auto" w:fill="B8CCE4" w:themeFill="accent1" w:themeFillTint="66"/>
          </w:tcPr>
          <w:p w:rsidR="002A36D8" w:rsidRPr="00976D92" w:rsidRDefault="002A36D8" w:rsidP="00D55CD1">
            <w:pPr>
              <w:spacing w:after="0" w:line="240" w:lineRule="auto"/>
              <w:jc w:val="center"/>
              <w:rPr>
                <w:b/>
                <w:sz w:val="28"/>
                <w:szCs w:val="24"/>
              </w:rPr>
            </w:pPr>
            <w:r w:rsidRPr="00976D92">
              <w:rPr>
                <w:b/>
                <w:sz w:val="28"/>
                <w:szCs w:val="24"/>
              </w:rPr>
              <w:t>PRESENTACIONES DE APERTURA</w:t>
            </w:r>
          </w:p>
        </w:tc>
      </w:tr>
      <w:tr w:rsidR="002A36D8" w:rsidTr="002A36D8">
        <w:trPr>
          <w:trHeight w:val="450"/>
          <w:jc w:val="center"/>
        </w:trPr>
        <w:tc>
          <w:tcPr>
            <w:tcW w:w="8978" w:type="dxa"/>
          </w:tcPr>
          <w:p w:rsidR="0094401D" w:rsidRDefault="0094401D" w:rsidP="0094401D">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94401D" w:rsidRDefault="0094401D" w:rsidP="0094401D">
            <w:pPr>
              <w:spacing w:after="0"/>
              <w:jc w:val="both"/>
            </w:pPr>
          </w:p>
          <w:p w:rsidR="0094401D" w:rsidRDefault="0094401D" w:rsidP="0094401D">
            <w:pPr>
              <w:spacing w:after="0"/>
              <w:jc w:val="both"/>
            </w:pPr>
            <w:r>
              <w:t xml:space="preserve">Explicó las etapas que componen el proceso presupuestario, los plazos legales para cada una de ellas, incluyendo su integración y principales actores. </w:t>
            </w:r>
          </w:p>
          <w:p w:rsidR="0094401D" w:rsidRDefault="0094401D" w:rsidP="0094401D">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94401D" w:rsidRDefault="0094401D" w:rsidP="0094401D">
            <w:pPr>
              <w:spacing w:after="0"/>
              <w:jc w:val="both"/>
            </w:pPr>
            <w:r>
              <w:t xml:space="preserve">Señaló las acciones que ya han sido realizadas, entre ellas:  </w:t>
            </w:r>
          </w:p>
          <w:p w:rsidR="0094401D" w:rsidRPr="00DC4BCC" w:rsidRDefault="0094401D" w:rsidP="0094401D">
            <w:pPr>
              <w:numPr>
                <w:ilvl w:val="0"/>
                <w:numId w:val="7"/>
              </w:numPr>
              <w:spacing w:after="0"/>
              <w:jc w:val="both"/>
            </w:pPr>
            <w:r w:rsidRPr="003E6C78">
              <w:t xml:space="preserve">Definición de escenario macro fiscal – </w:t>
            </w:r>
            <w:r w:rsidRPr="00DC4BCC">
              <w:rPr>
                <w:bCs/>
              </w:rPr>
              <w:t xml:space="preserve">Exposición de supuestos Banguat-SAT </w:t>
            </w:r>
          </w:p>
          <w:p w:rsidR="0094401D" w:rsidRPr="00DC4BCC" w:rsidRDefault="0094401D" w:rsidP="0094401D">
            <w:pPr>
              <w:numPr>
                <w:ilvl w:val="0"/>
                <w:numId w:val="7"/>
              </w:numPr>
              <w:spacing w:after="0"/>
              <w:jc w:val="both"/>
            </w:pPr>
            <w:r w:rsidRPr="00DC4BCC">
              <w:t>Talleres de Micro simulaciones –</w:t>
            </w:r>
            <w:r w:rsidRPr="00DC4BCC">
              <w:rPr>
                <w:bCs/>
              </w:rPr>
              <w:t xml:space="preserve"> Apoyo de Cooperación Internacional</w:t>
            </w:r>
          </w:p>
          <w:p w:rsidR="0094401D" w:rsidRPr="00DC4BCC" w:rsidRDefault="0094401D" w:rsidP="0094401D">
            <w:pPr>
              <w:numPr>
                <w:ilvl w:val="0"/>
                <w:numId w:val="7"/>
              </w:numPr>
              <w:spacing w:after="0"/>
              <w:jc w:val="both"/>
            </w:pPr>
            <w:r w:rsidRPr="00DC4BCC">
              <w:t xml:space="preserve">Talleres Sectoriales con Expertos – </w:t>
            </w:r>
            <w:r w:rsidRPr="00DC4BCC">
              <w:rPr>
                <w:bCs/>
              </w:rPr>
              <w:t xml:space="preserve">Diagnóstico de seis sectores priorizados </w:t>
            </w:r>
          </w:p>
          <w:p w:rsidR="0094401D" w:rsidRDefault="0094401D" w:rsidP="0094401D">
            <w:pPr>
              <w:spacing w:after="0"/>
              <w:jc w:val="both"/>
            </w:pPr>
          </w:p>
          <w:p w:rsidR="0094401D" w:rsidRPr="005610B6" w:rsidRDefault="0094401D" w:rsidP="0094401D">
            <w:pPr>
              <w:spacing w:after="0"/>
              <w:jc w:val="both"/>
              <w:rPr>
                <w:sz w:val="4"/>
              </w:rPr>
            </w:pPr>
            <w:r>
              <w:t xml:space="preserve">Actualmente se están realizando los talleres de presupuesto abierto 2018 como insumo  para la definición de los techos presupuestarios. </w:t>
            </w:r>
          </w:p>
          <w:p w:rsidR="0094401D" w:rsidRDefault="0094401D" w:rsidP="0094401D">
            <w:pPr>
              <w:spacing w:after="0"/>
              <w:jc w:val="both"/>
            </w:pPr>
          </w:p>
          <w:p w:rsidR="0094401D" w:rsidRPr="005610B6" w:rsidRDefault="0094401D" w:rsidP="0094401D">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94401D" w:rsidRDefault="0094401D" w:rsidP="0094401D">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94401D" w:rsidRPr="005610B6" w:rsidRDefault="0094401D" w:rsidP="0094401D">
            <w:pPr>
              <w:spacing w:after="0"/>
              <w:jc w:val="both"/>
              <w:rPr>
                <w:sz w:val="2"/>
              </w:rPr>
            </w:pPr>
          </w:p>
          <w:p w:rsidR="0094401D" w:rsidRDefault="0094401D" w:rsidP="0094401D">
            <w:pPr>
              <w:spacing w:after="0"/>
              <w:jc w:val="both"/>
              <w:rPr>
                <w:lang w:val="es-ES"/>
              </w:rPr>
            </w:pPr>
          </w:p>
          <w:p w:rsidR="0094401D" w:rsidRDefault="0094401D" w:rsidP="0094401D">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94401D" w:rsidRDefault="0094401D" w:rsidP="0094401D">
            <w:pPr>
              <w:spacing w:after="0"/>
              <w:jc w:val="both"/>
              <w:rPr>
                <w:lang w:val="es-ES"/>
              </w:rPr>
            </w:pPr>
          </w:p>
          <w:p w:rsidR="0094401D" w:rsidRDefault="0094401D" w:rsidP="0094401D">
            <w:pPr>
              <w:spacing w:after="0"/>
              <w:jc w:val="both"/>
              <w:rPr>
                <w:lang w:val="es-ES"/>
              </w:rPr>
            </w:pPr>
            <w:r>
              <w:rPr>
                <w:lang w:val="es-ES"/>
              </w:rPr>
              <w:lastRenderedPageBreak/>
              <w:t xml:space="preserve">En función del ejercicio multianual, se tiene la siguiente gráfica de proyección de presupuesto así como los montos proyectados de recaudación y el Déficit porcentual del PIB del 2018- 2022. </w:t>
            </w:r>
          </w:p>
          <w:p w:rsidR="0094401D" w:rsidRDefault="0094401D" w:rsidP="0094401D">
            <w:pPr>
              <w:spacing w:after="0"/>
              <w:jc w:val="center"/>
              <w:rPr>
                <w:lang w:val="es-ES"/>
              </w:rPr>
            </w:pPr>
          </w:p>
          <w:p w:rsidR="0094401D" w:rsidRDefault="0094401D" w:rsidP="0094401D">
            <w:pPr>
              <w:spacing w:after="0"/>
              <w:jc w:val="center"/>
              <w:rPr>
                <w:lang w:val="es-ES"/>
              </w:rPr>
            </w:pPr>
          </w:p>
          <w:p w:rsidR="0094401D" w:rsidRDefault="0094401D" w:rsidP="0094401D">
            <w:pPr>
              <w:spacing w:after="0"/>
              <w:jc w:val="center"/>
              <w:rPr>
                <w:lang w:val="es-ES"/>
              </w:rPr>
            </w:pPr>
          </w:p>
          <w:p w:rsidR="0094401D" w:rsidRDefault="0094401D" w:rsidP="0094401D">
            <w:pPr>
              <w:spacing w:after="0"/>
              <w:jc w:val="center"/>
              <w:rPr>
                <w:lang w:val="es-ES"/>
              </w:rPr>
            </w:pPr>
          </w:p>
          <w:p w:rsidR="0094401D" w:rsidRDefault="0094401D" w:rsidP="0094401D">
            <w:pPr>
              <w:spacing w:after="0"/>
              <w:jc w:val="center"/>
              <w:rPr>
                <w:lang w:val="es-ES"/>
              </w:rPr>
            </w:pPr>
            <w:r>
              <w:rPr>
                <w:lang w:val="es-ES"/>
              </w:rPr>
              <w:t xml:space="preserve">Gráfica No. 1 </w:t>
            </w:r>
          </w:p>
          <w:p w:rsidR="0094401D" w:rsidRDefault="0094401D" w:rsidP="0094401D">
            <w:pPr>
              <w:spacing w:after="0"/>
              <w:jc w:val="center"/>
            </w:pPr>
            <w:r>
              <w:rPr>
                <w:noProof/>
                <w:lang w:eastAsia="es-GT"/>
              </w:rPr>
              <w:drawing>
                <wp:inline distT="0" distB="0" distL="0" distR="0" wp14:anchorId="5B515DDA" wp14:editId="5B8A55AD">
                  <wp:extent cx="5082363" cy="197765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94401D" w:rsidRDefault="0094401D" w:rsidP="0094401D">
            <w:pPr>
              <w:jc w:val="right"/>
            </w:pPr>
            <w:r>
              <w:t>Fuente: Presentación del señor Ministro de Finanzas Públicas</w:t>
            </w:r>
          </w:p>
          <w:p w:rsidR="0094401D" w:rsidRDefault="0094401D" w:rsidP="0094401D">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94401D" w:rsidRPr="005610B6" w:rsidRDefault="0094401D" w:rsidP="0094401D">
            <w:pPr>
              <w:spacing w:after="0"/>
              <w:jc w:val="both"/>
              <w:rPr>
                <w:sz w:val="6"/>
              </w:rPr>
            </w:pPr>
          </w:p>
          <w:p w:rsidR="0094401D" w:rsidRDefault="0094401D" w:rsidP="0094401D">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w:t>
            </w:r>
            <w:r w:rsidRPr="007B736B">
              <w:t xml:space="preserve"> entre los que </w:t>
            </w:r>
            <w:r>
              <w:t>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DD00D6" w:rsidRDefault="0094401D" w:rsidP="0094401D">
            <w:pPr>
              <w:spacing w:after="0"/>
            </w:pPr>
            <w:r>
              <w:t>Se busca mejorar la calidad del gasto, la racionalidad y la transparencia, el presupuesto es la expresión de los planes.</w:t>
            </w:r>
          </w:p>
        </w:tc>
      </w:tr>
    </w:tbl>
    <w:p w:rsidR="002A36D8" w:rsidRPr="00976D92"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76D92" w:rsidTr="0094401D">
        <w:trPr>
          <w:trHeight w:val="332"/>
          <w:tblHeader/>
          <w:jc w:val="center"/>
        </w:trPr>
        <w:tc>
          <w:tcPr>
            <w:tcW w:w="8978" w:type="dxa"/>
            <w:shd w:val="clear" w:color="auto" w:fill="B8CCE4" w:themeFill="accent1" w:themeFillTint="66"/>
          </w:tcPr>
          <w:p w:rsidR="002A36D8" w:rsidRPr="00976D92" w:rsidRDefault="00976D92" w:rsidP="00E94239">
            <w:pPr>
              <w:spacing w:after="0" w:line="240" w:lineRule="auto"/>
              <w:jc w:val="center"/>
              <w:rPr>
                <w:b/>
                <w:sz w:val="28"/>
                <w:szCs w:val="24"/>
              </w:rPr>
            </w:pPr>
            <w:r w:rsidRPr="00976D92">
              <w:rPr>
                <w:b/>
                <w:sz w:val="28"/>
                <w:szCs w:val="24"/>
              </w:rPr>
              <w:t xml:space="preserve">PRESENTACIÓN </w:t>
            </w:r>
            <w:r w:rsidR="002A36D8" w:rsidRPr="00976D92">
              <w:rPr>
                <w:b/>
                <w:sz w:val="28"/>
                <w:szCs w:val="24"/>
              </w:rPr>
              <w:t xml:space="preserve">DEL MINISTERIO DE </w:t>
            </w:r>
            <w:r w:rsidR="00E94239" w:rsidRPr="00976D92">
              <w:rPr>
                <w:b/>
                <w:sz w:val="28"/>
                <w:szCs w:val="24"/>
              </w:rPr>
              <w:t>TRABAJO</w:t>
            </w:r>
            <w:r w:rsidR="00BA3A30" w:rsidRPr="00976D92">
              <w:rPr>
                <w:b/>
                <w:sz w:val="28"/>
                <w:szCs w:val="24"/>
              </w:rPr>
              <w:t xml:space="preserve"> Y PREVISIÓN SOCIAL </w:t>
            </w:r>
          </w:p>
        </w:tc>
      </w:tr>
      <w:tr w:rsidR="002A36D8" w:rsidTr="00D55CD1">
        <w:trPr>
          <w:trHeight w:val="450"/>
          <w:jc w:val="center"/>
        </w:trPr>
        <w:tc>
          <w:tcPr>
            <w:tcW w:w="8978" w:type="dxa"/>
          </w:tcPr>
          <w:p w:rsidR="0094401D" w:rsidRDefault="0094401D" w:rsidP="00976D92">
            <w:pPr>
              <w:spacing w:after="0"/>
              <w:jc w:val="both"/>
            </w:pPr>
            <w:r>
              <w:t>La señora Ministra de Trabajo y Previsión Social Leticia Teleguario  presentó</w:t>
            </w:r>
            <w:r w:rsidR="00666545">
              <w:t xml:space="preserve"> la</w:t>
            </w:r>
            <w:r w:rsidR="002826EF">
              <w:t xml:space="preserve"> visión y la misión de la institución, el presupuesto histórico</w:t>
            </w:r>
            <w:r w:rsidR="000F33DD">
              <w:t xml:space="preserve">,  el presupuesto promedio y la distribución del presupuesto actual. </w:t>
            </w:r>
          </w:p>
          <w:p w:rsidR="00C15FCD" w:rsidRDefault="000F33DD" w:rsidP="00976D92">
            <w:pPr>
              <w:spacing w:after="0"/>
              <w:jc w:val="both"/>
            </w:pPr>
            <w:r>
              <w:t xml:space="preserve">Compartió </w:t>
            </w:r>
            <w:r w:rsidR="00C15FCD">
              <w:t xml:space="preserve"> los logros</w:t>
            </w:r>
            <w:r>
              <w:t xml:space="preserve"> de la institución</w:t>
            </w:r>
            <w:r w:rsidR="00C15FCD">
              <w:t xml:space="preserve">, se </w:t>
            </w:r>
            <w:r>
              <w:t>logró</w:t>
            </w:r>
            <w:r w:rsidR="00C15FCD">
              <w:t xml:space="preserve"> colocar 12, 695 personas en las diferentes ferias</w:t>
            </w:r>
            <w:r>
              <w:t xml:space="preserve"> de trabajo que se realizaron</w:t>
            </w:r>
            <w:r w:rsidR="00C15FCD">
              <w:t xml:space="preserve">. </w:t>
            </w:r>
          </w:p>
          <w:p w:rsidR="00C15FCD" w:rsidRDefault="00C15FCD" w:rsidP="00976D92">
            <w:pPr>
              <w:spacing w:after="0"/>
              <w:jc w:val="both"/>
            </w:pPr>
            <w:r>
              <w:t xml:space="preserve">Se instalaron 14 ventanillas únicas principalmente con alianzas, </w:t>
            </w:r>
            <w:r w:rsidR="000F33DD">
              <w:t xml:space="preserve">que </w:t>
            </w:r>
            <w:r>
              <w:t xml:space="preserve">impactan en el condicionamiento de </w:t>
            </w:r>
            <w:r w:rsidR="000F33DD">
              <w:t>servicio</w:t>
            </w:r>
            <w:r>
              <w:t xml:space="preserve"> soc</w:t>
            </w:r>
            <w:r w:rsidR="000F33DD">
              <w:t>ial, a</w:t>
            </w:r>
            <w:r>
              <w:t xml:space="preserve">dicional a ello es importante </w:t>
            </w:r>
            <w:r w:rsidR="000F33DD">
              <w:t>mencionar</w:t>
            </w:r>
            <w:r>
              <w:t xml:space="preserve"> que </w:t>
            </w:r>
            <w:r w:rsidR="00195E13">
              <w:t>están</w:t>
            </w:r>
            <w:r w:rsidR="000F33DD">
              <w:t xml:space="preserve"> </w:t>
            </w:r>
            <w:r w:rsidR="000F33DD">
              <w:lastRenderedPageBreak/>
              <w:t xml:space="preserve">buscando tener </w:t>
            </w:r>
            <w:r>
              <w:t xml:space="preserve">una participación </w:t>
            </w:r>
            <w:r w:rsidR="000F33DD">
              <w:t>más</w:t>
            </w:r>
            <w:r>
              <w:t xml:space="preserve"> representativa en los </w:t>
            </w:r>
            <w:r w:rsidR="000F33DD">
              <w:t>departamentos</w:t>
            </w:r>
            <w:r>
              <w:t xml:space="preserve">. </w:t>
            </w:r>
          </w:p>
          <w:p w:rsidR="00C15FCD" w:rsidRDefault="00C15FCD" w:rsidP="00976D92">
            <w:pPr>
              <w:spacing w:after="0"/>
              <w:jc w:val="both"/>
            </w:pPr>
            <w:r>
              <w:t>Se ha creado la unidad de probidad y transparencia con el objet</w:t>
            </w:r>
            <w:r w:rsidR="00195E13">
              <w:t xml:space="preserve">ivo del fortalecimiento institucional. </w:t>
            </w:r>
          </w:p>
          <w:p w:rsidR="00C15FCD" w:rsidRDefault="00C15FCD" w:rsidP="00976D92">
            <w:pPr>
              <w:spacing w:after="0"/>
              <w:jc w:val="both"/>
            </w:pPr>
            <w:r>
              <w:t xml:space="preserve">En cuanto al fomento de la legalidad se </w:t>
            </w:r>
            <w:r w:rsidR="00195E13">
              <w:t>atendió</w:t>
            </w:r>
            <w:r>
              <w:t xml:space="preserve"> al 3</w:t>
            </w:r>
            <w:r w:rsidR="00195E13">
              <w:t>,</w:t>
            </w:r>
            <w:r>
              <w:t xml:space="preserve">500 trabajadores, se dio </w:t>
            </w:r>
            <w:r w:rsidR="00195E13">
              <w:t>acompañamiento</w:t>
            </w:r>
            <w:r>
              <w:t xml:space="preserve"> logrando sentencias favorables para la población guatemalteca. </w:t>
            </w:r>
          </w:p>
          <w:p w:rsidR="00C15FCD" w:rsidRDefault="00195E13" w:rsidP="00976D92">
            <w:pPr>
              <w:spacing w:after="0"/>
              <w:jc w:val="both"/>
            </w:pPr>
            <w:r>
              <w:t xml:space="preserve">Se pretende </w:t>
            </w:r>
            <w:r w:rsidR="00C15FCD">
              <w:t xml:space="preserve"> </w:t>
            </w:r>
            <w:r>
              <w:t>erradicar</w:t>
            </w:r>
            <w:r w:rsidR="00C15FCD">
              <w:t xml:space="preserve"> </w:t>
            </w:r>
            <w:r>
              <w:t>el trabajo infantil en el país, además se formuló</w:t>
            </w:r>
            <w:r w:rsidR="00C15FCD">
              <w:t xml:space="preserve"> la estrategia nacional para la promoción de</w:t>
            </w:r>
            <w:r w:rsidR="00976D92">
              <w:t xml:space="preserve"> trabajo decente, que se incluyó en la P</w:t>
            </w:r>
            <w:r w:rsidR="00C15FCD">
              <w:t xml:space="preserve">olítica </w:t>
            </w:r>
            <w:r w:rsidR="00976D92">
              <w:t>Nacional del Empleo D</w:t>
            </w:r>
            <w:r w:rsidR="00C15FCD">
              <w:t xml:space="preserve">igno, se </w:t>
            </w:r>
            <w:r>
              <w:t>construyó</w:t>
            </w:r>
            <w:r w:rsidR="00C15FCD">
              <w:t xml:space="preserve"> participativamente mediante el dial</w:t>
            </w:r>
            <w:r w:rsidR="00976D92">
              <w:t>ogo con los diferentes actores, un</w:t>
            </w:r>
            <w:r w:rsidR="00C15FCD">
              <w:t xml:space="preserve"> dialogo tripartito, los trabajadores, los empleadores y el estado. </w:t>
            </w:r>
          </w:p>
          <w:p w:rsidR="003F2378" w:rsidRDefault="00976D92" w:rsidP="00976D92">
            <w:pPr>
              <w:spacing w:after="0"/>
              <w:jc w:val="both"/>
            </w:pPr>
            <w:r>
              <w:t>Una de las metas es f</w:t>
            </w:r>
            <w:r w:rsidR="003F2378">
              <w:t xml:space="preserve">acilitar los procesos de inscripción de nuevas empresas y lograr </w:t>
            </w:r>
            <w:r>
              <w:t xml:space="preserve"> t</w:t>
            </w:r>
            <w:r w:rsidR="003F2378">
              <w:t>rabajo digno mediante crecimiento económico, con énfasis en la</w:t>
            </w:r>
            <w:r w:rsidR="00195E13">
              <w:t xml:space="preserve"> niñez, adolescencia, pueblos. </w:t>
            </w:r>
          </w:p>
          <w:p w:rsidR="003F2378" w:rsidRDefault="00195E13" w:rsidP="00976D92">
            <w:pPr>
              <w:spacing w:after="0"/>
              <w:jc w:val="both"/>
            </w:pPr>
            <w:r>
              <w:t>El</w:t>
            </w:r>
            <w:r w:rsidR="003F2378">
              <w:t xml:space="preserve"> fin es promover que todos y todas la</w:t>
            </w:r>
            <w:r w:rsidR="00976D92">
              <w:t>s</w:t>
            </w:r>
            <w:r w:rsidR="003F2378">
              <w:t xml:space="preserve"> guatemaltecas tengan </w:t>
            </w:r>
            <w:r>
              <w:t>más</w:t>
            </w:r>
            <w:r w:rsidR="00976D92">
              <w:t xml:space="preserve"> y nuevos empleos formales. </w:t>
            </w:r>
          </w:p>
          <w:p w:rsidR="003F2378" w:rsidRDefault="00195E13" w:rsidP="00976D92">
            <w:pPr>
              <w:spacing w:after="0"/>
              <w:jc w:val="both"/>
            </w:pPr>
            <w:r>
              <w:t xml:space="preserve">Presentó las necesidades multianuales del Ministerio de Trabajo, la información presentada sirvió de base para la tabla y gráfica a continuación. </w:t>
            </w:r>
          </w:p>
        </w:tc>
      </w:tr>
    </w:tbl>
    <w:p w:rsidR="00D30D8E" w:rsidRPr="00976D92" w:rsidRDefault="00D30D8E" w:rsidP="004C6DE1">
      <w:pPr>
        <w:pStyle w:val="Prrafodelista"/>
        <w:numPr>
          <w:ilvl w:val="0"/>
          <w:numId w:val="4"/>
        </w:numPr>
        <w:spacing w:after="0" w:line="240" w:lineRule="auto"/>
        <w:rPr>
          <w:b/>
          <w:sz w:val="24"/>
          <w:szCs w:val="24"/>
        </w:rPr>
      </w:pPr>
      <w:r w:rsidRPr="00976D92">
        <w:rPr>
          <w:b/>
          <w:sz w:val="24"/>
          <w:szCs w:val="24"/>
        </w:rPr>
        <w:lastRenderedPageBreak/>
        <w:t>PRESUPUESTO ACTUAL Y PROYECTAD</w:t>
      </w:r>
      <w:r w:rsidR="00BA3A30" w:rsidRPr="00976D92">
        <w:rPr>
          <w:b/>
          <w:sz w:val="24"/>
          <w:szCs w:val="24"/>
        </w:rPr>
        <w:t xml:space="preserve">O DEL MINISTERIO DE TRABAJO Y PREVISIÓN SOCIAL </w:t>
      </w:r>
    </w:p>
    <w:tbl>
      <w:tblPr>
        <w:tblStyle w:val="Tablaconcuadrcula"/>
        <w:tblW w:w="0" w:type="auto"/>
        <w:jc w:val="center"/>
        <w:tblLook w:val="04A0" w:firstRow="1" w:lastRow="0" w:firstColumn="1" w:lastColumn="0" w:noHBand="0" w:noVBand="1"/>
      </w:tblPr>
      <w:tblGrid>
        <w:gridCol w:w="1290"/>
        <w:gridCol w:w="1294"/>
        <w:gridCol w:w="1294"/>
        <w:gridCol w:w="1294"/>
        <w:gridCol w:w="1294"/>
        <w:gridCol w:w="1294"/>
        <w:gridCol w:w="1294"/>
      </w:tblGrid>
      <w:tr w:rsidR="00CE5D33" w:rsidRPr="00CE5D33" w:rsidTr="00CE5D33">
        <w:trPr>
          <w:jc w:val="center"/>
        </w:trPr>
        <w:tc>
          <w:tcPr>
            <w:tcW w:w="1809" w:type="dxa"/>
            <w:shd w:val="clear" w:color="auto" w:fill="B8CCE4" w:themeFill="accent1" w:themeFillTint="66"/>
            <w:vAlign w:val="center"/>
          </w:tcPr>
          <w:p w:rsidR="003D2E02" w:rsidRPr="00CE5D33" w:rsidRDefault="003D2E02" w:rsidP="00CE5D33">
            <w:pPr>
              <w:spacing w:after="0" w:line="240" w:lineRule="auto"/>
              <w:jc w:val="center"/>
              <w:rPr>
                <w:b/>
                <w:sz w:val="18"/>
                <w:szCs w:val="24"/>
              </w:rPr>
            </w:pPr>
            <w:r w:rsidRPr="00CE5D33">
              <w:rPr>
                <w:b/>
                <w:sz w:val="18"/>
                <w:szCs w:val="24"/>
              </w:rPr>
              <w:t>Año</w:t>
            </w:r>
          </w:p>
        </w:tc>
        <w:tc>
          <w:tcPr>
            <w:tcW w:w="1091" w:type="dxa"/>
            <w:shd w:val="clear" w:color="auto" w:fill="B8CCE4" w:themeFill="accent1" w:themeFillTint="66"/>
            <w:vAlign w:val="center"/>
          </w:tcPr>
          <w:p w:rsidR="003D2E02" w:rsidRPr="00CE5D33" w:rsidRDefault="003D2E02" w:rsidP="00CE5D33">
            <w:pPr>
              <w:spacing w:after="0" w:line="240" w:lineRule="auto"/>
              <w:jc w:val="center"/>
              <w:rPr>
                <w:b/>
                <w:sz w:val="18"/>
                <w:szCs w:val="24"/>
              </w:rPr>
            </w:pPr>
            <w:r w:rsidRPr="00CE5D33">
              <w:rPr>
                <w:b/>
                <w:sz w:val="18"/>
                <w:szCs w:val="24"/>
              </w:rPr>
              <w:t>2017</w:t>
            </w:r>
          </w:p>
        </w:tc>
        <w:tc>
          <w:tcPr>
            <w:tcW w:w="1230" w:type="dxa"/>
            <w:shd w:val="clear" w:color="auto" w:fill="B8CCE4" w:themeFill="accent1" w:themeFillTint="66"/>
            <w:vAlign w:val="center"/>
          </w:tcPr>
          <w:p w:rsidR="003D2E02" w:rsidRPr="00CE5D33" w:rsidRDefault="003D2E02" w:rsidP="00CE5D33">
            <w:pPr>
              <w:spacing w:after="0" w:line="240" w:lineRule="auto"/>
              <w:jc w:val="center"/>
              <w:rPr>
                <w:b/>
                <w:sz w:val="18"/>
                <w:szCs w:val="24"/>
              </w:rPr>
            </w:pPr>
            <w:r w:rsidRPr="00CE5D33">
              <w:rPr>
                <w:b/>
                <w:sz w:val="18"/>
                <w:szCs w:val="24"/>
              </w:rPr>
              <w:t>2018</w:t>
            </w:r>
          </w:p>
        </w:tc>
        <w:tc>
          <w:tcPr>
            <w:tcW w:w="1231" w:type="dxa"/>
            <w:shd w:val="clear" w:color="auto" w:fill="B8CCE4" w:themeFill="accent1" w:themeFillTint="66"/>
            <w:vAlign w:val="center"/>
          </w:tcPr>
          <w:p w:rsidR="003D2E02" w:rsidRPr="00CE5D33" w:rsidRDefault="003D2E02" w:rsidP="00CE5D33">
            <w:pPr>
              <w:spacing w:after="0" w:line="240" w:lineRule="auto"/>
              <w:jc w:val="center"/>
              <w:rPr>
                <w:b/>
                <w:sz w:val="18"/>
                <w:szCs w:val="24"/>
              </w:rPr>
            </w:pPr>
            <w:r w:rsidRPr="00CE5D33">
              <w:rPr>
                <w:b/>
                <w:sz w:val="18"/>
                <w:szCs w:val="24"/>
              </w:rPr>
              <w:t>2019</w:t>
            </w:r>
          </w:p>
        </w:tc>
        <w:tc>
          <w:tcPr>
            <w:tcW w:w="1231" w:type="dxa"/>
            <w:shd w:val="clear" w:color="auto" w:fill="B8CCE4" w:themeFill="accent1" w:themeFillTint="66"/>
            <w:vAlign w:val="center"/>
          </w:tcPr>
          <w:p w:rsidR="003D2E02" w:rsidRPr="00CE5D33" w:rsidRDefault="003D2E02" w:rsidP="00CE5D33">
            <w:pPr>
              <w:spacing w:after="0" w:line="240" w:lineRule="auto"/>
              <w:jc w:val="center"/>
              <w:rPr>
                <w:b/>
                <w:sz w:val="18"/>
                <w:szCs w:val="24"/>
              </w:rPr>
            </w:pPr>
            <w:r w:rsidRPr="00CE5D33">
              <w:rPr>
                <w:b/>
                <w:sz w:val="18"/>
                <w:szCs w:val="24"/>
              </w:rPr>
              <w:t>2020</w:t>
            </w:r>
          </w:p>
        </w:tc>
        <w:tc>
          <w:tcPr>
            <w:tcW w:w="1231" w:type="dxa"/>
            <w:shd w:val="clear" w:color="auto" w:fill="B8CCE4" w:themeFill="accent1" w:themeFillTint="66"/>
            <w:vAlign w:val="center"/>
          </w:tcPr>
          <w:p w:rsidR="003D2E02" w:rsidRPr="00CE5D33" w:rsidRDefault="003D2E02" w:rsidP="00CE5D33">
            <w:pPr>
              <w:spacing w:after="0" w:line="240" w:lineRule="auto"/>
              <w:jc w:val="center"/>
              <w:rPr>
                <w:b/>
                <w:sz w:val="18"/>
                <w:szCs w:val="24"/>
              </w:rPr>
            </w:pPr>
            <w:r w:rsidRPr="00CE5D33">
              <w:rPr>
                <w:b/>
                <w:sz w:val="18"/>
                <w:szCs w:val="24"/>
              </w:rPr>
              <w:t>2021</w:t>
            </w:r>
          </w:p>
        </w:tc>
        <w:tc>
          <w:tcPr>
            <w:tcW w:w="1231" w:type="dxa"/>
            <w:shd w:val="clear" w:color="auto" w:fill="B8CCE4" w:themeFill="accent1" w:themeFillTint="66"/>
            <w:vAlign w:val="center"/>
          </w:tcPr>
          <w:p w:rsidR="003D2E02" w:rsidRPr="00CE5D33" w:rsidRDefault="003D2E02" w:rsidP="00CE5D33">
            <w:pPr>
              <w:spacing w:after="0" w:line="240" w:lineRule="auto"/>
              <w:jc w:val="center"/>
              <w:rPr>
                <w:b/>
                <w:sz w:val="18"/>
                <w:szCs w:val="24"/>
              </w:rPr>
            </w:pPr>
            <w:r w:rsidRPr="00CE5D33">
              <w:rPr>
                <w:b/>
                <w:sz w:val="18"/>
                <w:szCs w:val="24"/>
              </w:rPr>
              <w:t>2022</w:t>
            </w:r>
          </w:p>
        </w:tc>
      </w:tr>
      <w:tr w:rsidR="00CE5D33" w:rsidRPr="00CE5D33" w:rsidTr="00CE5D33">
        <w:trPr>
          <w:trHeight w:val="306"/>
          <w:jc w:val="center"/>
        </w:trPr>
        <w:tc>
          <w:tcPr>
            <w:tcW w:w="1809" w:type="dxa"/>
            <w:shd w:val="clear" w:color="auto" w:fill="B8CCE4" w:themeFill="accent1" w:themeFillTint="66"/>
            <w:vAlign w:val="center"/>
          </w:tcPr>
          <w:p w:rsidR="00CE5D33" w:rsidRPr="00CE5D33" w:rsidRDefault="00CE5D33" w:rsidP="00CE5D33">
            <w:pPr>
              <w:spacing w:after="0" w:line="240" w:lineRule="auto"/>
              <w:jc w:val="center"/>
              <w:rPr>
                <w:b/>
                <w:sz w:val="18"/>
                <w:szCs w:val="24"/>
              </w:rPr>
            </w:pPr>
            <w:r w:rsidRPr="00CE5D33">
              <w:rPr>
                <w:b/>
                <w:sz w:val="18"/>
                <w:szCs w:val="24"/>
              </w:rPr>
              <w:t>Presupuesto</w:t>
            </w:r>
          </w:p>
          <w:p w:rsidR="00CE5D33" w:rsidRPr="00CE5D33" w:rsidRDefault="00CE5D33" w:rsidP="00CE5D33">
            <w:pPr>
              <w:spacing w:after="0" w:line="240" w:lineRule="auto"/>
              <w:jc w:val="center"/>
              <w:rPr>
                <w:b/>
                <w:sz w:val="18"/>
                <w:szCs w:val="24"/>
              </w:rPr>
            </w:pPr>
            <w:r w:rsidRPr="00CE5D33">
              <w:rPr>
                <w:b/>
                <w:sz w:val="18"/>
                <w:szCs w:val="24"/>
              </w:rPr>
              <w:t>en quetzales</w:t>
            </w:r>
          </w:p>
        </w:tc>
        <w:tc>
          <w:tcPr>
            <w:tcW w:w="1091" w:type="dxa"/>
            <w:vAlign w:val="center"/>
          </w:tcPr>
          <w:p w:rsidR="00CE5D33" w:rsidRPr="00CE5D33" w:rsidRDefault="00CE5D33" w:rsidP="00CE5D33">
            <w:pPr>
              <w:jc w:val="center"/>
              <w:rPr>
                <w:rFonts w:ascii="Calibri" w:hAnsi="Calibri"/>
                <w:color w:val="000000"/>
                <w:sz w:val="18"/>
              </w:rPr>
            </w:pPr>
            <w:r w:rsidRPr="00CE5D33">
              <w:rPr>
                <w:rFonts w:ascii="Calibri" w:hAnsi="Calibri"/>
                <w:color w:val="000000"/>
                <w:sz w:val="18"/>
              </w:rPr>
              <w:t xml:space="preserve">                             Q.664,000,000</w:t>
            </w:r>
          </w:p>
        </w:tc>
        <w:tc>
          <w:tcPr>
            <w:tcW w:w="1230" w:type="dxa"/>
            <w:vAlign w:val="center"/>
          </w:tcPr>
          <w:p w:rsidR="00CE5D33" w:rsidRPr="00CE5D33" w:rsidRDefault="00CE5D33" w:rsidP="00CE5D33">
            <w:pPr>
              <w:rPr>
                <w:rFonts w:ascii="Calibri" w:hAnsi="Calibri"/>
                <w:color w:val="000000"/>
                <w:sz w:val="18"/>
              </w:rPr>
            </w:pPr>
            <w:r w:rsidRPr="00CE5D33">
              <w:rPr>
                <w:rFonts w:ascii="Calibri" w:hAnsi="Calibri"/>
                <w:color w:val="000000"/>
                <w:sz w:val="18"/>
              </w:rPr>
              <w:t xml:space="preserve">            Q.614,325,252</w:t>
            </w:r>
          </w:p>
        </w:tc>
        <w:tc>
          <w:tcPr>
            <w:tcW w:w="1231" w:type="dxa"/>
            <w:vAlign w:val="center"/>
          </w:tcPr>
          <w:p w:rsidR="00CE5D33" w:rsidRPr="00CE5D33" w:rsidRDefault="00CE5D33" w:rsidP="00CE5D33">
            <w:pPr>
              <w:rPr>
                <w:rFonts w:ascii="Calibri" w:hAnsi="Calibri"/>
                <w:color w:val="000000"/>
                <w:sz w:val="18"/>
              </w:rPr>
            </w:pPr>
            <w:r w:rsidRPr="00CE5D33">
              <w:rPr>
                <w:rFonts w:ascii="Calibri" w:hAnsi="Calibri"/>
                <w:color w:val="000000"/>
                <w:sz w:val="18"/>
              </w:rPr>
              <w:t xml:space="preserve">       Q.485,068,247</w:t>
            </w:r>
          </w:p>
        </w:tc>
        <w:tc>
          <w:tcPr>
            <w:tcW w:w="1231" w:type="dxa"/>
            <w:vAlign w:val="center"/>
          </w:tcPr>
          <w:p w:rsidR="00CE5D33" w:rsidRPr="00CE5D33" w:rsidRDefault="00CE5D33" w:rsidP="00CE5D33">
            <w:pPr>
              <w:rPr>
                <w:rFonts w:ascii="Calibri" w:hAnsi="Calibri"/>
                <w:color w:val="000000"/>
                <w:sz w:val="18"/>
              </w:rPr>
            </w:pPr>
            <w:r w:rsidRPr="00CE5D33">
              <w:rPr>
                <w:rFonts w:ascii="Calibri" w:hAnsi="Calibri"/>
                <w:color w:val="000000"/>
                <w:sz w:val="18"/>
              </w:rPr>
              <w:t xml:space="preserve"> Q.494,666,663</w:t>
            </w:r>
          </w:p>
        </w:tc>
        <w:tc>
          <w:tcPr>
            <w:tcW w:w="1231" w:type="dxa"/>
            <w:vAlign w:val="center"/>
          </w:tcPr>
          <w:p w:rsidR="00CE5D33" w:rsidRPr="00CE5D33" w:rsidRDefault="00CE5D33" w:rsidP="00CE5D33">
            <w:pPr>
              <w:rPr>
                <w:rFonts w:ascii="Calibri" w:hAnsi="Calibri"/>
                <w:color w:val="000000"/>
                <w:sz w:val="18"/>
              </w:rPr>
            </w:pPr>
            <w:r w:rsidRPr="00CE5D33">
              <w:rPr>
                <w:rFonts w:ascii="Calibri" w:hAnsi="Calibri"/>
                <w:color w:val="000000"/>
                <w:sz w:val="18"/>
              </w:rPr>
              <w:t xml:space="preserve">    Q.519,362,712</w:t>
            </w:r>
          </w:p>
        </w:tc>
        <w:tc>
          <w:tcPr>
            <w:tcW w:w="1231" w:type="dxa"/>
            <w:vAlign w:val="center"/>
          </w:tcPr>
          <w:p w:rsidR="00CE5D33" w:rsidRPr="00CE5D33" w:rsidRDefault="00CE5D33" w:rsidP="00CE5D33">
            <w:pPr>
              <w:rPr>
                <w:rFonts w:ascii="Calibri" w:hAnsi="Calibri"/>
                <w:color w:val="000000"/>
                <w:sz w:val="18"/>
              </w:rPr>
            </w:pPr>
            <w:r w:rsidRPr="00CE5D33">
              <w:rPr>
                <w:rFonts w:ascii="Calibri" w:hAnsi="Calibri"/>
                <w:color w:val="000000"/>
                <w:sz w:val="18"/>
              </w:rPr>
              <w:t xml:space="preserve">    Q.540,200,696</w:t>
            </w:r>
          </w:p>
        </w:tc>
      </w:tr>
      <w:tr w:rsidR="00CE5D33" w:rsidRPr="00CE5D33" w:rsidTr="00CE5D33">
        <w:trPr>
          <w:trHeight w:val="376"/>
          <w:jc w:val="center"/>
        </w:trPr>
        <w:tc>
          <w:tcPr>
            <w:tcW w:w="1809" w:type="dxa"/>
            <w:shd w:val="clear" w:color="auto" w:fill="B8CCE4" w:themeFill="accent1" w:themeFillTint="66"/>
            <w:vAlign w:val="center"/>
          </w:tcPr>
          <w:p w:rsidR="00CE5D33" w:rsidRPr="00CE5D33" w:rsidRDefault="00CE5D33" w:rsidP="00CE5D33">
            <w:pPr>
              <w:spacing w:after="0" w:line="240" w:lineRule="auto"/>
              <w:jc w:val="center"/>
              <w:rPr>
                <w:b/>
                <w:sz w:val="18"/>
                <w:szCs w:val="24"/>
              </w:rPr>
            </w:pPr>
            <w:r w:rsidRPr="00CE5D33">
              <w:rPr>
                <w:b/>
                <w:sz w:val="18"/>
                <w:szCs w:val="24"/>
              </w:rPr>
              <w:t xml:space="preserve">% de </w:t>
            </w:r>
            <w:r>
              <w:rPr>
                <w:b/>
                <w:sz w:val="18"/>
                <w:szCs w:val="24"/>
              </w:rPr>
              <w:t>variación</w:t>
            </w:r>
          </w:p>
        </w:tc>
        <w:tc>
          <w:tcPr>
            <w:tcW w:w="1091" w:type="dxa"/>
            <w:vAlign w:val="center"/>
          </w:tcPr>
          <w:p w:rsidR="00CE5D33" w:rsidRPr="00CE5D33" w:rsidRDefault="00CE5D33" w:rsidP="00CE5D33">
            <w:pPr>
              <w:jc w:val="center"/>
              <w:rPr>
                <w:rFonts w:ascii="Calibri" w:hAnsi="Calibri"/>
                <w:color w:val="000000"/>
                <w:sz w:val="18"/>
              </w:rPr>
            </w:pPr>
            <w:r w:rsidRPr="00CE5D33">
              <w:rPr>
                <w:rFonts w:ascii="Calibri" w:hAnsi="Calibri"/>
                <w:color w:val="000000"/>
                <w:sz w:val="18"/>
              </w:rPr>
              <w:t>N/A</w:t>
            </w:r>
          </w:p>
        </w:tc>
        <w:tc>
          <w:tcPr>
            <w:tcW w:w="1230" w:type="dxa"/>
            <w:vAlign w:val="center"/>
          </w:tcPr>
          <w:p w:rsidR="00CE5D33" w:rsidRPr="00CE5D33" w:rsidRDefault="00CE5D33" w:rsidP="00CE5D33">
            <w:pPr>
              <w:jc w:val="center"/>
              <w:rPr>
                <w:rFonts w:ascii="Calibri" w:hAnsi="Calibri"/>
                <w:color w:val="000000"/>
                <w:sz w:val="18"/>
              </w:rPr>
            </w:pPr>
            <w:r w:rsidRPr="00CE5D33">
              <w:rPr>
                <w:rFonts w:ascii="Calibri" w:hAnsi="Calibri"/>
                <w:color w:val="000000"/>
                <w:sz w:val="18"/>
              </w:rPr>
              <w:t>-7.48</w:t>
            </w:r>
          </w:p>
        </w:tc>
        <w:tc>
          <w:tcPr>
            <w:tcW w:w="1231" w:type="dxa"/>
            <w:vAlign w:val="center"/>
          </w:tcPr>
          <w:p w:rsidR="00CE5D33" w:rsidRPr="00CE5D33" w:rsidRDefault="00CE5D33" w:rsidP="00CE5D33">
            <w:pPr>
              <w:jc w:val="center"/>
              <w:rPr>
                <w:rFonts w:ascii="Calibri" w:hAnsi="Calibri"/>
                <w:color w:val="000000"/>
                <w:sz w:val="18"/>
              </w:rPr>
            </w:pPr>
            <w:r w:rsidRPr="00CE5D33">
              <w:rPr>
                <w:rFonts w:ascii="Calibri" w:hAnsi="Calibri"/>
                <w:color w:val="000000"/>
                <w:sz w:val="18"/>
              </w:rPr>
              <w:t>-21.04</w:t>
            </w:r>
          </w:p>
        </w:tc>
        <w:tc>
          <w:tcPr>
            <w:tcW w:w="1231" w:type="dxa"/>
            <w:vAlign w:val="center"/>
          </w:tcPr>
          <w:p w:rsidR="00CE5D33" w:rsidRPr="00CE5D33" w:rsidRDefault="00CE5D33" w:rsidP="00CE5D33">
            <w:pPr>
              <w:jc w:val="center"/>
              <w:rPr>
                <w:rFonts w:ascii="Calibri" w:hAnsi="Calibri"/>
                <w:color w:val="000000"/>
                <w:sz w:val="18"/>
              </w:rPr>
            </w:pPr>
            <w:r w:rsidRPr="00CE5D33">
              <w:rPr>
                <w:rFonts w:ascii="Calibri" w:hAnsi="Calibri"/>
                <w:color w:val="000000"/>
                <w:sz w:val="18"/>
              </w:rPr>
              <w:t>1.98</w:t>
            </w:r>
          </w:p>
        </w:tc>
        <w:tc>
          <w:tcPr>
            <w:tcW w:w="1231" w:type="dxa"/>
            <w:vAlign w:val="center"/>
          </w:tcPr>
          <w:p w:rsidR="00CE5D33" w:rsidRPr="00CE5D33" w:rsidRDefault="00CE5D33" w:rsidP="00CE5D33">
            <w:pPr>
              <w:jc w:val="center"/>
              <w:rPr>
                <w:rFonts w:ascii="Calibri" w:hAnsi="Calibri"/>
                <w:color w:val="000000"/>
                <w:sz w:val="18"/>
              </w:rPr>
            </w:pPr>
            <w:r w:rsidRPr="00CE5D33">
              <w:rPr>
                <w:rFonts w:ascii="Calibri" w:hAnsi="Calibri"/>
                <w:color w:val="000000"/>
                <w:sz w:val="18"/>
              </w:rPr>
              <w:t>4.99</w:t>
            </w:r>
          </w:p>
        </w:tc>
        <w:tc>
          <w:tcPr>
            <w:tcW w:w="1231" w:type="dxa"/>
            <w:vAlign w:val="center"/>
          </w:tcPr>
          <w:p w:rsidR="00CE5D33" w:rsidRPr="00CE5D33" w:rsidRDefault="00CE5D33" w:rsidP="00CE5D33">
            <w:pPr>
              <w:jc w:val="center"/>
              <w:rPr>
                <w:rFonts w:ascii="Calibri" w:hAnsi="Calibri"/>
                <w:color w:val="000000"/>
                <w:sz w:val="18"/>
              </w:rPr>
            </w:pPr>
            <w:r w:rsidRPr="00CE5D33">
              <w:rPr>
                <w:rFonts w:ascii="Calibri" w:hAnsi="Calibri"/>
                <w:color w:val="000000"/>
                <w:sz w:val="18"/>
              </w:rPr>
              <w:t>4.01</w:t>
            </w:r>
          </w:p>
        </w:tc>
      </w:tr>
    </w:tbl>
    <w:p w:rsidR="00906836" w:rsidRDefault="00976D92" w:rsidP="00906836">
      <w:pPr>
        <w:jc w:val="center"/>
      </w:pPr>
      <w:r>
        <w:rPr>
          <w:noProof/>
          <w:lang w:eastAsia="es-GT"/>
        </w:rPr>
        <mc:AlternateContent>
          <mc:Choice Requires="wps">
            <w:drawing>
              <wp:anchor distT="0" distB="0" distL="114300" distR="114300" simplePos="0" relativeHeight="251659264" behindDoc="0" locked="0" layoutInCell="1" allowOverlap="1" wp14:anchorId="6D86E8A8" wp14:editId="6B9866C5">
                <wp:simplePos x="0" y="0"/>
                <wp:positionH relativeFrom="column">
                  <wp:posOffset>227965</wp:posOffset>
                </wp:positionH>
                <wp:positionV relativeFrom="paragraph">
                  <wp:posOffset>274320</wp:posOffset>
                </wp:positionV>
                <wp:extent cx="5186045" cy="3079750"/>
                <wp:effectExtent l="0" t="0" r="14605" b="25400"/>
                <wp:wrapNone/>
                <wp:docPr id="1" name="1 Rectángulo redondeado"/>
                <wp:cNvGraphicFramePr/>
                <a:graphic xmlns:a="http://schemas.openxmlformats.org/drawingml/2006/main">
                  <a:graphicData uri="http://schemas.microsoft.com/office/word/2010/wordprocessingShape">
                    <wps:wsp>
                      <wps:cNvSpPr/>
                      <wps:spPr>
                        <a:xfrm>
                          <a:off x="0" y="0"/>
                          <a:ext cx="5186045" cy="307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CE5D33" w:rsidP="00906836">
                            <w:pPr>
                              <w:jc w:val="center"/>
                            </w:pPr>
                            <w:r>
                              <w:rPr>
                                <w:noProof/>
                                <w:lang w:eastAsia="es-GT"/>
                              </w:rPr>
                              <w:drawing>
                                <wp:inline distT="0" distB="0" distL="0" distR="0" wp14:anchorId="6FC8A189" wp14:editId="7EE9EE31">
                                  <wp:extent cx="4673600" cy="2622550"/>
                                  <wp:effectExtent l="0" t="0" r="1270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86E8A8" id="1 Rectángulo redondeado" o:spid="_x0000_s1026" style="position:absolute;left:0;text-align:left;margin-left:17.95pt;margin-top:21.6pt;width:408.35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" fillcolor="#4f81bd [3204]" strokecolor="#243f60 [1604]" strokeweight="2pt">
                <v:textbox>
                  <w:txbxContent>
                    <w:p w:rsidR="00D235E8" w:rsidRDefault="00CE5D33" w:rsidP="00906836">
                      <w:pPr>
                        <w:jc w:val="center"/>
                      </w:pPr>
                      <w:r>
                        <w:rPr>
                          <w:noProof/>
                          <w:lang w:eastAsia="es-GT"/>
                        </w:rPr>
                        <w:drawing>
                          <wp:inline distT="0" distB="0" distL="0" distR="0" wp14:anchorId="6FC8A189" wp14:editId="7EE9EE31">
                            <wp:extent cx="4673600" cy="2622550"/>
                            <wp:effectExtent l="0" t="0" r="1270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oundrect>
            </w:pict>
          </mc:Fallback>
        </mc:AlternateContent>
      </w:r>
      <w:r w:rsidR="00906836">
        <w:t xml:space="preserve">Gráfica de presupuesto actual </w:t>
      </w:r>
      <w:r w:rsidR="0085279A">
        <w:t>vs.</w:t>
      </w:r>
      <w:r w:rsidR="00906836">
        <w:t xml:space="preserve"> presupuesto solicitado </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CE5D33" w:rsidRDefault="00CE5D33" w:rsidP="00906836">
      <w:pPr>
        <w:jc w:val="center"/>
      </w:pPr>
    </w:p>
    <w:p w:rsidR="00CE5D33" w:rsidRDefault="00CE5D33" w:rsidP="00906836">
      <w:pPr>
        <w:jc w:val="center"/>
      </w:pPr>
    </w:p>
    <w:p w:rsidR="00976D92" w:rsidRDefault="00976D92" w:rsidP="00906836">
      <w:pPr>
        <w:jc w:val="center"/>
      </w:pPr>
    </w:p>
    <w:p w:rsidR="00976D92" w:rsidRDefault="00976D92" w:rsidP="00906836">
      <w:pPr>
        <w:jc w:val="center"/>
      </w:pPr>
    </w:p>
    <w:p w:rsidR="00976D92" w:rsidRDefault="00976D92" w:rsidP="00906836">
      <w:pPr>
        <w:jc w:val="center"/>
      </w:pPr>
    </w:p>
    <w:p w:rsidR="00976D92" w:rsidRDefault="00976D92" w:rsidP="00906836">
      <w:pPr>
        <w:jc w:val="cente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76D92" w:rsidTr="0094401D">
        <w:trPr>
          <w:tblHeader/>
        </w:trPr>
        <w:tc>
          <w:tcPr>
            <w:tcW w:w="8978" w:type="dxa"/>
            <w:shd w:val="clear" w:color="auto" w:fill="B8CCE4" w:themeFill="accent1" w:themeFillTint="66"/>
          </w:tcPr>
          <w:p w:rsidR="003750B8" w:rsidRPr="00976D92" w:rsidRDefault="003750B8" w:rsidP="003750B8">
            <w:pPr>
              <w:spacing w:after="0" w:line="240" w:lineRule="auto"/>
              <w:jc w:val="center"/>
              <w:rPr>
                <w:b/>
                <w:sz w:val="28"/>
                <w:szCs w:val="24"/>
              </w:rPr>
            </w:pPr>
            <w:r w:rsidRPr="00976D92">
              <w:rPr>
                <w:b/>
                <w:sz w:val="28"/>
                <w:szCs w:val="24"/>
              </w:rPr>
              <w:lastRenderedPageBreak/>
              <w:t>PRINCIPALES PROGRAMAS</w:t>
            </w:r>
          </w:p>
        </w:tc>
      </w:tr>
      <w:tr w:rsidR="003750B8" w:rsidTr="00091219">
        <w:trPr>
          <w:trHeight w:val="1482"/>
        </w:trPr>
        <w:tc>
          <w:tcPr>
            <w:tcW w:w="8978" w:type="dxa"/>
          </w:tcPr>
          <w:p w:rsidR="005046C8" w:rsidRPr="002826EF" w:rsidRDefault="005046C8" w:rsidP="002826EF">
            <w:pPr>
              <w:pStyle w:val="Prrafodelista"/>
              <w:numPr>
                <w:ilvl w:val="0"/>
                <w:numId w:val="11"/>
              </w:numPr>
              <w:rPr>
                <w:bCs/>
              </w:rPr>
            </w:pPr>
            <w:r w:rsidRPr="002826EF">
              <w:rPr>
                <w:bCs/>
              </w:rPr>
              <w:t>Programa 01: Administración Institucional</w:t>
            </w:r>
          </w:p>
          <w:p w:rsidR="005046C8" w:rsidRPr="002826EF" w:rsidRDefault="005046C8" w:rsidP="002826EF">
            <w:pPr>
              <w:pStyle w:val="Prrafodelista"/>
              <w:numPr>
                <w:ilvl w:val="0"/>
                <w:numId w:val="11"/>
              </w:numPr>
              <w:rPr>
                <w:bCs/>
              </w:rPr>
            </w:pPr>
            <w:r w:rsidRPr="002826EF">
              <w:rPr>
                <w:bCs/>
              </w:rPr>
              <w:t>Programa 11: Gestión De Asuntos Laborales</w:t>
            </w:r>
          </w:p>
          <w:p w:rsidR="005046C8" w:rsidRPr="002826EF" w:rsidRDefault="005046C8" w:rsidP="002826EF">
            <w:pPr>
              <w:pStyle w:val="Prrafodelista"/>
              <w:numPr>
                <w:ilvl w:val="0"/>
                <w:numId w:val="11"/>
              </w:numPr>
              <w:rPr>
                <w:bCs/>
              </w:rPr>
            </w:pPr>
            <w:r w:rsidRPr="002826EF">
              <w:rPr>
                <w:bCs/>
              </w:rPr>
              <w:t>Programa 14: Recreación De Los Trabajadores</w:t>
            </w:r>
          </w:p>
          <w:p w:rsidR="005046C8" w:rsidRPr="002826EF" w:rsidRDefault="005046C8" w:rsidP="002826EF">
            <w:pPr>
              <w:pStyle w:val="Prrafodelista"/>
              <w:numPr>
                <w:ilvl w:val="0"/>
                <w:numId w:val="11"/>
              </w:numPr>
              <w:rPr>
                <w:bCs/>
              </w:rPr>
            </w:pPr>
            <w:r w:rsidRPr="002826EF">
              <w:rPr>
                <w:bCs/>
              </w:rPr>
              <w:t>Programa 17: Promoción De La Formalidad</w:t>
            </w:r>
          </w:p>
          <w:p w:rsidR="003750B8" w:rsidRPr="002826EF" w:rsidRDefault="005046C8" w:rsidP="002826EF">
            <w:pPr>
              <w:pStyle w:val="Prrafodelista"/>
              <w:numPr>
                <w:ilvl w:val="0"/>
                <w:numId w:val="11"/>
              </w:numPr>
              <w:rPr>
                <w:b/>
                <w:bCs/>
              </w:rPr>
            </w:pPr>
            <w:r w:rsidRPr="002826EF">
              <w:rPr>
                <w:bCs/>
              </w:rPr>
              <w:t>Programa 99: Partidas No Asignables A Programas Del Empleo</w:t>
            </w:r>
          </w:p>
        </w:tc>
      </w:tr>
    </w:tbl>
    <w:p w:rsidR="00906836" w:rsidRPr="003D1522" w:rsidRDefault="00906836" w:rsidP="003D1522">
      <w:pPr>
        <w:spacing w:after="0"/>
        <w:rPr>
          <w:sz w:val="8"/>
        </w:rPr>
      </w:pPr>
    </w:p>
    <w:tbl>
      <w:tblPr>
        <w:tblStyle w:val="Tablaconcuadrcula"/>
        <w:tblW w:w="0" w:type="auto"/>
        <w:tblLook w:val="04A0" w:firstRow="1" w:lastRow="0" w:firstColumn="1" w:lastColumn="0" w:noHBand="0" w:noVBand="1"/>
      </w:tblPr>
      <w:tblGrid>
        <w:gridCol w:w="8978"/>
      </w:tblGrid>
      <w:tr w:rsidR="0093780D" w:rsidRPr="00976D92" w:rsidTr="0094401D">
        <w:trPr>
          <w:tblHeader/>
        </w:trPr>
        <w:tc>
          <w:tcPr>
            <w:tcW w:w="8978" w:type="dxa"/>
            <w:shd w:val="clear" w:color="auto" w:fill="B8CCE4" w:themeFill="accent1" w:themeFillTint="66"/>
          </w:tcPr>
          <w:p w:rsidR="0093780D" w:rsidRPr="00976D92" w:rsidRDefault="0093780D" w:rsidP="00D235E8">
            <w:pPr>
              <w:spacing w:after="0" w:line="240" w:lineRule="auto"/>
              <w:jc w:val="center"/>
              <w:rPr>
                <w:b/>
                <w:sz w:val="28"/>
                <w:szCs w:val="24"/>
              </w:rPr>
            </w:pPr>
            <w:r w:rsidRPr="00976D92">
              <w:rPr>
                <w:b/>
                <w:sz w:val="28"/>
                <w:szCs w:val="24"/>
              </w:rPr>
              <w:t xml:space="preserve">PRIORIDADES </w:t>
            </w:r>
          </w:p>
        </w:tc>
      </w:tr>
      <w:tr w:rsidR="0093780D" w:rsidRPr="00976D92" w:rsidTr="0093780D">
        <w:trPr>
          <w:trHeight w:val="856"/>
        </w:trPr>
        <w:tc>
          <w:tcPr>
            <w:tcW w:w="8978" w:type="dxa"/>
          </w:tcPr>
          <w:p w:rsidR="002826EF" w:rsidRPr="00976D92" w:rsidRDefault="002826EF" w:rsidP="002826EF">
            <w:pPr>
              <w:pStyle w:val="Prrafodelista"/>
              <w:numPr>
                <w:ilvl w:val="0"/>
                <w:numId w:val="11"/>
              </w:numPr>
              <w:rPr>
                <w:bCs/>
              </w:rPr>
            </w:pPr>
            <w:r w:rsidRPr="00976D92">
              <w:rPr>
                <w:bCs/>
              </w:rPr>
              <w:t>Promoción de Empleo Digno</w:t>
            </w:r>
          </w:p>
          <w:p w:rsidR="002826EF" w:rsidRPr="00976D92" w:rsidRDefault="002826EF" w:rsidP="002826EF">
            <w:pPr>
              <w:pStyle w:val="Prrafodelista"/>
              <w:numPr>
                <w:ilvl w:val="0"/>
                <w:numId w:val="11"/>
              </w:numPr>
              <w:rPr>
                <w:bCs/>
              </w:rPr>
            </w:pPr>
            <w:r w:rsidRPr="00976D92">
              <w:rPr>
                <w:bCs/>
              </w:rPr>
              <w:t>Cumplimiento de Derechos Laborales</w:t>
            </w:r>
          </w:p>
          <w:p w:rsidR="0093780D" w:rsidRPr="00976D92" w:rsidRDefault="002826EF" w:rsidP="002826EF">
            <w:pPr>
              <w:pStyle w:val="Prrafodelista"/>
              <w:numPr>
                <w:ilvl w:val="0"/>
                <w:numId w:val="11"/>
              </w:numPr>
            </w:pPr>
            <w:r w:rsidRPr="00976D92">
              <w:rPr>
                <w:bCs/>
              </w:rPr>
              <w:t>Prevención y Erradicación del Trabajo Infantil</w:t>
            </w:r>
          </w:p>
        </w:tc>
      </w:tr>
    </w:tbl>
    <w:p w:rsidR="0093780D" w:rsidRPr="003D1522" w:rsidRDefault="0093780D" w:rsidP="003D1522">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976D92" w:rsidTr="0094401D">
        <w:trPr>
          <w:tblHeader/>
        </w:trPr>
        <w:tc>
          <w:tcPr>
            <w:tcW w:w="8978" w:type="dxa"/>
            <w:shd w:val="clear" w:color="auto" w:fill="B8CCE4" w:themeFill="accent1" w:themeFillTint="66"/>
          </w:tcPr>
          <w:p w:rsidR="0093780D" w:rsidRPr="00976D92" w:rsidRDefault="0093780D" w:rsidP="00D235E8">
            <w:pPr>
              <w:spacing w:after="0" w:line="240" w:lineRule="auto"/>
              <w:jc w:val="center"/>
              <w:rPr>
                <w:b/>
                <w:sz w:val="28"/>
                <w:szCs w:val="24"/>
              </w:rPr>
            </w:pPr>
            <w:r w:rsidRPr="00976D92">
              <w:rPr>
                <w:b/>
                <w:sz w:val="28"/>
                <w:szCs w:val="24"/>
              </w:rPr>
              <w:t xml:space="preserve">APORTES Y RETROALIMENTACIÓN </w:t>
            </w:r>
          </w:p>
        </w:tc>
      </w:tr>
      <w:tr w:rsidR="0093780D" w:rsidTr="00D235E8">
        <w:trPr>
          <w:trHeight w:val="856"/>
        </w:trPr>
        <w:tc>
          <w:tcPr>
            <w:tcW w:w="8978" w:type="dxa"/>
          </w:tcPr>
          <w:p w:rsidR="000E5650" w:rsidRDefault="001F7088" w:rsidP="000E5650">
            <w:pPr>
              <w:pStyle w:val="Prrafodelista"/>
              <w:numPr>
                <w:ilvl w:val="0"/>
                <w:numId w:val="9"/>
              </w:numPr>
              <w:jc w:val="both"/>
            </w:pPr>
            <w:r>
              <w:br w:type="page"/>
            </w:r>
            <w:r w:rsidR="000E5650">
              <w:t>Ninos</w:t>
            </w:r>
            <w:r w:rsidR="000E6520">
              <w:t xml:space="preserve">ka Lynn de </w:t>
            </w:r>
            <w:r w:rsidR="000E5650">
              <w:t>AGEXPORT realizó la siguiente intervención:</w:t>
            </w:r>
          </w:p>
          <w:p w:rsidR="00D70C7D" w:rsidRDefault="000E6520" w:rsidP="000E5650">
            <w:pPr>
              <w:pStyle w:val="Prrafodelista"/>
              <w:jc w:val="both"/>
            </w:pPr>
            <w:r>
              <w:t>Guatemala cuenta con un gran nivel de desempleo</w:t>
            </w:r>
            <w:r w:rsidR="00661F8B">
              <w:t xml:space="preserve">, como lo presentó la señora </w:t>
            </w:r>
            <w:r w:rsidR="00FC48FF">
              <w:t>M</w:t>
            </w:r>
            <w:r w:rsidR="00661F8B">
              <w:t xml:space="preserve">inistra, </w:t>
            </w:r>
            <w:r>
              <w:t xml:space="preserve">tenemos el bono demográfico más grande de </w:t>
            </w:r>
            <w:r w:rsidR="00661F8B">
              <w:t>Latinoamérica</w:t>
            </w:r>
            <w:r w:rsidR="00697138">
              <w:t xml:space="preserve">, </w:t>
            </w:r>
            <w:r>
              <w:t xml:space="preserve">realmente necesitamos generar políticas públicas </w:t>
            </w:r>
            <w:r w:rsidR="00697138">
              <w:t>que busquen</w:t>
            </w:r>
            <w:r>
              <w:t xml:space="preserve"> una solución en el corto plazo para que los jóvenes puedan pasar a formar parte de la PEA</w:t>
            </w:r>
            <w:r w:rsidR="00697138">
              <w:t>,</w:t>
            </w:r>
            <w:r>
              <w:t xml:space="preserve"> agradecemos los esfuerzos que se han hecho en conjunto pero consideramos que se necesita hacer más</w:t>
            </w:r>
            <w:r w:rsidR="00FC48FF">
              <w:t>,</w:t>
            </w:r>
            <w:r>
              <w:t xml:space="preserve"> la inmediatez es importantísima para se</w:t>
            </w:r>
            <w:r w:rsidR="00697138">
              <w:t>r congruentes con las metas de e</w:t>
            </w:r>
            <w:r>
              <w:t>ducación</w:t>
            </w:r>
            <w:r w:rsidR="00697138">
              <w:t xml:space="preserve"> y</w:t>
            </w:r>
            <w:r>
              <w:t xml:space="preserve"> empleo en marco desarrollo sostenible</w:t>
            </w:r>
            <w:r w:rsidR="00697138">
              <w:t>,</w:t>
            </w:r>
            <w:r>
              <w:t xml:space="preserve"> sin estas inversiones realmente nuestros jóvenes no van a tener oportunidades y ese millón de empleo que se está previendo como</w:t>
            </w:r>
            <w:r w:rsidR="00FC48FF">
              <w:t xml:space="preserve"> la Política Nacional de E</w:t>
            </w:r>
            <w:r w:rsidR="00697138">
              <w:t xml:space="preserve">mpleo, pasa a ser </w:t>
            </w:r>
            <w:r>
              <w:t xml:space="preserve">un número puesto en un papel y no una realidad por ello queremos </w:t>
            </w:r>
            <w:r w:rsidR="00FC48FF">
              <w:t xml:space="preserve">solicitar que en el presupuesto </w:t>
            </w:r>
            <w:r>
              <w:t>de desarrol</w:t>
            </w:r>
            <w:r w:rsidR="00FC48FF">
              <w:t>lo del P</w:t>
            </w:r>
            <w:r w:rsidR="00697138">
              <w:t>rograma de la M</w:t>
            </w:r>
            <w:r>
              <w:t xml:space="preserve">ipyme </w:t>
            </w:r>
            <w:r w:rsidR="00697138">
              <w:t xml:space="preserve">que </w:t>
            </w:r>
            <w:r>
              <w:t>actualmente está haciendo financiado por cooperación se haga la ampliación con el objetivo de ampliar capacidades para el trabajo</w:t>
            </w:r>
            <w:r w:rsidR="00697138">
              <w:t>, en unión del Ministerio Economía con el V</w:t>
            </w:r>
            <w:r w:rsidR="00FC48FF">
              <w:t>iceministerio de la M</w:t>
            </w:r>
            <w:r>
              <w:t>ipyme para generar oportunidades para los jóvenes en trabajos de</w:t>
            </w:r>
            <w:r w:rsidR="00FC48FF">
              <w:t xml:space="preserve"> calidad en trabajos del nuevo m</w:t>
            </w:r>
            <w:r>
              <w:t>ilenio</w:t>
            </w:r>
            <w:r w:rsidR="00697138">
              <w:t>,</w:t>
            </w:r>
            <w:r>
              <w:t xml:space="preserve"> el analfabetismo de este siglo es el idioma inglés y </w:t>
            </w:r>
            <w:r w:rsidR="00697138">
              <w:t>tics</w:t>
            </w:r>
            <w:r w:rsidR="00FC48FF">
              <w:t xml:space="preserve">, si nosotros </w:t>
            </w:r>
            <w:r>
              <w:t>no desarrollamos a nuestros jóvenes con estas dos específicas características</w:t>
            </w:r>
            <w:r w:rsidR="00697138">
              <w:t>,</w:t>
            </w:r>
            <w:r>
              <w:t xml:space="preserve"> vamos a tener violencia, desempleo y no vamos a tener una forma de solucionar el problema en el corto plazo. </w:t>
            </w:r>
          </w:p>
          <w:p w:rsidR="00661F8B" w:rsidRDefault="00661F8B" w:rsidP="000E5650">
            <w:pPr>
              <w:pStyle w:val="Prrafodelista"/>
              <w:jc w:val="both"/>
            </w:pPr>
          </w:p>
          <w:p w:rsidR="00661F8B" w:rsidRPr="003D173F" w:rsidRDefault="00AE1A3F" w:rsidP="00807E3B">
            <w:pPr>
              <w:jc w:val="both"/>
              <w:rPr>
                <w:i/>
              </w:rPr>
            </w:pPr>
            <w:r w:rsidRPr="003D173F">
              <w:rPr>
                <w:i/>
              </w:rPr>
              <w:t>Respondió la señora Ministra:</w:t>
            </w:r>
          </w:p>
          <w:p w:rsidR="00AE1A3F" w:rsidRPr="003D173F" w:rsidRDefault="00AE1A3F" w:rsidP="00AE1A3F">
            <w:pPr>
              <w:jc w:val="both"/>
              <w:rPr>
                <w:i/>
              </w:rPr>
            </w:pPr>
            <w:r w:rsidRPr="003D173F">
              <w:rPr>
                <w:i/>
              </w:rPr>
              <w:t xml:space="preserve">La pregunta nos hace ver la importancia de que haya un presupuesto específico para capacitación técnica dentro de la política nacional de empleo digno,  hemos establecido alianzas estratégicas con </w:t>
            </w:r>
            <w:r w:rsidR="00807E3B" w:rsidRPr="003D173F">
              <w:rPr>
                <w:i/>
              </w:rPr>
              <w:t>INTECAP</w:t>
            </w:r>
            <w:r w:rsidRPr="003D173F">
              <w:rPr>
                <w:i/>
              </w:rPr>
              <w:t xml:space="preserve"> y en el</w:t>
            </w:r>
            <w:r w:rsidR="00EE07C8" w:rsidRPr="003D173F">
              <w:rPr>
                <w:i/>
              </w:rPr>
              <w:t xml:space="preserve"> p</w:t>
            </w:r>
            <w:r w:rsidRPr="003D173F">
              <w:rPr>
                <w:i/>
              </w:rPr>
              <w:t>resupuesto de promoción de la formalidad del empleado tenemos un monto específico</w:t>
            </w:r>
            <w:r w:rsidR="00EE07C8" w:rsidRPr="003D173F">
              <w:rPr>
                <w:i/>
              </w:rPr>
              <w:t>,</w:t>
            </w:r>
            <w:r w:rsidRPr="003D173F">
              <w:rPr>
                <w:i/>
              </w:rPr>
              <w:t xml:space="preserve"> justamente para aumentar la capacidad y la inserción en el trabajo</w:t>
            </w:r>
            <w:r w:rsidR="00EE07C8" w:rsidRPr="003D173F">
              <w:rPr>
                <w:i/>
              </w:rPr>
              <w:t>,</w:t>
            </w:r>
            <w:r w:rsidRPr="003D173F">
              <w:rPr>
                <w:i/>
              </w:rPr>
              <w:t xml:space="preserve"> es impo</w:t>
            </w:r>
            <w:r w:rsidR="00EE07C8" w:rsidRPr="003D173F">
              <w:rPr>
                <w:i/>
              </w:rPr>
              <w:t>rtante también recordar que la Política Nacional de Empleo D</w:t>
            </w:r>
            <w:r w:rsidRPr="003D173F">
              <w:rPr>
                <w:i/>
              </w:rPr>
              <w:t>igno contempla la articulación de esfuerzos con el Ministerio de Educación</w:t>
            </w:r>
            <w:r w:rsidR="00EE07C8" w:rsidRPr="003D173F">
              <w:rPr>
                <w:i/>
              </w:rPr>
              <w:t>,</w:t>
            </w:r>
            <w:r w:rsidRPr="003D173F">
              <w:rPr>
                <w:i/>
              </w:rPr>
              <w:t xml:space="preserve"> ya que es importante que sumen su </w:t>
            </w:r>
            <w:r w:rsidR="00EE07C8" w:rsidRPr="003D173F">
              <w:rPr>
                <w:i/>
              </w:rPr>
              <w:t>parte sobre</w:t>
            </w:r>
            <w:r w:rsidRPr="003D173F">
              <w:rPr>
                <w:i/>
              </w:rPr>
              <w:t xml:space="preserve"> la diversificación de las carreras que actualmente tenemos</w:t>
            </w:r>
            <w:r w:rsidR="00EE07C8" w:rsidRPr="003D173F">
              <w:rPr>
                <w:i/>
              </w:rPr>
              <w:t xml:space="preserve">, </w:t>
            </w:r>
            <w:r w:rsidRPr="003D173F">
              <w:rPr>
                <w:i/>
              </w:rPr>
              <w:t xml:space="preserve">para </w:t>
            </w:r>
            <w:r w:rsidR="00EE07C8" w:rsidRPr="003D173F">
              <w:rPr>
                <w:i/>
              </w:rPr>
              <w:t xml:space="preserve">disminuir </w:t>
            </w:r>
            <w:r w:rsidRPr="003D173F">
              <w:rPr>
                <w:i/>
              </w:rPr>
              <w:t xml:space="preserve">las brechas entre la oferta y la demanda </w:t>
            </w:r>
            <w:r w:rsidRPr="003D173F">
              <w:rPr>
                <w:i/>
              </w:rPr>
              <w:lastRenderedPageBreak/>
              <w:t>porque únicamente el 20% aproximadamente de la población encuentra un empleo digno entonces las brechas son bastante grande</w:t>
            </w:r>
            <w:r w:rsidR="004054CA">
              <w:rPr>
                <w:i/>
              </w:rPr>
              <w:t>s</w:t>
            </w:r>
            <w:r w:rsidRPr="003D173F">
              <w:rPr>
                <w:i/>
              </w:rPr>
              <w:t xml:space="preserve"> y creemos que a través de la capacidad y el objetivo del Ministerio de Educación de diversificado las carreras actuales </w:t>
            </w:r>
            <w:r w:rsidR="003217FD" w:rsidRPr="003D173F">
              <w:rPr>
                <w:i/>
              </w:rPr>
              <w:t xml:space="preserve">aunado </w:t>
            </w:r>
            <w:r w:rsidRPr="003D173F">
              <w:rPr>
                <w:i/>
              </w:rPr>
              <w:t xml:space="preserve">a todas las capacitaciones técnicas que brindan instituciones como </w:t>
            </w:r>
            <w:r w:rsidR="003217FD" w:rsidRPr="003D173F">
              <w:rPr>
                <w:i/>
              </w:rPr>
              <w:t>INTECAP</w:t>
            </w:r>
            <w:r w:rsidRPr="003D173F">
              <w:rPr>
                <w:i/>
              </w:rPr>
              <w:t xml:space="preserve"> es que vamos tratando de</w:t>
            </w:r>
            <w:r w:rsidR="003217FD" w:rsidRPr="003D173F">
              <w:rPr>
                <w:i/>
              </w:rPr>
              <w:t xml:space="preserve"> cortar esas brechas y paralelo, </w:t>
            </w:r>
            <w:r w:rsidRPr="003D173F">
              <w:rPr>
                <w:i/>
              </w:rPr>
              <w:t>el presupuesto que nosotr</w:t>
            </w:r>
            <w:r w:rsidR="003217FD" w:rsidRPr="003D173F">
              <w:rPr>
                <w:i/>
              </w:rPr>
              <w:t>os hemos contemplado y como el Ministerio de Economía</w:t>
            </w:r>
            <w:r w:rsidRPr="003D173F">
              <w:rPr>
                <w:i/>
              </w:rPr>
              <w:t xml:space="preserve"> también mencionó es parte </w:t>
            </w:r>
            <w:r w:rsidR="0044135A" w:rsidRPr="003D173F">
              <w:rPr>
                <w:i/>
              </w:rPr>
              <w:t xml:space="preserve">de la articulación de esfuerzos </w:t>
            </w:r>
            <w:r w:rsidRPr="003D173F">
              <w:rPr>
                <w:i/>
              </w:rPr>
              <w:t>que estamos discutiendo y estamos implementando a través de</w:t>
            </w:r>
            <w:r w:rsidR="0044135A" w:rsidRPr="003D173F">
              <w:rPr>
                <w:i/>
              </w:rPr>
              <w:t xml:space="preserve"> las</w:t>
            </w:r>
            <w:r w:rsidRPr="003D173F">
              <w:rPr>
                <w:i/>
              </w:rPr>
              <w:t xml:space="preserve"> diferentes acciones </w:t>
            </w:r>
            <w:r w:rsidR="004054CA">
              <w:rPr>
                <w:i/>
              </w:rPr>
              <w:t>que se están</w:t>
            </w:r>
            <w:r w:rsidRPr="003D173F">
              <w:rPr>
                <w:i/>
              </w:rPr>
              <w:t xml:space="preserve"> llevando a cabo</w:t>
            </w:r>
            <w:r w:rsidR="0044135A" w:rsidRPr="003D173F">
              <w:rPr>
                <w:i/>
              </w:rPr>
              <w:t>,</w:t>
            </w:r>
            <w:r w:rsidRPr="003D173F">
              <w:rPr>
                <w:i/>
              </w:rPr>
              <w:t xml:space="preserve"> no solamente con fondo</w:t>
            </w:r>
            <w:r w:rsidR="0044135A" w:rsidRPr="003D173F">
              <w:rPr>
                <w:i/>
              </w:rPr>
              <w:t>s de comunidad internacional si</w:t>
            </w:r>
            <w:r w:rsidRPr="003D173F">
              <w:rPr>
                <w:i/>
              </w:rPr>
              <w:t xml:space="preserve">no </w:t>
            </w:r>
            <w:r w:rsidR="0044135A" w:rsidRPr="003D173F">
              <w:rPr>
                <w:i/>
              </w:rPr>
              <w:t>en</w:t>
            </w:r>
            <w:r w:rsidRPr="003D173F">
              <w:rPr>
                <w:i/>
              </w:rPr>
              <w:t xml:space="preserve"> nuestro presupuesto multianual</w:t>
            </w:r>
            <w:r w:rsidR="0044135A" w:rsidRPr="003D173F">
              <w:rPr>
                <w:i/>
              </w:rPr>
              <w:t>,</w:t>
            </w:r>
            <w:r w:rsidRPr="003D173F">
              <w:rPr>
                <w:i/>
              </w:rPr>
              <w:t xml:space="preserve"> ya tenemos un rubro específico que va</w:t>
            </w:r>
            <w:r w:rsidR="004054CA">
              <w:rPr>
                <w:i/>
              </w:rPr>
              <w:t xml:space="preserve"> dirigido </w:t>
            </w:r>
            <w:r w:rsidRPr="003D173F">
              <w:rPr>
                <w:i/>
              </w:rPr>
              <w:t>a la atención de la formación de los jóvenes específicamente en carreras técnicas.</w:t>
            </w:r>
          </w:p>
          <w:p w:rsidR="00AE1A3F" w:rsidRDefault="00AE1A3F" w:rsidP="000E5650">
            <w:pPr>
              <w:pStyle w:val="Prrafodelista"/>
              <w:jc w:val="both"/>
            </w:pPr>
          </w:p>
          <w:p w:rsidR="00661F8B" w:rsidRDefault="00F56CD7" w:rsidP="00661F8B">
            <w:pPr>
              <w:pStyle w:val="Prrafodelista"/>
              <w:numPr>
                <w:ilvl w:val="0"/>
                <w:numId w:val="9"/>
              </w:numPr>
              <w:jc w:val="both"/>
            </w:pPr>
            <w:r>
              <w:t xml:space="preserve">Marlene Mazariegos </w:t>
            </w:r>
            <w:r w:rsidR="00661F8B">
              <w:t>representando a Cámara del A</w:t>
            </w:r>
            <w:r>
              <w:t>gro</w:t>
            </w:r>
            <w:r w:rsidR="00661F8B">
              <w:t>, realizó la siguiente intervención:</w:t>
            </w:r>
          </w:p>
          <w:p w:rsidR="00F56CD7" w:rsidRDefault="004054CA" w:rsidP="00661F8B">
            <w:pPr>
              <w:pStyle w:val="Prrafodelista"/>
              <w:jc w:val="both"/>
            </w:pPr>
            <w:r>
              <w:t>C</w:t>
            </w:r>
            <w:r w:rsidR="00F56CD7">
              <w:t>reemos y consideramos que para lograr que se incrementen empleo formal en Guatemala es de suma import</w:t>
            </w:r>
            <w:r>
              <w:t>ancia el rol del Ministerio de Trabajo y Previsión S</w:t>
            </w:r>
            <w:r w:rsidR="00F56CD7">
              <w:t xml:space="preserve">ocial por lo que vemos con buenos ojos esta propuesta que hoy nos presenta y segundo que desde </w:t>
            </w:r>
            <w:r>
              <w:t>Cámara del A</w:t>
            </w:r>
            <w:r w:rsidR="00F56CD7">
              <w:t xml:space="preserve">gro consideramos que para la prevención de trabajo infantil </w:t>
            </w:r>
            <w:r>
              <w:t xml:space="preserve"> y para </w:t>
            </w:r>
            <w:r w:rsidR="00FC48FF">
              <w:t>alcanzar la meta 8.7 de los Objetivos de Desarrollo S</w:t>
            </w:r>
            <w:r w:rsidR="00F56CD7">
              <w:t xml:space="preserve">ostenible y lograr el cumplimiento de la hoja de ruta es </w:t>
            </w:r>
            <w:r>
              <w:t>necesario que el Ministerio de Trabajo y Previsión S</w:t>
            </w:r>
            <w:r w:rsidR="00F56CD7">
              <w:t>ocial así como otras instituciones de gobierno</w:t>
            </w:r>
            <w:r>
              <w:t>,</w:t>
            </w:r>
            <w:r w:rsidR="00F56CD7">
              <w:t xml:space="preserve"> cuenten en un renglón presupuestario específico para este objetivo y que de esta forma tengamos también una forma de verificar los resultados y logros respecto a este tema</w:t>
            </w:r>
            <w:r>
              <w:t>,</w:t>
            </w:r>
            <w:r w:rsidR="00F56CD7">
              <w:t xml:space="preserve"> por lo que hoy hacemos la solicitud y el requerimiento específico al</w:t>
            </w:r>
            <w:r>
              <w:t xml:space="preserve"> Ministerio de Finanzas y a la señora M</w:t>
            </w:r>
            <w:r w:rsidR="00F56CD7">
              <w:t>inistra para que esta propuesta se</w:t>
            </w:r>
            <w:r w:rsidR="00FC48FF">
              <w:t>a</w:t>
            </w:r>
            <w:r w:rsidR="00F56CD7">
              <w:t xml:space="preserve"> toma</w:t>
            </w:r>
            <w:r w:rsidR="00FC48FF">
              <w:t>da</w:t>
            </w:r>
            <w:r w:rsidR="00F56CD7">
              <w:t xml:space="preserve"> en cuenta. </w:t>
            </w:r>
          </w:p>
          <w:p w:rsidR="00C911BE" w:rsidRPr="004876B7" w:rsidRDefault="00F56CD7" w:rsidP="00AD2CA8">
            <w:pPr>
              <w:spacing w:after="200" w:line="276" w:lineRule="auto"/>
              <w:jc w:val="both"/>
              <w:rPr>
                <w:i/>
              </w:rPr>
            </w:pPr>
            <w:r w:rsidRPr="004876B7">
              <w:rPr>
                <w:i/>
              </w:rPr>
              <w:t>Resp</w:t>
            </w:r>
            <w:r w:rsidR="004054CA" w:rsidRPr="004876B7">
              <w:rPr>
                <w:i/>
              </w:rPr>
              <w:t>ondió la señora M</w:t>
            </w:r>
            <w:r w:rsidRPr="004876B7">
              <w:rPr>
                <w:i/>
              </w:rPr>
              <w:t>inistra</w:t>
            </w:r>
            <w:r w:rsidR="00E57F7D" w:rsidRPr="004876B7">
              <w:rPr>
                <w:i/>
              </w:rPr>
              <w:t>:</w:t>
            </w:r>
            <w:r w:rsidRPr="004876B7">
              <w:rPr>
                <w:i/>
              </w:rPr>
              <w:t xml:space="preserve"> </w:t>
            </w:r>
          </w:p>
          <w:p w:rsidR="00F56CD7" w:rsidRPr="004876B7" w:rsidRDefault="004876B7" w:rsidP="00F56CD7">
            <w:pPr>
              <w:jc w:val="both"/>
              <w:rPr>
                <w:i/>
              </w:rPr>
            </w:pPr>
            <w:r w:rsidRPr="004876B7">
              <w:rPr>
                <w:i/>
              </w:rPr>
              <w:t xml:space="preserve">En referencia a un </w:t>
            </w:r>
            <w:r w:rsidR="00F56CD7" w:rsidRPr="004876B7">
              <w:rPr>
                <w:i/>
              </w:rPr>
              <w:t>renglón específico para seguir con las diferentes acciones establecidas dentro de la hoja de ruta para combatir el trabajo infantil aquí en Guatemala</w:t>
            </w:r>
            <w:r w:rsidRPr="004876B7">
              <w:rPr>
                <w:i/>
              </w:rPr>
              <w:t xml:space="preserve">, </w:t>
            </w:r>
            <w:r w:rsidR="00F56CD7" w:rsidRPr="004876B7">
              <w:rPr>
                <w:i/>
              </w:rPr>
              <w:t>tenemos un renglón específico para la implementación de las acciones que parten de la hoja de ruta con articulación lógicamente de esfuerzos con los d</w:t>
            </w:r>
            <w:r w:rsidRPr="004876B7">
              <w:rPr>
                <w:i/>
              </w:rPr>
              <w:t>iferentes sectores que integran, a</w:t>
            </w:r>
            <w:r w:rsidR="00F56CD7" w:rsidRPr="004876B7">
              <w:rPr>
                <w:i/>
              </w:rPr>
              <w:t>sí es que la propuesta ya está incluida den</w:t>
            </w:r>
            <w:r w:rsidR="00FC48FF">
              <w:rPr>
                <w:i/>
              </w:rPr>
              <w:t>tro del presupuesto habría</w:t>
            </w:r>
            <w:r w:rsidR="00F56CD7" w:rsidRPr="004876B7">
              <w:rPr>
                <w:i/>
              </w:rPr>
              <w:t xml:space="preserve"> que esperar la respuesta </w:t>
            </w:r>
            <w:r w:rsidRPr="004876B7">
              <w:rPr>
                <w:i/>
              </w:rPr>
              <w:t>con</w:t>
            </w:r>
            <w:r w:rsidR="00F56CD7" w:rsidRPr="004876B7">
              <w:rPr>
                <w:i/>
              </w:rPr>
              <w:t xml:space="preserve"> base al análisis y lógicamente a las prioridades establecidas por todas las carteras de parte de</w:t>
            </w:r>
            <w:r w:rsidR="00FC48FF">
              <w:rPr>
                <w:i/>
              </w:rPr>
              <w:t>l Ministerio de</w:t>
            </w:r>
            <w:r w:rsidR="00F56CD7" w:rsidRPr="004876B7">
              <w:rPr>
                <w:i/>
              </w:rPr>
              <w:t xml:space="preserve"> Finanzas y po</w:t>
            </w:r>
            <w:r w:rsidRPr="004876B7">
              <w:rPr>
                <w:i/>
              </w:rPr>
              <w:t>steriormente El Congreso de la R</w:t>
            </w:r>
            <w:r w:rsidR="00F56CD7" w:rsidRPr="004876B7">
              <w:rPr>
                <w:i/>
              </w:rPr>
              <w:t>epública.</w:t>
            </w:r>
          </w:p>
          <w:p w:rsidR="004876B7" w:rsidRDefault="00F75CA9" w:rsidP="00661F8B">
            <w:pPr>
              <w:pStyle w:val="Prrafodelista"/>
              <w:numPr>
                <w:ilvl w:val="0"/>
                <w:numId w:val="9"/>
              </w:numPr>
              <w:spacing w:after="200" w:line="276" w:lineRule="auto"/>
              <w:jc w:val="both"/>
            </w:pPr>
            <w:r>
              <w:t xml:space="preserve">Claudia </w:t>
            </w:r>
            <w:r w:rsidR="004876B7">
              <w:t>Galán representante de</w:t>
            </w:r>
            <w:r>
              <w:t xml:space="preserve"> CACIF</w:t>
            </w:r>
            <w:r w:rsidR="004876B7">
              <w:t xml:space="preserve"> realizó la siguiente intervención:</w:t>
            </w:r>
          </w:p>
          <w:p w:rsidR="00F75CA9" w:rsidRDefault="00DF3A3A" w:rsidP="004876B7">
            <w:pPr>
              <w:pStyle w:val="Prrafodelista"/>
              <w:spacing w:after="200" w:line="276" w:lineRule="auto"/>
              <w:jc w:val="both"/>
            </w:pPr>
            <w:r>
              <w:t>S</w:t>
            </w:r>
            <w:r w:rsidR="00F75CA9">
              <w:t xml:space="preserve">e considera que es vital priorizar el gasto pero sobre todo enfocarse en los recursos que van a ser de calidad para el presupuesto 2018. </w:t>
            </w:r>
            <w:r>
              <w:t>L</w:t>
            </w:r>
            <w:r w:rsidR="00F75CA9">
              <w:t xml:space="preserve">a pregunta </w:t>
            </w:r>
            <w:r>
              <w:t>para el Ministerio de Trabajo propiamente es sobre qué</w:t>
            </w:r>
            <w:r w:rsidR="00F75CA9">
              <w:t xml:space="preserve"> priorización tienen para las sigui</w:t>
            </w:r>
            <w:r>
              <w:t>entes direcciones y sobre todo qué recursos esperarían que se pueda</w:t>
            </w:r>
            <w:r w:rsidR="00F75CA9">
              <w:t>n asignar a diferentes direcciones</w:t>
            </w:r>
            <w:r>
              <w:t>, específicamente a la Dirección General de E</w:t>
            </w:r>
            <w:r w:rsidR="00F75CA9">
              <w:t>mpleo</w:t>
            </w:r>
            <w:r w:rsidR="00FC48FF">
              <w:t xml:space="preserve">, </w:t>
            </w:r>
            <w:r>
              <w:t>la Dirección de Previsión Social y la Dirección de Permiso de T</w:t>
            </w:r>
            <w:r w:rsidR="00F75CA9">
              <w:t>rabajo pa</w:t>
            </w:r>
            <w:r>
              <w:t>ra E</w:t>
            </w:r>
            <w:r w:rsidR="00F75CA9">
              <w:t xml:space="preserve">xtranjeros, </w:t>
            </w:r>
            <w:r>
              <w:t>a</w:t>
            </w:r>
            <w:r w:rsidR="00F75CA9">
              <w:t xml:space="preserve">simismo consultarles si ya se tienen capacitación </w:t>
            </w:r>
            <w:r w:rsidR="00F75CA9">
              <w:lastRenderedPageBreak/>
              <w:t>de nuevos inspectores para la inspección general de trabajo sobre todo con la ent</w:t>
            </w:r>
            <w:r>
              <w:t>rada de vigencia del decreto 07-</w:t>
            </w:r>
            <w:r w:rsidR="00F75CA9">
              <w:t xml:space="preserve">2017. </w:t>
            </w:r>
          </w:p>
          <w:p w:rsidR="002C676A" w:rsidRDefault="002C676A" w:rsidP="00661F8B">
            <w:pPr>
              <w:pStyle w:val="Prrafodelista"/>
              <w:spacing w:after="200" w:line="276" w:lineRule="auto"/>
              <w:jc w:val="both"/>
            </w:pPr>
          </w:p>
          <w:p w:rsidR="00DF3A3A" w:rsidRPr="001D36D3" w:rsidRDefault="00DF3A3A" w:rsidP="00DF3A3A">
            <w:pPr>
              <w:spacing w:after="200" w:line="276" w:lineRule="auto"/>
              <w:jc w:val="both"/>
              <w:rPr>
                <w:i/>
              </w:rPr>
            </w:pPr>
            <w:r w:rsidRPr="001D36D3">
              <w:rPr>
                <w:i/>
              </w:rPr>
              <w:t>Respondió la Ministra de Trabajo:</w:t>
            </w:r>
          </w:p>
          <w:p w:rsidR="00DF3A3A" w:rsidRPr="001D36D3" w:rsidRDefault="00DF3A3A" w:rsidP="00DF3A3A">
            <w:pPr>
              <w:spacing w:after="200" w:line="276" w:lineRule="auto"/>
              <w:jc w:val="both"/>
              <w:rPr>
                <w:i/>
              </w:rPr>
            </w:pPr>
            <w:r w:rsidRPr="001D36D3">
              <w:rPr>
                <w:i/>
              </w:rPr>
              <w:t>En el presupuesto que</w:t>
            </w:r>
            <w:r w:rsidR="00F75CA9" w:rsidRPr="001D36D3">
              <w:rPr>
                <w:i/>
              </w:rPr>
              <w:t xml:space="preserve"> presentamos hay una parte medular qué es e</w:t>
            </w:r>
            <w:r w:rsidRPr="001D36D3">
              <w:rPr>
                <w:i/>
              </w:rPr>
              <w:t xml:space="preserve">l fortalecimiento institucional, </w:t>
            </w:r>
            <w:r w:rsidR="00F75CA9" w:rsidRPr="001D36D3">
              <w:rPr>
                <w:i/>
              </w:rPr>
              <w:t>es importante fortalecer las diferentes direcciones partiendo desde el decreto 7</w:t>
            </w:r>
            <w:r w:rsidRPr="001D36D3">
              <w:rPr>
                <w:i/>
              </w:rPr>
              <w:t>- 2017. Para el tema de previsión social, se ha contemplado particularmente la dirección de empleo, y las prioridades establecidas dentro de la cartera de servicios que presta. E</w:t>
            </w:r>
            <w:r w:rsidR="00F75CA9" w:rsidRPr="001D36D3">
              <w:rPr>
                <w:i/>
              </w:rPr>
              <w:t xml:space="preserve">n cuanto a permisos extranjeros justamente cabe dentro de previsión social y empleo </w:t>
            </w:r>
            <w:r w:rsidRPr="001D36D3">
              <w:rPr>
                <w:i/>
              </w:rPr>
              <w:t xml:space="preserve">el Viceministro Gándara </w:t>
            </w:r>
            <w:r w:rsidR="00F75CA9" w:rsidRPr="001D36D3">
              <w:rPr>
                <w:i/>
              </w:rPr>
              <w:t>pued</w:t>
            </w:r>
            <w:r w:rsidRPr="001D36D3">
              <w:rPr>
                <w:i/>
              </w:rPr>
              <w:t xml:space="preserve">en dar los detalles al respecto. </w:t>
            </w:r>
          </w:p>
          <w:p w:rsidR="00DF3A3A" w:rsidRPr="001D36D3" w:rsidRDefault="00F75CA9" w:rsidP="00DF3A3A">
            <w:pPr>
              <w:spacing w:after="200" w:line="276" w:lineRule="auto"/>
              <w:jc w:val="both"/>
              <w:rPr>
                <w:i/>
              </w:rPr>
            </w:pPr>
            <w:r w:rsidRPr="001D36D3">
              <w:rPr>
                <w:i/>
              </w:rPr>
              <w:t xml:space="preserve"> Viceministro </w:t>
            </w:r>
            <w:r w:rsidR="00DF3A3A" w:rsidRPr="001D36D3">
              <w:rPr>
                <w:i/>
              </w:rPr>
              <w:t>Gándara respondió</w:t>
            </w:r>
            <w:r w:rsidRPr="001D36D3">
              <w:rPr>
                <w:i/>
              </w:rPr>
              <w:t xml:space="preserve">, </w:t>
            </w:r>
          </w:p>
          <w:p w:rsidR="00F75CA9" w:rsidRPr="001D36D3" w:rsidRDefault="00DF3A3A" w:rsidP="001D36D3">
            <w:pPr>
              <w:spacing w:after="200" w:line="276" w:lineRule="auto"/>
              <w:jc w:val="both"/>
              <w:rPr>
                <w:i/>
              </w:rPr>
            </w:pPr>
            <w:r w:rsidRPr="001D36D3">
              <w:rPr>
                <w:i/>
              </w:rPr>
              <w:t>En e</w:t>
            </w:r>
            <w:r w:rsidR="00F75CA9" w:rsidRPr="001D36D3">
              <w:rPr>
                <w:i/>
              </w:rPr>
              <w:t>fecto estamos realizando del inicio del mes de mayo un proceso de capacitación para los inspectores a efecto de que tengan las capacidades suficientes para la implementación del nuevo proceso de inspección que está establecido en el decreto 07-2017</w:t>
            </w:r>
            <w:r w:rsidRPr="001D36D3">
              <w:rPr>
                <w:i/>
              </w:rPr>
              <w:t>,</w:t>
            </w:r>
            <w:r w:rsidR="00F75CA9" w:rsidRPr="001D36D3">
              <w:rPr>
                <w:i/>
              </w:rPr>
              <w:t xml:space="preserve"> hemos establecido un presupuesto multia</w:t>
            </w:r>
            <w:r w:rsidRPr="001D36D3">
              <w:rPr>
                <w:i/>
              </w:rPr>
              <w:t>nual que quiero trasladarle al V</w:t>
            </w:r>
            <w:r w:rsidR="00F75CA9" w:rsidRPr="001D36D3">
              <w:rPr>
                <w:i/>
              </w:rPr>
              <w:t>iceministro Álvaro Samayoa y también estamos programando realizar capacitaciones regionales para todos los inspectores de trabajo, comenzamos con los de</w:t>
            </w:r>
            <w:r w:rsidRPr="001D36D3">
              <w:rPr>
                <w:i/>
              </w:rPr>
              <w:t>legados recordemos el decreto 7-</w:t>
            </w:r>
            <w:r w:rsidR="00F75CA9" w:rsidRPr="001D36D3">
              <w:rPr>
                <w:i/>
              </w:rPr>
              <w:t>2017 no está diseñado para imponer sanciones, este decreto que establece el procedimiento de i</w:t>
            </w:r>
            <w:r w:rsidRPr="001D36D3">
              <w:rPr>
                <w:i/>
              </w:rPr>
              <w:t>nspección dentro del Código de T</w:t>
            </w:r>
            <w:r w:rsidR="00F75CA9" w:rsidRPr="001D36D3">
              <w:rPr>
                <w:i/>
              </w:rPr>
              <w:t>rabajo con la posibilidad ante el incumplimiento de la</w:t>
            </w:r>
            <w:r w:rsidRPr="001D36D3">
              <w:rPr>
                <w:i/>
              </w:rPr>
              <w:t xml:space="preserve"> Ley L</w:t>
            </w:r>
            <w:r w:rsidR="00F75CA9" w:rsidRPr="001D36D3">
              <w:rPr>
                <w:i/>
              </w:rPr>
              <w:t>aboral</w:t>
            </w:r>
            <w:r w:rsidR="001D36D3" w:rsidRPr="001D36D3">
              <w:rPr>
                <w:i/>
              </w:rPr>
              <w:t>,</w:t>
            </w:r>
            <w:r w:rsidR="00F75CA9" w:rsidRPr="001D36D3">
              <w:rPr>
                <w:i/>
              </w:rPr>
              <w:t xml:space="preserve"> ya sea de derechos u obligaciones de aquellos administrados que incurran en alguna falta de trabajo esto se  incluyen también un procedimiento de revisión administrativa de las decisiones que emitan los delegados de la inspección general de trabajo de los 22 departamentos de la República en el decreto también se establecen los procedimientos</w:t>
            </w:r>
            <w:r w:rsidR="001D36D3" w:rsidRPr="001D36D3">
              <w:rPr>
                <w:i/>
              </w:rPr>
              <w:t xml:space="preserve"> de remedio judicial en 2 vías, p</w:t>
            </w:r>
            <w:r w:rsidR="00F75CA9" w:rsidRPr="001D36D3">
              <w:rPr>
                <w:i/>
              </w:rPr>
              <w:t>ara determinar si el administrado está en contra de la resolución emitida</w:t>
            </w:r>
            <w:r w:rsidR="001D36D3">
              <w:rPr>
                <w:i/>
              </w:rPr>
              <w:t>,</w:t>
            </w:r>
            <w:r w:rsidR="00F75CA9" w:rsidRPr="001D36D3">
              <w:rPr>
                <w:i/>
              </w:rPr>
              <w:t xml:space="preserve"> tanto en sede administrativa como mediante recurso de revocatoria</w:t>
            </w:r>
            <w:r w:rsidR="001D36D3" w:rsidRPr="001D36D3">
              <w:rPr>
                <w:i/>
              </w:rPr>
              <w:t>,</w:t>
            </w:r>
            <w:r w:rsidR="00F75CA9" w:rsidRPr="001D36D3">
              <w:rPr>
                <w:i/>
              </w:rPr>
              <w:t xml:space="preserve"> y de la misma forma está el siguiente aspecto que es totalmente innovador y es que independientemente si se paga la multa que no se convierta en el remedio más barato para el infractor al medio efe</w:t>
            </w:r>
            <w:r w:rsidR="001D36D3">
              <w:rPr>
                <w:i/>
              </w:rPr>
              <w:t xml:space="preserve">cto de evadir su responsabilidad, </w:t>
            </w:r>
            <w:r w:rsidR="00F75CA9" w:rsidRPr="001D36D3">
              <w:rPr>
                <w:i/>
              </w:rPr>
              <w:t xml:space="preserve"> por lo tanto hemos diseñado el decreto 7-2017 el procedimiento que a pesar de que se pague la multa o no se pagu</w:t>
            </w:r>
            <w:r w:rsidR="001D36D3" w:rsidRPr="001D36D3">
              <w:rPr>
                <w:i/>
              </w:rPr>
              <w:t>e la multa es el Ministerio de T</w:t>
            </w:r>
            <w:r w:rsidR="00F75CA9" w:rsidRPr="001D36D3">
              <w:rPr>
                <w:i/>
              </w:rPr>
              <w:t>rabajo es el que le dará seguimiento ante los juzgados de trabajo y previsión social</w:t>
            </w:r>
            <w:r w:rsidR="001D36D3" w:rsidRPr="001D36D3">
              <w:rPr>
                <w:i/>
              </w:rPr>
              <w:t>,</w:t>
            </w:r>
            <w:r w:rsidR="00F75CA9" w:rsidRPr="001D36D3">
              <w:rPr>
                <w:i/>
              </w:rPr>
              <w:t xml:space="preserve"> para retornar a la legalidad aquellos infractores de las normas de trabajo y previsión social</w:t>
            </w:r>
            <w:r w:rsidR="001D36D3" w:rsidRPr="001D36D3">
              <w:rPr>
                <w:i/>
              </w:rPr>
              <w:t>,</w:t>
            </w:r>
            <w:r w:rsidR="00F75CA9" w:rsidRPr="001D36D3">
              <w:rPr>
                <w:i/>
              </w:rPr>
              <w:t xml:space="preserve"> entonces quisimos desmitificar esta creencia de lo que hicimos fue devolverle la capacidad sanatorial </w:t>
            </w:r>
            <w:r w:rsidR="001D36D3" w:rsidRPr="001D36D3">
              <w:rPr>
                <w:i/>
              </w:rPr>
              <w:t xml:space="preserve">de </w:t>
            </w:r>
            <w:r w:rsidR="00F75CA9" w:rsidRPr="001D36D3">
              <w:rPr>
                <w:i/>
              </w:rPr>
              <w:t>inspección</w:t>
            </w:r>
            <w:r w:rsidR="001D36D3">
              <w:rPr>
                <w:i/>
              </w:rPr>
              <w:t>,</w:t>
            </w:r>
            <w:r w:rsidR="00F75CA9" w:rsidRPr="001D36D3">
              <w:rPr>
                <w:i/>
              </w:rPr>
              <w:t xml:space="preserve"> cuando realmente es lo que estamos buscando es generar cultura de cumplimiento de l</w:t>
            </w:r>
            <w:r w:rsidR="001D36D3" w:rsidRPr="001D36D3">
              <w:rPr>
                <w:i/>
              </w:rPr>
              <w:t>os Derechos L</w:t>
            </w:r>
            <w:r w:rsidR="00F75CA9" w:rsidRPr="001D36D3">
              <w:rPr>
                <w:i/>
              </w:rPr>
              <w:t>aborales y de las obligaciones laborales</w:t>
            </w:r>
            <w:r w:rsidR="001D36D3">
              <w:rPr>
                <w:i/>
              </w:rPr>
              <w:t>, como es el camino y r</w:t>
            </w:r>
            <w:r w:rsidR="00F75CA9" w:rsidRPr="001D36D3">
              <w:rPr>
                <w:i/>
              </w:rPr>
              <w:t>etorno a la legalidad recordemos quienes están en regla no tengan ningún problema y quiénes no lo estén habrá una posibilidad</w:t>
            </w:r>
            <w:r w:rsidR="001D36D3">
              <w:rPr>
                <w:i/>
              </w:rPr>
              <w:t>,</w:t>
            </w:r>
            <w:r w:rsidR="00F75CA9" w:rsidRPr="001D36D3">
              <w:rPr>
                <w:i/>
              </w:rPr>
              <w:t xml:space="preserve"> una asesoría</w:t>
            </w:r>
            <w:r w:rsidR="001D36D3">
              <w:rPr>
                <w:i/>
              </w:rPr>
              <w:t>,</w:t>
            </w:r>
            <w:r w:rsidR="00F75CA9" w:rsidRPr="001D36D3">
              <w:rPr>
                <w:i/>
              </w:rPr>
              <w:t xml:space="preserve"> una prevención que permitan tomar las decisiones de una mejor forma por parte de los empleadores y los trabajadores</w:t>
            </w:r>
            <w:r w:rsidR="001D36D3">
              <w:rPr>
                <w:i/>
              </w:rPr>
              <w:t>,</w:t>
            </w:r>
            <w:r w:rsidR="00F75CA9" w:rsidRPr="001D36D3">
              <w:rPr>
                <w:i/>
              </w:rPr>
              <w:t xml:space="preserve"> recordemos ambos son los </w:t>
            </w:r>
            <w:r w:rsidR="00F75CA9" w:rsidRPr="001D36D3">
              <w:rPr>
                <w:i/>
              </w:rPr>
              <w:lastRenderedPageBreak/>
              <w:t xml:space="preserve">sujetos de las relaciones laborales ambos tienen derechos y obligaciones de las normas laborales y ambos son los que deben de crear esta cultura de legalidad en el país. </w:t>
            </w:r>
          </w:p>
          <w:p w:rsidR="001D36D3" w:rsidRPr="001D36D3" w:rsidRDefault="001D36D3" w:rsidP="001D36D3">
            <w:pPr>
              <w:jc w:val="both"/>
              <w:rPr>
                <w:i/>
              </w:rPr>
            </w:pPr>
            <w:r w:rsidRPr="001D36D3">
              <w:rPr>
                <w:i/>
              </w:rPr>
              <w:t>En relación a la Dirección General de E</w:t>
            </w:r>
            <w:r w:rsidR="00F75CA9" w:rsidRPr="001D36D3">
              <w:rPr>
                <w:i/>
              </w:rPr>
              <w:t>mpleo qué tiene que ver también con el otorgamiento de permisos de extranjeros en nuestro presupuesto identificado en programa 17</w:t>
            </w:r>
            <w:r w:rsidRPr="001D36D3">
              <w:rPr>
                <w:i/>
              </w:rPr>
              <w:t xml:space="preserve">, quedó el monto definido. </w:t>
            </w:r>
          </w:p>
          <w:p w:rsidR="00F56CD7" w:rsidRDefault="001D36D3" w:rsidP="001D36D3">
            <w:pPr>
              <w:jc w:val="both"/>
            </w:pPr>
            <w:r w:rsidRPr="001D36D3">
              <w:rPr>
                <w:i/>
              </w:rPr>
              <w:t>Cabe r</w:t>
            </w:r>
            <w:r w:rsidR="00F75CA9" w:rsidRPr="001D36D3">
              <w:rPr>
                <w:i/>
              </w:rPr>
              <w:t>esaltar avances significativos en el trámite de permisos extranjeros que tenía una duración Superior a los 34 meses para el otorgamiento de un permiso ahora hemos reducido el trámite del mismo a 20 días a un mes aproximadamente</w:t>
            </w:r>
            <w:r w:rsidRPr="001D36D3">
              <w:rPr>
                <w:i/>
              </w:rPr>
              <w:t>,</w:t>
            </w:r>
            <w:r w:rsidR="00F75CA9" w:rsidRPr="001D36D3">
              <w:rPr>
                <w:i/>
              </w:rPr>
              <w:t xml:space="preserve"> esto nos lleva a la conclusión de que administrar eficientemente los recursos </w:t>
            </w:r>
            <w:r w:rsidRPr="001D36D3">
              <w:rPr>
                <w:i/>
              </w:rPr>
              <w:t xml:space="preserve">que son pocos, </w:t>
            </w:r>
            <w:r w:rsidR="00F75CA9" w:rsidRPr="001D36D3">
              <w:rPr>
                <w:i/>
              </w:rPr>
              <w:t xml:space="preserve"> con los que contamos en este momento podemos dar un mejor servicio a la población e importante también identificar que dentro del programa 17 qué tiene que ver con la formación de la formalidad del empleo pretendemos tener má</w:t>
            </w:r>
            <w:r w:rsidRPr="001D36D3">
              <w:rPr>
                <w:i/>
              </w:rPr>
              <w:t xml:space="preserve">s presencia a nivel territorial. </w:t>
            </w:r>
          </w:p>
        </w:tc>
      </w:tr>
    </w:tbl>
    <w:p w:rsidR="0093780D" w:rsidRDefault="0093780D" w:rsidP="00906836">
      <w:pPr>
        <w:jc w:val="center"/>
      </w:pPr>
    </w:p>
    <w:sectPr w:rsidR="0093780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97" w:rsidRDefault="009D0297" w:rsidP="00566CD2">
      <w:pPr>
        <w:spacing w:after="0" w:line="240" w:lineRule="auto"/>
      </w:pPr>
      <w:r>
        <w:separator/>
      </w:r>
    </w:p>
  </w:endnote>
  <w:endnote w:type="continuationSeparator" w:id="0">
    <w:p w:rsidR="009D0297" w:rsidRDefault="009D0297" w:rsidP="0056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97" w:rsidRDefault="009D0297" w:rsidP="00566CD2">
      <w:pPr>
        <w:spacing w:after="0" w:line="240" w:lineRule="auto"/>
      </w:pPr>
      <w:r>
        <w:separator/>
      </w:r>
    </w:p>
  </w:footnote>
  <w:footnote w:type="continuationSeparator" w:id="0">
    <w:p w:rsidR="009D0297" w:rsidRDefault="009D0297" w:rsidP="0056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D2" w:rsidRDefault="00566CD2">
    <w:pPr>
      <w:pStyle w:val="Encabezado"/>
    </w:pPr>
    <w:r>
      <w:rPr>
        <w:noProof/>
        <w:lang w:eastAsia="es-GT"/>
      </w:rPr>
      <w:drawing>
        <wp:inline distT="0" distB="0" distL="0" distR="0" wp14:anchorId="5B64F623" wp14:editId="767B5381">
          <wp:extent cx="1779270" cy="835025"/>
          <wp:effectExtent l="0" t="0" r="0" b="317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EBB47B9"/>
    <w:multiLevelType w:val="hybridMultilevel"/>
    <w:tmpl w:val="1FFC8C76"/>
    <w:lvl w:ilvl="0" w:tplc="BA909BCA">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77D54B4"/>
    <w:multiLevelType w:val="hybridMultilevel"/>
    <w:tmpl w:val="68AACE44"/>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6" w15:restartNumberingAfterBreak="0">
    <w:nsid w:val="48593CFB"/>
    <w:multiLevelType w:val="hybridMultilevel"/>
    <w:tmpl w:val="396EB47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A6554D2"/>
    <w:multiLevelType w:val="hybridMultilevel"/>
    <w:tmpl w:val="E83E4DC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B605432"/>
    <w:multiLevelType w:val="hybridMultilevel"/>
    <w:tmpl w:val="99DAB6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61111FC1"/>
    <w:multiLevelType w:val="hybridMultilevel"/>
    <w:tmpl w:val="03AAC8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BAD741C"/>
    <w:multiLevelType w:val="hybridMultilevel"/>
    <w:tmpl w:val="335A4DF8"/>
    <w:lvl w:ilvl="0" w:tplc="98EE84A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3"/>
  </w:num>
  <w:num w:numId="6">
    <w:abstractNumId w:val="6"/>
  </w:num>
  <w:num w:numId="7">
    <w:abstractNumId w:val="1"/>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21CD1"/>
    <w:rsid w:val="0002777D"/>
    <w:rsid w:val="00083E62"/>
    <w:rsid w:val="00091219"/>
    <w:rsid w:val="000E26CE"/>
    <w:rsid w:val="000E5650"/>
    <w:rsid w:val="000E6520"/>
    <w:rsid w:val="000F07D7"/>
    <w:rsid w:val="000F31CE"/>
    <w:rsid w:val="000F33DD"/>
    <w:rsid w:val="00162C11"/>
    <w:rsid w:val="001877CA"/>
    <w:rsid w:val="00195E13"/>
    <w:rsid w:val="001B1F01"/>
    <w:rsid w:val="001D36D3"/>
    <w:rsid w:val="001F7088"/>
    <w:rsid w:val="00235DBE"/>
    <w:rsid w:val="002826EF"/>
    <w:rsid w:val="002A36D8"/>
    <w:rsid w:val="002C103F"/>
    <w:rsid w:val="002C676A"/>
    <w:rsid w:val="002C780A"/>
    <w:rsid w:val="002E239C"/>
    <w:rsid w:val="003217FD"/>
    <w:rsid w:val="00357915"/>
    <w:rsid w:val="003750B8"/>
    <w:rsid w:val="003A396C"/>
    <w:rsid w:val="003A7574"/>
    <w:rsid w:val="003B55EC"/>
    <w:rsid w:val="003C2DD2"/>
    <w:rsid w:val="003D1522"/>
    <w:rsid w:val="003D173F"/>
    <w:rsid w:val="003D2E02"/>
    <w:rsid w:val="003F2378"/>
    <w:rsid w:val="004054CA"/>
    <w:rsid w:val="00413925"/>
    <w:rsid w:val="00431F1E"/>
    <w:rsid w:val="0044135A"/>
    <w:rsid w:val="00466614"/>
    <w:rsid w:val="004876B7"/>
    <w:rsid w:val="00493748"/>
    <w:rsid w:val="004C6DE1"/>
    <w:rsid w:val="004D7798"/>
    <w:rsid w:val="004F0E6A"/>
    <w:rsid w:val="005046C8"/>
    <w:rsid w:val="00552629"/>
    <w:rsid w:val="00554CCE"/>
    <w:rsid w:val="00566CD2"/>
    <w:rsid w:val="005827E1"/>
    <w:rsid w:val="005C3E56"/>
    <w:rsid w:val="005C783E"/>
    <w:rsid w:val="006056A1"/>
    <w:rsid w:val="00661F8B"/>
    <w:rsid w:val="00666545"/>
    <w:rsid w:val="00697138"/>
    <w:rsid w:val="007048B6"/>
    <w:rsid w:val="007436D0"/>
    <w:rsid w:val="00783142"/>
    <w:rsid w:val="007F7F20"/>
    <w:rsid w:val="00807E3B"/>
    <w:rsid w:val="0084365F"/>
    <w:rsid w:val="0085279A"/>
    <w:rsid w:val="0085300F"/>
    <w:rsid w:val="008633F6"/>
    <w:rsid w:val="008740AE"/>
    <w:rsid w:val="008F5F11"/>
    <w:rsid w:val="00904545"/>
    <w:rsid w:val="00905DC9"/>
    <w:rsid w:val="00906836"/>
    <w:rsid w:val="009077AB"/>
    <w:rsid w:val="0091250F"/>
    <w:rsid w:val="00927DCE"/>
    <w:rsid w:val="009311D6"/>
    <w:rsid w:val="0093780D"/>
    <w:rsid w:val="0094401D"/>
    <w:rsid w:val="00967AFC"/>
    <w:rsid w:val="00976D92"/>
    <w:rsid w:val="009A7EAC"/>
    <w:rsid w:val="009D0297"/>
    <w:rsid w:val="00A20FAF"/>
    <w:rsid w:val="00A83910"/>
    <w:rsid w:val="00AA5FC2"/>
    <w:rsid w:val="00AD2CA8"/>
    <w:rsid w:val="00AE0222"/>
    <w:rsid w:val="00AE1A3F"/>
    <w:rsid w:val="00AE2B0E"/>
    <w:rsid w:val="00B157D0"/>
    <w:rsid w:val="00B4031F"/>
    <w:rsid w:val="00B64A6D"/>
    <w:rsid w:val="00B93092"/>
    <w:rsid w:val="00BA3A30"/>
    <w:rsid w:val="00BB25C4"/>
    <w:rsid w:val="00C15FCD"/>
    <w:rsid w:val="00C16BE3"/>
    <w:rsid w:val="00C911BE"/>
    <w:rsid w:val="00CA4C76"/>
    <w:rsid w:val="00CD2B7D"/>
    <w:rsid w:val="00CE5D33"/>
    <w:rsid w:val="00CF4702"/>
    <w:rsid w:val="00D12064"/>
    <w:rsid w:val="00D15F84"/>
    <w:rsid w:val="00D235E8"/>
    <w:rsid w:val="00D30D8E"/>
    <w:rsid w:val="00D5016C"/>
    <w:rsid w:val="00D70C7D"/>
    <w:rsid w:val="00D92828"/>
    <w:rsid w:val="00DA2F9F"/>
    <w:rsid w:val="00DC20B1"/>
    <w:rsid w:val="00DC55A0"/>
    <w:rsid w:val="00DD00D6"/>
    <w:rsid w:val="00DF3A3A"/>
    <w:rsid w:val="00E0038A"/>
    <w:rsid w:val="00E13B82"/>
    <w:rsid w:val="00E17540"/>
    <w:rsid w:val="00E57F7D"/>
    <w:rsid w:val="00E61EAA"/>
    <w:rsid w:val="00E72C50"/>
    <w:rsid w:val="00E94239"/>
    <w:rsid w:val="00E95B19"/>
    <w:rsid w:val="00ED74A7"/>
    <w:rsid w:val="00EE07C8"/>
    <w:rsid w:val="00F03AA9"/>
    <w:rsid w:val="00F25F85"/>
    <w:rsid w:val="00F56CD7"/>
    <w:rsid w:val="00F72344"/>
    <w:rsid w:val="00F75CA9"/>
    <w:rsid w:val="00FA3D32"/>
    <w:rsid w:val="00FC48FF"/>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B931B-E7EF-453E-979F-A36D196C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Encabezado">
    <w:name w:val="header"/>
    <w:basedOn w:val="Normal"/>
    <w:link w:val="EncabezadoCar"/>
    <w:uiPriority w:val="99"/>
    <w:unhideWhenUsed/>
    <w:rsid w:val="00566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CD2"/>
  </w:style>
  <w:style w:type="paragraph" w:styleId="Piedepgina">
    <w:name w:val="footer"/>
    <w:basedOn w:val="Normal"/>
    <w:link w:val="PiedepginaCar"/>
    <w:uiPriority w:val="99"/>
    <w:unhideWhenUsed/>
    <w:rsid w:val="00566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02132049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509175415">
      <w:bodyDiv w:val="1"/>
      <w:marLeft w:val="0"/>
      <w:marRight w:val="0"/>
      <w:marTop w:val="0"/>
      <w:marBottom w:val="0"/>
      <w:divBdr>
        <w:top w:val="none" w:sz="0" w:space="0" w:color="auto"/>
        <w:left w:val="none" w:sz="0" w:space="0" w:color="auto"/>
        <w:bottom w:val="none" w:sz="0" w:space="0" w:color="auto"/>
        <w:right w:val="none" w:sz="0" w:space="0" w:color="auto"/>
      </w:divBdr>
    </w:div>
    <w:div w:id="1582442882">
      <w:bodyDiv w:val="1"/>
      <w:marLeft w:val="0"/>
      <w:marRight w:val="0"/>
      <w:marTop w:val="0"/>
      <w:marBottom w:val="0"/>
      <w:divBdr>
        <w:top w:val="none" w:sz="0" w:space="0" w:color="auto"/>
        <w:left w:val="none" w:sz="0" w:space="0" w:color="auto"/>
        <w:bottom w:val="none" w:sz="0" w:space="0" w:color="auto"/>
        <w:right w:val="none" w:sz="0" w:space="0" w:color="auto"/>
      </w:divBdr>
    </w:div>
    <w:div w:id="1654142723">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TRABAJO Y PREVISI</a:t>
            </a:r>
            <a:r>
              <a:rPr lang="en-US" baseline="0">
                <a:latin typeface="Calibri" panose="020F0502020204030204" pitchFamily="34" charset="0"/>
                <a:cs typeface="Calibri" panose="020F0502020204030204" pitchFamily="34" charset="0"/>
              </a:rPr>
              <a:t>ÓN SOCIAL</a:t>
            </a:r>
            <a:endParaRPr lang="en-US"/>
          </a:p>
        </c:rich>
      </c:tx>
      <c:overlay val="0"/>
    </c:title>
    <c:autoTitleDeleted val="0"/>
    <c:plotArea>
      <c:layout/>
      <c:barChart>
        <c:barDir val="col"/>
        <c:grouping val="clustered"/>
        <c:varyColors val="0"/>
        <c:ser>
          <c:idx val="0"/>
          <c:order val="0"/>
          <c:tx>
            <c:strRef>
              <c:f>MINTRAB!$D$9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MINTRAB!$B$3:$G$3</c:f>
              <c:strCache>
                <c:ptCount val="6"/>
                <c:pt idx="0">
                  <c:v>Presupuesto  aprobado 2017</c:v>
                </c:pt>
                <c:pt idx="1">
                  <c:v>Solicitado 2018</c:v>
                </c:pt>
                <c:pt idx="2">
                  <c:v>Solicitado 2019</c:v>
                </c:pt>
                <c:pt idx="3">
                  <c:v>Solicitado 2020</c:v>
                </c:pt>
                <c:pt idx="4">
                  <c:v>Solicitado 2021</c:v>
                </c:pt>
                <c:pt idx="5">
                  <c:v>Solicitado 2022</c:v>
                </c:pt>
              </c:strCache>
            </c:strRef>
          </c:cat>
          <c:val>
            <c:numRef>
              <c:f>MINTRAB!$B$4:$G$4</c:f>
              <c:numCache>
                <c:formatCode>_("Q"* #,##0_);_("Q"* \(#,##0\);_("Q"* "-"??_);_(@_)</c:formatCode>
                <c:ptCount val="6"/>
                <c:pt idx="0">
                  <c:v>664000000</c:v>
                </c:pt>
                <c:pt idx="1">
                  <c:v>614325252</c:v>
                </c:pt>
                <c:pt idx="2">
                  <c:v>485068246.60000002</c:v>
                </c:pt>
                <c:pt idx="3">
                  <c:v>494666663.39999998</c:v>
                </c:pt>
                <c:pt idx="4">
                  <c:v>519362712.39999998</c:v>
                </c:pt>
                <c:pt idx="5">
                  <c:v>540200695.98000002</c:v>
                </c:pt>
              </c:numCache>
            </c:numRef>
          </c:val>
          <c:extLst>
            <c:ext xmlns:c16="http://schemas.microsoft.com/office/drawing/2014/chart" uri="{C3380CC4-5D6E-409C-BE32-E72D297353CC}">
              <c16:uniqueId val="{00000000-D4E3-4A73-AF13-B672987082EB}"/>
            </c:ext>
          </c:extLst>
        </c:ser>
        <c:dLbls>
          <c:showLegendKey val="0"/>
          <c:showVal val="0"/>
          <c:showCatName val="0"/>
          <c:showSerName val="0"/>
          <c:showPercent val="0"/>
          <c:showBubbleSize val="0"/>
        </c:dLbls>
        <c:gapWidth val="75"/>
        <c:overlap val="-25"/>
        <c:axId val="95657984"/>
        <c:axId val="95659520"/>
      </c:barChart>
      <c:catAx>
        <c:axId val="95657984"/>
        <c:scaling>
          <c:orientation val="minMax"/>
        </c:scaling>
        <c:delete val="0"/>
        <c:axPos val="b"/>
        <c:numFmt formatCode="General" sourceLinked="0"/>
        <c:majorTickMark val="none"/>
        <c:minorTickMark val="none"/>
        <c:tickLblPos val="nextTo"/>
        <c:crossAx val="95659520"/>
        <c:crosses val="autoZero"/>
        <c:auto val="1"/>
        <c:lblAlgn val="ctr"/>
        <c:lblOffset val="100"/>
        <c:noMultiLvlLbl val="0"/>
      </c:catAx>
      <c:valAx>
        <c:axId val="95659520"/>
        <c:scaling>
          <c:orientation val="minMax"/>
        </c:scaling>
        <c:delete val="0"/>
        <c:axPos val="l"/>
        <c:majorGridlines/>
        <c:numFmt formatCode="_(&quot;Q&quot;* #,##0_);_(&quot;Q&quot;* \(#,##0\);_(&quot;Q&quot;* &quot;-&quot;??_);_(@_)" sourceLinked="1"/>
        <c:majorTickMark val="none"/>
        <c:minorTickMark val="none"/>
        <c:tickLblPos val="nextTo"/>
        <c:spPr>
          <a:ln w="9525">
            <a:noFill/>
          </a:ln>
        </c:spPr>
        <c:crossAx val="956579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2017-06-26T15:14:00Z</dcterms:created>
  <dcterms:modified xsi:type="dcterms:W3CDTF">2017-06-26T15:14:00Z</dcterms:modified>
</cp:coreProperties>
</file>