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w:t>
      </w:r>
      <w:r>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E573FE">
        <w:rPr>
          <w:b/>
          <w:sz w:val="28"/>
          <w:szCs w:val="24"/>
        </w:rPr>
        <w:t>SECRETARÍ</w:t>
      </w:r>
      <w:r w:rsidR="00BB5572">
        <w:rPr>
          <w:b/>
          <w:sz w:val="28"/>
          <w:szCs w:val="24"/>
        </w:rPr>
        <w:t xml:space="preserve">A NACIONAL DE CIENCIA Y TECNOLOGÍA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780A95">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CF2DF6" w:rsidRDefault="00CF2DF6" w:rsidP="00CF2DF6">
            <w:pPr>
              <w:spacing w:after="0"/>
              <w:jc w:val="both"/>
              <w:rPr>
                <w:b/>
              </w:rPr>
            </w:pPr>
          </w:p>
          <w:p w:rsidR="00CF2DF6" w:rsidRDefault="00CF2DF6" w:rsidP="00CF2DF6">
            <w:pPr>
              <w:spacing w:after="0"/>
              <w:jc w:val="both"/>
            </w:pPr>
            <w:r w:rsidRPr="003D3088">
              <w:rPr>
                <w:b/>
              </w:rPr>
              <w:t>MINISTERIO DE FINANZAS PÚBLICAS:</w:t>
            </w:r>
            <w:r>
              <w:t xml:space="preserve"> El señor Ministro en funciones del Ministerio de Finanzas Públicas, Víctor Martínez, dirigió palabras de bienvenida a la audiencia, realizó la presentación de las diferentes etapas  que componen el proceso presupuestario, los plazos legales para cada una de ellas, incluyendo su integración y principales actores. </w:t>
            </w:r>
          </w:p>
          <w:p w:rsidR="00CF2DF6" w:rsidRDefault="00CF2DF6" w:rsidP="00CF2DF6">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CF2DF6" w:rsidRDefault="00CF2DF6" w:rsidP="00CF2DF6">
            <w:pPr>
              <w:spacing w:after="0"/>
              <w:jc w:val="both"/>
            </w:pPr>
            <w:r>
              <w:t xml:space="preserve">Señaló las acciones que ya han sido realizadas, entre ellas:  </w:t>
            </w:r>
          </w:p>
          <w:p w:rsidR="00CF2DF6" w:rsidRPr="00DC4BCC" w:rsidRDefault="00CF2DF6" w:rsidP="00CF2DF6">
            <w:pPr>
              <w:numPr>
                <w:ilvl w:val="0"/>
                <w:numId w:val="5"/>
              </w:numPr>
              <w:spacing w:after="0"/>
              <w:jc w:val="both"/>
            </w:pPr>
            <w:r w:rsidRPr="003E6C78">
              <w:t xml:space="preserve">Definición de escenario macro fiscal – </w:t>
            </w:r>
            <w:r w:rsidRPr="00DC4BCC">
              <w:rPr>
                <w:bCs/>
              </w:rPr>
              <w:t xml:space="preserve">Exposición de supuestos Banguat-SAT </w:t>
            </w:r>
          </w:p>
          <w:p w:rsidR="00CF2DF6" w:rsidRPr="00DC4BCC" w:rsidRDefault="00CF2DF6" w:rsidP="00CF2DF6">
            <w:pPr>
              <w:numPr>
                <w:ilvl w:val="0"/>
                <w:numId w:val="5"/>
              </w:numPr>
              <w:spacing w:after="0"/>
              <w:jc w:val="both"/>
            </w:pPr>
            <w:r w:rsidRPr="00DC4BCC">
              <w:t>Talleres de Micro simulaciones –</w:t>
            </w:r>
            <w:r w:rsidRPr="00DC4BCC">
              <w:rPr>
                <w:bCs/>
              </w:rPr>
              <w:t xml:space="preserve"> Apoyo de Cooperación Internacional</w:t>
            </w:r>
          </w:p>
          <w:p w:rsidR="00CF2DF6" w:rsidRPr="00DC4BCC" w:rsidRDefault="00CF2DF6" w:rsidP="00CF2DF6">
            <w:pPr>
              <w:numPr>
                <w:ilvl w:val="0"/>
                <w:numId w:val="5"/>
              </w:numPr>
              <w:spacing w:after="0"/>
              <w:jc w:val="both"/>
            </w:pPr>
            <w:r w:rsidRPr="00DC4BCC">
              <w:t xml:space="preserve">Talleres Sectoriales con Expertos – </w:t>
            </w:r>
            <w:r w:rsidRPr="00DC4BCC">
              <w:rPr>
                <w:bCs/>
              </w:rPr>
              <w:t xml:space="preserve">Diagnóstico de seis sectores priorizados </w:t>
            </w:r>
          </w:p>
          <w:p w:rsidR="00CF2DF6" w:rsidRDefault="00CF2DF6" w:rsidP="00CF2DF6">
            <w:pPr>
              <w:spacing w:after="0"/>
              <w:jc w:val="both"/>
            </w:pPr>
            <w:r>
              <w:t xml:space="preserve">Actualmente se están realizando los talleres de presupuesto abierto 2018 como insumo  para la definición de los techos presupuestarios. </w:t>
            </w:r>
          </w:p>
          <w:p w:rsidR="00CF2DF6" w:rsidRPr="005610B6" w:rsidRDefault="00CF2DF6" w:rsidP="00CF2DF6">
            <w:pPr>
              <w:spacing w:after="0"/>
              <w:jc w:val="both"/>
              <w:rPr>
                <w:sz w:val="4"/>
              </w:rPr>
            </w:pPr>
          </w:p>
          <w:p w:rsidR="00CF2DF6" w:rsidRDefault="00CF2DF6" w:rsidP="00CF2DF6">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CF2DF6" w:rsidRPr="005610B6" w:rsidRDefault="00CF2DF6" w:rsidP="00CF2DF6">
            <w:pPr>
              <w:spacing w:after="0"/>
              <w:jc w:val="both"/>
              <w:rPr>
                <w:sz w:val="4"/>
                <w:lang w:val="es-ES"/>
              </w:rPr>
            </w:pPr>
          </w:p>
          <w:p w:rsidR="00CF2DF6" w:rsidRDefault="00CF2DF6" w:rsidP="00CF2DF6">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CF2DF6" w:rsidRDefault="00CF2DF6" w:rsidP="00CF2DF6">
            <w:pPr>
              <w:spacing w:after="0"/>
              <w:jc w:val="both"/>
            </w:pPr>
          </w:p>
          <w:p w:rsidR="00CF2DF6" w:rsidRPr="005610B6" w:rsidRDefault="00CF2DF6" w:rsidP="00CF2DF6">
            <w:pPr>
              <w:spacing w:after="0"/>
              <w:jc w:val="both"/>
              <w:rPr>
                <w:sz w:val="2"/>
              </w:rPr>
            </w:pPr>
          </w:p>
          <w:p w:rsidR="00CF2DF6" w:rsidRDefault="00CF2DF6" w:rsidP="00CF2DF6">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CF2DF6" w:rsidRDefault="00CF2DF6" w:rsidP="00CF2DF6">
            <w:pPr>
              <w:spacing w:after="0"/>
              <w:jc w:val="both"/>
              <w:rPr>
                <w:lang w:val="es-ES"/>
              </w:rPr>
            </w:pPr>
          </w:p>
          <w:p w:rsidR="00CF2DF6" w:rsidRDefault="00CF2DF6" w:rsidP="00CF2DF6">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CF2DF6" w:rsidRDefault="00CF2DF6" w:rsidP="00CF2DF6">
            <w:pPr>
              <w:spacing w:after="0"/>
              <w:jc w:val="center"/>
              <w:rPr>
                <w:lang w:val="es-ES"/>
              </w:rPr>
            </w:pPr>
          </w:p>
          <w:p w:rsidR="00CF2DF6" w:rsidRDefault="00CF2DF6" w:rsidP="00CF2DF6">
            <w:pPr>
              <w:spacing w:after="0"/>
              <w:jc w:val="center"/>
              <w:rPr>
                <w:lang w:val="es-ES"/>
              </w:rPr>
            </w:pPr>
          </w:p>
          <w:p w:rsidR="00CF2DF6" w:rsidRDefault="00CF2DF6" w:rsidP="00CF2DF6">
            <w:pPr>
              <w:spacing w:after="0"/>
              <w:jc w:val="center"/>
              <w:rPr>
                <w:lang w:val="es-ES"/>
              </w:rPr>
            </w:pPr>
          </w:p>
          <w:p w:rsidR="00CF2DF6" w:rsidRDefault="00CF2DF6" w:rsidP="00CF2DF6">
            <w:pPr>
              <w:spacing w:after="0"/>
              <w:jc w:val="center"/>
              <w:rPr>
                <w:lang w:val="es-ES"/>
              </w:rPr>
            </w:pPr>
          </w:p>
          <w:p w:rsidR="00CF2DF6" w:rsidRDefault="00CF2DF6" w:rsidP="00CF2DF6">
            <w:pPr>
              <w:spacing w:after="0"/>
              <w:jc w:val="center"/>
              <w:rPr>
                <w:lang w:val="es-ES"/>
              </w:rPr>
            </w:pPr>
          </w:p>
          <w:p w:rsidR="00CF2DF6" w:rsidRDefault="00CF2DF6" w:rsidP="00CF2DF6">
            <w:pPr>
              <w:spacing w:after="0"/>
              <w:jc w:val="center"/>
              <w:rPr>
                <w:lang w:val="es-ES"/>
              </w:rPr>
            </w:pPr>
          </w:p>
          <w:p w:rsidR="00CF2DF6" w:rsidRDefault="00CF2DF6" w:rsidP="00CF2DF6">
            <w:pPr>
              <w:spacing w:after="0"/>
              <w:jc w:val="center"/>
              <w:rPr>
                <w:lang w:val="es-ES"/>
              </w:rPr>
            </w:pPr>
            <w:r>
              <w:rPr>
                <w:lang w:val="es-ES"/>
              </w:rPr>
              <w:t xml:space="preserve">Gráfica No. 1 </w:t>
            </w:r>
          </w:p>
          <w:p w:rsidR="00CF2DF6" w:rsidRDefault="00CF2DF6" w:rsidP="00CF2DF6">
            <w:pPr>
              <w:spacing w:after="0"/>
              <w:jc w:val="center"/>
            </w:pPr>
            <w:r>
              <w:rPr>
                <w:noProof/>
                <w:lang w:eastAsia="es-GT"/>
              </w:rPr>
              <w:drawing>
                <wp:inline distT="0" distB="0" distL="0" distR="0" wp14:anchorId="5C5A85BB" wp14:editId="17C94E5F">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CF2DF6" w:rsidRDefault="00CF2DF6" w:rsidP="00CF2DF6">
            <w:pPr>
              <w:jc w:val="right"/>
            </w:pPr>
            <w:r>
              <w:t>Fuente: Presentación del señor Ministro de Finanzas Públicas en funciones</w:t>
            </w:r>
          </w:p>
          <w:p w:rsidR="00CF2DF6" w:rsidRDefault="00CF2DF6" w:rsidP="00CF2DF6">
            <w:pPr>
              <w:spacing w:after="0"/>
              <w:jc w:val="both"/>
            </w:pPr>
            <w:r>
              <w:t xml:space="preserve">Finalmente enfatizó que el objetivo de los talleres es fortalecer el Gobierno Abierto, la democracia y agradeció la participación de las personas de los diferentes sectores presentes en el taller y los insto a emitir sus comentarios y aportes. </w:t>
            </w:r>
          </w:p>
          <w:p w:rsidR="00CF2DF6" w:rsidRPr="005610B6" w:rsidRDefault="00CF2DF6" w:rsidP="00CF2DF6">
            <w:pPr>
              <w:spacing w:after="0"/>
              <w:jc w:val="both"/>
              <w:rPr>
                <w:sz w:val="6"/>
              </w:rPr>
            </w:pPr>
          </w:p>
          <w:p w:rsidR="00CF2DF6" w:rsidRDefault="00CF2DF6" w:rsidP="00CF2DF6">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Angel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CF2DF6" w:rsidP="00CF2DF6">
            <w:pPr>
              <w:spacing w:after="0"/>
              <w:jc w:val="both"/>
            </w:pPr>
            <w:r>
              <w:t>Para hacer viable la programación multianual de cinco años,  es necesario un esfuerzo estratégico y coordinado de parte de todas las entidades de Gobierno para conseguir los resultados que nos propongamos para una mejor Guatemala.</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780A95">
        <w:trPr>
          <w:trHeight w:val="332"/>
          <w:tblHeader/>
          <w:jc w:val="center"/>
        </w:trPr>
        <w:tc>
          <w:tcPr>
            <w:tcW w:w="8978" w:type="dxa"/>
            <w:shd w:val="clear" w:color="auto" w:fill="B8CCE4" w:themeFill="accent1" w:themeFillTint="66"/>
          </w:tcPr>
          <w:p w:rsidR="005610B6" w:rsidRPr="009316AF" w:rsidRDefault="005610B6" w:rsidP="00D50B15">
            <w:pPr>
              <w:spacing w:after="0" w:line="240" w:lineRule="auto"/>
              <w:jc w:val="center"/>
              <w:rPr>
                <w:b/>
                <w:sz w:val="28"/>
                <w:szCs w:val="24"/>
              </w:rPr>
            </w:pPr>
            <w:r>
              <w:rPr>
                <w:b/>
                <w:sz w:val="28"/>
                <w:szCs w:val="24"/>
              </w:rPr>
              <w:t>PRESENTACIÓN</w:t>
            </w:r>
            <w:r w:rsidR="00D50B15">
              <w:rPr>
                <w:b/>
                <w:sz w:val="28"/>
                <w:szCs w:val="24"/>
              </w:rPr>
              <w:t xml:space="preserve"> DE LA SECRETARÍA NACIONAL DE CIENCIA Y TECNOLOGÍA </w:t>
            </w:r>
          </w:p>
        </w:tc>
      </w:tr>
      <w:tr w:rsidR="005610B6" w:rsidRPr="00114000" w:rsidTr="0075044F">
        <w:trPr>
          <w:trHeight w:val="450"/>
          <w:jc w:val="center"/>
        </w:trPr>
        <w:tc>
          <w:tcPr>
            <w:tcW w:w="8978" w:type="dxa"/>
          </w:tcPr>
          <w:p w:rsidR="001318B0" w:rsidRDefault="001318B0" w:rsidP="0075044F">
            <w:pPr>
              <w:spacing w:after="0"/>
              <w:jc w:val="both"/>
            </w:pPr>
          </w:p>
          <w:p w:rsidR="00517D09" w:rsidRDefault="00E573FE" w:rsidP="0075044F">
            <w:pPr>
              <w:spacing w:after="0"/>
              <w:jc w:val="both"/>
            </w:pPr>
            <w:r>
              <w:t xml:space="preserve">El señor Secretario de </w:t>
            </w:r>
            <w:r w:rsidR="00470A80">
              <w:t>la Secretaría Nacional de Ciencia y Tecnología, Doctor Oscar Manuel Cobar, presentó la visión</w:t>
            </w:r>
            <w:r w:rsidR="00CD463B">
              <w:t>, la misión</w:t>
            </w:r>
            <w:r w:rsidR="00470A80">
              <w:t xml:space="preserve"> y la base legal de SENA</w:t>
            </w:r>
            <w:r w:rsidR="00CD463B">
              <w:t xml:space="preserve">CYT, la composición del SINCYT </w:t>
            </w:r>
            <w:r w:rsidR="00470A80">
              <w:t>como un eje articulador del sector púb</w:t>
            </w:r>
            <w:r w:rsidR="00CD463B">
              <w:t>lico,</w:t>
            </w:r>
            <w:r w:rsidR="00470A80">
              <w:t xml:space="preserve"> privado y la academia. </w:t>
            </w:r>
          </w:p>
          <w:p w:rsidR="00470A80" w:rsidRDefault="00470A80" w:rsidP="0075044F">
            <w:pPr>
              <w:spacing w:after="0"/>
              <w:jc w:val="both"/>
            </w:pPr>
            <w:r>
              <w:t xml:space="preserve">El marco legal y político internacional del cual Guatemala es signatario, el presupuesto asignado históricamente, el presupuesto del año 2017 e hizo referencia al porcentaje del PIB que Guatemala destina para Investigación y Desarrollo comparándolo con otros países centroamericanos, </w:t>
            </w:r>
            <w:r w:rsidR="00CD463B">
              <w:t xml:space="preserve">Guatemala tiene </w:t>
            </w:r>
            <w:r>
              <w:t xml:space="preserve">un rezago bastante </w:t>
            </w:r>
            <w:r w:rsidR="00CD463B">
              <w:t>grande</w:t>
            </w:r>
            <w:r>
              <w:t xml:space="preserve"> en el tema. </w:t>
            </w:r>
          </w:p>
          <w:p w:rsidR="008A63E2" w:rsidRDefault="00470A80" w:rsidP="00CD463B">
            <w:pPr>
              <w:spacing w:after="0"/>
              <w:jc w:val="both"/>
              <w:rPr>
                <w:bCs/>
                <w:lang w:val="es-MX"/>
              </w:rPr>
            </w:pPr>
            <w:r>
              <w:t xml:space="preserve">Presentó como está distribuida la oferta para el 2018, </w:t>
            </w:r>
            <w:r w:rsidR="00CD463B">
              <w:t>así</w:t>
            </w:r>
            <w:r>
              <w:t xml:space="preserve"> como las necesidades presupuestaria de cada </w:t>
            </w:r>
            <w:r w:rsidR="00CD463B">
              <w:t>área</w:t>
            </w:r>
            <w:r>
              <w:t xml:space="preserve">, </w:t>
            </w:r>
            <w:r w:rsidR="00CD463B">
              <w:t xml:space="preserve">la priorización y la importancia de </w:t>
            </w:r>
            <w:r w:rsidR="00CD463B">
              <w:rPr>
                <w:bCs/>
                <w:lang w:val="es-MX"/>
              </w:rPr>
              <w:t>d</w:t>
            </w:r>
            <w:r w:rsidR="00213DBD" w:rsidRPr="00CD463B">
              <w:rPr>
                <w:bCs/>
                <w:lang w:val="es-MX"/>
              </w:rPr>
              <w:t>irigir acciones en el marco de la operativ</w:t>
            </w:r>
            <w:r w:rsidR="00CD463B" w:rsidRPr="00CD463B">
              <w:rPr>
                <w:bCs/>
                <w:lang w:val="es-MX"/>
              </w:rPr>
              <w:t>ización de la Política de CTi, a</w:t>
            </w:r>
            <w:r w:rsidR="00213DBD" w:rsidRPr="00CD463B">
              <w:rPr>
                <w:bCs/>
                <w:lang w:val="es-MX"/>
              </w:rPr>
              <w:t>postar a la formación del capital humano, investigación científica, desarrollo y transferencia de tecnología, innovación y popularización ci</w:t>
            </w:r>
            <w:r w:rsidR="00CD463B" w:rsidRPr="00CD463B">
              <w:rPr>
                <w:bCs/>
                <w:lang w:val="es-MX"/>
              </w:rPr>
              <w:t>entífico-tecnológica, y g</w:t>
            </w:r>
            <w:r w:rsidR="00213DBD" w:rsidRPr="00CD463B">
              <w:rPr>
                <w:bCs/>
                <w:lang w:val="es-MX"/>
              </w:rPr>
              <w:t xml:space="preserve">enerar </w:t>
            </w:r>
            <w:r w:rsidR="003F744B">
              <w:rPr>
                <w:bCs/>
                <w:lang w:val="es-MX"/>
              </w:rPr>
              <w:lastRenderedPageBreak/>
              <w:t>conocimiento científico para su aplicación en</w:t>
            </w:r>
            <w:r w:rsidR="00213DBD" w:rsidRPr="00CD463B">
              <w:rPr>
                <w:bCs/>
                <w:lang w:val="es-MX"/>
              </w:rPr>
              <w:t xml:space="preserve"> el desarrollo del país.</w:t>
            </w:r>
          </w:p>
          <w:p w:rsidR="00D50B15" w:rsidRPr="00114000" w:rsidRDefault="00CD463B" w:rsidP="001318B0">
            <w:pPr>
              <w:spacing w:after="0"/>
              <w:jc w:val="both"/>
            </w:pPr>
            <w:r>
              <w:rPr>
                <w:bCs/>
                <w:lang w:val="es-MX"/>
              </w:rPr>
              <w:t xml:space="preserve">Presento </w:t>
            </w:r>
            <w:r>
              <w:t>la oferta programática multianual de SENACYT que sirvió de base pa</w:t>
            </w:r>
            <w:r w:rsidR="00D4336F">
              <w:t xml:space="preserve">ra la tabla y gráfica siguiente. </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PRESUPUESTO ACTUAL Y PROYECTADO DE</w:t>
      </w:r>
      <w:r w:rsidR="005F7C41">
        <w:rPr>
          <w:b/>
          <w:sz w:val="28"/>
          <w:szCs w:val="24"/>
        </w:rPr>
        <w:t xml:space="preserve"> SENACYT</w:t>
      </w:r>
    </w:p>
    <w:tbl>
      <w:tblPr>
        <w:tblStyle w:val="Tablaconcuadrcula"/>
        <w:tblW w:w="0" w:type="auto"/>
        <w:jc w:val="center"/>
        <w:tblLook w:val="04A0" w:firstRow="1" w:lastRow="0" w:firstColumn="1" w:lastColumn="0" w:noHBand="0" w:noVBand="1"/>
      </w:tblPr>
      <w:tblGrid>
        <w:gridCol w:w="1717"/>
        <w:gridCol w:w="1203"/>
        <w:gridCol w:w="1226"/>
        <w:gridCol w:w="1227"/>
        <w:gridCol w:w="1227"/>
        <w:gridCol w:w="1227"/>
        <w:gridCol w:w="1227"/>
      </w:tblGrid>
      <w:tr w:rsidR="005610B6" w:rsidRPr="001B63E6" w:rsidTr="001B63E6">
        <w:trPr>
          <w:jc w:val="center"/>
        </w:trPr>
        <w:tc>
          <w:tcPr>
            <w:tcW w:w="1809"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Año</w:t>
            </w:r>
          </w:p>
        </w:tc>
        <w:tc>
          <w:tcPr>
            <w:tcW w:w="1091"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2017</w:t>
            </w:r>
          </w:p>
        </w:tc>
        <w:tc>
          <w:tcPr>
            <w:tcW w:w="1230"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2018</w:t>
            </w:r>
          </w:p>
        </w:tc>
        <w:tc>
          <w:tcPr>
            <w:tcW w:w="1231"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2019</w:t>
            </w:r>
          </w:p>
        </w:tc>
        <w:tc>
          <w:tcPr>
            <w:tcW w:w="1231"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2020</w:t>
            </w:r>
          </w:p>
        </w:tc>
        <w:tc>
          <w:tcPr>
            <w:tcW w:w="1231"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2021</w:t>
            </w:r>
          </w:p>
        </w:tc>
        <w:tc>
          <w:tcPr>
            <w:tcW w:w="1231" w:type="dxa"/>
            <w:shd w:val="clear" w:color="auto" w:fill="B8CCE4" w:themeFill="accent1" w:themeFillTint="66"/>
            <w:vAlign w:val="center"/>
          </w:tcPr>
          <w:p w:rsidR="005610B6" w:rsidRPr="001B63E6" w:rsidRDefault="005610B6" w:rsidP="001B63E6">
            <w:pPr>
              <w:spacing w:after="0" w:line="240" w:lineRule="auto"/>
              <w:jc w:val="center"/>
              <w:rPr>
                <w:b/>
                <w:sz w:val="18"/>
                <w:szCs w:val="24"/>
              </w:rPr>
            </w:pPr>
            <w:r w:rsidRPr="001B63E6">
              <w:rPr>
                <w:b/>
                <w:sz w:val="18"/>
                <w:szCs w:val="24"/>
              </w:rPr>
              <w:t>2022</w:t>
            </w:r>
          </w:p>
        </w:tc>
      </w:tr>
      <w:tr w:rsidR="00780A95" w:rsidRPr="001B63E6" w:rsidTr="001B63E6">
        <w:trPr>
          <w:trHeight w:val="306"/>
          <w:jc w:val="center"/>
        </w:trPr>
        <w:tc>
          <w:tcPr>
            <w:tcW w:w="1809" w:type="dxa"/>
            <w:shd w:val="clear" w:color="auto" w:fill="B8CCE4" w:themeFill="accent1" w:themeFillTint="66"/>
            <w:vAlign w:val="center"/>
          </w:tcPr>
          <w:p w:rsidR="00780A95" w:rsidRPr="001B63E6" w:rsidRDefault="00780A95" w:rsidP="001B63E6">
            <w:pPr>
              <w:spacing w:after="0" w:line="240" w:lineRule="auto"/>
              <w:jc w:val="center"/>
              <w:rPr>
                <w:b/>
                <w:sz w:val="18"/>
                <w:szCs w:val="24"/>
              </w:rPr>
            </w:pPr>
            <w:r w:rsidRPr="001B63E6">
              <w:rPr>
                <w:b/>
                <w:sz w:val="18"/>
                <w:szCs w:val="24"/>
              </w:rPr>
              <w:t>Presupuesto</w:t>
            </w:r>
          </w:p>
        </w:tc>
        <w:tc>
          <w:tcPr>
            <w:tcW w:w="1091" w:type="dxa"/>
            <w:vAlign w:val="center"/>
          </w:tcPr>
          <w:p w:rsidR="00780A95" w:rsidRPr="001B63E6" w:rsidRDefault="001B63E6" w:rsidP="001B63E6">
            <w:pPr>
              <w:jc w:val="center"/>
              <w:rPr>
                <w:rFonts w:ascii="Calibri" w:hAnsi="Calibri"/>
                <w:color w:val="000000"/>
                <w:sz w:val="18"/>
              </w:rPr>
            </w:pPr>
            <w:r w:rsidRPr="001B63E6">
              <w:rPr>
                <w:rFonts w:ascii="Calibri" w:hAnsi="Calibri"/>
                <w:color w:val="000000"/>
                <w:sz w:val="18"/>
              </w:rPr>
              <w:t>Q.</w:t>
            </w:r>
            <w:r w:rsidR="00780A95" w:rsidRPr="001B63E6">
              <w:rPr>
                <w:rFonts w:ascii="Calibri" w:hAnsi="Calibri"/>
                <w:color w:val="000000"/>
                <w:sz w:val="18"/>
              </w:rPr>
              <w:t>33,485,000</w:t>
            </w:r>
          </w:p>
        </w:tc>
        <w:tc>
          <w:tcPr>
            <w:tcW w:w="1230" w:type="dxa"/>
            <w:vAlign w:val="center"/>
          </w:tcPr>
          <w:p w:rsidR="00780A95" w:rsidRPr="001B63E6" w:rsidRDefault="001B63E6" w:rsidP="001B63E6">
            <w:pPr>
              <w:jc w:val="center"/>
              <w:rPr>
                <w:rFonts w:ascii="Calibri" w:hAnsi="Calibri"/>
                <w:color w:val="000000"/>
                <w:sz w:val="18"/>
              </w:rPr>
            </w:pPr>
            <w:r w:rsidRPr="001B63E6">
              <w:rPr>
                <w:rFonts w:ascii="Calibri" w:hAnsi="Calibri"/>
                <w:color w:val="000000"/>
                <w:sz w:val="18"/>
              </w:rPr>
              <w:t>Q.</w:t>
            </w:r>
            <w:r w:rsidR="00780A95" w:rsidRPr="001B63E6">
              <w:rPr>
                <w:rFonts w:ascii="Calibri" w:hAnsi="Calibri"/>
                <w:color w:val="000000"/>
                <w:sz w:val="18"/>
              </w:rPr>
              <w:t>53,245,050</w:t>
            </w:r>
          </w:p>
        </w:tc>
        <w:tc>
          <w:tcPr>
            <w:tcW w:w="1231" w:type="dxa"/>
            <w:vAlign w:val="center"/>
          </w:tcPr>
          <w:p w:rsidR="00780A95" w:rsidRPr="001B63E6" w:rsidRDefault="001B63E6" w:rsidP="001B63E6">
            <w:pPr>
              <w:jc w:val="center"/>
              <w:rPr>
                <w:rFonts w:ascii="Calibri" w:hAnsi="Calibri"/>
                <w:color w:val="000000"/>
                <w:sz w:val="18"/>
              </w:rPr>
            </w:pPr>
            <w:r w:rsidRPr="001B63E6">
              <w:rPr>
                <w:rFonts w:ascii="Calibri" w:hAnsi="Calibri"/>
                <w:color w:val="000000"/>
                <w:sz w:val="18"/>
              </w:rPr>
              <w:t>Q.</w:t>
            </w:r>
            <w:r w:rsidR="00780A95" w:rsidRPr="001B63E6">
              <w:rPr>
                <w:rFonts w:ascii="Calibri" w:hAnsi="Calibri"/>
                <w:color w:val="000000"/>
                <w:sz w:val="18"/>
              </w:rPr>
              <w:t>55,123,620</w:t>
            </w:r>
          </w:p>
        </w:tc>
        <w:tc>
          <w:tcPr>
            <w:tcW w:w="1231" w:type="dxa"/>
            <w:vAlign w:val="center"/>
          </w:tcPr>
          <w:p w:rsidR="00780A95" w:rsidRPr="001B63E6" w:rsidRDefault="001B63E6" w:rsidP="001B63E6">
            <w:pPr>
              <w:jc w:val="center"/>
              <w:rPr>
                <w:rFonts w:ascii="Calibri" w:hAnsi="Calibri"/>
                <w:color w:val="000000"/>
                <w:sz w:val="18"/>
              </w:rPr>
            </w:pPr>
            <w:r w:rsidRPr="001B63E6">
              <w:rPr>
                <w:rFonts w:ascii="Calibri" w:hAnsi="Calibri"/>
                <w:color w:val="000000"/>
                <w:sz w:val="18"/>
              </w:rPr>
              <w:t>Q.</w:t>
            </w:r>
            <w:r w:rsidR="00780A95" w:rsidRPr="001B63E6">
              <w:rPr>
                <w:rFonts w:ascii="Calibri" w:hAnsi="Calibri"/>
                <w:color w:val="000000"/>
                <w:sz w:val="18"/>
              </w:rPr>
              <w:t>57,119,050</w:t>
            </w:r>
          </w:p>
        </w:tc>
        <w:tc>
          <w:tcPr>
            <w:tcW w:w="1231" w:type="dxa"/>
            <w:vAlign w:val="center"/>
          </w:tcPr>
          <w:p w:rsidR="00780A95" w:rsidRPr="001B63E6" w:rsidRDefault="001B63E6" w:rsidP="001B63E6">
            <w:pPr>
              <w:jc w:val="center"/>
              <w:rPr>
                <w:rFonts w:ascii="Calibri" w:hAnsi="Calibri"/>
                <w:color w:val="000000"/>
                <w:sz w:val="18"/>
              </w:rPr>
            </w:pPr>
            <w:r w:rsidRPr="001B63E6">
              <w:rPr>
                <w:rFonts w:ascii="Calibri" w:hAnsi="Calibri"/>
                <w:color w:val="000000"/>
                <w:sz w:val="18"/>
              </w:rPr>
              <w:t>Q.</w:t>
            </w:r>
            <w:r w:rsidR="00780A95" w:rsidRPr="001B63E6">
              <w:rPr>
                <w:rFonts w:ascii="Calibri" w:hAnsi="Calibri"/>
                <w:color w:val="000000"/>
                <w:sz w:val="18"/>
              </w:rPr>
              <w:t>59,260,710</w:t>
            </w:r>
          </w:p>
        </w:tc>
        <w:tc>
          <w:tcPr>
            <w:tcW w:w="1231" w:type="dxa"/>
            <w:vAlign w:val="center"/>
          </w:tcPr>
          <w:p w:rsidR="00780A95" w:rsidRPr="001B63E6" w:rsidRDefault="001B63E6" w:rsidP="001B63E6">
            <w:pPr>
              <w:jc w:val="center"/>
              <w:rPr>
                <w:rFonts w:ascii="Calibri" w:hAnsi="Calibri"/>
                <w:color w:val="000000"/>
                <w:sz w:val="18"/>
              </w:rPr>
            </w:pPr>
            <w:r w:rsidRPr="001B63E6">
              <w:rPr>
                <w:rFonts w:ascii="Calibri" w:hAnsi="Calibri"/>
                <w:color w:val="000000"/>
                <w:sz w:val="18"/>
              </w:rPr>
              <w:t>Q.</w:t>
            </w:r>
            <w:r w:rsidR="00780A95" w:rsidRPr="001B63E6">
              <w:rPr>
                <w:rFonts w:ascii="Calibri" w:hAnsi="Calibri"/>
                <w:color w:val="000000"/>
                <w:sz w:val="18"/>
              </w:rPr>
              <w:t>60,257,739</w:t>
            </w:r>
          </w:p>
        </w:tc>
      </w:tr>
      <w:tr w:rsidR="00780A95" w:rsidRPr="001B63E6" w:rsidTr="001B63E6">
        <w:trPr>
          <w:trHeight w:val="376"/>
          <w:jc w:val="center"/>
        </w:trPr>
        <w:tc>
          <w:tcPr>
            <w:tcW w:w="1809" w:type="dxa"/>
            <w:shd w:val="clear" w:color="auto" w:fill="B8CCE4" w:themeFill="accent1" w:themeFillTint="66"/>
            <w:vAlign w:val="center"/>
          </w:tcPr>
          <w:p w:rsidR="00780A95" w:rsidRPr="001B63E6" w:rsidRDefault="00780A95" w:rsidP="001B63E6">
            <w:pPr>
              <w:spacing w:after="0" w:line="240" w:lineRule="auto"/>
              <w:jc w:val="center"/>
              <w:rPr>
                <w:b/>
                <w:sz w:val="18"/>
                <w:szCs w:val="24"/>
              </w:rPr>
            </w:pPr>
            <w:r w:rsidRPr="001B63E6">
              <w:rPr>
                <w:b/>
                <w:sz w:val="18"/>
                <w:szCs w:val="24"/>
              </w:rPr>
              <w:t>% de variación</w:t>
            </w:r>
          </w:p>
        </w:tc>
        <w:tc>
          <w:tcPr>
            <w:tcW w:w="1091" w:type="dxa"/>
            <w:vAlign w:val="center"/>
          </w:tcPr>
          <w:p w:rsidR="00780A95" w:rsidRPr="001B63E6" w:rsidRDefault="00780A95" w:rsidP="001B63E6">
            <w:pPr>
              <w:jc w:val="center"/>
              <w:rPr>
                <w:rFonts w:ascii="Calibri" w:hAnsi="Calibri"/>
                <w:color w:val="000000"/>
                <w:sz w:val="18"/>
              </w:rPr>
            </w:pPr>
            <w:r w:rsidRPr="001B63E6">
              <w:rPr>
                <w:rFonts w:ascii="Calibri" w:hAnsi="Calibri"/>
                <w:color w:val="000000"/>
                <w:sz w:val="18"/>
              </w:rPr>
              <w:t>N/A</w:t>
            </w:r>
          </w:p>
        </w:tc>
        <w:tc>
          <w:tcPr>
            <w:tcW w:w="1230" w:type="dxa"/>
            <w:vAlign w:val="center"/>
          </w:tcPr>
          <w:p w:rsidR="00780A95" w:rsidRPr="001B63E6" w:rsidRDefault="00780A95" w:rsidP="001B63E6">
            <w:pPr>
              <w:jc w:val="center"/>
              <w:rPr>
                <w:rFonts w:ascii="Calibri" w:hAnsi="Calibri"/>
                <w:color w:val="000000"/>
                <w:sz w:val="18"/>
              </w:rPr>
            </w:pPr>
            <w:r w:rsidRPr="001B63E6">
              <w:rPr>
                <w:rFonts w:ascii="Calibri" w:hAnsi="Calibri"/>
                <w:color w:val="000000"/>
                <w:sz w:val="18"/>
              </w:rPr>
              <w:t>59.01</w:t>
            </w:r>
          </w:p>
        </w:tc>
        <w:tc>
          <w:tcPr>
            <w:tcW w:w="1231" w:type="dxa"/>
            <w:vAlign w:val="center"/>
          </w:tcPr>
          <w:p w:rsidR="00780A95" w:rsidRPr="001B63E6" w:rsidRDefault="00780A95" w:rsidP="001B63E6">
            <w:pPr>
              <w:jc w:val="center"/>
              <w:rPr>
                <w:rFonts w:ascii="Calibri" w:hAnsi="Calibri"/>
                <w:color w:val="000000"/>
                <w:sz w:val="18"/>
              </w:rPr>
            </w:pPr>
            <w:r w:rsidRPr="001B63E6">
              <w:rPr>
                <w:rFonts w:ascii="Calibri" w:hAnsi="Calibri"/>
                <w:color w:val="000000"/>
                <w:sz w:val="18"/>
              </w:rPr>
              <w:t>3.53</w:t>
            </w:r>
          </w:p>
        </w:tc>
        <w:tc>
          <w:tcPr>
            <w:tcW w:w="1231" w:type="dxa"/>
            <w:vAlign w:val="center"/>
          </w:tcPr>
          <w:p w:rsidR="00780A95" w:rsidRPr="001B63E6" w:rsidRDefault="00780A95" w:rsidP="001B63E6">
            <w:pPr>
              <w:jc w:val="center"/>
              <w:rPr>
                <w:rFonts w:ascii="Calibri" w:hAnsi="Calibri"/>
                <w:color w:val="000000"/>
                <w:sz w:val="18"/>
              </w:rPr>
            </w:pPr>
            <w:r w:rsidRPr="001B63E6">
              <w:rPr>
                <w:rFonts w:ascii="Calibri" w:hAnsi="Calibri"/>
                <w:color w:val="000000"/>
                <w:sz w:val="18"/>
              </w:rPr>
              <w:t>3.62</w:t>
            </w:r>
          </w:p>
        </w:tc>
        <w:tc>
          <w:tcPr>
            <w:tcW w:w="1231" w:type="dxa"/>
            <w:vAlign w:val="center"/>
          </w:tcPr>
          <w:p w:rsidR="00780A95" w:rsidRPr="001B63E6" w:rsidRDefault="00780A95" w:rsidP="001B63E6">
            <w:pPr>
              <w:jc w:val="center"/>
              <w:rPr>
                <w:rFonts w:ascii="Calibri" w:hAnsi="Calibri"/>
                <w:color w:val="000000"/>
                <w:sz w:val="18"/>
              </w:rPr>
            </w:pPr>
            <w:r w:rsidRPr="001B63E6">
              <w:rPr>
                <w:rFonts w:ascii="Calibri" w:hAnsi="Calibri"/>
                <w:color w:val="000000"/>
                <w:sz w:val="18"/>
              </w:rPr>
              <w:t>3.75</w:t>
            </w:r>
          </w:p>
        </w:tc>
        <w:tc>
          <w:tcPr>
            <w:tcW w:w="1231" w:type="dxa"/>
            <w:vAlign w:val="center"/>
          </w:tcPr>
          <w:p w:rsidR="00780A95" w:rsidRPr="001B63E6" w:rsidRDefault="00780A95" w:rsidP="001B63E6">
            <w:pPr>
              <w:jc w:val="center"/>
              <w:rPr>
                <w:rFonts w:ascii="Calibri" w:hAnsi="Calibri"/>
                <w:color w:val="000000"/>
                <w:sz w:val="18"/>
              </w:rPr>
            </w:pPr>
            <w:r w:rsidRPr="001B63E6">
              <w:rPr>
                <w:rFonts w:ascii="Calibri" w:hAnsi="Calibri"/>
                <w:color w:val="000000"/>
                <w:sz w:val="18"/>
              </w:rPr>
              <w:t>1.68</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1B63E6" w:rsidP="005610B6">
                            <w:pPr>
                              <w:jc w:val="center"/>
                            </w:pPr>
                            <w:r>
                              <w:rPr>
                                <w:noProof/>
                                <w:lang w:eastAsia="es-GT"/>
                              </w:rPr>
                              <w:drawing>
                                <wp:inline distT="0" distB="0" distL="0" distR="0" wp14:anchorId="79CE88BF" wp14:editId="3C2800B5">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1B63E6" w:rsidP="005610B6">
                      <w:pPr>
                        <w:jc w:val="center"/>
                      </w:pPr>
                      <w:r>
                        <w:rPr>
                          <w:noProof/>
                          <w:lang w:eastAsia="es-GT"/>
                        </w:rPr>
                        <w:drawing>
                          <wp:inline distT="0" distB="0" distL="0" distR="0" wp14:anchorId="79CE88BF" wp14:editId="3C2800B5">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DA2DAA">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75044F">
        <w:trPr>
          <w:trHeight w:val="805"/>
        </w:trPr>
        <w:tc>
          <w:tcPr>
            <w:tcW w:w="8978" w:type="dxa"/>
          </w:tcPr>
          <w:p w:rsidR="00F93186" w:rsidRDefault="00F93186" w:rsidP="003F744B">
            <w:pPr>
              <w:pStyle w:val="Prrafodelista"/>
              <w:numPr>
                <w:ilvl w:val="0"/>
                <w:numId w:val="1"/>
              </w:numPr>
              <w:spacing w:before="240"/>
              <w:jc w:val="both"/>
            </w:pPr>
            <w:r>
              <w:t>Servicios de apoyo a las actividades, programas</w:t>
            </w:r>
            <w:r w:rsidR="00E573FE">
              <w:t xml:space="preserve"> </w:t>
            </w:r>
            <w:r>
              <w:t xml:space="preserve">y proyectos del Fondo Nacional de Ciencia y Tecnología </w:t>
            </w:r>
          </w:p>
          <w:p w:rsidR="00F93186" w:rsidRDefault="00F93186" w:rsidP="003F744B">
            <w:pPr>
              <w:pStyle w:val="Prrafodelista"/>
              <w:numPr>
                <w:ilvl w:val="0"/>
                <w:numId w:val="1"/>
              </w:numPr>
              <w:spacing w:before="240"/>
              <w:jc w:val="both"/>
            </w:pPr>
            <w:r>
              <w:t xml:space="preserve">Dirección y Coordinación </w:t>
            </w:r>
          </w:p>
          <w:p w:rsidR="003F744B" w:rsidRDefault="00F93186" w:rsidP="003F744B">
            <w:pPr>
              <w:pStyle w:val="Prrafodelista"/>
              <w:numPr>
                <w:ilvl w:val="0"/>
                <w:numId w:val="1"/>
              </w:numPr>
              <w:spacing w:before="240"/>
              <w:jc w:val="both"/>
            </w:pPr>
            <w:r>
              <w:t xml:space="preserve">Apoyo a las actividades con enfoque de género </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DA2DAA">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6F3714" w:rsidRPr="006F3714" w:rsidRDefault="006F3714" w:rsidP="003F744B">
            <w:pPr>
              <w:pStyle w:val="Prrafodelista"/>
              <w:numPr>
                <w:ilvl w:val="0"/>
                <w:numId w:val="23"/>
              </w:numPr>
              <w:spacing w:before="240"/>
              <w:jc w:val="both"/>
            </w:pPr>
            <w:r w:rsidRPr="006F3714">
              <w:rPr>
                <w:lang w:val="es-MX"/>
              </w:rPr>
              <w:t xml:space="preserve">Formación de capital humano de alto nivel </w:t>
            </w:r>
          </w:p>
          <w:p w:rsidR="006F3714" w:rsidRPr="006F3714" w:rsidRDefault="006F3714" w:rsidP="003F744B">
            <w:pPr>
              <w:pStyle w:val="Prrafodelista"/>
              <w:numPr>
                <w:ilvl w:val="0"/>
                <w:numId w:val="23"/>
              </w:numPr>
              <w:spacing w:before="240"/>
              <w:jc w:val="both"/>
            </w:pPr>
            <w:r w:rsidRPr="006F3714">
              <w:rPr>
                <w:lang w:val="es-MX"/>
              </w:rPr>
              <w:t xml:space="preserve">Investigación basada en demandas sociales y productivas </w:t>
            </w:r>
          </w:p>
          <w:p w:rsidR="006F3714" w:rsidRPr="006F3714" w:rsidRDefault="006F3714" w:rsidP="003F744B">
            <w:pPr>
              <w:pStyle w:val="Prrafodelista"/>
              <w:numPr>
                <w:ilvl w:val="0"/>
                <w:numId w:val="23"/>
              </w:numPr>
              <w:spacing w:before="240"/>
              <w:jc w:val="both"/>
            </w:pPr>
            <w:r w:rsidRPr="006F3714">
              <w:rPr>
                <w:lang w:val="es-MX"/>
              </w:rPr>
              <w:t xml:space="preserve">Innovación y transferencia de tecnología </w:t>
            </w:r>
          </w:p>
          <w:p w:rsidR="005610B6" w:rsidRDefault="006F3714" w:rsidP="003F744B">
            <w:pPr>
              <w:pStyle w:val="Prrafodelista"/>
              <w:numPr>
                <w:ilvl w:val="0"/>
                <w:numId w:val="23"/>
              </w:numPr>
              <w:spacing w:before="240"/>
              <w:jc w:val="both"/>
            </w:pPr>
            <w:r w:rsidRPr="006F3714">
              <w:rPr>
                <w:lang w:val="es-MX"/>
              </w:rPr>
              <w:t>Popula</w:t>
            </w:r>
            <w:r w:rsidR="00DA2DAA">
              <w:rPr>
                <w:lang w:val="es-MX"/>
              </w:rPr>
              <w:t>rización científico-tecnológica</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DA2DAA">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lastRenderedPageBreak/>
              <w:br w:type="page"/>
            </w:r>
            <w:r w:rsidR="0093780D">
              <w:rPr>
                <w:b/>
                <w:sz w:val="32"/>
                <w:szCs w:val="24"/>
              </w:rPr>
              <w:t xml:space="preserve">APORTES Y RETROALIMENTACIÓN </w:t>
            </w:r>
          </w:p>
        </w:tc>
      </w:tr>
      <w:tr w:rsidR="0093780D" w:rsidTr="00470A80">
        <w:trPr>
          <w:trHeight w:val="255"/>
        </w:trPr>
        <w:tc>
          <w:tcPr>
            <w:tcW w:w="8978" w:type="dxa"/>
          </w:tcPr>
          <w:p w:rsidR="00E573FE" w:rsidRDefault="00E573FE" w:rsidP="00DA2DAA">
            <w:pPr>
              <w:jc w:val="both"/>
              <w:rPr>
                <w:highlight w:val="cyan"/>
              </w:rPr>
            </w:pPr>
          </w:p>
          <w:p w:rsidR="00E573FE" w:rsidRPr="00E573FE" w:rsidRDefault="003F744B" w:rsidP="00DA2DAA">
            <w:pPr>
              <w:pStyle w:val="Prrafodelista"/>
              <w:numPr>
                <w:ilvl w:val="0"/>
                <w:numId w:val="21"/>
              </w:numPr>
              <w:jc w:val="both"/>
            </w:pPr>
            <w:r>
              <w:t>El r</w:t>
            </w:r>
            <w:r w:rsidR="00E573FE" w:rsidRPr="00E573FE">
              <w:t>epresentante del Consejo Superior Universitario C</w:t>
            </w:r>
            <w:r w:rsidR="00023156" w:rsidRPr="00E573FE">
              <w:t xml:space="preserve">entroamericano </w:t>
            </w:r>
            <w:r w:rsidR="00E573FE" w:rsidRPr="00E573FE">
              <w:t xml:space="preserve">comentó lo siguiente: </w:t>
            </w:r>
          </w:p>
          <w:p w:rsidR="00E573FE" w:rsidRPr="00E573FE" w:rsidRDefault="00E573FE" w:rsidP="00DA2DAA">
            <w:pPr>
              <w:pStyle w:val="Prrafodelista"/>
              <w:jc w:val="both"/>
            </w:pPr>
            <w:r w:rsidRPr="00E573FE">
              <w:t>E</w:t>
            </w:r>
            <w:r w:rsidR="00023156" w:rsidRPr="00E573FE">
              <w:t>s impresionante lo</w:t>
            </w:r>
            <w:r w:rsidR="003F744B">
              <w:t xml:space="preserve"> que</w:t>
            </w:r>
            <w:r>
              <w:t xml:space="preserve"> SENACYT</w:t>
            </w:r>
            <w:r w:rsidR="00023156" w:rsidRPr="00E573FE">
              <w:t xml:space="preserve"> está haciendo con los pocos recursos que se tienen</w:t>
            </w:r>
            <w:r w:rsidR="003F744B">
              <w:t>,</w:t>
            </w:r>
            <w:r w:rsidR="00023156" w:rsidRPr="00E573FE">
              <w:t xml:space="preserve"> creo que están solicitando </w:t>
            </w:r>
            <w:r w:rsidRPr="00E573FE">
              <w:t xml:space="preserve">18 millones de quetzales </w:t>
            </w:r>
            <w:r w:rsidR="00023156" w:rsidRPr="00E573FE">
              <w:t>de incremento</w:t>
            </w:r>
            <w:r w:rsidRPr="00E573FE">
              <w:t xml:space="preserve">, un incremento  pequeño </w:t>
            </w:r>
            <w:r w:rsidR="00023156" w:rsidRPr="00E573FE">
              <w:t>pero tenemos la seguridad y la confianza</w:t>
            </w:r>
            <w:r w:rsidRPr="00E573FE">
              <w:t xml:space="preserve"> basada en lo que ha demostrado </w:t>
            </w:r>
            <w:r w:rsidR="00023156" w:rsidRPr="00E573FE">
              <w:t>el eminente</w:t>
            </w:r>
            <w:r w:rsidRPr="00E573FE">
              <w:t xml:space="preserve"> científico guatemalteco Oscar Cobar P</w:t>
            </w:r>
            <w:r w:rsidR="00023156" w:rsidRPr="00E573FE">
              <w:t xml:space="preserve">into </w:t>
            </w:r>
            <w:r w:rsidRPr="00E573FE">
              <w:t>como Secretario de SENACYT,</w:t>
            </w:r>
            <w:r>
              <w:t xml:space="preserve"> que</w:t>
            </w:r>
            <w:r w:rsidRPr="00E573FE">
              <w:t xml:space="preserve"> utilizara ese dinero eficientemente y va</w:t>
            </w:r>
            <w:r w:rsidR="00023156" w:rsidRPr="00E573FE">
              <w:t xml:space="preserve"> a incidir directamente en el progreso en Guatemala</w:t>
            </w:r>
            <w:r w:rsidRPr="00E573FE">
              <w:t xml:space="preserve">. </w:t>
            </w:r>
          </w:p>
          <w:p w:rsidR="00023156" w:rsidRDefault="00E573FE" w:rsidP="00DA2DAA">
            <w:pPr>
              <w:pStyle w:val="Prrafodelista"/>
              <w:jc w:val="both"/>
              <w:rPr>
                <w:i/>
              </w:rPr>
            </w:pPr>
            <w:r w:rsidRPr="00E573FE">
              <w:t xml:space="preserve">Acotó que </w:t>
            </w:r>
            <w:r w:rsidR="00023156" w:rsidRPr="00E573FE">
              <w:t xml:space="preserve">todos los </w:t>
            </w:r>
            <w:r>
              <w:t>países desarrollados del mundo</w:t>
            </w:r>
            <w:r w:rsidR="00023156" w:rsidRPr="00E573FE">
              <w:t xml:space="preserve"> han llegado a tener ese desarrollo del cual disfrutan ahora porque han impulsado </w:t>
            </w:r>
            <w:r w:rsidRPr="00E573FE">
              <w:t>l</w:t>
            </w:r>
            <w:r w:rsidR="00023156" w:rsidRPr="00E573FE">
              <w:t>a ciencia</w:t>
            </w:r>
            <w:r w:rsidRPr="00E573FE">
              <w:t xml:space="preserve">, </w:t>
            </w:r>
            <w:r w:rsidR="00023156" w:rsidRPr="00E573FE">
              <w:t>la tecnología y la innovación</w:t>
            </w:r>
            <w:r>
              <w:t xml:space="preserve">, </w:t>
            </w:r>
            <w:r w:rsidR="00023156" w:rsidRPr="00E573FE">
              <w:t xml:space="preserve"> </w:t>
            </w:r>
            <w:r w:rsidRPr="00E573FE">
              <w:t>es lo que nos corresponde hacer</w:t>
            </w:r>
            <w:r w:rsidR="003F744B">
              <w:t xml:space="preserve"> </w:t>
            </w:r>
            <w:r w:rsidR="00023156" w:rsidRPr="00E573FE">
              <w:t>en Guatemala</w:t>
            </w:r>
            <w:r w:rsidRPr="00E573FE">
              <w:t xml:space="preserve">, </w:t>
            </w:r>
            <w:r w:rsidR="00023156" w:rsidRPr="00E573FE">
              <w:t xml:space="preserve">nosotros los </w:t>
            </w:r>
            <w:r w:rsidR="003F744B">
              <w:t>miembros de las universidades</w:t>
            </w:r>
            <w:r w:rsidR="00023156" w:rsidRPr="00E573FE">
              <w:t xml:space="preserve"> especialmente los que creemos que tenemos una responsabilidad a nivel de Centroamérica pero especialmente de Guatemala</w:t>
            </w:r>
            <w:r w:rsidR="003F744B">
              <w:t>,</w:t>
            </w:r>
            <w:r w:rsidR="00023156" w:rsidRPr="00E573FE">
              <w:t xml:space="preserve"> queremos apoyar este proyecto y pedirle </w:t>
            </w:r>
            <w:r w:rsidRPr="00E573FE">
              <w:t>a las instituciones encargadas que hagan un esfuerzo para que la Comisión de F</w:t>
            </w:r>
            <w:r w:rsidR="00023156" w:rsidRPr="00E573FE">
              <w:t>inanzas del Congreso de la Repúbl</w:t>
            </w:r>
            <w:r w:rsidR="000C43D9">
              <w:t xml:space="preserve">ica incluya en su dictamen este </w:t>
            </w:r>
            <w:r w:rsidR="00023156" w:rsidRPr="00E573FE">
              <w:t>aumento presupuestario que está solicitando para la ciencia, tecnología e Innovación de Guatemala.</w:t>
            </w:r>
            <w:r w:rsidR="00023156" w:rsidRPr="00E573FE">
              <w:rPr>
                <w:i/>
              </w:rPr>
              <w:t xml:space="preserve"> </w:t>
            </w:r>
          </w:p>
          <w:p w:rsidR="00E573FE" w:rsidRDefault="00E573FE" w:rsidP="00D50B15">
            <w:pPr>
              <w:pStyle w:val="Prrafodelista"/>
              <w:jc w:val="both"/>
              <w:rPr>
                <w:i/>
              </w:rPr>
            </w:pPr>
          </w:p>
          <w:p w:rsidR="003F744B" w:rsidRDefault="00D4336F" w:rsidP="00DA2DAA">
            <w:pPr>
              <w:pStyle w:val="Prrafodelista"/>
              <w:numPr>
                <w:ilvl w:val="0"/>
                <w:numId w:val="21"/>
              </w:numPr>
              <w:spacing w:after="200" w:line="276" w:lineRule="auto"/>
              <w:jc w:val="both"/>
            </w:pPr>
            <w:r>
              <w:t>Gio</w:t>
            </w:r>
            <w:r w:rsidR="00DA2DAA" w:rsidRPr="00DA2DAA">
              <w:t>vana Lemus del Grupo Guatemalteco de M</w:t>
            </w:r>
            <w:r w:rsidR="003F744B">
              <w:t>ujeres</w:t>
            </w:r>
            <w:r w:rsidR="00DA2DAA" w:rsidRPr="00DA2DAA">
              <w:t xml:space="preserve"> e integrante de la agenda política mujeres en la diversidad, </w:t>
            </w:r>
            <w:r w:rsidR="003F744B">
              <w:t xml:space="preserve"> comentó lo siguiente </w:t>
            </w:r>
          </w:p>
          <w:p w:rsidR="00DA2DAA" w:rsidRDefault="003F744B" w:rsidP="003F744B">
            <w:pPr>
              <w:pStyle w:val="Prrafodelista"/>
              <w:spacing w:after="200" w:line="276" w:lineRule="auto"/>
              <w:jc w:val="both"/>
            </w:pPr>
            <w:r>
              <w:t>C</w:t>
            </w:r>
            <w:r w:rsidR="00DA2DAA">
              <w:t>onsidera</w:t>
            </w:r>
            <w:r w:rsidR="00DA2DAA" w:rsidRPr="00DA2DAA">
              <w:t xml:space="preserve"> importante y relevante </w:t>
            </w:r>
            <w:r>
              <w:t>el papel de la Secretaría Presidencial de la M</w:t>
            </w:r>
            <w:r w:rsidR="00DA2DAA" w:rsidRPr="00DA2DAA">
              <w:t xml:space="preserve">ujer </w:t>
            </w:r>
            <w:r>
              <w:t xml:space="preserve">que </w:t>
            </w:r>
            <w:r w:rsidR="00DA2DAA" w:rsidRPr="00DA2DAA">
              <w:t>está enfocado en contribuir a q</w:t>
            </w:r>
            <w:r>
              <w:t>ue todas las instituciones del E</w:t>
            </w:r>
            <w:r w:rsidR="00DA2DAA" w:rsidRPr="00DA2DAA">
              <w:t xml:space="preserve">stado pongan dentro de su planificación y dentro de sus acciones el presupuesto </w:t>
            </w:r>
            <w:r w:rsidR="00DA2DAA">
              <w:t xml:space="preserve">para el tema de </w:t>
            </w:r>
            <w:r>
              <w:t>género</w:t>
            </w:r>
            <w:r w:rsidR="00DA2DAA">
              <w:t xml:space="preserve">, </w:t>
            </w:r>
            <w:r w:rsidR="00DA2DAA" w:rsidRPr="00DA2DAA">
              <w:t>l</w:t>
            </w:r>
            <w:r w:rsidR="00DA2DAA">
              <w:t>a función rectora que tiene la Secretaría Presidencial de la M</w:t>
            </w:r>
            <w:r w:rsidR="00DA2DAA" w:rsidRPr="00DA2DAA">
              <w:t>ujer en esta oportunidad se está viendo reflejada</w:t>
            </w:r>
            <w:r>
              <w:t xml:space="preserve"> en este tipo de actividades </w:t>
            </w:r>
            <w:r w:rsidR="00DA2DAA" w:rsidRPr="00DA2DAA">
              <w:t>porque</w:t>
            </w:r>
            <w:r>
              <w:t xml:space="preserve"> por ejemplo</w:t>
            </w:r>
            <w:r w:rsidR="00DA2DAA" w:rsidRPr="00DA2DAA">
              <w:t xml:space="preserve"> en esta tarde solamente una institución</w:t>
            </w:r>
            <w:r w:rsidR="00DA2DAA">
              <w:t xml:space="preserve"> SENACYT</w:t>
            </w:r>
            <w:r w:rsidR="00DA2DAA" w:rsidRPr="00DA2DAA">
              <w:t xml:space="preserve"> propuso recursos para las mujeres</w:t>
            </w:r>
            <w:r w:rsidR="00DA2DAA">
              <w:t xml:space="preserve"> y estos son muy pocos, </w:t>
            </w:r>
            <w:r w:rsidR="00DA2DAA" w:rsidRPr="00DA2DAA">
              <w:t>así</w:t>
            </w:r>
            <w:r w:rsidR="00DA2DAA">
              <w:t xml:space="preserve"> que</w:t>
            </w:r>
            <w:r w:rsidR="000C43D9">
              <w:t xml:space="preserve"> tenemos que verificar que</w:t>
            </w:r>
            <w:r w:rsidR="00DA2DAA" w:rsidRPr="00DA2DAA">
              <w:t xml:space="preserve"> toda</w:t>
            </w:r>
            <w:r w:rsidR="000C43D9">
              <w:t>s</w:t>
            </w:r>
            <w:r w:rsidR="00DA2DAA" w:rsidRPr="00DA2DAA">
              <w:t xml:space="preserve"> la</w:t>
            </w:r>
            <w:r w:rsidR="000C43D9">
              <w:t>s instituciones</w:t>
            </w:r>
            <w:r w:rsidR="00DA2DAA" w:rsidRPr="00DA2DAA">
              <w:t xml:space="preserve"> del estado </w:t>
            </w:r>
            <w:r w:rsidR="00DA2DAA">
              <w:t>reflejen suficientes recursos para su uso</w:t>
            </w:r>
            <w:r w:rsidR="00DA2DAA" w:rsidRPr="00DA2DAA">
              <w:t xml:space="preserve"> oportuno </w:t>
            </w:r>
            <w:r w:rsidR="00DA2DAA">
              <w:t>en</w:t>
            </w:r>
            <w:r w:rsidR="00DA2DAA" w:rsidRPr="00DA2DAA">
              <w:t xml:space="preserve"> el desarrollo integral de las mujeres y el cumplimiento de la política pública y el desarrollo i</w:t>
            </w:r>
            <w:r w:rsidR="00DA2DAA">
              <w:t xml:space="preserve">ntegral. </w:t>
            </w:r>
          </w:p>
          <w:p w:rsidR="00DA2DAA" w:rsidRPr="00E573FE" w:rsidRDefault="00DA2DAA" w:rsidP="00DA2DAA">
            <w:pPr>
              <w:pStyle w:val="Prrafodelista"/>
              <w:jc w:val="both"/>
              <w:rPr>
                <w:i/>
              </w:rPr>
            </w:pPr>
          </w:p>
          <w:p w:rsidR="00DA2DAA" w:rsidRPr="00DA2DAA" w:rsidRDefault="00DA2DAA" w:rsidP="00DA2DAA">
            <w:pPr>
              <w:pStyle w:val="Prrafodelista"/>
              <w:jc w:val="both"/>
              <w:rPr>
                <w:i/>
              </w:rPr>
            </w:pPr>
            <w:r w:rsidRPr="00DA2DAA">
              <w:rPr>
                <w:i/>
              </w:rPr>
              <w:t xml:space="preserve">El señor Secretario de SENACYT respondió: </w:t>
            </w:r>
          </w:p>
          <w:p w:rsidR="00F00E2C" w:rsidRPr="00470A80" w:rsidRDefault="00DA2DAA" w:rsidP="000C43D9">
            <w:pPr>
              <w:pStyle w:val="Prrafodelista"/>
              <w:jc w:val="both"/>
              <w:rPr>
                <w:i/>
              </w:rPr>
            </w:pPr>
            <w:r w:rsidRPr="00DA2DAA">
              <w:rPr>
                <w:i/>
              </w:rPr>
              <w:t>Con</w:t>
            </w:r>
            <w:r w:rsidR="00023156" w:rsidRPr="00DA2DAA">
              <w:rPr>
                <w:i/>
              </w:rPr>
              <w:t xml:space="preserve"> relación los ejes transversales de este desarrollo de la política de ciencia y tecnología fundamentalmente son género y el sector de discapacitados</w:t>
            </w:r>
            <w:r w:rsidRPr="00DA2DAA">
              <w:rPr>
                <w:i/>
              </w:rPr>
              <w:t xml:space="preserve">, </w:t>
            </w:r>
            <w:r w:rsidR="00023156" w:rsidRPr="00DA2DAA">
              <w:rPr>
                <w:i/>
              </w:rPr>
              <w:t>dentro del sector de género respondiendo la pregunta específica se tienen contempladas para el año 2018</w:t>
            </w:r>
            <w:r>
              <w:rPr>
                <w:i/>
              </w:rPr>
              <w:t xml:space="preserve">, </w:t>
            </w:r>
            <w:r w:rsidR="00023156" w:rsidRPr="00DA2DAA">
              <w:rPr>
                <w:i/>
              </w:rPr>
              <w:t xml:space="preserve"> 6 eventos específicamente con mujere</w:t>
            </w:r>
            <w:r w:rsidR="000C43D9">
              <w:rPr>
                <w:i/>
              </w:rPr>
              <w:t xml:space="preserve">s donde se piensa básicamente </w:t>
            </w:r>
            <w:r w:rsidR="00023156" w:rsidRPr="00DA2DAA">
              <w:rPr>
                <w:i/>
              </w:rPr>
              <w:t>tener 350 mujeres en cada uno de los eventos buscando fomentar que la mujer participe mucho más en activid</w:t>
            </w:r>
            <w:r>
              <w:rPr>
                <w:i/>
              </w:rPr>
              <w:t>ades de ciencia y tecnología e i</w:t>
            </w:r>
            <w:r w:rsidR="00023156" w:rsidRPr="00DA2DAA">
              <w:rPr>
                <w:i/>
              </w:rPr>
              <w:t>nnovación</w:t>
            </w:r>
            <w:r>
              <w:rPr>
                <w:i/>
              </w:rPr>
              <w:t xml:space="preserve">. Adicionalmente </w:t>
            </w:r>
            <w:r w:rsidR="00470A80">
              <w:rPr>
                <w:i/>
              </w:rPr>
              <w:t>se proyecta</w:t>
            </w:r>
            <w:r w:rsidR="00023156" w:rsidRPr="00DA2DAA">
              <w:rPr>
                <w:i/>
              </w:rPr>
              <w:t xml:space="preserve"> rescatar el conocimiento ancestral </w:t>
            </w:r>
            <w:r w:rsidR="00470A80">
              <w:rPr>
                <w:i/>
              </w:rPr>
              <w:t>y</w:t>
            </w:r>
            <w:r w:rsidR="00023156" w:rsidRPr="00DA2DAA">
              <w:rPr>
                <w:i/>
              </w:rPr>
              <w:t xml:space="preserve"> esto es parte también de alguno de los proyectos de investig</w:t>
            </w:r>
            <w:r w:rsidR="00470A80">
              <w:rPr>
                <w:i/>
              </w:rPr>
              <w:t>ación que se van a desarrollar, h</w:t>
            </w:r>
            <w:r w:rsidR="000C43D9">
              <w:rPr>
                <w:i/>
              </w:rPr>
              <w:t xml:space="preserve">ay que organizar </w:t>
            </w:r>
            <w:r w:rsidR="00023156" w:rsidRPr="00DA2DAA">
              <w:rPr>
                <w:i/>
              </w:rPr>
              <w:t>el conocimiento ancestral</w:t>
            </w:r>
            <w:r w:rsidR="000C43D9">
              <w:rPr>
                <w:i/>
              </w:rPr>
              <w:t xml:space="preserve"> que es</w:t>
            </w:r>
            <w:r w:rsidR="00023156" w:rsidRPr="00DA2DAA">
              <w:rPr>
                <w:i/>
              </w:rPr>
              <w:t xml:space="preserve"> m</w:t>
            </w:r>
            <w:r w:rsidR="00470A80">
              <w:rPr>
                <w:i/>
              </w:rPr>
              <w:t xml:space="preserve">uy rico en nuestra </w:t>
            </w:r>
            <w:r w:rsidR="00470A80">
              <w:rPr>
                <w:i/>
              </w:rPr>
              <w:lastRenderedPageBreak/>
              <w:t xml:space="preserve">cultura maya, </w:t>
            </w:r>
            <w:r w:rsidR="00023156" w:rsidRPr="00DA2DAA">
              <w:rPr>
                <w:i/>
              </w:rPr>
              <w:t>hay que</w:t>
            </w:r>
            <w:r w:rsidR="00470A80">
              <w:rPr>
                <w:i/>
              </w:rPr>
              <w:t xml:space="preserve"> enriquecerlo y darlo a conocer; </w:t>
            </w:r>
            <w:r w:rsidR="00023156" w:rsidRPr="00DA2DAA">
              <w:rPr>
                <w:i/>
              </w:rPr>
              <w:t>también se tienen actividades de popularizac</w:t>
            </w:r>
            <w:r w:rsidR="00470A80">
              <w:rPr>
                <w:i/>
              </w:rPr>
              <w:t>ión de la ciencia tecnología e i</w:t>
            </w:r>
            <w:r w:rsidR="00023156" w:rsidRPr="00DA2DAA">
              <w:rPr>
                <w:i/>
              </w:rPr>
              <w:t>nnovación buscando motivar a nuestros jóvenes a nuestros niños y nuestras niñas a qué estudien carreras de ciencias a que se interesen por l</w:t>
            </w:r>
            <w:r w:rsidR="000C43D9">
              <w:rPr>
                <w:i/>
              </w:rPr>
              <w:t xml:space="preserve">a ciencia y tal vez una noticia </w:t>
            </w:r>
            <w:r w:rsidR="00023156" w:rsidRPr="00DA2DAA">
              <w:rPr>
                <w:i/>
              </w:rPr>
              <w:t>muy motivante que de los 850 proyectos de investigación que se han generado en el fondo de investigación</w:t>
            </w:r>
            <w:r w:rsidR="000C43D9">
              <w:rPr>
                <w:i/>
              </w:rPr>
              <w:t>,</w:t>
            </w:r>
            <w:r w:rsidR="00023156" w:rsidRPr="00DA2DAA">
              <w:rPr>
                <w:i/>
              </w:rPr>
              <w:t xml:space="preserve"> de los investigadores e investigadoras que han participado en los proyectos má</w:t>
            </w:r>
            <w:r w:rsidR="00470A80">
              <w:rPr>
                <w:i/>
              </w:rPr>
              <w:t>s del 50% son mujeres, eso es una buena noticia</w:t>
            </w:r>
            <w:r w:rsidR="000C43D9">
              <w:rPr>
                <w:i/>
              </w:rPr>
              <w:t>,</w:t>
            </w:r>
            <w:r w:rsidR="00470A80">
              <w:rPr>
                <w:i/>
              </w:rPr>
              <w:t xml:space="preserve"> </w:t>
            </w:r>
            <w:r w:rsidR="00023156" w:rsidRPr="00DA2DAA">
              <w:rPr>
                <w:i/>
              </w:rPr>
              <w:t xml:space="preserve">es importante aunque </w:t>
            </w:r>
            <w:r w:rsidR="00470A80">
              <w:rPr>
                <w:i/>
              </w:rPr>
              <w:t>se</w:t>
            </w:r>
            <w:r w:rsidR="00023156" w:rsidRPr="00DA2DAA">
              <w:rPr>
                <w:i/>
              </w:rPr>
              <w:t xml:space="preserve"> ve hacia delante de forma aspiracional </w:t>
            </w:r>
            <w:r w:rsidR="00470A80">
              <w:rPr>
                <w:i/>
              </w:rPr>
              <w:t>se</w:t>
            </w:r>
            <w:r w:rsidR="00023156" w:rsidRPr="00DA2DAA">
              <w:rPr>
                <w:i/>
              </w:rPr>
              <w:t xml:space="preserve"> tiene que ver y en este sentido el mandato que hemos tenido el presidente ha sido fortalecer institucionalmente y </w:t>
            </w:r>
            <w:r w:rsidR="00470A80">
              <w:rPr>
                <w:i/>
              </w:rPr>
              <w:t xml:space="preserve">para </w:t>
            </w:r>
            <w:r w:rsidR="00023156" w:rsidRPr="00DA2DAA">
              <w:rPr>
                <w:i/>
              </w:rPr>
              <w:t>darle cumplimiento</w:t>
            </w:r>
            <w:r w:rsidR="00470A80">
              <w:rPr>
                <w:i/>
              </w:rPr>
              <w:t xml:space="preserve"> necesitamos del apoyo </w:t>
            </w:r>
            <w:r w:rsidR="00023156" w:rsidRPr="00DA2DAA">
              <w:rPr>
                <w:i/>
              </w:rPr>
              <w:t xml:space="preserve"> del Ministerio de </w:t>
            </w:r>
            <w:r w:rsidR="00470A80">
              <w:rPr>
                <w:i/>
              </w:rPr>
              <w:t>Finanzas.</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29" w:rsidRDefault="00DA5729" w:rsidP="00440C59">
      <w:pPr>
        <w:spacing w:after="0" w:line="240" w:lineRule="auto"/>
      </w:pPr>
      <w:r>
        <w:separator/>
      </w:r>
    </w:p>
  </w:endnote>
  <w:endnote w:type="continuationSeparator" w:id="0">
    <w:p w:rsidR="00DA5729" w:rsidRDefault="00DA5729" w:rsidP="0044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59" w:rsidRDefault="00440C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59" w:rsidRDefault="00440C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59" w:rsidRDefault="00440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29" w:rsidRDefault="00DA5729" w:rsidP="00440C59">
      <w:pPr>
        <w:spacing w:after="0" w:line="240" w:lineRule="auto"/>
      </w:pPr>
      <w:r>
        <w:separator/>
      </w:r>
    </w:p>
  </w:footnote>
  <w:footnote w:type="continuationSeparator" w:id="0">
    <w:p w:rsidR="00DA5729" w:rsidRDefault="00DA5729" w:rsidP="0044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59" w:rsidRDefault="00440C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59" w:rsidRDefault="00440C59">
    <w:pPr>
      <w:pStyle w:val="Encabezado"/>
    </w:pPr>
    <w:r>
      <w:rPr>
        <w:noProof/>
        <w:lang w:eastAsia="es-GT"/>
      </w:rPr>
      <w:drawing>
        <wp:inline distT="0" distB="0" distL="0" distR="0" wp14:anchorId="12203604" wp14:editId="345EAAAE">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59" w:rsidRDefault="00440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E078ED"/>
    <w:multiLevelType w:val="hybridMultilevel"/>
    <w:tmpl w:val="C416F9BA"/>
    <w:lvl w:ilvl="0" w:tplc="0C18784C">
      <w:start w:val="1"/>
      <w:numFmt w:val="bullet"/>
      <w:lvlText w:val=""/>
      <w:lvlJc w:val="left"/>
      <w:pPr>
        <w:tabs>
          <w:tab w:val="num" w:pos="720"/>
        </w:tabs>
        <w:ind w:left="720" w:hanging="360"/>
      </w:pPr>
      <w:rPr>
        <w:rFonts w:ascii="Wingdings" w:hAnsi="Wingdings" w:hint="default"/>
      </w:rPr>
    </w:lvl>
    <w:lvl w:ilvl="1" w:tplc="77407024">
      <w:start w:val="1"/>
      <w:numFmt w:val="bullet"/>
      <w:lvlText w:val=""/>
      <w:lvlJc w:val="left"/>
      <w:pPr>
        <w:tabs>
          <w:tab w:val="num" w:pos="360"/>
        </w:tabs>
        <w:ind w:left="360" w:hanging="360"/>
      </w:pPr>
      <w:rPr>
        <w:rFonts w:ascii="Wingdings" w:hAnsi="Wingdings" w:hint="default"/>
      </w:rPr>
    </w:lvl>
    <w:lvl w:ilvl="2" w:tplc="89FC1334" w:tentative="1">
      <w:start w:val="1"/>
      <w:numFmt w:val="bullet"/>
      <w:lvlText w:val=""/>
      <w:lvlJc w:val="left"/>
      <w:pPr>
        <w:tabs>
          <w:tab w:val="num" w:pos="2160"/>
        </w:tabs>
        <w:ind w:left="2160" w:hanging="360"/>
      </w:pPr>
      <w:rPr>
        <w:rFonts w:ascii="Wingdings" w:hAnsi="Wingdings" w:hint="default"/>
      </w:rPr>
    </w:lvl>
    <w:lvl w:ilvl="3" w:tplc="261664B4" w:tentative="1">
      <w:start w:val="1"/>
      <w:numFmt w:val="bullet"/>
      <w:lvlText w:val=""/>
      <w:lvlJc w:val="left"/>
      <w:pPr>
        <w:tabs>
          <w:tab w:val="num" w:pos="2880"/>
        </w:tabs>
        <w:ind w:left="2880" w:hanging="360"/>
      </w:pPr>
      <w:rPr>
        <w:rFonts w:ascii="Wingdings" w:hAnsi="Wingdings" w:hint="default"/>
      </w:rPr>
    </w:lvl>
    <w:lvl w:ilvl="4" w:tplc="D5128B00" w:tentative="1">
      <w:start w:val="1"/>
      <w:numFmt w:val="bullet"/>
      <w:lvlText w:val=""/>
      <w:lvlJc w:val="left"/>
      <w:pPr>
        <w:tabs>
          <w:tab w:val="num" w:pos="3600"/>
        </w:tabs>
        <w:ind w:left="3600" w:hanging="360"/>
      </w:pPr>
      <w:rPr>
        <w:rFonts w:ascii="Wingdings" w:hAnsi="Wingdings" w:hint="default"/>
      </w:rPr>
    </w:lvl>
    <w:lvl w:ilvl="5" w:tplc="0F326D06" w:tentative="1">
      <w:start w:val="1"/>
      <w:numFmt w:val="bullet"/>
      <w:lvlText w:val=""/>
      <w:lvlJc w:val="left"/>
      <w:pPr>
        <w:tabs>
          <w:tab w:val="num" w:pos="4320"/>
        </w:tabs>
        <w:ind w:left="4320" w:hanging="360"/>
      </w:pPr>
      <w:rPr>
        <w:rFonts w:ascii="Wingdings" w:hAnsi="Wingdings" w:hint="default"/>
      </w:rPr>
    </w:lvl>
    <w:lvl w:ilvl="6" w:tplc="DAEACDCE" w:tentative="1">
      <w:start w:val="1"/>
      <w:numFmt w:val="bullet"/>
      <w:lvlText w:val=""/>
      <w:lvlJc w:val="left"/>
      <w:pPr>
        <w:tabs>
          <w:tab w:val="num" w:pos="5040"/>
        </w:tabs>
        <w:ind w:left="5040" w:hanging="360"/>
      </w:pPr>
      <w:rPr>
        <w:rFonts w:ascii="Wingdings" w:hAnsi="Wingdings" w:hint="default"/>
      </w:rPr>
    </w:lvl>
    <w:lvl w:ilvl="7" w:tplc="D7D21130" w:tentative="1">
      <w:start w:val="1"/>
      <w:numFmt w:val="bullet"/>
      <w:lvlText w:val=""/>
      <w:lvlJc w:val="left"/>
      <w:pPr>
        <w:tabs>
          <w:tab w:val="num" w:pos="5760"/>
        </w:tabs>
        <w:ind w:left="5760" w:hanging="360"/>
      </w:pPr>
      <w:rPr>
        <w:rFonts w:ascii="Wingdings" w:hAnsi="Wingdings" w:hint="default"/>
      </w:rPr>
    </w:lvl>
    <w:lvl w:ilvl="8" w:tplc="A87C17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19F36F2"/>
    <w:multiLevelType w:val="hybridMultilevel"/>
    <w:tmpl w:val="3B1C03DE"/>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10"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2"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64A0ED4"/>
    <w:multiLevelType w:val="hybridMultilevel"/>
    <w:tmpl w:val="0038B360"/>
    <w:lvl w:ilvl="0" w:tplc="F4448C8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6"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8"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20"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796186"/>
    <w:multiLevelType w:val="hybridMultilevel"/>
    <w:tmpl w:val="6980EBB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5"/>
  </w:num>
  <w:num w:numId="4">
    <w:abstractNumId w:val="10"/>
  </w:num>
  <w:num w:numId="5">
    <w:abstractNumId w:val="7"/>
  </w:num>
  <w:num w:numId="6">
    <w:abstractNumId w:val="2"/>
  </w:num>
  <w:num w:numId="7">
    <w:abstractNumId w:val="23"/>
  </w:num>
  <w:num w:numId="8">
    <w:abstractNumId w:val="16"/>
  </w:num>
  <w:num w:numId="9">
    <w:abstractNumId w:val="1"/>
  </w:num>
  <w:num w:numId="10">
    <w:abstractNumId w:val="4"/>
  </w:num>
  <w:num w:numId="11">
    <w:abstractNumId w:val="6"/>
  </w:num>
  <w:num w:numId="12">
    <w:abstractNumId w:val="20"/>
  </w:num>
  <w:num w:numId="13">
    <w:abstractNumId w:val="5"/>
  </w:num>
  <w:num w:numId="14">
    <w:abstractNumId w:val="18"/>
  </w:num>
  <w:num w:numId="15">
    <w:abstractNumId w:val="12"/>
  </w:num>
  <w:num w:numId="16">
    <w:abstractNumId w:val="22"/>
  </w:num>
  <w:num w:numId="17">
    <w:abstractNumId w:val="14"/>
  </w:num>
  <w:num w:numId="18">
    <w:abstractNumId w:val="11"/>
  </w:num>
  <w:num w:numId="19">
    <w:abstractNumId w:val="17"/>
  </w:num>
  <w:num w:numId="20">
    <w:abstractNumId w:val="19"/>
  </w:num>
  <w:num w:numId="21">
    <w:abstractNumId w:val="13"/>
  </w:num>
  <w:num w:numId="22">
    <w:abstractNumId w:val="3"/>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67C9"/>
    <w:rsid w:val="00023156"/>
    <w:rsid w:val="00026352"/>
    <w:rsid w:val="0006296D"/>
    <w:rsid w:val="00071451"/>
    <w:rsid w:val="00076C94"/>
    <w:rsid w:val="00077A54"/>
    <w:rsid w:val="00083E62"/>
    <w:rsid w:val="000911CB"/>
    <w:rsid w:val="00091219"/>
    <w:rsid w:val="000C43D9"/>
    <w:rsid w:val="000E040D"/>
    <w:rsid w:val="000E3161"/>
    <w:rsid w:val="000F31CE"/>
    <w:rsid w:val="00102EC7"/>
    <w:rsid w:val="001037DB"/>
    <w:rsid w:val="00114000"/>
    <w:rsid w:val="001318B0"/>
    <w:rsid w:val="00133F9C"/>
    <w:rsid w:val="0013525E"/>
    <w:rsid w:val="00146824"/>
    <w:rsid w:val="0015670C"/>
    <w:rsid w:val="00167D5D"/>
    <w:rsid w:val="00193825"/>
    <w:rsid w:val="001943E8"/>
    <w:rsid w:val="001B63E6"/>
    <w:rsid w:val="001E7CC0"/>
    <w:rsid w:val="002048D4"/>
    <w:rsid w:val="00207041"/>
    <w:rsid w:val="00213DBD"/>
    <w:rsid w:val="0022326E"/>
    <w:rsid w:val="00225BCD"/>
    <w:rsid w:val="00235DBE"/>
    <w:rsid w:val="0025386F"/>
    <w:rsid w:val="00254A75"/>
    <w:rsid w:val="0028336B"/>
    <w:rsid w:val="0029279C"/>
    <w:rsid w:val="002A1871"/>
    <w:rsid w:val="002A36D8"/>
    <w:rsid w:val="002A78C2"/>
    <w:rsid w:val="002C103F"/>
    <w:rsid w:val="002F0205"/>
    <w:rsid w:val="002F5AE0"/>
    <w:rsid w:val="003040EB"/>
    <w:rsid w:val="00316D7E"/>
    <w:rsid w:val="00322787"/>
    <w:rsid w:val="0033105E"/>
    <w:rsid w:val="00343118"/>
    <w:rsid w:val="003453C8"/>
    <w:rsid w:val="00357915"/>
    <w:rsid w:val="00364170"/>
    <w:rsid w:val="00371048"/>
    <w:rsid w:val="003750B8"/>
    <w:rsid w:val="003921E7"/>
    <w:rsid w:val="0039666C"/>
    <w:rsid w:val="003B103C"/>
    <w:rsid w:val="003B7776"/>
    <w:rsid w:val="003C233E"/>
    <w:rsid w:val="003C6F50"/>
    <w:rsid w:val="003D158E"/>
    <w:rsid w:val="003D2E02"/>
    <w:rsid w:val="003D7265"/>
    <w:rsid w:val="003D74E4"/>
    <w:rsid w:val="003E1512"/>
    <w:rsid w:val="003E3239"/>
    <w:rsid w:val="003E5615"/>
    <w:rsid w:val="003E6C78"/>
    <w:rsid w:val="003F3101"/>
    <w:rsid w:val="003F744B"/>
    <w:rsid w:val="00413155"/>
    <w:rsid w:val="00440C59"/>
    <w:rsid w:val="00454D20"/>
    <w:rsid w:val="00456F10"/>
    <w:rsid w:val="00460D04"/>
    <w:rsid w:val="00470A80"/>
    <w:rsid w:val="004A4DDC"/>
    <w:rsid w:val="004C6DE1"/>
    <w:rsid w:val="004D3F76"/>
    <w:rsid w:val="004D48DA"/>
    <w:rsid w:val="004D5952"/>
    <w:rsid w:val="004D677A"/>
    <w:rsid w:val="004D7798"/>
    <w:rsid w:val="0050297F"/>
    <w:rsid w:val="00505488"/>
    <w:rsid w:val="005057C4"/>
    <w:rsid w:val="00517D09"/>
    <w:rsid w:val="00545E1B"/>
    <w:rsid w:val="00556501"/>
    <w:rsid w:val="00557DCC"/>
    <w:rsid w:val="005610B6"/>
    <w:rsid w:val="005633FF"/>
    <w:rsid w:val="005A4B4B"/>
    <w:rsid w:val="005C114D"/>
    <w:rsid w:val="005C4A01"/>
    <w:rsid w:val="005D1E6B"/>
    <w:rsid w:val="005E18C3"/>
    <w:rsid w:val="005F2605"/>
    <w:rsid w:val="005F41D0"/>
    <w:rsid w:val="005F7C41"/>
    <w:rsid w:val="006056A1"/>
    <w:rsid w:val="006113FE"/>
    <w:rsid w:val="006117BF"/>
    <w:rsid w:val="0062340A"/>
    <w:rsid w:val="00623AF1"/>
    <w:rsid w:val="006325A0"/>
    <w:rsid w:val="00632E2E"/>
    <w:rsid w:val="00667B61"/>
    <w:rsid w:val="006A52D1"/>
    <w:rsid w:val="006D43F3"/>
    <w:rsid w:val="006F3714"/>
    <w:rsid w:val="007012C5"/>
    <w:rsid w:val="00702871"/>
    <w:rsid w:val="007048B6"/>
    <w:rsid w:val="0072590A"/>
    <w:rsid w:val="00746C49"/>
    <w:rsid w:val="0075044F"/>
    <w:rsid w:val="007615CA"/>
    <w:rsid w:val="00767517"/>
    <w:rsid w:val="00767ADB"/>
    <w:rsid w:val="0077525B"/>
    <w:rsid w:val="00780A95"/>
    <w:rsid w:val="00794C12"/>
    <w:rsid w:val="007A794A"/>
    <w:rsid w:val="007B736B"/>
    <w:rsid w:val="007C10F4"/>
    <w:rsid w:val="007C64EB"/>
    <w:rsid w:val="007E28A4"/>
    <w:rsid w:val="007F23BE"/>
    <w:rsid w:val="007F3B0E"/>
    <w:rsid w:val="007F7F20"/>
    <w:rsid w:val="008029A8"/>
    <w:rsid w:val="008178C3"/>
    <w:rsid w:val="00847225"/>
    <w:rsid w:val="0085279A"/>
    <w:rsid w:val="00855676"/>
    <w:rsid w:val="0088485F"/>
    <w:rsid w:val="008A6259"/>
    <w:rsid w:val="008A63E2"/>
    <w:rsid w:val="008C2E3C"/>
    <w:rsid w:val="008E309A"/>
    <w:rsid w:val="008F1AA9"/>
    <w:rsid w:val="008F4723"/>
    <w:rsid w:val="008F5F11"/>
    <w:rsid w:val="009002C0"/>
    <w:rsid w:val="00906836"/>
    <w:rsid w:val="009316AF"/>
    <w:rsid w:val="0093780D"/>
    <w:rsid w:val="00955A0C"/>
    <w:rsid w:val="00964E44"/>
    <w:rsid w:val="009C0F16"/>
    <w:rsid w:val="009E3AF8"/>
    <w:rsid w:val="00A05FD8"/>
    <w:rsid w:val="00A20FAF"/>
    <w:rsid w:val="00A37C13"/>
    <w:rsid w:val="00A53CE1"/>
    <w:rsid w:val="00A80020"/>
    <w:rsid w:val="00A8115D"/>
    <w:rsid w:val="00A83910"/>
    <w:rsid w:val="00AA2232"/>
    <w:rsid w:val="00AD015A"/>
    <w:rsid w:val="00AD051C"/>
    <w:rsid w:val="00B141B9"/>
    <w:rsid w:val="00B157D0"/>
    <w:rsid w:val="00B16136"/>
    <w:rsid w:val="00B45B4F"/>
    <w:rsid w:val="00B54073"/>
    <w:rsid w:val="00B66EDB"/>
    <w:rsid w:val="00B72D5A"/>
    <w:rsid w:val="00B9108C"/>
    <w:rsid w:val="00BB5572"/>
    <w:rsid w:val="00BB7996"/>
    <w:rsid w:val="00BC576A"/>
    <w:rsid w:val="00BD5651"/>
    <w:rsid w:val="00C469C0"/>
    <w:rsid w:val="00C54BD4"/>
    <w:rsid w:val="00C57535"/>
    <w:rsid w:val="00C66669"/>
    <w:rsid w:val="00C671E3"/>
    <w:rsid w:val="00CA4C76"/>
    <w:rsid w:val="00CC3E38"/>
    <w:rsid w:val="00CD2838"/>
    <w:rsid w:val="00CD2B7D"/>
    <w:rsid w:val="00CD463B"/>
    <w:rsid w:val="00CE622A"/>
    <w:rsid w:val="00CF2DF6"/>
    <w:rsid w:val="00CF6C1A"/>
    <w:rsid w:val="00D00B5B"/>
    <w:rsid w:val="00D06BA1"/>
    <w:rsid w:val="00D078DB"/>
    <w:rsid w:val="00D12064"/>
    <w:rsid w:val="00D21A00"/>
    <w:rsid w:val="00D235E8"/>
    <w:rsid w:val="00D26FF9"/>
    <w:rsid w:val="00D30D8E"/>
    <w:rsid w:val="00D3237B"/>
    <w:rsid w:val="00D42C50"/>
    <w:rsid w:val="00D4336F"/>
    <w:rsid w:val="00D5016C"/>
    <w:rsid w:val="00D50B15"/>
    <w:rsid w:val="00D92828"/>
    <w:rsid w:val="00D92B8B"/>
    <w:rsid w:val="00DA2DAA"/>
    <w:rsid w:val="00DA53D6"/>
    <w:rsid w:val="00DA5729"/>
    <w:rsid w:val="00DC4BCC"/>
    <w:rsid w:val="00DC55A0"/>
    <w:rsid w:val="00DE3671"/>
    <w:rsid w:val="00E043D8"/>
    <w:rsid w:val="00E13B82"/>
    <w:rsid w:val="00E30613"/>
    <w:rsid w:val="00E327E7"/>
    <w:rsid w:val="00E56883"/>
    <w:rsid w:val="00E573FE"/>
    <w:rsid w:val="00E61EAA"/>
    <w:rsid w:val="00E72C50"/>
    <w:rsid w:val="00E830FD"/>
    <w:rsid w:val="00E870B9"/>
    <w:rsid w:val="00E94F3B"/>
    <w:rsid w:val="00E95B19"/>
    <w:rsid w:val="00EB7C06"/>
    <w:rsid w:val="00EC4DFA"/>
    <w:rsid w:val="00ED6583"/>
    <w:rsid w:val="00ED74A7"/>
    <w:rsid w:val="00EF681D"/>
    <w:rsid w:val="00EF7E45"/>
    <w:rsid w:val="00F00E2C"/>
    <w:rsid w:val="00F01FAB"/>
    <w:rsid w:val="00F13B75"/>
    <w:rsid w:val="00F14A36"/>
    <w:rsid w:val="00F16E12"/>
    <w:rsid w:val="00F2476B"/>
    <w:rsid w:val="00F267F8"/>
    <w:rsid w:val="00F34BBF"/>
    <w:rsid w:val="00F433DF"/>
    <w:rsid w:val="00F93186"/>
    <w:rsid w:val="00F95A93"/>
    <w:rsid w:val="00FB1F8D"/>
    <w:rsid w:val="00FB24A2"/>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60DD3-61D0-4DC8-9F1D-ECC509D4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440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C59"/>
  </w:style>
  <w:style w:type="paragraph" w:styleId="Piedepgina">
    <w:name w:val="footer"/>
    <w:basedOn w:val="Normal"/>
    <w:link w:val="PiedepginaCar"/>
    <w:uiPriority w:val="99"/>
    <w:unhideWhenUsed/>
    <w:rsid w:val="00440C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015034493">
      <w:bodyDiv w:val="1"/>
      <w:marLeft w:val="0"/>
      <w:marRight w:val="0"/>
      <w:marTop w:val="0"/>
      <w:marBottom w:val="0"/>
      <w:divBdr>
        <w:top w:val="none" w:sz="0" w:space="0" w:color="auto"/>
        <w:left w:val="none" w:sz="0" w:space="0" w:color="auto"/>
        <w:bottom w:val="none" w:sz="0" w:space="0" w:color="auto"/>
        <w:right w:val="none" w:sz="0" w:space="0" w:color="auto"/>
      </w:divBdr>
    </w:div>
    <w:div w:id="1091311885">
      <w:bodyDiv w:val="1"/>
      <w:marLeft w:val="0"/>
      <w:marRight w:val="0"/>
      <w:marTop w:val="0"/>
      <w:marBottom w:val="0"/>
      <w:divBdr>
        <w:top w:val="none" w:sz="0" w:space="0" w:color="auto"/>
        <w:left w:val="none" w:sz="0" w:space="0" w:color="auto"/>
        <w:bottom w:val="none" w:sz="0" w:space="0" w:color="auto"/>
        <w:right w:val="none" w:sz="0" w:space="0" w:color="auto"/>
      </w:divBdr>
      <w:divsChild>
        <w:div w:id="1198354226">
          <w:marLeft w:val="1166"/>
          <w:marRight w:val="0"/>
          <w:marTop w:val="173"/>
          <w:marBottom w:val="0"/>
          <w:divBdr>
            <w:top w:val="none" w:sz="0" w:space="0" w:color="auto"/>
            <w:left w:val="none" w:sz="0" w:space="0" w:color="auto"/>
            <w:bottom w:val="none" w:sz="0" w:space="0" w:color="auto"/>
            <w:right w:val="none" w:sz="0" w:space="0" w:color="auto"/>
          </w:divBdr>
        </w:div>
        <w:div w:id="1104231964">
          <w:marLeft w:val="1166"/>
          <w:marRight w:val="0"/>
          <w:marTop w:val="173"/>
          <w:marBottom w:val="0"/>
          <w:divBdr>
            <w:top w:val="none" w:sz="0" w:space="0" w:color="auto"/>
            <w:left w:val="none" w:sz="0" w:space="0" w:color="auto"/>
            <w:bottom w:val="none" w:sz="0" w:space="0" w:color="auto"/>
            <w:right w:val="none" w:sz="0" w:space="0" w:color="auto"/>
          </w:divBdr>
        </w:div>
        <w:div w:id="1428036541">
          <w:marLeft w:val="1166"/>
          <w:marRight w:val="0"/>
          <w:marTop w:val="173"/>
          <w:marBottom w:val="0"/>
          <w:divBdr>
            <w:top w:val="none" w:sz="0" w:space="0" w:color="auto"/>
            <w:left w:val="none" w:sz="0" w:space="0" w:color="auto"/>
            <w:bottom w:val="none" w:sz="0" w:space="0" w:color="auto"/>
            <w:right w:val="none" w:sz="0" w:space="0" w:color="auto"/>
          </w:divBdr>
        </w:div>
      </w:divsChild>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00982087">
      <w:bodyDiv w:val="1"/>
      <w:marLeft w:val="0"/>
      <w:marRight w:val="0"/>
      <w:marTop w:val="0"/>
      <w:marBottom w:val="0"/>
      <w:divBdr>
        <w:top w:val="none" w:sz="0" w:space="0" w:color="auto"/>
        <w:left w:val="none" w:sz="0" w:space="0" w:color="auto"/>
        <w:bottom w:val="none" w:sz="0" w:space="0" w:color="auto"/>
        <w:right w:val="none" w:sz="0" w:space="0" w:color="auto"/>
      </w:divBdr>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SECRETARÍA NACIONAL DE CIENCIA</a:t>
            </a:r>
            <a:r>
              <a:rPr lang="en-US" baseline="0"/>
              <a:t> Y TECNOLOGÍA</a:t>
            </a:r>
            <a:endParaRPr lang="en-US"/>
          </a:p>
        </c:rich>
      </c:tx>
      <c:overlay val="0"/>
    </c:title>
    <c:autoTitleDeleted val="0"/>
    <c:plotArea>
      <c:layout/>
      <c:barChart>
        <c:barDir val="col"/>
        <c:grouping val="clustered"/>
        <c:varyColors val="0"/>
        <c:ser>
          <c:idx val="0"/>
          <c:order val="0"/>
          <c:tx>
            <c:strRef>
              <c:f>SENACYT!$D$9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SENACYT!$B$3:$G$3</c:f>
              <c:strCache>
                <c:ptCount val="6"/>
                <c:pt idx="0">
                  <c:v>Prespuesto  aprobado 2017</c:v>
                </c:pt>
                <c:pt idx="1">
                  <c:v>Solicitado 2018</c:v>
                </c:pt>
                <c:pt idx="2">
                  <c:v>Solicitado 2019</c:v>
                </c:pt>
                <c:pt idx="3">
                  <c:v>Solicitado 2020</c:v>
                </c:pt>
                <c:pt idx="4">
                  <c:v>Solicitado 2021</c:v>
                </c:pt>
                <c:pt idx="5">
                  <c:v>Solicitado 2022</c:v>
                </c:pt>
              </c:strCache>
            </c:strRef>
          </c:cat>
          <c:val>
            <c:numRef>
              <c:f>SENACYT!$B$4:$G$4</c:f>
              <c:numCache>
                <c:formatCode>_("Q"* #,##0_);_("Q"* \(#,##0\);_("Q"* "-"??_);_(@_)</c:formatCode>
                <c:ptCount val="6"/>
                <c:pt idx="0">
                  <c:v>33485000</c:v>
                </c:pt>
                <c:pt idx="1">
                  <c:v>53245050</c:v>
                </c:pt>
                <c:pt idx="2">
                  <c:v>55123620</c:v>
                </c:pt>
                <c:pt idx="3">
                  <c:v>57119050</c:v>
                </c:pt>
                <c:pt idx="4">
                  <c:v>59260710</c:v>
                </c:pt>
                <c:pt idx="5">
                  <c:v>60257739</c:v>
                </c:pt>
              </c:numCache>
            </c:numRef>
          </c:val>
          <c:extLst>
            <c:ext xmlns:c16="http://schemas.microsoft.com/office/drawing/2014/chart" uri="{C3380CC4-5D6E-409C-BE32-E72D297353CC}">
              <c16:uniqueId val="{00000000-C3FF-4568-AC3A-88730225C9B4}"/>
            </c:ext>
          </c:extLst>
        </c:ser>
        <c:dLbls>
          <c:showLegendKey val="0"/>
          <c:showVal val="0"/>
          <c:showCatName val="0"/>
          <c:showSerName val="0"/>
          <c:showPercent val="0"/>
          <c:showBubbleSize val="0"/>
        </c:dLbls>
        <c:gapWidth val="75"/>
        <c:overlap val="-25"/>
        <c:axId val="73136000"/>
        <c:axId val="73137536"/>
      </c:barChart>
      <c:catAx>
        <c:axId val="73136000"/>
        <c:scaling>
          <c:orientation val="minMax"/>
        </c:scaling>
        <c:delete val="0"/>
        <c:axPos val="b"/>
        <c:numFmt formatCode="General" sourceLinked="0"/>
        <c:majorTickMark val="none"/>
        <c:minorTickMark val="none"/>
        <c:tickLblPos val="nextTo"/>
        <c:crossAx val="73137536"/>
        <c:crosses val="autoZero"/>
        <c:auto val="1"/>
        <c:lblAlgn val="ctr"/>
        <c:lblOffset val="100"/>
        <c:noMultiLvlLbl val="0"/>
      </c:catAx>
      <c:valAx>
        <c:axId val="73137536"/>
        <c:scaling>
          <c:orientation val="minMax"/>
        </c:scaling>
        <c:delete val="0"/>
        <c:axPos val="l"/>
        <c:majorGridlines/>
        <c:numFmt formatCode="_(&quot;Q&quot;* #,##0_);_(&quot;Q&quot;* \(#,##0\);_(&quot;Q&quot;* &quot;-&quot;??_);_(@_)" sourceLinked="1"/>
        <c:majorTickMark val="none"/>
        <c:minorTickMark val="none"/>
        <c:tickLblPos val="nextTo"/>
        <c:spPr>
          <a:ln w="9525">
            <a:noFill/>
          </a:ln>
        </c:spPr>
        <c:crossAx val="731360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2027-744A-476A-8750-454F994E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2017-06-23T16:25:00Z</dcterms:created>
  <dcterms:modified xsi:type="dcterms:W3CDTF">2017-06-23T16:25:00Z</dcterms:modified>
</cp:coreProperties>
</file>