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64795A">
        <w:rPr>
          <w:b/>
          <w:sz w:val="28"/>
          <w:szCs w:val="24"/>
        </w:rPr>
        <w:t>SECRE</w:t>
      </w:r>
      <w:r w:rsidR="006A210F">
        <w:rPr>
          <w:b/>
          <w:sz w:val="28"/>
          <w:szCs w:val="24"/>
        </w:rPr>
        <w:t>T</w:t>
      </w:r>
      <w:r w:rsidR="00D34A23">
        <w:rPr>
          <w:b/>
          <w:sz w:val="28"/>
          <w:szCs w:val="24"/>
        </w:rPr>
        <w:t xml:space="preserve">ARÍA EJECUTIVA DE LA </w:t>
      </w:r>
      <w:r w:rsidR="0064795A">
        <w:rPr>
          <w:b/>
          <w:sz w:val="28"/>
          <w:szCs w:val="24"/>
        </w:rPr>
        <w:t>COMI</w:t>
      </w:r>
      <w:r w:rsidR="006A210F">
        <w:rPr>
          <w:b/>
          <w:sz w:val="28"/>
          <w:szCs w:val="24"/>
        </w:rPr>
        <w:t>SIÓN CONTRA LAS ADICCIONES Y TRÁ</w:t>
      </w:r>
      <w:r w:rsidR="00D34A23">
        <w:rPr>
          <w:b/>
          <w:sz w:val="28"/>
          <w:szCs w:val="24"/>
        </w:rPr>
        <w:t>FICO ILÍ</w:t>
      </w:r>
      <w:r w:rsidR="0064795A">
        <w:rPr>
          <w:b/>
          <w:sz w:val="28"/>
          <w:szCs w:val="24"/>
        </w:rPr>
        <w:t xml:space="preserve">CITO DE DROGAS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7333FB">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EE25CA" w:rsidRDefault="00EE25CA" w:rsidP="00EE25CA">
            <w:pPr>
              <w:spacing w:after="0"/>
              <w:jc w:val="both"/>
              <w:rPr>
                <w:b/>
              </w:rPr>
            </w:pPr>
          </w:p>
          <w:p w:rsidR="00EE25CA" w:rsidRDefault="00EE25CA" w:rsidP="00EE25CA">
            <w:pPr>
              <w:spacing w:after="0"/>
              <w:jc w:val="both"/>
            </w:pPr>
            <w:r w:rsidRPr="003D3088">
              <w:rPr>
                <w:b/>
              </w:rPr>
              <w:t>MINISTERIO DE FINANZAS PÚBLICAS:</w:t>
            </w:r>
            <w:r>
              <w:t xml:space="preserve"> El señor Ministro en funciones del Ministerio de Finanzas Públicas, Víctor Martínez, dirigió palabras de bienvenida a la audiencia, realizó la presentación de las diferentes etapas  que componen el proceso presupuestario, los plazos legales para cada una de ellas, incluyendo su integración y principales actores. </w:t>
            </w:r>
          </w:p>
          <w:p w:rsidR="00EE25CA" w:rsidRDefault="00EE25CA" w:rsidP="00EE25CA">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EE25CA" w:rsidRDefault="00EE25CA" w:rsidP="00EE25CA">
            <w:pPr>
              <w:spacing w:after="0"/>
              <w:jc w:val="both"/>
            </w:pPr>
            <w:r>
              <w:t xml:space="preserve">Señaló las acciones que ya han sido realizadas, entre ellas:  </w:t>
            </w:r>
          </w:p>
          <w:p w:rsidR="00EE25CA" w:rsidRPr="00DC4BCC" w:rsidRDefault="00EE25CA" w:rsidP="00EE25CA">
            <w:pPr>
              <w:numPr>
                <w:ilvl w:val="0"/>
                <w:numId w:val="5"/>
              </w:numPr>
              <w:spacing w:after="0"/>
              <w:jc w:val="both"/>
            </w:pPr>
            <w:r w:rsidRPr="003E6C78">
              <w:t xml:space="preserve">Definición de escenario macro fiscal – </w:t>
            </w:r>
            <w:r w:rsidRPr="00DC4BCC">
              <w:rPr>
                <w:bCs/>
              </w:rPr>
              <w:t xml:space="preserve">Exposición de supuestos Banguat-SAT </w:t>
            </w:r>
          </w:p>
          <w:p w:rsidR="00EE25CA" w:rsidRPr="00DC4BCC" w:rsidRDefault="00EE25CA" w:rsidP="00EE25CA">
            <w:pPr>
              <w:numPr>
                <w:ilvl w:val="0"/>
                <w:numId w:val="5"/>
              </w:numPr>
              <w:spacing w:after="0"/>
              <w:jc w:val="both"/>
            </w:pPr>
            <w:r w:rsidRPr="00DC4BCC">
              <w:t>Talleres de Micro simulaciones –</w:t>
            </w:r>
            <w:r w:rsidRPr="00DC4BCC">
              <w:rPr>
                <w:bCs/>
              </w:rPr>
              <w:t xml:space="preserve"> Apoyo de Cooperación Internacional</w:t>
            </w:r>
          </w:p>
          <w:p w:rsidR="00EE25CA" w:rsidRPr="00DC4BCC" w:rsidRDefault="00EE25CA" w:rsidP="00EE25CA">
            <w:pPr>
              <w:numPr>
                <w:ilvl w:val="0"/>
                <w:numId w:val="5"/>
              </w:numPr>
              <w:spacing w:after="0"/>
              <w:jc w:val="both"/>
            </w:pPr>
            <w:r w:rsidRPr="00DC4BCC">
              <w:t xml:space="preserve">Talleres Sectoriales con Expertos – </w:t>
            </w:r>
            <w:r w:rsidRPr="00DC4BCC">
              <w:rPr>
                <w:bCs/>
              </w:rPr>
              <w:t xml:space="preserve">Diagnóstico de seis sectores priorizados </w:t>
            </w:r>
          </w:p>
          <w:p w:rsidR="00EE25CA" w:rsidRDefault="00EE25CA" w:rsidP="00EE25CA">
            <w:pPr>
              <w:spacing w:after="0"/>
              <w:jc w:val="both"/>
            </w:pPr>
            <w:r>
              <w:t xml:space="preserve">Actualmente se están realizando los talleres de presupuesto abierto 2018 como insumo  para la definición de los techos presupuestarios. </w:t>
            </w:r>
          </w:p>
          <w:p w:rsidR="00EE25CA" w:rsidRPr="005610B6" w:rsidRDefault="00EE25CA" w:rsidP="00EE25CA">
            <w:pPr>
              <w:spacing w:after="0"/>
              <w:jc w:val="both"/>
              <w:rPr>
                <w:sz w:val="4"/>
              </w:rPr>
            </w:pPr>
          </w:p>
          <w:p w:rsidR="00EE25CA" w:rsidRDefault="00EE25CA" w:rsidP="00EE25CA">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EE25CA" w:rsidRPr="005610B6" w:rsidRDefault="00EE25CA" w:rsidP="00EE25CA">
            <w:pPr>
              <w:spacing w:after="0"/>
              <w:jc w:val="both"/>
              <w:rPr>
                <w:sz w:val="4"/>
                <w:lang w:val="es-ES"/>
              </w:rPr>
            </w:pPr>
          </w:p>
          <w:p w:rsidR="00EE25CA" w:rsidRDefault="00EE25CA" w:rsidP="00EE25CA">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EE25CA" w:rsidRDefault="00EE25CA" w:rsidP="00EE25CA">
            <w:pPr>
              <w:spacing w:after="0"/>
              <w:jc w:val="both"/>
            </w:pPr>
          </w:p>
          <w:p w:rsidR="00EE25CA" w:rsidRPr="005610B6" w:rsidRDefault="00EE25CA" w:rsidP="00EE25CA">
            <w:pPr>
              <w:spacing w:after="0"/>
              <w:jc w:val="both"/>
              <w:rPr>
                <w:sz w:val="2"/>
              </w:rPr>
            </w:pPr>
          </w:p>
          <w:p w:rsidR="00EE25CA" w:rsidRDefault="00EE25CA" w:rsidP="00EE25CA">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EE25CA" w:rsidRDefault="00EE25CA" w:rsidP="00EE25CA">
            <w:pPr>
              <w:spacing w:after="0"/>
              <w:jc w:val="both"/>
              <w:rPr>
                <w:lang w:val="es-ES"/>
              </w:rPr>
            </w:pPr>
          </w:p>
          <w:p w:rsidR="00EE25CA" w:rsidRDefault="00EE25CA" w:rsidP="00EE25CA">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EE25CA" w:rsidRDefault="00EE25CA" w:rsidP="00EE25CA">
            <w:pPr>
              <w:spacing w:after="0"/>
              <w:jc w:val="center"/>
              <w:rPr>
                <w:lang w:val="es-ES"/>
              </w:rPr>
            </w:pPr>
          </w:p>
          <w:p w:rsidR="00EE25CA" w:rsidRDefault="00EE25CA" w:rsidP="00EE25CA">
            <w:pPr>
              <w:spacing w:after="0"/>
              <w:jc w:val="center"/>
              <w:rPr>
                <w:lang w:val="es-ES"/>
              </w:rPr>
            </w:pPr>
          </w:p>
          <w:p w:rsidR="00EE25CA" w:rsidRDefault="00EE25CA" w:rsidP="00EE25CA">
            <w:pPr>
              <w:spacing w:after="0"/>
              <w:jc w:val="center"/>
              <w:rPr>
                <w:lang w:val="es-ES"/>
              </w:rPr>
            </w:pPr>
          </w:p>
          <w:p w:rsidR="00EE25CA" w:rsidRDefault="00EE25CA" w:rsidP="00EE25CA">
            <w:pPr>
              <w:spacing w:after="0"/>
              <w:jc w:val="center"/>
              <w:rPr>
                <w:lang w:val="es-ES"/>
              </w:rPr>
            </w:pPr>
          </w:p>
          <w:p w:rsidR="00EE25CA" w:rsidRDefault="00EE25CA" w:rsidP="00EE25CA">
            <w:pPr>
              <w:spacing w:after="0"/>
              <w:jc w:val="center"/>
              <w:rPr>
                <w:lang w:val="es-ES"/>
              </w:rPr>
            </w:pPr>
          </w:p>
          <w:p w:rsidR="00EE25CA" w:rsidRDefault="00EE25CA" w:rsidP="00EE25CA">
            <w:pPr>
              <w:spacing w:after="0"/>
              <w:jc w:val="center"/>
              <w:rPr>
                <w:lang w:val="es-ES"/>
              </w:rPr>
            </w:pPr>
          </w:p>
          <w:p w:rsidR="00EE25CA" w:rsidRDefault="00EE25CA" w:rsidP="00EE25CA">
            <w:pPr>
              <w:spacing w:after="0"/>
              <w:jc w:val="center"/>
              <w:rPr>
                <w:lang w:val="es-ES"/>
              </w:rPr>
            </w:pPr>
            <w:r>
              <w:rPr>
                <w:lang w:val="es-ES"/>
              </w:rPr>
              <w:t xml:space="preserve">Gráfica No. 1 </w:t>
            </w:r>
          </w:p>
          <w:p w:rsidR="00EE25CA" w:rsidRDefault="00EE25CA" w:rsidP="00EE25CA">
            <w:pPr>
              <w:spacing w:after="0"/>
              <w:jc w:val="center"/>
            </w:pPr>
            <w:r>
              <w:rPr>
                <w:noProof/>
                <w:lang w:eastAsia="es-GT"/>
              </w:rPr>
              <w:drawing>
                <wp:inline distT="0" distB="0" distL="0" distR="0" wp14:anchorId="7F76AB76" wp14:editId="069CD26C">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EE25CA" w:rsidRDefault="00EE25CA" w:rsidP="00EE25CA">
            <w:pPr>
              <w:jc w:val="right"/>
            </w:pPr>
            <w:r>
              <w:t>Fuente: Presentación del señor Ministro de Finanzas Públicas en funciones</w:t>
            </w:r>
          </w:p>
          <w:p w:rsidR="00EE25CA" w:rsidRDefault="00EE25CA" w:rsidP="00EE25CA">
            <w:pPr>
              <w:spacing w:after="0"/>
              <w:jc w:val="both"/>
            </w:pPr>
            <w:r>
              <w:t xml:space="preserve">Finalmente enfatizó que el objetivo de los talleres es fortalecer el Gobierno Abierto, la democracia y agradeció la participación de las personas de los diferentes sectores presentes en el taller y los insto a emitir sus comentarios y aportes. </w:t>
            </w:r>
          </w:p>
          <w:p w:rsidR="00EE25CA" w:rsidRPr="005610B6" w:rsidRDefault="00EE25CA" w:rsidP="00EE25CA">
            <w:pPr>
              <w:spacing w:after="0"/>
              <w:jc w:val="both"/>
              <w:rPr>
                <w:sz w:val="6"/>
              </w:rPr>
            </w:pPr>
          </w:p>
          <w:p w:rsidR="00EE25CA" w:rsidRDefault="00EE25CA" w:rsidP="00EE25CA">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Angel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EE25CA" w:rsidP="00EE25CA">
            <w:pPr>
              <w:spacing w:after="0"/>
              <w:jc w:val="both"/>
            </w:pPr>
            <w:r>
              <w:t>Para hacer viable la programación multianual de cinco años,  es necesario un esfuerzo estratégico y coordinado de parte de todas las entidades de Gobierno para conseguir los resultados que nos propongamos para una mejor Guatemala.</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6E4A12">
        <w:trPr>
          <w:trHeight w:val="332"/>
          <w:tblHeader/>
          <w:jc w:val="center"/>
        </w:trPr>
        <w:tc>
          <w:tcPr>
            <w:tcW w:w="8978" w:type="dxa"/>
            <w:shd w:val="clear" w:color="auto" w:fill="B8CCE4" w:themeFill="accent1" w:themeFillTint="66"/>
          </w:tcPr>
          <w:p w:rsidR="005610B6" w:rsidRPr="009316AF" w:rsidRDefault="005610B6" w:rsidP="00EB53B4">
            <w:pPr>
              <w:spacing w:after="0" w:line="240" w:lineRule="auto"/>
              <w:jc w:val="center"/>
              <w:rPr>
                <w:b/>
                <w:sz w:val="28"/>
                <w:szCs w:val="24"/>
              </w:rPr>
            </w:pPr>
            <w:r>
              <w:rPr>
                <w:b/>
                <w:sz w:val="28"/>
                <w:szCs w:val="24"/>
              </w:rPr>
              <w:t>PRESENTACIÓN</w:t>
            </w:r>
            <w:r w:rsidRPr="009316AF">
              <w:rPr>
                <w:b/>
                <w:sz w:val="28"/>
                <w:szCs w:val="24"/>
              </w:rPr>
              <w:t xml:space="preserve"> </w:t>
            </w:r>
            <w:r w:rsidR="000D52C9">
              <w:rPr>
                <w:b/>
                <w:sz w:val="28"/>
                <w:szCs w:val="24"/>
              </w:rPr>
              <w:t>DE LA SECRETARÍA EJECUTIVA DE LA COMISIÓN CONTRA LAS ADICCIONES Y TRÁFICO ILÍCITO DE DROGAS</w:t>
            </w:r>
            <w:r w:rsidR="00B9108C">
              <w:rPr>
                <w:b/>
                <w:sz w:val="28"/>
                <w:szCs w:val="24"/>
              </w:rPr>
              <w:t xml:space="preserve"> </w:t>
            </w:r>
          </w:p>
        </w:tc>
      </w:tr>
      <w:tr w:rsidR="005610B6" w:rsidRPr="00114000" w:rsidTr="0075044F">
        <w:trPr>
          <w:trHeight w:val="450"/>
          <w:jc w:val="center"/>
        </w:trPr>
        <w:tc>
          <w:tcPr>
            <w:tcW w:w="8978" w:type="dxa"/>
          </w:tcPr>
          <w:p w:rsidR="006E4A12" w:rsidRDefault="006E4A12" w:rsidP="00C96044">
            <w:pPr>
              <w:spacing w:after="0"/>
              <w:jc w:val="both"/>
            </w:pPr>
          </w:p>
          <w:p w:rsidR="00517D09" w:rsidRDefault="00C96044" w:rsidP="00C96044">
            <w:pPr>
              <w:spacing w:after="0"/>
              <w:jc w:val="both"/>
            </w:pPr>
            <w:r>
              <w:t>El señor Secretario Ejecutivo de la Comisión Contra las Adicciones y Tráfico Ilícito de Drogas, Juan Rafael Sánchez</w:t>
            </w:r>
            <w:r w:rsidR="00911C16">
              <w:t xml:space="preserve"> presentó </w:t>
            </w:r>
            <w:r w:rsidR="00113EF2">
              <w:t xml:space="preserve">la misión, la visión y la base legal de la institución. </w:t>
            </w:r>
          </w:p>
          <w:p w:rsidR="00113EF2" w:rsidRDefault="00113EF2" w:rsidP="00C96044">
            <w:pPr>
              <w:spacing w:after="0"/>
              <w:jc w:val="both"/>
            </w:pPr>
            <w:r>
              <w:t>Mostró la oferta programática, el historial de asignación del presupuesto, el diagnostico de las necesidades presupuestaria, la proyección de los beneficiarios dentro del ejercicio multianual a cinco años, la priorización programática</w:t>
            </w:r>
            <w:r w:rsidR="00F15E04">
              <w:t xml:space="preserve">. </w:t>
            </w:r>
          </w:p>
          <w:p w:rsidR="00B15381" w:rsidRDefault="00F15E04" w:rsidP="00F15E04">
            <w:pPr>
              <w:spacing w:after="0"/>
              <w:jc w:val="both"/>
            </w:pPr>
            <w:r>
              <w:t>Mencionó que e</w:t>
            </w:r>
            <w:r w:rsidR="007333FB" w:rsidRPr="00F15E04">
              <w:t>studios indican que el consumo de drogas lícitas e ilícitas, ha sido identificado como una de las principales</w:t>
            </w:r>
            <w:r>
              <w:t xml:space="preserve"> </w:t>
            </w:r>
            <w:r w:rsidR="007333FB" w:rsidRPr="00F15E04">
              <w:t xml:space="preserve">causas de accidentes laborales, disminución de la productividad, enfermedades, ausentismo, incapacidades, desintegración de la familia, inclusive hasta la muerte, entre otras; </w:t>
            </w:r>
            <w:r w:rsidR="007333FB" w:rsidRPr="00F15E04">
              <w:rPr>
                <w:bCs/>
              </w:rPr>
              <w:t xml:space="preserve">en consecuencia se deduce la importancia de fortalecer las políticas encaminadas a la </w:t>
            </w:r>
            <w:r w:rsidR="007333FB" w:rsidRPr="00F15E04">
              <w:rPr>
                <w:bCs/>
              </w:rPr>
              <w:lastRenderedPageBreak/>
              <w:t>prevención y reducción de riesgos derivados del consumo</w:t>
            </w:r>
            <w:r w:rsidR="007333FB" w:rsidRPr="00F15E04">
              <w:t>.</w:t>
            </w:r>
          </w:p>
          <w:p w:rsidR="00F15E04" w:rsidRPr="00114000" w:rsidRDefault="00F15E04" w:rsidP="006E4A12">
            <w:pPr>
              <w:spacing w:after="0"/>
              <w:jc w:val="both"/>
            </w:pPr>
            <w:r>
              <w:t xml:space="preserve">De la proyección de necesidades financieras presentadas para el periodo 2018-2022 se </w:t>
            </w:r>
            <w:r w:rsidR="006E4A12">
              <w:t xml:space="preserve">extrajo la información de la siguiente tabla y gráfica. </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w:t>
      </w:r>
      <w:r w:rsidR="00EB53B4">
        <w:rPr>
          <w:b/>
          <w:sz w:val="28"/>
          <w:szCs w:val="24"/>
        </w:rPr>
        <w:t>DE SECCATID</w:t>
      </w:r>
    </w:p>
    <w:tbl>
      <w:tblPr>
        <w:tblStyle w:val="Tablaconcuadrcula"/>
        <w:tblW w:w="0" w:type="auto"/>
        <w:tblLook w:val="04A0" w:firstRow="1" w:lastRow="0" w:firstColumn="1" w:lastColumn="0" w:noHBand="0" w:noVBand="1"/>
      </w:tblPr>
      <w:tblGrid>
        <w:gridCol w:w="1283"/>
        <w:gridCol w:w="1211"/>
        <w:gridCol w:w="1312"/>
        <w:gridCol w:w="1312"/>
        <w:gridCol w:w="1312"/>
        <w:gridCol w:w="1312"/>
        <w:gridCol w:w="1312"/>
      </w:tblGrid>
      <w:tr w:rsidR="00127AC8" w:rsidTr="0075044F">
        <w:tc>
          <w:tcPr>
            <w:tcW w:w="1809"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 xml:space="preserve">Año </w:t>
            </w:r>
          </w:p>
        </w:tc>
        <w:tc>
          <w:tcPr>
            <w:tcW w:w="1091"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2017</w:t>
            </w:r>
          </w:p>
        </w:tc>
        <w:tc>
          <w:tcPr>
            <w:tcW w:w="1230"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2018</w:t>
            </w:r>
          </w:p>
        </w:tc>
        <w:tc>
          <w:tcPr>
            <w:tcW w:w="1231"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2019</w:t>
            </w:r>
          </w:p>
        </w:tc>
        <w:tc>
          <w:tcPr>
            <w:tcW w:w="1231"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2020</w:t>
            </w:r>
          </w:p>
        </w:tc>
        <w:tc>
          <w:tcPr>
            <w:tcW w:w="1231"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2021</w:t>
            </w:r>
          </w:p>
        </w:tc>
        <w:tc>
          <w:tcPr>
            <w:tcW w:w="1231" w:type="dxa"/>
            <w:shd w:val="clear" w:color="auto" w:fill="B8CCE4" w:themeFill="accent1" w:themeFillTint="66"/>
          </w:tcPr>
          <w:p w:rsidR="005610B6" w:rsidRPr="00127AC8" w:rsidRDefault="005610B6" w:rsidP="0075044F">
            <w:pPr>
              <w:spacing w:after="0" w:line="240" w:lineRule="auto"/>
              <w:jc w:val="center"/>
              <w:rPr>
                <w:b/>
                <w:sz w:val="20"/>
                <w:szCs w:val="24"/>
              </w:rPr>
            </w:pPr>
            <w:r w:rsidRPr="00127AC8">
              <w:rPr>
                <w:b/>
                <w:sz w:val="20"/>
                <w:szCs w:val="24"/>
              </w:rPr>
              <w:t>2022</w:t>
            </w:r>
          </w:p>
        </w:tc>
      </w:tr>
      <w:tr w:rsidR="00127AC8" w:rsidTr="0075044F">
        <w:trPr>
          <w:trHeight w:val="306"/>
        </w:trPr>
        <w:tc>
          <w:tcPr>
            <w:tcW w:w="1809" w:type="dxa"/>
            <w:shd w:val="clear" w:color="auto" w:fill="B8CCE4" w:themeFill="accent1" w:themeFillTint="66"/>
          </w:tcPr>
          <w:p w:rsidR="00127AC8" w:rsidRPr="00127AC8" w:rsidRDefault="00127AC8" w:rsidP="0075044F">
            <w:pPr>
              <w:spacing w:after="0" w:line="240" w:lineRule="auto"/>
              <w:jc w:val="center"/>
              <w:rPr>
                <w:b/>
                <w:sz w:val="20"/>
                <w:szCs w:val="24"/>
              </w:rPr>
            </w:pPr>
            <w:r w:rsidRPr="00127AC8">
              <w:rPr>
                <w:b/>
                <w:sz w:val="20"/>
                <w:szCs w:val="24"/>
              </w:rPr>
              <w:t xml:space="preserve">Presupuesto </w:t>
            </w:r>
          </w:p>
        </w:tc>
        <w:tc>
          <w:tcPr>
            <w:tcW w:w="1091" w:type="dxa"/>
            <w:vAlign w:val="center"/>
          </w:tcPr>
          <w:p w:rsidR="00127AC8" w:rsidRPr="00127AC8" w:rsidRDefault="00127AC8" w:rsidP="00127AC8">
            <w:pPr>
              <w:jc w:val="right"/>
              <w:rPr>
                <w:rFonts w:ascii="Calibri" w:hAnsi="Calibri"/>
                <w:color w:val="000000"/>
                <w:sz w:val="20"/>
              </w:rPr>
            </w:pPr>
            <w:r w:rsidRPr="00127AC8">
              <w:rPr>
                <w:rFonts w:ascii="Calibri" w:hAnsi="Calibri"/>
                <w:color w:val="000000"/>
                <w:sz w:val="20"/>
              </w:rPr>
              <w:t xml:space="preserve">                                     Q.5,000,000 </w:t>
            </w:r>
          </w:p>
        </w:tc>
        <w:tc>
          <w:tcPr>
            <w:tcW w:w="1230" w:type="dxa"/>
            <w:vAlign w:val="center"/>
          </w:tcPr>
          <w:p w:rsidR="00127AC8" w:rsidRPr="00127AC8" w:rsidRDefault="00127AC8" w:rsidP="00127AC8">
            <w:pPr>
              <w:jc w:val="right"/>
              <w:rPr>
                <w:rFonts w:ascii="Calibri" w:hAnsi="Calibri"/>
                <w:color w:val="000000"/>
                <w:sz w:val="20"/>
              </w:rPr>
            </w:pPr>
            <w:r w:rsidRPr="00127AC8">
              <w:rPr>
                <w:rFonts w:ascii="Calibri" w:hAnsi="Calibri"/>
                <w:color w:val="000000"/>
                <w:sz w:val="20"/>
              </w:rPr>
              <w:t xml:space="preserve">               Q.15,000,000 </w:t>
            </w:r>
          </w:p>
        </w:tc>
        <w:tc>
          <w:tcPr>
            <w:tcW w:w="1231" w:type="dxa"/>
            <w:vAlign w:val="center"/>
          </w:tcPr>
          <w:p w:rsidR="00127AC8" w:rsidRPr="00127AC8" w:rsidRDefault="00127AC8">
            <w:pPr>
              <w:jc w:val="right"/>
              <w:rPr>
                <w:rFonts w:ascii="Calibri" w:hAnsi="Calibri"/>
                <w:color w:val="000000"/>
                <w:sz w:val="20"/>
              </w:rPr>
            </w:pPr>
            <w:r w:rsidRPr="00127AC8">
              <w:rPr>
                <w:rFonts w:ascii="Calibri" w:hAnsi="Calibri"/>
                <w:color w:val="000000"/>
                <w:sz w:val="20"/>
              </w:rPr>
              <w:t xml:space="preserve">           Q.15,301,379 </w:t>
            </w:r>
          </w:p>
        </w:tc>
        <w:tc>
          <w:tcPr>
            <w:tcW w:w="1231" w:type="dxa"/>
            <w:vAlign w:val="center"/>
          </w:tcPr>
          <w:p w:rsidR="00127AC8" w:rsidRPr="00127AC8" w:rsidRDefault="00127AC8">
            <w:pPr>
              <w:jc w:val="right"/>
              <w:rPr>
                <w:rFonts w:ascii="Calibri" w:hAnsi="Calibri"/>
                <w:color w:val="000000"/>
                <w:sz w:val="20"/>
              </w:rPr>
            </w:pPr>
            <w:r w:rsidRPr="00127AC8">
              <w:rPr>
                <w:rFonts w:ascii="Calibri" w:hAnsi="Calibri"/>
                <w:color w:val="000000"/>
                <w:sz w:val="20"/>
              </w:rPr>
              <w:t xml:space="preserve">       Q.15,816,420 </w:t>
            </w:r>
          </w:p>
        </w:tc>
        <w:tc>
          <w:tcPr>
            <w:tcW w:w="1231" w:type="dxa"/>
            <w:vAlign w:val="center"/>
          </w:tcPr>
          <w:p w:rsidR="00127AC8" w:rsidRPr="00127AC8" w:rsidRDefault="00127AC8">
            <w:pPr>
              <w:jc w:val="right"/>
              <w:rPr>
                <w:rFonts w:ascii="Calibri" w:hAnsi="Calibri"/>
                <w:color w:val="000000"/>
                <w:sz w:val="20"/>
              </w:rPr>
            </w:pPr>
            <w:r w:rsidRPr="00127AC8">
              <w:rPr>
                <w:rFonts w:ascii="Calibri" w:hAnsi="Calibri"/>
                <w:color w:val="000000"/>
                <w:sz w:val="20"/>
              </w:rPr>
              <w:t xml:space="preserve">            Q.16,382,965 </w:t>
            </w:r>
          </w:p>
        </w:tc>
        <w:tc>
          <w:tcPr>
            <w:tcW w:w="1231" w:type="dxa"/>
            <w:vAlign w:val="center"/>
          </w:tcPr>
          <w:p w:rsidR="00127AC8" w:rsidRPr="00127AC8" w:rsidRDefault="00127AC8">
            <w:pPr>
              <w:jc w:val="right"/>
              <w:rPr>
                <w:rFonts w:ascii="Calibri" w:hAnsi="Calibri"/>
                <w:color w:val="000000"/>
                <w:sz w:val="20"/>
              </w:rPr>
            </w:pPr>
            <w:r w:rsidRPr="00127AC8">
              <w:rPr>
                <w:rFonts w:ascii="Calibri" w:hAnsi="Calibri"/>
                <w:color w:val="000000"/>
                <w:sz w:val="20"/>
              </w:rPr>
              <w:t xml:space="preserve">       Q.17,006,164 </w:t>
            </w:r>
          </w:p>
        </w:tc>
      </w:tr>
      <w:tr w:rsidR="00127AC8" w:rsidTr="0075044F">
        <w:trPr>
          <w:trHeight w:val="376"/>
        </w:trPr>
        <w:tc>
          <w:tcPr>
            <w:tcW w:w="1809" w:type="dxa"/>
            <w:shd w:val="clear" w:color="auto" w:fill="B8CCE4" w:themeFill="accent1" w:themeFillTint="66"/>
          </w:tcPr>
          <w:p w:rsidR="00127AC8" w:rsidRPr="00127AC8" w:rsidRDefault="00127AC8" w:rsidP="0075044F">
            <w:pPr>
              <w:spacing w:after="0" w:line="240" w:lineRule="auto"/>
              <w:jc w:val="center"/>
              <w:rPr>
                <w:b/>
                <w:sz w:val="20"/>
                <w:szCs w:val="24"/>
              </w:rPr>
            </w:pPr>
            <w:r w:rsidRPr="00127AC8">
              <w:rPr>
                <w:b/>
                <w:sz w:val="20"/>
                <w:szCs w:val="24"/>
              </w:rPr>
              <w:t xml:space="preserve">% de variación </w:t>
            </w:r>
          </w:p>
        </w:tc>
        <w:tc>
          <w:tcPr>
            <w:tcW w:w="1091" w:type="dxa"/>
            <w:vAlign w:val="bottom"/>
          </w:tcPr>
          <w:p w:rsidR="00127AC8" w:rsidRPr="00127AC8" w:rsidRDefault="00127AC8" w:rsidP="00127AC8">
            <w:pPr>
              <w:jc w:val="center"/>
              <w:rPr>
                <w:rFonts w:ascii="Calibri" w:hAnsi="Calibri"/>
                <w:color w:val="000000"/>
                <w:sz w:val="20"/>
              </w:rPr>
            </w:pPr>
            <w:r w:rsidRPr="00127AC8">
              <w:rPr>
                <w:rFonts w:ascii="Calibri" w:hAnsi="Calibri"/>
                <w:color w:val="000000"/>
                <w:sz w:val="20"/>
              </w:rPr>
              <w:t>N/A</w:t>
            </w:r>
          </w:p>
        </w:tc>
        <w:tc>
          <w:tcPr>
            <w:tcW w:w="1230" w:type="dxa"/>
            <w:vAlign w:val="bottom"/>
          </w:tcPr>
          <w:p w:rsidR="00127AC8" w:rsidRPr="00127AC8" w:rsidRDefault="00127AC8" w:rsidP="00127AC8">
            <w:pPr>
              <w:jc w:val="center"/>
              <w:rPr>
                <w:rFonts w:ascii="Calibri" w:hAnsi="Calibri"/>
                <w:color w:val="000000"/>
                <w:sz w:val="20"/>
              </w:rPr>
            </w:pPr>
            <w:r w:rsidRPr="00127AC8">
              <w:rPr>
                <w:rFonts w:ascii="Calibri" w:hAnsi="Calibri"/>
                <w:color w:val="000000"/>
                <w:sz w:val="20"/>
              </w:rPr>
              <w:t>200.00</w:t>
            </w:r>
          </w:p>
        </w:tc>
        <w:tc>
          <w:tcPr>
            <w:tcW w:w="1231" w:type="dxa"/>
            <w:vAlign w:val="bottom"/>
          </w:tcPr>
          <w:p w:rsidR="00127AC8" w:rsidRPr="00127AC8" w:rsidRDefault="00127AC8" w:rsidP="00127AC8">
            <w:pPr>
              <w:jc w:val="center"/>
              <w:rPr>
                <w:rFonts w:ascii="Calibri" w:hAnsi="Calibri"/>
                <w:color w:val="000000"/>
                <w:sz w:val="20"/>
              </w:rPr>
            </w:pPr>
            <w:r w:rsidRPr="00127AC8">
              <w:rPr>
                <w:rFonts w:ascii="Calibri" w:hAnsi="Calibri"/>
                <w:color w:val="000000"/>
                <w:sz w:val="20"/>
              </w:rPr>
              <w:t>2.01</w:t>
            </w:r>
          </w:p>
        </w:tc>
        <w:tc>
          <w:tcPr>
            <w:tcW w:w="1231" w:type="dxa"/>
            <w:vAlign w:val="bottom"/>
          </w:tcPr>
          <w:p w:rsidR="00127AC8" w:rsidRPr="00127AC8" w:rsidRDefault="00127AC8" w:rsidP="00127AC8">
            <w:pPr>
              <w:jc w:val="center"/>
              <w:rPr>
                <w:rFonts w:ascii="Calibri" w:hAnsi="Calibri"/>
                <w:color w:val="000000"/>
                <w:sz w:val="20"/>
              </w:rPr>
            </w:pPr>
            <w:r w:rsidRPr="00127AC8">
              <w:rPr>
                <w:rFonts w:ascii="Calibri" w:hAnsi="Calibri"/>
                <w:color w:val="000000"/>
                <w:sz w:val="20"/>
              </w:rPr>
              <w:t>3.37</w:t>
            </w:r>
          </w:p>
        </w:tc>
        <w:tc>
          <w:tcPr>
            <w:tcW w:w="1231" w:type="dxa"/>
            <w:vAlign w:val="bottom"/>
          </w:tcPr>
          <w:p w:rsidR="00127AC8" w:rsidRPr="00127AC8" w:rsidRDefault="00127AC8" w:rsidP="00127AC8">
            <w:pPr>
              <w:jc w:val="center"/>
              <w:rPr>
                <w:rFonts w:ascii="Calibri" w:hAnsi="Calibri"/>
                <w:color w:val="000000"/>
                <w:sz w:val="20"/>
              </w:rPr>
            </w:pPr>
            <w:r w:rsidRPr="00127AC8">
              <w:rPr>
                <w:rFonts w:ascii="Calibri" w:hAnsi="Calibri"/>
                <w:color w:val="000000"/>
                <w:sz w:val="20"/>
              </w:rPr>
              <w:t>3.58</w:t>
            </w:r>
          </w:p>
        </w:tc>
        <w:tc>
          <w:tcPr>
            <w:tcW w:w="1231" w:type="dxa"/>
            <w:vAlign w:val="bottom"/>
          </w:tcPr>
          <w:p w:rsidR="00127AC8" w:rsidRPr="00127AC8" w:rsidRDefault="00127AC8" w:rsidP="00127AC8">
            <w:pPr>
              <w:jc w:val="center"/>
              <w:rPr>
                <w:rFonts w:ascii="Calibri" w:hAnsi="Calibri"/>
                <w:color w:val="000000"/>
                <w:sz w:val="20"/>
              </w:rPr>
            </w:pPr>
            <w:r w:rsidRPr="00127AC8">
              <w:rPr>
                <w:rFonts w:ascii="Calibri" w:hAnsi="Calibri"/>
                <w:color w:val="000000"/>
                <w:sz w:val="20"/>
              </w:rPr>
              <w:t>3.80</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127AC8" w:rsidP="005610B6">
                            <w:pPr>
                              <w:jc w:val="center"/>
                            </w:pPr>
                            <w:r>
                              <w:rPr>
                                <w:noProof/>
                                <w:lang w:eastAsia="es-GT"/>
                              </w:rPr>
                              <w:drawing>
                                <wp:inline distT="0" distB="0" distL="0" distR="0" wp14:anchorId="1D113C1B" wp14:editId="407751DC">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127AC8" w:rsidP="005610B6">
                      <w:pPr>
                        <w:jc w:val="center"/>
                      </w:pPr>
                      <w:r>
                        <w:rPr>
                          <w:noProof/>
                          <w:lang w:eastAsia="es-GT"/>
                        </w:rPr>
                        <w:drawing>
                          <wp:inline distT="0" distB="0" distL="0" distR="0" wp14:anchorId="1D113C1B" wp14:editId="407751DC">
                            <wp:extent cx="4700905" cy="2502515"/>
                            <wp:effectExtent l="0" t="0" r="2349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6E4A12">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75044F">
        <w:trPr>
          <w:trHeight w:val="805"/>
        </w:trPr>
        <w:tc>
          <w:tcPr>
            <w:tcW w:w="8978" w:type="dxa"/>
          </w:tcPr>
          <w:p w:rsidR="00B34074" w:rsidRPr="00B34074" w:rsidRDefault="00B34074" w:rsidP="00B34074">
            <w:pPr>
              <w:pStyle w:val="Prrafodelista"/>
              <w:spacing w:after="0"/>
              <w:ind w:left="644"/>
              <w:jc w:val="both"/>
              <w:rPr>
                <w:sz w:val="16"/>
              </w:rPr>
            </w:pPr>
          </w:p>
          <w:p w:rsidR="005610B6" w:rsidRDefault="00596233" w:rsidP="00596233">
            <w:pPr>
              <w:pStyle w:val="Prrafodelista"/>
              <w:numPr>
                <w:ilvl w:val="0"/>
                <w:numId w:val="1"/>
              </w:numPr>
              <w:spacing w:after="0"/>
              <w:jc w:val="both"/>
            </w:pPr>
            <w:r w:rsidRPr="00596233">
              <w:t>Programa</w:t>
            </w:r>
            <w:r>
              <w:t xml:space="preserve"> 36</w:t>
            </w:r>
            <w:r w:rsidRPr="00596233">
              <w:t>:</w:t>
            </w:r>
            <w:r w:rsidRPr="00596233">
              <w:rPr>
                <w:lang w:val="es-ES"/>
              </w:rPr>
              <w:t xml:space="preserve"> </w:t>
            </w:r>
            <w:r w:rsidR="008923D6" w:rsidRPr="00596233">
              <w:rPr>
                <w:lang w:val="es-ES"/>
              </w:rPr>
              <w:t>Ed</w:t>
            </w:r>
            <w:r w:rsidR="008923D6">
              <w:rPr>
                <w:lang w:val="es-ES"/>
              </w:rPr>
              <w:t>ucación para la Prevención del Alcoholismo y l</w:t>
            </w:r>
            <w:r w:rsidR="008923D6" w:rsidRPr="00596233">
              <w:rPr>
                <w:lang w:val="es-ES"/>
              </w:rPr>
              <w:t>a Drogadicción</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6E4A12">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5610B6" w:rsidRDefault="00596233" w:rsidP="008923D6">
            <w:pPr>
              <w:pStyle w:val="Prrafodelista"/>
              <w:spacing w:after="0"/>
              <w:ind w:left="284"/>
              <w:jc w:val="both"/>
            </w:pPr>
            <w:r>
              <w:t xml:space="preserve">Acciones inmediatas en el programa 36 Educación para la prevención del alcoholismo y la drogadicción. </w:t>
            </w:r>
          </w:p>
          <w:p w:rsidR="00B15381" w:rsidRPr="00596233" w:rsidRDefault="007333FB" w:rsidP="008923D6">
            <w:pPr>
              <w:pStyle w:val="Prrafodelista"/>
              <w:numPr>
                <w:ilvl w:val="0"/>
                <w:numId w:val="21"/>
              </w:numPr>
              <w:jc w:val="both"/>
            </w:pPr>
            <w:r w:rsidRPr="00596233">
              <w:rPr>
                <w:bCs/>
                <w:lang w:val="es-ES"/>
              </w:rPr>
              <w:t>Descentralización de los servicios de Tratamiento, Rehabilitación y   Reinserción.</w:t>
            </w:r>
          </w:p>
          <w:p w:rsidR="00B15381" w:rsidRPr="00596233" w:rsidRDefault="007333FB" w:rsidP="008923D6">
            <w:pPr>
              <w:pStyle w:val="Prrafodelista"/>
              <w:numPr>
                <w:ilvl w:val="0"/>
                <w:numId w:val="21"/>
              </w:numPr>
              <w:jc w:val="both"/>
            </w:pPr>
            <w:r w:rsidRPr="00596233">
              <w:rPr>
                <w:bCs/>
                <w:lang w:val="es-ES"/>
              </w:rPr>
              <w:t>Ampliación de cobertura de los Programas de Prevención al Consumo de Drogas.</w:t>
            </w:r>
          </w:p>
          <w:p w:rsidR="00B15381" w:rsidRPr="00596233" w:rsidRDefault="007333FB" w:rsidP="008923D6">
            <w:pPr>
              <w:pStyle w:val="Prrafodelista"/>
              <w:numPr>
                <w:ilvl w:val="0"/>
                <w:numId w:val="21"/>
              </w:numPr>
              <w:jc w:val="both"/>
            </w:pPr>
            <w:r w:rsidRPr="00596233">
              <w:rPr>
                <w:bCs/>
                <w:lang w:val="es-ES"/>
              </w:rPr>
              <w:t>Fortalecimiento  institucional del Observatorio Nacional Sobre Drogas.</w:t>
            </w:r>
          </w:p>
          <w:p w:rsidR="00B15381" w:rsidRPr="00596233" w:rsidRDefault="007333FB" w:rsidP="008923D6">
            <w:pPr>
              <w:pStyle w:val="Prrafodelista"/>
              <w:numPr>
                <w:ilvl w:val="0"/>
                <w:numId w:val="21"/>
              </w:numPr>
              <w:jc w:val="both"/>
            </w:pPr>
            <w:r w:rsidRPr="00596233">
              <w:rPr>
                <w:bCs/>
                <w:lang w:val="es-ES"/>
              </w:rPr>
              <w:t xml:space="preserve">Nivelación salarial para los puestos permanentes, que se equiparen a las estructuras de </w:t>
            </w:r>
            <w:r w:rsidRPr="00596233">
              <w:rPr>
                <w:bCs/>
                <w:lang w:val="es-ES"/>
              </w:rPr>
              <w:lastRenderedPageBreak/>
              <w:t>otras Secretarías similares a la SECCATID.</w:t>
            </w:r>
          </w:p>
          <w:p w:rsidR="00B15381" w:rsidRPr="00596233" w:rsidRDefault="007333FB" w:rsidP="008923D6">
            <w:pPr>
              <w:pStyle w:val="Prrafodelista"/>
              <w:numPr>
                <w:ilvl w:val="0"/>
                <w:numId w:val="21"/>
              </w:numPr>
              <w:jc w:val="both"/>
            </w:pPr>
            <w:r w:rsidRPr="00596233">
              <w:rPr>
                <w:bCs/>
                <w:lang w:val="es-ES"/>
              </w:rPr>
              <w:t>Coordinación de las Acciones de los proyectos de Desarrollo Alternativo.</w:t>
            </w:r>
          </w:p>
          <w:p w:rsidR="00596233" w:rsidRDefault="007333FB" w:rsidP="001F10EC">
            <w:pPr>
              <w:pStyle w:val="Prrafodelista"/>
              <w:numPr>
                <w:ilvl w:val="0"/>
                <w:numId w:val="21"/>
              </w:numPr>
              <w:jc w:val="both"/>
            </w:pPr>
            <w:r w:rsidRPr="00596233">
              <w:rPr>
                <w:bCs/>
                <w:lang w:val="es-ES"/>
              </w:rPr>
              <w:t>Necesidad urgente de espacio físico (renta de oficinas)</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6E4A12">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BF583B">
        <w:trPr>
          <w:trHeight w:val="1638"/>
        </w:trPr>
        <w:tc>
          <w:tcPr>
            <w:tcW w:w="8978" w:type="dxa"/>
          </w:tcPr>
          <w:p w:rsidR="00C57535" w:rsidRPr="00D34A23" w:rsidRDefault="00A85A2C" w:rsidP="0088485F">
            <w:pPr>
              <w:jc w:val="both"/>
              <w:rPr>
                <w:i/>
              </w:rPr>
            </w:pPr>
            <w:r w:rsidRPr="00D34A23">
              <w:rPr>
                <w:i/>
              </w:rPr>
              <w:t xml:space="preserve">Comentario del Secretario de SECCATID. </w:t>
            </w:r>
          </w:p>
          <w:p w:rsidR="006E4A12" w:rsidRPr="00D34A23" w:rsidRDefault="00BF583B" w:rsidP="0088485F">
            <w:pPr>
              <w:jc w:val="both"/>
              <w:rPr>
                <w:i/>
              </w:rPr>
            </w:pPr>
            <w:r w:rsidRPr="00D34A23">
              <w:rPr>
                <w:i/>
              </w:rPr>
              <w:t>Felicitó</w:t>
            </w:r>
            <w:r w:rsidR="006E4A12" w:rsidRPr="00D34A23">
              <w:rPr>
                <w:i/>
              </w:rPr>
              <w:t xml:space="preserve"> al Ministerio de Finanzas y a </w:t>
            </w:r>
            <w:r w:rsidR="00A85A2C" w:rsidRPr="00D34A23">
              <w:rPr>
                <w:i/>
              </w:rPr>
              <w:t xml:space="preserve">Segeplan, </w:t>
            </w:r>
            <w:r w:rsidRPr="00D34A23">
              <w:rPr>
                <w:i/>
              </w:rPr>
              <w:t>consideró que es</w:t>
            </w:r>
            <w:r w:rsidR="00A85A2C" w:rsidRPr="00D34A23">
              <w:rPr>
                <w:i/>
              </w:rPr>
              <w:t xml:space="preserve"> un ejercicio que evidencia las necesidades de cada una de las entidades, y la razón de ser de cada solicitud de aumento, </w:t>
            </w:r>
            <w:r w:rsidR="00E44D2A" w:rsidRPr="00D34A23">
              <w:rPr>
                <w:i/>
              </w:rPr>
              <w:t xml:space="preserve"> aprovechó la coyuntura del taller en el que se mencionó</w:t>
            </w:r>
            <w:r w:rsidR="00A85A2C" w:rsidRPr="00D34A23">
              <w:rPr>
                <w:i/>
              </w:rPr>
              <w:t xml:space="preserve"> </w:t>
            </w:r>
            <w:r w:rsidR="006E4A12" w:rsidRPr="00D34A23">
              <w:rPr>
                <w:i/>
              </w:rPr>
              <w:t>el tema de</w:t>
            </w:r>
            <w:r w:rsidR="00A85A2C" w:rsidRPr="00D34A23">
              <w:rPr>
                <w:i/>
              </w:rPr>
              <w:t xml:space="preserve"> la mujer</w:t>
            </w:r>
            <w:r w:rsidR="006E4A12" w:rsidRPr="00D34A23">
              <w:rPr>
                <w:i/>
              </w:rPr>
              <w:t xml:space="preserve">, </w:t>
            </w:r>
            <w:r w:rsidR="00A85A2C" w:rsidRPr="00D34A23">
              <w:rPr>
                <w:i/>
              </w:rPr>
              <w:t>indiscutiblemente en el tema de drogas y adicciones, el 60% de los usuarios d</w:t>
            </w:r>
            <w:r w:rsidR="00E44D2A" w:rsidRPr="00D34A23">
              <w:rPr>
                <w:i/>
              </w:rPr>
              <w:t>e nuestros centros ambulatorios</w:t>
            </w:r>
            <w:r w:rsidR="006E4A12" w:rsidRPr="00D34A23">
              <w:rPr>
                <w:i/>
              </w:rPr>
              <w:t xml:space="preserve"> son mujeres, por lo que el flagelo de las drogas afecta a hombre y mujeres. </w:t>
            </w:r>
          </w:p>
          <w:p w:rsidR="00A85A2C" w:rsidRPr="00D34A23" w:rsidRDefault="006E4A12" w:rsidP="0088485F">
            <w:pPr>
              <w:jc w:val="both"/>
              <w:rPr>
                <w:i/>
              </w:rPr>
            </w:pPr>
            <w:r w:rsidRPr="00D34A23">
              <w:rPr>
                <w:i/>
              </w:rPr>
              <w:t>S</w:t>
            </w:r>
            <w:r w:rsidR="00A85A2C" w:rsidRPr="00D34A23">
              <w:rPr>
                <w:i/>
              </w:rPr>
              <w:t>olicit</w:t>
            </w:r>
            <w:r w:rsidR="00E44D2A" w:rsidRPr="00D34A23">
              <w:rPr>
                <w:i/>
              </w:rPr>
              <w:t>ó</w:t>
            </w:r>
            <w:r w:rsidR="00A85A2C" w:rsidRPr="00D34A23">
              <w:rPr>
                <w:i/>
              </w:rPr>
              <w:t xml:space="preserve"> el incremento de 5</w:t>
            </w:r>
            <w:r w:rsidR="00E44D2A" w:rsidRPr="00D34A23">
              <w:rPr>
                <w:i/>
              </w:rPr>
              <w:t xml:space="preserve"> </w:t>
            </w:r>
            <w:r w:rsidR="00A85A2C" w:rsidRPr="00D34A23">
              <w:rPr>
                <w:i/>
              </w:rPr>
              <w:t>a 15 millones</w:t>
            </w:r>
            <w:r w:rsidR="00E44D2A" w:rsidRPr="00D34A23">
              <w:rPr>
                <w:i/>
              </w:rPr>
              <w:t xml:space="preserve"> de quetzales,</w:t>
            </w:r>
            <w:r w:rsidR="00A85A2C" w:rsidRPr="00D34A23">
              <w:rPr>
                <w:i/>
              </w:rPr>
              <w:t xml:space="preserve"> </w:t>
            </w:r>
            <w:r w:rsidR="00E44D2A" w:rsidRPr="00D34A23">
              <w:rPr>
                <w:i/>
              </w:rPr>
              <w:t xml:space="preserve">consideró que es </w:t>
            </w:r>
            <w:r w:rsidR="00A85A2C" w:rsidRPr="00D34A23">
              <w:rPr>
                <w:i/>
              </w:rPr>
              <w:t xml:space="preserve">un primer paso para poder hacer este ejercicio año con año y que </w:t>
            </w:r>
            <w:r w:rsidR="00E44D2A" w:rsidRPr="00D34A23">
              <w:rPr>
                <w:i/>
              </w:rPr>
              <w:t>se logre</w:t>
            </w:r>
            <w:r w:rsidR="00A85A2C" w:rsidRPr="00D34A23">
              <w:rPr>
                <w:i/>
              </w:rPr>
              <w:t xml:space="preserve"> alcanzar mejores resultados y </w:t>
            </w:r>
            <w:r w:rsidR="00E44D2A" w:rsidRPr="00D34A23">
              <w:rPr>
                <w:i/>
              </w:rPr>
              <w:t>se pueda</w:t>
            </w:r>
            <w:r w:rsidR="00A85A2C" w:rsidRPr="00D34A23">
              <w:rPr>
                <w:i/>
              </w:rPr>
              <w:t xml:space="preserve"> llegar a los usuarios. </w:t>
            </w:r>
          </w:p>
          <w:p w:rsidR="00A85A2C" w:rsidRPr="00D34A23" w:rsidRDefault="00E44D2A" w:rsidP="0088485F">
            <w:pPr>
              <w:jc w:val="both"/>
              <w:rPr>
                <w:i/>
              </w:rPr>
            </w:pPr>
            <w:r w:rsidRPr="00D34A23">
              <w:rPr>
                <w:i/>
              </w:rPr>
              <w:t>Mencionó, que l</w:t>
            </w:r>
            <w:r w:rsidR="00A85A2C" w:rsidRPr="00D34A23">
              <w:rPr>
                <w:i/>
              </w:rPr>
              <w:t xml:space="preserve">a letra muerta de la ley </w:t>
            </w:r>
            <w:r w:rsidRPr="00D34A23">
              <w:rPr>
                <w:i/>
              </w:rPr>
              <w:t>faculta a las instituciones para</w:t>
            </w:r>
            <w:r w:rsidR="00A85A2C" w:rsidRPr="00D34A23">
              <w:rPr>
                <w:i/>
              </w:rPr>
              <w:t xml:space="preserve"> cumplir ciertas obligaciones, pero como guatemaltecos es un compromiso que</w:t>
            </w:r>
            <w:r w:rsidR="00D34A23">
              <w:rPr>
                <w:i/>
              </w:rPr>
              <w:t xml:space="preserve"> </w:t>
            </w:r>
            <w:r w:rsidR="00A85A2C" w:rsidRPr="00D34A23">
              <w:rPr>
                <w:i/>
              </w:rPr>
              <w:t xml:space="preserve">se debe de asumir, es necesario que nos comprometamos todos  para poder erradicar este flagelo de las drogas y las adicciones. </w:t>
            </w:r>
          </w:p>
          <w:p w:rsidR="00F00E2C" w:rsidRDefault="00E44D2A" w:rsidP="00BF583B">
            <w:pPr>
              <w:jc w:val="both"/>
            </w:pPr>
            <w:r w:rsidRPr="00D34A23">
              <w:rPr>
                <w:i/>
              </w:rPr>
              <w:t>Confió</w:t>
            </w:r>
            <w:r w:rsidR="00A85A2C" w:rsidRPr="00D34A23">
              <w:rPr>
                <w:i/>
              </w:rPr>
              <w:t xml:space="preserve"> que se sabrá orientar por un buen camino ese espacio presupuestario que se tiene dispuesto para que se llegue a</w:t>
            </w:r>
            <w:r w:rsidR="00BF583B" w:rsidRPr="00D34A23">
              <w:rPr>
                <w:i/>
              </w:rPr>
              <w:t xml:space="preserve"> donde corresponde.</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A5" w:rsidRDefault="00F23FA5" w:rsidP="00590686">
      <w:pPr>
        <w:spacing w:after="0" w:line="240" w:lineRule="auto"/>
      </w:pPr>
      <w:r>
        <w:separator/>
      </w:r>
    </w:p>
  </w:endnote>
  <w:endnote w:type="continuationSeparator" w:id="0">
    <w:p w:rsidR="00F23FA5" w:rsidRDefault="00F23FA5" w:rsidP="0059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86" w:rsidRDefault="005906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86" w:rsidRDefault="005906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86" w:rsidRDefault="005906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A5" w:rsidRDefault="00F23FA5" w:rsidP="00590686">
      <w:pPr>
        <w:spacing w:after="0" w:line="240" w:lineRule="auto"/>
      </w:pPr>
      <w:r>
        <w:separator/>
      </w:r>
    </w:p>
  </w:footnote>
  <w:footnote w:type="continuationSeparator" w:id="0">
    <w:p w:rsidR="00F23FA5" w:rsidRDefault="00F23FA5" w:rsidP="0059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86" w:rsidRDefault="005906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86" w:rsidRDefault="00590686">
    <w:pPr>
      <w:pStyle w:val="Encabezado"/>
    </w:pPr>
    <w:r>
      <w:rPr>
        <w:noProof/>
        <w:lang w:eastAsia="es-GT"/>
      </w:rPr>
      <w:drawing>
        <wp:inline distT="0" distB="0" distL="0" distR="0" wp14:anchorId="0F85A865" wp14:editId="4B03E842">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86" w:rsidRDefault="005906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721D93"/>
    <w:multiLevelType w:val="hybridMultilevel"/>
    <w:tmpl w:val="B262F46A"/>
    <w:lvl w:ilvl="0" w:tplc="3C945A54">
      <w:start w:val="1"/>
      <w:numFmt w:val="bullet"/>
      <w:lvlText w:val="•"/>
      <w:lvlJc w:val="left"/>
      <w:pPr>
        <w:tabs>
          <w:tab w:val="num" w:pos="720"/>
        </w:tabs>
        <w:ind w:left="720" w:hanging="360"/>
      </w:pPr>
      <w:rPr>
        <w:rFonts w:ascii="Arial" w:hAnsi="Arial" w:hint="default"/>
      </w:rPr>
    </w:lvl>
    <w:lvl w:ilvl="1" w:tplc="AD005E7E" w:tentative="1">
      <w:start w:val="1"/>
      <w:numFmt w:val="bullet"/>
      <w:lvlText w:val="•"/>
      <w:lvlJc w:val="left"/>
      <w:pPr>
        <w:tabs>
          <w:tab w:val="num" w:pos="1440"/>
        </w:tabs>
        <w:ind w:left="1440" w:hanging="360"/>
      </w:pPr>
      <w:rPr>
        <w:rFonts w:ascii="Arial" w:hAnsi="Arial" w:hint="default"/>
      </w:rPr>
    </w:lvl>
    <w:lvl w:ilvl="2" w:tplc="61C09814" w:tentative="1">
      <w:start w:val="1"/>
      <w:numFmt w:val="bullet"/>
      <w:lvlText w:val="•"/>
      <w:lvlJc w:val="left"/>
      <w:pPr>
        <w:tabs>
          <w:tab w:val="num" w:pos="2160"/>
        </w:tabs>
        <w:ind w:left="2160" w:hanging="360"/>
      </w:pPr>
      <w:rPr>
        <w:rFonts w:ascii="Arial" w:hAnsi="Arial" w:hint="default"/>
      </w:rPr>
    </w:lvl>
    <w:lvl w:ilvl="3" w:tplc="D30609CA" w:tentative="1">
      <w:start w:val="1"/>
      <w:numFmt w:val="bullet"/>
      <w:lvlText w:val="•"/>
      <w:lvlJc w:val="left"/>
      <w:pPr>
        <w:tabs>
          <w:tab w:val="num" w:pos="2880"/>
        </w:tabs>
        <w:ind w:left="2880" w:hanging="360"/>
      </w:pPr>
      <w:rPr>
        <w:rFonts w:ascii="Arial" w:hAnsi="Arial" w:hint="default"/>
      </w:rPr>
    </w:lvl>
    <w:lvl w:ilvl="4" w:tplc="FA10F114" w:tentative="1">
      <w:start w:val="1"/>
      <w:numFmt w:val="bullet"/>
      <w:lvlText w:val="•"/>
      <w:lvlJc w:val="left"/>
      <w:pPr>
        <w:tabs>
          <w:tab w:val="num" w:pos="3600"/>
        </w:tabs>
        <w:ind w:left="3600" w:hanging="360"/>
      </w:pPr>
      <w:rPr>
        <w:rFonts w:ascii="Arial" w:hAnsi="Arial" w:hint="default"/>
      </w:rPr>
    </w:lvl>
    <w:lvl w:ilvl="5" w:tplc="1E8EB48A" w:tentative="1">
      <w:start w:val="1"/>
      <w:numFmt w:val="bullet"/>
      <w:lvlText w:val="•"/>
      <w:lvlJc w:val="left"/>
      <w:pPr>
        <w:tabs>
          <w:tab w:val="num" w:pos="4320"/>
        </w:tabs>
        <w:ind w:left="4320" w:hanging="360"/>
      </w:pPr>
      <w:rPr>
        <w:rFonts w:ascii="Arial" w:hAnsi="Arial" w:hint="default"/>
      </w:rPr>
    </w:lvl>
    <w:lvl w:ilvl="6" w:tplc="8592C0EE" w:tentative="1">
      <w:start w:val="1"/>
      <w:numFmt w:val="bullet"/>
      <w:lvlText w:val="•"/>
      <w:lvlJc w:val="left"/>
      <w:pPr>
        <w:tabs>
          <w:tab w:val="num" w:pos="5040"/>
        </w:tabs>
        <w:ind w:left="5040" w:hanging="360"/>
      </w:pPr>
      <w:rPr>
        <w:rFonts w:ascii="Arial" w:hAnsi="Arial" w:hint="default"/>
      </w:rPr>
    </w:lvl>
    <w:lvl w:ilvl="7" w:tplc="2312D86C" w:tentative="1">
      <w:start w:val="1"/>
      <w:numFmt w:val="bullet"/>
      <w:lvlText w:val="•"/>
      <w:lvlJc w:val="left"/>
      <w:pPr>
        <w:tabs>
          <w:tab w:val="num" w:pos="5760"/>
        </w:tabs>
        <w:ind w:left="5760" w:hanging="360"/>
      </w:pPr>
      <w:rPr>
        <w:rFonts w:ascii="Arial" w:hAnsi="Arial" w:hint="default"/>
      </w:rPr>
    </w:lvl>
    <w:lvl w:ilvl="8" w:tplc="3A10E6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2569EF"/>
    <w:multiLevelType w:val="hybridMultilevel"/>
    <w:tmpl w:val="7AFC95EA"/>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364" w:hanging="360"/>
      </w:pPr>
      <w:rPr>
        <w:rFonts w:ascii="Courier New" w:hAnsi="Courier New" w:cs="Courier New" w:hint="default"/>
      </w:rPr>
    </w:lvl>
    <w:lvl w:ilvl="2" w:tplc="100A0005" w:tentative="1">
      <w:start w:val="1"/>
      <w:numFmt w:val="bullet"/>
      <w:lvlText w:val=""/>
      <w:lvlJc w:val="left"/>
      <w:pPr>
        <w:ind w:left="2084" w:hanging="360"/>
      </w:pPr>
      <w:rPr>
        <w:rFonts w:ascii="Wingdings" w:hAnsi="Wingdings" w:hint="default"/>
      </w:rPr>
    </w:lvl>
    <w:lvl w:ilvl="3" w:tplc="100A0001" w:tentative="1">
      <w:start w:val="1"/>
      <w:numFmt w:val="bullet"/>
      <w:lvlText w:val=""/>
      <w:lvlJc w:val="left"/>
      <w:pPr>
        <w:ind w:left="2804" w:hanging="360"/>
      </w:pPr>
      <w:rPr>
        <w:rFonts w:ascii="Symbol" w:hAnsi="Symbol" w:hint="default"/>
      </w:rPr>
    </w:lvl>
    <w:lvl w:ilvl="4" w:tplc="100A0003" w:tentative="1">
      <w:start w:val="1"/>
      <w:numFmt w:val="bullet"/>
      <w:lvlText w:val="o"/>
      <w:lvlJc w:val="left"/>
      <w:pPr>
        <w:ind w:left="3524" w:hanging="360"/>
      </w:pPr>
      <w:rPr>
        <w:rFonts w:ascii="Courier New" w:hAnsi="Courier New" w:cs="Courier New" w:hint="default"/>
      </w:rPr>
    </w:lvl>
    <w:lvl w:ilvl="5" w:tplc="100A0005" w:tentative="1">
      <w:start w:val="1"/>
      <w:numFmt w:val="bullet"/>
      <w:lvlText w:val=""/>
      <w:lvlJc w:val="left"/>
      <w:pPr>
        <w:ind w:left="4244" w:hanging="360"/>
      </w:pPr>
      <w:rPr>
        <w:rFonts w:ascii="Wingdings" w:hAnsi="Wingdings" w:hint="default"/>
      </w:rPr>
    </w:lvl>
    <w:lvl w:ilvl="6" w:tplc="100A0001" w:tentative="1">
      <w:start w:val="1"/>
      <w:numFmt w:val="bullet"/>
      <w:lvlText w:val=""/>
      <w:lvlJc w:val="left"/>
      <w:pPr>
        <w:ind w:left="4964" w:hanging="360"/>
      </w:pPr>
      <w:rPr>
        <w:rFonts w:ascii="Symbol" w:hAnsi="Symbol" w:hint="default"/>
      </w:rPr>
    </w:lvl>
    <w:lvl w:ilvl="7" w:tplc="100A0003" w:tentative="1">
      <w:start w:val="1"/>
      <w:numFmt w:val="bullet"/>
      <w:lvlText w:val="o"/>
      <w:lvlJc w:val="left"/>
      <w:pPr>
        <w:ind w:left="5684" w:hanging="360"/>
      </w:pPr>
      <w:rPr>
        <w:rFonts w:ascii="Courier New" w:hAnsi="Courier New" w:cs="Courier New" w:hint="default"/>
      </w:rPr>
    </w:lvl>
    <w:lvl w:ilvl="8" w:tplc="100A0005" w:tentative="1">
      <w:start w:val="1"/>
      <w:numFmt w:val="bullet"/>
      <w:lvlText w:val=""/>
      <w:lvlJc w:val="left"/>
      <w:pPr>
        <w:ind w:left="6404" w:hanging="360"/>
      </w:pPr>
      <w:rPr>
        <w:rFonts w:ascii="Wingdings" w:hAnsi="Wingdings" w:hint="default"/>
      </w:rPr>
    </w:lvl>
  </w:abstractNum>
  <w:abstractNum w:abstractNumId="9"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1"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4"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6"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FB4F85"/>
    <w:multiLevelType w:val="hybridMultilevel"/>
    <w:tmpl w:val="473C5CB0"/>
    <w:lvl w:ilvl="0" w:tplc="100A0001">
      <w:start w:val="1"/>
      <w:numFmt w:val="bullet"/>
      <w:lvlText w:val=""/>
      <w:lvlJc w:val="left"/>
      <w:pPr>
        <w:tabs>
          <w:tab w:val="num" w:pos="720"/>
        </w:tabs>
        <w:ind w:left="720" w:hanging="360"/>
      </w:pPr>
      <w:rPr>
        <w:rFonts w:ascii="Symbol" w:hAnsi="Symbol" w:hint="default"/>
      </w:rPr>
    </w:lvl>
    <w:lvl w:ilvl="1" w:tplc="860AD826" w:tentative="1">
      <w:start w:val="1"/>
      <w:numFmt w:val="decimal"/>
      <w:lvlText w:val="%2."/>
      <w:lvlJc w:val="left"/>
      <w:pPr>
        <w:tabs>
          <w:tab w:val="num" w:pos="1440"/>
        </w:tabs>
        <w:ind w:left="1440" w:hanging="360"/>
      </w:pPr>
    </w:lvl>
    <w:lvl w:ilvl="2" w:tplc="DA1ACEA2" w:tentative="1">
      <w:start w:val="1"/>
      <w:numFmt w:val="decimal"/>
      <w:lvlText w:val="%3."/>
      <w:lvlJc w:val="left"/>
      <w:pPr>
        <w:tabs>
          <w:tab w:val="num" w:pos="2160"/>
        </w:tabs>
        <w:ind w:left="2160" w:hanging="360"/>
      </w:pPr>
    </w:lvl>
    <w:lvl w:ilvl="3" w:tplc="BF9E96E6" w:tentative="1">
      <w:start w:val="1"/>
      <w:numFmt w:val="decimal"/>
      <w:lvlText w:val="%4."/>
      <w:lvlJc w:val="left"/>
      <w:pPr>
        <w:tabs>
          <w:tab w:val="num" w:pos="2880"/>
        </w:tabs>
        <w:ind w:left="2880" w:hanging="360"/>
      </w:pPr>
    </w:lvl>
    <w:lvl w:ilvl="4" w:tplc="7368FEBC" w:tentative="1">
      <w:start w:val="1"/>
      <w:numFmt w:val="decimal"/>
      <w:lvlText w:val="%5."/>
      <w:lvlJc w:val="left"/>
      <w:pPr>
        <w:tabs>
          <w:tab w:val="num" w:pos="3600"/>
        </w:tabs>
        <w:ind w:left="3600" w:hanging="360"/>
      </w:pPr>
    </w:lvl>
    <w:lvl w:ilvl="5" w:tplc="1378291A" w:tentative="1">
      <w:start w:val="1"/>
      <w:numFmt w:val="decimal"/>
      <w:lvlText w:val="%6."/>
      <w:lvlJc w:val="left"/>
      <w:pPr>
        <w:tabs>
          <w:tab w:val="num" w:pos="4320"/>
        </w:tabs>
        <w:ind w:left="4320" w:hanging="360"/>
      </w:pPr>
    </w:lvl>
    <w:lvl w:ilvl="6" w:tplc="4B9855FA" w:tentative="1">
      <w:start w:val="1"/>
      <w:numFmt w:val="decimal"/>
      <w:lvlText w:val="%7."/>
      <w:lvlJc w:val="left"/>
      <w:pPr>
        <w:tabs>
          <w:tab w:val="num" w:pos="5040"/>
        </w:tabs>
        <w:ind w:left="5040" w:hanging="360"/>
      </w:pPr>
    </w:lvl>
    <w:lvl w:ilvl="7" w:tplc="C76E4226" w:tentative="1">
      <w:start w:val="1"/>
      <w:numFmt w:val="decimal"/>
      <w:lvlText w:val="%8."/>
      <w:lvlJc w:val="left"/>
      <w:pPr>
        <w:tabs>
          <w:tab w:val="num" w:pos="5760"/>
        </w:tabs>
        <w:ind w:left="5760" w:hanging="360"/>
      </w:pPr>
    </w:lvl>
    <w:lvl w:ilvl="8" w:tplc="FF38AEBC" w:tentative="1">
      <w:start w:val="1"/>
      <w:numFmt w:val="decimal"/>
      <w:lvlText w:val="%9."/>
      <w:lvlJc w:val="left"/>
      <w:pPr>
        <w:tabs>
          <w:tab w:val="num" w:pos="6480"/>
        </w:tabs>
        <w:ind w:left="6480" w:hanging="360"/>
      </w:pPr>
    </w:lvl>
  </w:abstractNum>
  <w:abstractNum w:abstractNumId="18"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19"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3"/>
  </w:num>
  <w:num w:numId="4">
    <w:abstractNumId w:val="9"/>
  </w:num>
  <w:num w:numId="5">
    <w:abstractNumId w:val="7"/>
  </w:num>
  <w:num w:numId="6">
    <w:abstractNumId w:val="2"/>
  </w:num>
  <w:num w:numId="7">
    <w:abstractNumId w:val="21"/>
  </w:num>
  <w:num w:numId="8">
    <w:abstractNumId w:val="14"/>
  </w:num>
  <w:num w:numId="9">
    <w:abstractNumId w:val="1"/>
  </w:num>
  <w:num w:numId="10">
    <w:abstractNumId w:val="4"/>
  </w:num>
  <w:num w:numId="11">
    <w:abstractNumId w:val="6"/>
  </w:num>
  <w:num w:numId="12">
    <w:abstractNumId w:val="19"/>
  </w:num>
  <w:num w:numId="13">
    <w:abstractNumId w:val="5"/>
  </w:num>
  <w:num w:numId="14">
    <w:abstractNumId w:val="16"/>
  </w:num>
  <w:num w:numId="15">
    <w:abstractNumId w:val="11"/>
  </w:num>
  <w:num w:numId="16">
    <w:abstractNumId w:val="20"/>
  </w:num>
  <w:num w:numId="17">
    <w:abstractNumId w:val="12"/>
  </w:num>
  <w:num w:numId="18">
    <w:abstractNumId w:val="10"/>
  </w:num>
  <w:num w:numId="19">
    <w:abstractNumId w:val="15"/>
  </w:num>
  <w:num w:numId="20">
    <w:abstractNumId w:val="18"/>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67C9"/>
    <w:rsid w:val="00026352"/>
    <w:rsid w:val="000270E9"/>
    <w:rsid w:val="0006296D"/>
    <w:rsid w:val="00071451"/>
    <w:rsid w:val="00076C94"/>
    <w:rsid w:val="00077A54"/>
    <w:rsid w:val="00083E62"/>
    <w:rsid w:val="000911CB"/>
    <w:rsid w:val="00091219"/>
    <w:rsid w:val="000D52C9"/>
    <w:rsid w:val="000E040D"/>
    <w:rsid w:val="000E3161"/>
    <w:rsid w:val="000F31CE"/>
    <w:rsid w:val="00102EC7"/>
    <w:rsid w:val="001037DB"/>
    <w:rsid w:val="00113EF2"/>
    <w:rsid w:val="00114000"/>
    <w:rsid w:val="00127AC8"/>
    <w:rsid w:val="00133F9C"/>
    <w:rsid w:val="0013525E"/>
    <w:rsid w:val="00146824"/>
    <w:rsid w:val="0015670C"/>
    <w:rsid w:val="00167D5D"/>
    <w:rsid w:val="00193825"/>
    <w:rsid w:val="001943E8"/>
    <w:rsid w:val="001E7CC0"/>
    <w:rsid w:val="001F10EC"/>
    <w:rsid w:val="002048D4"/>
    <w:rsid w:val="00207041"/>
    <w:rsid w:val="0022326E"/>
    <w:rsid w:val="00225BCD"/>
    <w:rsid w:val="00235DBE"/>
    <w:rsid w:val="0025386F"/>
    <w:rsid w:val="00254A75"/>
    <w:rsid w:val="0028336B"/>
    <w:rsid w:val="0029279C"/>
    <w:rsid w:val="002A1871"/>
    <w:rsid w:val="002A36D8"/>
    <w:rsid w:val="002A78C2"/>
    <w:rsid w:val="002C103F"/>
    <w:rsid w:val="002F0205"/>
    <w:rsid w:val="002F5AE0"/>
    <w:rsid w:val="003040EB"/>
    <w:rsid w:val="00316D7E"/>
    <w:rsid w:val="00322787"/>
    <w:rsid w:val="0033105E"/>
    <w:rsid w:val="00343118"/>
    <w:rsid w:val="00357915"/>
    <w:rsid w:val="00364170"/>
    <w:rsid w:val="00371048"/>
    <w:rsid w:val="003750B8"/>
    <w:rsid w:val="003921E7"/>
    <w:rsid w:val="0039666C"/>
    <w:rsid w:val="003B103C"/>
    <w:rsid w:val="003B7776"/>
    <w:rsid w:val="003C233E"/>
    <w:rsid w:val="003C6F50"/>
    <w:rsid w:val="003D158E"/>
    <w:rsid w:val="003D2E02"/>
    <w:rsid w:val="003D7265"/>
    <w:rsid w:val="003D74E4"/>
    <w:rsid w:val="003E1512"/>
    <w:rsid w:val="003E3239"/>
    <w:rsid w:val="003E5615"/>
    <w:rsid w:val="003E6C78"/>
    <w:rsid w:val="003F3101"/>
    <w:rsid w:val="00413155"/>
    <w:rsid w:val="00456F10"/>
    <w:rsid w:val="00460D04"/>
    <w:rsid w:val="004A4DDC"/>
    <w:rsid w:val="004C6DE1"/>
    <w:rsid w:val="004D3F76"/>
    <w:rsid w:val="004D48DA"/>
    <w:rsid w:val="004D5952"/>
    <w:rsid w:val="004D677A"/>
    <w:rsid w:val="004D7798"/>
    <w:rsid w:val="0050297F"/>
    <w:rsid w:val="00505488"/>
    <w:rsid w:val="005057C4"/>
    <w:rsid w:val="00517D09"/>
    <w:rsid w:val="00545E1B"/>
    <w:rsid w:val="00556501"/>
    <w:rsid w:val="00557DCC"/>
    <w:rsid w:val="005610B6"/>
    <w:rsid w:val="005633FF"/>
    <w:rsid w:val="00590686"/>
    <w:rsid w:val="00596233"/>
    <w:rsid w:val="005A4B4B"/>
    <w:rsid w:val="005C114D"/>
    <w:rsid w:val="005C4A01"/>
    <w:rsid w:val="005D0756"/>
    <w:rsid w:val="005D1E6B"/>
    <w:rsid w:val="005E18C3"/>
    <w:rsid w:val="005F2605"/>
    <w:rsid w:val="005F41D0"/>
    <w:rsid w:val="006056A1"/>
    <w:rsid w:val="006113FE"/>
    <w:rsid w:val="0062340A"/>
    <w:rsid w:val="00623AF1"/>
    <w:rsid w:val="006325A0"/>
    <w:rsid w:val="00632E2E"/>
    <w:rsid w:val="0064795A"/>
    <w:rsid w:val="00667B61"/>
    <w:rsid w:val="006A210F"/>
    <w:rsid w:val="006A52D1"/>
    <w:rsid w:val="006D43F3"/>
    <w:rsid w:val="006E4A12"/>
    <w:rsid w:val="007012C5"/>
    <w:rsid w:val="00702871"/>
    <w:rsid w:val="007048B6"/>
    <w:rsid w:val="0072590A"/>
    <w:rsid w:val="007333FB"/>
    <w:rsid w:val="00746C49"/>
    <w:rsid w:val="0075044F"/>
    <w:rsid w:val="007615CA"/>
    <w:rsid w:val="00767517"/>
    <w:rsid w:val="00767ADB"/>
    <w:rsid w:val="0077525B"/>
    <w:rsid w:val="007A794A"/>
    <w:rsid w:val="007B736B"/>
    <w:rsid w:val="007C10F4"/>
    <w:rsid w:val="007C64EB"/>
    <w:rsid w:val="007E28A4"/>
    <w:rsid w:val="007F23BE"/>
    <w:rsid w:val="007F3B0E"/>
    <w:rsid w:val="007F7F20"/>
    <w:rsid w:val="008029A8"/>
    <w:rsid w:val="008178C3"/>
    <w:rsid w:val="00847225"/>
    <w:rsid w:val="0085279A"/>
    <w:rsid w:val="00855676"/>
    <w:rsid w:val="0088485F"/>
    <w:rsid w:val="008923D6"/>
    <w:rsid w:val="008A6259"/>
    <w:rsid w:val="008C2E3C"/>
    <w:rsid w:val="008E2B46"/>
    <w:rsid w:val="008E309A"/>
    <w:rsid w:val="008F1AA9"/>
    <w:rsid w:val="008F4723"/>
    <w:rsid w:val="008F5F11"/>
    <w:rsid w:val="009002C0"/>
    <w:rsid w:val="00906836"/>
    <w:rsid w:val="00911C16"/>
    <w:rsid w:val="009316AF"/>
    <w:rsid w:val="0093780D"/>
    <w:rsid w:val="00944C69"/>
    <w:rsid w:val="00955A0C"/>
    <w:rsid w:val="00964E44"/>
    <w:rsid w:val="00972E56"/>
    <w:rsid w:val="009C0F16"/>
    <w:rsid w:val="009E3AF8"/>
    <w:rsid w:val="00A05FD8"/>
    <w:rsid w:val="00A20FAF"/>
    <w:rsid w:val="00A37C13"/>
    <w:rsid w:val="00A520D9"/>
    <w:rsid w:val="00A53CE1"/>
    <w:rsid w:val="00A80020"/>
    <w:rsid w:val="00A8115D"/>
    <w:rsid w:val="00A83910"/>
    <w:rsid w:val="00A85A2C"/>
    <w:rsid w:val="00AA2232"/>
    <w:rsid w:val="00AD015A"/>
    <w:rsid w:val="00AD051C"/>
    <w:rsid w:val="00B141B9"/>
    <w:rsid w:val="00B15381"/>
    <w:rsid w:val="00B157D0"/>
    <w:rsid w:val="00B16136"/>
    <w:rsid w:val="00B34074"/>
    <w:rsid w:val="00B45B4F"/>
    <w:rsid w:val="00B66EDB"/>
    <w:rsid w:val="00B72D5A"/>
    <w:rsid w:val="00B9108C"/>
    <w:rsid w:val="00B92F23"/>
    <w:rsid w:val="00BB7996"/>
    <w:rsid w:val="00BC576A"/>
    <w:rsid w:val="00BD5651"/>
    <w:rsid w:val="00BF583B"/>
    <w:rsid w:val="00C469C0"/>
    <w:rsid w:val="00C54BD4"/>
    <w:rsid w:val="00C57535"/>
    <w:rsid w:val="00C66669"/>
    <w:rsid w:val="00C671E3"/>
    <w:rsid w:val="00C96044"/>
    <w:rsid w:val="00CA4C76"/>
    <w:rsid w:val="00CC3E38"/>
    <w:rsid w:val="00CD2838"/>
    <w:rsid w:val="00CD2B7D"/>
    <w:rsid w:val="00CE622A"/>
    <w:rsid w:val="00CF6C1A"/>
    <w:rsid w:val="00D00B5B"/>
    <w:rsid w:val="00D06BA1"/>
    <w:rsid w:val="00D12064"/>
    <w:rsid w:val="00D21A00"/>
    <w:rsid w:val="00D235E8"/>
    <w:rsid w:val="00D26FF9"/>
    <w:rsid w:val="00D30D8E"/>
    <w:rsid w:val="00D3237B"/>
    <w:rsid w:val="00D34A23"/>
    <w:rsid w:val="00D42C50"/>
    <w:rsid w:val="00D5016C"/>
    <w:rsid w:val="00D92828"/>
    <w:rsid w:val="00D92B8B"/>
    <w:rsid w:val="00DA53D6"/>
    <w:rsid w:val="00DC4BCC"/>
    <w:rsid w:val="00DC55A0"/>
    <w:rsid w:val="00DE3671"/>
    <w:rsid w:val="00E043D8"/>
    <w:rsid w:val="00E13B82"/>
    <w:rsid w:val="00E30613"/>
    <w:rsid w:val="00E327E7"/>
    <w:rsid w:val="00E44D2A"/>
    <w:rsid w:val="00E56883"/>
    <w:rsid w:val="00E61EAA"/>
    <w:rsid w:val="00E72C50"/>
    <w:rsid w:val="00E830FD"/>
    <w:rsid w:val="00E870B9"/>
    <w:rsid w:val="00E94F3B"/>
    <w:rsid w:val="00E95B19"/>
    <w:rsid w:val="00EB53B4"/>
    <w:rsid w:val="00EB7C06"/>
    <w:rsid w:val="00EC4DFA"/>
    <w:rsid w:val="00ED6583"/>
    <w:rsid w:val="00ED74A7"/>
    <w:rsid w:val="00EE25CA"/>
    <w:rsid w:val="00EF0AA7"/>
    <w:rsid w:val="00EF681D"/>
    <w:rsid w:val="00EF7E45"/>
    <w:rsid w:val="00F00E2C"/>
    <w:rsid w:val="00F01FAB"/>
    <w:rsid w:val="00F13B75"/>
    <w:rsid w:val="00F14A36"/>
    <w:rsid w:val="00F15E04"/>
    <w:rsid w:val="00F16E12"/>
    <w:rsid w:val="00F23FA5"/>
    <w:rsid w:val="00F2476B"/>
    <w:rsid w:val="00F267F8"/>
    <w:rsid w:val="00F34BBF"/>
    <w:rsid w:val="00F433DF"/>
    <w:rsid w:val="00F95A93"/>
    <w:rsid w:val="00FB1F8D"/>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7C8A8-CA70-4667-8E85-4D544920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590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686"/>
  </w:style>
  <w:style w:type="paragraph" w:styleId="Piedepgina">
    <w:name w:val="footer"/>
    <w:basedOn w:val="Normal"/>
    <w:link w:val="PiedepginaCar"/>
    <w:uiPriority w:val="99"/>
    <w:unhideWhenUsed/>
    <w:rsid w:val="00590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119643517">
      <w:bodyDiv w:val="1"/>
      <w:marLeft w:val="0"/>
      <w:marRight w:val="0"/>
      <w:marTop w:val="0"/>
      <w:marBottom w:val="0"/>
      <w:divBdr>
        <w:top w:val="none" w:sz="0" w:space="0" w:color="auto"/>
        <w:left w:val="none" w:sz="0" w:space="0" w:color="auto"/>
        <w:bottom w:val="none" w:sz="0" w:space="0" w:color="auto"/>
        <w:right w:val="none" w:sz="0" w:space="0" w:color="auto"/>
      </w:divBdr>
      <w:divsChild>
        <w:div w:id="997920117">
          <w:marLeft w:val="547"/>
          <w:marRight w:val="0"/>
          <w:marTop w:val="130"/>
          <w:marBottom w:val="0"/>
          <w:divBdr>
            <w:top w:val="none" w:sz="0" w:space="0" w:color="auto"/>
            <w:left w:val="none" w:sz="0" w:space="0" w:color="auto"/>
            <w:bottom w:val="none" w:sz="0" w:space="0" w:color="auto"/>
            <w:right w:val="none" w:sz="0" w:space="0" w:color="auto"/>
          </w:divBdr>
        </w:div>
      </w:divsChild>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18042934">
      <w:bodyDiv w:val="1"/>
      <w:marLeft w:val="0"/>
      <w:marRight w:val="0"/>
      <w:marTop w:val="0"/>
      <w:marBottom w:val="0"/>
      <w:divBdr>
        <w:top w:val="none" w:sz="0" w:space="0" w:color="auto"/>
        <w:left w:val="none" w:sz="0" w:space="0" w:color="auto"/>
        <w:bottom w:val="none" w:sz="0" w:space="0" w:color="auto"/>
        <w:right w:val="none" w:sz="0" w:space="0" w:color="auto"/>
      </w:divBdr>
      <w:divsChild>
        <w:div w:id="1212840144">
          <w:marLeft w:val="806"/>
          <w:marRight w:val="0"/>
          <w:marTop w:val="86"/>
          <w:marBottom w:val="0"/>
          <w:divBdr>
            <w:top w:val="none" w:sz="0" w:space="0" w:color="auto"/>
            <w:left w:val="none" w:sz="0" w:space="0" w:color="auto"/>
            <w:bottom w:val="none" w:sz="0" w:space="0" w:color="auto"/>
            <w:right w:val="none" w:sz="0" w:space="0" w:color="auto"/>
          </w:divBdr>
        </w:div>
        <w:div w:id="1093891755">
          <w:marLeft w:val="806"/>
          <w:marRight w:val="0"/>
          <w:marTop w:val="86"/>
          <w:marBottom w:val="0"/>
          <w:divBdr>
            <w:top w:val="none" w:sz="0" w:space="0" w:color="auto"/>
            <w:left w:val="none" w:sz="0" w:space="0" w:color="auto"/>
            <w:bottom w:val="none" w:sz="0" w:space="0" w:color="auto"/>
            <w:right w:val="none" w:sz="0" w:space="0" w:color="auto"/>
          </w:divBdr>
        </w:div>
        <w:div w:id="1529831572">
          <w:marLeft w:val="806"/>
          <w:marRight w:val="0"/>
          <w:marTop w:val="86"/>
          <w:marBottom w:val="0"/>
          <w:divBdr>
            <w:top w:val="none" w:sz="0" w:space="0" w:color="auto"/>
            <w:left w:val="none" w:sz="0" w:space="0" w:color="auto"/>
            <w:bottom w:val="none" w:sz="0" w:space="0" w:color="auto"/>
            <w:right w:val="none" w:sz="0" w:space="0" w:color="auto"/>
          </w:divBdr>
        </w:div>
        <w:div w:id="1807549207">
          <w:marLeft w:val="806"/>
          <w:marRight w:val="0"/>
          <w:marTop w:val="86"/>
          <w:marBottom w:val="0"/>
          <w:divBdr>
            <w:top w:val="none" w:sz="0" w:space="0" w:color="auto"/>
            <w:left w:val="none" w:sz="0" w:space="0" w:color="auto"/>
            <w:bottom w:val="none" w:sz="0" w:space="0" w:color="auto"/>
            <w:right w:val="none" w:sz="0" w:space="0" w:color="auto"/>
          </w:divBdr>
        </w:div>
        <w:div w:id="2140224219">
          <w:marLeft w:val="806"/>
          <w:marRight w:val="0"/>
          <w:marTop w:val="86"/>
          <w:marBottom w:val="0"/>
          <w:divBdr>
            <w:top w:val="none" w:sz="0" w:space="0" w:color="auto"/>
            <w:left w:val="none" w:sz="0" w:space="0" w:color="auto"/>
            <w:bottom w:val="none" w:sz="0" w:space="0" w:color="auto"/>
            <w:right w:val="none" w:sz="0" w:space="0" w:color="auto"/>
          </w:divBdr>
        </w:div>
        <w:div w:id="222571602">
          <w:marLeft w:val="806"/>
          <w:marRight w:val="0"/>
          <w:marTop w:val="86"/>
          <w:marBottom w:val="0"/>
          <w:divBdr>
            <w:top w:val="none" w:sz="0" w:space="0" w:color="auto"/>
            <w:left w:val="none" w:sz="0" w:space="0" w:color="auto"/>
            <w:bottom w:val="none" w:sz="0" w:space="0" w:color="auto"/>
            <w:right w:val="none" w:sz="0" w:space="0" w:color="auto"/>
          </w:divBdr>
        </w:div>
      </w:divsChild>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SECCATID</a:t>
            </a:r>
          </a:p>
        </c:rich>
      </c:tx>
      <c:overlay val="0"/>
    </c:title>
    <c:autoTitleDeleted val="0"/>
    <c:plotArea>
      <c:layout/>
      <c:barChart>
        <c:barDir val="col"/>
        <c:grouping val="clustered"/>
        <c:varyColors val="0"/>
        <c:ser>
          <c:idx val="0"/>
          <c:order val="0"/>
          <c:tx>
            <c:strRef>
              <c:f>SECCATID!$D$9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SECCATID!$B$3:$G$3</c:f>
              <c:strCache>
                <c:ptCount val="6"/>
                <c:pt idx="0">
                  <c:v>Prespuesto  aprobado 2017</c:v>
                </c:pt>
                <c:pt idx="1">
                  <c:v>Solicitado 2018</c:v>
                </c:pt>
                <c:pt idx="2">
                  <c:v>Solicitado 2019</c:v>
                </c:pt>
                <c:pt idx="3">
                  <c:v>Solicitado 2020</c:v>
                </c:pt>
                <c:pt idx="4">
                  <c:v>Solicitado 2021</c:v>
                </c:pt>
                <c:pt idx="5">
                  <c:v>Solicitado 2022</c:v>
                </c:pt>
              </c:strCache>
            </c:strRef>
          </c:cat>
          <c:val>
            <c:numRef>
              <c:f>SECCATID!$B$4:$G$4</c:f>
              <c:numCache>
                <c:formatCode>_("Q"* #,##0_);_("Q"* \(#,##0\);_("Q"* "-"??_);_(@_)</c:formatCode>
                <c:ptCount val="6"/>
                <c:pt idx="0">
                  <c:v>5000000</c:v>
                </c:pt>
                <c:pt idx="1">
                  <c:v>15000000</c:v>
                </c:pt>
                <c:pt idx="2">
                  <c:v>15301379</c:v>
                </c:pt>
                <c:pt idx="3">
                  <c:v>15816420</c:v>
                </c:pt>
                <c:pt idx="4">
                  <c:v>16382965</c:v>
                </c:pt>
                <c:pt idx="5">
                  <c:v>17006164</c:v>
                </c:pt>
              </c:numCache>
            </c:numRef>
          </c:val>
          <c:extLst>
            <c:ext xmlns:c16="http://schemas.microsoft.com/office/drawing/2014/chart" uri="{C3380CC4-5D6E-409C-BE32-E72D297353CC}">
              <c16:uniqueId val="{00000000-B257-40B2-97ED-2908802DDDF3}"/>
            </c:ext>
          </c:extLst>
        </c:ser>
        <c:dLbls>
          <c:showLegendKey val="0"/>
          <c:showVal val="0"/>
          <c:showCatName val="0"/>
          <c:showSerName val="0"/>
          <c:showPercent val="0"/>
          <c:showBubbleSize val="0"/>
        </c:dLbls>
        <c:gapWidth val="75"/>
        <c:overlap val="-25"/>
        <c:axId val="73107712"/>
        <c:axId val="73113600"/>
      </c:barChart>
      <c:catAx>
        <c:axId val="73107712"/>
        <c:scaling>
          <c:orientation val="minMax"/>
        </c:scaling>
        <c:delete val="0"/>
        <c:axPos val="b"/>
        <c:numFmt formatCode="General" sourceLinked="0"/>
        <c:majorTickMark val="none"/>
        <c:minorTickMark val="none"/>
        <c:tickLblPos val="nextTo"/>
        <c:crossAx val="73113600"/>
        <c:crosses val="autoZero"/>
        <c:auto val="1"/>
        <c:lblAlgn val="ctr"/>
        <c:lblOffset val="100"/>
        <c:noMultiLvlLbl val="0"/>
      </c:catAx>
      <c:valAx>
        <c:axId val="73113600"/>
        <c:scaling>
          <c:orientation val="minMax"/>
        </c:scaling>
        <c:delete val="0"/>
        <c:axPos val="l"/>
        <c:majorGridlines/>
        <c:numFmt formatCode="_(&quot;Q&quot;* #,##0_);_(&quot;Q&quot;* \(#,##0\);_(&quot;Q&quot;* &quot;-&quot;??_);_(@_)" sourceLinked="1"/>
        <c:majorTickMark val="none"/>
        <c:minorTickMark val="none"/>
        <c:tickLblPos val="nextTo"/>
        <c:spPr>
          <a:ln w="9525">
            <a:noFill/>
          </a:ln>
        </c:spPr>
        <c:crossAx val="7310771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563A-6E6E-4F08-AE50-E539C82C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2017-06-23T16:24:00Z</dcterms:created>
  <dcterms:modified xsi:type="dcterms:W3CDTF">2017-06-23T16:24:00Z</dcterms:modified>
</cp:coreProperties>
</file>