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p>
    <w:p w:rsidR="005610B6" w:rsidRDefault="005610B6" w:rsidP="005610B6">
      <w:pPr>
        <w:spacing w:after="0" w:line="240" w:lineRule="auto"/>
        <w:rPr>
          <w:b/>
          <w:sz w:val="28"/>
          <w:szCs w:val="24"/>
        </w:rPr>
      </w:pPr>
      <w:r>
        <w:rPr>
          <w:b/>
          <w:sz w:val="28"/>
          <w:szCs w:val="24"/>
        </w:rPr>
        <w:t xml:space="preserve">Entidad: MINISTERIO DE </w:t>
      </w:r>
      <w:r w:rsidR="006C7421">
        <w:rPr>
          <w:b/>
          <w:sz w:val="28"/>
          <w:szCs w:val="24"/>
        </w:rPr>
        <w:t xml:space="preserve">ENERGÍA Y MINAS </w:t>
      </w:r>
      <w:r>
        <w:rPr>
          <w:b/>
          <w:sz w:val="28"/>
          <w:szCs w:val="24"/>
        </w:rPr>
        <w:t xml:space="preserve"> </w:t>
      </w:r>
    </w:p>
    <w:p w:rsidR="005610B6" w:rsidRDefault="005610B6" w:rsidP="005610B6">
      <w:pPr>
        <w:spacing w:after="0" w:line="240" w:lineRule="auto"/>
        <w:rPr>
          <w:b/>
          <w:sz w:val="28"/>
          <w:szCs w:val="24"/>
        </w:rPr>
      </w:pPr>
      <w:r>
        <w:rPr>
          <w:b/>
          <w:sz w:val="28"/>
          <w:szCs w:val="24"/>
        </w:rPr>
        <w:t>Fecha: 29 de mayo de 2017</w:t>
      </w:r>
    </w:p>
    <w:tbl>
      <w:tblPr>
        <w:tblStyle w:val="Tablaconcuadrcula"/>
        <w:tblW w:w="0" w:type="auto"/>
        <w:jc w:val="center"/>
        <w:tblLook w:val="04A0" w:firstRow="1" w:lastRow="0" w:firstColumn="1" w:lastColumn="0" w:noHBand="0" w:noVBand="1"/>
      </w:tblPr>
      <w:tblGrid>
        <w:gridCol w:w="8978"/>
      </w:tblGrid>
      <w:tr w:rsidR="005610B6" w:rsidRPr="003750B8" w:rsidTr="00746F52">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8D07FE" w:rsidRDefault="008D07FE" w:rsidP="008D07FE">
            <w:pPr>
              <w:spacing w:after="0"/>
              <w:jc w:val="both"/>
              <w:rPr>
                <w:b/>
              </w:rPr>
            </w:pPr>
          </w:p>
          <w:p w:rsidR="008D07FE" w:rsidRDefault="008D07FE" w:rsidP="008D07FE">
            <w:pPr>
              <w:spacing w:after="0"/>
              <w:jc w:val="both"/>
            </w:pPr>
            <w:r w:rsidRPr="003D3088">
              <w:rPr>
                <w:b/>
              </w:rPr>
              <w:t>MINISTERIO DE FINANZAS PÚBLICAS:</w:t>
            </w:r>
            <w:r>
              <w:t xml:space="preserve"> El señor Ministro en funciones del Ministerio de Finanzas Públicas, Víctor Martínez, dirigió palabras de bienvenida a la audiencia, realizó la presentación de las diferentes etapas  que componen el proceso presupuestario, los plazos legales para cada una de ellas, incluyendo su integración y principales actores. </w:t>
            </w:r>
          </w:p>
          <w:p w:rsidR="008D07FE" w:rsidRDefault="008D07FE" w:rsidP="008D07FE">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8D07FE" w:rsidRDefault="008D07FE" w:rsidP="008D07FE">
            <w:pPr>
              <w:spacing w:after="0"/>
              <w:jc w:val="both"/>
            </w:pPr>
            <w:r>
              <w:t xml:space="preserve">Señaló las acciones que ya han sido realizadas, entre ellas:  </w:t>
            </w:r>
          </w:p>
          <w:p w:rsidR="008D07FE" w:rsidRPr="00DC4BCC" w:rsidRDefault="008D07FE" w:rsidP="008D07FE">
            <w:pPr>
              <w:numPr>
                <w:ilvl w:val="0"/>
                <w:numId w:val="5"/>
              </w:numPr>
              <w:spacing w:after="0"/>
              <w:jc w:val="both"/>
            </w:pPr>
            <w:r w:rsidRPr="003E6C78">
              <w:t xml:space="preserve">Definición de escenario macro fiscal – </w:t>
            </w:r>
            <w:r w:rsidRPr="00DC4BCC">
              <w:rPr>
                <w:bCs/>
              </w:rPr>
              <w:t xml:space="preserve">Exposición de supuestos Banguat-SAT </w:t>
            </w:r>
          </w:p>
          <w:p w:rsidR="008D07FE" w:rsidRPr="00DC4BCC" w:rsidRDefault="008D07FE" w:rsidP="008D07FE">
            <w:pPr>
              <w:numPr>
                <w:ilvl w:val="0"/>
                <w:numId w:val="5"/>
              </w:numPr>
              <w:spacing w:after="0"/>
              <w:jc w:val="both"/>
            </w:pPr>
            <w:r w:rsidRPr="00DC4BCC">
              <w:t>Talleres de Micro simulaciones –</w:t>
            </w:r>
            <w:r w:rsidRPr="00DC4BCC">
              <w:rPr>
                <w:bCs/>
              </w:rPr>
              <w:t xml:space="preserve"> Apoyo de Cooperación Internacional</w:t>
            </w:r>
          </w:p>
          <w:p w:rsidR="008D07FE" w:rsidRPr="00DC4BCC" w:rsidRDefault="008D07FE" w:rsidP="008D07FE">
            <w:pPr>
              <w:numPr>
                <w:ilvl w:val="0"/>
                <w:numId w:val="5"/>
              </w:numPr>
              <w:spacing w:after="0"/>
              <w:jc w:val="both"/>
            </w:pPr>
            <w:r w:rsidRPr="00DC4BCC">
              <w:t xml:space="preserve">Talleres Sectoriales con Expertos – </w:t>
            </w:r>
            <w:r w:rsidRPr="00DC4BCC">
              <w:rPr>
                <w:bCs/>
              </w:rPr>
              <w:t xml:space="preserve">Diagnóstico de seis sectores priorizados </w:t>
            </w:r>
          </w:p>
          <w:p w:rsidR="008D07FE" w:rsidRDefault="008D07FE" w:rsidP="008D07FE">
            <w:pPr>
              <w:spacing w:after="0"/>
              <w:jc w:val="both"/>
            </w:pPr>
            <w:r>
              <w:t xml:space="preserve">Actualmente se están realizando los talleres de presupuesto abierto 2018 como insumo  para la definición de los techos presupuestarios. </w:t>
            </w:r>
          </w:p>
          <w:p w:rsidR="008D07FE" w:rsidRPr="005610B6" w:rsidRDefault="008D07FE" w:rsidP="008D07FE">
            <w:pPr>
              <w:spacing w:after="0"/>
              <w:jc w:val="both"/>
              <w:rPr>
                <w:sz w:val="4"/>
              </w:rPr>
            </w:pPr>
          </w:p>
          <w:p w:rsidR="008D07FE" w:rsidRDefault="008D07FE" w:rsidP="008D07FE">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8D07FE" w:rsidRPr="005610B6" w:rsidRDefault="008D07FE" w:rsidP="008D07FE">
            <w:pPr>
              <w:spacing w:after="0"/>
              <w:jc w:val="both"/>
              <w:rPr>
                <w:sz w:val="4"/>
                <w:lang w:val="es-ES"/>
              </w:rPr>
            </w:pPr>
          </w:p>
          <w:p w:rsidR="008D07FE" w:rsidRDefault="008D07FE" w:rsidP="008D07FE">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8D07FE" w:rsidRDefault="008D07FE" w:rsidP="008D07FE">
            <w:pPr>
              <w:spacing w:after="0"/>
              <w:jc w:val="both"/>
            </w:pPr>
          </w:p>
          <w:p w:rsidR="008D07FE" w:rsidRPr="005610B6" w:rsidRDefault="008D07FE" w:rsidP="008D07FE">
            <w:pPr>
              <w:spacing w:after="0"/>
              <w:jc w:val="both"/>
              <w:rPr>
                <w:sz w:val="2"/>
              </w:rPr>
            </w:pPr>
          </w:p>
          <w:p w:rsidR="008D07FE" w:rsidRDefault="008D07FE" w:rsidP="008D07FE">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8D07FE" w:rsidRDefault="008D07FE" w:rsidP="008D07FE">
            <w:pPr>
              <w:spacing w:after="0"/>
              <w:jc w:val="both"/>
              <w:rPr>
                <w:lang w:val="es-ES"/>
              </w:rPr>
            </w:pPr>
          </w:p>
          <w:p w:rsidR="008D07FE" w:rsidRDefault="008D07FE" w:rsidP="008D07FE">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8D07FE" w:rsidRDefault="008D07FE" w:rsidP="008D07FE">
            <w:pPr>
              <w:spacing w:after="0"/>
              <w:jc w:val="center"/>
              <w:rPr>
                <w:lang w:val="es-ES"/>
              </w:rPr>
            </w:pPr>
          </w:p>
          <w:p w:rsidR="008D07FE" w:rsidRDefault="008D07FE" w:rsidP="008D07FE">
            <w:pPr>
              <w:spacing w:after="0"/>
              <w:jc w:val="center"/>
              <w:rPr>
                <w:lang w:val="es-ES"/>
              </w:rPr>
            </w:pPr>
          </w:p>
          <w:p w:rsidR="008D07FE" w:rsidRDefault="008D07FE" w:rsidP="008D07FE">
            <w:pPr>
              <w:spacing w:after="0"/>
              <w:jc w:val="center"/>
              <w:rPr>
                <w:lang w:val="es-ES"/>
              </w:rPr>
            </w:pPr>
          </w:p>
          <w:p w:rsidR="008D07FE" w:rsidRDefault="008D07FE" w:rsidP="008D07FE">
            <w:pPr>
              <w:spacing w:after="0"/>
              <w:jc w:val="center"/>
              <w:rPr>
                <w:lang w:val="es-ES"/>
              </w:rPr>
            </w:pPr>
          </w:p>
          <w:p w:rsidR="008D07FE" w:rsidRDefault="008D07FE" w:rsidP="008D07FE">
            <w:pPr>
              <w:spacing w:after="0"/>
              <w:jc w:val="center"/>
              <w:rPr>
                <w:lang w:val="es-ES"/>
              </w:rPr>
            </w:pPr>
          </w:p>
          <w:p w:rsidR="008D07FE" w:rsidRDefault="008D07FE" w:rsidP="008D07FE">
            <w:pPr>
              <w:spacing w:after="0"/>
              <w:jc w:val="center"/>
              <w:rPr>
                <w:lang w:val="es-ES"/>
              </w:rPr>
            </w:pPr>
          </w:p>
          <w:p w:rsidR="008D07FE" w:rsidRDefault="008D07FE" w:rsidP="008D07FE">
            <w:pPr>
              <w:spacing w:after="0"/>
              <w:jc w:val="center"/>
              <w:rPr>
                <w:lang w:val="es-ES"/>
              </w:rPr>
            </w:pPr>
            <w:r>
              <w:rPr>
                <w:lang w:val="es-ES"/>
              </w:rPr>
              <w:t xml:space="preserve">Gráfica No. 1 </w:t>
            </w:r>
          </w:p>
          <w:p w:rsidR="008D07FE" w:rsidRDefault="008D07FE" w:rsidP="008D07FE">
            <w:pPr>
              <w:spacing w:after="0"/>
              <w:jc w:val="center"/>
            </w:pPr>
            <w:r>
              <w:rPr>
                <w:noProof/>
                <w:lang w:eastAsia="es-GT"/>
              </w:rPr>
              <w:drawing>
                <wp:inline distT="0" distB="0" distL="0" distR="0" wp14:anchorId="07F011D4" wp14:editId="1FE8A365">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8D07FE" w:rsidRDefault="008D07FE" w:rsidP="008D07FE">
            <w:pPr>
              <w:jc w:val="right"/>
            </w:pPr>
            <w:r>
              <w:t>Fuente: Presentación del señor Ministro de Finanzas Públicas en funciones</w:t>
            </w:r>
          </w:p>
          <w:p w:rsidR="008D07FE" w:rsidRDefault="008D07FE" w:rsidP="008D07FE">
            <w:pPr>
              <w:spacing w:after="0"/>
              <w:jc w:val="both"/>
            </w:pPr>
            <w:r>
              <w:t xml:space="preserve">Finalmente enfatizó que el objetivo de los talleres es fortalecer el Gobierno Abierto, la democracia y agradeció la participación de las personas de los diferentes sectores presentes en el taller y los insto a emitir sus comentarios y aportes. </w:t>
            </w:r>
          </w:p>
          <w:p w:rsidR="008D07FE" w:rsidRPr="005610B6" w:rsidRDefault="008D07FE" w:rsidP="008D07FE">
            <w:pPr>
              <w:spacing w:after="0"/>
              <w:jc w:val="both"/>
              <w:rPr>
                <w:sz w:val="6"/>
              </w:rPr>
            </w:pPr>
          </w:p>
          <w:p w:rsidR="008D07FE" w:rsidRDefault="008D07FE" w:rsidP="008D07FE">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8D07FE" w:rsidP="008D07FE">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5B52DB">
        <w:trPr>
          <w:trHeight w:val="332"/>
          <w:tblHeader/>
          <w:jc w:val="center"/>
        </w:trPr>
        <w:tc>
          <w:tcPr>
            <w:tcW w:w="8978" w:type="dxa"/>
            <w:shd w:val="clear" w:color="auto" w:fill="B8CCE4" w:themeFill="accent1" w:themeFillTint="66"/>
          </w:tcPr>
          <w:p w:rsidR="005610B6" w:rsidRPr="009316AF" w:rsidRDefault="005610B6" w:rsidP="0043095E">
            <w:pPr>
              <w:spacing w:after="0" w:line="240" w:lineRule="auto"/>
              <w:jc w:val="center"/>
              <w:rPr>
                <w:b/>
                <w:sz w:val="28"/>
                <w:szCs w:val="24"/>
              </w:rPr>
            </w:pPr>
            <w:r>
              <w:rPr>
                <w:b/>
                <w:sz w:val="28"/>
                <w:szCs w:val="24"/>
              </w:rPr>
              <w:t>PRESENTACIÓN</w:t>
            </w:r>
            <w:r w:rsidRPr="009316AF">
              <w:rPr>
                <w:b/>
                <w:sz w:val="28"/>
                <w:szCs w:val="24"/>
              </w:rPr>
              <w:t xml:space="preserve"> DEL MINISTERIO DE </w:t>
            </w:r>
            <w:r w:rsidR="0043095E">
              <w:rPr>
                <w:b/>
                <w:sz w:val="28"/>
                <w:szCs w:val="24"/>
              </w:rPr>
              <w:t xml:space="preserve">ENERGÍA Y MINAS </w:t>
            </w:r>
            <w:r>
              <w:rPr>
                <w:b/>
                <w:sz w:val="28"/>
                <w:szCs w:val="24"/>
              </w:rPr>
              <w:t xml:space="preserve">  </w:t>
            </w:r>
          </w:p>
        </w:tc>
      </w:tr>
      <w:tr w:rsidR="005610B6" w:rsidRPr="00114000" w:rsidTr="0075044F">
        <w:trPr>
          <w:trHeight w:val="450"/>
          <w:jc w:val="center"/>
        </w:trPr>
        <w:tc>
          <w:tcPr>
            <w:tcW w:w="8978" w:type="dxa"/>
          </w:tcPr>
          <w:p w:rsidR="005610B6" w:rsidRPr="00DF3F43" w:rsidRDefault="006C128C" w:rsidP="0075044F">
            <w:pPr>
              <w:spacing w:after="0"/>
              <w:jc w:val="both"/>
              <w:rPr>
                <w:bCs/>
              </w:rPr>
            </w:pPr>
            <w:r>
              <w:t xml:space="preserve">El señor </w:t>
            </w:r>
            <w:r w:rsidR="008D07FE">
              <w:t>Ministro de Energía y M</w:t>
            </w:r>
            <w:r w:rsidR="00DB2356">
              <w:t>inas, Licenciado Luis Alfonso Chang N</w:t>
            </w:r>
            <w:r w:rsidR="008D07FE">
              <w:t>avarro,</w:t>
            </w:r>
            <w:r w:rsidR="000F7026">
              <w:t xml:space="preserve"> presentó la misión, la visión y la base legal de </w:t>
            </w:r>
            <w:r w:rsidR="000F7026" w:rsidRPr="00DF3F43">
              <w:t xml:space="preserve">Ministerio, además presentó las funciones y </w:t>
            </w:r>
            <w:r w:rsidR="00DF3F43">
              <w:rPr>
                <w:bCs/>
              </w:rPr>
              <w:t>i</w:t>
            </w:r>
            <w:r w:rsidR="000F7026" w:rsidRPr="00DF3F43">
              <w:rPr>
                <w:bCs/>
              </w:rPr>
              <w:t xml:space="preserve">ncidencia de los sectores de la cartera en la economía del país, los ingresos que se generaron en los últimos 5 años que tienen una </w:t>
            </w:r>
            <w:r w:rsidR="00DF3F43">
              <w:rPr>
                <w:bCs/>
              </w:rPr>
              <w:t xml:space="preserve">clara </w:t>
            </w:r>
            <w:r w:rsidR="000F7026" w:rsidRPr="00DF3F43">
              <w:rPr>
                <w:bCs/>
              </w:rPr>
              <w:t xml:space="preserve">tendencia a la baja, la oferta programática del 2017 y el presupuesto asignado. </w:t>
            </w:r>
          </w:p>
          <w:p w:rsidR="005B6BF4" w:rsidRDefault="000F7026" w:rsidP="00701E69">
            <w:pPr>
              <w:spacing w:after="0"/>
              <w:jc w:val="both"/>
              <w:rPr>
                <w:bCs/>
              </w:rPr>
            </w:pPr>
            <w:r w:rsidRPr="00DF3F43">
              <w:rPr>
                <w:bCs/>
              </w:rPr>
              <w:t xml:space="preserve">Presentó las necesidades presupuestarias por programa para el 2018, así como la proyección </w:t>
            </w:r>
            <w:r w:rsidR="005B6BF4">
              <w:rPr>
                <w:bCs/>
              </w:rPr>
              <w:t xml:space="preserve">multianual del 2018-2022. </w:t>
            </w:r>
          </w:p>
          <w:p w:rsidR="00701E69" w:rsidRDefault="005B6BF4" w:rsidP="00701E69">
            <w:pPr>
              <w:spacing w:after="0"/>
              <w:jc w:val="both"/>
              <w:rPr>
                <w:bCs/>
              </w:rPr>
            </w:pPr>
            <w:r>
              <w:rPr>
                <w:bCs/>
              </w:rPr>
              <w:t>C</w:t>
            </w:r>
            <w:r w:rsidR="00701E69">
              <w:rPr>
                <w:bCs/>
              </w:rPr>
              <w:t>edió la palabra al señor Gerente General de I</w:t>
            </w:r>
            <w:r>
              <w:rPr>
                <w:bCs/>
              </w:rPr>
              <w:t xml:space="preserve">nstituto </w:t>
            </w:r>
            <w:r w:rsidR="00701E69">
              <w:rPr>
                <w:bCs/>
              </w:rPr>
              <w:t>N</w:t>
            </w:r>
            <w:r>
              <w:rPr>
                <w:bCs/>
              </w:rPr>
              <w:t xml:space="preserve">acional de Electrificación (INDE), </w:t>
            </w:r>
            <w:r w:rsidR="00701E69">
              <w:rPr>
                <w:bCs/>
              </w:rPr>
              <w:t xml:space="preserve"> Oscar Caceros</w:t>
            </w:r>
            <w:r>
              <w:rPr>
                <w:bCs/>
              </w:rPr>
              <w:t>,</w:t>
            </w:r>
            <w:r w:rsidR="00701E69">
              <w:rPr>
                <w:bCs/>
              </w:rPr>
              <w:t xml:space="preserve"> presentó una petición sobre el tema deficitario del Instituto, debido a que se presentó falta de agua en los caudales de las hidroeléctricas, </w:t>
            </w:r>
            <w:r>
              <w:rPr>
                <w:bCs/>
              </w:rPr>
              <w:t xml:space="preserve"> mencionó que </w:t>
            </w:r>
            <w:r w:rsidR="00701E69">
              <w:rPr>
                <w:bCs/>
              </w:rPr>
              <w:t xml:space="preserve">el gobierno ha proporcionado ayuda para minimizar el déficit del estado de resultados del INDE, </w:t>
            </w:r>
            <w:r>
              <w:rPr>
                <w:bCs/>
              </w:rPr>
              <w:t>dio</w:t>
            </w:r>
            <w:r w:rsidR="005B52DB">
              <w:rPr>
                <w:bCs/>
              </w:rPr>
              <w:t xml:space="preserve"> la propuesta para que se incluya en este presupuesto el complemente para el funcionamiento de INDE. </w:t>
            </w:r>
          </w:p>
          <w:p w:rsidR="005B52DB" w:rsidRDefault="005B6BF4" w:rsidP="0075044F">
            <w:pPr>
              <w:spacing w:after="0"/>
              <w:jc w:val="both"/>
              <w:rPr>
                <w:bCs/>
              </w:rPr>
            </w:pPr>
            <w:r>
              <w:rPr>
                <w:bCs/>
              </w:rPr>
              <w:t xml:space="preserve">Cedió </w:t>
            </w:r>
            <w:r w:rsidR="005B52DB">
              <w:rPr>
                <w:bCs/>
              </w:rPr>
              <w:t xml:space="preserve">la palabra la Licenciado Marco Vinicio </w:t>
            </w:r>
            <w:r w:rsidR="00A62597">
              <w:rPr>
                <w:bCs/>
              </w:rPr>
              <w:t xml:space="preserve">Mogolló </w:t>
            </w:r>
            <w:r>
              <w:rPr>
                <w:bCs/>
              </w:rPr>
              <w:t>Gerente Financiero</w:t>
            </w:r>
            <w:r w:rsidR="00A62597">
              <w:rPr>
                <w:bCs/>
              </w:rPr>
              <w:t xml:space="preserve"> de INDE</w:t>
            </w:r>
            <w:r>
              <w:rPr>
                <w:bCs/>
              </w:rPr>
              <w:t xml:space="preserve">, realizó la </w:t>
            </w:r>
            <w:r>
              <w:rPr>
                <w:bCs/>
              </w:rPr>
              <w:lastRenderedPageBreak/>
              <w:t>presentación y dio a conocer la situación actual de</w:t>
            </w:r>
            <w:r w:rsidR="00A62597">
              <w:rPr>
                <w:bCs/>
              </w:rPr>
              <w:t xml:space="preserve"> </w:t>
            </w:r>
            <w:r>
              <w:rPr>
                <w:bCs/>
              </w:rPr>
              <w:t>INDE, así como la solicitud puntual al Ministerio de Energía y Minas que exponga antes las autoridades competentes la necesidad de que el gobie</w:t>
            </w:r>
            <w:r w:rsidR="00A62597">
              <w:rPr>
                <w:bCs/>
              </w:rPr>
              <w:t>rno complete el aporte social,</w:t>
            </w:r>
            <w:r>
              <w:rPr>
                <w:bCs/>
              </w:rPr>
              <w:t xml:space="preserve"> actual así como el proyectado. </w:t>
            </w:r>
          </w:p>
          <w:p w:rsidR="005B6BF4" w:rsidRDefault="005B6BF4" w:rsidP="0075044F">
            <w:pPr>
              <w:spacing w:after="0"/>
              <w:jc w:val="both"/>
              <w:rPr>
                <w:bCs/>
              </w:rPr>
            </w:pPr>
          </w:p>
          <w:p w:rsidR="005B6BF4" w:rsidRDefault="005B6BF4" w:rsidP="0075044F">
            <w:pPr>
              <w:spacing w:after="0"/>
              <w:jc w:val="both"/>
              <w:rPr>
                <w:bCs/>
              </w:rPr>
            </w:pPr>
            <w:r>
              <w:rPr>
                <w:bCs/>
              </w:rPr>
              <w:t xml:space="preserve">Tomó la palabra el señor Ministro de Energía y Minas.  </w:t>
            </w:r>
          </w:p>
          <w:p w:rsidR="000F7026" w:rsidRDefault="00701E69" w:rsidP="0075044F">
            <w:pPr>
              <w:spacing w:after="0"/>
              <w:jc w:val="both"/>
              <w:rPr>
                <w:bCs/>
              </w:rPr>
            </w:pPr>
            <w:r w:rsidRPr="00DF3F43">
              <w:rPr>
                <w:bCs/>
              </w:rPr>
              <w:t>Finalmente</w:t>
            </w:r>
            <w:r w:rsidR="005B6BF4">
              <w:rPr>
                <w:bCs/>
              </w:rPr>
              <w:t xml:space="preserve"> presentó</w:t>
            </w:r>
            <w:r w:rsidR="000F7026" w:rsidRPr="00DF3F43">
              <w:rPr>
                <w:bCs/>
              </w:rPr>
              <w:t xml:space="preserve"> la información d</w:t>
            </w:r>
            <w:r w:rsidR="00DF3F43">
              <w:rPr>
                <w:bCs/>
              </w:rPr>
              <w:t xml:space="preserve">e las necesidades proyectadas multianuales consolidadas, de las cuales se extrajo la información para poder realizar la tabla y la gráfica de la siguiente sección. </w:t>
            </w:r>
          </w:p>
          <w:p w:rsidR="00DF3F43" w:rsidRPr="00114000" w:rsidRDefault="00873E8C" w:rsidP="0075044F">
            <w:pPr>
              <w:spacing w:after="0"/>
              <w:jc w:val="both"/>
            </w:pPr>
            <w:r>
              <w:t xml:space="preserve">Y concluyó con el impacto de los indicadores sociales por programa como priorización. </w:t>
            </w:r>
          </w:p>
        </w:tc>
      </w:tr>
    </w:tbl>
    <w:p w:rsidR="005610B6" w:rsidRPr="00114000" w:rsidRDefault="005610B6" w:rsidP="005610B6">
      <w:pPr>
        <w:spacing w:after="0" w:line="240" w:lineRule="auto"/>
        <w:rPr>
          <w:sz w:val="8"/>
          <w:szCs w:val="24"/>
        </w:rPr>
      </w:pPr>
    </w:p>
    <w:p w:rsidR="005610B6" w:rsidRPr="009316AF" w:rsidRDefault="005610B6" w:rsidP="0043095E">
      <w:pPr>
        <w:spacing w:after="0" w:line="276" w:lineRule="auto"/>
        <w:jc w:val="center"/>
        <w:rPr>
          <w:b/>
          <w:sz w:val="28"/>
          <w:szCs w:val="24"/>
        </w:rPr>
      </w:pPr>
      <w:r w:rsidRPr="009316AF">
        <w:rPr>
          <w:b/>
          <w:sz w:val="28"/>
          <w:szCs w:val="24"/>
        </w:rPr>
        <w:t xml:space="preserve">PRESUPUESTO ACTUAL Y PROYECTADO DEL </w:t>
      </w:r>
      <w:r>
        <w:rPr>
          <w:b/>
          <w:sz w:val="28"/>
          <w:szCs w:val="24"/>
        </w:rPr>
        <w:t xml:space="preserve">MINISTERIO DE </w:t>
      </w:r>
      <w:r w:rsidR="0043095E">
        <w:rPr>
          <w:b/>
          <w:sz w:val="28"/>
          <w:szCs w:val="24"/>
        </w:rPr>
        <w:t>ENERGÍA Y MINAS</w:t>
      </w:r>
    </w:p>
    <w:tbl>
      <w:tblPr>
        <w:tblStyle w:val="Tablaconcuadrcula"/>
        <w:tblW w:w="0" w:type="auto"/>
        <w:tblLook w:val="04A0" w:firstRow="1" w:lastRow="0" w:firstColumn="1" w:lastColumn="0" w:noHBand="0" w:noVBand="1"/>
      </w:tblPr>
      <w:tblGrid>
        <w:gridCol w:w="1381"/>
        <w:gridCol w:w="1203"/>
        <w:gridCol w:w="1294"/>
        <w:gridCol w:w="1294"/>
        <w:gridCol w:w="1294"/>
        <w:gridCol w:w="1294"/>
        <w:gridCol w:w="1294"/>
      </w:tblGrid>
      <w:tr w:rsidR="005610B6" w:rsidRPr="00892906" w:rsidTr="00892906">
        <w:tc>
          <w:tcPr>
            <w:tcW w:w="1809"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Año</w:t>
            </w:r>
          </w:p>
        </w:tc>
        <w:tc>
          <w:tcPr>
            <w:tcW w:w="1091"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2017</w:t>
            </w:r>
          </w:p>
        </w:tc>
        <w:tc>
          <w:tcPr>
            <w:tcW w:w="1230"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2018</w:t>
            </w:r>
          </w:p>
        </w:tc>
        <w:tc>
          <w:tcPr>
            <w:tcW w:w="1231"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2019</w:t>
            </w:r>
          </w:p>
        </w:tc>
        <w:tc>
          <w:tcPr>
            <w:tcW w:w="1231"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2020</w:t>
            </w:r>
          </w:p>
        </w:tc>
        <w:tc>
          <w:tcPr>
            <w:tcW w:w="1231"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2021</w:t>
            </w:r>
          </w:p>
        </w:tc>
        <w:tc>
          <w:tcPr>
            <w:tcW w:w="1231" w:type="dxa"/>
            <w:shd w:val="clear" w:color="auto" w:fill="B8CCE4" w:themeFill="accent1" w:themeFillTint="66"/>
            <w:vAlign w:val="center"/>
          </w:tcPr>
          <w:p w:rsidR="005610B6" w:rsidRPr="00892906" w:rsidRDefault="005610B6" w:rsidP="00892906">
            <w:pPr>
              <w:spacing w:after="0" w:line="240" w:lineRule="auto"/>
              <w:jc w:val="center"/>
              <w:rPr>
                <w:b/>
                <w:sz w:val="18"/>
                <w:szCs w:val="24"/>
              </w:rPr>
            </w:pPr>
            <w:r w:rsidRPr="00892906">
              <w:rPr>
                <w:b/>
                <w:sz w:val="18"/>
                <w:szCs w:val="24"/>
              </w:rPr>
              <w:t>2022</w:t>
            </w:r>
          </w:p>
        </w:tc>
      </w:tr>
      <w:tr w:rsidR="00892906" w:rsidRPr="00892906" w:rsidTr="00892906">
        <w:trPr>
          <w:trHeight w:val="306"/>
        </w:trPr>
        <w:tc>
          <w:tcPr>
            <w:tcW w:w="1809" w:type="dxa"/>
            <w:shd w:val="clear" w:color="auto" w:fill="B8CCE4" w:themeFill="accent1" w:themeFillTint="66"/>
            <w:vAlign w:val="center"/>
          </w:tcPr>
          <w:p w:rsidR="00892906" w:rsidRPr="00892906" w:rsidRDefault="00892906" w:rsidP="00892906">
            <w:pPr>
              <w:spacing w:after="0" w:line="240" w:lineRule="auto"/>
              <w:jc w:val="center"/>
              <w:rPr>
                <w:b/>
                <w:sz w:val="18"/>
                <w:szCs w:val="24"/>
              </w:rPr>
            </w:pPr>
            <w:r w:rsidRPr="00892906">
              <w:rPr>
                <w:b/>
                <w:sz w:val="18"/>
                <w:szCs w:val="24"/>
              </w:rPr>
              <w:t>Presupuesto</w:t>
            </w:r>
          </w:p>
        </w:tc>
        <w:tc>
          <w:tcPr>
            <w:tcW w:w="1091" w:type="dxa"/>
            <w:vAlign w:val="center"/>
          </w:tcPr>
          <w:p w:rsidR="00892906" w:rsidRPr="00892906" w:rsidRDefault="009436F6" w:rsidP="00892906">
            <w:pPr>
              <w:spacing w:after="0"/>
              <w:jc w:val="center"/>
              <w:rPr>
                <w:rFonts w:ascii="Calibri" w:hAnsi="Calibri"/>
                <w:color w:val="000000"/>
                <w:sz w:val="18"/>
              </w:rPr>
            </w:pPr>
            <w:r>
              <w:rPr>
                <w:rFonts w:ascii="Calibri" w:hAnsi="Calibri"/>
                <w:color w:val="000000"/>
                <w:sz w:val="18"/>
              </w:rPr>
              <w:t>Q.</w:t>
            </w:r>
            <w:r w:rsidR="00892906" w:rsidRPr="00892906">
              <w:rPr>
                <w:rFonts w:ascii="Calibri" w:hAnsi="Calibri"/>
                <w:color w:val="000000"/>
                <w:sz w:val="18"/>
              </w:rPr>
              <w:t>80,807,100</w:t>
            </w:r>
          </w:p>
        </w:tc>
        <w:tc>
          <w:tcPr>
            <w:tcW w:w="1230" w:type="dxa"/>
            <w:vAlign w:val="center"/>
          </w:tcPr>
          <w:p w:rsidR="00892906" w:rsidRPr="00892906" w:rsidRDefault="009436F6" w:rsidP="00892906">
            <w:pPr>
              <w:spacing w:after="0"/>
              <w:jc w:val="center"/>
              <w:rPr>
                <w:rFonts w:ascii="Calibri" w:hAnsi="Calibri"/>
                <w:color w:val="000000"/>
                <w:sz w:val="18"/>
              </w:rPr>
            </w:pPr>
            <w:r>
              <w:rPr>
                <w:rFonts w:ascii="Calibri" w:hAnsi="Calibri"/>
                <w:color w:val="000000"/>
                <w:sz w:val="18"/>
              </w:rPr>
              <w:t>Q.</w:t>
            </w:r>
            <w:r w:rsidR="00892906" w:rsidRPr="00892906">
              <w:rPr>
                <w:rFonts w:ascii="Calibri" w:hAnsi="Calibri"/>
                <w:color w:val="000000"/>
                <w:sz w:val="18"/>
              </w:rPr>
              <w:t>135,338,348</w:t>
            </w:r>
          </w:p>
        </w:tc>
        <w:tc>
          <w:tcPr>
            <w:tcW w:w="1231" w:type="dxa"/>
            <w:vAlign w:val="center"/>
          </w:tcPr>
          <w:p w:rsidR="00892906" w:rsidRPr="00892906" w:rsidRDefault="009436F6" w:rsidP="00892906">
            <w:pPr>
              <w:spacing w:after="0"/>
              <w:jc w:val="center"/>
              <w:rPr>
                <w:rFonts w:ascii="Calibri" w:hAnsi="Calibri"/>
                <w:color w:val="000000"/>
                <w:sz w:val="18"/>
              </w:rPr>
            </w:pPr>
            <w:r>
              <w:rPr>
                <w:rFonts w:ascii="Calibri" w:hAnsi="Calibri"/>
                <w:color w:val="000000"/>
                <w:sz w:val="18"/>
              </w:rPr>
              <w:t>Q.</w:t>
            </w:r>
            <w:r w:rsidR="00892906" w:rsidRPr="00892906">
              <w:rPr>
                <w:rFonts w:ascii="Calibri" w:hAnsi="Calibri"/>
                <w:color w:val="000000"/>
                <w:sz w:val="18"/>
              </w:rPr>
              <w:t>126,737,042</w:t>
            </w:r>
          </w:p>
        </w:tc>
        <w:tc>
          <w:tcPr>
            <w:tcW w:w="1231" w:type="dxa"/>
            <w:vAlign w:val="center"/>
          </w:tcPr>
          <w:p w:rsidR="00892906" w:rsidRPr="00892906" w:rsidRDefault="009436F6" w:rsidP="00892906">
            <w:pPr>
              <w:spacing w:after="0"/>
              <w:jc w:val="center"/>
              <w:rPr>
                <w:rFonts w:ascii="Calibri" w:hAnsi="Calibri"/>
                <w:color w:val="000000"/>
                <w:sz w:val="18"/>
              </w:rPr>
            </w:pPr>
            <w:r>
              <w:rPr>
                <w:rFonts w:ascii="Calibri" w:hAnsi="Calibri"/>
                <w:color w:val="000000"/>
                <w:sz w:val="18"/>
              </w:rPr>
              <w:t>Q.</w:t>
            </w:r>
            <w:r w:rsidR="00892906" w:rsidRPr="00892906">
              <w:rPr>
                <w:rFonts w:ascii="Calibri" w:hAnsi="Calibri"/>
                <w:color w:val="000000"/>
                <w:sz w:val="18"/>
              </w:rPr>
              <w:t>128,271,080</w:t>
            </w:r>
          </w:p>
        </w:tc>
        <w:tc>
          <w:tcPr>
            <w:tcW w:w="1231" w:type="dxa"/>
            <w:vAlign w:val="center"/>
          </w:tcPr>
          <w:p w:rsidR="00892906" w:rsidRPr="00892906" w:rsidRDefault="009436F6" w:rsidP="00892906">
            <w:pPr>
              <w:spacing w:after="0"/>
              <w:jc w:val="center"/>
              <w:rPr>
                <w:rFonts w:ascii="Calibri" w:hAnsi="Calibri"/>
                <w:color w:val="000000"/>
                <w:sz w:val="18"/>
              </w:rPr>
            </w:pPr>
            <w:r>
              <w:rPr>
                <w:rFonts w:ascii="Calibri" w:hAnsi="Calibri"/>
                <w:color w:val="000000"/>
                <w:sz w:val="18"/>
              </w:rPr>
              <w:t>Q.</w:t>
            </w:r>
            <w:r w:rsidR="00892906" w:rsidRPr="00892906">
              <w:rPr>
                <w:rFonts w:ascii="Calibri" w:hAnsi="Calibri"/>
                <w:color w:val="000000"/>
                <w:sz w:val="18"/>
              </w:rPr>
              <w:t>131,985,500</w:t>
            </w:r>
          </w:p>
        </w:tc>
        <w:tc>
          <w:tcPr>
            <w:tcW w:w="1231" w:type="dxa"/>
            <w:vAlign w:val="center"/>
          </w:tcPr>
          <w:p w:rsidR="00892906" w:rsidRPr="00892906" w:rsidRDefault="009436F6" w:rsidP="00892906">
            <w:pPr>
              <w:spacing w:after="0"/>
              <w:jc w:val="center"/>
              <w:rPr>
                <w:rFonts w:ascii="Calibri" w:hAnsi="Calibri"/>
                <w:color w:val="000000"/>
                <w:sz w:val="18"/>
              </w:rPr>
            </w:pPr>
            <w:r>
              <w:rPr>
                <w:rFonts w:ascii="Calibri" w:hAnsi="Calibri"/>
                <w:color w:val="000000"/>
                <w:sz w:val="18"/>
              </w:rPr>
              <w:t>Q.</w:t>
            </w:r>
            <w:r w:rsidR="00892906" w:rsidRPr="00892906">
              <w:rPr>
                <w:rFonts w:ascii="Calibri" w:hAnsi="Calibri"/>
                <w:color w:val="000000"/>
                <w:sz w:val="18"/>
              </w:rPr>
              <w:t>135,077,646</w:t>
            </w:r>
          </w:p>
        </w:tc>
      </w:tr>
      <w:tr w:rsidR="00892906" w:rsidRPr="00892906" w:rsidTr="00892906">
        <w:trPr>
          <w:trHeight w:val="376"/>
        </w:trPr>
        <w:tc>
          <w:tcPr>
            <w:tcW w:w="1809" w:type="dxa"/>
            <w:shd w:val="clear" w:color="auto" w:fill="B8CCE4" w:themeFill="accent1" w:themeFillTint="66"/>
            <w:vAlign w:val="center"/>
          </w:tcPr>
          <w:p w:rsidR="00892906" w:rsidRPr="00892906" w:rsidRDefault="00892906" w:rsidP="00892906">
            <w:pPr>
              <w:spacing w:after="0" w:line="240" w:lineRule="auto"/>
              <w:jc w:val="center"/>
              <w:rPr>
                <w:b/>
                <w:sz w:val="18"/>
                <w:szCs w:val="24"/>
              </w:rPr>
            </w:pPr>
            <w:r w:rsidRPr="00892906">
              <w:rPr>
                <w:b/>
                <w:sz w:val="18"/>
                <w:szCs w:val="24"/>
              </w:rPr>
              <w:t>% de variación</w:t>
            </w:r>
          </w:p>
        </w:tc>
        <w:tc>
          <w:tcPr>
            <w:tcW w:w="1091" w:type="dxa"/>
            <w:vAlign w:val="center"/>
          </w:tcPr>
          <w:p w:rsidR="00892906" w:rsidRPr="00892906" w:rsidRDefault="00892906" w:rsidP="00892906">
            <w:pPr>
              <w:spacing w:after="0"/>
              <w:jc w:val="center"/>
              <w:rPr>
                <w:rFonts w:ascii="Calibri" w:hAnsi="Calibri"/>
                <w:color w:val="000000"/>
                <w:sz w:val="18"/>
              </w:rPr>
            </w:pPr>
            <w:r w:rsidRPr="00892906">
              <w:rPr>
                <w:rFonts w:ascii="Calibri" w:hAnsi="Calibri"/>
                <w:color w:val="000000"/>
                <w:sz w:val="18"/>
              </w:rPr>
              <w:t>N/A</w:t>
            </w:r>
          </w:p>
        </w:tc>
        <w:tc>
          <w:tcPr>
            <w:tcW w:w="1230" w:type="dxa"/>
            <w:vAlign w:val="center"/>
          </w:tcPr>
          <w:p w:rsidR="00892906" w:rsidRPr="00892906" w:rsidRDefault="00892906" w:rsidP="00892906">
            <w:pPr>
              <w:spacing w:after="0"/>
              <w:jc w:val="center"/>
              <w:rPr>
                <w:rFonts w:ascii="Calibri" w:hAnsi="Calibri"/>
                <w:color w:val="000000"/>
                <w:sz w:val="18"/>
              </w:rPr>
            </w:pPr>
            <w:r w:rsidRPr="00892906">
              <w:rPr>
                <w:rFonts w:ascii="Calibri" w:hAnsi="Calibri"/>
                <w:color w:val="000000"/>
                <w:sz w:val="18"/>
              </w:rPr>
              <w:t>67.48</w:t>
            </w:r>
          </w:p>
        </w:tc>
        <w:tc>
          <w:tcPr>
            <w:tcW w:w="1231" w:type="dxa"/>
            <w:vAlign w:val="center"/>
          </w:tcPr>
          <w:p w:rsidR="00892906" w:rsidRPr="00892906" w:rsidRDefault="00892906" w:rsidP="00892906">
            <w:pPr>
              <w:spacing w:after="0"/>
              <w:jc w:val="center"/>
              <w:rPr>
                <w:rFonts w:ascii="Calibri" w:hAnsi="Calibri"/>
                <w:color w:val="000000"/>
                <w:sz w:val="18"/>
              </w:rPr>
            </w:pPr>
            <w:r w:rsidRPr="00892906">
              <w:rPr>
                <w:rFonts w:ascii="Calibri" w:hAnsi="Calibri"/>
                <w:color w:val="000000"/>
                <w:sz w:val="18"/>
              </w:rPr>
              <w:t>-6.36</w:t>
            </w:r>
          </w:p>
        </w:tc>
        <w:tc>
          <w:tcPr>
            <w:tcW w:w="1231" w:type="dxa"/>
            <w:vAlign w:val="center"/>
          </w:tcPr>
          <w:p w:rsidR="00892906" w:rsidRPr="00892906" w:rsidRDefault="00892906" w:rsidP="00892906">
            <w:pPr>
              <w:spacing w:after="0"/>
              <w:jc w:val="center"/>
              <w:rPr>
                <w:rFonts w:ascii="Calibri" w:hAnsi="Calibri"/>
                <w:color w:val="000000"/>
                <w:sz w:val="18"/>
              </w:rPr>
            </w:pPr>
            <w:r w:rsidRPr="00892906">
              <w:rPr>
                <w:rFonts w:ascii="Calibri" w:hAnsi="Calibri"/>
                <w:color w:val="000000"/>
                <w:sz w:val="18"/>
              </w:rPr>
              <w:t>1.21</w:t>
            </w:r>
          </w:p>
        </w:tc>
        <w:tc>
          <w:tcPr>
            <w:tcW w:w="1231" w:type="dxa"/>
            <w:vAlign w:val="center"/>
          </w:tcPr>
          <w:p w:rsidR="00892906" w:rsidRPr="00892906" w:rsidRDefault="00892906" w:rsidP="00892906">
            <w:pPr>
              <w:spacing w:after="0"/>
              <w:jc w:val="center"/>
              <w:rPr>
                <w:rFonts w:ascii="Calibri" w:hAnsi="Calibri"/>
                <w:color w:val="000000"/>
                <w:sz w:val="18"/>
              </w:rPr>
            </w:pPr>
            <w:r w:rsidRPr="00892906">
              <w:rPr>
                <w:rFonts w:ascii="Calibri" w:hAnsi="Calibri"/>
                <w:color w:val="000000"/>
                <w:sz w:val="18"/>
              </w:rPr>
              <w:t>2.90</w:t>
            </w:r>
          </w:p>
        </w:tc>
        <w:tc>
          <w:tcPr>
            <w:tcW w:w="1231" w:type="dxa"/>
            <w:vAlign w:val="center"/>
          </w:tcPr>
          <w:p w:rsidR="00892906" w:rsidRPr="00892906" w:rsidRDefault="00892906" w:rsidP="00892906">
            <w:pPr>
              <w:spacing w:after="0"/>
              <w:jc w:val="center"/>
              <w:rPr>
                <w:rFonts w:ascii="Calibri" w:hAnsi="Calibri"/>
                <w:color w:val="000000"/>
                <w:sz w:val="18"/>
              </w:rPr>
            </w:pPr>
            <w:r w:rsidRPr="00892906">
              <w:rPr>
                <w:rFonts w:ascii="Calibri" w:hAnsi="Calibri"/>
                <w:color w:val="000000"/>
                <w:sz w:val="18"/>
              </w:rPr>
              <w:t>2.34</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8D07FE" w:rsidP="005610B6">
                            <w:pPr>
                              <w:jc w:val="center"/>
                            </w:pPr>
                            <w:r>
                              <w:rPr>
                                <w:noProof/>
                                <w:lang w:eastAsia="es-GT"/>
                              </w:rPr>
                              <w:drawing>
                                <wp:inline distT="0" distB="0" distL="0" distR="0" wp14:anchorId="069DAA03" wp14:editId="51528EEA">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8D07FE" w:rsidP="005610B6">
                      <w:pPr>
                        <w:jc w:val="center"/>
                      </w:pPr>
                      <w:r>
                        <w:rPr>
                          <w:noProof/>
                          <w:lang w:eastAsia="es-GT"/>
                        </w:rPr>
                        <w:drawing>
                          <wp:inline distT="0" distB="0" distL="0" distR="0" wp14:anchorId="069DAA03" wp14:editId="51528EEA">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CD4DE4">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CD4DE4">
        <w:trPr>
          <w:trHeight w:val="1020"/>
        </w:trPr>
        <w:tc>
          <w:tcPr>
            <w:tcW w:w="8978" w:type="dxa"/>
          </w:tcPr>
          <w:p w:rsidR="005A12B0" w:rsidRPr="005A12B0" w:rsidRDefault="005A12B0" w:rsidP="000F7026">
            <w:pPr>
              <w:pStyle w:val="Prrafodelista"/>
              <w:numPr>
                <w:ilvl w:val="0"/>
                <w:numId w:val="1"/>
              </w:numPr>
              <w:jc w:val="both"/>
            </w:pPr>
            <w:r w:rsidRPr="005A12B0">
              <w:t>Programa 01: Actividades    Centrales</w:t>
            </w:r>
          </w:p>
          <w:p w:rsidR="005610B6" w:rsidRPr="005A12B0" w:rsidRDefault="005A12B0" w:rsidP="000F7026">
            <w:pPr>
              <w:pStyle w:val="Prrafodelista"/>
              <w:numPr>
                <w:ilvl w:val="0"/>
                <w:numId w:val="1"/>
              </w:numPr>
              <w:spacing w:after="0"/>
              <w:jc w:val="both"/>
            </w:pPr>
            <w:r w:rsidRPr="005A12B0">
              <w:rPr>
                <w:bCs/>
              </w:rPr>
              <w:t>Programa 11: Exploración, Explotación y Comercialización Petrolera HIDROCABUROS</w:t>
            </w:r>
          </w:p>
          <w:p w:rsidR="005A12B0" w:rsidRPr="005A12B0" w:rsidRDefault="005A12B0" w:rsidP="000F7026">
            <w:pPr>
              <w:pStyle w:val="Prrafodelista"/>
              <w:numPr>
                <w:ilvl w:val="0"/>
                <w:numId w:val="1"/>
              </w:numPr>
              <w:jc w:val="both"/>
            </w:pPr>
            <w:r w:rsidRPr="005A12B0">
              <w:t>Programa 12: Exploración y Explotación Minera</w:t>
            </w:r>
          </w:p>
          <w:p w:rsidR="005A12B0" w:rsidRPr="005A12B0" w:rsidRDefault="005A12B0" w:rsidP="000F7026">
            <w:pPr>
              <w:pStyle w:val="Prrafodelista"/>
              <w:numPr>
                <w:ilvl w:val="0"/>
                <w:numId w:val="1"/>
              </w:numPr>
              <w:spacing w:after="0"/>
              <w:jc w:val="both"/>
            </w:pPr>
            <w:r w:rsidRPr="005A12B0">
              <w:rPr>
                <w:bCs/>
              </w:rPr>
              <w:t>Programa 13: Seguridad Radiológica</w:t>
            </w:r>
          </w:p>
          <w:p w:rsidR="005A12B0" w:rsidRPr="005A12B0" w:rsidRDefault="005A12B0" w:rsidP="000F7026">
            <w:pPr>
              <w:pStyle w:val="Prrafodelista"/>
              <w:numPr>
                <w:ilvl w:val="0"/>
                <w:numId w:val="1"/>
              </w:numPr>
              <w:spacing w:after="0"/>
              <w:jc w:val="both"/>
            </w:pPr>
            <w:r w:rsidRPr="005A12B0">
              <w:rPr>
                <w:bCs/>
              </w:rPr>
              <w:t>Programa 14: Servicios de Laboratorios Técnicos</w:t>
            </w:r>
          </w:p>
          <w:p w:rsidR="005A12B0" w:rsidRPr="005A12B0" w:rsidRDefault="005A12B0" w:rsidP="000F7026">
            <w:pPr>
              <w:pStyle w:val="Prrafodelista"/>
              <w:numPr>
                <w:ilvl w:val="0"/>
                <w:numId w:val="1"/>
              </w:numPr>
              <w:spacing w:after="0"/>
              <w:jc w:val="both"/>
            </w:pPr>
            <w:r w:rsidRPr="005A12B0">
              <w:rPr>
                <w:bCs/>
              </w:rPr>
              <w:t>Programa 15: Incremento de la Energía Renovable en la Matriz Energética</w:t>
            </w:r>
          </w:p>
          <w:p w:rsidR="005A12B0" w:rsidRPr="005A12B0" w:rsidRDefault="005A12B0" w:rsidP="000F7026">
            <w:pPr>
              <w:pStyle w:val="Prrafodelista"/>
              <w:numPr>
                <w:ilvl w:val="0"/>
                <w:numId w:val="1"/>
              </w:numPr>
              <w:spacing w:after="0"/>
              <w:jc w:val="both"/>
            </w:pPr>
            <w:r w:rsidRPr="005A12B0">
              <w:rPr>
                <w:bCs/>
              </w:rPr>
              <w:lastRenderedPageBreak/>
              <w:t>Programa 16: Desarrollo Sostenible</w:t>
            </w:r>
          </w:p>
          <w:p w:rsidR="005A12B0" w:rsidRDefault="005A12B0" w:rsidP="00CD4DE4">
            <w:pPr>
              <w:pStyle w:val="Prrafodelista"/>
              <w:numPr>
                <w:ilvl w:val="0"/>
                <w:numId w:val="1"/>
              </w:numPr>
              <w:spacing w:after="0"/>
              <w:jc w:val="both"/>
            </w:pPr>
            <w:r w:rsidRPr="005A12B0">
              <w:t>Programa 99: Partidas no  Asignables</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746F52">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0F7026" w:rsidRDefault="000F7026" w:rsidP="000F7026">
            <w:pPr>
              <w:pStyle w:val="Prrafodelista"/>
              <w:ind w:left="284"/>
            </w:pPr>
            <w:r>
              <w:t xml:space="preserve">El impacto de los indicadores sociales según las prioridades para programa del Ministerio. </w:t>
            </w:r>
          </w:p>
          <w:p w:rsidR="005A12B0" w:rsidRPr="005A12B0" w:rsidRDefault="005A12B0" w:rsidP="000F7026">
            <w:pPr>
              <w:pStyle w:val="Prrafodelista"/>
              <w:numPr>
                <w:ilvl w:val="0"/>
                <w:numId w:val="21"/>
              </w:numPr>
              <w:jc w:val="both"/>
            </w:pPr>
            <w:r w:rsidRPr="005A12B0">
              <w:t>Programa 11: El indicador busca medir el incremento al control en la cadena de comercialización, de los productos derivados del petróleo. Se espera que a partir del año 2018 se incremente en un 5% anual, hasta el año 2022.</w:t>
            </w:r>
          </w:p>
          <w:p w:rsidR="005A12B0" w:rsidRPr="005A12B0" w:rsidRDefault="005A12B0" w:rsidP="000F7026">
            <w:pPr>
              <w:pStyle w:val="Prrafodelista"/>
              <w:numPr>
                <w:ilvl w:val="0"/>
                <w:numId w:val="21"/>
              </w:numPr>
              <w:jc w:val="both"/>
            </w:pPr>
            <w:r w:rsidRPr="005A12B0">
              <w:t>Programa 12: El indicador medirá el incremento de la supervisión y control de los derechos mineros vigentes, en un 2% anual, de 2017 a 2022, con el objetivo de incrementar en forma adecuada el aprovechamiento de las reservas minerales en derechos mineros vigentes.</w:t>
            </w:r>
          </w:p>
          <w:p w:rsidR="005A12B0" w:rsidRPr="005A12B0" w:rsidRDefault="005A12B0" w:rsidP="000F7026">
            <w:pPr>
              <w:pStyle w:val="Prrafodelista"/>
              <w:numPr>
                <w:ilvl w:val="0"/>
                <w:numId w:val="21"/>
              </w:numPr>
              <w:jc w:val="both"/>
            </w:pPr>
            <w:r w:rsidRPr="005A12B0">
              <w:t>Programa 13: El indicador medirá el incremento de la fiscalización en seguridad y protección radiológica en Guatemala, en un 2% anual, para beneficio de la población nacional y el ambiente.</w:t>
            </w:r>
          </w:p>
          <w:p w:rsidR="005A12B0" w:rsidRPr="005A12B0" w:rsidRDefault="005A12B0" w:rsidP="000F7026">
            <w:pPr>
              <w:pStyle w:val="Prrafodelista"/>
              <w:numPr>
                <w:ilvl w:val="0"/>
                <w:numId w:val="21"/>
              </w:numPr>
              <w:jc w:val="both"/>
            </w:pPr>
            <w:r w:rsidRPr="005A12B0">
              <w:t>Programa 14: El indicador medirá el incremento de los análisis de laboratorio, en un 2% anual, del 2018 al 2022.</w:t>
            </w:r>
          </w:p>
          <w:p w:rsidR="005A12B0" w:rsidRPr="005A12B0" w:rsidRDefault="005A12B0" w:rsidP="000F7026">
            <w:pPr>
              <w:pStyle w:val="Prrafodelista"/>
              <w:numPr>
                <w:ilvl w:val="0"/>
                <w:numId w:val="21"/>
              </w:numPr>
              <w:jc w:val="both"/>
            </w:pPr>
            <w:r w:rsidRPr="005A12B0">
              <w:t>Programa 15: A través de la planificación y cumplimiento de la Política Energética 2013-2027, incidir en la diversificación de la matriz de generación eléctrica aprovechando las fuentes renovables.</w:t>
            </w:r>
          </w:p>
          <w:p w:rsidR="005610B6" w:rsidRDefault="005A12B0" w:rsidP="00CD4DE4">
            <w:pPr>
              <w:pStyle w:val="Prrafodelista"/>
              <w:numPr>
                <w:ilvl w:val="0"/>
                <w:numId w:val="21"/>
              </w:numPr>
              <w:spacing w:after="0"/>
              <w:jc w:val="both"/>
            </w:pPr>
            <w:r w:rsidRPr="005A12B0">
              <w:t>Programa 16: El indicador medirá: para el 2022 incrementar los procesos de diálogo comunitario en un 5%, de acuerdo a expedientes a cargo del MEM, que requieran dichas actividades de consulta y diálogo, con participación comunitaria para beneficio de la población.  Iniciar al menos 5 procesos de consulta según el Convenio 169 de la OIT.</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746F52">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746F52" w:rsidRPr="00CD4DE4" w:rsidRDefault="0076184B" w:rsidP="00BA6B1D">
            <w:pPr>
              <w:rPr>
                <w:b/>
              </w:rPr>
            </w:pPr>
            <w:r w:rsidRPr="00CD4DE4">
              <w:rPr>
                <w:b/>
              </w:rPr>
              <w:t xml:space="preserve">Aclaraciones por parte de los ponentes. </w:t>
            </w:r>
          </w:p>
          <w:p w:rsidR="0076184B" w:rsidRDefault="0076184B" w:rsidP="00CD4DE4">
            <w:pPr>
              <w:jc w:val="both"/>
            </w:pPr>
            <w:r>
              <w:t>C</w:t>
            </w:r>
            <w:r w:rsidR="00BA6B1D">
              <w:t xml:space="preserve">omo parte del acompañamiento que le hacemos al Ministerio de Energía y Minas, es importante </w:t>
            </w:r>
            <w:r>
              <w:t xml:space="preserve">resaltar </w:t>
            </w:r>
            <w:r w:rsidR="00BA6B1D">
              <w:t>el aporte que ha dado el I</w:t>
            </w:r>
            <w:r>
              <w:t xml:space="preserve">NDE y el apoyo que este tenga, </w:t>
            </w:r>
            <w:r w:rsidR="00BA6B1D">
              <w:t xml:space="preserve">falta un poco más del 8% de guatemaltecos </w:t>
            </w:r>
            <w:r>
              <w:t>por</w:t>
            </w:r>
            <w:r w:rsidR="00BA6B1D">
              <w:t xml:space="preserve"> electrificar y entiendo y así lo he visto en los planes de gobierno que se busca la electrificación de todos los usuarios</w:t>
            </w:r>
            <w:r w:rsidR="00CD4DE4">
              <w:t>,  puesto que</w:t>
            </w:r>
            <w:r w:rsidR="00BA6B1D">
              <w:t xml:space="preserve"> requiere bastantes recursos porque los usuarios y hacen falta son los que son más costosos</w:t>
            </w:r>
            <w:r>
              <w:t>,</w:t>
            </w:r>
            <w:r w:rsidR="00BA6B1D">
              <w:t xml:space="preserve"> pero es una meta de países</w:t>
            </w:r>
            <w:r w:rsidR="00CD4DE4">
              <w:t>,</w:t>
            </w:r>
            <w:r w:rsidR="00BA6B1D">
              <w:t xml:space="preserve"> una meta de los objetivos de desarrollo sostenible</w:t>
            </w:r>
            <w:r>
              <w:t xml:space="preserve">, </w:t>
            </w:r>
            <w:r w:rsidR="00BA6B1D">
              <w:t>quería mencionarlo</w:t>
            </w:r>
            <w:r w:rsidR="00CD4DE4">
              <w:t xml:space="preserve"> porque es bastante importante, </w:t>
            </w:r>
            <w:r>
              <w:t>n</w:t>
            </w:r>
            <w:r w:rsidR="00BA6B1D">
              <w:t>osotros hemos trabajado sobre los temas y restructuración de contratos</w:t>
            </w:r>
            <w:r w:rsidR="00CD4DE4">
              <w:t>,</w:t>
            </w:r>
            <w:r w:rsidR="00BA6B1D">
              <w:t xml:space="preserve"> pero si vemos qué deb</w:t>
            </w:r>
            <w:r>
              <w:t>e de ponerse mucha atención en c</w:t>
            </w:r>
            <w:r w:rsidR="00BA6B1D">
              <w:t xml:space="preserve">ómo se va a sostener este aporte para el siguiente año creo que el </w:t>
            </w:r>
            <w:r w:rsidR="00CD4DE4">
              <w:t xml:space="preserve">INDE </w:t>
            </w:r>
            <w:r>
              <w:t>claramente demostró</w:t>
            </w:r>
            <w:r w:rsidR="00BA6B1D">
              <w:t xml:space="preserve"> que es lo que puede aportar y creo que debe tomarse mucha consideración, sé que en las mesas están trabajando muchos temas pero t</w:t>
            </w:r>
            <w:r>
              <w:t xml:space="preserve">ienen estar claramente definido. </w:t>
            </w:r>
          </w:p>
          <w:p w:rsidR="00701E69" w:rsidRPr="00CD4DE4" w:rsidRDefault="00701E69" w:rsidP="00BA6B1D">
            <w:pPr>
              <w:rPr>
                <w:b/>
              </w:rPr>
            </w:pPr>
            <w:r w:rsidRPr="00CD4DE4">
              <w:rPr>
                <w:b/>
              </w:rPr>
              <w:lastRenderedPageBreak/>
              <w:t>Intervención del Ministro de Finanzas en Funciones comentó lo siguiente:</w:t>
            </w:r>
          </w:p>
          <w:p w:rsidR="0076184B" w:rsidRDefault="00BA6B1D" w:rsidP="00CD4DE4">
            <w:pPr>
              <w:pStyle w:val="Prrafodelista"/>
              <w:numPr>
                <w:ilvl w:val="0"/>
                <w:numId w:val="22"/>
              </w:numPr>
              <w:jc w:val="both"/>
            </w:pPr>
            <w:r w:rsidRPr="0037700A">
              <w:t>Buenas tardes aprovechó para indicarles que la primera parte del ej</w:t>
            </w:r>
            <w:r w:rsidR="0076184B">
              <w:t>ercicio es un dialogo  entre SEGEPLAN, MINFIN y MEM</w:t>
            </w:r>
            <w:r w:rsidR="00641DA5">
              <w:t xml:space="preserve"> para llegar a esta segunda parte donde es </w:t>
            </w:r>
            <w:r w:rsidR="0076184B">
              <w:t>necesario tener la</w:t>
            </w:r>
            <w:r w:rsidRPr="0037700A">
              <w:t xml:space="preserve"> visión de poder ir escalando en las capacidades de forma multianual</w:t>
            </w:r>
            <w:r w:rsidR="00641DA5">
              <w:t>,</w:t>
            </w:r>
            <w:r w:rsidRPr="0037700A">
              <w:t xml:space="preserve"> </w:t>
            </w:r>
            <w:r w:rsidR="0076184B">
              <w:t xml:space="preserve">tenemos un </w:t>
            </w:r>
            <w:r w:rsidR="00A4384E">
              <w:t>límite</w:t>
            </w:r>
            <w:r w:rsidR="0076184B">
              <w:t xml:space="preserve"> de Q.4,000 millones y con esta presentación aunada a las solicitudes hechas por los demás Ministerios hemos rebalsado ese techo, por eso es necesario poder plantear la necesidades con gradualidad para la implementación de los programas. </w:t>
            </w:r>
          </w:p>
          <w:p w:rsidR="0076184B" w:rsidRDefault="00A4384E" w:rsidP="00CD4DE4">
            <w:pPr>
              <w:pStyle w:val="Prrafodelista"/>
              <w:jc w:val="both"/>
            </w:pPr>
            <w:r>
              <w:t xml:space="preserve">Dentro del Ministerio de Finanzas se deberá realizar el ejercicio para poder determinar cuáles de estas prioridades se pueden solventar y cuales vamos a ir trabajando según las proyecciones multianuales. </w:t>
            </w:r>
          </w:p>
          <w:p w:rsidR="00BA6B1D" w:rsidRDefault="00100347" w:rsidP="00CD4DE4">
            <w:pPr>
              <w:pStyle w:val="Prrafodelista"/>
              <w:jc w:val="both"/>
            </w:pPr>
            <w:r>
              <w:t>S</w:t>
            </w:r>
            <w:r w:rsidR="00BA6B1D" w:rsidRPr="0037700A">
              <w:t xml:space="preserve">i bien es cierto el espacio fiscal se puede incrementar por medio del endeudamiento el endeudamiento tiene la restricción de </w:t>
            </w:r>
            <w:r>
              <w:t xml:space="preserve">un uso para la inversión y </w:t>
            </w:r>
            <w:r w:rsidR="00BA6B1D" w:rsidRPr="0037700A">
              <w:t>en este caso el aporte social en más el funcionamiento</w:t>
            </w:r>
            <w:r w:rsidR="00641DA5">
              <w:t>,</w:t>
            </w:r>
            <w:r w:rsidR="00BA6B1D" w:rsidRPr="0037700A">
              <w:t xml:space="preserve"> entonces también el aspecto qu</w:t>
            </w:r>
            <w:r w:rsidR="00CD4DE4">
              <w:t>e se pueda dar por medio de la pauta de inversión co</w:t>
            </w:r>
            <w:r w:rsidR="00BA6B1D" w:rsidRPr="0037700A">
              <w:t>mo se dio el año anterior y ese mismo pueda dar má</w:t>
            </w:r>
            <w:r w:rsidR="00CD4DE4">
              <w:t xml:space="preserve">s productividad en el instituto, </w:t>
            </w:r>
            <w:r w:rsidR="00BA6B1D" w:rsidRPr="0037700A">
              <w:t>son los elem</w:t>
            </w:r>
            <w:r w:rsidR="00CD4DE4">
              <w:t>entos que habrá que considerar, y</w:t>
            </w:r>
            <w:r w:rsidR="00BA6B1D" w:rsidRPr="0037700A">
              <w:t xml:space="preserve"> qué parte de ello se puedan discutir en estos meses</w:t>
            </w:r>
            <w:r w:rsidR="00CD4DE4">
              <w:t>,</w:t>
            </w:r>
            <w:r w:rsidR="00BA6B1D" w:rsidRPr="0037700A">
              <w:t xml:space="preserve"> semanas que restan para poder plantear los techos indicativos </w:t>
            </w:r>
            <w:r w:rsidR="00CD4DE4">
              <w:t xml:space="preserve">y </w:t>
            </w:r>
            <w:r w:rsidR="00BA6B1D" w:rsidRPr="0037700A">
              <w:t>ante el congreso el p</w:t>
            </w:r>
            <w:r w:rsidR="00CD4DE4">
              <w:t>resupuesto para los siguientes cinco</w:t>
            </w:r>
            <w:r w:rsidR="00BA6B1D" w:rsidRPr="0037700A">
              <w:t xml:space="preserve"> años.  </w:t>
            </w:r>
          </w:p>
          <w:p w:rsidR="00BA6B1D" w:rsidRDefault="00BA6B1D" w:rsidP="00641DA5">
            <w:pPr>
              <w:pStyle w:val="Prrafodelista"/>
              <w:jc w:val="both"/>
            </w:pPr>
          </w:p>
          <w:p w:rsidR="00BA6B1D" w:rsidRDefault="00E4099C" w:rsidP="00641DA5">
            <w:pPr>
              <w:pStyle w:val="Prrafodelista"/>
              <w:jc w:val="both"/>
            </w:pPr>
            <w:r w:rsidRPr="00E4099C">
              <w:t>E</w:t>
            </w:r>
            <w:r w:rsidR="00BA6B1D" w:rsidRPr="00E4099C">
              <w:t>s muy enriquecedor plantear el enfoque que se ha dado multianual obviamente la incidencia que tiene el Ministerio es importante y en los últimos años se ha venido en un deterioro de las capacidades</w:t>
            </w:r>
            <w:r w:rsidR="00641DA5">
              <w:t>,</w:t>
            </w:r>
            <w:r w:rsidR="00BA6B1D" w:rsidRPr="00E4099C">
              <w:t xml:space="preserve"> por la asignación presupuestaria eso por un lado y por otro lado obviamente la restricción que tenemos en la capacidad fiscal un poco también son las inquietudes y el planteamiento para validar el criterio</w:t>
            </w:r>
            <w:r w:rsidRPr="00E4099C">
              <w:t>,</w:t>
            </w:r>
            <w:r w:rsidR="00BA6B1D" w:rsidRPr="00E4099C">
              <w:t xml:space="preserve"> entendemos que tuviera que </w:t>
            </w:r>
            <w:r w:rsidRPr="00E4099C">
              <w:t xml:space="preserve">indicar entre </w:t>
            </w:r>
            <w:r w:rsidR="00BA6B1D" w:rsidRPr="00E4099C">
              <w:t>los programas que están planteando</w:t>
            </w:r>
            <w:r w:rsidRPr="00E4099C">
              <w:t xml:space="preserve"> cual es prioritario. </w:t>
            </w:r>
            <w:r w:rsidR="00BA6B1D" w:rsidRPr="00E4099C">
              <w:t>Y seguramente van a venir consultas más desde tipo para lo cual se necesita un fortalecimiento institucional es sólo un poco validando y consultando las autoridades y esa es la prioridad que debiese enfocar el Ministerio y cuáles son otros temas releva</w:t>
            </w:r>
            <w:r w:rsidRPr="00E4099C">
              <w:t>ntes para que el Ministerio de F</w:t>
            </w:r>
            <w:r w:rsidR="00BA6B1D" w:rsidRPr="00E4099C">
              <w:t xml:space="preserve">inanzas </w:t>
            </w:r>
            <w:r w:rsidR="009045B7">
              <w:t>deba</w:t>
            </w:r>
            <w:r w:rsidR="00BA6B1D" w:rsidRPr="00E4099C">
              <w:t xml:space="preserve"> considerar.</w:t>
            </w:r>
            <w:r w:rsidR="00BA6B1D">
              <w:t xml:space="preserve"> </w:t>
            </w:r>
          </w:p>
          <w:p w:rsidR="00BA6B1D" w:rsidRDefault="00BA6B1D" w:rsidP="00BA6B1D">
            <w:pPr>
              <w:pStyle w:val="Prrafodelista"/>
            </w:pPr>
          </w:p>
          <w:p w:rsidR="002A4C99" w:rsidRDefault="002A4C99" w:rsidP="00D31DFE">
            <w:pPr>
              <w:pStyle w:val="Prrafodelista"/>
              <w:jc w:val="both"/>
            </w:pPr>
            <w:r>
              <w:rPr>
                <w:b/>
              </w:rPr>
              <w:t xml:space="preserve">Intervención </w:t>
            </w:r>
            <w:r w:rsidRPr="002A4C99">
              <w:rPr>
                <w:b/>
              </w:rPr>
              <w:t>del MEM</w:t>
            </w:r>
            <w:r w:rsidRPr="002A4C99">
              <w:t xml:space="preserve"> </w:t>
            </w:r>
          </w:p>
          <w:p w:rsidR="002A4C99" w:rsidRPr="002A4C99" w:rsidRDefault="002A4C99" w:rsidP="00D31DFE">
            <w:pPr>
              <w:pStyle w:val="Prrafodelista"/>
              <w:jc w:val="both"/>
            </w:pPr>
          </w:p>
          <w:p w:rsidR="002A4C99" w:rsidRDefault="002A4C99" w:rsidP="00D31DFE">
            <w:pPr>
              <w:pStyle w:val="Prrafodelista"/>
              <w:jc w:val="both"/>
            </w:pPr>
            <w:r>
              <w:t>C</w:t>
            </w:r>
            <w:r w:rsidR="00BA6B1D">
              <w:t>reo que es importante hacer mención que la política energética tiene como e</w:t>
            </w:r>
            <w:r>
              <w:t xml:space="preserve">nfoque tanto el tema de energía, </w:t>
            </w:r>
            <w:r w:rsidR="00BA6B1D">
              <w:t>como hidrocarburos</w:t>
            </w:r>
            <w:r>
              <w:t xml:space="preserve"> y</w:t>
            </w:r>
            <w:r w:rsidR="00BA6B1D">
              <w:t xml:space="preserve"> la promulgación en este caso de la matriz de generación y la atracción de la inversión a través de las licitaciones que se han rea</w:t>
            </w:r>
            <w:r>
              <w:t>lizado</w:t>
            </w:r>
            <w:r w:rsidR="009436F6">
              <w:t xml:space="preserve"> por</w:t>
            </w:r>
            <w:r>
              <w:t xml:space="preserve"> la Comisión Nacional de E</w:t>
            </w:r>
            <w:r w:rsidR="00BA6B1D">
              <w:t>nergía</w:t>
            </w:r>
            <w:r>
              <w:t xml:space="preserve">. </w:t>
            </w:r>
          </w:p>
          <w:p w:rsidR="002A4C99" w:rsidRDefault="002A4C99" w:rsidP="00D31DFE">
            <w:pPr>
              <w:pStyle w:val="Prrafodelista"/>
              <w:jc w:val="both"/>
            </w:pPr>
            <w:r>
              <w:t>E</w:t>
            </w:r>
            <w:r w:rsidR="00BA6B1D">
              <w:t>n temas de licitación y transporte creo que congenia</w:t>
            </w:r>
            <w:r>
              <w:t xml:space="preserve"> con</w:t>
            </w:r>
            <w:r w:rsidR="00BA6B1D">
              <w:t xml:space="preserve"> lo que buscamos </w:t>
            </w:r>
            <w:r>
              <w:t xml:space="preserve">que </w:t>
            </w:r>
            <w:r w:rsidR="00BA6B1D">
              <w:t>es precisamente ampliar nuestra matriz de generación</w:t>
            </w:r>
            <w:r>
              <w:t>,</w:t>
            </w:r>
            <w:r w:rsidR="00BA6B1D">
              <w:t xml:space="preserve"> que nos permite enfocarnos a precios más bajos</w:t>
            </w:r>
            <w:r>
              <w:t xml:space="preserve">, </w:t>
            </w:r>
            <w:r w:rsidR="00BA6B1D">
              <w:t xml:space="preserve"> por un lado los sistemas de transporte nos permiten emplear no sólo que sea mucho más viable los proyectos de generación </w:t>
            </w:r>
            <w:r>
              <w:t>sino por</w:t>
            </w:r>
            <w:r w:rsidR="00BA6B1D">
              <w:t xml:space="preserve"> otro lado nos permite ampliar el tema de cobertura eléctrica que es sumamente importante</w:t>
            </w:r>
            <w:r>
              <w:t xml:space="preserve">, </w:t>
            </w:r>
            <w:r w:rsidR="00BA6B1D">
              <w:t xml:space="preserve"> en el país falta </w:t>
            </w:r>
            <w:r w:rsidR="00BA6B1D">
              <w:lastRenderedPageBreak/>
              <w:t>mucho</w:t>
            </w:r>
            <w:r w:rsidR="009436F6">
              <w:t xml:space="preserve"> </w:t>
            </w:r>
            <w:r>
              <w:t xml:space="preserve">por hacer hay un alto porcentaje de </w:t>
            </w:r>
            <w:r w:rsidR="00BA6B1D">
              <w:t xml:space="preserve">electrificación a nivel rural </w:t>
            </w:r>
            <w:r>
              <w:t xml:space="preserve">y en </w:t>
            </w:r>
            <w:r w:rsidR="00BA6B1D">
              <w:t>las comunidades</w:t>
            </w:r>
            <w:r>
              <w:t xml:space="preserve"> que </w:t>
            </w:r>
            <w:r w:rsidR="00BA6B1D">
              <w:t>va</w:t>
            </w:r>
            <w:r>
              <w:t>n creciendo en la necesidad de n</w:t>
            </w:r>
            <w:r w:rsidR="00BA6B1D">
              <w:t>ueva cobertura eléctrica y por otro lado en temas de hidrocarburos</w:t>
            </w:r>
            <w:r w:rsidR="009436F6">
              <w:t xml:space="preserve">, </w:t>
            </w:r>
            <w:r w:rsidR="00BA6B1D">
              <w:t>que en una medida permite obtener ingresos interesantes para las comunidades</w:t>
            </w:r>
            <w:r w:rsidR="009436F6">
              <w:t>,</w:t>
            </w:r>
            <w:r w:rsidR="00BA6B1D">
              <w:t xml:space="preserve"> como lo es el tema de FONPETROL, si bien el tema de desarrollo sostenible </w:t>
            </w:r>
            <w:r>
              <w:t xml:space="preserve">es un </w:t>
            </w:r>
            <w:r w:rsidR="00BA6B1D">
              <w:t>tema sumamente transversal en cualquiera de los tres ejes temáticos principales del Mi</w:t>
            </w:r>
            <w:r w:rsidR="009436F6">
              <w:t>nisterio, en</w:t>
            </w:r>
            <w:r w:rsidR="00BA6B1D">
              <w:t xml:space="preserve"> </w:t>
            </w:r>
            <w:r>
              <w:t>e</w:t>
            </w:r>
            <w:r w:rsidR="00BA6B1D">
              <w:t>nergía</w:t>
            </w:r>
            <w:r>
              <w:t>, h</w:t>
            </w:r>
            <w:r w:rsidR="00BA6B1D">
              <w:t>idrocarburos y minería creo que es un tem</w:t>
            </w:r>
            <w:r>
              <w:t xml:space="preserve">a sumamente importante que debe de visibilizarse. </w:t>
            </w:r>
          </w:p>
          <w:p w:rsidR="00BA6B1D" w:rsidRDefault="002A4C99" w:rsidP="00D31DFE">
            <w:pPr>
              <w:pStyle w:val="Prrafodelista"/>
              <w:jc w:val="both"/>
            </w:pPr>
            <w:r>
              <w:t>Como mencionaba el licenciado M</w:t>
            </w:r>
            <w:r w:rsidR="00BA6B1D">
              <w:t xml:space="preserve">ogollón del área financiera del </w:t>
            </w:r>
            <w:r>
              <w:t>INDE</w:t>
            </w:r>
            <w:r w:rsidR="00BA6B1D">
              <w:t xml:space="preserve"> aquí si tenemos cuantificable la cantidad de personas beneficiadas y hogares guatemaltecos estamos hablando de 1.6 millones y esto es muy importante mencionarlo. </w:t>
            </w:r>
          </w:p>
          <w:p w:rsidR="00BA6B1D" w:rsidRDefault="00BA6B1D" w:rsidP="00D31DFE">
            <w:pPr>
              <w:pStyle w:val="Prrafodelista"/>
              <w:jc w:val="both"/>
            </w:pPr>
          </w:p>
          <w:p w:rsidR="004B3AF7" w:rsidRPr="004B3AF7" w:rsidRDefault="004B3AF7" w:rsidP="00D31DFE">
            <w:pPr>
              <w:pStyle w:val="Prrafodelista"/>
              <w:jc w:val="both"/>
              <w:rPr>
                <w:b/>
              </w:rPr>
            </w:pPr>
            <w:r w:rsidRPr="004B3AF7">
              <w:rPr>
                <w:b/>
              </w:rPr>
              <w:t>Participante del taller</w:t>
            </w:r>
            <w:r>
              <w:rPr>
                <w:b/>
              </w:rPr>
              <w:t>, preguntó lo siguiente</w:t>
            </w:r>
            <w:r w:rsidRPr="004B3AF7">
              <w:rPr>
                <w:b/>
              </w:rPr>
              <w:t>:</w:t>
            </w:r>
          </w:p>
          <w:p w:rsidR="00BA6B1D" w:rsidRDefault="00B12672" w:rsidP="00D31DFE">
            <w:pPr>
              <w:pStyle w:val="Prrafodelista"/>
              <w:jc w:val="both"/>
            </w:pPr>
            <w:r>
              <w:t>Siendo las industrias de extracción el 2% del PIB ¿Có</w:t>
            </w:r>
            <w:r w:rsidR="00BA6B1D">
              <w:t>mo visualiza</w:t>
            </w:r>
            <w:r>
              <w:t>n en ambos Ministerio</w:t>
            </w:r>
            <w:r w:rsidR="009436F6">
              <w:t>s</w:t>
            </w:r>
            <w:r>
              <w:t xml:space="preserve"> el tema de la extracción minera? Debido a que genera conflictividad pero que en otros países ha podido ser</w:t>
            </w:r>
            <w:r w:rsidR="00D31DFE">
              <w:t xml:space="preserve"> un motor de desarrollo, tomando</w:t>
            </w:r>
            <w:r>
              <w:t xml:space="preserve"> en cuenta a las minorías, al tema de responsabilidad ambiental y social </w:t>
            </w:r>
            <w:r w:rsidR="00D31DFE">
              <w:t xml:space="preserve">debido a los ingresos que se pueden generar con ella. </w:t>
            </w:r>
          </w:p>
          <w:p w:rsidR="00D31DFE" w:rsidRDefault="00D31DFE" w:rsidP="00D31DFE">
            <w:pPr>
              <w:pStyle w:val="Prrafodelista"/>
            </w:pPr>
          </w:p>
          <w:p w:rsidR="00D31DFE" w:rsidRPr="00D31DFE" w:rsidRDefault="00BA6B1D" w:rsidP="00D31DFE">
            <w:pPr>
              <w:pStyle w:val="Prrafodelista"/>
              <w:ind w:left="0"/>
              <w:rPr>
                <w:b/>
                <w:i/>
              </w:rPr>
            </w:pPr>
            <w:r w:rsidRPr="00D31DFE">
              <w:rPr>
                <w:b/>
                <w:i/>
              </w:rPr>
              <w:t>Respuesta</w:t>
            </w:r>
            <w:r w:rsidR="00D31DFE" w:rsidRPr="00D31DFE">
              <w:rPr>
                <w:b/>
                <w:i/>
              </w:rPr>
              <w:t xml:space="preserve"> de Ministerio de Energía y Minas</w:t>
            </w:r>
            <w:r w:rsidRPr="00D31DFE">
              <w:rPr>
                <w:b/>
                <w:i/>
              </w:rPr>
              <w:t>.</w:t>
            </w:r>
          </w:p>
          <w:p w:rsidR="00D31DFE" w:rsidRDefault="00D31DFE" w:rsidP="00D31DFE">
            <w:pPr>
              <w:pStyle w:val="Prrafodelista"/>
              <w:ind w:left="0"/>
              <w:jc w:val="both"/>
              <w:rPr>
                <w:i/>
              </w:rPr>
            </w:pPr>
            <w:r>
              <w:rPr>
                <w:i/>
              </w:rPr>
              <w:t>El Ministerio de E</w:t>
            </w:r>
            <w:r w:rsidR="00BA6B1D" w:rsidRPr="00D31DFE">
              <w:rPr>
                <w:i/>
              </w:rPr>
              <w:t>nergía y Minas</w:t>
            </w:r>
            <w:r>
              <w:rPr>
                <w:i/>
              </w:rPr>
              <w:t xml:space="preserve"> considera </w:t>
            </w:r>
            <w:r w:rsidR="00BA6B1D" w:rsidRPr="00D31DFE">
              <w:rPr>
                <w:i/>
              </w:rPr>
              <w:t>que</w:t>
            </w:r>
            <w:r>
              <w:rPr>
                <w:i/>
              </w:rPr>
              <w:t xml:space="preserve"> </w:t>
            </w:r>
            <w:r w:rsidR="00BA6B1D" w:rsidRPr="00D31DFE">
              <w:rPr>
                <w:i/>
              </w:rPr>
              <w:t xml:space="preserve">debe de existir un debido aprovechamiento responsable de nuestros recursos naturales y derivado de ellos </w:t>
            </w:r>
            <w:r>
              <w:rPr>
                <w:i/>
              </w:rPr>
              <w:t xml:space="preserve">se ha iniciado a </w:t>
            </w:r>
            <w:r w:rsidR="00BA6B1D" w:rsidRPr="00D31DFE">
              <w:rPr>
                <w:i/>
              </w:rPr>
              <w:t xml:space="preserve">trabajar </w:t>
            </w:r>
            <w:r>
              <w:rPr>
                <w:i/>
              </w:rPr>
              <w:t>en la reformulación de la Ley de M</w:t>
            </w:r>
            <w:r w:rsidR="00BA6B1D" w:rsidRPr="00D31DFE">
              <w:rPr>
                <w:i/>
              </w:rPr>
              <w:t>inería</w:t>
            </w:r>
            <w:r>
              <w:rPr>
                <w:i/>
              </w:rPr>
              <w:t>,</w:t>
            </w:r>
            <w:r w:rsidR="00BA6B1D" w:rsidRPr="00D31DFE">
              <w:rPr>
                <w:i/>
              </w:rPr>
              <w:t xml:space="preserve"> porque creemos que debemos de aprovechar nuestros recursos de una manera responsable y amigable con el ambiente</w:t>
            </w:r>
            <w:r>
              <w:rPr>
                <w:i/>
              </w:rPr>
              <w:t xml:space="preserve">. </w:t>
            </w:r>
          </w:p>
          <w:p w:rsidR="00D31DFE" w:rsidRDefault="00D31DFE" w:rsidP="00D31DFE">
            <w:pPr>
              <w:pStyle w:val="Prrafodelista"/>
              <w:ind w:left="0"/>
              <w:jc w:val="both"/>
              <w:rPr>
                <w:i/>
              </w:rPr>
            </w:pPr>
            <w:r>
              <w:rPr>
                <w:i/>
              </w:rPr>
              <w:t>Es</w:t>
            </w:r>
            <w:r w:rsidR="00BA6B1D" w:rsidRPr="00D31DFE">
              <w:rPr>
                <w:i/>
              </w:rPr>
              <w:t xml:space="preserve"> importante mencionar el tema</w:t>
            </w:r>
            <w:r>
              <w:rPr>
                <w:i/>
              </w:rPr>
              <w:t xml:space="preserve">, </w:t>
            </w:r>
            <w:r w:rsidR="00BA6B1D" w:rsidRPr="00D31DFE">
              <w:rPr>
                <w:i/>
              </w:rPr>
              <w:t xml:space="preserve"> que ha sido fuertemente cuestionado a lo largo del tiempo esa es una de las partes que nosotros </w:t>
            </w:r>
            <w:r>
              <w:rPr>
                <w:i/>
              </w:rPr>
              <w:t xml:space="preserve">evidenciamos dentro de la propuesta, </w:t>
            </w:r>
            <w:r w:rsidR="00BA6B1D" w:rsidRPr="00D31DFE">
              <w:rPr>
                <w:i/>
              </w:rPr>
              <w:t>vinculamos el tema de las consultas y hacemos referencia a la importancia de la formulación de las consultas y yo</w:t>
            </w:r>
            <w:r>
              <w:rPr>
                <w:i/>
              </w:rPr>
              <w:t xml:space="preserve"> creo que la resolución de la C</w:t>
            </w:r>
            <w:r w:rsidR="00BA6B1D" w:rsidRPr="00D31DFE">
              <w:rPr>
                <w:i/>
              </w:rPr>
              <w:t>orte ya nos está limitando</w:t>
            </w:r>
            <w:r>
              <w:rPr>
                <w:i/>
              </w:rPr>
              <w:t xml:space="preserve">, </w:t>
            </w:r>
            <w:r w:rsidR="00BA6B1D" w:rsidRPr="00D31DFE">
              <w:rPr>
                <w:i/>
              </w:rPr>
              <w:t xml:space="preserve"> </w:t>
            </w:r>
            <w:r>
              <w:rPr>
                <w:i/>
              </w:rPr>
              <w:t>nos está dando una ruta e</w:t>
            </w:r>
            <w:r w:rsidR="00BA6B1D" w:rsidRPr="00D31DFE">
              <w:rPr>
                <w:i/>
              </w:rPr>
              <w:t xml:space="preserve"> invita adicionalmente a los señores del Congreso de la República a legislar en ese tema puntual</w:t>
            </w:r>
            <w:r>
              <w:rPr>
                <w:i/>
              </w:rPr>
              <w:t xml:space="preserve">. </w:t>
            </w:r>
          </w:p>
          <w:p w:rsidR="009C5914" w:rsidRDefault="00D31DFE" w:rsidP="00D31DFE">
            <w:pPr>
              <w:pStyle w:val="Prrafodelista"/>
              <w:ind w:left="0"/>
              <w:jc w:val="both"/>
              <w:rPr>
                <w:i/>
              </w:rPr>
            </w:pPr>
            <w:r>
              <w:rPr>
                <w:i/>
              </w:rPr>
              <w:t xml:space="preserve">En </w:t>
            </w:r>
            <w:r w:rsidR="00BA6B1D" w:rsidRPr="00D31DFE">
              <w:rPr>
                <w:i/>
              </w:rPr>
              <w:t>la misma formulación nosotros hacemos una redistribución del tema</w:t>
            </w:r>
            <w:r w:rsidR="009C5914">
              <w:rPr>
                <w:i/>
              </w:rPr>
              <w:t>,</w:t>
            </w:r>
            <w:r w:rsidR="00BA6B1D" w:rsidRPr="00D31DFE">
              <w:rPr>
                <w:i/>
              </w:rPr>
              <w:t xml:space="preserve"> </w:t>
            </w:r>
            <w:r>
              <w:rPr>
                <w:i/>
              </w:rPr>
              <w:t xml:space="preserve">35% </w:t>
            </w:r>
            <w:r w:rsidR="00BA6B1D" w:rsidRPr="00D31DFE">
              <w:rPr>
                <w:i/>
              </w:rPr>
              <w:t xml:space="preserve">se va a fijar </w:t>
            </w:r>
            <w:r>
              <w:rPr>
                <w:i/>
              </w:rPr>
              <w:t xml:space="preserve">para las </w:t>
            </w:r>
            <w:r w:rsidR="00BA6B1D" w:rsidRPr="00D31DFE">
              <w:rPr>
                <w:i/>
              </w:rPr>
              <w:t>comunidades afectas de los proyectos</w:t>
            </w:r>
            <w:r>
              <w:rPr>
                <w:i/>
              </w:rPr>
              <w:t>,</w:t>
            </w:r>
            <w:r w:rsidR="00BA6B1D" w:rsidRPr="00D31DFE">
              <w:rPr>
                <w:i/>
              </w:rPr>
              <w:t xml:space="preserve"> 25% se queda en el departamento donde se realiza la actividad minera un 30% va para el estado y un</w:t>
            </w:r>
            <w:r>
              <w:rPr>
                <w:i/>
              </w:rPr>
              <w:t xml:space="preserve"> 10% va para el Ministerio E</w:t>
            </w:r>
            <w:r w:rsidR="00BA6B1D" w:rsidRPr="00D31DFE">
              <w:rPr>
                <w:i/>
              </w:rPr>
              <w:t>nergía y Minas para las actividades dentro de la ley</w:t>
            </w:r>
            <w:r>
              <w:rPr>
                <w:i/>
              </w:rPr>
              <w:t>. A</w:t>
            </w:r>
            <w:r w:rsidR="00BA6B1D" w:rsidRPr="00D31DFE">
              <w:rPr>
                <w:i/>
              </w:rPr>
              <w:t>dicionalmente se estructura, partiendo de una estructura piramidal donde tendríamos como primer enfoque la reformulación de la ley o la nueva ley de minería</w:t>
            </w:r>
            <w:r w:rsidR="009C5914">
              <w:rPr>
                <w:i/>
              </w:rPr>
              <w:t>,</w:t>
            </w:r>
            <w:r w:rsidR="00BA6B1D" w:rsidRPr="00D31DFE">
              <w:rPr>
                <w:i/>
              </w:rPr>
              <w:t xml:space="preserve"> la reglamentación como tal normas y metodologías, dentro de la norma actualmente no tenemos algo que no</w:t>
            </w:r>
            <w:r w:rsidR="009C5914">
              <w:rPr>
                <w:i/>
              </w:rPr>
              <w:t>s</w:t>
            </w:r>
            <w:r w:rsidR="00BA6B1D" w:rsidRPr="00D31DFE">
              <w:rPr>
                <w:i/>
              </w:rPr>
              <w:t xml:space="preserve"> regule</w:t>
            </w:r>
            <w:r w:rsidR="009C5914">
              <w:rPr>
                <w:i/>
              </w:rPr>
              <w:t>,</w:t>
            </w:r>
            <w:r w:rsidR="00BA6B1D" w:rsidRPr="00D31DFE">
              <w:rPr>
                <w:i/>
              </w:rPr>
              <w:t xml:space="preserve"> alguna ley de la minería y éste se puede definir a través de una norma a través de una metodología</w:t>
            </w:r>
            <w:r w:rsidR="009C5914">
              <w:rPr>
                <w:i/>
              </w:rPr>
              <w:t>,</w:t>
            </w:r>
            <w:r w:rsidR="00BA6B1D" w:rsidRPr="00D31DFE">
              <w:rPr>
                <w:i/>
              </w:rPr>
              <w:t xml:space="preserve"> </w:t>
            </w:r>
            <w:r w:rsidR="009C5914">
              <w:rPr>
                <w:i/>
              </w:rPr>
              <w:t xml:space="preserve">por </w:t>
            </w:r>
            <w:r w:rsidR="00BA6B1D" w:rsidRPr="00D31DFE">
              <w:rPr>
                <w:i/>
              </w:rPr>
              <w:t>ejemplo en tema de aguas</w:t>
            </w:r>
            <w:r w:rsidR="009C5914">
              <w:rPr>
                <w:i/>
              </w:rPr>
              <w:t>,</w:t>
            </w:r>
            <w:r w:rsidR="00BA6B1D" w:rsidRPr="00D31DFE">
              <w:rPr>
                <w:i/>
              </w:rPr>
              <w:t xml:space="preserve"> en tema de manejo ambiental</w:t>
            </w:r>
            <w:r w:rsidR="009C5914">
              <w:rPr>
                <w:i/>
              </w:rPr>
              <w:t>,</w:t>
            </w:r>
            <w:r w:rsidR="00BA6B1D" w:rsidRPr="00D31DFE">
              <w:rPr>
                <w:i/>
              </w:rPr>
              <w:t xml:space="preserve"> el tema de seguridad y protección dentro de las operaciones mineras</w:t>
            </w:r>
            <w:r w:rsidR="009C5914">
              <w:rPr>
                <w:i/>
              </w:rPr>
              <w:t xml:space="preserve">, </w:t>
            </w:r>
            <w:r w:rsidR="00BA6B1D" w:rsidRPr="00D31DFE">
              <w:rPr>
                <w:i/>
              </w:rPr>
              <w:t xml:space="preserve"> así como otros tipos de actividades que son importantes de normar, el Ministerio desde hace un poco firmamos un convenio precisamente porque estamos planteando la nueva política minera</w:t>
            </w:r>
            <w:r w:rsidR="009C5914">
              <w:rPr>
                <w:i/>
              </w:rPr>
              <w:t>,</w:t>
            </w:r>
            <w:r w:rsidR="00BA6B1D" w:rsidRPr="00D31DFE">
              <w:rPr>
                <w:i/>
              </w:rPr>
              <w:t xml:space="preserve"> que se debe regir en el Ministerio yo creo que estamos aportando por cuestiones importantes legales que le dan la certeza para la atracción de la inversión como primer punto, segundo, estamos dialogando con las </w:t>
            </w:r>
            <w:r w:rsidR="00BA6B1D" w:rsidRPr="00D31DFE">
              <w:rPr>
                <w:i/>
              </w:rPr>
              <w:lastRenderedPageBreak/>
              <w:t>comunidades</w:t>
            </w:r>
            <w:r w:rsidR="009C5914">
              <w:rPr>
                <w:i/>
              </w:rPr>
              <w:t>,</w:t>
            </w:r>
            <w:r w:rsidR="00BA6B1D" w:rsidRPr="00D31DFE">
              <w:rPr>
                <w:i/>
              </w:rPr>
              <w:t xml:space="preserve"> invitamos precisamente aquellas instituciones</w:t>
            </w:r>
            <w:r w:rsidR="009C5914">
              <w:rPr>
                <w:i/>
              </w:rPr>
              <w:t xml:space="preserve"> y</w:t>
            </w:r>
            <w:r w:rsidR="00BA6B1D" w:rsidRPr="00D31DFE">
              <w:rPr>
                <w:i/>
              </w:rPr>
              <w:t xml:space="preserve"> entidades a que </w:t>
            </w:r>
            <w:r w:rsidR="009C5914">
              <w:rPr>
                <w:i/>
              </w:rPr>
              <w:t>se aproximen a</w:t>
            </w:r>
            <w:r w:rsidR="00BA6B1D" w:rsidRPr="00D31DFE">
              <w:rPr>
                <w:i/>
              </w:rPr>
              <w:t>l Ministerio para dialogar</w:t>
            </w:r>
            <w:r w:rsidR="009C5914">
              <w:rPr>
                <w:i/>
              </w:rPr>
              <w:t>,</w:t>
            </w:r>
            <w:r w:rsidR="00BA6B1D" w:rsidRPr="00D31DFE">
              <w:rPr>
                <w:i/>
              </w:rPr>
              <w:t xml:space="preserve"> pero dialogar con fundamentos a plantear cuestiones técnicas que tengan la certeza de lo que se está hablando</w:t>
            </w:r>
            <w:r w:rsidR="009C5914">
              <w:rPr>
                <w:i/>
              </w:rPr>
              <w:t>,</w:t>
            </w:r>
            <w:r w:rsidR="00BA6B1D" w:rsidRPr="00D31DFE">
              <w:rPr>
                <w:i/>
              </w:rPr>
              <w:t xml:space="preserve"> porque con fundamento como un ente eminentemente técnico que le está apostando por el fortalec</w:t>
            </w:r>
            <w:r w:rsidR="009C5914">
              <w:rPr>
                <w:i/>
              </w:rPr>
              <w:t xml:space="preserve">imiento de su institucionalidad. </w:t>
            </w:r>
          </w:p>
          <w:p w:rsidR="00BA6B1D" w:rsidRDefault="009C5914" w:rsidP="00D31DFE">
            <w:pPr>
              <w:pStyle w:val="Prrafodelista"/>
              <w:ind w:left="0"/>
              <w:jc w:val="both"/>
              <w:rPr>
                <w:i/>
              </w:rPr>
            </w:pPr>
            <w:r>
              <w:rPr>
                <w:i/>
              </w:rPr>
              <w:t>L</w:t>
            </w:r>
            <w:r w:rsidR="00BA6B1D" w:rsidRPr="00D31DFE">
              <w:rPr>
                <w:i/>
              </w:rPr>
              <w:t>a nueva política que estamos rigiendo en el Ministerio es fortalecimie</w:t>
            </w:r>
            <w:r>
              <w:rPr>
                <w:i/>
              </w:rPr>
              <w:t>nto de capacidad reglas claras e</w:t>
            </w:r>
            <w:r w:rsidR="00BA6B1D" w:rsidRPr="00D31DFE">
              <w:rPr>
                <w:i/>
              </w:rPr>
              <w:t xml:space="preserve"> invitar a la construcción del diálogo </w:t>
            </w:r>
          </w:p>
          <w:p w:rsidR="009C5914" w:rsidRDefault="009C5914" w:rsidP="00D31DFE">
            <w:pPr>
              <w:pStyle w:val="Prrafodelista"/>
              <w:ind w:left="0"/>
              <w:jc w:val="both"/>
              <w:rPr>
                <w:i/>
              </w:rPr>
            </w:pPr>
          </w:p>
          <w:p w:rsidR="009C5914" w:rsidRDefault="009C5914" w:rsidP="00D31DFE">
            <w:pPr>
              <w:pStyle w:val="Prrafodelista"/>
              <w:ind w:left="0"/>
              <w:jc w:val="both"/>
              <w:rPr>
                <w:i/>
              </w:rPr>
            </w:pPr>
            <w:r>
              <w:rPr>
                <w:i/>
              </w:rPr>
              <w:t>El señor Ministro de Finanzas en funciones respondió:</w:t>
            </w:r>
          </w:p>
          <w:p w:rsidR="009C5914" w:rsidRPr="00D31DFE" w:rsidRDefault="009C5914" w:rsidP="00D31DFE">
            <w:pPr>
              <w:pStyle w:val="Prrafodelista"/>
              <w:ind w:left="0"/>
              <w:jc w:val="both"/>
              <w:rPr>
                <w:i/>
              </w:rPr>
            </w:pPr>
          </w:p>
          <w:p w:rsidR="009C5914" w:rsidRDefault="009C5914" w:rsidP="009C5914">
            <w:pPr>
              <w:pStyle w:val="Prrafodelista"/>
              <w:ind w:left="0"/>
              <w:jc w:val="both"/>
              <w:rPr>
                <w:i/>
              </w:rPr>
            </w:pPr>
            <w:r>
              <w:rPr>
                <w:i/>
              </w:rPr>
              <w:t>E</w:t>
            </w:r>
            <w:r w:rsidR="00BA6B1D" w:rsidRPr="00D31DFE">
              <w:rPr>
                <w:i/>
              </w:rPr>
              <w:t>s importante y de hecho quedó previsto desde el pacto fiscal</w:t>
            </w:r>
            <w:r>
              <w:rPr>
                <w:i/>
              </w:rPr>
              <w:t>,</w:t>
            </w:r>
            <w:r w:rsidR="00BA6B1D" w:rsidRPr="00D31DFE">
              <w:rPr>
                <w:i/>
              </w:rPr>
              <w:t xml:space="preserve"> uno de los ejes donde la sostenibilidad y el desarrollo del paí</w:t>
            </w:r>
            <w:r>
              <w:rPr>
                <w:i/>
              </w:rPr>
              <w:t>s</w:t>
            </w:r>
            <w:r w:rsidR="009436F6">
              <w:rPr>
                <w:i/>
              </w:rPr>
              <w:t xml:space="preserve"> son primordiales, </w:t>
            </w:r>
            <w:r>
              <w:rPr>
                <w:i/>
              </w:rPr>
              <w:t>en la gestión del patrimonio e</w:t>
            </w:r>
            <w:r w:rsidR="00BA6B1D" w:rsidRPr="00D31DFE">
              <w:rPr>
                <w:i/>
              </w:rPr>
              <w:t>statal y</w:t>
            </w:r>
            <w:r>
              <w:rPr>
                <w:i/>
              </w:rPr>
              <w:t xml:space="preserve"> en ese sentido</w:t>
            </w:r>
            <w:r w:rsidR="00BF790C">
              <w:rPr>
                <w:i/>
              </w:rPr>
              <w:t>,</w:t>
            </w:r>
            <w:r>
              <w:rPr>
                <w:i/>
              </w:rPr>
              <w:t xml:space="preserve"> sí</w:t>
            </w:r>
            <w:r w:rsidR="00BA6B1D" w:rsidRPr="00D31DFE">
              <w:rPr>
                <w:i/>
              </w:rPr>
              <w:t xml:space="preserve"> vemos que buena par</w:t>
            </w:r>
            <w:r>
              <w:rPr>
                <w:i/>
              </w:rPr>
              <w:t>te de la gestión de patrimonio e</w:t>
            </w:r>
            <w:r w:rsidR="00BF790C">
              <w:rPr>
                <w:i/>
              </w:rPr>
              <w:t xml:space="preserve">statal </w:t>
            </w:r>
            <w:r w:rsidR="009436F6">
              <w:rPr>
                <w:i/>
              </w:rPr>
              <w:t xml:space="preserve">dio </w:t>
            </w:r>
            <w:r w:rsidR="00BA6B1D" w:rsidRPr="00D31DFE">
              <w:rPr>
                <w:i/>
              </w:rPr>
              <w:t xml:space="preserve">rentabilidad </w:t>
            </w:r>
            <w:r w:rsidR="009436F6">
              <w:rPr>
                <w:i/>
              </w:rPr>
              <w:t>a</w:t>
            </w:r>
            <w:r w:rsidR="00BA6B1D" w:rsidRPr="00D31DFE">
              <w:rPr>
                <w:i/>
              </w:rPr>
              <w:t xml:space="preserve"> las empresas estatales</w:t>
            </w:r>
            <w:r w:rsidR="00BF790C">
              <w:rPr>
                <w:i/>
              </w:rPr>
              <w:t>,</w:t>
            </w:r>
            <w:r w:rsidR="00BA6B1D" w:rsidRPr="00D31DFE">
              <w:rPr>
                <w:i/>
              </w:rPr>
              <w:t xml:space="preserve"> pero también el desarrollo y explotación de los recursos propios es algo que debe estar en agenda en términos del desarrollo del país y sobre todo pa</w:t>
            </w:r>
            <w:r>
              <w:rPr>
                <w:i/>
              </w:rPr>
              <w:t>ra poder gestionar ingresos al estado que n</w:t>
            </w:r>
            <w:r w:rsidR="00BA6B1D" w:rsidRPr="00D31DFE">
              <w:rPr>
                <w:i/>
              </w:rPr>
              <w:t xml:space="preserve">o necesariamente vengan por impuestos directos o indirectos </w:t>
            </w:r>
            <w:r w:rsidRPr="00D31DFE">
              <w:rPr>
                <w:i/>
              </w:rPr>
              <w:t>sino</w:t>
            </w:r>
            <w:r w:rsidR="00BA6B1D" w:rsidRPr="00D31DFE">
              <w:rPr>
                <w:i/>
              </w:rPr>
              <w:t xml:space="preserve"> más bien la explotación de la gestión patrimonial, ahí vemos y por eso </w:t>
            </w:r>
            <w:r w:rsidR="00BF790C">
              <w:rPr>
                <w:i/>
              </w:rPr>
              <w:t>se</w:t>
            </w:r>
            <w:r w:rsidR="00BA6B1D" w:rsidRPr="00D31DFE">
              <w:rPr>
                <w:i/>
              </w:rPr>
              <w:t xml:space="preserve"> hace mucho hincapié en el fortalecimiento que va a </w:t>
            </w:r>
            <w:r>
              <w:rPr>
                <w:i/>
              </w:rPr>
              <w:t xml:space="preserve">requerir Ministerio Energía y Minas. </w:t>
            </w:r>
          </w:p>
          <w:p w:rsidR="00EB40F8" w:rsidRDefault="009C5914" w:rsidP="00BF790C">
            <w:pPr>
              <w:pStyle w:val="Prrafodelista"/>
              <w:ind w:left="0"/>
              <w:jc w:val="both"/>
            </w:pPr>
            <w:r>
              <w:rPr>
                <w:i/>
              </w:rPr>
              <w:t>V</w:t>
            </w:r>
            <w:r w:rsidR="00BA6B1D" w:rsidRPr="00D31DFE">
              <w:rPr>
                <w:i/>
              </w:rPr>
              <w:t xml:space="preserve">emos una oportunidad fuerte de poder dejar herramientas que generen esas tasas </w:t>
            </w:r>
            <w:r w:rsidR="00BF790C">
              <w:rPr>
                <w:i/>
              </w:rPr>
              <w:t>y también oportunidades</w:t>
            </w:r>
            <w:r w:rsidR="00BA6B1D" w:rsidRPr="00D31DFE">
              <w:rPr>
                <w:i/>
              </w:rPr>
              <w:t xml:space="preserve"> para los inversionistas</w:t>
            </w:r>
            <w:r>
              <w:rPr>
                <w:i/>
              </w:rPr>
              <w:t>,</w:t>
            </w:r>
            <w:r w:rsidR="00BA6B1D" w:rsidRPr="00D31DFE">
              <w:rPr>
                <w:i/>
              </w:rPr>
              <w:t xml:space="preserve"> para que puedan venir a instalar el país que con las herramientas debidas puedan también algún caso también mitigar externalidades que van a generar esos proyectos y que se tengan los procesos o consultas permanentes para que se pueda ir monitoreando en el cas</w:t>
            </w:r>
            <w:r>
              <w:rPr>
                <w:i/>
              </w:rPr>
              <w:t>o que explicaba el señor M</w:t>
            </w:r>
            <w:r w:rsidR="00BA6B1D" w:rsidRPr="00D31DFE">
              <w:rPr>
                <w:i/>
              </w:rPr>
              <w:t>inistro de la explotación minera que está dejando el país es una explotación minera que está monitoreada por el Ministerio no es algo que deja de operar y ya no se le da monitoreo sino que es un proceso de mediano plazo donde se da y tambié</w:t>
            </w:r>
            <w:r>
              <w:rPr>
                <w:i/>
              </w:rPr>
              <w:t>n desde el incorporar entonces s</w:t>
            </w:r>
            <w:r w:rsidR="00BA6B1D" w:rsidRPr="00D31DFE">
              <w:rPr>
                <w:i/>
              </w:rPr>
              <w:t>i vemos que existe esa oportunidad</w:t>
            </w:r>
            <w:r w:rsidR="0096783C">
              <w:rPr>
                <w:i/>
              </w:rPr>
              <w:t xml:space="preserve"> para generar ingresos al país</w:t>
            </w:r>
            <w:r>
              <w:rPr>
                <w:i/>
              </w:rPr>
              <w:t xml:space="preserve">. </w:t>
            </w:r>
            <w:r w:rsidR="00BA6B1D" w:rsidRPr="00D31DFE">
              <w:rPr>
                <w:i/>
              </w:rPr>
              <w:t xml:space="preserve"> </w:t>
            </w:r>
          </w:p>
        </w:tc>
      </w:tr>
    </w:tbl>
    <w:p w:rsidR="0093780D" w:rsidRDefault="0093780D" w:rsidP="00906836">
      <w:pPr>
        <w:jc w:val="center"/>
      </w:pPr>
    </w:p>
    <w:sectPr w:rsidR="0093780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FC" w:rsidRDefault="00272CFC" w:rsidP="00F34C28">
      <w:pPr>
        <w:spacing w:after="0" w:line="240" w:lineRule="auto"/>
      </w:pPr>
      <w:r>
        <w:separator/>
      </w:r>
    </w:p>
  </w:endnote>
  <w:endnote w:type="continuationSeparator" w:id="0">
    <w:p w:rsidR="00272CFC" w:rsidRDefault="00272CFC" w:rsidP="00F3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FC" w:rsidRDefault="00272CFC" w:rsidP="00F34C28">
      <w:pPr>
        <w:spacing w:after="0" w:line="240" w:lineRule="auto"/>
      </w:pPr>
      <w:r>
        <w:separator/>
      </w:r>
    </w:p>
  </w:footnote>
  <w:footnote w:type="continuationSeparator" w:id="0">
    <w:p w:rsidR="00272CFC" w:rsidRDefault="00272CFC" w:rsidP="00F3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28" w:rsidRDefault="00F34C28">
    <w:pPr>
      <w:pStyle w:val="Encabezado"/>
    </w:pPr>
    <w:r>
      <w:rPr>
        <w:noProof/>
        <w:lang w:eastAsia="es-GT"/>
      </w:rPr>
      <w:drawing>
        <wp:inline distT="0" distB="0" distL="0" distR="0" wp14:anchorId="353F5DC3" wp14:editId="3076400A">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F1489"/>
    <w:multiLevelType w:val="hybridMultilevel"/>
    <w:tmpl w:val="DF6483FE"/>
    <w:lvl w:ilvl="0" w:tplc="100A0001">
      <w:start w:val="1"/>
      <w:numFmt w:val="bullet"/>
      <w:lvlText w:val=""/>
      <w:lvlJc w:val="left"/>
      <w:pPr>
        <w:ind w:left="1004" w:hanging="360"/>
      </w:pPr>
      <w:rPr>
        <w:rFonts w:ascii="Symbol" w:hAnsi="Symbol" w:hint="default"/>
      </w:rPr>
    </w:lvl>
    <w:lvl w:ilvl="1" w:tplc="100A0003" w:tentative="1">
      <w:start w:val="1"/>
      <w:numFmt w:val="bullet"/>
      <w:lvlText w:val="o"/>
      <w:lvlJc w:val="left"/>
      <w:pPr>
        <w:ind w:left="1724" w:hanging="360"/>
      </w:pPr>
      <w:rPr>
        <w:rFonts w:ascii="Courier New" w:hAnsi="Courier New" w:cs="Courier New" w:hint="default"/>
      </w:rPr>
    </w:lvl>
    <w:lvl w:ilvl="2" w:tplc="100A0005" w:tentative="1">
      <w:start w:val="1"/>
      <w:numFmt w:val="bullet"/>
      <w:lvlText w:val=""/>
      <w:lvlJc w:val="left"/>
      <w:pPr>
        <w:ind w:left="2444" w:hanging="360"/>
      </w:pPr>
      <w:rPr>
        <w:rFonts w:ascii="Wingdings" w:hAnsi="Wingdings" w:hint="default"/>
      </w:rPr>
    </w:lvl>
    <w:lvl w:ilvl="3" w:tplc="100A0001" w:tentative="1">
      <w:start w:val="1"/>
      <w:numFmt w:val="bullet"/>
      <w:lvlText w:val=""/>
      <w:lvlJc w:val="left"/>
      <w:pPr>
        <w:ind w:left="3164" w:hanging="360"/>
      </w:pPr>
      <w:rPr>
        <w:rFonts w:ascii="Symbol" w:hAnsi="Symbol" w:hint="default"/>
      </w:rPr>
    </w:lvl>
    <w:lvl w:ilvl="4" w:tplc="100A0003" w:tentative="1">
      <w:start w:val="1"/>
      <w:numFmt w:val="bullet"/>
      <w:lvlText w:val="o"/>
      <w:lvlJc w:val="left"/>
      <w:pPr>
        <w:ind w:left="3884" w:hanging="360"/>
      </w:pPr>
      <w:rPr>
        <w:rFonts w:ascii="Courier New" w:hAnsi="Courier New" w:cs="Courier New" w:hint="default"/>
      </w:rPr>
    </w:lvl>
    <w:lvl w:ilvl="5" w:tplc="100A0005" w:tentative="1">
      <w:start w:val="1"/>
      <w:numFmt w:val="bullet"/>
      <w:lvlText w:val=""/>
      <w:lvlJc w:val="left"/>
      <w:pPr>
        <w:ind w:left="4604" w:hanging="360"/>
      </w:pPr>
      <w:rPr>
        <w:rFonts w:ascii="Wingdings" w:hAnsi="Wingdings" w:hint="default"/>
      </w:rPr>
    </w:lvl>
    <w:lvl w:ilvl="6" w:tplc="100A0001" w:tentative="1">
      <w:start w:val="1"/>
      <w:numFmt w:val="bullet"/>
      <w:lvlText w:val=""/>
      <w:lvlJc w:val="left"/>
      <w:pPr>
        <w:ind w:left="5324" w:hanging="360"/>
      </w:pPr>
      <w:rPr>
        <w:rFonts w:ascii="Symbol" w:hAnsi="Symbol" w:hint="default"/>
      </w:rPr>
    </w:lvl>
    <w:lvl w:ilvl="7" w:tplc="100A0003" w:tentative="1">
      <w:start w:val="1"/>
      <w:numFmt w:val="bullet"/>
      <w:lvlText w:val="o"/>
      <w:lvlJc w:val="left"/>
      <w:pPr>
        <w:ind w:left="6044" w:hanging="360"/>
      </w:pPr>
      <w:rPr>
        <w:rFonts w:ascii="Courier New" w:hAnsi="Courier New" w:cs="Courier New" w:hint="default"/>
      </w:rPr>
    </w:lvl>
    <w:lvl w:ilvl="8" w:tplc="100A0005" w:tentative="1">
      <w:start w:val="1"/>
      <w:numFmt w:val="bullet"/>
      <w:lvlText w:val=""/>
      <w:lvlJc w:val="left"/>
      <w:pPr>
        <w:ind w:left="6764" w:hanging="360"/>
      </w:pPr>
      <w:rPr>
        <w:rFonts w:ascii="Wingdings" w:hAnsi="Wingdings" w:hint="default"/>
      </w:rPr>
    </w:lvl>
  </w:abstractNum>
  <w:abstractNum w:abstractNumId="4"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E70F43"/>
    <w:multiLevelType w:val="hybridMultilevel"/>
    <w:tmpl w:val="5268BA36"/>
    <w:lvl w:ilvl="0" w:tplc="D2709BBE">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2"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E636202"/>
    <w:multiLevelType w:val="hybridMultilevel"/>
    <w:tmpl w:val="155AA02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6"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8"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15"/>
  </w:num>
  <w:num w:numId="4">
    <w:abstractNumId w:val="10"/>
  </w:num>
  <w:num w:numId="5">
    <w:abstractNumId w:val="8"/>
  </w:num>
  <w:num w:numId="6">
    <w:abstractNumId w:val="2"/>
  </w:num>
  <w:num w:numId="7">
    <w:abstractNumId w:val="21"/>
  </w:num>
  <w:num w:numId="8">
    <w:abstractNumId w:val="16"/>
  </w:num>
  <w:num w:numId="9">
    <w:abstractNumId w:val="1"/>
  </w:num>
  <w:num w:numId="10">
    <w:abstractNumId w:val="4"/>
  </w:num>
  <w:num w:numId="11">
    <w:abstractNumId w:val="6"/>
  </w:num>
  <w:num w:numId="12">
    <w:abstractNumId w:val="19"/>
  </w:num>
  <w:num w:numId="13">
    <w:abstractNumId w:val="5"/>
  </w:num>
  <w:num w:numId="14">
    <w:abstractNumId w:val="18"/>
  </w:num>
  <w:num w:numId="15">
    <w:abstractNumId w:val="12"/>
  </w:num>
  <w:num w:numId="16">
    <w:abstractNumId w:val="20"/>
  </w:num>
  <w:num w:numId="17">
    <w:abstractNumId w:val="14"/>
  </w:num>
  <w:num w:numId="18">
    <w:abstractNumId w:val="11"/>
  </w:num>
  <w:num w:numId="19">
    <w:abstractNumId w:val="17"/>
  </w:num>
  <w:num w:numId="20">
    <w:abstractNumId w:val="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67C9"/>
    <w:rsid w:val="00026352"/>
    <w:rsid w:val="0006296D"/>
    <w:rsid w:val="00077A54"/>
    <w:rsid w:val="00083E62"/>
    <w:rsid w:val="00085CCD"/>
    <w:rsid w:val="000911CB"/>
    <w:rsid w:val="00091219"/>
    <w:rsid w:val="000E040D"/>
    <w:rsid w:val="000E3161"/>
    <w:rsid w:val="000F31CE"/>
    <w:rsid w:val="000F7026"/>
    <w:rsid w:val="00100347"/>
    <w:rsid w:val="00102EC7"/>
    <w:rsid w:val="001037DB"/>
    <w:rsid w:val="00114000"/>
    <w:rsid w:val="001310C0"/>
    <w:rsid w:val="00133F9C"/>
    <w:rsid w:val="0013525E"/>
    <w:rsid w:val="0015670C"/>
    <w:rsid w:val="00193825"/>
    <w:rsid w:val="001943E8"/>
    <w:rsid w:val="001E7CC0"/>
    <w:rsid w:val="002048D4"/>
    <w:rsid w:val="00207041"/>
    <w:rsid w:val="0022326E"/>
    <w:rsid w:val="00225BCD"/>
    <w:rsid w:val="0023352A"/>
    <w:rsid w:val="00235DBE"/>
    <w:rsid w:val="0025386F"/>
    <w:rsid w:val="00254A75"/>
    <w:rsid w:val="00272CFC"/>
    <w:rsid w:val="0028336B"/>
    <w:rsid w:val="0029279C"/>
    <w:rsid w:val="002A1871"/>
    <w:rsid w:val="002A36D8"/>
    <w:rsid w:val="002A4C99"/>
    <w:rsid w:val="002A78C2"/>
    <w:rsid w:val="002C103F"/>
    <w:rsid w:val="002E43D9"/>
    <w:rsid w:val="002F0205"/>
    <w:rsid w:val="002F5AE0"/>
    <w:rsid w:val="003040EB"/>
    <w:rsid w:val="00316D7E"/>
    <w:rsid w:val="00322787"/>
    <w:rsid w:val="0033105E"/>
    <w:rsid w:val="00343118"/>
    <w:rsid w:val="00357915"/>
    <w:rsid w:val="00371048"/>
    <w:rsid w:val="003750B8"/>
    <w:rsid w:val="003921E7"/>
    <w:rsid w:val="0039666C"/>
    <w:rsid w:val="003B103C"/>
    <w:rsid w:val="003B7776"/>
    <w:rsid w:val="003C233E"/>
    <w:rsid w:val="003C6F50"/>
    <w:rsid w:val="003D158E"/>
    <w:rsid w:val="003D2E02"/>
    <w:rsid w:val="003D74E4"/>
    <w:rsid w:val="003E1512"/>
    <w:rsid w:val="003E3239"/>
    <w:rsid w:val="003E5615"/>
    <w:rsid w:val="003E6549"/>
    <w:rsid w:val="003E6C78"/>
    <w:rsid w:val="003F3101"/>
    <w:rsid w:val="00413155"/>
    <w:rsid w:val="004302BF"/>
    <w:rsid w:val="0043095E"/>
    <w:rsid w:val="00456F10"/>
    <w:rsid w:val="00460D04"/>
    <w:rsid w:val="004A4DDC"/>
    <w:rsid w:val="004B37C1"/>
    <w:rsid w:val="004B3AF7"/>
    <w:rsid w:val="004C6DE1"/>
    <w:rsid w:val="004D3F76"/>
    <w:rsid w:val="004D48DA"/>
    <w:rsid w:val="004D5952"/>
    <w:rsid w:val="004D677A"/>
    <w:rsid w:val="004D7798"/>
    <w:rsid w:val="004E1EAA"/>
    <w:rsid w:val="0050297F"/>
    <w:rsid w:val="00505488"/>
    <w:rsid w:val="005057C4"/>
    <w:rsid w:val="005348BD"/>
    <w:rsid w:val="00545E1B"/>
    <w:rsid w:val="00557DCC"/>
    <w:rsid w:val="005610B6"/>
    <w:rsid w:val="005633FF"/>
    <w:rsid w:val="005A12B0"/>
    <w:rsid w:val="005A4B4B"/>
    <w:rsid w:val="005B52DB"/>
    <w:rsid w:val="005B6BF4"/>
    <w:rsid w:val="005C114D"/>
    <w:rsid w:val="005C4A01"/>
    <w:rsid w:val="005D1E6B"/>
    <w:rsid w:val="005F2605"/>
    <w:rsid w:val="006056A1"/>
    <w:rsid w:val="006113FE"/>
    <w:rsid w:val="0062340A"/>
    <w:rsid w:val="00623AF1"/>
    <w:rsid w:val="006325A0"/>
    <w:rsid w:val="00632E2E"/>
    <w:rsid w:val="00641DA5"/>
    <w:rsid w:val="00667B61"/>
    <w:rsid w:val="00675863"/>
    <w:rsid w:val="00684251"/>
    <w:rsid w:val="006A52D1"/>
    <w:rsid w:val="006C128C"/>
    <w:rsid w:val="006C7421"/>
    <w:rsid w:val="006D43F3"/>
    <w:rsid w:val="007012C5"/>
    <w:rsid w:val="00701E69"/>
    <w:rsid w:val="00702871"/>
    <w:rsid w:val="007048B6"/>
    <w:rsid w:val="0072590A"/>
    <w:rsid w:val="00746C49"/>
    <w:rsid w:val="00746F52"/>
    <w:rsid w:val="0075044F"/>
    <w:rsid w:val="007615CA"/>
    <w:rsid w:val="0076184B"/>
    <w:rsid w:val="00767517"/>
    <w:rsid w:val="0077525B"/>
    <w:rsid w:val="007A794A"/>
    <w:rsid w:val="007B736B"/>
    <w:rsid w:val="007C10F4"/>
    <w:rsid w:val="007C34DE"/>
    <w:rsid w:val="007C64EB"/>
    <w:rsid w:val="007E28A4"/>
    <w:rsid w:val="007F23BE"/>
    <w:rsid w:val="007F3B0E"/>
    <w:rsid w:val="007F7F20"/>
    <w:rsid w:val="008029A8"/>
    <w:rsid w:val="008178C3"/>
    <w:rsid w:val="00847225"/>
    <w:rsid w:val="0085279A"/>
    <w:rsid w:val="00873E8C"/>
    <w:rsid w:val="00892906"/>
    <w:rsid w:val="008A6259"/>
    <w:rsid w:val="008C2E3C"/>
    <w:rsid w:val="008D07FE"/>
    <w:rsid w:val="008E309A"/>
    <w:rsid w:val="008F1AA9"/>
    <w:rsid w:val="008F5F11"/>
    <w:rsid w:val="009002C0"/>
    <w:rsid w:val="009045B7"/>
    <w:rsid w:val="00906836"/>
    <w:rsid w:val="009210F4"/>
    <w:rsid w:val="009316AF"/>
    <w:rsid w:val="0093780D"/>
    <w:rsid w:val="009436F6"/>
    <w:rsid w:val="00946752"/>
    <w:rsid w:val="00955A0C"/>
    <w:rsid w:val="0096783C"/>
    <w:rsid w:val="009C0F16"/>
    <w:rsid w:val="009C5914"/>
    <w:rsid w:val="009D77D7"/>
    <w:rsid w:val="009E3AF8"/>
    <w:rsid w:val="009E72C7"/>
    <w:rsid w:val="00A05FD8"/>
    <w:rsid w:val="00A16688"/>
    <w:rsid w:val="00A20FAF"/>
    <w:rsid w:val="00A4384E"/>
    <w:rsid w:val="00A53CE1"/>
    <w:rsid w:val="00A62597"/>
    <w:rsid w:val="00A8115D"/>
    <w:rsid w:val="00A83910"/>
    <w:rsid w:val="00AD015A"/>
    <w:rsid w:val="00AD051C"/>
    <w:rsid w:val="00AD7F10"/>
    <w:rsid w:val="00AE0F84"/>
    <w:rsid w:val="00B12672"/>
    <w:rsid w:val="00B141B9"/>
    <w:rsid w:val="00B157D0"/>
    <w:rsid w:val="00B16136"/>
    <w:rsid w:val="00B45B4F"/>
    <w:rsid w:val="00B66EDB"/>
    <w:rsid w:val="00B72D5A"/>
    <w:rsid w:val="00BA6B1D"/>
    <w:rsid w:val="00BB7996"/>
    <w:rsid w:val="00BC576A"/>
    <w:rsid w:val="00BD5651"/>
    <w:rsid w:val="00BF790C"/>
    <w:rsid w:val="00C00F64"/>
    <w:rsid w:val="00C54BD4"/>
    <w:rsid w:val="00C66669"/>
    <w:rsid w:val="00C671E3"/>
    <w:rsid w:val="00C92466"/>
    <w:rsid w:val="00CA4C76"/>
    <w:rsid w:val="00CD2838"/>
    <w:rsid w:val="00CD2B7D"/>
    <w:rsid w:val="00CD4DE4"/>
    <w:rsid w:val="00CE622A"/>
    <w:rsid w:val="00CF6C1A"/>
    <w:rsid w:val="00D00B5B"/>
    <w:rsid w:val="00D06BA1"/>
    <w:rsid w:val="00D12064"/>
    <w:rsid w:val="00D21A00"/>
    <w:rsid w:val="00D235E8"/>
    <w:rsid w:val="00D26FF9"/>
    <w:rsid w:val="00D30D8E"/>
    <w:rsid w:val="00D31DFE"/>
    <w:rsid w:val="00D42C50"/>
    <w:rsid w:val="00D5016C"/>
    <w:rsid w:val="00D92828"/>
    <w:rsid w:val="00DA53D6"/>
    <w:rsid w:val="00DB2356"/>
    <w:rsid w:val="00DC4BCC"/>
    <w:rsid w:val="00DC55A0"/>
    <w:rsid w:val="00DE130B"/>
    <w:rsid w:val="00DE3671"/>
    <w:rsid w:val="00DF3F43"/>
    <w:rsid w:val="00E043D8"/>
    <w:rsid w:val="00E13B82"/>
    <w:rsid w:val="00E30613"/>
    <w:rsid w:val="00E327E7"/>
    <w:rsid w:val="00E4099C"/>
    <w:rsid w:val="00E61EAA"/>
    <w:rsid w:val="00E72C50"/>
    <w:rsid w:val="00E82FD8"/>
    <w:rsid w:val="00E830FD"/>
    <w:rsid w:val="00E870B9"/>
    <w:rsid w:val="00E94F3B"/>
    <w:rsid w:val="00E95B19"/>
    <w:rsid w:val="00EB40F8"/>
    <w:rsid w:val="00EB7C06"/>
    <w:rsid w:val="00EC4DFA"/>
    <w:rsid w:val="00EC6078"/>
    <w:rsid w:val="00ED6583"/>
    <w:rsid w:val="00ED74A7"/>
    <w:rsid w:val="00EF681D"/>
    <w:rsid w:val="00EF7E45"/>
    <w:rsid w:val="00F00E2C"/>
    <w:rsid w:val="00F01FAB"/>
    <w:rsid w:val="00F13B75"/>
    <w:rsid w:val="00F14A36"/>
    <w:rsid w:val="00F16E12"/>
    <w:rsid w:val="00F2476B"/>
    <w:rsid w:val="00F267F8"/>
    <w:rsid w:val="00F34BBF"/>
    <w:rsid w:val="00F34C28"/>
    <w:rsid w:val="00F433DF"/>
    <w:rsid w:val="00F95A93"/>
    <w:rsid w:val="00FB1F8D"/>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8575F-4468-4EF0-AB37-906931B4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F34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C28"/>
  </w:style>
  <w:style w:type="paragraph" w:styleId="Piedepgina">
    <w:name w:val="footer"/>
    <w:basedOn w:val="Normal"/>
    <w:link w:val="PiedepginaCar"/>
    <w:uiPriority w:val="99"/>
    <w:unhideWhenUsed/>
    <w:rsid w:val="00F34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04615030">
      <w:bodyDiv w:val="1"/>
      <w:marLeft w:val="0"/>
      <w:marRight w:val="0"/>
      <w:marTop w:val="0"/>
      <w:marBottom w:val="0"/>
      <w:divBdr>
        <w:top w:val="none" w:sz="0" w:space="0" w:color="auto"/>
        <w:left w:val="none" w:sz="0" w:space="0" w:color="auto"/>
        <w:bottom w:val="none" w:sz="0" w:space="0" w:color="auto"/>
        <w:right w:val="none" w:sz="0" w:space="0" w:color="auto"/>
      </w:divBdr>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364015722">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273975973">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534535347">
      <w:bodyDiv w:val="1"/>
      <w:marLeft w:val="0"/>
      <w:marRight w:val="0"/>
      <w:marTop w:val="0"/>
      <w:marBottom w:val="0"/>
      <w:divBdr>
        <w:top w:val="none" w:sz="0" w:space="0" w:color="auto"/>
        <w:left w:val="none" w:sz="0" w:space="0" w:color="auto"/>
        <w:bottom w:val="none" w:sz="0" w:space="0" w:color="auto"/>
        <w:right w:val="none" w:sz="0" w:space="0" w:color="auto"/>
      </w:divBdr>
    </w:div>
    <w:div w:id="1702585525">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ENERGÍA Y MINAS</a:t>
            </a:r>
            <a:endParaRPr lang="en-US"/>
          </a:p>
        </c:rich>
      </c:tx>
      <c:overlay val="0"/>
    </c:title>
    <c:autoTitleDeleted val="0"/>
    <c:plotArea>
      <c:layout/>
      <c:barChart>
        <c:barDir val="col"/>
        <c:grouping val="clustered"/>
        <c:varyColors val="0"/>
        <c:ser>
          <c:idx val="0"/>
          <c:order val="0"/>
          <c:tx>
            <c:strRef>
              <c:f>MEM!$D$9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MEM!$B$3:$G$3</c:f>
              <c:strCache>
                <c:ptCount val="6"/>
                <c:pt idx="0">
                  <c:v>Prespuesto  aprobado 2017</c:v>
                </c:pt>
                <c:pt idx="1">
                  <c:v>Solicitado 2018</c:v>
                </c:pt>
                <c:pt idx="2">
                  <c:v>Solicitado 2019</c:v>
                </c:pt>
                <c:pt idx="3">
                  <c:v>Solicitado 2020</c:v>
                </c:pt>
                <c:pt idx="4">
                  <c:v>Solicitado 2021</c:v>
                </c:pt>
                <c:pt idx="5">
                  <c:v>Solicitado 2022</c:v>
                </c:pt>
              </c:strCache>
            </c:strRef>
          </c:cat>
          <c:val>
            <c:numRef>
              <c:f>MEM!$B$4:$G$4</c:f>
              <c:numCache>
                <c:formatCode>_("Q"* #,##0_);_("Q"* \(#,##0\);_("Q"* "-"??_);_(@_)</c:formatCode>
                <c:ptCount val="6"/>
                <c:pt idx="0">
                  <c:v>80807100</c:v>
                </c:pt>
                <c:pt idx="1">
                  <c:v>135338347.61000001</c:v>
                </c:pt>
                <c:pt idx="2">
                  <c:v>126737042.18000001</c:v>
                </c:pt>
                <c:pt idx="3">
                  <c:v>128271079.89</c:v>
                </c:pt>
                <c:pt idx="4">
                  <c:v>131985500.48</c:v>
                </c:pt>
                <c:pt idx="5">
                  <c:v>135077645.91999999</c:v>
                </c:pt>
              </c:numCache>
            </c:numRef>
          </c:val>
          <c:extLst>
            <c:ext xmlns:c16="http://schemas.microsoft.com/office/drawing/2014/chart" uri="{C3380CC4-5D6E-409C-BE32-E72D297353CC}">
              <c16:uniqueId val="{00000000-0FB4-4FAC-A8A6-C3C50073908C}"/>
            </c:ext>
          </c:extLst>
        </c:ser>
        <c:dLbls>
          <c:showLegendKey val="0"/>
          <c:showVal val="0"/>
          <c:showCatName val="0"/>
          <c:showSerName val="0"/>
          <c:showPercent val="0"/>
          <c:showBubbleSize val="0"/>
        </c:dLbls>
        <c:gapWidth val="75"/>
        <c:overlap val="-25"/>
        <c:axId val="128692224"/>
        <c:axId val="128693760"/>
      </c:barChart>
      <c:catAx>
        <c:axId val="128692224"/>
        <c:scaling>
          <c:orientation val="minMax"/>
        </c:scaling>
        <c:delete val="0"/>
        <c:axPos val="b"/>
        <c:numFmt formatCode="General" sourceLinked="0"/>
        <c:majorTickMark val="none"/>
        <c:minorTickMark val="none"/>
        <c:tickLblPos val="nextTo"/>
        <c:crossAx val="128693760"/>
        <c:crosses val="autoZero"/>
        <c:auto val="1"/>
        <c:lblAlgn val="ctr"/>
        <c:lblOffset val="100"/>
        <c:noMultiLvlLbl val="0"/>
      </c:catAx>
      <c:valAx>
        <c:axId val="128693760"/>
        <c:scaling>
          <c:orientation val="minMax"/>
        </c:scaling>
        <c:delete val="0"/>
        <c:axPos val="l"/>
        <c:majorGridlines/>
        <c:numFmt formatCode="_(&quot;Q&quot;* #,##0_);_(&quot;Q&quot;* \(#,##0\);_(&quot;Q&quot;* &quot;-&quot;??_);_(@_)" sourceLinked="1"/>
        <c:majorTickMark val="none"/>
        <c:minorTickMark val="none"/>
        <c:tickLblPos val="nextTo"/>
        <c:spPr>
          <a:ln w="9525">
            <a:noFill/>
          </a:ln>
        </c:spPr>
        <c:crossAx val="1286922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D05F-670D-465E-B355-553F092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2600</Words>
  <Characters>14303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2017-06-26T15:14:00Z</dcterms:created>
  <dcterms:modified xsi:type="dcterms:W3CDTF">2017-06-26T15:14:00Z</dcterms:modified>
</cp:coreProperties>
</file>