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DF" w:rsidRDefault="00D766B4">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A62394" w:rsidRPr="00A62394">
        <w:rPr>
          <w:rFonts w:ascii="Times New Roman" w:hAnsi="Times New Roman" w:cs="Times New Roman"/>
          <w:noProof/>
          <w:sz w:val="24"/>
          <w:szCs w:val="24"/>
          <w:lang w:eastAsia="es-ES"/>
        </w:rPr>
        <w:drawing>
          <wp:inline distT="0" distB="0" distL="0" distR="0">
            <wp:extent cx="1483746" cy="1296062"/>
            <wp:effectExtent l="19050" t="0" r="2154" b="0"/>
            <wp:docPr id="1" name="Imagen 1"/>
            <wp:cNvGraphicFramePr/>
            <a:graphic xmlns:a="http://schemas.openxmlformats.org/drawingml/2006/main">
              <a:graphicData uri="http://schemas.openxmlformats.org/drawingml/2006/picture">
                <pic:pic xmlns:pic="http://schemas.openxmlformats.org/drawingml/2006/picture">
                  <pic:nvPicPr>
                    <pic:cNvPr id="11" name="10 Imagen"/>
                    <pic:cNvPicPr/>
                  </pic:nvPicPr>
                  <pic:blipFill>
                    <a:blip r:embed="rId8" cstate="print"/>
                    <a:srcRect/>
                    <a:stretch>
                      <a:fillRect/>
                    </a:stretch>
                  </pic:blipFill>
                  <pic:spPr bwMode="auto">
                    <a:xfrm>
                      <a:off x="0" y="0"/>
                      <a:ext cx="1484750" cy="1296939"/>
                    </a:xfrm>
                    <a:prstGeom prst="rect">
                      <a:avLst/>
                    </a:prstGeom>
                    <a:noFill/>
                    <a:ln w="9525">
                      <a:noFill/>
                      <a:miter lim="800000"/>
                      <a:headEnd/>
                      <a:tailEnd/>
                    </a:ln>
                  </pic:spPr>
                </pic:pic>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Pr="00C337CF" w:rsidRDefault="00AC7823" w:rsidP="00AC7823">
      <w:pPr>
        <w:jc w:val="center"/>
        <w:rPr>
          <w:rFonts w:ascii="Tahoma" w:hAnsi="Tahoma" w:cs="Tahoma"/>
          <w:b/>
          <w:color w:val="548DD4" w:themeColor="text2" w:themeTint="99"/>
          <w:sz w:val="40"/>
          <w:szCs w:val="32"/>
          <w:lang w:val="es-MX"/>
        </w:rPr>
      </w:pPr>
      <w:r w:rsidRPr="00C337CF">
        <w:rPr>
          <w:rFonts w:ascii="Tahoma" w:hAnsi="Tahoma" w:cs="Tahoma"/>
          <w:b/>
          <w:color w:val="548DD4" w:themeColor="text2" w:themeTint="99"/>
          <w:sz w:val="40"/>
          <w:szCs w:val="32"/>
          <w:lang w:val="es-MX"/>
        </w:rPr>
        <w:t>Anexo “A”</w:t>
      </w:r>
    </w:p>
    <w:p w:rsidR="00820CDF" w:rsidRPr="00F33626" w:rsidRDefault="00926195" w:rsidP="00820CDF">
      <w:pPr>
        <w:spacing w:line="240" w:lineRule="auto"/>
        <w:jc w:val="both"/>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extent cx="5400040" cy="3150235"/>
            <wp:effectExtent l="76200" t="38100" r="48260" b="1206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extent cx="5400040" cy="1362075"/>
            <wp:effectExtent l="76200" t="0" r="482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0CDF" w:rsidRDefault="00820CDF">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EA4B93" w:rsidRPr="00674F69" w:rsidRDefault="00EA4B93" w:rsidP="002C2894">
      <w:pPr>
        <w:spacing w:line="240" w:lineRule="auto"/>
        <w:jc w:val="both"/>
        <w:rPr>
          <w:rFonts w:ascii="Times New Roman" w:hAnsi="Times New Roman" w:cs="Times New Roman"/>
          <w:b/>
          <w:sz w:val="28"/>
          <w:szCs w:val="28"/>
          <w:lang w:val="es-MX"/>
        </w:rPr>
      </w:pPr>
    </w:p>
    <w:p w:rsidR="004A0185" w:rsidRPr="00BC6DF9" w:rsidRDefault="00EA4B93" w:rsidP="00EA4B93">
      <w:pPr>
        <w:spacing w:after="0" w:line="240" w:lineRule="auto"/>
        <w:jc w:val="center"/>
        <w:rPr>
          <w:rFonts w:ascii="Tahoma" w:hAnsi="Tahoma" w:cs="Tahoma"/>
          <w:b/>
          <w:sz w:val="28"/>
          <w:szCs w:val="28"/>
          <w:lang w:val="es-MX"/>
        </w:rPr>
      </w:pPr>
      <w:r w:rsidRPr="00BC6DF9">
        <w:rPr>
          <w:rFonts w:ascii="Tahoma" w:hAnsi="Tahoma" w:cs="Tahoma"/>
          <w:b/>
          <w:sz w:val="28"/>
          <w:szCs w:val="28"/>
          <w:lang w:val="es-MX"/>
        </w:rPr>
        <w:t xml:space="preserve">Artículo 32 Bis </w:t>
      </w:r>
      <w:r w:rsidR="001F18CE" w:rsidRPr="00BC6DF9">
        <w:rPr>
          <w:rFonts w:ascii="Tahoma" w:hAnsi="Tahoma" w:cs="Tahoma"/>
          <w:b/>
          <w:sz w:val="28"/>
          <w:szCs w:val="28"/>
          <w:lang w:val="es-MX"/>
        </w:rPr>
        <w:t>del Decreto No. 101-97,</w:t>
      </w:r>
    </w:p>
    <w:p w:rsidR="00EA4B93" w:rsidRPr="00CD7085" w:rsidRDefault="00EA4B93" w:rsidP="00EA4B93">
      <w:pPr>
        <w:spacing w:after="0" w:line="240" w:lineRule="auto"/>
        <w:jc w:val="center"/>
        <w:rPr>
          <w:rFonts w:cs="Times New Roman"/>
          <w:b/>
          <w:sz w:val="28"/>
          <w:szCs w:val="28"/>
          <w:lang w:val="es-MX"/>
        </w:rPr>
      </w:pPr>
      <w:r w:rsidRPr="00BC6DF9">
        <w:rPr>
          <w:rFonts w:ascii="Tahoma" w:hAnsi="Tahoma" w:cs="Tahoma"/>
          <w:b/>
          <w:sz w:val="28"/>
          <w:szCs w:val="28"/>
          <w:lang w:val="es-MX"/>
        </w:rPr>
        <w:t>Ley Orgánica del Presupuesto</w:t>
      </w:r>
      <w:r w:rsidR="001F18CE" w:rsidRPr="00CD7085">
        <w:rPr>
          <w:rStyle w:val="Refdenotaalpie"/>
          <w:rFonts w:cs="Tahoma"/>
          <w:b/>
          <w:sz w:val="28"/>
          <w:szCs w:val="28"/>
          <w:lang w:val="es-MX"/>
        </w:rPr>
        <w:footnoteReference w:id="1"/>
      </w:r>
    </w:p>
    <w:p w:rsidR="004A0185" w:rsidRPr="00BC6DF9" w:rsidRDefault="004A0185" w:rsidP="00EA4B93">
      <w:pPr>
        <w:spacing w:after="0" w:line="240" w:lineRule="auto"/>
        <w:jc w:val="center"/>
        <w:rPr>
          <w:rFonts w:cs="Tahoma"/>
          <w:b/>
          <w:sz w:val="28"/>
          <w:szCs w:val="28"/>
          <w:lang w:val="es-MX"/>
        </w:rPr>
      </w:pPr>
    </w:p>
    <w:p w:rsidR="00E724BC" w:rsidRPr="00BC6DF9" w:rsidRDefault="00E724BC" w:rsidP="003E3173">
      <w:pPr>
        <w:jc w:val="both"/>
        <w:rPr>
          <w:rFonts w:cs="Tahoma"/>
          <w:sz w:val="24"/>
          <w:szCs w:val="24"/>
        </w:rPr>
      </w:pPr>
      <w:r w:rsidRPr="00380048">
        <w:rPr>
          <w:rFonts w:cs="Tahoma"/>
          <w:b/>
          <w:sz w:val="28"/>
          <w:szCs w:val="24"/>
        </w:rPr>
        <w:t>Artículo 32 Bis</w:t>
      </w:r>
      <w:r w:rsidRPr="00BC6DF9">
        <w:rPr>
          <w:rFonts w:cs="Tahoma"/>
          <w:b/>
          <w:sz w:val="24"/>
          <w:szCs w:val="24"/>
        </w:rPr>
        <w:t>. Información de entidades Receptoras de Transferencias</w:t>
      </w:r>
      <w:r w:rsidRPr="00BC6DF9">
        <w:rPr>
          <w:rFonts w:cs="Tahoma"/>
          <w:sz w:val="24"/>
          <w:szCs w:val="24"/>
        </w:rPr>
        <w:t xml:space="preserve">. </w:t>
      </w:r>
      <w:r w:rsidRPr="00BC6DF9">
        <w:rPr>
          <w:rFonts w:cs="Tahoma"/>
          <w:b/>
          <w:sz w:val="24"/>
          <w:szCs w:val="24"/>
          <w:u w:val="single"/>
        </w:rPr>
        <w:t>Los recursos públicos que se trasladen en calidad de aportes al sector privado y al sector externo</w:t>
      </w:r>
      <w:r w:rsidRPr="00BC6DF9">
        <w:rPr>
          <w:rFonts w:cs="Tahoma"/>
          <w:sz w:val="24"/>
          <w:szCs w:val="24"/>
        </w:rPr>
        <w:t>, se realizarán bajo responsabilidad de las entidades de la administración central, empresas públicas, entidades autónomas y descentralizadas otorgantes. Dichas entidades deberán registrar en el Sistema de Contabilidad Integrada (SICOIN), la información siguiente:</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Nombre o razón social, nombre del representante legal y Número de Identificación Tributaria (NIT);</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del convenio que ampara el traslado de recursos;</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Monto de la transferencia;</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Objetivos, metas e indicadores de resultados; y</w:t>
      </w:r>
    </w:p>
    <w:p w:rsidR="00E724BC"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 la resolución por medio de la cual se aprueba la programación y reprogramaciones.</w:t>
      </w:r>
    </w:p>
    <w:p w:rsidR="000D654E" w:rsidRPr="00BC6DF9" w:rsidRDefault="000D654E" w:rsidP="000D654E">
      <w:pPr>
        <w:pStyle w:val="Prrafodelista"/>
        <w:jc w:val="both"/>
        <w:rPr>
          <w:rFonts w:cs="Tahoma"/>
          <w:sz w:val="24"/>
          <w:szCs w:val="24"/>
          <w:lang w:val="es-ES"/>
        </w:rPr>
      </w:pPr>
    </w:p>
    <w:p w:rsidR="00E724BC" w:rsidRDefault="00E724BC" w:rsidP="000D654E">
      <w:pPr>
        <w:spacing w:after="0"/>
        <w:jc w:val="both"/>
        <w:rPr>
          <w:rFonts w:cs="Tahoma"/>
          <w:sz w:val="24"/>
          <w:szCs w:val="24"/>
        </w:rPr>
      </w:pPr>
      <w:r w:rsidRPr="00BC6DF9">
        <w:rPr>
          <w:rFonts w:cs="Tahoma"/>
          <w:sz w:val="24"/>
          <w:szCs w:val="24"/>
        </w:rPr>
        <w:t>La programación deberá registrarse a más tardar el treinta y uno (31) de enero del ejercicio fiscal en curso.</w:t>
      </w:r>
    </w:p>
    <w:p w:rsidR="000D654E" w:rsidRDefault="000D654E" w:rsidP="000D654E">
      <w:pPr>
        <w:spacing w:after="0"/>
        <w:jc w:val="both"/>
        <w:rPr>
          <w:rFonts w:cs="Tahoma"/>
          <w:sz w:val="24"/>
          <w:szCs w:val="24"/>
        </w:rPr>
      </w:pPr>
    </w:p>
    <w:p w:rsidR="00BC6DF9" w:rsidRDefault="00E724BC" w:rsidP="000D654E">
      <w:pPr>
        <w:spacing w:after="0"/>
        <w:jc w:val="both"/>
        <w:rPr>
          <w:rFonts w:cs="Tahoma"/>
          <w:sz w:val="24"/>
          <w:szCs w:val="24"/>
        </w:rPr>
      </w:pPr>
      <w:r w:rsidRPr="00BC6DF9">
        <w:rPr>
          <w:rFonts w:cs="Tahoma"/>
          <w:sz w:val="24"/>
          <w:szCs w:val="24"/>
        </w:rPr>
        <w:t>Las reprogramaciones que surjan en la ejecución deben ser notificadas a la Dirección Técnica del Presupuesto del Ministerio de Finanzas Públicas, a</w:t>
      </w:r>
      <w:r w:rsidR="00EE19DB" w:rsidRPr="00BC6DF9">
        <w:rPr>
          <w:rFonts w:cs="Tahoma"/>
          <w:sz w:val="24"/>
          <w:szCs w:val="24"/>
        </w:rPr>
        <w:t>l</w:t>
      </w:r>
      <w:r w:rsidRPr="00BC6DF9">
        <w:rPr>
          <w:rFonts w:cs="Tahoma"/>
          <w:sz w:val="24"/>
          <w:szCs w:val="24"/>
        </w:rPr>
        <w:t xml:space="preserve"> Congreso de la República y a la Contraloría General de Cuentas dentro de los diez (10) días de haberse emitido la resolución que las autorizó.  </w:t>
      </w:r>
      <w:r w:rsidRPr="00BC6DF9">
        <w:rPr>
          <w:rFonts w:cs="Tahoma"/>
          <w:b/>
          <w:sz w:val="24"/>
          <w:szCs w:val="24"/>
          <w:u w:val="single"/>
        </w:rPr>
        <w:t>Asimismo, las entidades receptoras de fondos públicos deben presentar mensualmente a la Contraloría General de Cuentas, al Congreso de la República y al Ministerio de Finanzas Públicas, informes de avance físico y financiero de la ejecución de los recursos, así como de los objetivos, metas alcanzadas y población beneficiada, de acuerdo al formato establecido</w:t>
      </w:r>
      <w:r w:rsidR="002F6ECD">
        <w:rPr>
          <w:rFonts w:cs="Tahoma"/>
          <w:sz w:val="24"/>
          <w:szCs w:val="24"/>
        </w:rPr>
        <w:t>.</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sz w:val="24"/>
          <w:szCs w:val="24"/>
        </w:rPr>
        <w:t xml:space="preserve">Las operaciones con entidades receptoras de transferencias incluyen </w:t>
      </w:r>
      <w:r>
        <w:rPr>
          <w:rFonts w:cs="Tahoma"/>
          <w:sz w:val="24"/>
          <w:szCs w:val="24"/>
        </w:rPr>
        <w:t xml:space="preserve">los aportes de las Organizaciones de Padres de Familia –OPF-, Comités y Consejos </w:t>
      </w:r>
      <w:r w:rsidR="002C2894">
        <w:rPr>
          <w:rFonts w:cs="Tahoma"/>
          <w:sz w:val="24"/>
          <w:szCs w:val="24"/>
        </w:rPr>
        <w:t>Educativos</w:t>
      </w:r>
      <w:r>
        <w:rPr>
          <w:rFonts w:cs="Tahoma"/>
          <w:sz w:val="24"/>
          <w:szCs w:val="24"/>
        </w:rPr>
        <w:t xml:space="preserve"> y Juntas Escolares del Ministerio de Educación, para los programas de apoyo escolar; las subvenciones y subsidios otorgadas a los centros educativos privados gratuitos así como las organizaciones que realizan labores sociales y de asistencia humanitaria </w:t>
      </w:r>
      <w:r>
        <w:rPr>
          <w:rFonts w:cs="Tahoma"/>
          <w:sz w:val="24"/>
          <w:szCs w:val="24"/>
        </w:rPr>
        <w:lastRenderedPageBreak/>
        <w:t>mediante aportes específicos, autorizados previamente por el Congreso de la República.</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b/>
          <w:sz w:val="24"/>
          <w:szCs w:val="24"/>
          <w:u w:val="single"/>
        </w:rPr>
        <w:t>Se exceptúa de la presentación de los informes de avance financiero de la ejecución de los recursos, a las Organizaciones de Padres de Familia –OPF- del Ministerio de Educación</w:t>
      </w:r>
      <w:r>
        <w:rPr>
          <w:rFonts w:cs="Tahoma"/>
          <w:sz w:val="24"/>
          <w:szCs w:val="24"/>
        </w:rPr>
        <w:t>.</w:t>
      </w:r>
      <w:r w:rsidR="005B310F">
        <w:rPr>
          <w:rStyle w:val="Refdenotaalpie"/>
          <w:rFonts w:cs="Tahoma"/>
          <w:sz w:val="24"/>
          <w:szCs w:val="24"/>
        </w:rPr>
        <w:footnoteReference w:id="2"/>
      </w:r>
    </w:p>
    <w:p w:rsidR="000D654E" w:rsidRPr="009C49D2" w:rsidRDefault="000D654E" w:rsidP="000D654E">
      <w:pPr>
        <w:spacing w:after="0"/>
        <w:jc w:val="both"/>
        <w:rPr>
          <w:rFonts w:cs="Tahoma"/>
          <w:sz w:val="24"/>
          <w:szCs w:val="24"/>
        </w:rPr>
      </w:pPr>
    </w:p>
    <w:p w:rsidR="00240405" w:rsidRDefault="00240405" w:rsidP="003E3173">
      <w:pPr>
        <w:jc w:val="both"/>
        <w:rPr>
          <w:rFonts w:cs="Tahoma"/>
          <w:sz w:val="24"/>
          <w:szCs w:val="24"/>
        </w:rPr>
      </w:pPr>
    </w:p>
    <w:p w:rsidR="00EA4B93" w:rsidRDefault="00BC6DF9" w:rsidP="003E3173">
      <w:pPr>
        <w:jc w:val="both"/>
        <w:rPr>
          <w:rFonts w:cs="Tahoma"/>
          <w:sz w:val="24"/>
          <w:szCs w:val="24"/>
        </w:rPr>
      </w:pPr>
      <w:r w:rsidRPr="00BC6DF9">
        <w:rPr>
          <w:rFonts w:cs="Tahoma"/>
          <w:sz w:val="24"/>
          <w:szCs w:val="24"/>
        </w:rPr>
        <w:t>(Énfasis propio)</w:t>
      </w:r>
    </w:p>
    <w:p w:rsidR="000D654E" w:rsidRDefault="000D654E" w:rsidP="003E3173">
      <w:pPr>
        <w:jc w:val="both"/>
        <w:rPr>
          <w:rFonts w:cs="Tahoma"/>
          <w:sz w:val="24"/>
          <w:szCs w:val="24"/>
        </w:rPr>
      </w:pPr>
    </w:p>
    <w:p w:rsidR="00716AFE" w:rsidRPr="00BC6DF9" w:rsidRDefault="004050E5" w:rsidP="00716AFE">
      <w:pPr>
        <w:tabs>
          <w:tab w:val="left" w:pos="3331"/>
        </w:tabs>
        <w:jc w:val="both"/>
        <w:rPr>
          <w:rFonts w:cs="Tahoma"/>
          <w:sz w:val="24"/>
          <w:szCs w:val="24"/>
        </w:rPr>
      </w:pPr>
      <w:r w:rsidRPr="004050E5">
        <w:rPr>
          <w:rFonts w:ascii="Times New Roman" w:hAnsi="Times New Roman" w:cs="Times New Roman"/>
          <w:noProof/>
          <w:sz w:val="24"/>
          <w:szCs w:val="24"/>
          <w:lang w:eastAsia="es-ES"/>
        </w:rPr>
        <w:pict>
          <v:shapetype id="_x0000_t32" coordsize="21600,21600" o:spt="32" o:oned="t" path="m,l21600,21600e" filled="f">
            <v:path arrowok="t" fillok="f" o:connecttype="none"/>
            <o:lock v:ext="edit" shapetype="t"/>
          </v:shapetype>
          <v:shape id="_x0000_s1031" type="#_x0000_t32" style="position:absolute;left:0;text-align:left;margin-left:-13.9pt;margin-top:17.15pt;width:462pt;height:0;z-index:251667456" o:connectortype="straight" strokecolor="#f2f2f2 [3041]" strokeweight="3pt">
            <v:shadow on="t" color="#7f7f7f [1601]" opacity=".5" offset="-6pt,-6pt"/>
          </v:shape>
        </w:pict>
      </w:r>
    </w:p>
    <w:p w:rsidR="00EA4B93" w:rsidRDefault="00EA4B93" w:rsidP="003E3173">
      <w:pPr>
        <w:jc w:val="both"/>
        <w:rPr>
          <w:rFonts w:ascii="Times New Roman" w:hAnsi="Times New Roman" w:cs="Times New Roman"/>
          <w:sz w:val="24"/>
          <w:szCs w:val="24"/>
          <w:lang w:val="es-MX"/>
        </w:rPr>
      </w:pPr>
      <w:r w:rsidRPr="00E724BC">
        <w:rPr>
          <w:rFonts w:ascii="Times New Roman" w:hAnsi="Times New Roman" w:cs="Times New Roman"/>
          <w:sz w:val="24"/>
          <w:szCs w:val="24"/>
        </w:rPr>
        <w:br w:type="page"/>
      </w:r>
    </w:p>
    <w:p w:rsidR="00674F69" w:rsidRPr="00F33626" w:rsidRDefault="00674F69" w:rsidP="00674F69">
      <w:pPr>
        <w:spacing w:line="240" w:lineRule="auto"/>
        <w:jc w:val="both"/>
        <w:rPr>
          <w:rFonts w:ascii="Times New Roman" w:hAnsi="Times New Roman" w:cs="Times New Roman"/>
          <w:sz w:val="24"/>
          <w:szCs w:val="24"/>
          <w:lang w:val="es-MX"/>
        </w:rPr>
      </w:pPr>
    </w:p>
    <w:p w:rsidR="00635F85" w:rsidRDefault="00635F85" w:rsidP="00635F85">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Artículo</w:t>
      </w:r>
      <w:r w:rsidR="00C90B50">
        <w:rPr>
          <w:rFonts w:ascii="Tahoma" w:hAnsi="Tahoma" w:cs="Tahoma"/>
          <w:b/>
          <w:sz w:val="28"/>
          <w:szCs w:val="28"/>
          <w:lang w:val="es-MX"/>
        </w:rPr>
        <w:t>s</w:t>
      </w:r>
      <w:r w:rsidRPr="00040065">
        <w:rPr>
          <w:rFonts w:ascii="Tahoma" w:hAnsi="Tahoma" w:cs="Tahoma"/>
          <w:b/>
          <w:sz w:val="28"/>
          <w:szCs w:val="28"/>
          <w:lang w:val="es-MX"/>
        </w:rPr>
        <w:t xml:space="preserve"> </w:t>
      </w:r>
      <w:r w:rsidR="007A20B4">
        <w:rPr>
          <w:rFonts w:ascii="Tahoma" w:hAnsi="Tahoma" w:cs="Tahoma"/>
          <w:b/>
          <w:sz w:val="28"/>
          <w:szCs w:val="28"/>
          <w:lang w:val="es-MX"/>
        </w:rPr>
        <w:t>11</w:t>
      </w:r>
      <w:r w:rsidR="00C90B50">
        <w:rPr>
          <w:rFonts w:ascii="Tahoma" w:hAnsi="Tahoma" w:cs="Tahoma"/>
          <w:b/>
          <w:sz w:val="28"/>
          <w:szCs w:val="28"/>
          <w:lang w:val="es-MX"/>
        </w:rPr>
        <w:t xml:space="preserve">, 12, 14 y 25 </w:t>
      </w:r>
      <w:r w:rsidRPr="00040065">
        <w:rPr>
          <w:rFonts w:ascii="Tahoma" w:hAnsi="Tahoma" w:cs="Tahoma"/>
          <w:b/>
          <w:sz w:val="28"/>
          <w:szCs w:val="28"/>
          <w:lang w:val="es-MX"/>
        </w:rPr>
        <w:t xml:space="preserve">del </w:t>
      </w:r>
      <w:r>
        <w:rPr>
          <w:rFonts w:ascii="Tahoma" w:hAnsi="Tahoma" w:cs="Tahoma"/>
          <w:b/>
          <w:sz w:val="28"/>
          <w:szCs w:val="28"/>
          <w:lang w:val="es-MX"/>
        </w:rPr>
        <w:t xml:space="preserve">Decreto No. </w:t>
      </w:r>
      <w:r w:rsidR="007A20B4">
        <w:rPr>
          <w:rFonts w:ascii="Tahoma" w:hAnsi="Tahoma" w:cs="Tahoma"/>
          <w:b/>
          <w:sz w:val="28"/>
          <w:szCs w:val="28"/>
          <w:lang w:val="es-MX"/>
        </w:rPr>
        <w:t>25</w:t>
      </w:r>
      <w:r>
        <w:rPr>
          <w:rFonts w:ascii="Tahoma" w:hAnsi="Tahoma" w:cs="Tahoma"/>
          <w:b/>
          <w:sz w:val="28"/>
          <w:szCs w:val="28"/>
          <w:lang w:val="es-MX"/>
        </w:rPr>
        <w:t>-201</w:t>
      </w:r>
      <w:r w:rsidR="007A20B4">
        <w:rPr>
          <w:rFonts w:ascii="Tahoma" w:hAnsi="Tahoma" w:cs="Tahoma"/>
          <w:b/>
          <w:sz w:val="28"/>
          <w:szCs w:val="28"/>
          <w:lang w:val="es-MX"/>
        </w:rPr>
        <w:t>8</w:t>
      </w:r>
      <w:r>
        <w:rPr>
          <w:rFonts w:ascii="Tahoma" w:hAnsi="Tahoma" w:cs="Tahoma"/>
          <w:b/>
          <w:sz w:val="28"/>
          <w:szCs w:val="28"/>
          <w:lang w:val="es-MX"/>
        </w:rPr>
        <w:t xml:space="preserve">, </w:t>
      </w:r>
    </w:p>
    <w:p w:rsidR="00635F85" w:rsidRDefault="00635F85" w:rsidP="00635F85">
      <w:pPr>
        <w:spacing w:after="0" w:line="240" w:lineRule="auto"/>
        <w:jc w:val="center"/>
        <w:rPr>
          <w:rFonts w:ascii="Tahoma" w:hAnsi="Tahoma" w:cs="Tahoma"/>
          <w:b/>
          <w:sz w:val="28"/>
          <w:szCs w:val="28"/>
          <w:lang w:val="es-MX"/>
        </w:rPr>
      </w:pPr>
      <w:r>
        <w:rPr>
          <w:rFonts w:ascii="Tahoma" w:hAnsi="Tahoma" w:cs="Tahoma"/>
          <w:b/>
          <w:sz w:val="28"/>
          <w:szCs w:val="28"/>
          <w:lang w:val="es-MX"/>
        </w:rPr>
        <w:t xml:space="preserve">Ley del </w:t>
      </w:r>
      <w:r w:rsidRPr="00040065">
        <w:rPr>
          <w:rFonts w:ascii="Tahoma" w:hAnsi="Tahoma" w:cs="Tahoma"/>
          <w:b/>
          <w:sz w:val="28"/>
          <w:szCs w:val="28"/>
          <w:lang w:val="es-MX"/>
        </w:rPr>
        <w:t xml:space="preserve">Presupuesto General de Ingresos y </w:t>
      </w:r>
    </w:p>
    <w:p w:rsidR="003B3FDB" w:rsidRDefault="00635F85" w:rsidP="00635F85">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Egresos del Estado</w:t>
      </w:r>
      <w:r w:rsidR="003B3FDB">
        <w:rPr>
          <w:rFonts w:ascii="Tahoma" w:hAnsi="Tahoma" w:cs="Tahoma"/>
          <w:b/>
          <w:sz w:val="28"/>
          <w:szCs w:val="28"/>
          <w:lang w:val="es-MX"/>
        </w:rPr>
        <w:t xml:space="preserve"> </w:t>
      </w:r>
      <w:r w:rsidRPr="00040065">
        <w:rPr>
          <w:rFonts w:ascii="Tahoma" w:hAnsi="Tahoma" w:cs="Tahoma"/>
          <w:b/>
          <w:sz w:val="28"/>
          <w:szCs w:val="28"/>
          <w:lang w:val="es-MX"/>
        </w:rPr>
        <w:t>para el Ejercicio Fiscal 201</w:t>
      </w:r>
      <w:r w:rsidR="007A20B4">
        <w:rPr>
          <w:rFonts w:ascii="Tahoma" w:hAnsi="Tahoma" w:cs="Tahoma"/>
          <w:b/>
          <w:sz w:val="28"/>
          <w:szCs w:val="28"/>
          <w:lang w:val="es-MX"/>
        </w:rPr>
        <w:t>9</w:t>
      </w:r>
      <w:r w:rsidR="00DB344B">
        <w:rPr>
          <w:rFonts w:ascii="Tahoma" w:hAnsi="Tahoma" w:cs="Tahoma"/>
          <w:b/>
          <w:sz w:val="28"/>
          <w:szCs w:val="28"/>
          <w:lang w:val="es-MX"/>
        </w:rPr>
        <w:t>,</w:t>
      </w:r>
    </w:p>
    <w:p w:rsidR="00CD7C15" w:rsidRDefault="00CD7C15" w:rsidP="00635F85">
      <w:pPr>
        <w:spacing w:after="0" w:line="240" w:lineRule="auto"/>
        <w:jc w:val="center"/>
        <w:rPr>
          <w:rFonts w:ascii="Tahoma" w:hAnsi="Tahoma" w:cs="Tahoma"/>
          <w:b/>
          <w:sz w:val="28"/>
          <w:szCs w:val="28"/>
          <w:lang w:val="es-MX"/>
        </w:rPr>
      </w:pPr>
      <w:proofErr w:type="gramStart"/>
      <w:r>
        <w:rPr>
          <w:rFonts w:ascii="Tahoma" w:hAnsi="Tahoma" w:cs="Tahoma"/>
          <w:b/>
          <w:sz w:val="28"/>
          <w:szCs w:val="28"/>
          <w:lang w:val="es-MX"/>
        </w:rPr>
        <w:t>con</w:t>
      </w:r>
      <w:proofErr w:type="gramEnd"/>
      <w:r>
        <w:rPr>
          <w:rFonts w:ascii="Tahoma" w:hAnsi="Tahoma" w:cs="Tahoma"/>
          <w:b/>
          <w:sz w:val="28"/>
          <w:szCs w:val="28"/>
          <w:lang w:val="es-MX"/>
        </w:rPr>
        <w:t xml:space="preserve"> vigencia para el Ejercicio Fiscal 2020</w:t>
      </w:r>
    </w:p>
    <w:p w:rsidR="00C90B50" w:rsidRDefault="00C90B50" w:rsidP="00C90B50">
      <w:pPr>
        <w:spacing w:line="240" w:lineRule="auto"/>
        <w:jc w:val="right"/>
        <w:rPr>
          <w:rFonts w:ascii="Times New Roman" w:hAnsi="Times New Roman" w:cs="Times New Roman"/>
          <w:sz w:val="24"/>
          <w:szCs w:val="24"/>
          <w:lang w:val="es-MX"/>
        </w:rPr>
      </w:pPr>
    </w:p>
    <w:p w:rsidR="00635F85" w:rsidRDefault="00C90B50" w:rsidP="00C90B50">
      <w:pPr>
        <w:spacing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Pr>
          <w:rFonts w:ascii="Calibri" w:hAnsi="Calibri" w:cs="Times New Roman"/>
          <w:sz w:val="24"/>
          <w:szCs w:val="24"/>
          <w:lang w:val="es-MX"/>
        </w:rPr>
        <w:t>27-Diciembre-2018)</w:t>
      </w:r>
    </w:p>
    <w:p w:rsidR="00C90B50" w:rsidRDefault="00C90B50" w:rsidP="00C90B50">
      <w:pPr>
        <w:spacing w:line="240" w:lineRule="auto"/>
        <w:jc w:val="right"/>
        <w:rPr>
          <w:rFonts w:ascii="Times New Roman" w:hAnsi="Times New Roman" w:cs="Times New Roman"/>
          <w:b/>
          <w:sz w:val="28"/>
          <w:szCs w:val="28"/>
          <w:lang w:val="es-MX"/>
        </w:rPr>
      </w:pPr>
    </w:p>
    <w:p w:rsidR="007A20B4" w:rsidRPr="000E7F86" w:rsidRDefault="007A20B4" w:rsidP="007A20B4">
      <w:pPr>
        <w:spacing w:after="0" w:line="240" w:lineRule="auto"/>
        <w:jc w:val="both"/>
        <w:rPr>
          <w:rFonts w:cs="Times New Roman"/>
          <w:sz w:val="24"/>
          <w:szCs w:val="24"/>
          <w:lang w:val="es-MX"/>
        </w:rPr>
      </w:pPr>
      <w:r w:rsidRPr="00380048">
        <w:rPr>
          <w:rFonts w:cs="Times New Roman"/>
          <w:b/>
          <w:sz w:val="28"/>
          <w:szCs w:val="24"/>
          <w:lang w:val="es-MX"/>
        </w:rPr>
        <w:t>ARTÍCULO 11</w:t>
      </w:r>
      <w:r w:rsidRPr="000E7F86">
        <w:rPr>
          <w:rFonts w:cs="Times New Roman"/>
          <w:b/>
          <w:sz w:val="24"/>
          <w:szCs w:val="24"/>
          <w:lang w:val="es-MX"/>
        </w:rPr>
        <w:t>. Celebración de convenios</w:t>
      </w:r>
      <w:r w:rsidRPr="000E7F86">
        <w:rPr>
          <w:rFonts w:cs="Times New Roman"/>
          <w:sz w:val="24"/>
          <w:szCs w:val="24"/>
          <w:lang w:val="es-MX"/>
        </w:rPr>
        <w:t xml:space="preserve">. A las entidades receptoras de transferencias, autorizadas por el Congreso de la </w:t>
      </w:r>
      <w:r w:rsidR="000E7F86">
        <w:rPr>
          <w:rFonts w:cs="Times New Roman"/>
          <w:sz w:val="24"/>
          <w:szCs w:val="24"/>
          <w:lang w:val="es-MX"/>
        </w:rPr>
        <w:t>R</w:t>
      </w:r>
      <w:r w:rsidRPr="000E7F86">
        <w:rPr>
          <w:rFonts w:cs="Times New Roman"/>
          <w:sz w:val="24"/>
          <w:szCs w:val="24"/>
          <w:lang w:val="es-MX"/>
        </w:rPr>
        <w:t xml:space="preserve">epública en el Presupuesto General de Ingresos y Egresos del Estado para el Ejercicio Fiscal vigente, </w:t>
      </w:r>
      <w:r w:rsidRPr="000D75EB">
        <w:rPr>
          <w:rFonts w:cs="Times New Roman"/>
          <w:b/>
          <w:sz w:val="24"/>
          <w:szCs w:val="24"/>
          <w:u w:val="single"/>
          <w:lang w:val="es-MX"/>
        </w:rPr>
        <w:t xml:space="preserve">les son aplicables las </w:t>
      </w:r>
      <w:r w:rsidR="008E3E5D" w:rsidRPr="000D75EB">
        <w:rPr>
          <w:rFonts w:cs="Times New Roman"/>
          <w:b/>
          <w:sz w:val="24"/>
          <w:szCs w:val="24"/>
          <w:u w:val="single"/>
          <w:lang w:val="es-MX"/>
        </w:rPr>
        <w:t>disposiciones</w:t>
      </w:r>
      <w:r w:rsidRPr="000D75EB">
        <w:rPr>
          <w:rFonts w:cs="Times New Roman"/>
          <w:b/>
          <w:sz w:val="24"/>
          <w:szCs w:val="24"/>
          <w:u w:val="single"/>
          <w:lang w:val="es-MX"/>
        </w:rPr>
        <w:t xml:space="preserve"> establecidas en el artículo 32 Bis del Decreto Número 101-97</w:t>
      </w:r>
      <w:r w:rsidRPr="00803B10">
        <w:rPr>
          <w:rFonts w:cs="Times New Roman"/>
          <w:b/>
          <w:sz w:val="24"/>
          <w:szCs w:val="24"/>
          <w:u w:val="single"/>
          <w:lang w:val="es-MX"/>
        </w:rPr>
        <w:t xml:space="preserve"> del </w:t>
      </w:r>
      <w:r w:rsidR="008E3E5D" w:rsidRPr="00803B10">
        <w:rPr>
          <w:rFonts w:cs="Times New Roman"/>
          <w:b/>
          <w:sz w:val="24"/>
          <w:szCs w:val="24"/>
          <w:u w:val="single"/>
          <w:lang w:val="es-MX"/>
        </w:rPr>
        <w:t>Congreso</w:t>
      </w:r>
      <w:r w:rsidR="00396224" w:rsidRPr="00803B10">
        <w:rPr>
          <w:rFonts w:cs="Times New Roman"/>
          <w:b/>
          <w:sz w:val="24"/>
          <w:szCs w:val="24"/>
          <w:u w:val="single"/>
          <w:lang w:val="es-MX"/>
        </w:rPr>
        <w:t xml:space="preserve"> de la República, L</w:t>
      </w:r>
      <w:r w:rsidRPr="00803B10">
        <w:rPr>
          <w:rFonts w:cs="Times New Roman"/>
          <w:b/>
          <w:sz w:val="24"/>
          <w:szCs w:val="24"/>
          <w:u w:val="single"/>
          <w:lang w:val="es-MX"/>
        </w:rPr>
        <w:t>ey Orgánica del Presupuesto</w:t>
      </w:r>
      <w:r w:rsidRPr="000E7F86">
        <w:rPr>
          <w:rFonts w:cs="Times New Roman"/>
          <w:sz w:val="24"/>
          <w:szCs w:val="24"/>
          <w:lang w:val="es-MX"/>
        </w:rPr>
        <w:t xml:space="preserve">.  Asimismo, en los convenios que se celebren con las entidades receptoras, se estipulará que si se trata de fondos destinados a </w:t>
      </w:r>
      <w:r w:rsidR="008E3E5D" w:rsidRPr="000E7F86">
        <w:rPr>
          <w:rFonts w:cs="Times New Roman"/>
          <w:sz w:val="24"/>
          <w:szCs w:val="24"/>
          <w:lang w:val="es-MX"/>
        </w:rPr>
        <w:t>funcionamiento</w:t>
      </w:r>
      <w:r w:rsidRPr="000E7F86">
        <w:rPr>
          <w:rFonts w:cs="Times New Roman"/>
          <w:sz w:val="24"/>
          <w:szCs w:val="24"/>
          <w:lang w:val="es-MX"/>
        </w:rPr>
        <w:t xml:space="preserve"> o inversión, los cuales deberán coadyuvar al logro de los objetivos y metas de la institución que </w:t>
      </w:r>
      <w:r w:rsidR="008E3E5D" w:rsidRPr="000E7F86">
        <w:rPr>
          <w:rFonts w:cs="Times New Roman"/>
          <w:sz w:val="24"/>
          <w:szCs w:val="24"/>
          <w:lang w:val="es-MX"/>
        </w:rPr>
        <w:t>otorga</w:t>
      </w:r>
      <w:r w:rsidRPr="000E7F86">
        <w:rPr>
          <w:rFonts w:cs="Times New Roman"/>
          <w:sz w:val="24"/>
          <w:szCs w:val="24"/>
          <w:lang w:val="es-MX"/>
        </w:rPr>
        <w:t xml:space="preserve"> el aporte del ente rector afín a su naturaleza y objeto.  En el caso de la Entidad de Obligaciones del Estado a Cargo del Tesoro, serán las entida</w:t>
      </w:r>
      <w:r w:rsidR="000D75EB">
        <w:rPr>
          <w:rFonts w:cs="Times New Roman"/>
          <w:sz w:val="24"/>
          <w:szCs w:val="24"/>
          <w:lang w:val="es-MX"/>
        </w:rPr>
        <w:t>d</w:t>
      </w:r>
      <w:r w:rsidRPr="000E7F86">
        <w:rPr>
          <w:rFonts w:cs="Times New Roman"/>
          <w:sz w:val="24"/>
          <w:szCs w:val="24"/>
          <w:lang w:val="es-MX"/>
        </w:rPr>
        <w:t>es receptoras quienes le den cumplimiento a tales requerimientos.</w:t>
      </w:r>
    </w:p>
    <w:p w:rsidR="007A20B4" w:rsidRPr="00414C46" w:rsidRDefault="007A20B4" w:rsidP="007A20B4">
      <w:pPr>
        <w:spacing w:after="0" w:line="240" w:lineRule="auto"/>
        <w:jc w:val="both"/>
        <w:rPr>
          <w:rFonts w:cs="Times New Roman"/>
          <w:sz w:val="24"/>
          <w:szCs w:val="24"/>
          <w:lang w:val="es-MX"/>
        </w:rPr>
      </w:pPr>
    </w:p>
    <w:p w:rsidR="007A20B4" w:rsidRPr="00414C46" w:rsidRDefault="007A20B4"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ED21F6" w:rsidRDefault="00420506" w:rsidP="007A20B4">
      <w:pPr>
        <w:spacing w:after="0" w:line="240" w:lineRule="auto"/>
        <w:jc w:val="both"/>
        <w:rPr>
          <w:rFonts w:ascii="Times New Roman" w:hAnsi="Times New Roman" w:cs="Times New Roman"/>
          <w:b/>
          <w:sz w:val="28"/>
          <w:szCs w:val="28"/>
          <w:lang w:val="es-MX"/>
        </w:rPr>
      </w:pPr>
      <w:r w:rsidRPr="00380048">
        <w:rPr>
          <w:rFonts w:cs="Times New Roman"/>
          <w:b/>
          <w:sz w:val="28"/>
          <w:szCs w:val="24"/>
          <w:lang w:val="es-MX"/>
        </w:rPr>
        <w:t>ARTÍCULO 12</w:t>
      </w:r>
      <w:r w:rsidRPr="000E7F86">
        <w:rPr>
          <w:rFonts w:cs="Times New Roman"/>
          <w:b/>
          <w:sz w:val="24"/>
          <w:szCs w:val="24"/>
          <w:lang w:val="es-MX"/>
        </w:rPr>
        <w:t>.</w:t>
      </w:r>
      <w:r>
        <w:rPr>
          <w:rFonts w:cs="Times New Roman"/>
          <w:b/>
          <w:sz w:val="24"/>
          <w:szCs w:val="24"/>
          <w:lang w:val="es-MX"/>
        </w:rPr>
        <w:t>Transferencias de fondos</w:t>
      </w:r>
      <w:r w:rsidRPr="000E7F86">
        <w:rPr>
          <w:rFonts w:cs="Times New Roman"/>
          <w:sz w:val="24"/>
          <w:szCs w:val="24"/>
          <w:lang w:val="es-MX"/>
        </w:rPr>
        <w:t xml:space="preserve">. </w:t>
      </w:r>
      <w:r>
        <w:rPr>
          <w:rFonts w:cs="Times New Roman"/>
          <w:sz w:val="24"/>
          <w:szCs w:val="24"/>
          <w:lang w:val="es-MX"/>
        </w:rPr>
        <w:t xml:space="preserve"> </w:t>
      </w:r>
      <w:r w:rsidRPr="00A823C6">
        <w:rPr>
          <w:rFonts w:cs="Times New Roman"/>
          <w:b/>
          <w:sz w:val="24"/>
          <w:szCs w:val="24"/>
          <w:u w:val="single"/>
          <w:lang w:val="es-MX"/>
        </w:rPr>
        <w:t>Ningún Ministerio de Estado o Secretarías y Otras Dependencias del Ejecutivo, puede transferir fondos a organizaciones no gubernamentales, fundaciones o asociaciones lucrativas o no lucrativas nacionales o internacionales, que no estén incluidas dentro del Presupuesto</w:t>
      </w:r>
      <w:r>
        <w:rPr>
          <w:rFonts w:cs="Times New Roman"/>
          <w:sz w:val="24"/>
          <w:szCs w:val="24"/>
          <w:lang w:val="es-MX"/>
        </w:rPr>
        <w:t xml:space="preserve"> General de Ingresos y Egresos del Estado para el Ejercicio Fiscal vigente.  Esta disposición no se aplicará cuando se trate de la atención de casos declarados conforme al Decreto Número 7 de la Asamblea Nacional Constituyente, Ley de Orden Público.</w:t>
      </w:r>
    </w:p>
    <w:p w:rsidR="00ED21F6" w:rsidRPr="00414C46" w:rsidRDefault="00ED21F6"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E04064" w:rsidRDefault="00E04064" w:rsidP="0020335A">
      <w:pPr>
        <w:spacing w:after="0" w:line="240" w:lineRule="auto"/>
        <w:jc w:val="both"/>
        <w:rPr>
          <w:rFonts w:cs="Times New Roman"/>
          <w:sz w:val="24"/>
          <w:szCs w:val="24"/>
          <w:lang w:val="es-MX"/>
        </w:rPr>
      </w:pPr>
      <w:r w:rsidRPr="00380048">
        <w:rPr>
          <w:rFonts w:cs="Times New Roman"/>
          <w:b/>
          <w:sz w:val="28"/>
          <w:szCs w:val="24"/>
          <w:lang w:val="es-MX"/>
        </w:rPr>
        <w:t>ARTÍCULO 14</w:t>
      </w:r>
      <w:r w:rsidRPr="000E7F86">
        <w:rPr>
          <w:rFonts w:cs="Times New Roman"/>
          <w:b/>
          <w:sz w:val="24"/>
          <w:szCs w:val="24"/>
          <w:lang w:val="es-MX"/>
        </w:rPr>
        <w:t xml:space="preserve">. </w:t>
      </w:r>
      <w:r w:rsidR="00D92A8B">
        <w:rPr>
          <w:rFonts w:cs="Times New Roman"/>
          <w:b/>
          <w:sz w:val="24"/>
          <w:szCs w:val="24"/>
          <w:lang w:val="es-MX"/>
        </w:rPr>
        <w:t xml:space="preserve">Ejecución física y financiera. </w:t>
      </w:r>
      <w:r w:rsidRPr="000E7F86">
        <w:rPr>
          <w:rFonts w:cs="Times New Roman"/>
          <w:sz w:val="24"/>
          <w:szCs w:val="24"/>
          <w:lang w:val="es-MX"/>
        </w:rPr>
        <w:t xml:space="preserve"> </w:t>
      </w:r>
      <w:r w:rsidR="00D92A8B">
        <w:rPr>
          <w:rFonts w:cs="Times New Roman"/>
          <w:sz w:val="24"/>
          <w:szCs w:val="24"/>
          <w:lang w:val="es-MX"/>
        </w:rPr>
        <w:t>La ejecución física y financiera de las entidades públicas deberá llevarse a cabo de acuerdo al producto y subproducto definido en su planificación estratégica y operativa, con el objetivo de que la provisión de los bienes y servicios respondan a las prioridades establecidas en la política general de gobierno.</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cs="Times New Roman"/>
          <w:sz w:val="24"/>
          <w:szCs w:val="24"/>
          <w:lang w:val="es-MX"/>
        </w:rPr>
      </w:pPr>
      <w:r>
        <w:rPr>
          <w:rFonts w:cs="Times New Roman"/>
          <w:sz w:val="24"/>
          <w:szCs w:val="24"/>
          <w:lang w:val="es-MX"/>
        </w:rPr>
        <w:t>En ningún caso se podrán ejecutar insumos que no correspondan a la naturaleza de la intervención definida en los productos y subproductos.</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cs="Times New Roman"/>
          <w:sz w:val="24"/>
          <w:szCs w:val="24"/>
          <w:lang w:val="es-MX"/>
        </w:rPr>
      </w:pPr>
      <w:r>
        <w:rPr>
          <w:rFonts w:cs="Times New Roman"/>
          <w:sz w:val="24"/>
          <w:szCs w:val="24"/>
          <w:lang w:val="es-MX"/>
        </w:rPr>
        <w:t xml:space="preserve">Las instituciones públicas propiciarán la eficiencia en la ejecución física y financiera de sus respectivos presupuestos y deberán implementar las medidas necesarias para </w:t>
      </w:r>
      <w:r>
        <w:rPr>
          <w:rFonts w:cs="Times New Roman"/>
          <w:sz w:val="24"/>
          <w:szCs w:val="24"/>
          <w:lang w:val="es-MX"/>
        </w:rPr>
        <w:lastRenderedPageBreak/>
        <w:t>hacer más eficientes y tecnificar los modelos de servicios de sus intervenciones, de manera que se garantice la provisión de los bienes y servicios a la población.</w:t>
      </w:r>
    </w:p>
    <w:p w:rsidR="00D92A8B" w:rsidRDefault="00D92A8B" w:rsidP="0020335A">
      <w:pPr>
        <w:spacing w:after="0" w:line="240" w:lineRule="auto"/>
        <w:jc w:val="both"/>
        <w:rPr>
          <w:rFonts w:cs="Times New Roman"/>
          <w:sz w:val="24"/>
          <w:szCs w:val="24"/>
          <w:lang w:val="es-MX"/>
        </w:rPr>
      </w:pPr>
    </w:p>
    <w:p w:rsidR="00E04064" w:rsidRDefault="00D92A8B" w:rsidP="0020335A">
      <w:pPr>
        <w:spacing w:after="0" w:line="240" w:lineRule="auto"/>
        <w:jc w:val="both"/>
        <w:rPr>
          <w:rFonts w:cs="Times New Roman"/>
          <w:sz w:val="24"/>
          <w:szCs w:val="24"/>
          <w:lang w:val="es-MX"/>
        </w:rPr>
      </w:pPr>
      <w:r>
        <w:rPr>
          <w:rFonts w:cs="Times New Roman"/>
          <w:sz w:val="24"/>
          <w:szCs w:val="24"/>
          <w:lang w:val="es-MX"/>
        </w:rPr>
        <w:t xml:space="preserve">Asimismo, las autoridades de las instituciones son responsables de realizar la medición de indicadores posibles de ser verificables y cuantificables de manera cuatrimestral, con criterios de relevancia, claridad y pertinencia.  Los indicadores deberán ser congruentes con la planificación estratégica y operativa previamente definida, en función de los resultados, productos y subproductos establecidos, y </w:t>
      </w:r>
      <w:r w:rsidR="003312E4">
        <w:rPr>
          <w:rFonts w:cs="Times New Roman"/>
          <w:sz w:val="24"/>
          <w:szCs w:val="24"/>
          <w:lang w:val="es-MX"/>
        </w:rPr>
        <w:t>deberán</w:t>
      </w:r>
      <w:r>
        <w:rPr>
          <w:rFonts w:cs="Times New Roman"/>
          <w:sz w:val="24"/>
          <w:szCs w:val="24"/>
          <w:lang w:val="es-MX"/>
        </w:rPr>
        <w:t xml:space="preserve"> informar de los resultados de la medición de los indicadores en forma cuatrimestral a la Secretaría de Planificación y Programación e la Presidencia (SEGEPLAN) </w:t>
      </w:r>
      <w:r w:rsidR="003312E4">
        <w:rPr>
          <w:rFonts w:cs="Times New Roman"/>
          <w:sz w:val="24"/>
          <w:szCs w:val="24"/>
          <w:lang w:val="es-MX"/>
        </w:rPr>
        <w:t xml:space="preserve">y al </w:t>
      </w:r>
      <w:r>
        <w:rPr>
          <w:rFonts w:cs="Times New Roman"/>
          <w:sz w:val="24"/>
          <w:szCs w:val="24"/>
          <w:lang w:val="es-MX"/>
        </w:rPr>
        <w:t xml:space="preserve">Ministerio </w:t>
      </w:r>
      <w:r w:rsidR="003312E4">
        <w:rPr>
          <w:rFonts w:cs="Times New Roman"/>
          <w:sz w:val="24"/>
          <w:szCs w:val="24"/>
          <w:lang w:val="es-MX"/>
        </w:rPr>
        <w:t>d</w:t>
      </w:r>
      <w:r>
        <w:rPr>
          <w:rFonts w:cs="Times New Roman"/>
          <w:sz w:val="24"/>
          <w:szCs w:val="24"/>
          <w:lang w:val="es-MX"/>
        </w:rPr>
        <w:t>e Finanzas Públicas y publicarlo en su portal electrónico.</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ascii="Times New Roman" w:hAnsi="Times New Roman" w:cs="Times New Roman"/>
          <w:b/>
          <w:sz w:val="28"/>
          <w:szCs w:val="28"/>
          <w:lang w:val="es-MX"/>
        </w:rPr>
      </w:pPr>
      <w:r w:rsidRPr="003312E4">
        <w:rPr>
          <w:rFonts w:cs="Times New Roman"/>
          <w:b/>
          <w:sz w:val="24"/>
          <w:szCs w:val="24"/>
          <w:u w:val="single"/>
          <w:lang w:val="es-MX"/>
        </w:rPr>
        <w:t>Se autoriza para que en el caso de los informes a los que hace referencia el artículo 32 Bis del Decreto Número 101-97 del Congreso de la República de Guatemala, Ley Orgánica del Presupuesto, los Institutos por Cooperativa de Enseñanza puedan presentar los mismos de manera cuatrimestral</w:t>
      </w:r>
      <w:r>
        <w:rPr>
          <w:rFonts w:cs="Times New Roman"/>
          <w:sz w:val="24"/>
          <w:szCs w:val="24"/>
          <w:lang w:val="es-MX"/>
        </w:rPr>
        <w:t>.</w:t>
      </w:r>
    </w:p>
    <w:p w:rsidR="00E04064" w:rsidRPr="002F6ECD" w:rsidRDefault="00E04064" w:rsidP="007A20B4">
      <w:pPr>
        <w:spacing w:after="0" w:line="240" w:lineRule="auto"/>
        <w:jc w:val="both"/>
        <w:rPr>
          <w:rFonts w:cs="Times New Roman"/>
          <w:b/>
          <w:sz w:val="24"/>
          <w:szCs w:val="28"/>
          <w:lang w:val="es-MX"/>
        </w:rPr>
      </w:pPr>
    </w:p>
    <w:p w:rsidR="00C90B50" w:rsidRPr="002F6ECD" w:rsidRDefault="00C90B50" w:rsidP="007A20B4">
      <w:pPr>
        <w:spacing w:after="0" w:line="240" w:lineRule="auto"/>
        <w:jc w:val="both"/>
        <w:rPr>
          <w:rFonts w:cs="Times New Roman"/>
          <w:b/>
          <w:sz w:val="24"/>
          <w:szCs w:val="28"/>
          <w:lang w:val="es-MX"/>
        </w:rPr>
      </w:pPr>
    </w:p>
    <w:p w:rsidR="005C67BE" w:rsidRPr="002F6ECD" w:rsidRDefault="005C67BE" w:rsidP="007A20B4">
      <w:pPr>
        <w:spacing w:after="0" w:line="240" w:lineRule="auto"/>
        <w:jc w:val="both"/>
        <w:rPr>
          <w:rFonts w:cs="Times New Roman"/>
          <w:b/>
          <w:sz w:val="24"/>
          <w:szCs w:val="28"/>
          <w:lang w:val="es-MX"/>
        </w:rPr>
      </w:pPr>
    </w:p>
    <w:p w:rsidR="00E04064" w:rsidRDefault="003312E4" w:rsidP="007A20B4">
      <w:pPr>
        <w:spacing w:after="0" w:line="240" w:lineRule="auto"/>
        <w:jc w:val="both"/>
        <w:rPr>
          <w:rFonts w:ascii="Times New Roman" w:hAnsi="Times New Roman" w:cs="Times New Roman"/>
          <w:b/>
          <w:sz w:val="28"/>
          <w:szCs w:val="28"/>
          <w:lang w:val="es-MX"/>
        </w:rPr>
      </w:pPr>
      <w:r w:rsidRPr="00380048">
        <w:rPr>
          <w:rFonts w:cs="Times New Roman"/>
          <w:b/>
          <w:sz w:val="28"/>
          <w:szCs w:val="24"/>
          <w:lang w:val="es-MX"/>
        </w:rPr>
        <w:t>ARTÍCULO 25</w:t>
      </w:r>
      <w:r w:rsidRPr="000E7F86">
        <w:rPr>
          <w:rFonts w:cs="Times New Roman"/>
          <w:b/>
          <w:sz w:val="24"/>
          <w:szCs w:val="24"/>
          <w:lang w:val="es-MX"/>
        </w:rPr>
        <w:t>.</w:t>
      </w:r>
      <w:r>
        <w:rPr>
          <w:rFonts w:cs="Times New Roman"/>
          <w:b/>
          <w:sz w:val="24"/>
          <w:szCs w:val="24"/>
          <w:lang w:val="es-MX"/>
        </w:rPr>
        <w:t xml:space="preserve">Verificación de bases de datos de beneficiarios de programas sociales. </w:t>
      </w:r>
      <w:r w:rsidRPr="000E7F86">
        <w:rPr>
          <w:rFonts w:cs="Times New Roman"/>
          <w:sz w:val="24"/>
          <w:szCs w:val="24"/>
          <w:lang w:val="es-MX"/>
        </w:rPr>
        <w:t xml:space="preserve"> </w:t>
      </w:r>
      <w:r>
        <w:rPr>
          <w:rFonts w:cs="Times New Roman"/>
          <w:sz w:val="24"/>
          <w:szCs w:val="24"/>
          <w:lang w:val="es-MX"/>
        </w:rPr>
        <w:t xml:space="preserve">Al otorgar beneficios a la </w:t>
      </w:r>
      <w:r w:rsidR="00675ED8">
        <w:rPr>
          <w:rFonts w:cs="Times New Roman"/>
          <w:sz w:val="24"/>
          <w:szCs w:val="24"/>
          <w:lang w:val="es-MX"/>
        </w:rPr>
        <w:t xml:space="preserve">población por medio de sus programas sociales, </w:t>
      </w:r>
      <w:r w:rsidR="00675ED8" w:rsidRPr="00675ED8">
        <w:rPr>
          <w:rFonts w:cs="Times New Roman"/>
          <w:b/>
          <w:sz w:val="24"/>
          <w:szCs w:val="24"/>
          <w:u w:val="single"/>
          <w:lang w:val="es-MX"/>
        </w:rPr>
        <w:t>el Ministerio de Desarrollo Social y el Ministerio de Agricultura, Ganadería y Alimentación deberán informar de manera semestral al Congreso de la República de Guatemala, el listado de beneficiarios de dichos programas</w:t>
      </w:r>
      <w:r w:rsidR="00675ED8">
        <w:rPr>
          <w:rFonts w:cs="Times New Roman"/>
          <w:sz w:val="24"/>
          <w:szCs w:val="24"/>
          <w:lang w:val="es-MX"/>
        </w:rPr>
        <w:t>, con el fin de depurar los beneficiarios y garantizar que la ayuda social llegue a la población a la que está dirigida, con prioridad a las personas en situación de pobreza y pobreza extrema.</w:t>
      </w:r>
    </w:p>
    <w:p w:rsidR="006D67C3" w:rsidRDefault="006D67C3" w:rsidP="007A20B4">
      <w:pPr>
        <w:spacing w:after="0" w:line="240" w:lineRule="auto"/>
        <w:jc w:val="both"/>
        <w:rPr>
          <w:rFonts w:ascii="Times New Roman" w:hAnsi="Times New Roman" w:cs="Times New Roman"/>
          <w:b/>
          <w:sz w:val="28"/>
          <w:szCs w:val="28"/>
          <w:lang w:val="es-MX"/>
        </w:rPr>
      </w:pPr>
    </w:p>
    <w:p w:rsidR="002F6ECD" w:rsidRDefault="002F6ECD" w:rsidP="007A20B4">
      <w:pPr>
        <w:spacing w:after="0" w:line="240" w:lineRule="auto"/>
        <w:jc w:val="both"/>
        <w:rPr>
          <w:rFonts w:ascii="Times New Roman" w:hAnsi="Times New Roman" w:cs="Times New Roman"/>
          <w:b/>
          <w:sz w:val="28"/>
          <w:szCs w:val="28"/>
          <w:lang w:val="es-MX"/>
        </w:rPr>
      </w:pPr>
    </w:p>
    <w:p w:rsidR="00635F85" w:rsidRDefault="00635F85" w:rsidP="00635F85">
      <w:pPr>
        <w:jc w:val="both"/>
        <w:rPr>
          <w:sz w:val="24"/>
          <w:szCs w:val="24"/>
          <w:lang w:val="es-MX"/>
        </w:rPr>
      </w:pPr>
      <w:r w:rsidRPr="00040065">
        <w:rPr>
          <w:sz w:val="24"/>
          <w:szCs w:val="24"/>
          <w:lang w:val="es-MX"/>
        </w:rPr>
        <w:t>(Énfasis propio)</w:t>
      </w:r>
      <w:r w:rsidR="00FF7E90" w:rsidRPr="00FF7E90">
        <w:rPr>
          <w:noProof/>
          <w:sz w:val="24"/>
          <w:szCs w:val="24"/>
          <w:lang w:eastAsia="es-ES"/>
        </w:rPr>
        <w:t xml:space="preserve"> </w:t>
      </w:r>
    </w:p>
    <w:p w:rsidR="000640FE" w:rsidRDefault="004050E5" w:rsidP="000640FE">
      <w:pPr>
        <w:jc w:val="both"/>
        <w:rPr>
          <w:sz w:val="24"/>
          <w:szCs w:val="24"/>
          <w:lang w:val="es-MX"/>
        </w:rPr>
      </w:pPr>
      <w:r w:rsidRPr="004050E5">
        <w:rPr>
          <w:rFonts w:cs="Times New Roman"/>
          <w:noProof/>
          <w:sz w:val="24"/>
          <w:szCs w:val="24"/>
          <w:lang w:eastAsia="es-ES"/>
        </w:rPr>
        <w:pict>
          <v:shape id="_x0000_s1039" type="#_x0000_t32" style="position:absolute;left:0;text-align:left;margin-left:1.95pt;margin-top:24.25pt;width:462pt;height:0;z-index:251680768" o:connectortype="straight" strokecolor="#f2f2f2 [3041]" strokeweight="3pt">
            <v:shadow on="t" color="#7f7f7f [1601]" opacity=".5" offset="-6pt,-6pt"/>
          </v:shape>
        </w:pict>
      </w:r>
    </w:p>
    <w:p w:rsidR="000640FE" w:rsidRDefault="000640FE" w:rsidP="000640FE">
      <w:pPr>
        <w:jc w:val="both"/>
        <w:rPr>
          <w:sz w:val="24"/>
          <w:szCs w:val="24"/>
          <w:lang w:val="es-MX"/>
        </w:rPr>
      </w:pPr>
    </w:p>
    <w:p w:rsidR="00F847FD" w:rsidRDefault="00F847FD" w:rsidP="000640FE">
      <w:pPr>
        <w:jc w:val="both"/>
        <w:rPr>
          <w:sz w:val="24"/>
          <w:szCs w:val="24"/>
          <w:lang w:val="es-MX"/>
        </w:rPr>
      </w:pPr>
      <w:r>
        <w:rPr>
          <w:sz w:val="24"/>
          <w:szCs w:val="24"/>
          <w:lang w:val="es-MX"/>
        </w:rPr>
        <w:br w:type="page"/>
      </w:r>
    </w:p>
    <w:p w:rsidR="00C90B50" w:rsidRPr="00F33626" w:rsidRDefault="00C90B50" w:rsidP="00C90B50">
      <w:pPr>
        <w:spacing w:line="240" w:lineRule="auto"/>
        <w:jc w:val="both"/>
        <w:rPr>
          <w:rFonts w:ascii="Times New Roman" w:hAnsi="Times New Roman" w:cs="Times New Roman"/>
          <w:sz w:val="24"/>
          <w:szCs w:val="24"/>
          <w:lang w:val="es-MX"/>
        </w:rPr>
      </w:pPr>
    </w:p>
    <w:p w:rsidR="00C90B50" w:rsidRPr="00040065" w:rsidRDefault="00C90B50" w:rsidP="00C90B50">
      <w:pPr>
        <w:spacing w:after="0" w:line="240" w:lineRule="auto"/>
        <w:jc w:val="center"/>
        <w:rPr>
          <w:rFonts w:ascii="Tahoma" w:hAnsi="Tahoma" w:cs="Tahoma"/>
          <w:b/>
          <w:sz w:val="28"/>
          <w:szCs w:val="28"/>
          <w:lang w:val="es-MX"/>
        </w:rPr>
      </w:pPr>
    </w:p>
    <w:p w:rsidR="00C90B50" w:rsidRPr="00C90B50" w:rsidRDefault="00471ABC" w:rsidP="00C90B50">
      <w:pPr>
        <w:spacing w:after="0" w:line="240" w:lineRule="auto"/>
        <w:jc w:val="center"/>
        <w:rPr>
          <w:rFonts w:ascii="Tahoma" w:hAnsi="Tahoma" w:cs="Tahoma"/>
          <w:b/>
          <w:sz w:val="28"/>
          <w:szCs w:val="28"/>
          <w:lang w:val="es-MX"/>
        </w:rPr>
      </w:pPr>
      <w:r>
        <w:rPr>
          <w:rFonts w:ascii="Tahoma" w:hAnsi="Tahoma" w:cs="Tahoma"/>
          <w:b/>
          <w:sz w:val="28"/>
          <w:szCs w:val="28"/>
          <w:lang w:val="es-MX"/>
        </w:rPr>
        <w:t>Artículo 11</w:t>
      </w:r>
      <w:r w:rsidR="00C90B50" w:rsidRPr="00C90B50">
        <w:rPr>
          <w:rFonts w:ascii="Tahoma" w:hAnsi="Tahoma" w:cs="Tahoma"/>
          <w:b/>
          <w:sz w:val="28"/>
          <w:szCs w:val="28"/>
          <w:lang w:val="es-MX"/>
        </w:rPr>
        <w:t xml:space="preserve"> del Acuerdo Gubernativo No. </w:t>
      </w:r>
      <w:r w:rsidR="00053D3A">
        <w:rPr>
          <w:rFonts w:ascii="Tahoma" w:hAnsi="Tahoma" w:cs="Tahoma"/>
          <w:b/>
          <w:sz w:val="28"/>
          <w:szCs w:val="28"/>
          <w:lang w:val="es-MX"/>
        </w:rPr>
        <w:t>321-2019</w:t>
      </w:r>
      <w:r w:rsidR="00C90B50" w:rsidRPr="00C90B50">
        <w:rPr>
          <w:rFonts w:ascii="Tahoma" w:hAnsi="Tahoma" w:cs="Tahoma"/>
          <w:b/>
          <w:sz w:val="28"/>
          <w:szCs w:val="28"/>
          <w:lang w:val="es-MX"/>
        </w:rPr>
        <w:t xml:space="preserve"> que, entre otros aspectos, aprobó la distribución analítica del </w:t>
      </w:r>
    </w:p>
    <w:p w:rsidR="00C90B50" w:rsidRPr="00C90B50" w:rsidRDefault="00C90B50" w:rsidP="00C90B50">
      <w:pPr>
        <w:spacing w:after="0" w:line="240" w:lineRule="auto"/>
        <w:jc w:val="center"/>
        <w:rPr>
          <w:rFonts w:ascii="Tahoma" w:hAnsi="Tahoma" w:cs="Tahoma"/>
          <w:b/>
          <w:sz w:val="28"/>
          <w:szCs w:val="28"/>
          <w:lang w:val="es-MX"/>
        </w:rPr>
      </w:pPr>
      <w:r w:rsidRPr="00C90B50">
        <w:rPr>
          <w:rFonts w:ascii="Tahoma" w:hAnsi="Tahoma" w:cs="Tahoma"/>
          <w:b/>
          <w:sz w:val="28"/>
          <w:szCs w:val="28"/>
          <w:lang w:val="es-MX"/>
        </w:rPr>
        <w:t>Presupuesto General de Ingresos y Egresos del Estado</w:t>
      </w:r>
    </w:p>
    <w:p w:rsidR="00C90B50" w:rsidRPr="00040065" w:rsidRDefault="00C90B50" w:rsidP="00C90B50">
      <w:pPr>
        <w:spacing w:after="0" w:line="240" w:lineRule="auto"/>
        <w:jc w:val="center"/>
        <w:rPr>
          <w:rFonts w:ascii="Tahoma" w:hAnsi="Tahoma" w:cs="Tahoma"/>
          <w:b/>
          <w:sz w:val="28"/>
          <w:szCs w:val="28"/>
          <w:lang w:val="es-MX"/>
        </w:rPr>
      </w:pPr>
      <w:proofErr w:type="gramStart"/>
      <w:r w:rsidRPr="00C90B50">
        <w:rPr>
          <w:rFonts w:ascii="Tahoma" w:hAnsi="Tahoma" w:cs="Tahoma"/>
          <w:b/>
          <w:sz w:val="28"/>
          <w:szCs w:val="28"/>
          <w:lang w:val="es-MX"/>
        </w:rPr>
        <w:t>para</w:t>
      </w:r>
      <w:proofErr w:type="gramEnd"/>
      <w:r w:rsidRPr="00C90B50">
        <w:rPr>
          <w:rFonts w:ascii="Tahoma" w:hAnsi="Tahoma" w:cs="Tahoma"/>
          <w:b/>
          <w:sz w:val="28"/>
          <w:szCs w:val="28"/>
          <w:lang w:val="es-MX"/>
        </w:rPr>
        <w:t xml:space="preserve"> el Ejercicio Fiscal 20</w:t>
      </w:r>
      <w:r w:rsidR="00053D3A">
        <w:rPr>
          <w:rFonts w:ascii="Tahoma" w:hAnsi="Tahoma" w:cs="Tahoma"/>
          <w:b/>
          <w:sz w:val="28"/>
          <w:szCs w:val="28"/>
          <w:lang w:val="es-MX"/>
        </w:rPr>
        <w:t>20</w:t>
      </w:r>
    </w:p>
    <w:p w:rsidR="00C90B50" w:rsidRDefault="00C90B50" w:rsidP="00C90B50">
      <w:pPr>
        <w:spacing w:line="240" w:lineRule="auto"/>
        <w:jc w:val="right"/>
        <w:rPr>
          <w:rFonts w:ascii="Times New Roman" w:hAnsi="Times New Roman" w:cs="Times New Roman"/>
          <w:sz w:val="24"/>
          <w:szCs w:val="24"/>
          <w:lang w:val="es-MX"/>
        </w:rPr>
      </w:pPr>
    </w:p>
    <w:p w:rsidR="00C90B50" w:rsidRPr="00480A3B" w:rsidRDefault="00C90B50" w:rsidP="00C90B50">
      <w:pPr>
        <w:spacing w:line="240" w:lineRule="auto"/>
        <w:jc w:val="right"/>
        <w:rPr>
          <w:rFonts w:ascii="Times New Roman" w:hAnsi="Times New Roman" w:cs="Times New Roman"/>
          <w:b/>
          <w:sz w:val="28"/>
          <w:szCs w:val="28"/>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sidR="008D72B3">
        <w:rPr>
          <w:rFonts w:ascii="Calibri" w:hAnsi="Calibri" w:cs="Times New Roman"/>
          <w:sz w:val="24"/>
          <w:szCs w:val="24"/>
          <w:lang w:val="es-MX"/>
        </w:rPr>
        <w:t>31-Diciembre-2019</w:t>
      </w:r>
      <w:r>
        <w:rPr>
          <w:rFonts w:ascii="Calibri" w:hAnsi="Calibri" w:cs="Times New Roman"/>
          <w:sz w:val="24"/>
          <w:szCs w:val="24"/>
          <w:lang w:val="es-MX"/>
        </w:rPr>
        <w:t>)</w:t>
      </w:r>
    </w:p>
    <w:p w:rsidR="00C90B50" w:rsidRPr="00040065" w:rsidRDefault="00C90B50" w:rsidP="00C90B50">
      <w:pPr>
        <w:spacing w:line="240" w:lineRule="auto"/>
        <w:jc w:val="both"/>
        <w:rPr>
          <w:rFonts w:cs="Times New Roman"/>
          <w:b/>
          <w:sz w:val="24"/>
          <w:szCs w:val="24"/>
          <w:lang w:val="es-MX"/>
        </w:rPr>
      </w:pPr>
    </w:p>
    <w:p w:rsidR="00C90B50" w:rsidRPr="00040065" w:rsidRDefault="00C90B50" w:rsidP="00C90B50">
      <w:pPr>
        <w:jc w:val="both"/>
        <w:rPr>
          <w:rFonts w:cs="Times New Roman"/>
          <w:sz w:val="24"/>
          <w:szCs w:val="24"/>
          <w:lang w:val="es-MX"/>
        </w:rPr>
      </w:pPr>
      <w:r w:rsidRPr="00380048">
        <w:rPr>
          <w:rFonts w:cs="Times New Roman"/>
          <w:b/>
          <w:sz w:val="28"/>
          <w:szCs w:val="24"/>
          <w:lang w:val="es-MX"/>
        </w:rPr>
        <w:t xml:space="preserve">Artículo </w:t>
      </w:r>
      <w:r w:rsidR="00471ABC">
        <w:rPr>
          <w:rFonts w:cs="Times New Roman"/>
          <w:b/>
          <w:sz w:val="28"/>
          <w:szCs w:val="24"/>
          <w:lang w:val="es-MX"/>
        </w:rPr>
        <w:t>11</w:t>
      </w:r>
      <w:r w:rsidRPr="00040065">
        <w:rPr>
          <w:rFonts w:cs="Times New Roman"/>
          <w:b/>
          <w:sz w:val="24"/>
          <w:szCs w:val="24"/>
          <w:lang w:val="es-MX"/>
        </w:rPr>
        <w:t>. Programación y reprogramación de las transferencias corrientes y de capital</w:t>
      </w:r>
      <w:r w:rsidRPr="00040065">
        <w:rPr>
          <w:rFonts w:cs="Times New Roman"/>
          <w:sz w:val="24"/>
          <w:szCs w:val="24"/>
          <w:lang w:val="es-MX"/>
        </w:rPr>
        <w:t xml:space="preserve">. De conformidad con el Artículo 32 Bis del Decreto Número 101-97 del Congreso de la República de Guatemala, Ley Orgánica del Presupuesto, </w:t>
      </w:r>
      <w:r w:rsidRPr="000A063F">
        <w:rPr>
          <w:rFonts w:cs="Times New Roman"/>
          <w:b/>
          <w:sz w:val="24"/>
          <w:szCs w:val="24"/>
          <w:u w:val="single"/>
          <w:lang w:val="es-MX"/>
        </w:rPr>
        <w:t>la programación inicial y reprogramaciones de las transferencias corrientes y de capital deberán aprobarse mediante resolución de la máxima autoridad que corresponda</w:t>
      </w:r>
      <w:r w:rsidRPr="00040065">
        <w:rPr>
          <w:rFonts w:cs="Times New Roman"/>
          <w:sz w:val="24"/>
          <w:szCs w:val="24"/>
          <w:lang w:val="es-MX"/>
        </w:rPr>
        <w:t>. Para tal efecto, deberán emitirse los comprobantes respectivos dentro del Sicoin.</w:t>
      </w:r>
    </w:p>
    <w:p w:rsidR="00C90B50" w:rsidRDefault="00C90B50" w:rsidP="00C90B50">
      <w:pPr>
        <w:jc w:val="both"/>
        <w:rPr>
          <w:sz w:val="24"/>
          <w:szCs w:val="24"/>
          <w:lang w:val="es-MX"/>
        </w:rPr>
      </w:pPr>
      <w:r w:rsidRPr="00040065">
        <w:rPr>
          <w:sz w:val="24"/>
          <w:szCs w:val="24"/>
          <w:lang w:val="es-MX"/>
        </w:rPr>
        <w:t>(Énfasis propio)</w:t>
      </w:r>
    </w:p>
    <w:p w:rsidR="00C90B50" w:rsidRDefault="00C90B50" w:rsidP="00C90B50">
      <w:pPr>
        <w:jc w:val="both"/>
        <w:rPr>
          <w:sz w:val="24"/>
          <w:szCs w:val="24"/>
          <w:lang w:val="es-MX"/>
        </w:rPr>
      </w:pPr>
    </w:p>
    <w:p w:rsidR="00C90B50" w:rsidRDefault="004050E5" w:rsidP="00C90B50">
      <w:pPr>
        <w:jc w:val="both"/>
        <w:rPr>
          <w:sz w:val="24"/>
          <w:szCs w:val="24"/>
          <w:lang w:val="es-MX"/>
        </w:rPr>
      </w:pPr>
      <w:r w:rsidRPr="004050E5">
        <w:rPr>
          <w:rFonts w:cs="Times New Roman"/>
          <w:noProof/>
          <w:sz w:val="24"/>
          <w:szCs w:val="24"/>
          <w:lang w:eastAsia="es-ES"/>
        </w:rPr>
        <w:pict>
          <v:shape id="_x0000_s1043" type="#_x0000_t32" style="position:absolute;left:0;text-align:left;margin-left:-1.8pt;margin-top:9.25pt;width:462pt;height:0;z-index:251686912" o:connectortype="straight" strokecolor="#f2f2f2 [3041]" strokeweight="3pt">
            <v:shadow on="t" color="#7f7f7f [1601]" opacity=".5" offset="-6pt,-6pt"/>
          </v:shape>
        </w:pict>
      </w:r>
    </w:p>
    <w:p w:rsidR="00C90B50" w:rsidRDefault="00C90B50">
      <w:pPr>
        <w:rPr>
          <w:sz w:val="24"/>
          <w:szCs w:val="24"/>
          <w:lang w:val="es-MX"/>
        </w:rPr>
      </w:pPr>
      <w:r>
        <w:rPr>
          <w:sz w:val="24"/>
          <w:szCs w:val="24"/>
          <w:lang w:val="es-MX"/>
        </w:rPr>
        <w:br w:type="page"/>
      </w:r>
    </w:p>
    <w:p w:rsidR="00CF2A9C" w:rsidRDefault="00CF2A9C" w:rsidP="00CB0EEA">
      <w:pPr>
        <w:spacing w:after="0" w:line="240" w:lineRule="auto"/>
        <w:jc w:val="center"/>
        <w:rPr>
          <w:rFonts w:ascii="Tahoma" w:hAnsi="Tahoma" w:cs="Tahoma"/>
          <w:b/>
          <w:sz w:val="28"/>
          <w:szCs w:val="28"/>
          <w:lang w:val="es-MX"/>
        </w:rPr>
      </w:pPr>
    </w:p>
    <w:p w:rsidR="00CB0EEA" w:rsidRPr="00BD5BA3" w:rsidRDefault="00CB0EEA" w:rsidP="00CB0EEA">
      <w:pPr>
        <w:spacing w:after="0" w:line="240" w:lineRule="auto"/>
        <w:jc w:val="center"/>
        <w:rPr>
          <w:rFonts w:ascii="Tahoma" w:hAnsi="Tahoma" w:cs="Tahoma"/>
          <w:b/>
          <w:sz w:val="28"/>
          <w:szCs w:val="28"/>
          <w:lang w:val="es-MX"/>
        </w:rPr>
      </w:pPr>
      <w:r w:rsidRPr="00BD5BA3">
        <w:rPr>
          <w:rFonts w:ascii="Tahoma" w:hAnsi="Tahoma" w:cs="Tahoma"/>
          <w:b/>
          <w:sz w:val="28"/>
          <w:szCs w:val="28"/>
          <w:lang w:val="es-MX"/>
        </w:rPr>
        <w:t>Artículos 14 y 15 del Acuerdo Gubernativo No. 55-2016,</w:t>
      </w:r>
    </w:p>
    <w:p w:rsidR="00CB0EEA" w:rsidRPr="001E2617" w:rsidRDefault="00CB0EEA" w:rsidP="00CB0EEA">
      <w:pPr>
        <w:spacing w:after="0" w:line="240" w:lineRule="auto"/>
        <w:jc w:val="center"/>
        <w:rPr>
          <w:rFonts w:ascii="Tahoma" w:hAnsi="Tahoma" w:cs="Tahoma"/>
          <w:sz w:val="28"/>
          <w:szCs w:val="28"/>
          <w:lang w:val="es-MX"/>
        </w:rPr>
      </w:pPr>
      <w:r w:rsidRPr="00BD5BA3">
        <w:rPr>
          <w:rFonts w:ascii="Tahoma" w:hAnsi="Tahoma" w:cs="Tahoma"/>
          <w:b/>
          <w:sz w:val="28"/>
          <w:szCs w:val="28"/>
          <w:lang w:val="es-MX"/>
        </w:rPr>
        <w:t>Reglamento de Manejo de Subsidios</w:t>
      </w:r>
      <w:r w:rsidR="002A1AD7">
        <w:rPr>
          <w:rFonts w:ascii="Tahoma" w:hAnsi="Tahoma" w:cs="Tahoma"/>
          <w:b/>
          <w:sz w:val="28"/>
          <w:szCs w:val="28"/>
          <w:lang w:val="es-MX"/>
        </w:rPr>
        <w:t xml:space="preserve"> y Subvenciones</w:t>
      </w:r>
    </w:p>
    <w:p w:rsidR="00CB0EEA" w:rsidRPr="001E2617" w:rsidRDefault="00CB0EEA" w:rsidP="00CB0EEA">
      <w:pPr>
        <w:spacing w:after="0"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28-marzo-2016, </w:t>
      </w:r>
    </w:p>
    <w:p w:rsidR="00CB0EEA" w:rsidRDefault="00CB0EEA" w:rsidP="00CB0EEA">
      <w:pPr>
        <w:spacing w:after="0" w:line="240" w:lineRule="auto"/>
        <w:jc w:val="right"/>
        <w:rPr>
          <w:rFonts w:ascii="Calibri" w:hAnsi="Calibri" w:cs="Times New Roman"/>
          <w:sz w:val="24"/>
          <w:szCs w:val="24"/>
          <w:lang w:val="es-MX"/>
        </w:rPr>
      </w:pPr>
      <w:r w:rsidRPr="001E2617">
        <w:rPr>
          <w:rFonts w:ascii="Calibri" w:hAnsi="Calibri" w:cs="Times New Roman"/>
          <w:sz w:val="24"/>
          <w:szCs w:val="24"/>
          <w:lang w:val="es-MX"/>
        </w:rPr>
        <w:t>Rige a partir 29-marzo-2016)</w:t>
      </w:r>
    </w:p>
    <w:p w:rsidR="006C7542" w:rsidRPr="001E2617" w:rsidRDefault="006C7542" w:rsidP="00CB0EEA">
      <w:pPr>
        <w:spacing w:after="0" w:line="240" w:lineRule="auto"/>
        <w:jc w:val="right"/>
        <w:rPr>
          <w:rFonts w:ascii="Times New Roman" w:hAnsi="Times New Roman"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14</w:t>
      </w:r>
      <w:r w:rsidRPr="003275AA">
        <w:rPr>
          <w:rFonts w:cs="Times New Roman"/>
          <w:b/>
          <w:sz w:val="24"/>
          <w:szCs w:val="24"/>
          <w:lang w:val="es-MX"/>
        </w:rPr>
        <w:t>. Informes de avance físico y financiero</w:t>
      </w:r>
      <w:r w:rsidRPr="001E2617">
        <w:rPr>
          <w:rFonts w:cs="Times New Roman"/>
          <w:sz w:val="24"/>
          <w:szCs w:val="24"/>
          <w:lang w:val="es-MX"/>
        </w:rPr>
        <w:t xml:space="preserve">.  </w:t>
      </w:r>
      <w:r w:rsidRPr="005C67BE">
        <w:rPr>
          <w:rFonts w:cs="Times New Roman"/>
          <w:b/>
          <w:sz w:val="24"/>
          <w:szCs w:val="24"/>
          <w:u w:val="single"/>
          <w:lang w:val="es-MX"/>
        </w:rPr>
        <w:t>Las entidades beneficiarias de subsidios y/o subvenciones quedan obligadas a remitir a la Dirección de Evaluación Fiscal</w:t>
      </w:r>
      <w:r w:rsidR="00EC5AF5">
        <w:rPr>
          <w:rStyle w:val="Refdenotaalpie"/>
          <w:rFonts w:cs="Times New Roman"/>
          <w:b/>
          <w:sz w:val="24"/>
          <w:szCs w:val="24"/>
          <w:u w:val="single"/>
          <w:lang w:val="es-MX"/>
        </w:rPr>
        <w:footnoteReference w:id="3"/>
      </w:r>
      <w:r w:rsidR="00EC5AF5">
        <w:rPr>
          <w:rFonts w:cs="Times New Roman"/>
          <w:b/>
          <w:sz w:val="24"/>
          <w:szCs w:val="24"/>
          <w:u w:val="single"/>
          <w:lang w:val="es-MX"/>
        </w:rPr>
        <w:t xml:space="preserve"> </w:t>
      </w:r>
      <w:r w:rsidRPr="005C67BE">
        <w:rPr>
          <w:rFonts w:cs="Times New Roman"/>
          <w:b/>
          <w:sz w:val="24"/>
          <w:szCs w:val="24"/>
          <w:u w:val="single"/>
          <w:lang w:val="es-MX"/>
        </w:rPr>
        <w:t>del Ministerio de Finanzas Públicas, al Congreso de la República de Guatemala, a la Contraloría General de Cuentas y a la entidad otorgante en los primeros diez días de cada mes, el informe correspondiente al mes inmediato anterior, sobre el avance físico y financiero, destacando los objetivos, metas, indicadores y resultados alcanzados con los recursos transferidos, así como la población beneficiada</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En el caso que los recursos trasladados se utilicen para sufragar contrataciones de </w:t>
      </w:r>
      <w:r w:rsidRPr="00EC5AF5">
        <w:rPr>
          <w:rFonts w:cs="Times New Roman"/>
          <w:b/>
          <w:sz w:val="24"/>
          <w:szCs w:val="24"/>
          <w:u w:val="single"/>
          <w:lang w:val="es-MX"/>
        </w:rPr>
        <w:t>recurso humano</w:t>
      </w:r>
      <w:r w:rsidRPr="001E2617">
        <w:rPr>
          <w:rFonts w:cs="Times New Roman"/>
          <w:sz w:val="24"/>
          <w:szCs w:val="24"/>
          <w:lang w:val="es-MX"/>
        </w:rPr>
        <w:t xml:space="preserve">, la entidad beneficiaria deberá </w:t>
      </w:r>
      <w:r w:rsidRPr="005C67BE">
        <w:rPr>
          <w:rFonts w:cs="Times New Roman"/>
          <w:b/>
          <w:sz w:val="24"/>
          <w:szCs w:val="24"/>
          <w:u w:val="single"/>
          <w:lang w:val="es-MX"/>
        </w:rPr>
        <w:t>adjuntar un listado</w:t>
      </w:r>
      <w:r w:rsidRPr="001E2617">
        <w:rPr>
          <w:rFonts w:cs="Times New Roman"/>
          <w:sz w:val="24"/>
          <w:szCs w:val="24"/>
          <w:lang w:val="es-MX"/>
        </w:rPr>
        <w:t xml:space="preserve"> indicando el nombre del personal contratado, Código Único de Identificación (CUI), remuneración y plazo de la contratación.</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Esta información servirá de base para efectuar la evaluación presupuestaria correspondiente </w:t>
      </w:r>
      <w:r w:rsidRPr="003A1A5F">
        <w:rPr>
          <w:rFonts w:cs="Times New Roman"/>
          <w:b/>
          <w:sz w:val="24"/>
          <w:szCs w:val="24"/>
          <w:u w:val="single"/>
          <w:lang w:val="es-MX"/>
        </w:rPr>
        <w:t>y será remitida de forma electrónica,</w:t>
      </w:r>
      <w:r w:rsidRPr="001E2617">
        <w:rPr>
          <w:rFonts w:cs="Times New Roman"/>
          <w:sz w:val="24"/>
          <w:szCs w:val="24"/>
          <w:lang w:val="es-MX"/>
        </w:rPr>
        <w:t xml:space="preserve"> </w:t>
      </w:r>
      <w:r w:rsidRPr="005C67BE">
        <w:rPr>
          <w:rFonts w:cs="Times New Roman"/>
          <w:b/>
          <w:sz w:val="24"/>
          <w:szCs w:val="24"/>
          <w:u w:val="single"/>
          <w:lang w:val="es-MX"/>
        </w:rPr>
        <w:t xml:space="preserve">de conformidad con los </w:t>
      </w:r>
      <w:r w:rsidRPr="00FC2AEE">
        <w:rPr>
          <w:rFonts w:cs="Times New Roman"/>
          <w:b/>
          <w:sz w:val="24"/>
          <w:szCs w:val="24"/>
          <w:u w:val="single"/>
          <w:lang w:val="es-MX"/>
        </w:rPr>
        <w:t>formatos</w:t>
      </w:r>
      <w:r w:rsidRPr="00FC2AEE">
        <w:rPr>
          <w:rFonts w:cs="Times New Roman"/>
          <w:sz w:val="24"/>
          <w:szCs w:val="24"/>
          <w:u w:val="single"/>
          <w:lang w:val="es-MX"/>
        </w:rPr>
        <w:t xml:space="preserve"> </w:t>
      </w:r>
      <w:r w:rsidRPr="00FC2AEE">
        <w:rPr>
          <w:rFonts w:cs="Times New Roman"/>
          <w:b/>
          <w:sz w:val="24"/>
          <w:szCs w:val="24"/>
          <w:u w:val="single"/>
          <w:lang w:val="es-MX"/>
        </w:rPr>
        <w:t>que</w:t>
      </w:r>
      <w:r w:rsidRPr="00740F8F">
        <w:rPr>
          <w:rFonts w:cs="Times New Roman"/>
          <w:b/>
          <w:sz w:val="24"/>
          <w:szCs w:val="24"/>
          <w:u w:val="single"/>
          <w:lang w:val="es-MX"/>
        </w:rPr>
        <w:t xml:space="preserve"> el Ministerio de Finanzas Públicas defina para el efecto</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15</w:t>
      </w:r>
      <w:r w:rsidRPr="003275AA">
        <w:rPr>
          <w:rFonts w:cs="Times New Roman"/>
          <w:b/>
          <w:sz w:val="24"/>
          <w:szCs w:val="24"/>
          <w:lang w:val="es-MX"/>
        </w:rPr>
        <w:t>. Acceso a la información</w:t>
      </w:r>
      <w:r w:rsidRPr="001E2617">
        <w:rPr>
          <w:rFonts w:cs="Times New Roman"/>
          <w:sz w:val="24"/>
          <w:szCs w:val="24"/>
          <w:lang w:val="es-MX"/>
        </w:rPr>
        <w:t xml:space="preserve">. Las entidades públicas que otorguen subsidios y/o subvenciones a personas individuales y jurídicas serán responsables de </w:t>
      </w:r>
      <w:r w:rsidRPr="005C67BE">
        <w:rPr>
          <w:rFonts w:cs="Times New Roman"/>
          <w:b/>
          <w:sz w:val="24"/>
          <w:szCs w:val="24"/>
          <w:u w:val="single"/>
          <w:lang w:val="es-MX"/>
        </w:rPr>
        <w:t>actualizar mensualmente y publicar en su portal web</w:t>
      </w:r>
      <w:r w:rsidRPr="001E2617">
        <w:rPr>
          <w:rFonts w:cs="Times New Roman"/>
          <w:sz w:val="24"/>
          <w:szCs w:val="24"/>
          <w:lang w:val="es-MX"/>
        </w:rPr>
        <w:t xml:space="preserve"> los convenios celebrados, los instrumentos legales de aprobación correspondientes, el </w:t>
      </w:r>
      <w:r w:rsidRPr="005C67BE">
        <w:rPr>
          <w:rFonts w:cs="Times New Roman"/>
          <w:b/>
          <w:sz w:val="24"/>
          <w:szCs w:val="24"/>
          <w:u w:val="single"/>
          <w:lang w:val="es-MX"/>
        </w:rPr>
        <w:t>Registro de Personas Individuales</w:t>
      </w:r>
      <w:r w:rsidRPr="001E2617">
        <w:rPr>
          <w:rFonts w:cs="Times New Roman"/>
          <w:sz w:val="24"/>
          <w:szCs w:val="24"/>
          <w:lang w:val="es-MX"/>
        </w:rPr>
        <w:t xml:space="preserve"> beneficiadas con subvención y el </w:t>
      </w:r>
      <w:r w:rsidRPr="005C67BE">
        <w:rPr>
          <w:rFonts w:cs="Times New Roman"/>
          <w:b/>
          <w:sz w:val="24"/>
          <w:szCs w:val="24"/>
          <w:u w:val="single"/>
          <w:lang w:val="es-MX"/>
        </w:rPr>
        <w:t>informe consolidado de avance físico y financiero de los subsidios y subvenciones otorgados</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En cuanto al Registro de Personas Individuales beneficiadas con subvención y el informe consolidado de avance físico y financiero de los subsidios y subvenciones otorgados por la entidad, deberán remitirse al Ministerio de Finanzas Públicas con base a los formatos que para el efecto disponga esa Cartera en su portal web, la información anterior podrá ser compartida entre las entidades del sector público en busca de una atención integral a la ciudadanía.</w:t>
      </w:r>
    </w:p>
    <w:p w:rsidR="00CB0EEA" w:rsidRPr="001E2617" w:rsidRDefault="004050E5" w:rsidP="00CB0EEA">
      <w:pPr>
        <w:jc w:val="both"/>
        <w:rPr>
          <w:rFonts w:cs="Times New Roman"/>
          <w:sz w:val="24"/>
          <w:szCs w:val="24"/>
          <w:lang w:val="es-MX"/>
        </w:rPr>
      </w:pPr>
      <w:r>
        <w:rPr>
          <w:rFonts w:cs="Times New Roman"/>
          <w:noProof/>
          <w:sz w:val="24"/>
          <w:szCs w:val="24"/>
          <w:lang w:eastAsia="es-ES"/>
        </w:rPr>
        <w:pict>
          <v:shape id="_x0000_s1044" type="#_x0000_t32" style="position:absolute;left:0;text-align:left;margin-left:-11.55pt;margin-top:25.45pt;width:462pt;height:0;z-index:251688960" o:connectortype="straight" strokecolor="#f2f2f2 [3041]" strokeweight="3pt">
            <v:shadow on="t" color="#7f7f7f [1601]" opacity=".5" offset="-6pt,-6pt"/>
          </v:shape>
        </w:pict>
      </w:r>
      <w:r w:rsidR="006C7542" w:rsidRPr="001E2617">
        <w:rPr>
          <w:rFonts w:cs="Times New Roman"/>
          <w:sz w:val="24"/>
          <w:szCs w:val="24"/>
          <w:lang w:val="es-MX"/>
        </w:rPr>
        <w:t>(Énfasis propio)</w:t>
      </w:r>
    </w:p>
    <w:sectPr w:rsidR="00CB0EEA" w:rsidRPr="001E2617" w:rsidSect="002E2729">
      <w:headerReference w:type="default" r:id="rId19"/>
      <w:footerReference w:type="default" r:id="rId20"/>
      <w:pgSz w:w="11906" w:h="16838"/>
      <w:pgMar w:top="1276" w:right="1701" w:bottom="1134"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AE" w:rsidRDefault="00D05DAE" w:rsidP="0008490D">
      <w:pPr>
        <w:spacing w:after="0" w:line="240" w:lineRule="auto"/>
      </w:pPr>
      <w:r>
        <w:separator/>
      </w:r>
    </w:p>
  </w:endnote>
  <w:endnote w:type="continuationSeparator" w:id="0">
    <w:p w:rsidR="00D05DAE" w:rsidRDefault="00D05DAE" w:rsidP="0008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706"/>
      <w:docPartObj>
        <w:docPartGallery w:val="Page Numbers (Bottom of Page)"/>
        <w:docPartUnique/>
      </w:docPartObj>
    </w:sdtPr>
    <w:sdtContent>
      <w:p w:rsidR="00EC5AF5" w:rsidRDefault="004050E5" w:rsidP="0084250F">
        <w:pPr>
          <w:pStyle w:val="Piedepgina"/>
          <w:jc w:val="center"/>
        </w:pPr>
        <w:fldSimple w:instr=" PAGE   \* MERGEFORMAT ">
          <w:r w:rsidR="005F6EB6">
            <w:rPr>
              <w:noProof/>
            </w:rPr>
            <w:t>vii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AE" w:rsidRDefault="00D05DAE" w:rsidP="0008490D">
      <w:pPr>
        <w:spacing w:after="0" w:line="240" w:lineRule="auto"/>
      </w:pPr>
      <w:r>
        <w:separator/>
      </w:r>
    </w:p>
  </w:footnote>
  <w:footnote w:type="continuationSeparator" w:id="0">
    <w:p w:rsidR="00D05DAE" w:rsidRDefault="00D05DAE" w:rsidP="0008490D">
      <w:pPr>
        <w:spacing w:after="0" w:line="240" w:lineRule="auto"/>
      </w:pPr>
      <w:r>
        <w:continuationSeparator/>
      </w:r>
    </w:p>
  </w:footnote>
  <w:footnote w:id="1">
    <w:p w:rsidR="00EC5AF5" w:rsidRPr="00CD7085" w:rsidRDefault="00EC5AF5" w:rsidP="00CD7085">
      <w:pPr>
        <w:spacing w:after="0" w:line="240" w:lineRule="auto"/>
        <w:jc w:val="both"/>
        <w:rPr>
          <w:rFonts w:ascii="Times New Roman" w:hAnsi="Times New Roman" w:cs="Times New Roman"/>
          <w:sz w:val="20"/>
          <w:szCs w:val="20"/>
        </w:rPr>
      </w:pPr>
      <w:r>
        <w:rPr>
          <w:rStyle w:val="Refdenotaalpie"/>
        </w:rPr>
        <w:footnoteRef/>
      </w:r>
      <w:r>
        <w:t xml:space="preserve"> </w:t>
      </w:r>
      <w:r w:rsidRPr="00A42E6A">
        <w:rPr>
          <w:rFonts w:ascii="Arial" w:hAnsi="Arial" w:cs="Arial"/>
          <w:sz w:val="20"/>
          <w:szCs w:val="20"/>
        </w:rPr>
        <w:t>El Artículo 21 del Decreto No. 13-2013, que reformó la Ley Orgánica del Presupuesto, adicionó el artículo 32 Bis.</w:t>
      </w:r>
      <w:r w:rsidRPr="00CD7085">
        <w:rPr>
          <w:rFonts w:ascii="Times New Roman" w:hAnsi="Times New Roman" w:cs="Times New Roman"/>
          <w:sz w:val="20"/>
          <w:szCs w:val="20"/>
        </w:rPr>
        <w:t xml:space="preserve"> </w:t>
      </w:r>
    </w:p>
    <w:p w:rsidR="00EC5AF5" w:rsidRPr="001F18CE" w:rsidRDefault="00EC5AF5">
      <w:pPr>
        <w:pStyle w:val="Textonotapie"/>
        <w:rPr>
          <w:rFonts w:ascii="Times New Roman" w:hAnsi="Times New Roman" w:cs="Times New Roman"/>
          <w:sz w:val="24"/>
          <w:szCs w:val="24"/>
        </w:rPr>
      </w:pPr>
    </w:p>
  </w:footnote>
  <w:footnote w:id="2">
    <w:p w:rsidR="005B310F" w:rsidRPr="005B310F" w:rsidRDefault="005B310F" w:rsidP="00674236">
      <w:pPr>
        <w:pStyle w:val="Textonotapie"/>
        <w:jc w:val="both"/>
      </w:pPr>
      <w:r>
        <w:rPr>
          <w:rStyle w:val="Refdenotaalpie"/>
        </w:rPr>
        <w:footnoteRef/>
      </w:r>
      <w:r>
        <w:t xml:space="preserve"> Se adiciona</w:t>
      </w:r>
      <w:r w:rsidR="00674236">
        <w:t>n los</w:t>
      </w:r>
      <w:r>
        <w:t xml:space="preserve"> </w:t>
      </w:r>
      <w:r w:rsidR="00674236">
        <w:t xml:space="preserve">dos párrafos finales </w:t>
      </w:r>
      <w:r>
        <w:t xml:space="preserve"> por el Artículo 2 del Decreto Número 9-2014 del Congreso de la República</w:t>
      </w:r>
      <w:r w:rsidR="00674236">
        <w:t xml:space="preserve"> de Guatemala</w:t>
      </w:r>
      <w:r>
        <w:t>.</w:t>
      </w:r>
    </w:p>
  </w:footnote>
  <w:footnote w:id="3">
    <w:p w:rsidR="00EC5AF5" w:rsidRPr="00EC5AF5" w:rsidRDefault="00EC5AF5" w:rsidP="00DA0B43">
      <w:pPr>
        <w:pStyle w:val="Textonotapie"/>
        <w:jc w:val="both"/>
        <w:rPr>
          <w:lang w:val="es-GT"/>
        </w:rPr>
      </w:pPr>
      <w:r>
        <w:rPr>
          <w:rStyle w:val="Refdenotaalpie"/>
        </w:rPr>
        <w:footnoteRef/>
      </w:r>
      <w:r>
        <w:t xml:space="preserve"> D</w:t>
      </w:r>
      <w:r>
        <w:rPr>
          <w:lang w:val="es-GT"/>
        </w:rPr>
        <w:t xml:space="preserve">e conformidad con el Acuerdo Ministerial No. 321-2018 que aprobó la estructura orgánica interna del Ministerio de Finanzas Públicas, artículo </w:t>
      </w:r>
      <w:r w:rsidR="00284F90">
        <w:rPr>
          <w:lang w:val="es-GT"/>
        </w:rPr>
        <w:t>7</w:t>
      </w:r>
      <w:r>
        <w:rPr>
          <w:lang w:val="es-GT"/>
        </w:rPr>
        <w:t>, segundo párrafo, toda referencia a la Dirección de Evaluación Fiscal deberá entender</w:t>
      </w:r>
      <w:r w:rsidR="00DA0B43">
        <w:rPr>
          <w:lang w:val="es-GT"/>
        </w:rPr>
        <w:t>se</w:t>
      </w:r>
      <w:r>
        <w:rPr>
          <w:lang w:val="es-GT"/>
        </w:rPr>
        <w:t xml:space="preserve"> que se refiere a la </w:t>
      </w:r>
      <w:r w:rsidR="00DA0B43">
        <w:rPr>
          <w:lang w:val="es-GT"/>
        </w:rPr>
        <w:t>Dirección de Transparencia Fiscal.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0F" w:rsidRPr="0084250F" w:rsidRDefault="0084250F"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Marco Legal</w:t>
    </w:r>
  </w:p>
  <w:p w:rsidR="0084250F" w:rsidRPr="0084250F" w:rsidRDefault="0084250F"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Informes de Avance Físico y Financiero-2020</w:t>
    </w:r>
  </w:p>
  <w:p w:rsidR="0084250F" w:rsidRDefault="0084250F" w:rsidP="0084250F">
    <w:pPr>
      <w:pStyle w:val="Encabezado"/>
      <w:pBdr>
        <w:bottom w:val="double" w:sz="4" w:space="1" w:color="548DD4" w:themeColor="text2" w:themeTint="9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2D8"/>
    <w:multiLevelType w:val="hybridMultilevel"/>
    <w:tmpl w:val="35EC0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5C25F8"/>
    <w:multiLevelType w:val="hybridMultilevel"/>
    <w:tmpl w:val="321606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A6063A"/>
    <w:multiLevelType w:val="hybridMultilevel"/>
    <w:tmpl w:val="64884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F44CB5"/>
    <w:multiLevelType w:val="hybridMultilevel"/>
    <w:tmpl w:val="E0E06B9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AB3631"/>
    <w:multiLevelType w:val="hybridMultilevel"/>
    <w:tmpl w:val="3B56B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AC7CB5"/>
    <w:multiLevelType w:val="hybridMultilevel"/>
    <w:tmpl w:val="79DA2EC4"/>
    <w:lvl w:ilvl="0" w:tplc="100A0017">
      <w:start w:val="1"/>
      <w:numFmt w:val="lowerLetter"/>
      <w:lvlText w:val="%1)"/>
      <w:lvlJc w:val="left"/>
      <w:pPr>
        <w:ind w:left="3930" w:hanging="360"/>
      </w:pPr>
      <w:rPr>
        <w:rFonts w:hint="default"/>
      </w:rPr>
    </w:lvl>
    <w:lvl w:ilvl="1" w:tplc="100A0019" w:tentative="1">
      <w:start w:val="1"/>
      <w:numFmt w:val="lowerLetter"/>
      <w:lvlText w:val="%2."/>
      <w:lvlJc w:val="left"/>
      <w:pPr>
        <w:ind w:left="4650" w:hanging="360"/>
      </w:pPr>
    </w:lvl>
    <w:lvl w:ilvl="2" w:tplc="100A001B" w:tentative="1">
      <w:start w:val="1"/>
      <w:numFmt w:val="lowerRoman"/>
      <w:lvlText w:val="%3."/>
      <w:lvlJc w:val="right"/>
      <w:pPr>
        <w:ind w:left="5370" w:hanging="180"/>
      </w:pPr>
    </w:lvl>
    <w:lvl w:ilvl="3" w:tplc="100A000F" w:tentative="1">
      <w:start w:val="1"/>
      <w:numFmt w:val="decimal"/>
      <w:lvlText w:val="%4."/>
      <w:lvlJc w:val="left"/>
      <w:pPr>
        <w:ind w:left="6090" w:hanging="360"/>
      </w:pPr>
    </w:lvl>
    <w:lvl w:ilvl="4" w:tplc="100A0019" w:tentative="1">
      <w:start w:val="1"/>
      <w:numFmt w:val="lowerLetter"/>
      <w:lvlText w:val="%5."/>
      <w:lvlJc w:val="left"/>
      <w:pPr>
        <w:ind w:left="6810" w:hanging="360"/>
      </w:pPr>
    </w:lvl>
    <w:lvl w:ilvl="5" w:tplc="100A001B" w:tentative="1">
      <w:start w:val="1"/>
      <w:numFmt w:val="lowerRoman"/>
      <w:lvlText w:val="%6."/>
      <w:lvlJc w:val="right"/>
      <w:pPr>
        <w:ind w:left="7530" w:hanging="180"/>
      </w:pPr>
    </w:lvl>
    <w:lvl w:ilvl="6" w:tplc="100A000F" w:tentative="1">
      <w:start w:val="1"/>
      <w:numFmt w:val="decimal"/>
      <w:lvlText w:val="%7."/>
      <w:lvlJc w:val="left"/>
      <w:pPr>
        <w:ind w:left="8250" w:hanging="360"/>
      </w:pPr>
    </w:lvl>
    <w:lvl w:ilvl="7" w:tplc="100A0019" w:tentative="1">
      <w:start w:val="1"/>
      <w:numFmt w:val="lowerLetter"/>
      <w:lvlText w:val="%8."/>
      <w:lvlJc w:val="left"/>
      <w:pPr>
        <w:ind w:left="8970" w:hanging="360"/>
      </w:pPr>
    </w:lvl>
    <w:lvl w:ilvl="8" w:tplc="100A001B" w:tentative="1">
      <w:start w:val="1"/>
      <w:numFmt w:val="lowerRoman"/>
      <w:lvlText w:val="%9."/>
      <w:lvlJc w:val="right"/>
      <w:pPr>
        <w:ind w:left="9690" w:hanging="180"/>
      </w:pPr>
    </w:lvl>
  </w:abstractNum>
  <w:abstractNum w:abstractNumId="6">
    <w:nsid w:val="2D5603BE"/>
    <w:multiLevelType w:val="hybridMultilevel"/>
    <w:tmpl w:val="A4F24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A36627"/>
    <w:multiLevelType w:val="hybridMultilevel"/>
    <w:tmpl w:val="3B20CC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9218D5"/>
    <w:multiLevelType w:val="hybridMultilevel"/>
    <w:tmpl w:val="56A0B4A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4DC253C"/>
    <w:multiLevelType w:val="hybridMultilevel"/>
    <w:tmpl w:val="AE28A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041C73"/>
    <w:multiLevelType w:val="hybridMultilevel"/>
    <w:tmpl w:val="41E8E1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7C3903"/>
    <w:multiLevelType w:val="hybridMultilevel"/>
    <w:tmpl w:val="12EC4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68494F"/>
    <w:multiLevelType w:val="hybridMultilevel"/>
    <w:tmpl w:val="4E1A96E4"/>
    <w:lvl w:ilvl="0" w:tplc="26887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607CD0"/>
    <w:multiLevelType w:val="hybridMultilevel"/>
    <w:tmpl w:val="1D1C100C"/>
    <w:lvl w:ilvl="0" w:tplc="8482DAB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2E0313C"/>
    <w:multiLevelType w:val="hybridMultilevel"/>
    <w:tmpl w:val="507649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7A45D1"/>
    <w:multiLevelType w:val="hybridMultilevel"/>
    <w:tmpl w:val="95509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9A242C"/>
    <w:multiLevelType w:val="hybridMultilevel"/>
    <w:tmpl w:val="8A1CB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343863"/>
    <w:multiLevelType w:val="hybridMultilevel"/>
    <w:tmpl w:val="6ADE5A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6326C7"/>
    <w:multiLevelType w:val="hybridMultilevel"/>
    <w:tmpl w:val="042A3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A46768"/>
    <w:multiLevelType w:val="hybridMultilevel"/>
    <w:tmpl w:val="937EE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132973"/>
    <w:multiLevelType w:val="hybridMultilevel"/>
    <w:tmpl w:val="A2BA63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252B5D"/>
    <w:multiLevelType w:val="hybridMultilevel"/>
    <w:tmpl w:val="4F9C7C3E"/>
    <w:lvl w:ilvl="0" w:tplc="05DC16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B553A1B"/>
    <w:multiLevelType w:val="hybridMultilevel"/>
    <w:tmpl w:val="EE26E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B23E8E"/>
    <w:multiLevelType w:val="hybridMultilevel"/>
    <w:tmpl w:val="692650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1375E1"/>
    <w:multiLevelType w:val="hybridMultilevel"/>
    <w:tmpl w:val="A67A2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3"/>
  </w:num>
  <w:num w:numId="5">
    <w:abstractNumId w:val="8"/>
  </w:num>
  <w:num w:numId="6">
    <w:abstractNumId w:val="16"/>
  </w:num>
  <w:num w:numId="7">
    <w:abstractNumId w:val="21"/>
  </w:num>
  <w:num w:numId="8">
    <w:abstractNumId w:val="12"/>
  </w:num>
  <w:num w:numId="9">
    <w:abstractNumId w:val="11"/>
  </w:num>
  <w:num w:numId="10">
    <w:abstractNumId w:val="22"/>
  </w:num>
  <w:num w:numId="11">
    <w:abstractNumId w:val="1"/>
  </w:num>
  <w:num w:numId="12">
    <w:abstractNumId w:val="9"/>
  </w:num>
  <w:num w:numId="13">
    <w:abstractNumId w:val="17"/>
  </w:num>
  <w:num w:numId="14">
    <w:abstractNumId w:val="23"/>
  </w:num>
  <w:num w:numId="15">
    <w:abstractNumId w:val="6"/>
  </w:num>
  <w:num w:numId="16">
    <w:abstractNumId w:val="20"/>
  </w:num>
  <w:num w:numId="17">
    <w:abstractNumId w:val="2"/>
  </w:num>
  <w:num w:numId="18">
    <w:abstractNumId w:val="15"/>
  </w:num>
  <w:num w:numId="19">
    <w:abstractNumId w:val="24"/>
  </w:num>
  <w:num w:numId="20">
    <w:abstractNumId w:val="3"/>
  </w:num>
  <w:num w:numId="21">
    <w:abstractNumId w:val="4"/>
  </w:num>
  <w:num w:numId="22">
    <w:abstractNumId w:val="19"/>
  </w:num>
  <w:num w:numId="23">
    <w:abstractNumId w:val="14"/>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674F69"/>
    <w:rsid w:val="00023813"/>
    <w:rsid w:val="00034964"/>
    <w:rsid w:val="00040065"/>
    <w:rsid w:val="00042C6B"/>
    <w:rsid w:val="00053D3A"/>
    <w:rsid w:val="00060316"/>
    <w:rsid w:val="00061108"/>
    <w:rsid w:val="000640FE"/>
    <w:rsid w:val="00071661"/>
    <w:rsid w:val="000809F7"/>
    <w:rsid w:val="0008490D"/>
    <w:rsid w:val="00097732"/>
    <w:rsid w:val="000A063F"/>
    <w:rsid w:val="000A529C"/>
    <w:rsid w:val="000A61A5"/>
    <w:rsid w:val="000B64B8"/>
    <w:rsid w:val="000B7B19"/>
    <w:rsid w:val="000D4768"/>
    <w:rsid w:val="000D654E"/>
    <w:rsid w:val="000D75EB"/>
    <w:rsid w:val="000E270C"/>
    <w:rsid w:val="000E3F71"/>
    <w:rsid w:val="000E7F86"/>
    <w:rsid w:val="000F2B5A"/>
    <w:rsid w:val="000F3C2A"/>
    <w:rsid w:val="000F6A7D"/>
    <w:rsid w:val="00102E5E"/>
    <w:rsid w:val="00116179"/>
    <w:rsid w:val="00131963"/>
    <w:rsid w:val="00134F74"/>
    <w:rsid w:val="00134F7C"/>
    <w:rsid w:val="00140EC1"/>
    <w:rsid w:val="001707A8"/>
    <w:rsid w:val="0017188C"/>
    <w:rsid w:val="00171D4A"/>
    <w:rsid w:val="00187273"/>
    <w:rsid w:val="001C2813"/>
    <w:rsid w:val="001C5000"/>
    <w:rsid w:val="001D2403"/>
    <w:rsid w:val="001E2430"/>
    <w:rsid w:val="001E2617"/>
    <w:rsid w:val="001E6E1B"/>
    <w:rsid w:val="001F05D7"/>
    <w:rsid w:val="001F092F"/>
    <w:rsid w:val="001F18CE"/>
    <w:rsid w:val="00202DDF"/>
    <w:rsid w:val="0020335A"/>
    <w:rsid w:val="00205FC8"/>
    <w:rsid w:val="002111EC"/>
    <w:rsid w:val="0022391D"/>
    <w:rsid w:val="00240405"/>
    <w:rsid w:val="00240A68"/>
    <w:rsid w:val="002501A5"/>
    <w:rsid w:val="00262E94"/>
    <w:rsid w:val="00267511"/>
    <w:rsid w:val="00284F90"/>
    <w:rsid w:val="00291BE3"/>
    <w:rsid w:val="00292E95"/>
    <w:rsid w:val="002A0B31"/>
    <w:rsid w:val="002A1AD7"/>
    <w:rsid w:val="002B29C1"/>
    <w:rsid w:val="002C2894"/>
    <w:rsid w:val="002C7F36"/>
    <w:rsid w:val="002D1BB3"/>
    <w:rsid w:val="002D4599"/>
    <w:rsid w:val="002E2729"/>
    <w:rsid w:val="002F6ECD"/>
    <w:rsid w:val="003223FF"/>
    <w:rsid w:val="003275AA"/>
    <w:rsid w:val="003312E4"/>
    <w:rsid w:val="00332784"/>
    <w:rsid w:val="00336DD1"/>
    <w:rsid w:val="00343425"/>
    <w:rsid w:val="00353E57"/>
    <w:rsid w:val="00365B8D"/>
    <w:rsid w:val="00380048"/>
    <w:rsid w:val="00396224"/>
    <w:rsid w:val="003A1A5F"/>
    <w:rsid w:val="003B18EA"/>
    <w:rsid w:val="003B3FDB"/>
    <w:rsid w:val="003C4912"/>
    <w:rsid w:val="003E3173"/>
    <w:rsid w:val="003F6A48"/>
    <w:rsid w:val="004050E5"/>
    <w:rsid w:val="004117F5"/>
    <w:rsid w:val="00414C46"/>
    <w:rsid w:val="00420506"/>
    <w:rsid w:val="00423755"/>
    <w:rsid w:val="00423A0B"/>
    <w:rsid w:val="00444B3C"/>
    <w:rsid w:val="00471ABC"/>
    <w:rsid w:val="00480A3B"/>
    <w:rsid w:val="004A0185"/>
    <w:rsid w:val="004E0922"/>
    <w:rsid w:val="004F2771"/>
    <w:rsid w:val="00502348"/>
    <w:rsid w:val="00530D75"/>
    <w:rsid w:val="00536DE6"/>
    <w:rsid w:val="005445DD"/>
    <w:rsid w:val="00560EB5"/>
    <w:rsid w:val="00565D20"/>
    <w:rsid w:val="005B310F"/>
    <w:rsid w:val="005C67BE"/>
    <w:rsid w:val="005D22FE"/>
    <w:rsid w:val="005E7336"/>
    <w:rsid w:val="005F313D"/>
    <w:rsid w:val="005F607B"/>
    <w:rsid w:val="005F6EB6"/>
    <w:rsid w:val="006062E7"/>
    <w:rsid w:val="0060724B"/>
    <w:rsid w:val="00635F85"/>
    <w:rsid w:val="00641074"/>
    <w:rsid w:val="0065015B"/>
    <w:rsid w:val="00657E35"/>
    <w:rsid w:val="00665146"/>
    <w:rsid w:val="00674236"/>
    <w:rsid w:val="00674F69"/>
    <w:rsid w:val="00675ED8"/>
    <w:rsid w:val="00677209"/>
    <w:rsid w:val="00693DC8"/>
    <w:rsid w:val="006A1699"/>
    <w:rsid w:val="006C7542"/>
    <w:rsid w:val="006D67C3"/>
    <w:rsid w:val="006E115E"/>
    <w:rsid w:val="006E178A"/>
    <w:rsid w:val="00716AFE"/>
    <w:rsid w:val="00740F8F"/>
    <w:rsid w:val="00752C3C"/>
    <w:rsid w:val="00761B59"/>
    <w:rsid w:val="007A20B4"/>
    <w:rsid w:val="007A7DA0"/>
    <w:rsid w:val="007C4329"/>
    <w:rsid w:val="007C58C2"/>
    <w:rsid w:val="007E6AEA"/>
    <w:rsid w:val="007F3548"/>
    <w:rsid w:val="007F5BDB"/>
    <w:rsid w:val="00803B10"/>
    <w:rsid w:val="00820CDF"/>
    <w:rsid w:val="00824515"/>
    <w:rsid w:val="00825E3E"/>
    <w:rsid w:val="00841F30"/>
    <w:rsid w:val="0084250F"/>
    <w:rsid w:val="00882A3C"/>
    <w:rsid w:val="008B43D9"/>
    <w:rsid w:val="008C0118"/>
    <w:rsid w:val="008D72B3"/>
    <w:rsid w:val="008E3E5D"/>
    <w:rsid w:val="008E45C2"/>
    <w:rsid w:val="008F28FC"/>
    <w:rsid w:val="008F2D04"/>
    <w:rsid w:val="008F70EA"/>
    <w:rsid w:val="00912B16"/>
    <w:rsid w:val="00924765"/>
    <w:rsid w:val="00926195"/>
    <w:rsid w:val="00983907"/>
    <w:rsid w:val="00984718"/>
    <w:rsid w:val="00985716"/>
    <w:rsid w:val="009B12CE"/>
    <w:rsid w:val="009C49D2"/>
    <w:rsid w:val="009D24A3"/>
    <w:rsid w:val="009E761A"/>
    <w:rsid w:val="00A01583"/>
    <w:rsid w:val="00A16995"/>
    <w:rsid w:val="00A27372"/>
    <w:rsid w:val="00A36884"/>
    <w:rsid w:val="00A42E6A"/>
    <w:rsid w:val="00A62394"/>
    <w:rsid w:val="00A823C6"/>
    <w:rsid w:val="00A86C97"/>
    <w:rsid w:val="00A92ADD"/>
    <w:rsid w:val="00AA45C4"/>
    <w:rsid w:val="00AB0EF0"/>
    <w:rsid w:val="00AB24B8"/>
    <w:rsid w:val="00AB4642"/>
    <w:rsid w:val="00AB472B"/>
    <w:rsid w:val="00AC7823"/>
    <w:rsid w:val="00AE7331"/>
    <w:rsid w:val="00B07563"/>
    <w:rsid w:val="00B2059F"/>
    <w:rsid w:val="00B24B73"/>
    <w:rsid w:val="00B24FC7"/>
    <w:rsid w:val="00B839FA"/>
    <w:rsid w:val="00B85707"/>
    <w:rsid w:val="00B86F63"/>
    <w:rsid w:val="00BA2AA0"/>
    <w:rsid w:val="00BB304C"/>
    <w:rsid w:val="00BB695B"/>
    <w:rsid w:val="00BB6AA6"/>
    <w:rsid w:val="00BC61E8"/>
    <w:rsid w:val="00BC6DF9"/>
    <w:rsid w:val="00BC791B"/>
    <w:rsid w:val="00BD5BA3"/>
    <w:rsid w:val="00BE2603"/>
    <w:rsid w:val="00BE3862"/>
    <w:rsid w:val="00BE5D80"/>
    <w:rsid w:val="00C04372"/>
    <w:rsid w:val="00C060B2"/>
    <w:rsid w:val="00C337CF"/>
    <w:rsid w:val="00C358BC"/>
    <w:rsid w:val="00C41368"/>
    <w:rsid w:val="00C44774"/>
    <w:rsid w:val="00C456CD"/>
    <w:rsid w:val="00C76B41"/>
    <w:rsid w:val="00C77CC4"/>
    <w:rsid w:val="00C85150"/>
    <w:rsid w:val="00C90B50"/>
    <w:rsid w:val="00C94B33"/>
    <w:rsid w:val="00C97777"/>
    <w:rsid w:val="00CB0EEA"/>
    <w:rsid w:val="00CC4CF8"/>
    <w:rsid w:val="00CD05F7"/>
    <w:rsid w:val="00CD7085"/>
    <w:rsid w:val="00CD7C15"/>
    <w:rsid w:val="00CF2969"/>
    <w:rsid w:val="00CF2A9C"/>
    <w:rsid w:val="00D05DAE"/>
    <w:rsid w:val="00D1182C"/>
    <w:rsid w:val="00D37FF9"/>
    <w:rsid w:val="00D62F1E"/>
    <w:rsid w:val="00D75A60"/>
    <w:rsid w:val="00D766B4"/>
    <w:rsid w:val="00D807BB"/>
    <w:rsid w:val="00D81E76"/>
    <w:rsid w:val="00D85833"/>
    <w:rsid w:val="00D92A8B"/>
    <w:rsid w:val="00DA07A5"/>
    <w:rsid w:val="00DA0B43"/>
    <w:rsid w:val="00DB344B"/>
    <w:rsid w:val="00DC7939"/>
    <w:rsid w:val="00DE1465"/>
    <w:rsid w:val="00E02676"/>
    <w:rsid w:val="00E04064"/>
    <w:rsid w:val="00E30AD2"/>
    <w:rsid w:val="00E33907"/>
    <w:rsid w:val="00E724BC"/>
    <w:rsid w:val="00E8220A"/>
    <w:rsid w:val="00EA02C6"/>
    <w:rsid w:val="00EA42F5"/>
    <w:rsid w:val="00EA4B93"/>
    <w:rsid w:val="00EB27B2"/>
    <w:rsid w:val="00EB5F56"/>
    <w:rsid w:val="00EC44DA"/>
    <w:rsid w:val="00EC5AF5"/>
    <w:rsid w:val="00EC78AE"/>
    <w:rsid w:val="00ED21F6"/>
    <w:rsid w:val="00ED2CB2"/>
    <w:rsid w:val="00EE19DB"/>
    <w:rsid w:val="00EE68C0"/>
    <w:rsid w:val="00EF2FC7"/>
    <w:rsid w:val="00EF72D3"/>
    <w:rsid w:val="00F1122D"/>
    <w:rsid w:val="00F15BB0"/>
    <w:rsid w:val="00F370B4"/>
    <w:rsid w:val="00F37F6B"/>
    <w:rsid w:val="00F425EB"/>
    <w:rsid w:val="00F45F78"/>
    <w:rsid w:val="00F52A6B"/>
    <w:rsid w:val="00F60B24"/>
    <w:rsid w:val="00F623FA"/>
    <w:rsid w:val="00F847FD"/>
    <w:rsid w:val="00FA6A09"/>
    <w:rsid w:val="00FC2AEE"/>
    <w:rsid w:val="00FD5AE9"/>
    <w:rsid w:val="00FD7810"/>
    <w:rsid w:val="00FF261D"/>
    <w:rsid w:val="00FF49C2"/>
    <w:rsid w:val="00FF53F4"/>
    <w:rsid w:val="00FF7E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5" type="connector" idref="#_x0000_s1039"/>
        <o:r id="V:Rule6" type="connector" idref="#_x0000_s1031"/>
        <o:r id="V:Rule7" type="connector" idref="#_x0000_s1044"/>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724BC"/>
    <w:pPr>
      <w:tabs>
        <w:tab w:val="center" w:pos="4252"/>
        <w:tab w:val="right" w:pos="8504"/>
      </w:tabs>
      <w:spacing w:after="0" w:line="240" w:lineRule="auto"/>
    </w:pPr>
    <w:rPr>
      <w:lang w:val="es-GT"/>
    </w:rPr>
  </w:style>
  <w:style w:type="character" w:customStyle="1" w:styleId="EncabezadoCar">
    <w:name w:val="Encabezado Car"/>
    <w:basedOn w:val="Fuentedeprrafopredeter"/>
    <w:link w:val="Encabezado"/>
    <w:uiPriority w:val="99"/>
    <w:semiHidden/>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rPr>
      <w:lang w:val="es-GT"/>
    </w:r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rPr>
      <w:lang w:val="es-GT"/>
    </w:r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 w:type="paragraph" w:styleId="Textodeglobo">
    <w:name w:val="Balloon Text"/>
    <w:basedOn w:val="Normal"/>
    <w:link w:val="TextodegloboCar"/>
    <w:uiPriority w:val="99"/>
    <w:semiHidden/>
    <w:unhideWhenUsed/>
    <w:rsid w:val="00DE1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73925-D5DD-48A5-8521-92CB0EF08231}" type="doc">
      <dgm:prSet loTypeId="urn:microsoft.com/office/officeart/2005/8/layout/hList6" loCatId="list" qsTypeId="urn:microsoft.com/office/officeart/2005/8/quickstyle/3d3" qsCatId="3D" csTypeId="urn:microsoft.com/office/officeart/2005/8/colors/accent1_5" csCatId="accent1" phldr="1"/>
      <dgm:spPr/>
      <dgm:t>
        <a:bodyPr/>
        <a:lstStyle/>
        <a:p>
          <a:endParaRPr lang="es-ES"/>
        </a:p>
      </dgm:t>
    </dgm:pt>
    <dgm:pt modelId="{F0A8F485-CFC8-43D1-B8F3-A8C4D215F73C}">
      <dgm:prSet phldrT="[Texto]" custT="1"/>
      <dgm:spPr/>
      <dgm:t>
        <a:bodyPr/>
        <a:lstStyle/>
        <a:p>
          <a:pPr algn="ctr"/>
          <a:r>
            <a:rPr lang="es-ES" sz="2400">
              <a:solidFill>
                <a:sysClr val="windowText" lastClr="000000"/>
              </a:solidFill>
            </a:rPr>
            <a:t>Marco Legal</a:t>
          </a:r>
        </a:p>
      </dgm:t>
    </dgm:pt>
    <dgm:pt modelId="{C5D073DE-62D4-43C4-974E-43FE2AEE4F97}" type="parTrans" cxnId="{44A3F09C-F598-4E0A-B53F-0751E0DE7C26}">
      <dgm:prSet/>
      <dgm:spPr/>
      <dgm:t>
        <a:bodyPr/>
        <a:lstStyle/>
        <a:p>
          <a:endParaRPr lang="es-ES" sz="2400">
            <a:solidFill>
              <a:sysClr val="windowText" lastClr="000000"/>
            </a:solidFill>
          </a:endParaRPr>
        </a:p>
      </dgm:t>
    </dgm:pt>
    <dgm:pt modelId="{54A8365C-08BC-4EAF-B016-03713107E54A}" type="sibTrans" cxnId="{44A3F09C-F598-4E0A-B53F-0751E0DE7C26}">
      <dgm:prSet/>
      <dgm:spPr/>
      <dgm:t>
        <a:bodyPr/>
        <a:lstStyle/>
        <a:p>
          <a:endParaRPr lang="es-ES" sz="2400">
            <a:solidFill>
              <a:sysClr val="windowText" lastClr="000000"/>
            </a:solidFill>
          </a:endParaRPr>
        </a:p>
      </dgm:t>
    </dgm:pt>
    <dgm:pt modelId="{A976F6EE-FE10-4DDB-A048-8C7AD99A7957}">
      <dgm:prSet phldrT="[Texto]" custT="1"/>
      <dgm:spPr/>
      <dgm:t>
        <a:bodyPr/>
        <a:lstStyle/>
        <a:p>
          <a:pPr algn="ctr"/>
          <a:r>
            <a:rPr lang="es-ES" sz="2400">
              <a:solidFill>
                <a:sysClr val="windowText" lastClr="000000"/>
              </a:solidFill>
            </a:rPr>
            <a:t>Informes de </a:t>
          </a:r>
        </a:p>
        <a:p>
          <a:pPr algn="ctr"/>
          <a:r>
            <a:rPr lang="es-ES" sz="2400">
              <a:solidFill>
                <a:sysClr val="windowText" lastClr="000000"/>
              </a:solidFill>
            </a:rPr>
            <a:t>Avance Físico y Financiero-2020</a:t>
          </a:r>
        </a:p>
      </dgm:t>
    </dgm:pt>
    <dgm:pt modelId="{BC739B0A-C9D1-4CD6-8994-FC9014D41D21}" type="parTrans" cxnId="{9BCE68BD-3364-44EE-A218-B8B266D1DBA2}">
      <dgm:prSet/>
      <dgm:spPr/>
      <dgm:t>
        <a:bodyPr/>
        <a:lstStyle/>
        <a:p>
          <a:endParaRPr lang="es-ES" sz="2400">
            <a:solidFill>
              <a:sysClr val="windowText" lastClr="000000"/>
            </a:solidFill>
          </a:endParaRPr>
        </a:p>
      </dgm:t>
    </dgm:pt>
    <dgm:pt modelId="{4F619B8B-EF97-4834-B8DA-CAA97FCD1BBA}" type="sibTrans" cxnId="{9BCE68BD-3364-44EE-A218-B8B266D1DBA2}">
      <dgm:prSet/>
      <dgm:spPr/>
      <dgm:t>
        <a:bodyPr/>
        <a:lstStyle/>
        <a:p>
          <a:endParaRPr lang="es-ES" sz="2400">
            <a:solidFill>
              <a:sysClr val="windowText" lastClr="000000"/>
            </a:solidFill>
          </a:endParaRPr>
        </a:p>
      </dgm:t>
    </dgm:pt>
    <dgm:pt modelId="{AEECE82A-279E-4446-A70E-582DD19C8191}" type="pres">
      <dgm:prSet presAssocID="{8D073925-D5DD-48A5-8521-92CB0EF08231}" presName="Name0" presStyleCnt="0">
        <dgm:presLayoutVars>
          <dgm:dir/>
          <dgm:resizeHandles val="exact"/>
        </dgm:presLayoutVars>
      </dgm:prSet>
      <dgm:spPr/>
      <dgm:t>
        <a:bodyPr/>
        <a:lstStyle/>
        <a:p>
          <a:endParaRPr lang="es-ES"/>
        </a:p>
      </dgm:t>
    </dgm:pt>
    <dgm:pt modelId="{B01DF961-AA6A-478C-A3F2-7C9E926A9E1D}" type="pres">
      <dgm:prSet presAssocID="{F0A8F485-CFC8-43D1-B8F3-A8C4D215F73C}" presName="node" presStyleLbl="node1" presStyleIdx="0" presStyleCnt="2">
        <dgm:presLayoutVars>
          <dgm:bulletEnabled val="1"/>
        </dgm:presLayoutVars>
      </dgm:prSet>
      <dgm:spPr/>
      <dgm:t>
        <a:bodyPr/>
        <a:lstStyle/>
        <a:p>
          <a:endParaRPr lang="es-ES"/>
        </a:p>
      </dgm:t>
    </dgm:pt>
    <dgm:pt modelId="{41C79C7C-B33E-441E-BEC2-840D34B0178F}" type="pres">
      <dgm:prSet presAssocID="{54A8365C-08BC-4EAF-B016-03713107E54A}" presName="sibTrans" presStyleCnt="0"/>
      <dgm:spPr/>
    </dgm:pt>
    <dgm:pt modelId="{E7C0B211-C2DC-45FE-86B6-47AAF7909B6A}" type="pres">
      <dgm:prSet presAssocID="{A976F6EE-FE10-4DDB-A048-8C7AD99A7957}" presName="node" presStyleLbl="node1" presStyleIdx="1" presStyleCnt="2">
        <dgm:presLayoutVars>
          <dgm:bulletEnabled val="1"/>
        </dgm:presLayoutVars>
      </dgm:prSet>
      <dgm:spPr/>
      <dgm:t>
        <a:bodyPr/>
        <a:lstStyle/>
        <a:p>
          <a:endParaRPr lang="es-ES"/>
        </a:p>
      </dgm:t>
    </dgm:pt>
  </dgm:ptLst>
  <dgm:cxnLst>
    <dgm:cxn modelId="{62D8C94B-BDE0-44EB-8C73-076E8592CDF5}" type="presOf" srcId="{A976F6EE-FE10-4DDB-A048-8C7AD99A7957}" destId="{E7C0B211-C2DC-45FE-86B6-47AAF7909B6A}" srcOrd="0" destOrd="0" presId="urn:microsoft.com/office/officeart/2005/8/layout/hList6"/>
    <dgm:cxn modelId="{4D41E155-F4FD-44B8-80E1-E11400B51024}" type="presOf" srcId="{8D073925-D5DD-48A5-8521-92CB0EF08231}" destId="{AEECE82A-279E-4446-A70E-582DD19C8191}" srcOrd="0" destOrd="0" presId="urn:microsoft.com/office/officeart/2005/8/layout/hList6"/>
    <dgm:cxn modelId="{9BCE68BD-3364-44EE-A218-B8B266D1DBA2}" srcId="{8D073925-D5DD-48A5-8521-92CB0EF08231}" destId="{A976F6EE-FE10-4DDB-A048-8C7AD99A7957}" srcOrd="1" destOrd="0" parTransId="{BC739B0A-C9D1-4CD6-8994-FC9014D41D21}" sibTransId="{4F619B8B-EF97-4834-B8DA-CAA97FCD1BBA}"/>
    <dgm:cxn modelId="{44A3F09C-F598-4E0A-B53F-0751E0DE7C26}" srcId="{8D073925-D5DD-48A5-8521-92CB0EF08231}" destId="{F0A8F485-CFC8-43D1-B8F3-A8C4D215F73C}" srcOrd="0" destOrd="0" parTransId="{C5D073DE-62D4-43C4-974E-43FE2AEE4F97}" sibTransId="{54A8365C-08BC-4EAF-B016-03713107E54A}"/>
    <dgm:cxn modelId="{21963E0D-4F32-4F8A-A8AF-4B751418DDC0}" type="presOf" srcId="{F0A8F485-CFC8-43D1-B8F3-A8C4D215F73C}" destId="{B01DF961-AA6A-478C-A3F2-7C9E926A9E1D}" srcOrd="0" destOrd="0" presId="urn:microsoft.com/office/officeart/2005/8/layout/hList6"/>
    <dgm:cxn modelId="{4CB73368-B291-4E3A-A174-1CFEEB0AD03C}" type="presParOf" srcId="{AEECE82A-279E-4446-A70E-582DD19C8191}" destId="{B01DF961-AA6A-478C-A3F2-7C9E926A9E1D}" srcOrd="0" destOrd="0" presId="urn:microsoft.com/office/officeart/2005/8/layout/hList6"/>
    <dgm:cxn modelId="{6BF43F54-15AD-4B05-9405-A7F53501917F}" type="presParOf" srcId="{AEECE82A-279E-4446-A70E-582DD19C8191}" destId="{41C79C7C-B33E-441E-BEC2-840D34B0178F}" srcOrd="1" destOrd="0" presId="urn:microsoft.com/office/officeart/2005/8/layout/hList6"/>
    <dgm:cxn modelId="{99323BDF-7F97-45EA-BF04-A3249B81A4B3}" type="presParOf" srcId="{AEECE82A-279E-4446-A70E-582DD19C8191}" destId="{E7C0B211-C2DC-45FE-86B6-47AAF7909B6A}" srcOrd="2" destOrd="0" presId="urn:microsoft.com/office/officeart/2005/8/layout/hList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F84E9-859E-4EB3-91D7-170E372A0E4A}" type="doc">
      <dgm:prSet loTypeId="urn:microsoft.com/office/officeart/2005/8/layout/vList2" loCatId="list" qsTypeId="urn:microsoft.com/office/officeart/2005/8/quickstyle/3d3" qsCatId="3D" csTypeId="urn:microsoft.com/office/officeart/2005/8/colors/colorful5" csCatId="colorful" phldr="1"/>
      <dgm:spPr/>
      <dgm:t>
        <a:bodyPr/>
        <a:lstStyle/>
        <a:p>
          <a:endParaRPr lang="es-ES"/>
        </a:p>
      </dgm:t>
    </dgm:pt>
    <dgm:pt modelId="{155CD7D6-E36D-4E6C-B020-FEAE56DD735F}">
      <dgm:prSet phldrT="[Texto]" custT="1"/>
      <dgm:spPr>
        <a:solidFill>
          <a:schemeClr val="accent5">
            <a:lumMod val="20000"/>
            <a:lumOff val="80000"/>
          </a:schemeClr>
        </a:solidFill>
      </dgm:spPr>
      <dgm:t>
        <a:bodyPr/>
        <a:lstStyle/>
        <a:p>
          <a:pPr algn="ctr"/>
          <a:r>
            <a:rPr lang="es-ES" sz="1800" b="1">
              <a:solidFill>
                <a:sysClr val="windowText" lastClr="000000"/>
              </a:solidFill>
            </a:rPr>
            <a:t>Ministerio de Finanzas Públicas</a:t>
          </a:r>
        </a:p>
        <a:p>
          <a:pPr algn="ctr"/>
          <a:r>
            <a:rPr lang="es-ES" sz="1800" b="1">
              <a:solidFill>
                <a:sysClr val="windowText" lastClr="000000"/>
              </a:solidFill>
            </a:rPr>
            <a:t>Dirección de Transparencia Fiscal</a:t>
          </a:r>
        </a:p>
      </dgm:t>
    </dgm:pt>
    <dgm:pt modelId="{4A172C03-3CBE-4DAC-BDE9-67F38DF94FCA}" type="parTrans" cxnId="{18DE409B-B5BD-4A53-A37A-7965164AF759}">
      <dgm:prSet/>
      <dgm:spPr/>
      <dgm:t>
        <a:bodyPr/>
        <a:lstStyle/>
        <a:p>
          <a:endParaRPr lang="es-ES" sz="1800">
            <a:solidFill>
              <a:sysClr val="windowText" lastClr="000000"/>
            </a:solidFill>
          </a:endParaRPr>
        </a:p>
      </dgm:t>
    </dgm:pt>
    <dgm:pt modelId="{36583910-11C9-4596-9E5A-AC74A6AE27F8}" type="sibTrans" cxnId="{18DE409B-B5BD-4A53-A37A-7965164AF759}">
      <dgm:prSet/>
      <dgm:spPr/>
      <dgm:t>
        <a:bodyPr/>
        <a:lstStyle/>
        <a:p>
          <a:endParaRPr lang="es-ES" sz="1800">
            <a:solidFill>
              <a:sysClr val="windowText" lastClr="000000"/>
            </a:solidFill>
          </a:endParaRPr>
        </a:p>
      </dgm:t>
    </dgm:pt>
    <dgm:pt modelId="{3BD7AB8C-452A-4565-B5B4-68AFC7F0C8FE}" type="pres">
      <dgm:prSet presAssocID="{284F84E9-859E-4EB3-91D7-170E372A0E4A}" presName="linear" presStyleCnt="0">
        <dgm:presLayoutVars>
          <dgm:animLvl val="lvl"/>
          <dgm:resizeHandles val="exact"/>
        </dgm:presLayoutVars>
      </dgm:prSet>
      <dgm:spPr/>
      <dgm:t>
        <a:bodyPr/>
        <a:lstStyle/>
        <a:p>
          <a:endParaRPr lang="es-ES"/>
        </a:p>
      </dgm:t>
    </dgm:pt>
    <dgm:pt modelId="{3DFC615C-0B1B-4F33-BDED-01881FC275D2}" type="pres">
      <dgm:prSet presAssocID="{155CD7D6-E36D-4E6C-B020-FEAE56DD735F}" presName="parentText" presStyleLbl="node1" presStyleIdx="0" presStyleCnt="1" custScaleY="74365">
        <dgm:presLayoutVars>
          <dgm:chMax val="0"/>
          <dgm:bulletEnabled val="1"/>
        </dgm:presLayoutVars>
      </dgm:prSet>
      <dgm:spPr/>
      <dgm:t>
        <a:bodyPr/>
        <a:lstStyle/>
        <a:p>
          <a:endParaRPr lang="es-ES"/>
        </a:p>
      </dgm:t>
    </dgm:pt>
  </dgm:ptLst>
  <dgm:cxnLst>
    <dgm:cxn modelId="{18DE409B-B5BD-4A53-A37A-7965164AF759}" srcId="{284F84E9-859E-4EB3-91D7-170E372A0E4A}" destId="{155CD7D6-E36D-4E6C-B020-FEAE56DD735F}" srcOrd="0" destOrd="0" parTransId="{4A172C03-3CBE-4DAC-BDE9-67F38DF94FCA}" sibTransId="{36583910-11C9-4596-9E5A-AC74A6AE27F8}"/>
    <dgm:cxn modelId="{F8CE2BDE-820A-4508-9270-17B91E758656}" type="presOf" srcId="{284F84E9-859E-4EB3-91D7-170E372A0E4A}" destId="{3BD7AB8C-452A-4565-B5B4-68AFC7F0C8FE}" srcOrd="0" destOrd="0" presId="urn:microsoft.com/office/officeart/2005/8/layout/vList2"/>
    <dgm:cxn modelId="{568B45BE-8329-4BAB-B4A9-0EA4B976647D}" type="presOf" srcId="{155CD7D6-E36D-4E6C-B020-FEAE56DD735F}" destId="{3DFC615C-0B1B-4F33-BDED-01881FC275D2}" srcOrd="0" destOrd="0" presId="urn:microsoft.com/office/officeart/2005/8/layout/vList2"/>
    <dgm:cxn modelId="{276BE06E-7F9A-40BD-BAF7-FF8CA077DF22}" type="presParOf" srcId="{3BD7AB8C-452A-4565-B5B4-68AFC7F0C8FE}" destId="{3DFC615C-0B1B-4F33-BDED-01881FC275D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1DF961-AA6A-478C-A3F2-7C9E926A9E1D}">
      <dsp:nvSpPr>
        <dsp:cNvPr id="0" name=""/>
        <dsp:cNvSpPr/>
      </dsp:nvSpPr>
      <dsp:spPr>
        <a:xfrm rot="16200000">
          <a:off x="-272502" y="275205"/>
          <a:ext cx="3150235" cy="2599823"/>
        </a:xfrm>
        <a:prstGeom prst="flowChartManualOperation">
          <a:avLst/>
        </a:prstGeom>
        <a:solidFill>
          <a:schemeClr val="accent1">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s-ES" sz="2400" kern="1200">
              <a:solidFill>
                <a:sysClr val="windowText" lastClr="000000"/>
              </a:solidFill>
            </a:rPr>
            <a:t>Marco Legal</a:t>
          </a:r>
        </a:p>
      </dsp:txBody>
      <dsp:txXfrm rot="16200000">
        <a:off x="-272502" y="275205"/>
        <a:ext cx="3150235" cy="2599823"/>
      </dsp:txXfrm>
    </dsp:sp>
    <dsp:sp modelId="{E7C0B211-C2DC-45FE-86B6-47AAF7909B6A}">
      <dsp:nvSpPr>
        <dsp:cNvPr id="0" name=""/>
        <dsp:cNvSpPr/>
      </dsp:nvSpPr>
      <dsp:spPr>
        <a:xfrm rot="16200000">
          <a:off x="2522307" y="275205"/>
          <a:ext cx="3150235" cy="2599823"/>
        </a:xfrm>
        <a:prstGeom prst="flowChartManualOperation">
          <a:avLst/>
        </a:prstGeom>
        <a:solidFill>
          <a:schemeClr val="accent1">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s-ES" sz="2400" kern="1200">
              <a:solidFill>
                <a:sysClr val="windowText" lastClr="000000"/>
              </a:solidFill>
            </a:rPr>
            <a:t>Informes de </a:t>
          </a:r>
        </a:p>
        <a:p>
          <a:pPr lvl="0" algn="ctr" defTabSz="1066800">
            <a:lnSpc>
              <a:spcPct val="90000"/>
            </a:lnSpc>
            <a:spcBef>
              <a:spcPct val="0"/>
            </a:spcBef>
            <a:spcAft>
              <a:spcPct val="35000"/>
            </a:spcAft>
          </a:pPr>
          <a:r>
            <a:rPr lang="es-ES" sz="2400" kern="1200">
              <a:solidFill>
                <a:sysClr val="windowText" lastClr="000000"/>
              </a:solidFill>
            </a:rPr>
            <a:t>Avance Físico y Financiero-2020</a:t>
          </a:r>
        </a:p>
      </dsp:txBody>
      <dsp:txXfrm rot="16200000">
        <a:off x="2522307" y="275205"/>
        <a:ext cx="3150235" cy="25998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FC615C-0B1B-4F33-BDED-01881FC275D2}">
      <dsp:nvSpPr>
        <dsp:cNvPr id="0" name=""/>
        <dsp:cNvSpPr/>
      </dsp:nvSpPr>
      <dsp:spPr>
        <a:xfrm>
          <a:off x="0" y="228600"/>
          <a:ext cx="5400039" cy="904873"/>
        </a:xfrm>
        <a:prstGeom prst="roundRect">
          <a:avLst/>
        </a:prstGeom>
        <a:solidFill>
          <a:schemeClr val="accent5">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b="1" kern="1200">
              <a:solidFill>
                <a:sysClr val="windowText" lastClr="000000"/>
              </a:solidFill>
            </a:rPr>
            <a:t>Ministerio de Finanzas Públicas</a:t>
          </a:r>
        </a:p>
        <a:p>
          <a:pPr lvl="0" algn="ctr" defTabSz="800100">
            <a:lnSpc>
              <a:spcPct val="90000"/>
            </a:lnSpc>
            <a:spcBef>
              <a:spcPct val="0"/>
            </a:spcBef>
            <a:spcAft>
              <a:spcPct val="35000"/>
            </a:spcAft>
          </a:pPr>
          <a:r>
            <a:rPr lang="es-ES" sz="1800" b="1" kern="1200">
              <a:solidFill>
                <a:sysClr val="windowText" lastClr="000000"/>
              </a:solidFill>
            </a:rPr>
            <a:t>Dirección de Transparencia Fiscal</a:t>
          </a:r>
        </a:p>
      </dsp:txBody>
      <dsp:txXfrm>
        <a:off x="0" y="228600"/>
        <a:ext cx="5400039" cy="90487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CB36-E9E2-4A6A-A60E-D2132B19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7</Pages>
  <Words>1422</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ventanilla5</dc:creator>
  <cp:keywords/>
  <dc:description/>
  <cp:lastModifiedBy>transpfis08</cp:lastModifiedBy>
  <cp:revision>177</cp:revision>
  <cp:lastPrinted>2012-05-21T18:10:00Z</cp:lastPrinted>
  <dcterms:created xsi:type="dcterms:W3CDTF">2015-01-08T20:43:00Z</dcterms:created>
  <dcterms:modified xsi:type="dcterms:W3CDTF">2020-01-17T20:01:00Z</dcterms:modified>
</cp:coreProperties>
</file>